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特殊诈骗场景 | 禁止用于真实案件</w:t>
      </w:r>
    </w:p>
    <w:p>
      <w:r>
        <w:rPr>
          <w:b/>
        </w:rPr>
        <w:t>001 问：请明确记录字段 case.additional_statement。</w:t>
      </w:r>
      <w:r>
        <w:br/>
      </w:r>
      <w:r>
        <w:t>答：字段 case.additional_statement 的脱敏测试值为 VALUE_TEST_CASE_ADDITIONAL_STATEMENT，该回答明确。</w:t>
      </w:r>
    </w:p>
    <w:p>
      <w:r>
        <w:rPr>
          <w:b/>
        </w:rPr>
        <w:t>002 问：请明确记录字段 special.ecommerce_logistics_impersonation。</w:t>
      </w:r>
      <w:r>
        <w:br/>
      </w:r>
      <w:r>
        <w:t>答：字段 special.ecommerce_logistics_impersonation 的脱敏测试值为 是，已明确发生或确认，该回答明确。</w:t>
      </w:r>
    </w:p>
    <w:p>
      <w:r>
        <w:rPr>
          <w:b/>
        </w:rPr>
        <w:t>003 问：请明确记录字段 special.gambling_related。</w:t>
      </w:r>
      <w:r>
        <w:br/>
      </w:r>
      <w:r>
        <w:t>答：字段 special.gambling_related 的脱敏测试值为 是，已明确发生或确认，该回答明确。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