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905B2">
      <w:pPr>
        <w:jc w:val="center"/>
        <w:rPr>
          <w:rFonts w:ascii="黑体" w:hAnsi="黑体" w:eastAsia="黑体"/>
          <w:b/>
          <w:spacing w:val="32"/>
          <w:sz w:val="52"/>
          <w:szCs w:val="52"/>
        </w:rPr>
      </w:pPr>
    </w:p>
    <w:p w14:paraId="5ECA8385">
      <w:pPr>
        <w:jc w:val="center"/>
        <w:rPr>
          <w:rFonts w:eastAsia="方正舒体"/>
          <w:b/>
          <w:sz w:val="72"/>
        </w:rPr>
      </w:pPr>
      <w:r>
        <w:rPr>
          <w:rFonts w:hint="eastAsia" w:eastAsia="方正舒体"/>
          <w:b/>
          <w:sz w:val="72"/>
        </w:rPr>
        <w:t>安徽工业大学</w:t>
      </w:r>
    </w:p>
    <w:p w14:paraId="0C09DF98">
      <w:pPr>
        <w:jc w:val="center"/>
        <w:rPr>
          <w:rFonts w:ascii="黑体" w:hAnsi="黑体" w:eastAsia="黑体"/>
          <w:b/>
          <w:spacing w:val="32"/>
          <w:sz w:val="52"/>
          <w:szCs w:val="52"/>
        </w:rPr>
      </w:pPr>
      <w:r>
        <w:rPr>
          <w:rFonts w:hint="eastAsia" w:ascii="黑体" w:hAnsi="黑体" w:eastAsia="黑体"/>
          <w:b/>
          <w:spacing w:val="32"/>
          <w:sz w:val="52"/>
          <w:szCs w:val="52"/>
        </w:rPr>
        <w:t>本科</w:t>
      </w:r>
      <w:r>
        <w:rPr>
          <w:rFonts w:ascii="黑体" w:hAnsi="黑体" w:eastAsia="黑体"/>
          <w:b/>
          <w:spacing w:val="32"/>
          <w:sz w:val="52"/>
          <w:szCs w:val="52"/>
        </w:rPr>
        <w:t>毕业设计（论文）</w:t>
      </w:r>
      <w:r>
        <w:rPr>
          <w:rFonts w:hint="eastAsia" w:ascii="黑体" w:hAnsi="黑体" w:eastAsia="黑体"/>
          <w:b/>
          <w:spacing w:val="32"/>
          <w:sz w:val="52"/>
          <w:szCs w:val="52"/>
        </w:rPr>
        <w:t>开题报告</w:t>
      </w:r>
    </w:p>
    <w:p w14:paraId="35E14F1F">
      <w:pPr>
        <w:jc w:val="center"/>
        <w:rPr>
          <w:rFonts w:ascii="黑体" w:hAnsi="黑体" w:eastAsia="黑体"/>
          <w:b/>
          <w:spacing w:val="32"/>
          <w:sz w:val="52"/>
          <w:szCs w:val="52"/>
        </w:rPr>
      </w:pPr>
      <w:r>
        <w:rPr>
          <w:rFonts w:hint="eastAsia" w:ascii="黑体" w:hAnsi="黑体" w:eastAsia="黑体"/>
          <w:b/>
          <w:spacing w:val="32"/>
          <w:sz w:val="52"/>
          <w:szCs w:val="52"/>
        </w:rPr>
        <w:t>（理工类）</w:t>
      </w:r>
    </w:p>
    <w:p w14:paraId="0CDBC74F">
      <w:pPr>
        <w:jc w:val="center"/>
        <w:rPr>
          <w:rFonts w:ascii="黑体" w:hAnsi="黑体" w:eastAsia="黑体"/>
          <w:b/>
          <w:spacing w:val="32"/>
          <w:sz w:val="52"/>
          <w:szCs w:val="52"/>
        </w:rPr>
      </w:pPr>
    </w:p>
    <w:tbl>
      <w:tblPr>
        <w:tblStyle w:val="10"/>
        <w:tblW w:w="648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4360"/>
      </w:tblGrid>
      <w:tr w14:paraId="2F308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042EA5B6">
            <w:pPr>
              <w:spacing w:before="100" w:beforeAutospacing="1" w:after="312" w:afterLines="100"/>
              <w:ind w:firstLine="25" w:firstLineChars="7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pacing w:val="22"/>
                <w:kern w:val="0"/>
                <w:sz w:val="32"/>
                <w:szCs w:val="32"/>
              </w:rPr>
              <w:t>学    院</w:t>
            </w:r>
            <w:r>
              <w:rPr>
                <w:rFonts w:hint="eastAsia" w:ascii="宋体" w:hAnsi="宋体"/>
                <w:spacing w:val="1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bottom w:val="single" w:color="auto" w:sz="4" w:space="0"/>
            </w:tcBorders>
            <w:shd w:val="clear" w:color="auto" w:fill="auto"/>
          </w:tcPr>
          <w:p w14:paraId="2B4C3400">
            <w:pPr>
              <w:spacing w:before="100" w:beforeAutospacing="1" w:after="312" w:afterLines="100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计算机科学与技术学院</w:t>
            </w:r>
          </w:p>
        </w:tc>
      </w:tr>
      <w:tr w14:paraId="50BE6614">
        <w:trPr>
          <w:trHeight w:val="851" w:hRule="exact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343429DF">
            <w:pPr>
              <w:spacing w:before="100" w:beforeAutospacing="1" w:after="312" w:afterLines="10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pacing w:val="24"/>
                <w:kern w:val="0"/>
                <w:sz w:val="32"/>
                <w:szCs w:val="32"/>
              </w:rPr>
              <w:t>专    业</w:t>
            </w:r>
            <w:r>
              <w:rPr>
                <w:rFonts w:hint="eastAsia" w:ascii="宋体" w:hAnsi="宋体"/>
                <w:spacing w:val="2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4572E40C">
            <w:pPr>
              <w:spacing w:before="100" w:beforeAutospacing="1" w:after="312" w:afterLines="100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计算机科学与技术</w:t>
            </w:r>
          </w:p>
        </w:tc>
      </w:tr>
      <w:tr w14:paraId="0FD8B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47B61EC0">
            <w:pPr>
              <w:spacing w:before="100" w:beforeAutospacing="1" w:after="312" w:afterLines="10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pacing w:val="24"/>
                <w:kern w:val="0"/>
                <w:sz w:val="32"/>
                <w:szCs w:val="32"/>
              </w:rPr>
              <w:t>学    号</w:t>
            </w:r>
            <w:r>
              <w:rPr>
                <w:rFonts w:hint="eastAsia" w:ascii="宋体" w:hAnsi="宋体"/>
                <w:spacing w:val="2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E1E6E64">
            <w:pPr>
              <w:spacing w:before="100" w:beforeAutospacing="1" w:after="312" w:afterLines="100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229074182</w:t>
            </w:r>
          </w:p>
        </w:tc>
      </w:tr>
      <w:tr w14:paraId="60757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7C6D85E7">
            <w:pPr>
              <w:spacing w:before="100" w:beforeAutospacing="1" w:after="312" w:afterLines="10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pacing w:val="24"/>
                <w:kern w:val="0"/>
                <w:sz w:val="32"/>
                <w:szCs w:val="32"/>
              </w:rPr>
              <w:t>姓    名</w:t>
            </w:r>
            <w:r>
              <w:rPr>
                <w:rFonts w:hint="eastAsia" w:ascii="宋体" w:hAnsi="宋体"/>
                <w:spacing w:val="2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32C1D7B">
            <w:pPr>
              <w:spacing w:before="100" w:beforeAutospacing="1" w:after="312" w:afterLines="100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廖园</w:t>
            </w:r>
          </w:p>
        </w:tc>
      </w:tr>
      <w:tr w14:paraId="2075C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28A0466B">
            <w:pPr>
              <w:spacing w:before="100" w:beforeAutospacing="1" w:after="312" w:afterLines="10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pacing w:val="36"/>
                <w:kern w:val="0"/>
                <w:sz w:val="32"/>
                <w:szCs w:val="32"/>
              </w:rPr>
              <w:t>指导</w:t>
            </w:r>
            <w:r>
              <w:rPr>
                <w:rFonts w:ascii="宋体" w:hAnsi="宋体"/>
                <w:spacing w:val="36"/>
                <w:kern w:val="0"/>
                <w:sz w:val="32"/>
                <w:szCs w:val="32"/>
              </w:rPr>
              <w:t>教师</w:t>
            </w:r>
            <w:r>
              <w:rPr>
                <w:rFonts w:hint="eastAsia" w:ascii="宋体" w:hAnsi="宋体"/>
                <w:spacing w:val="1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53DFB36">
            <w:pPr>
              <w:spacing w:before="100" w:beforeAutospacing="1" w:after="312" w:afterLines="100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王朋飞</w:t>
            </w:r>
          </w:p>
        </w:tc>
      </w:tr>
      <w:tr w14:paraId="5536C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232627D1">
            <w:pPr>
              <w:spacing w:before="100" w:beforeAutospacing="1" w:after="312" w:afterLines="100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pacing w:val="36"/>
                <w:kern w:val="0"/>
                <w:sz w:val="32"/>
                <w:szCs w:val="32"/>
              </w:rPr>
              <w:t>开题</w:t>
            </w:r>
            <w:r>
              <w:rPr>
                <w:rFonts w:ascii="宋体" w:hAnsi="宋体"/>
                <w:spacing w:val="36"/>
                <w:kern w:val="0"/>
                <w:sz w:val="32"/>
                <w:szCs w:val="32"/>
              </w:rPr>
              <w:t>日期</w:t>
            </w:r>
            <w:r>
              <w:rPr>
                <w:rFonts w:ascii="宋体" w:hAnsi="宋体"/>
                <w:spacing w:val="1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E398DF2">
            <w:pPr>
              <w:spacing w:before="100" w:beforeAutospacing="1" w:after="312" w:afterLines="100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2026年3月12号</w:t>
            </w:r>
          </w:p>
        </w:tc>
      </w:tr>
    </w:tbl>
    <w:p w14:paraId="0F7296E3">
      <w:pPr>
        <w:spacing w:before="100" w:beforeAutospacing="1" w:after="312" w:afterLines="100" w:line="480" w:lineRule="auto"/>
      </w:pPr>
    </w:p>
    <w:p w14:paraId="7B55306A">
      <w:pPr>
        <w:spacing w:before="100" w:beforeAutospacing="1" w:after="312" w:afterLines="100" w:line="480" w:lineRule="auto"/>
      </w:pPr>
    </w:p>
    <w:p w14:paraId="7ECCC459">
      <w:pPr>
        <w:widowControl/>
        <w:jc w:val="left"/>
      </w:pPr>
      <w:r>
        <w:br w:type="page"/>
      </w:r>
    </w:p>
    <w:p w14:paraId="218688EB">
      <w:pPr>
        <w:pStyle w:val="5"/>
        <w:spacing w:line="360" w:lineRule="auto"/>
        <w:ind w:left="256" w:right="458" w:rightChars="218" w:firstLine="0" w:firstLineChars="0"/>
        <w:jc w:val="center"/>
        <w:rPr>
          <w:rFonts w:ascii="仿宋_GB2312" w:eastAsia="黑体"/>
          <w:sz w:val="36"/>
        </w:rPr>
      </w:pPr>
      <w:r>
        <w:rPr>
          <w:rFonts w:hint="eastAsia" w:ascii="仿宋_GB2312" w:eastAsia="黑体"/>
          <w:sz w:val="36"/>
        </w:rPr>
        <w:t>填写说明</w:t>
      </w:r>
    </w:p>
    <w:p w14:paraId="20B4D570">
      <w:pPr>
        <w:pStyle w:val="5"/>
        <w:spacing w:line="360" w:lineRule="auto"/>
        <w:ind w:left="0" w:right="-57" w:rightChars="-27" w:firstLine="593" w:firstLineChars="212"/>
      </w:pPr>
      <w:r>
        <w:rPr>
          <w:rFonts w:hint="eastAsia"/>
        </w:rPr>
        <w:t>1．开题报告作为毕业设计（论文）答辩委员会对学生答辩资格审查的依据材料之一。此报告应在指导教师指导下，由学生在毕业设计（论文）工作前期完成；</w:t>
      </w:r>
    </w:p>
    <w:p w14:paraId="2A655955">
      <w:pPr>
        <w:pStyle w:val="5"/>
        <w:spacing w:line="360" w:lineRule="auto"/>
        <w:ind w:left="0" w:right="-57" w:rightChars="-27" w:firstLine="593" w:firstLineChars="212"/>
      </w:pPr>
      <w:r>
        <w:rPr>
          <w:rFonts w:hint="eastAsia"/>
        </w:rPr>
        <w:t>2．文中引用参考文献处应标出文献序号，文后</w:t>
      </w:r>
      <w:r>
        <w:rPr>
          <w:rFonts w:hint="eastAsia" w:ascii="宋体" w:hAnsi="宋体"/>
        </w:rPr>
        <w:t>参考文献的书写，应按照《信息与文献 参考文献著录规则》（GB/T 7714-2015）的规定进行书写</w:t>
      </w:r>
      <w:r>
        <w:rPr>
          <w:rFonts w:hint="eastAsia"/>
        </w:rPr>
        <w:t>；</w:t>
      </w:r>
    </w:p>
    <w:p w14:paraId="410600A4">
      <w:pPr>
        <w:pStyle w:val="5"/>
        <w:spacing w:line="360" w:lineRule="auto"/>
        <w:ind w:left="0" w:right="-57" w:rightChars="-27" w:firstLine="593" w:firstLineChars="212"/>
      </w:pPr>
      <w:r>
        <w:rPr>
          <w:rFonts w:hint="eastAsia"/>
        </w:rPr>
        <w:t>3．</w:t>
      </w:r>
      <w:r>
        <w:rPr>
          <w:rFonts w:hint="eastAsia" w:ascii="宋体" w:hAnsi="宋体"/>
        </w:rPr>
        <w:t>有关年月日等日期的填写，应按照《数据元和交换格式、信息交换、日期和时间表示法》（</w:t>
      </w:r>
      <w:r>
        <w:rPr>
          <w:rFonts w:ascii="宋体" w:hAnsi="宋体"/>
        </w:rPr>
        <w:t>GB/T 7408</w:t>
      </w:r>
      <w:r>
        <w:rPr>
          <w:rFonts w:hint="eastAsia" w:ascii="宋体" w:hAnsi="宋体"/>
        </w:rPr>
        <w:t>—</w:t>
      </w:r>
      <w:r>
        <w:rPr>
          <w:rFonts w:ascii="宋体" w:hAnsi="宋体"/>
        </w:rPr>
        <w:t>2015</w:t>
      </w:r>
      <w:r>
        <w:rPr>
          <w:rFonts w:hint="eastAsia" w:ascii="宋体" w:hAnsi="宋体"/>
        </w:rPr>
        <w:t>）规定的要求，一律用阿拉伯数字书写。如“</w:t>
      </w:r>
      <w:r>
        <w:rPr>
          <w:rFonts w:ascii="宋体" w:hAnsi="宋体"/>
        </w:rPr>
        <w:t>2020</w:t>
      </w:r>
      <w:r>
        <w:rPr>
          <w:rFonts w:hint="eastAsia" w:ascii="宋体" w:hAnsi="宋体"/>
        </w:rPr>
        <w:t>年3月15日”或“</w:t>
      </w:r>
      <w:r>
        <w:rPr>
          <w:rFonts w:ascii="宋体" w:hAnsi="宋体"/>
        </w:rPr>
        <w:t>2020</w:t>
      </w:r>
      <w:r>
        <w:rPr>
          <w:rFonts w:hint="eastAsia" w:ascii="宋体" w:hAnsi="宋体"/>
        </w:rPr>
        <w:t>-03-15”；</w:t>
      </w:r>
    </w:p>
    <w:p w14:paraId="5FB3AC47">
      <w:pPr>
        <w:pStyle w:val="5"/>
        <w:spacing w:line="360" w:lineRule="auto"/>
        <w:ind w:left="0" w:right="-57" w:rightChars="-27" w:firstLine="593" w:firstLineChars="212"/>
        <w:rPr>
          <w:rFonts w:ascii="宋体" w:hAnsi="宋体"/>
        </w:rPr>
      </w:pPr>
      <w:r>
        <w:rPr>
          <w:rFonts w:hint="eastAsia"/>
        </w:rPr>
        <w:t>4．文中排版采用</w:t>
      </w:r>
      <w:r>
        <w:rPr>
          <w:rFonts w:hint="eastAsia" w:ascii="宋体" w:hAnsi="宋体"/>
        </w:rPr>
        <w:t>小四号宋体，1.5倍行距。</w:t>
      </w:r>
    </w:p>
    <w:p w14:paraId="7E3C937E">
      <w:pPr>
        <w:pStyle w:val="5"/>
        <w:spacing w:line="360" w:lineRule="auto"/>
        <w:ind w:left="0" w:right="-57" w:rightChars="-27" w:firstLine="593" w:firstLineChars="212"/>
        <w:rPr>
          <w:rFonts w:ascii="宋体" w:hAnsi="宋体"/>
        </w:rPr>
      </w:pPr>
      <w:r>
        <w:t>5</w:t>
      </w:r>
      <w:r>
        <w:rPr>
          <w:rFonts w:hint="eastAsia"/>
        </w:rPr>
        <w:t>．</w:t>
      </w:r>
      <w:r>
        <w:rPr>
          <w:rFonts w:hint="eastAsia" w:ascii="宋体" w:hAnsi="宋体"/>
        </w:rPr>
        <w:t>可根据需要自行加页。</w:t>
      </w:r>
    </w:p>
    <w:p w14:paraId="1AD57D1D">
      <w:pPr>
        <w:pStyle w:val="5"/>
        <w:spacing w:line="360" w:lineRule="auto"/>
        <w:ind w:left="0" w:right="-57" w:rightChars="-27" w:firstLine="0" w:firstLineChars="0"/>
      </w:pPr>
    </w:p>
    <w:p w14:paraId="265D1E85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53EDCF6"/>
    <w:tbl>
      <w:tblPr>
        <w:tblStyle w:val="10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63"/>
        <w:gridCol w:w="1442"/>
        <w:gridCol w:w="1985"/>
        <w:gridCol w:w="1984"/>
        <w:gridCol w:w="2410"/>
      </w:tblGrid>
      <w:tr w14:paraId="39016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1" w:hRule="exact"/>
          <w:jc w:val="center"/>
        </w:trPr>
        <w:tc>
          <w:tcPr>
            <w:tcW w:w="8784" w:type="dxa"/>
            <w:gridSpan w:val="5"/>
            <w:vAlign w:val="center"/>
          </w:tcPr>
          <w:p w14:paraId="74843F2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毕业设计（论文）题目：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智能语音聊天机器人设计与实现</w:t>
            </w:r>
          </w:p>
        </w:tc>
      </w:tr>
      <w:tr w14:paraId="65C7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4" w:hRule="exact"/>
          <w:jc w:val="center"/>
        </w:trPr>
        <w:tc>
          <w:tcPr>
            <w:tcW w:w="8784" w:type="dxa"/>
            <w:gridSpan w:val="5"/>
            <w:vAlign w:val="center"/>
          </w:tcPr>
          <w:p w14:paraId="6224AFC8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题目性质：（ 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B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）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A 结合科研课题；B 结合工程</w:t>
            </w:r>
            <w:r>
              <w:rPr>
                <w:rFonts w:hint="eastAsia" w:ascii="宋体" w:hAnsi="宋体" w:cs="宋体"/>
                <w:color w:val="000000" w:themeColor="text1"/>
                <w:sz w:val="24"/>
              </w:rPr>
              <w:t>项目；C结合社会实际；D 其它。</w:t>
            </w:r>
          </w:p>
        </w:tc>
      </w:tr>
      <w:tr w14:paraId="7DB7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013" w:hRule="atLeast"/>
          <w:jc w:val="center"/>
        </w:trPr>
        <w:tc>
          <w:tcPr>
            <w:tcW w:w="8784" w:type="dxa"/>
            <w:gridSpan w:val="5"/>
          </w:tcPr>
          <w:p w14:paraId="3032276D">
            <w:pPr>
              <w:rPr>
                <w:rFonts w:ascii="宋体" w:hAnsi="宋体" w:cs="宋体"/>
                <w:sz w:val="24"/>
              </w:rPr>
            </w:pPr>
          </w:p>
          <w:p w14:paraId="16F3FCD7">
            <w:pPr>
              <w:numPr>
                <w:ilvl w:val="0"/>
                <w:numId w:val="1"/>
              </w:numPr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选题背景及依据（说明选题背景、目的和意义）</w:t>
            </w:r>
          </w:p>
          <w:p w14:paraId="7BD66654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1.</w:t>
            </w: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选题背景与行业趋势</w:t>
            </w:r>
          </w:p>
          <w:p w14:paraId="45D34EBF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在人工智能技术演进的宏大叙事中，人机交互模式正经历从命令式接口向认知型对话实体的代际跃迁。随着深度学习算法的持续优化，语音交互行业已跨越了基础识别的初级阶段，正迈向以语义理解与情感共鸣为核心的认知智能高度 1。根据最新的行业数据，全球对话式AI市场规模在2025年已达到147.9亿美元，并预计在2026年至2034年期间以21.00%的年均复合增长率快速扩张，到2034年市场规模有望突破824.6亿美元 2。这一增长态势的底层动力源于自然语言处理（NLP）与大语言模型（LLM）的深度融合，使得语音助手能够处理复杂的模糊指令，并在理想环境下实现99%以上的识别准确率。</w:t>
            </w:r>
          </w:p>
          <w:p w14:paraId="41D8F509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中国在智能语音市场的表现尤为引人注目。2023年中国智能语音市场规模达到382亿元人民币，2024年有望突破469亿元，而到2025年这一数字预计将攀升至563亿元 1。这种强劲的增长势头不仅体现在市场规模上，更体现在技术独立性与地缘政治竞争力的提升。研究报告指出，中国已成为人工智能研究领域的全球领先力量，其AI研究出版物的产出量在2024年已匹配美国、英国与欧盟的总和，并拥有全球40%以上的引用关注度 3。DeepSeek等国产模型的崛起，象征着中国在昂贵的芯片限制环境下，依然能够通过算法创新和架构优化，实现高性能、低成本的AI应用部署。</w:t>
            </w:r>
          </w:p>
          <w:p w14:paraId="678920D1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在具体的应用场景中，车载系统、智慧医疗、智能音箱及在线教育等领域正成为语音交互技术的主战场。2024年1月至11月，中国车载语音系统的装配量达到1676万辆，装配率高达83.3%，这表明语音已成为智能座舱的核心交互标准 1。同时，亚马逊推出的Rufus与AWS的Amazon Q等生成式助手，进一步展示了AI在电商与企业协同中的巨大潜力 2。然而，尽管技术前景广阔，如何构建一个端到端低延迟、高可靠且具备长效记忆能力的语音机器人，依然是学术界与工业界共同面对的工程挑战。</w:t>
            </w:r>
          </w:p>
          <w:p w14:paraId="53EDA3E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2.</w:t>
            </w: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选题的目的与意义</w:t>
            </w:r>
          </w:p>
          <w:p w14:paraId="42E74A34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本课题旨在基于Python生态系统与FastAPI后端框架，通过集成前沿的ASR、LLM、TTS及向量数据库技术，设计并实现一套具备工业级性能的智能语音聊天机器人。其核心研究目的包括以下三个维度：</w:t>
            </w:r>
          </w:p>
          <w:p w14:paraId="6F0CBAC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首先，探索级联架构下的极致性能优化。语音交互的实时性是用户体验的生命线。工业界基准认为，自然对话的响应时间应低于800毫秒，而500毫秒以下被视为黄金标准 。本研究将深入探讨如何通过FastAPI的异步IO机制与模型流式推理（Streaming Inference），协同ASR、LLM与TTS模块，降低系统整体的端到端延迟 。</w:t>
            </w:r>
          </w:p>
          <w:p w14:paraId="42412737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其次，评估并实现前沿模型的最佳选型组合。在模型爆发式增长的当下，本课题将对OpenAI的Whisper系列、阿里巴巴的FunASR、DeepSeek-V3以及Qwen-2.5等模型进行深度对比实验 。研究将重点关注模型在中文语境、中英混读（Code-switching）以及复杂噪声环境下的稳健性，为实际应用提供科学的数据支撑 。</w:t>
            </w:r>
          </w:p>
          <w:p w14:paraId="1B9FDC64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最后，完善对话系统的记忆与个性化机制。传统对话机器人常因缺乏长效记忆而导致交互体验断裂。本研究拟采用“Redis+PostgreSQL+pgvector”的混合存储方案，利用向量检索技术实现基于语义的记忆召回，使机器人能够“记住”用户的历史偏好与背景信息，从而提供更加精准、拟人化的服务 。</w:t>
            </w:r>
          </w:p>
          <w:p w14:paraId="6E715558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在现实意义层面，本课题的研究成果可直接转化为智慧教育中的外语陪练助手、智慧养老中的情感陪护实体或政务系统中的智能客服。随着边缘计算与端侧语音模型轻量化的趋势，2025年支持离线语音交互的芯片算力预计提升3倍，响应延迟将进一步压缩至0.2秒内 。本课题所建立的架构方案，不仅符合当前云端协同的技术流向，也为未来向移动端及嵌入式设备的迁移奠定了理论与工程基础。</w:t>
            </w:r>
          </w:p>
          <w:p w14:paraId="27C85C5A">
            <w:pPr>
              <w:rPr>
                <w:sz w:val="24"/>
              </w:rPr>
            </w:pPr>
          </w:p>
          <w:p w14:paraId="023F4F91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</w:t>
            </w:r>
          </w:p>
          <w:p w14:paraId="73485341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</w:p>
          <w:p w14:paraId="55DA203E">
            <w:pPr>
              <w:rPr>
                <w:rFonts w:ascii="宋体" w:hAnsi="宋体" w:cs="宋体"/>
                <w:sz w:val="24"/>
              </w:rPr>
            </w:pPr>
          </w:p>
          <w:p w14:paraId="1597B25D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5DB5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3599" w:hRule="atLeast"/>
          <w:jc w:val="center"/>
        </w:trPr>
        <w:tc>
          <w:tcPr>
            <w:tcW w:w="8784" w:type="dxa"/>
            <w:gridSpan w:val="5"/>
          </w:tcPr>
          <w:p w14:paraId="50C307C0">
            <w:pPr>
              <w:numPr>
                <w:ilvl w:val="0"/>
                <w:numId w:val="1"/>
              </w:numPr>
              <w:spacing w:line="360" w:lineRule="auto"/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文献综述（或调研报告）</w:t>
            </w:r>
          </w:p>
          <w:p w14:paraId="5CFC6252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智能语音聊天机器人是自然语言处理、语音信号处理与人工智能交叉领域的核心研究方向。其目标是通过集成语音识别、逻辑推理与语音合成技术，实现自然、流畅且具有情感共鸣的人机交互。随着深度学习与大模型技术的爆发式增长，智能语音机器人已从早期的规则匹配演</w:t>
            </w:r>
            <w:bookmarkStart w:id="0" w:name="_GoBack"/>
            <w:bookmarkEnd w:id="0"/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进为具备复杂逻辑思维与长效记忆能力的智能体，在智慧医疗、个人助理及工业交互等领域得到了广泛应用[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5</w:t>
            </w: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][8]。</w:t>
            </w:r>
          </w:p>
          <w:p w14:paraId="7B21F592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自动语音识别（ASR）作为交互的第一关口，正经历从端到端模型向大规模弱监督预训练模型的范式转移。OpenAI 提出的 Whisper 模型通过在超大规模多语言数据上的训练，显著提升了模型在复杂环境下的泛化能力[1]。针对国内工程落地场景，阿里巴巴开源的 FunASR 框架通过引入非自回归架构，有效解决了流式识别中的高延迟痛点，为工业级实时交互提供了可靠方案[10]。</w:t>
            </w:r>
          </w:p>
          <w:p w14:paraId="09414723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作为机器人的“逻辑大脑”，大型语言模型（LLM）的进步直接决定了交互的深度。张俊林对大语言模型的发展历程进行了系统性回顾，指出从稠密模型向混合专家架构（MoE）的演进是实现高性能与低成本平衡的关键[2]。冯珺等研究者进一步探讨了 LLM 的推理机制，为构建具备深层逻辑能力的语音助手提供了理论支撑[4]。同时，检索增强生成（RAG）技术的演进，为解决大模型幻觉问题提供了重要路径[8]。</w:t>
            </w:r>
          </w:p>
          <w:p w14:paraId="067D2912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在语音合成（TTS）领域，研究重心已从音质清晰转向零样本克隆。通过引入变分自编码器与对抗学习，研究者实现了端到端的高质量音频生成，显著消除了早期的“机器感”[6]。最新的综述研究则探讨了情境化人工智能在交互中的演进，使得合成声音具备了更丰富的语气起伏与情感表现力[9]。</w:t>
            </w:r>
          </w:p>
          <w:p w14:paraId="6F0248A8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高性能系统还需解决“长效记忆”问题。Zhong 等提出的 MemoryBank 架构利用向量数据库实现长效记忆管理，使机器人能够“记住”用户的个性化偏好[7]。李理等探讨了向量数据库在检索增强生成中的具体应用，为构建具备记忆深度的对话代理提供了参考[3]。此外，针对大模型长效记忆能力的系统性综述，也为多轮对话的稳定性提供了技术指导[11]。</w:t>
            </w:r>
          </w:p>
          <w:p w14:paraId="15995ECA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综上所述，智能语音机器人正迈向深度融合的生成式阶段。未来，随着低延迟推理架构与端到端多模态音频模型的成熟，语音交互系统将向着更加拟人化、专业化和普适化的方向不断演进。</w:t>
            </w:r>
          </w:p>
          <w:p w14:paraId="31E17B26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43F21094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参考文献</w:t>
            </w:r>
          </w:p>
          <w:p w14:paraId="4275820F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[1] Radford A, Kim J W, Xu T, et al. Robust speech recognition via large-scale weak supervision[J]. Proceedings of the 40th International Conference on Machine Learning, 2023, 202(1): 28492-28518.</w:t>
            </w:r>
          </w:p>
          <w:p w14:paraId="42637192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[2] 张俊林. 大语言模型：回顾、现状与未来[J]. 计算机研究与发展, 2024, 61(5): 1025-1045.</w:t>
            </w:r>
          </w:p>
          <w:p w14:paraId="5006AC47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 xml:space="preserve">[3] 李理. 向量数据库在大模型检索增强生成中的应用研究[J]. 计算机应用, 2025, 45(1): 12-20. (2025-01-20) </w:t>
            </w:r>
          </w:p>
          <w:p w14:paraId="62BF29D3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[4] 冯珺, 孙飞, 郭宇航, 等. 大语言模型推理研究综述[J]. 软件学报, 2024, 35(11): 5013-5045.</w:t>
            </w:r>
          </w:p>
          <w:p w14:paraId="40B79ABC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[5] Zhao W X, Zhou K, Li J, et al. A survey of large language models[J]. AI Open, 2024, 5(1): 1-45.</w:t>
            </w:r>
          </w:p>
          <w:p w14:paraId="0F9F6C7A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[6] Kim J, Kong J, Ju J. Conditional variational autoencoder with adversarial learning for end-to-end text-to-speech[J]. Advances in Neural Information Processing Systems (NeurIPS), 2021, 34(1): 11227-11237.</w:t>
            </w:r>
          </w:p>
          <w:p w14:paraId="51382E7F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[7] Zhong W, Guo Y, Gao N, et al. MemoryBank: Enhancing Large Language Models with Long-Term Memory[J]. Proceedings of the AAAI Conference on Artificial Intelligence, 2024, 38(17): 19724-19731.</w:t>
            </w:r>
          </w:p>
          <w:p w14:paraId="5268BC53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 xml:space="preserve">[8] Gao Y, Xiong Y, Gao X, et al. Retrieval-augmented generation for large language models: A survey[J]. Frontiers of Computer Science, 2025, 19(2): 192301-192320. (2025-02-15) </w:t>
            </w:r>
          </w:p>
          <w:p w14:paraId="133E8FC2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 xml:space="preserve">[9] Sarikaya R. The Evolution of Natural Language Contextual AI[J]. IEEE Signal Processing Magazine, 2025, 42(1): 44-55. (2025-01-15) </w:t>
            </w:r>
          </w:p>
          <w:p w14:paraId="6A3EF3F0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[10] Gao Z, Zhang S, McLoughlin I, et al. FunASR: A Fundamental End-to-End Speech Recognition Toolkit[J]. IEEE International Conference on Acoustics, Speech and Signal Processing (ICASSP), 2024, 1(1): 11001-11005.</w:t>
            </w:r>
          </w:p>
          <w:p w14:paraId="6E70CA20">
            <w:pPr>
              <w:numPr>
                <w:ilvl w:val="0"/>
                <w:numId w:val="0"/>
              </w:numPr>
              <w:spacing w:line="360" w:lineRule="auto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[11] Huo J, et al. Mastering Memory: A Survey of Long-term Memory for Large Language Models[J]. Journal of Computer Science and Technology, 2025, 40(1): 15-42. (2025-03-01)</w:t>
            </w:r>
          </w:p>
        </w:tc>
      </w:tr>
      <w:tr w14:paraId="6464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4024" w:hRule="atLeast"/>
          <w:jc w:val="center"/>
        </w:trPr>
        <w:tc>
          <w:tcPr>
            <w:tcW w:w="8784" w:type="dxa"/>
            <w:gridSpan w:val="5"/>
          </w:tcPr>
          <w:p w14:paraId="02DE61C9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三、主要研究（设计）内容、研究（设计）方案、关键问题及难点</w:t>
            </w:r>
          </w:p>
          <w:p w14:paraId="23C12369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1、主要设计内容</w:t>
            </w:r>
          </w:p>
          <w:p w14:paraId="17B980F0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本课题拟设计一套全异步、低延迟的智能语音机器人系统，重点研究以下模块：</w:t>
            </w:r>
          </w:p>
          <w:p w14:paraId="44D14CE7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1.1 全链路异步通信架构</w:t>
            </w:r>
          </w:p>
          <w:p w14:paraId="0CBA49C9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研究如何利用FastAPI的ASGI特性，建立基于WebSocket的双向流式传输通道。该架构需支持音频流的上行实时听写、中间指令下发及音频流的下行分片分发。重点探讨在Python环境下，如何通过asyncio调度多个计算密集型任务（ASR/TTS）与IO密集型任务（数据库读写） 。</w:t>
            </w:r>
          </w:p>
          <w:p w14:paraId="1C47F9FF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1.2 高性能ASR识别与前端优化</w:t>
            </w:r>
          </w:p>
          <w:p w14:paraId="4F0FC963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研究FunASR流式引擎与Silero VAD（语音活动检测）的集成方案。VAD模块需在复杂的背景噪声中准确识别语音的起始与终点，并触发后续的流水线操作 。同时，探讨Faster-Whisper在边缘端的量化部署，对比不同精度（INT8/FP16）对WER的影响 。</w:t>
            </w:r>
          </w:p>
          <w:p w14:paraId="4304D1A4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1.3 异构LLM协同与Prompt工程</w:t>
            </w:r>
          </w:p>
          <w:p w14:paraId="50C3E5F5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集成DeepSeek-V3与Qwen-2.5的双模型驱动策略。针对普通咨询，采用Qwen-2.5的高速推理能力；针对逻辑严密的数学或编程问题，动态切换至DeepSeek的推理模式 。研究针对语音口语化特征设计的Prompt优化策略，提升模型在口音、语气词干扰下的理解力 。</w:t>
            </w:r>
          </w:p>
          <w:p w14:paraId="0A9431B3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1.4 混合动力记忆系统</w:t>
            </w:r>
          </w:p>
          <w:p w14:paraId="06049AFA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设计基于Redis与pgvector的多级记忆缓存架构。研究如何将长对话历史进行异步摘要化存储，并在检索阶段利用RAG（检索增强生成）技术，将召回的历史信息注入LLM的Context窗口中，确保回复的连贯性与个性化 。</w:t>
            </w:r>
          </w:p>
          <w:p w14:paraId="63C152AA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1.5 情感化TTS合成与流式分发</w:t>
            </w:r>
          </w:p>
          <w:p w14:paraId="5DB59F6E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基于GPT-SoVITS构建情感化音色克隆模块。研究“文本切片-并行合成-流式拼接”技术，即在LLM生成第一个标点符号时，立即启动首段文字的合成，并利用WebSocket将音频切片推送至客户端播放，实现近乎同步的语音反馈 。</w:t>
            </w:r>
          </w:p>
          <w:p w14:paraId="050AB6EC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5C077B0F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06CDED46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6F1F41B0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2、设计方案</w:t>
            </w:r>
          </w:p>
          <w:p w14:paraId="2836106F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 xml:space="preserve">  2.1 硬件与基础环境</w:t>
            </w:r>
          </w:p>
          <w:p w14:paraId="484C5085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计算平台：互联网云服务器(如阿里云，腾讯云，火山云)</w:t>
            </w:r>
          </w:p>
          <w:p w14:paraId="77F3EA4E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操作系统：Ubuntu 22.04 LTS，通过Docker容器化技术保证模型环境的一致性。</w:t>
            </w:r>
          </w:p>
          <w:p w14:paraId="3F8A0DC8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开发语言：Python 3.10+，利用其强大的异步生态。</w:t>
            </w:r>
          </w:p>
          <w:p w14:paraId="37B98B16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2.2 系统架构设计</w:t>
            </w:r>
          </w:p>
          <w:p w14:paraId="78F748AD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系统遵循“分层设计、解耦通信”的原则，由下至上分为四层：物理接入层：用户通过移动端或Web浏览器捕获音频采样。传输网关层：FastAPI作为核心中转，通过WebSocket维持持久化连接，并利用Pydantic进行严格的数据校验 。模型计算层：ASR集群：FunASR处理实时流，Faster-Whisper处理精修转写。LLM引擎：通过API调用DeepSeek-V3与Qwen-2.5分布式集群 。TTS引擎：GPT-SoVITS V2提供音色模型，Edge-TTS提供快速备选方案。持久化存储层：Redis存储Session状态与短期上下文，PostgreSQL存储向量记忆 。</w:t>
            </w:r>
          </w:p>
          <w:p w14:paraId="6983BAA1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</w:p>
          <w:p w14:paraId="21D9BED9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2.3 技术路线流程图描述</w:t>
            </w:r>
          </w:p>
          <w:p w14:paraId="4160D387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lang w:val="en-US" w:eastAsia="zh-CN"/>
              </w:rPr>
              <w:t>用户发出的音频帧流式进入FastAPI -&gt; VAD检测语音起始 -&gt; ASR模块进行流式转录并将增量文本推入Redis队列 -&gt; 当检测到语音结束或停顿达到阈值 -&gt; 文本结合历史记忆摘要输入LLM -&gt; LLM流式返回Token -&gt; 语义切分触发TTS合成音频块 -&gt; WebSocket将音频切片返回给客户端播放。</w:t>
            </w:r>
          </w:p>
          <w:p w14:paraId="22E36125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7C02B05E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3、关键问题及难点</w:t>
            </w:r>
          </w:p>
          <w:p w14:paraId="10C4C45E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3.1 关键问题：端到端延迟的削减（Latency Minimization）</w:t>
            </w:r>
          </w:p>
          <w:p w14:paraId="287DDF94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端到端延迟（E2E Latency）由采样延迟、识别延迟、推理延迟与合成延迟累加而成。在级联架构下，若任何一环出现串行阻塞，整体延迟将迅速突破2秒，破坏人机对话的自然感 。</w:t>
            </w:r>
          </w:p>
          <w:p w14:paraId="25AE0226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解决思路：采用“首包优先”策略与双向并发流水线。在ASR完成识别前，后端便预取上下文；在LLM生成完整句子前，TTS便启动模型Warm-up，利用Chunked Streaming技术将TTFB（首字节时间）控制在200ms以内 。</w:t>
            </w:r>
          </w:p>
          <w:p w14:paraId="54DD335E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557CC7BE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3.2 难点一：高背景噪声下的语音鲁棒性</w:t>
            </w:r>
          </w:p>
          <w:p w14:paraId="2BD4A3E4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真实场景下存在大量非人声噪声（如鸣笛、风声）及人声重叠。这些因素会导致ASR产生严重的WER偏离，进而引起LLM产生幻觉 。</w:t>
            </w:r>
          </w:p>
          <w:p w14:paraId="2A2DBCFC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解决思路：引入多级去噪机制。在VAD前置端采用WebRTC-AEC（回声消除）与ANS（自动降噪）算法；在ASR端利用FunASR内置的情感与噪声稳健性模型，并结合LLM进行二次文本纠错（Post-editing） 。</w:t>
            </w:r>
          </w:p>
          <w:p w14:paraId="269A1EB2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4E5090E8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3.3 难点二：长时交互中的上下文漂移与语义召回</w:t>
            </w:r>
          </w:p>
          <w:p w14:paraId="6FB654AF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随着对话轮次增加，由于Context窗口长度有限，LLM会遗忘早期的关键设定，或因历史冗余信息过多而产生逻辑混乱 。</w:t>
            </w:r>
          </w:p>
          <w:p w14:paraId="2B3D27D5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解决思路：构建“动态上下文管理器”。利用pgvector对历史对话进行分段向量化，并引入时间衰减系数（Time Decay）与语义相关度权重。在构建Prompt时，系统仅提取与当前话题相关性最高的Top-K条语义片段及最近三轮的原始对话 。</w:t>
            </w:r>
          </w:p>
          <w:p w14:paraId="0E839CB2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</w:p>
          <w:p w14:paraId="775B8131">
            <w:pPr>
              <w:spacing w:line="360" w:lineRule="auto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3.4 难点三：音色克隆的情感表现力与实时性的平衡</w:t>
            </w:r>
          </w:p>
          <w:p w14:paraId="1C254A63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高质量的TTS合成（如GPT-SoVITS）往往需要庞大的计算资源，且推断RTF（实时因子）波动较大，容易导致音频卡顿。</w:t>
            </w:r>
          </w:p>
          <w:p w14:paraId="72E9BD9E">
            <w:pPr>
              <w:spacing w:line="360" w:lineRule="auto"/>
              <w:ind w:firstLine="480" w:firstLineChars="200"/>
              <w:rPr>
                <w:rFonts w:hint="eastAsia" w:asciiTheme="majorEastAsia" w:hAnsiTheme="majorEastAsia" w:eastAsiaTheme="majorEastAsia" w:cstheme="majorEastAsia"/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</w:rPr>
              <w:t>解决思路：实施“流式音频缓存”与“预推断”技术。针对常见语气词建立离线缓存库；在LLM输出阶段，采用滑动窗口预测技术，提前感知下文的情感基调，动态调节合成参数。</w:t>
            </w:r>
          </w:p>
          <w:p w14:paraId="147ADF8B">
            <w:pPr>
              <w:spacing w:line="360" w:lineRule="auto"/>
              <w:rPr>
                <w:rFonts w:asciiTheme="minorEastAsia" w:hAnsiTheme="minorEastAsia" w:eastAsiaTheme="minorEastAsia"/>
                <w:sz w:val="24"/>
              </w:rPr>
            </w:pPr>
          </w:p>
        </w:tc>
      </w:tr>
      <w:tr w14:paraId="48D7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43" w:hRule="atLeast"/>
          <w:jc w:val="center"/>
        </w:trPr>
        <w:tc>
          <w:tcPr>
            <w:tcW w:w="8784" w:type="dxa"/>
            <w:gridSpan w:val="5"/>
          </w:tcPr>
          <w:p w14:paraId="79DDA944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四、毕业设计（论文）的进度计划安排</w:t>
            </w:r>
          </w:p>
          <w:p w14:paraId="0D0E36CA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1-3 周：</w:t>
            </w:r>
          </w:p>
          <w:p w14:paraId="53B8DEC9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（1）确定研究方法和工具；</w:t>
            </w:r>
          </w:p>
          <w:p w14:paraId="4C780257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（2）查阅国内外相关文献，确定 ASR、LLM、TTS 的具体模型选型并撰写开题报告；</w:t>
            </w:r>
          </w:p>
          <w:p w14:paraId="77B8B68F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（3）配置开发环境，安装并熟悉相关框架和工具（搭建 GPU 服务器环境、部署 Docker 容器及 FastAPI 基础骨架）。</w:t>
            </w:r>
          </w:p>
          <w:p w14:paraId="22B307F1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4-7 周：</w:t>
            </w:r>
          </w:p>
          <w:p w14:paraId="53DE061B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（1）分别开发 ASR、LLM 与 TTS 的独立接口，并完成各模块的单元测试工作；</w:t>
            </w:r>
          </w:p>
          <w:p w14:paraId="1398BA73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（2）实现基于 WebSocket 的流式音频传输原型，完成 pgvector 向量数据库的初始化设计与对话 Demo。</w:t>
            </w:r>
          </w:p>
          <w:p w14:paraId="043DE6C9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8-11 周：</w:t>
            </w:r>
          </w:p>
          <w:p w14:paraId="15072B60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（1）开发全链路流式并发控制器，集成 Redis 多级记忆架构与基于向量检索的 RAG 知识库系统；</w:t>
            </w:r>
          </w:p>
          <w:p w14:paraId="01B9515B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（2）完成前端 Web 页面的录音与播放功能开发，实现并调试具备初步交互能力的语音机器人系统。</w:t>
            </w:r>
          </w:p>
          <w:p w14:paraId="7B03AED4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12 周之后：</w:t>
            </w:r>
          </w:p>
          <w:p w14:paraId="401B4E3A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（1）完成毕业论文；</w:t>
            </w:r>
          </w:p>
          <w:p w14:paraId="2804BFB8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（2）准备答辩；</w:t>
            </w:r>
          </w:p>
          <w:p w14:paraId="6696B599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（3）参加答辩；</w:t>
            </w:r>
          </w:p>
          <w:p w14:paraId="4C3AFAF8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（4）完善并提交毕业设计所有资料。</w:t>
            </w:r>
          </w:p>
          <w:p w14:paraId="652BA30D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  <w:p w14:paraId="669902BF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  <w:p w14:paraId="46075A27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  <w:p w14:paraId="7F2CC572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  <w:p w14:paraId="115BE324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  <w:p w14:paraId="481527AC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  <w:p w14:paraId="700997E3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  <w:p w14:paraId="659BE02F">
            <w:pPr>
              <w:spacing w:line="360" w:lineRule="auto"/>
              <w:ind w:firstLine="108" w:firstLineChars="45"/>
              <w:rPr>
                <w:rFonts w:ascii="宋体" w:hAnsi="宋体" w:cs="宋体"/>
                <w:sz w:val="24"/>
              </w:rPr>
            </w:pPr>
          </w:p>
        </w:tc>
      </w:tr>
      <w:tr w14:paraId="530E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798" w:hRule="atLeast"/>
          <w:jc w:val="center"/>
        </w:trPr>
        <w:tc>
          <w:tcPr>
            <w:tcW w:w="8784" w:type="dxa"/>
            <w:gridSpan w:val="5"/>
          </w:tcPr>
          <w:p w14:paraId="0B2D19DF">
            <w:pPr>
              <w:spacing w:line="360" w:lineRule="auto"/>
              <w:ind w:firstLine="120" w:firstLineChars="5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五、指导教师意见（不少于100字）</w:t>
            </w:r>
          </w:p>
          <w:p w14:paraId="58A89B6B">
            <w:pPr>
              <w:rPr>
                <w:rFonts w:hint="eastAsia" w:ascii="宋体" w:hAnsi="宋体" w:cs="宋体"/>
                <w:sz w:val="24"/>
              </w:rPr>
            </w:pPr>
          </w:p>
          <w:p w14:paraId="0C73BB32">
            <w:pPr>
              <w:ind w:firstLine="480" w:firstLineChars="200"/>
              <w:rPr>
                <w:rFonts w:ascii="宋体" w:hAnsi="宋体" w:eastAsia="宋体" w:cs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:szCs w:val="24"/>
              </w:rPr>
              <w:t>该生选题经师生深入探讨后确定，完全符合毕业设计（论文）的规范要求。在开题调研阶段，学生展现了良好的文献检索与综述能力，选题具有较强的现实意义和应用前景。本课题紧扣专业培养目标，不仅是所学知识的深化，更有助于锻炼学生综合运用多维技术解决复杂工程问题的独立能力。研究方案与进度安排科学可行，难度设定合理，预期可在规定时间内高质量完成。</w:t>
            </w:r>
          </w:p>
          <w:p w14:paraId="4E991BE7">
            <w:pPr>
              <w:ind w:firstLine="480" w:firstLineChars="200"/>
              <w:rPr>
                <w:rFonts w:ascii="宋体" w:hAnsi="宋体" w:cs="宋体"/>
                <w:b w:val="0"/>
                <w:bCs w:val="0"/>
                <w:color w:val="000000" w:themeColor="text1"/>
                <w:sz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</w:rPr>
              <w:t>同意开题。</w:t>
            </w:r>
          </w:p>
          <w:p w14:paraId="16096EA5">
            <w:pPr>
              <w:rPr>
                <w:rFonts w:ascii="宋体" w:hAnsi="宋体" w:cs="宋体"/>
                <w:sz w:val="24"/>
              </w:rPr>
            </w:pPr>
          </w:p>
          <w:p w14:paraId="3797AF7B">
            <w:pPr>
              <w:wordWrap w:val="0"/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指导教师签名：</w:t>
            </w:r>
            <w:r>
              <w:rPr>
                <w:u w:val="single"/>
              </w:rPr>
              <w:t xml:space="preserve">    </w:t>
            </w:r>
            <w:r>
              <w:rPr>
                <w:u w:val="single"/>
              </w:rPr>
              <w:drawing>
                <wp:inline distT="0" distB="0" distL="0" distR="0">
                  <wp:extent cx="552450" cy="247650"/>
                  <wp:effectExtent l="0" t="0" r="0" b="0"/>
                  <wp:docPr id="550998630" name="图片 550998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998630" name="图片 55099863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 xml:space="preserve">    </w:t>
            </w:r>
          </w:p>
          <w:p w14:paraId="5A69929B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    </w:t>
            </w:r>
          </w:p>
          <w:p w14:paraId="2A94CEA6">
            <w:pPr>
              <w:wordWrap w:val="0"/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 xml:space="preserve">2026 年 3 月 12 日       </w:t>
            </w:r>
          </w:p>
          <w:p w14:paraId="0816E0F2">
            <w:pPr>
              <w:wordWrap w:val="0"/>
              <w:jc w:val="right"/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63A9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  <w:jc w:val="center"/>
        </w:trPr>
        <w:tc>
          <w:tcPr>
            <w:tcW w:w="963" w:type="dxa"/>
            <w:vMerge w:val="restart"/>
          </w:tcPr>
          <w:p w14:paraId="1A1DE1CA">
            <w:pPr>
              <w:spacing w:line="360" w:lineRule="auto"/>
              <w:rPr>
                <w:sz w:val="24"/>
              </w:rPr>
            </w:pPr>
          </w:p>
          <w:p w14:paraId="3398463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六、</w:t>
            </w:r>
            <w:r>
              <w:rPr>
                <w:rFonts w:hint="eastAsia" w:ascii="宋体" w:hAnsi="宋体" w:cs="宋体"/>
                <w:sz w:val="24"/>
              </w:rPr>
              <w:t>开题审查小组意见</w:t>
            </w:r>
          </w:p>
          <w:p w14:paraId="760A1E8A">
            <w:pPr>
              <w:spacing w:line="280" w:lineRule="exact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1442" w:type="dxa"/>
            <w:vAlign w:val="center"/>
          </w:tcPr>
          <w:p w14:paraId="44F74785">
            <w:pPr>
              <w:widowControl/>
              <w:spacing w:line="3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选题难度</w:t>
            </w:r>
          </w:p>
        </w:tc>
        <w:tc>
          <w:tcPr>
            <w:tcW w:w="1985" w:type="dxa"/>
            <w:vAlign w:val="center"/>
          </w:tcPr>
          <w:p w14:paraId="4DD1332F">
            <w:pPr>
              <w:widowControl/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1984" w:type="dxa"/>
            <w:vAlign w:val="center"/>
          </w:tcPr>
          <w:p w14:paraId="5D83C0D0">
            <w:pPr>
              <w:widowControl/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综合训练程度</w:t>
            </w:r>
          </w:p>
        </w:tc>
        <w:tc>
          <w:tcPr>
            <w:tcW w:w="2410" w:type="dxa"/>
            <w:vAlign w:val="center"/>
          </w:tcPr>
          <w:p w14:paraId="7578FA02">
            <w:pPr>
              <w:widowControl/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</w:tr>
      <w:tr w14:paraId="5F79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8" w:hRule="atLeast"/>
          <w:jc w:val="center"/>
        </w:trPr>
        <w:tc>
          <w:tcPr>
            <w:tcW w:w="963" w:type="dxa"/>
            <w:vMerge w:val="continue"/>
          </w:tcPr>
          <w:p w14:paraId="6E53CBD5">
            <w:pPr>
              <w:spacing w:line="320" w:lineRule="exact"/>
              <w:rPr>
                <w:sz w:val="24"/>
              </w:rPr>
            </w:pPr>
          </w:p>
        </w:tc>
        <w:tc>
          <w:tcPr>
            <w:tcW w:w="7821" w:type="dxa"/>
            <w:gridSpan w:val="4"/>
          </w:tcPr>
          <w:p w14:paraId="4AFD21BA">
            <w:pPr>
              <w:spacing w:line="320" w:lineRule="exact"/>
              <w:jc w:val="left"/>
              <w:rPr>
                <w:sz w:val="24"/>
              </w:rPr>
            </w:pPr>
          </w:p>
          <w:p w14:paraId="2917F3CE">
            <w:pPr>
              <w:spacing w:line="320" w:lineRule="exact"/>
              <w:jc w:val="left"/>
              <w:rPr>
                <w:sz w:val="24"/>
              </w:rPr>
            </w:pPr>
          </w:p>
          <w:p w14:paraId="1CC8EDFC">
            <w:pPr>
              <w:spacing w:line="320" w:lineRule="exact"/>
              <w:ind w:firstLine="600" w:firstLineChars="2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同意开题。</w:t>
            </w:r>
          </w:p>
          <w:p w14:paraId="3293288F">
            <w:pPr>
              <w:spacing w:line="320" w:lineRule="exact"/>
              <w:jc w:val="left"/>
              <w:rPr>
                <w:sz w:val="24"/>
              </w:rPr>
            </w:pPr>
          </w:p>
          <w:p w14:paraId="0CF34C19">
            <w:pPr>
              <w:spacing w:line="320" w:lineRule="exact"/>
              <w:jc w:val="left"/>
              <w:rPr>
                <w:sz w:val="24"/>
              </w:rPr>
            </w:pPr>
          </w:p>
          <w:p w14:paraId="08C2F22E">
            <w:pPr>
              <w:spacing w:line="320" w:lineRule="exact"/>
              <w:jc w:val="left"/>
              <w:rPr>
                <w:sz w:val="24"/>
              </w:rPr>
            </w:pPr>
          </w:p>
          <w:p w14:paraId="7848625B">
            <w:pPr>
              <w:spacing w:line="320" w:lineRule="exact"/>
              <w:jc w:val="left"/>
              <w:rPr>
                <w:sz w:val="24"/>
              </w:rPr>
            </w:pPr>
          </w:p>
          <w:p w14:paraId="1DF62CF5">
            <w:pPr>
              <w:ind w:firstLine="600" w:firstLineChars="250"/>
              <w:rPr>
                <w:sz w:val="24"/>
              </w:rPr>
            </w:pPr>
            <w:r>
              <w:rPr>
                <w:rFonts w:hint="eastAsia"/>
                <w:sz w:val="24"/>
              </w:rPr>
              <w:t>组长签名：</w:t>
            </w:r>
            <w:r>
              <w:rPr>
                <w:sz w:val="24"/>
                <w:u w:val="single"/>
              </w:rPr>
              <w:drawing>
                <wp:inline distT="0" distB="0" distL="0" distR="0">
                  <wp:extent cx="580390" cy="23050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9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成员签名：</w:t>
            </w:r>
            <w:r>
              <w:rPr>
                <w:u w:val="single"/>
              </w:rPr>
              <w:drawing>
                <wp:inline distT="0" distB="0" distL="0" distR="0">
                  <wp:extent cx="431800" cy="287655"/>
                  <wp:effectExtent l="0" t="0" r="6350" b="0"/>
                  <wp:docPr id="4" name="图片 4" descr="C:\Users\Administrator\Desktop\新建文件夹 (3)\QQ图片20250327133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:\Users\Administrator\Desktop\新建文件夹 (3)\QQ图片202503271331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u w:val="single"/>
              </w:rPr>
              <w:drawing>
                <wp:inline distT="0" distB="0" distL="0" distR="0">
                  <wp:extent cx="492760" cy="254635"/>
                  <wp:effectExtent l="0" t="0" r="0" b="0"/>
                  <wp:docPr id="2" name="图片 2" descr="说明: D:\Documents\Tencent Files\22522259\Image\C2C\ZKIQ}2P]%QK`G`_NB]NXF9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说明: D:\Documents\Tencent Files\22522259\Image\C2C\ZKIQ}2P]%QK`G`_NB]NXF9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25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628015" cy="28321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710" cy="2845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t xml:space="preserve">   </w:t>
            </w:r>
          </w:p>
          <w:p w14:paraId="662ECEAF">
            <w:pPr>
              <w:spacing w:line="320" w:lineRule="exact"/>
              <w:ind w:left="5160" w:leftChars="2000" w:hanging="960" w:hangingChars="4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                                       </w:t>
            </w:r>
            <w:r>
              <w:rPr>
                <w:rFonts w:hint="eastAsia"/>
                <w:sz w:val="24"/>
              </w:rPr>
              <w:t>2026 年 3 月 12 日</w:t>
            </w:r>
          </w:p>
        </w:tc>
      </w:tr>
    </w:tbl>
    <w:p w14:paraId="45DB200D">
      <w:pPr>
        <w:spacing w:line="320" w:lineRule="exact"/>
        <w:rPr>
          <w:sz w:val="24"/>
        </w:rPr>
      </w:pPr>
      <w:r>
        <w:rPr>
          <w:rFonts w:hint="eastAsia"/>
          <w:sz w:val="24"/>
        </w:rPr>
        <w:t>注：1、题目难度分为： A、B、C、D四个等级。</w:t>
      </w:r>
    </w:p>
    <w:p w14:paraId="3AA1DA75">
      <w:pPr>
        <w:spacing w:line="320" w:lineRule="exact"/>
        <w:ind w:firstLine="480" w:firstLineChars="2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、综合训练程度分为： A、B、C三个等级，须明确综合性的内容。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B2792">
    <w:pPr>
      <w:pStyle w:val="7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C2C9D9B">
                <w:pPr>
                  <w:pStyle w:val="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319F66"/>
    <w:multiLevelType w:val="singleLevel"/>
    <w:tmpl w:val="C1319F6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DBjYzExMmY0MmM3ZThiNzY5ZTlkYmUwNDI3NjUxNzkifQ=="/>
    <w:docVar w:name="KSO_WPS_MARK_KEY" w:val="b649ec14-249e-4f7f-aa41-e5e6f8d67a33"/>
  </w:docVars>
  <w:rsids>
    <w:rsidRoot w:val="003424D4"/>
    <w:rsid w:val="0002760B"/>
    <w:rsid w:val="00077870"/>
    <w:rsid w:val="00087496"/>
    <w:rsid w:val="000C5C31"/>
    <w:rsid w:val="000F6625"/>
    <w:rsid w:val="0012286C"/>
    <w:rsid w:val="0018336E"/>
    <w:rsid w:val="001A1F95"/>
    <w:rsid w:val="001D31EA"/>
    <w:rsid w:val="001F7875"/>
    <w:rsid w:val="002016E2"/>
    <w:rsid w:val="002067E6"/>
    <w:rsid w:val="00223E8E"/>
    <w:rsid w:val="002766B9"/>
    <w:rsid w:val="00282816"/>
    <w:rsid w:val="002A5BDD"/>
    <w:rsid w:val="003246C1"/>
    <w:rsid w:val="00327961"/>
    <w:rsid w:val="00337FF8"/>
    <w:rsid w:val="003406AA"/>
    <w:rsid w:val="003424D4"/>
    <w:rsid w:val="00353DDA"/>
    <w:rsid w:val="003B53E7"/>
    <w:rsid w:val="003F20DD"/>
    <w:rsid w:val="003F4EB6"/>
    <w:rsid w:val="00424F93"/>
    <w:rsid w:val="00431219"/>
    <w:rsid w:val="004B40FE"/>
    <w:rsid w:val="005428BA"/>
    <w:rsid w:val="005A7DDB"/>
    <w:rsid w:val="005B16CC"/>
    <w:rsid w:val="00607FE1"/>
    <w:rsid w:val="006321EE"/>
    <w:rsid w:val="00677A69"/>
    <w:rsid w:val="006F2E3E"/>
    <w:rsid w:val="00724B0E"/>
    <w:rsid w:val="00740C00"/>
    <w:rsid w:val="00795B8F"/>
    <w:rsid w:val="007D7DBB"/>
    <w:rsid w:val="007F4BC1"/>
    <w:rsid w:val="00834E2B"/>
    <w:rsid w:val="008369CC"/>
    <w:rsid w:val="00845DA5"/>
    <w:rsid w:val="00860531"/>
    <w:rsid w:val="00874B20"/>
    <w:rsid w:val="008B1BE0"/>
    <w:rsid w:val="008E0F31"/>
    <w:rsid w:val="008F4377"/>
    <w:rsid w:val="00923630"/>
    <w:rsid w:val="009440B6"/>
    <w:rsid w:val="00945AD0"/>
    <w:rsid w:val="009810A4"/>
    <w:rsid w:val="009821C5"/>
    <w:rsid w:val="009855CE"/>
    <w:rsid w:val="009C6E11"/>
    <w:rsid w:val="009D13E9"/>
    <w:rsid w:val="00A104E2"/>
    <w:rsid w:val="00A22A60"/>
    <w:rsid w:val="00A353CB"/>
    <w:rsid w:val="00A81A1B"/>
    <w:rsid w:val="00A826B3"/>
    <w:rsid w:val="00A87B41"/>
    <w:rsid w:val="00A9770A"/>
    <w:rsid w:val="00AD7BD9"/>
    <w:rsid w:val="00B14151"/>
    <w:rsid w:val="00B34718"/>
    <w:rsid w:val="00B90DA8"/>
    <w:rsid w:val="00B947B9"/>
    <w:rsid w:val="00BA17A6"/>
    <w:rsid w:val="00BC39E8"/>
    <w:rsid w:val="00BF71F4"/>
    <w:rsid w:val="00C87110"/>
    <w:rsid w:val="00CA6D17"/>
    <w:rsid w:val="00CB0187"/>
    <w:rsid w:val="00CC7EC9"/>
    <w:rsid w:val="00CE1BE9"/>
    <w:rsid w:val="00D2235A"/>
    <w:rsid w:val="00D23D3E"/>
    <w:rsid w:val="00D743A0"/>
    <w:rsid w:val="00D82D5D"/>
    <w:rsid w:val="00D94B9E"/>
    <w:rsid w:val="00E11CB2"/>
    <w:rsid w:val="00E572B0"/>
    <w:rsid w:val="00E865FF"/>
    <w:rsid w:val="00E879E6"/>
    <w:rsid w:val="00E95D30"/>
    <w:rsid w:val="00EA1AB0"/>
    <w:rsid w:val="00EB491E"/>
    <w:rsid w:val="00F2482D"/>
    <w:rsid w:val="00FB4799"/>
    <w:rsid w:val="00FF3F48"/>
    <w:rsid w:val="065E4A58"/>
    <w:rsid w:val="0729104F"/>
    <w:rsid w:val="0C4F077B"/>
    <w:rsid w:val="0E2F28A5"/>
    <w:rsid w:val="11052B5A"/>
    <w:rsid w:val="14983A03"/>
    <w:rsid w:val="177F691D"/>
    <w:rsid w:val="17800EAB"/>
    <w:rsid w:val="18DC36DA"/>
    <w:rsid w:val="1C7918F4"/>
    <w:rsid w:val="1CC25AC1"/>
    <w:rsid w:val="1DA415C2"/>
    <w:rsid w:val="2386697A"/>
    <w:rsid w:val="27DA0163"/>
    <w:rsid w:val="27DC0977"/>
    <w:rsid w:val="295D3D6A"/>
    <w:rsid w:val="2DBD5188"/>
    <w:rsid w:val="31683FBF"/>
    <w:rsid w:val="34C54916"/>
    <w:rsid w:val="3C6874E1"/>
    <w:rsid w:val="3DF41639"/>
    <w:rsid w:val="42D364FF"/>
    <w:rsid w:val="4359242C"/>
    <w:rsid w:val="45265BAA"/>
    <w:rsid w:val="45F71BEE"/>
    <w:rsid w:val="4B702A09"/>
    <w:rsid w:val="4B7122DD"/>
    <w:rsid w:val="4BD50ABE"/>
    <w:rsid w:val="509C7DFC"/>
    <w:rsid w:val="50F529F8"/>
    <w:rsid w:val="5401420C"/>
    <w:rsid w:val="54815179"/>
    <w:rsid w:val="55120F30"/>
    <w:rsid w:val="58BB07D5"/>
    <w:rsid w:val="597D2EAB"/>
    <w:rsid w:val="5B5D4CE8"/>
    <w:rsid w:val="5BFD2097"/>
    <w:rsid w:val="5DA8519B"/>
    <w:rsid w:val="5EED5C64"/>
    <w:rsid w:val="604A33D1"/>
    <w:rsid w:val="622965A7"/>
    <w:rsid w:val="662F378F"/>
    <w:rsid w:val="70B669C9"/>
    <w:rsid w:val="72BF19FC"/>
    <w:rsid w:val="766779D3"/>
    <w:rsid w:val="772B75D2"/>
    <w:rsid w:val="7F9124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link w:val="16"/>
    <w:qFormat/>
    <w:uiPriority w:val="0"/>
    <w:pPr>
      <w:spacing w:line="360" w:lineRule="exact"/>
      <w:ind w:left="538" w:hanging="538" w:hangingChars="192"/>
    </w:pPr>
    <w:rPr>
      <w:sz w:val="28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宋体"/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1"/>
    <w:link w:val="8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7"/>
    <w:qFormat/>
    <w:uiPriority w:val="99"/>
    <w:rPr>
      <w:sz w:val="18"/>
      <w:szCs w:val="18"/>
    </w:rPr>
  </w:style>
  <w:style w:type="character" w:customStyle="1" w:styleId="15">
    <w:name w:val="批注框文本 Char"/>
    <w:basedOn w:val="11"/>
    <w:link w:val="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6">
    <w:name w:val="正文文本缩进 Char"/>
    <w:basedOn w:val="11"/>
    <w:link w:val="5"/>
    <w:qFormat/>
    <w:uiPriority w:val="0"/>
    <w:rPr>
      <w:rFonts w:ascii="Times New Roman" w:hAnsi="Times New Roman" w:eastAsia="宋体" w:cs="Times New Roman"/>
      <w:sz w:val="28"/>
      <w:szCs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5551</Words>
  <Characters>7656</Characters>
  <Lines>8</Lines>
  <Paragraphs>2</Paragraphs>
  <TotalTime>33</TotalTime>
  <ScaleCrop>false</ScaleCrop>
  <LinksUpToDate>false</LinksUpToDate>
  <CharactersWithSpaces>8126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2021-01-26T06:34:00Z</dcterms:created>
  <dc:creator>Admin</dc:creator>
  <cp:lastModifiedBy>馀落日沉沦</cp:lastModifiedBy>
  <dcterms:modified xsi:type="dcterms:W3CDTF">2026-03-20T10:38:04Z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39A6B4A4349B416AAB6A0D6BE33B3247_12</vt:lpwstr>
  </property>
  <property fmtid="{D5CDD505-2E9C-101B-9397-08002B2CF9AE}" pid="4" name="KSOTemplateDocerSaveRecord">
    <vt:lpwstr>eyJoZGlkIjoiZjYxN2ZhYTA4NDdkMmY4M2U1ZTMyNmMzNDYxMmM1ZDQiLCJ1c2VySWQiOiIxMDYwMjIzNTA4In0=</vt:lpwstr>
  </property>
</Properties>
</file>