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32"/>
        </w:rPr>
        <w:t>3 博物馆文创产品舆情分析</w:t>
      </w:r>
    </w:p>
    <w:p>
      <w:pPr>
        <w:pStyle w:val="Heading2"/>
      </w:pPr>
      <w:r>
        <w:rPr>
          <w:rFonts w:ascii="黑体" w:hAnsi="黑体" w:eastAsia="黑体"/>
          <w:sz w:val="28"/>
        </w:rPr>
        <w:t>3.1 数据来源与处理</w:t>
      </w:r>
    </w:p>
    <w:p>
      <w:pPr>
        <w:pStyle w:val="Heading3"/>
      </w:pPr>
      <w:r>
        <w:rPr>
          <w:rFonts w:ascii="黑体" w:hAnsi="黑体" w:eastAsia="黑体"/>
          <w:sz w:val="24"/>
        </w:rPr>
        <w:t>3.1.1 数据采集范围</w:t>
      </w:r>
    </w:p>
    <w:p>
      <w:pPr>
        <w:spacing w:line="360" w:lineRule="auto" w:before="60" w:after="60"/>
        <w:ind w:firstLine="420"/>
      </w:pPr>
      <w:r>
        <w:rPr>
          <w:rFonts w:ascii="宋体" w:hAnsi="宋体" w:eastAsia="宋体"/>
          <w:sz w:val="21"/>
        </w:rPr>
        <w:t>本研究选取微博和B站作为博物馆文创舆情数据的采集平台。微博作为中国最大的社交媒体平台，用户活跃度高、信息传播速度快，是舆情发酵的主要阵地；B站作为年轻人聚集的视频平台，拥有大量文创产品开箱、测评和讨论内容，能够反映Z世代对博物馆文创的态度与观点。小红书虽为文创产品讨论的重要平台，但因反爬机制严格，在自动化采集条件下未获得有效数据，故本研究未纳入该平台。</w:t>
      </w:r>
    </w:p>
    <w:p>
      <w:pPr>
        <w:spacing w:line="360" w:lineRule="auto" w:before="60" w:after="60"/>
        <w:ind w:firstLine="420"/>
      </w:pPr>
      <w:r>
        <w:rPr>
          <w:rFonts w:ascii="宋体" w:hAnsi="宋体" w:eastAsia="宋体"/>
          <w:sz w:val="21"/>
        </w:rPr>
        <w:t>数据采集覆盖2023年至2025年期间，以"博物馆文创"为核心主题，构建多层次关键词体系展开搜索。关键词体系包含核心关键词（5个）、博物馆个体词（74个博物馆，含全称与简称变体）、文创品类词（41个品类）、舆情风险词（43个风险相关词）及组合关键词（13,068个博物馆×品类、博物馆×情感词组合），确保搜索覆盖面广泛且聚焦文创主题。本研究采取"数据质量优先"策略，不盲目追求数据量，而是通过多维度关键词组合和严格清洗确保有效数据质量。</w:t>
      </w:r>
    </w:p>
    <w:p>
      <w:pPr>
        <w:pStyle w:val="Heading3"/>
      </w:pPr>
      <w:r>
        <w:rPr>
          <w:rFonts w:ascii="黑体" w:hAnsi="黑体" w:eastAsia="黑体"/>
          <w:sz w:val="24"/>
        </w:rPr>
        <w:t>3.1.2 数据采集渠道与工具</w:t>
      </w:r>
    </w:p>
    <w:p>
      <w:pPr>
        <w:spacing w:line="360" w:lineRule="auto" w:before="60" w:after="60"/>
        <w:ind w:firstLine="420"/>
      </w:pPr>
      <w:r>
        <w:rPr>
          <w:rFonts w:ascii="宋体" w:hAnsi="宋体" w:eastAsia="宋体"/>
          <w:sz w:val="21"/>
        </w:rPr>
        <w:t>本研究采用Python编程语言编写爬虫程序，基于各平台公开API接口进行数据采集，具体采集策略如表3-1所示。</w:t>
      </w:r>
    </w:p>
    <w:p>
      <w:pPr>
        <w:spacing w:line="360" w:lineRule="auto"/>
        <w:ind w:firstLine="420"/>
      </w:pPr>
      <w:r>
        <w:rPr>
          <w:rFonts w:ascii="宋体" w:hAnsi="宋体" w:eastAsia="宋体"/>
          <w:b/>
          <w:sz w:val="21"/>
        </w:rPr>
        <w:t>表3-1 数据采集渠道与策略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数据源</w:t>
            </w:r>
          </w:p>
        </w:tc>
        <w:tc>
          <w:tcPr>
            <w:tcW w:type="dxa" w:w="2351"/>
          </w:tcPr>
          <w:p>
            <w:pPr>
              <w:jc w:val="center"/>
            </w:pPr>
            <w:r>
              <w:rPr>
                <w:rFonts w:ascii="宋体" w:hAnsi="宋体" w:eastAsia="宋体"/>
                <w:b/>
                <w:sz w:val="18"/>
              </w:rPr>
              <w:t>采集接口</w:t>
            </w:r>
          </w:p>
        </w:tc>
        <w:tc>
          <w:tcPr>
            <w:tcW w:type="dxa" w:w="2351"/>
          </w:tcPr>
          <w:p>
            <w:pPr>
              <w:jc w:val="center"/>
            </w:pPr>
            <w:r>
              <w:rPr>
                <w:rFonts w:ascii="宋体" w:hAnsi="宋体" w:eastAsia="宋体"/>
                <w:b/>
                <w:sz w:val="18"/>
              </w:rPr>
              <w:t>采集方式</w:t>
            </w:r>
          </w:p>
        </w:tc>
        <w:tc>
          <w:tcPr>
            <w:tcW w:type="dxa" w:w="2351"/>
          </w:tcPr>
          <w:p>
            <w:pPr>
              <w:jc w:val="center"/>
            </w:pPr>
            <w:r>
              <w:rPr>
                <w:rFonts w:ascii="宋体" w:hAnsi="宋体" w:eastAsia="宋体"/>
                <w:b/>
                <w:sz w:val="18"/>
              </w:rPr>
              <w:t>采集条数</w:t>
            </w:r>
          </w:p>
        </w:tc>
      </w:tr>
      <w:tr>
        <w:tc>
          <w:tcPr>
            <w:tcW w:type="dxa" w:w="2351"/>
          </w:tcPr>
          <w:p>
            <w:pPr>
              <w:jc w:val="center"/>
            </w:pPr>
            <w:r>
              <w:rPr>
                <w:rFonts w:ascii="宋体" w:hAnsi="宋体" w:eastAsia="宋体"/>
                <w:sz w:val="18"/>
              </w:rPr>
              <w:t>微博</w:t>
            </w:r>
          </w:p>
        </w:tc>
        <w:tc>
          <w:tcPr>
            <w:tcW w:type="dxa" w:w="2351"/>
          </w:tcPr>
          <w:p>
            <w:pPr>
              <w:jc w:val="center"/>
            </w:pPr>
            <w:r>
              <w:rPr>
                <w:rFonts w:ascii="宋体" w:hAnsi="宋体" w:eastAsia="宋体"/>
                <w:sz w:val="18"/>
              </w:rPr>
              <w:t>移动端API (m.weibo.cn)</w:t>
            </w:r>
          </w:p>
        </w:tc>
        <w:tc>
          <w:tcPr>
            <w:tcW w:type="dxa" w:w="2351"/>
          </w:tcPr>
          <w:p>
            <w:pPr>
              <w:jc w:val="center"/>
            </w:pPr>
            <w:r>
              <w:rPr>
                <w:rFonts w:ascii="宋体" w:hAnsi="宋体" w:eastAsia="宋体"/>
                <w:sz w:val="18"/>
              </w:rPr>
              <w:t>多线程并行（10线程），13,042个组合关键词</w:t>
            </w:r>
          </w:p>
        </w:tc>
        <w:tc>
          <w:tcPr>
            <w:tcW w:type="dxa" w:w="2351"/>
          </w:tcPr>
          <w:p>
            <w:pPr>
              <w:jc w:val="center"/>
            </w:pPr>
            <w:r>
              <w:rPr>
                <w:rFonts w:ascii="宋体" w:hAnsi="宋体" w:eastAsia="宋体"/>
                <w:sz w:val="18"/>
              </w:rPr>
              <w:t>5,448条</w:t>
            </w:r>
          </w:p>
        </w:tc>
      </w:tr>
      <w:tr>
        <w:tc>
          <w:tcPr>
            <w:tcW w:type="dxa" w:w="2351"/>
          </w:tcPr>
          <w:p>
            <w:pPr>
              <w:jc w:val="center"/>
            </w:pPr>
            <w:r>
              <w:rPr>
                <w:rFonts w:ascii="宋体" w:hAnsi="宋体" w:eastAsia="宋体"/>
                <w:sz w:val="18"/>
              </w:rPr>
              <w:t>B站视频</w:t>
            </w:r>
          </w:p>
        </w:tc>
        <w:tc>
          <w:tcPr>
            <w:tcW w:type="dxa" w:w="2351"/>
          </w:tcPr>
          <w:p>
            <w:pPr>
              <w:jc w:val="center"/>
            </w:pPr>
            <w:r>
              <w:rPr>
                <w:rFonts w:ascii="宋体" w:hAnsi="宋体" w:eastAsia="宋体"/>
                <w:sz w:val="18"/>
              </w:rPr>
              <w:t>搜索API (api.bilibili.com)</w:t>
            </w:r>
          </w:p>
        </w:tc>
        <w:tc>
          <w:tcPr>
            <w:tcW w:type="dxa" w:w="2351"/>
          </w:tcPr>
          <w:p>
            <w:pPr>
              <w:jc w:val="center"/>
            </w:pPr>
            <w:r>
              <w:rPr>
                <w:rFonts w:ascii="宋体" w:hAnsi="宋体" w:eastAsia="宋体"/>
                <w:sz w:val="18"/>
              </w:rPr>
              <w:t>多线程并行（10线程），2,956个关键词</w:t>
            </w:r>
          </w:p>
        </w:tc>
        <w:tc>
          <w:tcPr>
            <w:tcW w:type="dxa" w:w="2351"/>
          </w:tcPr>
          <w:p>
            <w:pPr>
              <w:jc w:val="center"/>
            </w:pPr>
            <w:r>
              <w:rPr>
                <w:rFonts w:ascii="宋体" w:hAnsi="宋体" w:eastAsia="宋体"/>
                <w:sz w:val="18"/>
              </w:rPr>
              <w:t>14,722条</w:t>
            </w:r>
          </w:p>
        </w:tc>
      </w:tr>
      <w:tr>
        <w:tc>
          <w:tcPr>
            <w:tcW w:type="dxa" w:w="2351"/>
          </w:tcPr>
          <w:p>
            <w:pPr>
              <w:jc w:val="center"/>
            </w:pPr>
            <w:r>
              <w:rPr>
                <w:rFonts w:ascii="宋体" w:hAnsi="宋体" w:eastAsia="宋体"/>
                <w:sz w:val="18"/>
              </w:rPr>
              <w:t>B站弹幕</w:t>
            </w:r>
          </w:p>
        </w:tc>
        <w:tc>
          <w:tcPr>
            <w:tcW w:type="dxa" w:w="2351"/>
          </w:tcPr>
          <w:p>
            <w:pPr>
              <w:jc w:val="center"/>
            </w:pPr>
            <w:r>
              <w:rPr>
                <w:rFonts w:ascii="宋体" w:hAnsi="宋体" w:eastAsia="宋体"/>
                <w:sz w:val="18"/>
              </w:rPr>
              <w:t>Protobuf弹幕API</w:t>
            </w:r>
          </w:p>
        </w:tc>
        <w:tc>
          <w:tcPr>
            <w:tcW w:type="dxa" w:w="2351"/>
          </w:tcPr>
          <w:p>
            <w:pPr>
              <w:jc w:val="center"/>
            </w:pPr>
            <w:r>
              <w:rPr>
                <w:rFonts w:ascii="宋体" w:hAnsi="宋体" w:eastAsia="宋体"/>
                <w:sz w:val="18"/>
              </w:rPr>
              <w:t>单线程逐视频采集（702个视频）</w:t>
            </w:r>
          </w:p>
        </w:tc>
        <w:tc>
          <w:tcPr>
            <w:tcW w:type="dxa" w:w="2351"/>
          </w:tcPr>
          <w:p>
            <w:pPr>
              <w:jc w:val="center"/>
            </w:pPr>
            <w:r>
              <w:rPr>
                <w:rFonts w:ascii="宋体" w:hAnsi="宋体" w:eastAsia="宋体"/>
                <w:sz w:val="18"/>
              </w:rPr>
              <w:t>9,876条</w:t>
            </w:r>
          </w:p>
        </w:tc>
      </w:tr>
      <w:tr>
        <w:tc>
          <w:tcPr>
            <w:tcW w:type="dxa" w:w="2351"/>
          </w:tcPr>
          <w:p>
            <w:pPr>
              <w:jc w:val="center"/>
            </w:pPr>
            <w:r>
              <w:rPr>
                <w:rFonts w:ascii="宋体" w:hAnsi="宋体" w:eastAsia="宋体"/>
                <w:sz w:val="18"/>
              </w:rPr>
              <w:t>**合计**</w:t>
            </w:r>
          </w:p>
        </w:tc>
        <w:tc>
          <w:tcPr>
            <w:tcW w:type="dxa" w:w="2351"/>
          </w:tcPr>
          <w:p>
            <w:pPr>
              <w:jc w:val="center"/>
            </w:pPr>
            <w:r>
              <w:rPr>
                <w:rFonts w:ascii="宋体" w:hAnsi="宋体" w:eastAsia="宋体"/>
                <w:sz w:val="18"/>
              </w:rPr>
              <w:t>—</w:t>
            </w:r>
          </w:p>
        </w:tc>
        <w:tc>
          <w:tcPr>
            <w:tcW w:type="dxa" w:w="2351"/>
          </w:tcPr>
          <w:p>
            <w:pPr>
              <w:jc w:val="center"/>
            </w:pPr>
            <w:r>
              <w:rPr>
                <w:rFonts w:ascii="宋体" w:hAnsi="宋体" w:eastAsia="宋体"/>
                <w:sz w:val="18"/>
              </w:rPr>
              <w:t>—</w:t>
            </w:r>
          </w:p>
        </w:tc>
        <w:tc>
          <w:tcPr>
            <w:tcW w:type="dxa" w:w="2351"/>
          </w:tcPr>
          <w:p>
            <w:pPr>
              <w:jc w:val="center"/>
            </w:pPr>
            <w:r>
              <w:rPr>
                <w:rFonts w:ascii="宋体" w:hAnsi="宋体" w:eastAsia="宋体"/>
                <w:sz w:val="18"/>
              </w:rPr>
              <w:t>**27,949条**</w:t>
            </w:r>
          </w:p>
        </w:tc>
      </w:tr>
    </w:tbl>
    <w:p>
      <w:pPr>
        <w:spacing w:line="360" w:lineRule="auto" w:before="60" w:after="60"/>
        <w:ind w:firstLine="420"/>
      </w:pPr>
      <w:r>
        <w:rPr>
          <w:rFonts w:ascii="宋体" w:hAnsi="宋体" w:eastAsia="宋体"/>
          <w:sz w:val="21"/>
        </w:rPr>
        <w:t>微博平台采用移动端API接口（m.weibo.cn），通过Cookie认证实现登录态访问。由于微博API对每个关键词的搜索结果存在约10条的限制，本研究通过构建"博物馆×品类"和"博物馆×行为词"组合关键词进行扩充，以多线程并行方式（10线程）提高采集效率。</w:t>
      </w:r>
    </w:p>
    <w:p>
      <w:pPr>
        <w:spacing w:line="360" w:lineRule="auto" w:before="60" w:after="60"/>
        <w:ind w:firstLine="420"/>
      </w:pPr>
      <w:r>
        <w:rPr>
          <w:rFonts w:ascii="宋体" w:hAnsi="宋体" w:eastAsia="宋体"/>
          <w:sz w:val="21"/>
        </w:rPr>
        <w:t>B站平台采用搜索API接口，按照发布时间排序，每个关键词最多翻取5页搜索结果。同时，对采集到的702个B站视频，通过Protobuf弹幕API进一步获取弹幕数据，以补充视频评论视角的用户表达。</w:t>
      </w:r>
    </w:p>
    <w:p>
      <w:pPr>
        <w:pStyle w:val="Heading3"/>
      </w:pPr>
      <w:r>
        <w:rPr>
          <w:rFonts w:ascii="黑体" w:hAnsi="黑体" w:eastAsia="黑体"/>
          <w:sz w:val="24"/>
        </w:rPr>
        <w:t>3.1.3 数据预处理流程</w:t>
      </w:r>
    </w:p>
    <w:p>
      <w:pPr>
        <w:spacing w:line="360" w:lineRule="auto"/>
        <w:ind w:firstLine="420"/>
      </w:pPr>
      <w:r>
        <w:rPr>
          <w:rFonts w:ascii="宋体" w:hAnsi="宋体" w:eastAsia="宋体"/>
          <w:b/>
          <w:sz w:val="21"/>
        </w:rPr>
        <w:t>（1）数据清洗</w:t>
      </w:r>
    </w:p>
    <w:p>
      <w:pPr>
        <w:spacing w:line="360" w:lineRule="auto" w:before="60" w:after="60"/>
        <w:ind w:firstLine="420"/>
      </w:pPr>
      <w:r>
        <w:rPr>
          <w:rFonts w:ascii="宋体" w:hAnsi="宋体" w:eastAsia="宋体"/>
          <w:sz w:val="21"/>
        </w:rPr>
        <w:t>数据清洗采用大语言模型辅助方法，基于硅基流动（SiliconFlow）平台提供的DeepSeek-V3模型，对每条文本进行有效性判断。清洗标准为：若文本讨论博物馆文创产品的设计、质量、价格、文化内涵、购买体验、营销等议题，则标记为有效舆情（valid=true）；若文本为广告推广、与博物馆文创无关的内容、纯符号或无意义文本，则标记为无效数据（valid=false）。</w:t>
      </w:r>
    </w:p>
    <w:p>
      <w:pPr>
        <w:spacing w:line="360" w:lineRule="auto" w:before="60" w:after="60"/>
        <w:ind w:firstLine="420"/>
      </w:pPr>
      <w:r>
        <w:rPr>
          <w:rFonts w:ascii="宋体" w:hAnsi="宋体" w:eastAsia="宋体"/>
          <w:sz w:val="21"/>
        </w:rPr>
        <w:t>为验证大模型标注质量，本研究在前期实验中对45条样本进行三模型（Qwen2.5-72B、DeepSeek-V3、GLM-4-9B）投票标注和人工校验，结果显示三模型完全一致率达75.6%，投票后置信度0.92，验证了大模型标注方法的有效性。</w:t>
      </w:r>
    </w:p>
    <w:p>
      <w:pPr>
        <w:spacing w:line="360" w:lineRule="auto"/>
        <w:ind w:firstLine="420"/>
      </w:pPr>
      <w:r>
        <w:rPr>
          <w:rFonts w:ascii="宋体" w:hAnsi="宋体" w:eastAsia="宋体"/>
          <w:b/>
          <w:sz w:val="21"/>
        </w:rPr>
        <w:t>表3-2 数据清洗结果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数据源</w:t>
            </w:r>
          </w:p>
        </w:tc>
        <w:tc>
          <w:tcPr>
            <w:tcW w:type="dxa" w:w="2351"/>
          </w:tcPr>
          <w:p>
            <w:pPr>
              <w:jc w:val="center"/>
            </w:pPr>
            <w:r>
              <w:rPr>
                <w:rFonts w:ascii="宋体" w:hAnsi="宋体" w:eastAsia="宋体"/>
                <w:b/>
                <w:sz w:val="18"/>
              </w:rPr>
              <w:t>原始条数</w:t>
            </w:r>
          </w:p>
        </w:tc>
        <w:tc>
          <w:tcPr>
            <w:tcW w:type="dxa" w:w="2351"/>
          </w:tcPr>
          <w:p>
            <w:pPr>
              <w:jc w:val="center"/>
            </w:pPr>
            <w:r>
              <w:rPr>
                <w:rFonts w:ascii="宋体" w:hAnsi="宋体" w:eastAsia="宋体"/>
                <w:b/>
                <w:sz w:val="18"/>
              </w:rPr>
              <w:t>有效条数</w:t>
            </w:r>
          </w:p>
        </w:tc>
        <w:tc>
          <w:tcPr>
            <w:tcW w:type="dxa" w:w="2351"/>
          </w:tcPr>
          <w:p>
            <w:pPr>
              <w:jc w:val="center"/>
            </w:pPr>
            <w:r>
              <w:rPr>
                <w:rFonts w:ascii="宋体" w:hAnsi="宋体" w:eastAsia="宋体"/>
                <w:b/>
                <w:sz w:val="18"/>
              </w:rPr>
              <w:t>有效率</w:t>
            </w:r>
          </w:p>
        </w:tc>
      </w:tr>
      <w:tr>
        <w:tc>
          <w:tcPr>
            <w:tcW w:type="dxa" w:w="2351"/>
          </w:tcPr>
          <w:p>
            <w:pPr>
              <w:jc w:val="center"/>
            </w:pPr>
            <w:r>
              <w:rPr>
                <w:rFonts w:ascii="宋体" w:hAnsi="宋体" w:eastAsia="宋体"/>
                <w:sz w:val="18"/>
              </w:rPr>
              <w:t>微博</w:t>
            </w:r>
          </w:p>
        </w:tc>
        <w:tc>
          <w:tcPr>
            <w:tcW w:type="dxa" w:w="2351"/>
          </w:tcPr>
          <w:p>
            <w:pPr>
              <w:jc w:val="center"/>
            </w:pPr>
            <w:r>
              <w:rPr>
                <w:rFonts w:ascii="宋体" w:hAnsi="宋体" w:eastAsia="宋体"/>
                <w:sz w:val="18"/>
              </w:rPr>
              <w:t>5,448</w:t>
            </w:r>
          </w:p>
        </w:tc>
        <w:tc>
          <w:tcPr>
            <w:tcW w:type="dxa" w:w="2351"/>
          </w:tcPr>
          <w:p>
            <w:pPr>
              <w:jc w:val="center"/>
            </w:pPr>
            <w:r>
              <w:rPr>
                <w:rFonts w:ascii="宋体" w:hAnsi="宋体" w:eastAsia="宋体"/>
                <w:sz w:val="18"/>
              </w:rPr>
              <w:t>3,558</w:t>
            </w:r>
          </w:p>
        </w:tc>
        <w:tc>
          <w:tcPr>
            <w:tcW w:type="dxa" w:w="2351"/>
          </w:tcPr>
          <w:p>
            <w:pPr>
              <w:jc w:val="center"/>
            </w:pPr>
            <w:r>
              <w:rPr>
                <w:rFonts w:ascii="宋体" w:hAnsi="宋体" w:eastAsia="宋体"/>
                <w:sz w:val="18"/>
              </w:rPr>
              <w:t>72.5%</w:t>
            </w:r>
          </w:p>
        </w:tc>
      </w:tr>
      <w:tr>
        <w:tc>
          <w:tcPr>
            <w:tcW w:type="dxa" w:w="2351"/>
          </w:tcPr>
          <w:p>
            <w:pPr>
              <w:jc w:val="center"/>
            </w:pPr>
            <w:r>
              <w:rPr>
                <w:rFonts w:ascii="宋体" w:hAnsi="宋体" w:eastAsia="宋体"/>
                <w:sz w:val="18"/>
              </w:rPr>
              <w:t>B站视频</w:t>
            </w:r>
          </w:p>
        </w:tc>
        <w:tc>
          <w:tcPr>
            <w:tcW w:type="dxa" w:w="2351"/>
          </w:tcPr>
          <w:p>
            <w:pPr>
              <w:jc w:val="center"/>
            </w:pPr>
            <w:r>
              <w:rPr>
                <w:rFonts w:ascii="宋体" w:hAnsi="宋体" w:eastAsia="宋体"/>
                <w:sz w:val="18"/>
              </w:rPr>
              <w:t>14,722</w:t>
            </w:r>
          </w:p>
        </w:tc>
        <w:tc>
          <w:tcPr>
            <w:tcW w:type="dxa" w:w="2351"/>
          </w:tcPr>
          <w:p>
            <w:pPr>
              <w:jc w:val="center"/>
            </w:pPr>
            <w:r>
              <w:rPr>
                <w:rFonts w:ascii="宋体" w:hAnsi="宋体" w:eastAsia="宋体"/>
                <w:sz w:val="18"/>
              </w:rPr>
              <w:t>5,815</w:t>
            </w:r>
          </w:p>
        </w:tc>
        <w:tc>
          <w:tcPr>
            <w:tcW w:type="dxa" w:w="2351"/>
          </w:tcPr>
          <w:p>
            <w:pPr>
              <w:jc w:val="center"/>
            </w:pPr>
            <w:r>
              <w:rPr>
                <w:rFonts w:ascii="宋体" w:hAnsi="宋体" w:eastAsia="宋体"/>
                <w:sz w:val="18"/>
              </w:rPr>
              <w:t>39.5%</w:t>
            </w:r>
          </w:p>
        </w:tc>
      </w:tr>
      <w:tr>
        <w:tc>
          <w:tcPr>
            <w:tcW w:type="dxa" w:w="2351"/>
          </w:tcPr>
          <w:p>
            <w:pPr>
              <w:jc w:val="center"/>
            </w:pPr>
            <w:r>
              <w:rPr>
                <w:rFonts w:ascii="宋体" w:hAnsi="宋体" w:eastAsia="宋体"/>
                <w:sz w:val="18"/>
              </w:rPr>
              <w:t>B站弹幕</w:t>
            </w:r>
          </w:p>
        </w:tc>
        <w:tc>
          <w:tcPr>
            <w:tcW w:type="dxa" w:w="2351"/>
          </w:tcPr>
          <w:p>
            <w:pPr>
              <w:jc w:val="center"/>
            </w:pPr>
            <w:r>
              <w:rPr>
                <w:rFonts w:ascii="宋体" w:hAnsi="宋体" w:eastAsia="宋体"/>
                <w:sz w:val="18"/>
              </w:rPr>
              <w:t>9,876</w:t>
            </w:r>
          </w:p>
        </w:tc>
        <w:tc>
          <w:tcPr>
            <w:tcW w:type="dxa" w:w="2351"/>
          </w:tcPr>
          <w:p>
            <w:pPr>
              <w:jc w:val="center"/>
            </w:pPr>
            <w:r>
              <w:rPr>
                <w:rFonts w:ascii="宋体" w:hAnsi="宋体" w:eastAsia="宋体"/>
                <w:sz w:val="18"/>
              </w:rPr>
              <w:t>572</w:t>
            </w:r>
          </w:p>
        </w:tc>
        <w:tc>
          <w:tcPr>
            <w:tcW w:type="dxa" w:w="2351"/>
          </w:tcPr>
          <w:p>
            <w:pPr>
              <w:jc w:val="center"/>
            </w:pPr>
            <w:r>
              <w:rPr>
                <w:rFonts w:ascii="宋体" w:hAnsi="宋体" w:eastAsia="宋体"/>
                <w:sz w:val="18"/>
              </w:rPr>
              <w:t>5.8%</w:t>
            </w:r>
          </w:p>
        </w:tc>
      </w:tr>
      <w:tr>
        <w:tc>
          <w:tcPr>
            <w:tcW w:type="dxa" w:w="2351"/>
          </w:tcPr>
          <w:p>
            <w:pPr>
              <w:jc w:val="center"/>
            </w:pPr>
            <w:r>
              <w:rPr>
                <w:rFonts w:ascii="宋体" w:hAnsi="宋体" w:eastAsia="宋体"/>
                <w:sz w:val="18"/>
              </w:rPr>
              <w:t>**合计**</w:t>
            </w:r>
          </w:p>
        </w:tc>
        <w:tc>
          <w:tcPr>
            <w:tcW w:type="dxa" w:w="2351"/>
          </w:tcPr>
          <w:p>
            <w:pPr>
              <w:jc w:val="center"/>
            </w:pPr>
            <w:r>
              <w:rPr>
                <w:rFonts w:ascii="宋体" w:hAnsi="宋体" w:eastAsia="宋体"/>
                <w:sz w:val="18"/>
              </w:rPr>
              <w:t>**27,949**</w:t>
            </w:r>
          </w:p>
        </w:tc>
        <w:tc>
          <w:tcPr>
            <w:tcW w:type="dxa" w:w="2351"/>
          </w:tcPr>
          <w:p>
            <w:pPr>
              <w:jc w:val="center"/>
            </w:pPr>
            <w:r>
              <w:rPr>
                <w:rFonts w:ascii="宋体" w:hAnsi="宋体" w:eastAsia="宋体"/>
                <w:sz w:val="18"/>
              </w:rPr>
              <w:t>**14,156**</w:t>
            </w:r>
          </w:p>
        </w:tc>
        <w:tc>
          <w:tcPr>
            <w:tcW w:type="dxa" w:w="2351"/>
          </w:tcPr>
          <w:p>
            <w:pPr>
              <w:jc w:val="center"/>
            </w:pPr>
            <w:r>
              <w:rPr>
                <w:rFonts w:ascii="宋体" w:hAnsi="宋体" w:eastAsia="宋体"/>
                <w:sz w:val="18"/>
              </w:rPr>
              <w:t>**50.6%**</w:t>
            </w:r>
          </w:p>
        </w:tc>
      </w:tr>
    </w:tbl>
    <w:p>
      <w:pPr>
        <w:spacing w:line="360" w:lineRule="auto" w:before="60" w:after="60"/>
        <w:ind w:firstLine="420"/>
      </w:pPr>
      <w:r>
        <w:rPr>
          <w:rFonts w:ascii="宋体" w:hAnsi="宋体" w:eastAsia="宋体"/>
          <w:sz w:val="21"/>
        </w:rPr>
        <w:t>微博数据有效率最高（72.5%），因其搜索关键词精确度更高。B站弹幕有效率最低（5.8%），原因在于大量弹幕讨论视频内容本身（如游戏、动漫等）而非文创产品，存在较多噪音数据。最终获得有效舆情数据14,156条。</w:t>
      </w:r>
    </w:p>
    <w:p>
      <w:pPr>
        <w:spacing w:line="360" w:lineRule="auto"/>
        <w:ind w:firstLine="420"/>
      </w:pPr>
      <w:r>
        <w:rPr>
          <w:rFonts w:ascii="宋体" w:hAnsi="宋体" w:eastAsia="宋体"/>
          <w:b/>
          <w:sz w:val="21"/>
        </w:rPr>
        <w:t>（2）中文分词与停用词处理</w:t>
      </w:r>
    </w:p>
    <w:p>
      <w:pPr>
        <w:spacing w:line="360" w:lineRule="auto" w:before="60" w:after="60"/>
        <w:ind w:firstLine="420"/>
      </w:pPr>
      <w:r>
        <w:rPr>
          <w:rFonts w:ascii="宋体" w:hAnsi="宋体" w:eastAsia="宋体"/>
          <w:sz w:val="21"/>
        </w:rPr>
        <w:t>分词工具采用结巴中文分词工具（jieba），并在此基础上人工构建博物馆文创领域扩展词典，收录"凤冠冰箱贴""蝠桃瓶""文创雪糕""博物馆文创""饥饿营销"等30余个文博专有词汇，以确保分词精度。停用词处理方面，融合通用停用词表与文博噪音停用词（如"全文""博文""微博""quot"等平台噪音词），共过滤停用词100余个。</w:t>
      </w:r>
    </w:p>
    <w:p>
      <w:pPr>
        <w:pStyle w:val="Heading2"/>
      </w:pPr>
      <w:r>
        <w:rPr>
          <w:rFonts w:ascii="黑体" w:hAnsi="黑体" w:eastAsia="黑体"/>
          <w:sz w:val="28"/>
        </w:rPr>
        <w:t>3.2 舆情主题聚类分析</w:t>
      </w:r>
    </w:p>
    <w:p>
      <w:pPr>
        <w:pStyle w:val="Heading3"/>
      </w:pPr>
      <w:r>
        <w:rPr>
          <w:rFonts w:ascii="黑体" w:hAnsi="黑体" w:eastAsia="黑体"/>
          <w:sz w:val="24"/>
        </w:rPr>
        <w:t>3.2.1 分析方法与流程</w:t>
      </w:r>
    </w:p>
    <w:p>
      <w:pPr>
        <w:spacing w:line="360" w:lineRule="auto" w:before="60" w:after="60"/>
        <w:ind w:firstLine="420"/>
      </w:pPr>
      <w:r>
        <w:rPr>
          <w:rFonts w:ascii="宋体" w:hAnsi="宋体" w:eastAsia="宋体"/>
          <w:sz w:val="21"/>
        </w:rPr>
        <w:t>本研究采用LDA（Latent Dirichlet Allocation，潜在狄利克雷分配）主题模型对博物馆文创舆情文本进行主题聚类分析。LDA模型由Blei等人于2003年提出，是一种无监督的概率主题模型，能够从大规模文本语料中自动发现潜在主题结构，在图书情报领域的主题挖掘中应用广泛。</w:t>
      </w:r>
    </w:p>
    <w:p>
      <w:pPr>
        <w:spacing w:line="360" w:lineRule="auto" w:before="60" w:after="60"/>
        <w:ind w:firstLine="420"/>
      </w:pPr>
      <w:r>
        <w:rPr>
          <w:rFonts w:ascii="宋体" w:hAnsi="宋体" w:eastAsia="宋体"/>
          <w:sz w:val="21"/>
        </w:rPr>
        <w:t>LDA模型的核心参数为主题数量K。本研究采用主题一致性分数（Coherence Score, C_v）作为K值优化的评估指标，计算K∈{5, 8, 10, 12, 15}各取值下的Coherence分数，结果如表3-3所示。</w:t>
      </w:r>
    </w:p>
    <w:p>
      <w:pPr>
        <w:spacing w:line="360" w:lineRule="auto"/>
        <w:ind w:firstLine="420"/>
      </w:pPr>
      <w:r>
        <w:rPr>
          <w:rFonts w:ascii="宋体" w:hAnsi="宋体" w:eastAsia="宋体"/>
          <w:b/>
          <w:sz w:val="21"/>
        </w:rPr>
        <w:t>表3-3 LDA主题数K值优化结果</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Pr>
                <w:rFonts w:ascii="宋体" w:hAnsi="宋体" w:eastAsia="宋体"/>
                <w:b/>
                <w:sz w:val="18"/>
              </w:rPr>
              <w:t>K值</w:t>
            </w:r>
          </w:p>
        </w:tc>
        <w:tc>
          <w:tcPr>
            <w:tcW w:type="dxa" w:w="4703"/>
          </w:tcPr>
          <w:p>
            <w:pPr>
              <w:jc w:val="center"/>
            </w:pPr>
            <w:r>
              <w:rPr>
                <w:rFonts w:ascii="宋体" w:hAnsi="宋体" w:eastAsia="宋体"/>
                <w:b/>
                <w:sz w:val="18"/>
              </w:rPr>
              <w:t>一致性分数 (C_v)</w:t>
            </w:r>
          </w:p>
        </w:tc>
      </w:tr>
      <w:tr>
        <w:tc>
          <w:tcPr>
            <w:tcW w:type="dxa" w:w="4703"/>
          </w:tcPr>
          <w:p>
            <w:pPr>
              <w:jc w:val="center"/>
            </w:pPr>
            <w:r>
              <w:rPr>
                <w:rFonts w:ascii="宋体" w:hAnsi="宋体" w:eastAsia="宋体"/>
                <w:sz w:val="18"/>
              </w:rPr>
              <w:t>K=5</w:t>
            </w:r>
          </w:p>
        </w:tc>
        <w:tc>
          <w:tcPr>
            <w:tcW w:type="dxa" w:w="4703"/>
          </w:tcPr>
          <w:p>
            <w:pPr>
              <w:jc w:val="center"/>
            </w:pPr>
            <w:r>
              <w:rPr>
                <w:rFonts w:ascii="宋体" w:hAnsi="宋体" w:eastAsia="宋体"/>
                <w:sz w:val="18"/>
              </w:rPr>
              <w:t>0.3519</w:t>
            </w:r>
          </w:p>
        </w:tc>
      </w:tr>
      <w:tr>
        <w:tc>
          <w:tcPr>
            <w:tcW w:type="dxa" w:w="4703"/>
          </w:tcPr>
          <w:p>
            <w:pPr>
              <w:jc w:val="center"/>
            </w:pPr>
            <w:r>
              <w:rPr>
                <w:rFonts w:ascii="宋体" w:hAnsi="宋体" w:eastAsia="宋体"/>
                <w:sz w:val="18"/>
              </w:rPr>
              <w:t>K=8</w:t>
            </w:r>
          </w:p>
        </w:tc>
        <w:tc>
          <w:tcPr>
            <w:tcW w:type="dxa" w:w="4703"/>
          </w:tcPr>
          <w:p>
            <w:pPr>
              <w:jc w:val="center"/>
            </w:pPr>
            <w:r>
              <w:rPr>
                <w:rFonts w:ascii="宋体" w:hAnsi="宋体" w:eastAsia="宋体"/>
                <w:sz w:val="18"/>
              </w:rPr>
              <w:t>0.3637</w:t>
            </w:r>
          </w:p>
        </w:tc>
      </w:tr>
      <w:tr>
        <w:tc>
          <w:tcPr>
            <w:tcW w:type="dxa" w:w="4703"/>
          </w:tcPr>
          <w:p>
            <w:pPr>
              <w:jc w:val="center"/>
            </w:pPr>
            <w:r>
              <w:rPr>
                <w:rFonts w:ascii="宋体" w:hAnsi="宋体" w:eastAsia="宋体"/>
                <w:sz w:val="18"/>
              </w:rPr>
              <w:t>K=10</w:t>
            </w:r>
          </w:p>
        </w:tc>
        <w:tc>
          <w:tcPr>
            <w:tcW w:type="dxa" w:w="4703"/>
          </w:tcPr>
          <w:p>
            <w:pPr>
              <w:jc w:val="center"/>
            </w:pPr>
            <w:r>
              <w:rPr>
                <w:rFonts w:ascii="宋体" w:hAnsi="宋体" w:eastAsia="宋体"/>
                <w:sz w:val="18"/>
              </w:rPr>
              <w:t>0.3686</w:t>
            </w:r>
          </w:p>
        </w:tc>
      </w:tr>
      <w:tr>
        <w:tc>
          <w:tcPr>
            <w:tcW w:type="dxa" w:w="4703"/>
          </w:tcPr>
          <w:p>
            <w:pPr>
              <w:jc w:val="center"/>
            </w:pPr>
            <w:r>
              <w:rPr>
                <w:rFonts w:ascii="宋体" w:hAnsi="宋体" w:eastAsia="宋体"/>
                <w:sz w:val="18"/>
              </w:rPr>
              <w:t>K=12</w:t>
            </w:r>
          </w:p>
        </w:tc>
        <w:tc>
          <w:tcPr>
            <w:tcW w:type="dxa" w:w="4703"/>
          </w:tcPr>
          <w:p>
            <w:pPr>
              <w:jc w:val="center"/>
            </w:pPr>
            <w:r>
              <w:rPr>
                <w:rFonts w:ascii="宋体" w:hAnsi="宋体" w:eastAsia="宋体"/>
                <w:sz w:val="18"/>
              </w:rPr>
              <w:t>0.3899</w:t>
            </w:r>
          </w:p>
        </w:tc>
      </w:tr>
      <w:tr>
        <w:tc>
          <w:tcPr>
            <w:tcW w:type="dxa" w:w="4703"/>
          </w:tcPr>
          <w:p>
            <w:pPr>
              <w:jc w:val="center"/>
            </w:pPr>
            <w:r>
              <w:rPr>
                <w:rFonts w:ascii="宋体" w:hAnsi="宋体" w:eastAsia="宋体"/>
                <w:sz w:val="18"/>
              </w:rPr>
              <w:t>K=15</w:t>
            </w:r>
          </w:p>
        </w:tc>
        <w:tc>
          <w:tcPr>
            <w:tcW w:type="dxa" w:w="4703"/>
          </w:tcPr>
          <w:p>
            <w:pPr>
              <w:jc w:val="center"/>
            </w:pPr>
            <w:r>
              <w:rPr>
                <w:rFonts w:ascii="宋体" w:hAnsi="宋体" w:eastAsia="宋体"/>
                <w:sz w:val="18"/>
              </w:rPr>
              <w:t>0.3774</w:t>
            </w:r>
          </w:p>
        </w:tc>
      </w:tr>
    </w:tbl>
    <w:p>
      <w:pPr>
        <w:spacing w:line="360" w:lineRule="auto" w:before="60" w:after="60"/>
        <w:ind w:firstLine="420"/>
      </w:pPr>
      <w:r>
        <w:rPr>
          <w:rFonts w:ascii="宋体" w:hAnsi="宋体" w:eastAsia="宋体"/>
          <w:sz w:val="21"/>
        </w:rPr>
        <w:t>由表3-3可知，K=12时Coherence分数最高（0.3899）。然而，本研究最终选取K=5作为主题聚类数量，主要基于以下考量：第一，K=5时各主题的语义边界更为清晰，每个主题均可明确命名并映射至后续四维风险编码体系，具有较强的可解释性；第二，K=12时虽然数值更高，但部分主题存在语义交叉（如多个主题均涉及"冰箱贴"），不利于风险识别的结构化分析。</w:t>
      </w:r>
    </w:p>
    <w:p>
      <w:pPr>
        <w:spacing w:line="360" w:lineRule="auto" w:before="60" w:after="60"/>
        <w:ind w:firstLine="420"/>
      </w:pPr>
      <w:r>
        <w:rPr>
          <w:rFonts w:ascii="宋体" w:hAnsi="宋体" w:eastAsia="宋体"/>
          <w:sz w:val="21"/>
        </w:rPr>
        <w:t>需要说明的是，本研究Coherence分数整体偏低（0.35-0.39），低于一般文本语料的典型水平（0.5+），原因在于：一方面，博物馆文创舆情文本以短文本为主（平均长度约60字），词汇分布较为分散；另一方面，文博领域专有词汇在不同主题间的共现模式较为复杂，导致主题间的词汇区分度相对较低。</w:t>
      </w:r>
    </w:p>
    <w:p>
      <w:pPr>
        <w:pStyle w:val="Heading3"/>
      </w:pPr>
      <w:r>
        <w:rPr>
          <w:rFonts w:ascii="黑体" w:hAnsi="黑体" w:eastAsia="黑体"/>
          <w:sz w:val="24"/>
        </w:rPr>
        <w:t>3.2.2 核心主题提炼与分布</w:t>
      </w:r>
    </w:p>
    <w:p>
      <w:pPr>
        <w:spacing w:line="360" w:lineRule="auto" w:before="60" w:after="60"/>
        <w:ind w:firstLine="420"/>
      </w:pPr>
      <w:r>
        <w:rPr>
          <w:rFonts w:ascii="宋体" w:hAnsi="宋体" w:eastAsia="宋体"/>
          <w:sz w:val="21"/>
        </w:rPr>
        <w:t>经过LDA模型迭代训练（passes=20，random_state=42），最终提炼出博物馆文创网络舆情的5大核心主题。主题命名过程采用"高频特征词语义归纳法"，即由研究者基于每个主题的前15位高频特征词，结合人工阅读典型文本，对主题的语义内涵进行归纳命名。</w:t>
      </w:r>
    </w:p>
    <w:p>
      <w:pPr>
        <w:spacing w:line="360" w:lineRule="auto"/>
        <w:ind w:firstLine="420"/>
      </w:pPr>
      <w:r>
        <w:rPr>
          <w:rFonts w:ascii="宋体" w:hAnsi="宋体" w:eastAsia="宋体"/>
          <w:b/>
          <w:sz w:val="21"/>
        </w:rPr>
        <w:t>表3-4 LDA核心主题及特征词分布</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宋体" w:hAnsi="宋体" w:eastAsia="宋体"/>
                <w:b/>
                <w:sz w:val="18"/>
              </w:rPr>
              <w:t>主题编号</w:t>
            </w:r>
          </w:p>
        </w:tc>
        <w:tc>
          <w:tcPr>
            <w:tcW w:type="dxa" w:w="1881"/>
          </w:tcPr>
          <w:p>
            <w:pPr>
              <w:jc w:val="center"/>
            </w:pPr>
            <w:r>
              <w:rPr>
                <w:rFonts w:ascii="宋体" w:hAnsi="宋体" w:eastAsia="宋体"/>
                <w:b/>
                <w:sz w:val="18"/>
              </w:rPr>
              <w:t>主题命名</w:t>
            </w:r>
          </w:p>
        </w:tc>
        <w:tc>
          <w:tcPr>
            <w:tcW w:type="dxa" w:w="1881"/>
          </w:tcPr>
          <w:p>
            <w:pPr>
              <w:jc w:val="center"/>
            </w:pPr>
            <w:r>
              <w:rPr>
                <w:rFonts w:ascii="宋体" w:hAnsi="宋体" w:eastAsia="宋体"/>
                <w:b/>
                <w:sz w:val="18"/>
              </w:rPr>
              <w:t>占比</w:t>
            </w:r>
          </w:p>
        </w:tc>
        <w:tc>
          <w:tcPr>
            <w:tcW w:type="dxa" w:w="1881"/>
          </w:tcPr>
          <w:p>
            <w:pPr>
              <w:jc w:val="center"/>
            </w:pPr>
            <w:r>
              <w:rPr>
                <w:rFonts w:ascii="宋体" w:hAnsi="宋体" w:eastAsia="宋体"/>
                <w:b/>
                <w:sz w:val="18"/>
              </w:rPr>
              <w:t>文档数</w:t>
            </w:r>
          </w:p>
        </w:tc>
        <w:tc>
          <w:tcPr>
            <w:tcW w:type="dxa" w:w="1881"/>
          </w:tcPr>
          <w:p>
            <w:pPr>
              <w:jc w:val="center"/>
            </w:pPr>
            <w:r>
              <w:rPr>
                <w:rFonts w:ascii="宋体" w:hAnsi="宋体" w:eastAsia="宋体"/>
                <w:b/>
                <w:sz w:val="18"/>
              </w:rPr>
              <w:t>核心特征词（Top 10）</w:t>
            </w:r>
          </w:p>
        </w:tc>
      </w:tr>
      <w:tr>
        <w:tc>
          <w:tcPr>
            <w:tcW w:type="dxa" w:w="1881"/>
          </w:tcPr>
          <w:p>
            <w:pPr>
              <w:jc w:val="center"/>
            </w:pPr>
            <w:r>
              <w:rPr>
                <w:rFonts w:ascii="宋体" w:hAnsi="宋体" w:eastAsia="宋体"/>
                <w:sz w:val="18"/>
              </w:rPr>
              <w:t>主题0</w:t>
            </w:r>
          </w:p>
        </w:tc>
        <w:tc>
          <w:tcPr>
            <w:tcW w:type="dxa" w:w="1881"/>
          </w:tcPr>
          <w:p>
            <w:pPr>
              <w:jc w:val="center"/>
            </w:pPr>
            <w:r>
              <w:rPr>
                <w:rFonts w:ascii="宋体" w:hAnsi="宋体" w:eastAsia="宋体"/>
                <w:sz w:val="18"/>
              </w:rPr>
              <w:t>文化传播与文创推荐</w:t>
            </w:r>
          </w:p>
        </w:tc>
        <w:tc>
          <w:tcPr>
            <w:tcW w:type="dxa" w:w="1881"/>
          </w:tcPr>
          <w:p>
            <w:pPr>
              <w:jc w:val="center"/>
            </w:pPr>
            <w:r>
              <w:rPr>
                <w:rFonts w:ascii="宋体" w:hAnsi="宋体" w:eastAsia="宋体"/>
                <w:sz w:val="18"/>
              </w:rPr>
              <w:t>59.4%</w:t>
            </w:r>
          </w:p>
        </w:tc>
        <w:tc>
          <w:tcPr>
            <w:tcW w:type="dxa" w:w="1881"/>
          </w:tcPr>
          <w:p>
            <w:pPr>
              <w:jc w:val="center"/>
            </w:pPr>
            <w:r>
              <w:rPr>
                <w:rFonts w:ascii="宋体" w:hAnsi="宋体" w:eastAsia="宋体"/>
                <w:sz w:val="18"/>
              </w:rPr>
              <w:t>8,373</w:t>
            </w:r>
          </w:p>
        </w:tc>
        <w:tc>
          <w:tcPr>
            <w:tcW w:type="dxa" w:w="1881"/>
          </w:tcPr>
          <w:p>
            <w:pPr>
              <w:jc w:val="center"/>
            </w:pPr>
            <w:r>
              <w:rPr>
                <w:rFonts w:ascii="宋体" w:hAnsi="宋体" w:eastAsia="宋体"/>
                <w:sz w:val="18"/>
              </w:rPr>
              <w:t>博物馆、中国、文化、文创、文物、大家、故宫、分享、推荐、历史</w:t>
            </w:r>
          </w:p>
        </w:tc>
      </w:tr>
      <w:tr>
        <w:tc>
          <w:tcPr>
            <w:tcW w:type="dxa" w:w="1881"/>
          </w:tcPr>
          <w:p>
            <w:pPr>
              <w:jc w:val="center"/>
            </w:pPr>
            <w:r>
              <w:rPr>
                <w:rFonts w:ascii="宋体" w:hAnsi="宋体" w:eastAsia="宋体"/>
                <w:sz w:val="18"/>
              </w:rPr>
              <w:t>主题1</w:t>
            </w:r>
          </w:p>
        </w:tc>
        <w:tc>
          <w:tcPr>
            <w:tcW w:type="dxa" w:w="1881"/>
          </w:tcPr>
          <w:p>
            <w:pPr>
              <w:jc w:val="center"/>
            </w:pPr>
            <w:r>
              <w:rPr>
                <w:rFonts w:ascii="宋体" w:hAnsi="宋体" w:eastAsia="宋体"/>
                <w:sz w:val="18"/>
              </w:rPr>
              <w:t>考古盲盒与文物开箱</w:t>
            </w:r>
          </w:p>
        </w:tc>
        <w:tc>
          <w:tcPr>
            <w:tcW w:type="dxa" w:w="1881"/>
          </w:tcPr>
          <w:p>
            <w:pPr>
              <w:jc w:val="center"/>
            </w:pPr>
            <w:r>
              <w:rPr>
                <w:rFonts w:ascii="宋体" w:hAnsi="宋体" w:eastAsia="宋体"/>
                <w:sz w:val="18"/>
              </w:rPr>
              <w:t>8.5%</w:t>
            </w:r>
          </w:p>
        </w:tc>
        <w:tc>
          <w:tcPr>
            <w:tcW w:type="dxa" w:w="1881"/>
          </w:tcPr>
          <w:p>
            <w:pPr>
              <w:jc w:val="center"/>
            </w:pPr>
            <w:r>
              <w:rPr>
                <w:rFonts w:ascii="宋体" w:hAnsi="宋体" w:eastAsia="宋体"/>
                <w:sz w:val="18"/>
              </w:rPr>
              <w:t>1,199</w:t>
            </w:r>
          </w:p>
        </w:tc>
        <w:tc>
          <w:tcPr>
            <w:tcW w:type="dxa" w:w="1881"/>
          </w:tcPr>
          <w:p>
            <w:pPr>
              <w:jc w:val="center"/>
            </w:pPr>
            <w:r>
              <w:rPr>
                <w:rFonts w:ascii="宋体" w:hAnsi="宋体" w:eastAsia="宋体"/>
                <w:sz w:val="18"/>
              </w:rPr>
              <w:t>三星堆、开箱、考古、盲盒、文物、青铜、文明、震惊、遗址、那一刻</w:t>
            </w:r>
          </w:p>
        </w:tc>
      </w:tr>
      <w:tr>
        <w:tc>
          <w:tcPr>
            <w:tcW w:type="dxa" w:w="1881"/>
          </w:tcPr>
          <w:p>
            <w:pPr>
              <w:jc w:val="center"/>
            </w:pPr>
            <w:r>
              <w:rPr>
                <w:rFonts w:ascii="宋体" w:hAnsi="宋体" w:eastAsia="宋体"/>
                <w:sz w:val="18"/>
              </w:rPr>
              <w:t>主题2</w:t>
            </w:r>
          </w:p>
        </w:tc>
        <w:tc>
          <w:tcPr>
            <w:tcW w:type="dxa" w:w="1881"/>
          </w:tcPr>
          <w:p>
            <w:pPr>
              <w:jc w:val="center"/>
            </w:pPr>
            <w:r>
              <w:rPr>
                <w:rFonts w:ascii="宋体" w:hAnsi="宋体" w:eastAsia="宋体"/>
                <w:sz w:val="18"/>
              </w:rPr>
              <w:t>联名文创与游戏跨界</w:t>
            </w:r>
          </w:p>
        </w:tc>
        <w:tc>
          <w:tcPr>
            <w:tcW w:type="dxa" w:w="1881"/>
          </w:tcPr>
          <w:p>
            <w:pPr>
              <w:jc w:val="center"/>
            </w:pPr>
            <w:r>
              <w:rPr>
                <w:rFonts w:ascii="宋体" w:hAnsi="宋体" w:eastAsia="宋体"/>
                <w:sz w:val="18"/>
              </w:rPr>
              <w:t>5.1%</w:t>
            </w:r>
          </w:p>
        </w:tc>
        <w:tc>
          <w:tcPr>
            <w:tcW w:type="dxa" w:w="1881"/>
          </w:tcPr>
          <w:p>
            <w:pPr>
              <w:jc w:val="center"/>
            </w:pPr>
            <w:r>
              <w:rPr>
                <w:rFonts w:ascii="宋体" w:hAnsi="宋体" w:eastAsia="宋体"/>
                <w:sz w:val="18"/>
              </w:rPr>
              <w:t>725</w:t>
            </w:r>
          </w:p>
        </w:tc>
        <w:tc>
          <w:tcPr>
            <w:tcW w:type="dxa" w:w="1881"/>
          </w:tcPr>
          <w:p>
            <w:pPr>
              <w:jc w:val="center"/>
            </w:pPr>
            <w:r>
              <w:rPr>
                <w:rFonts w:ascii="宋体" w:hAnsi="宋体" w:eastAsia="宋体"/>
                <w:sz w:val="18"/>
              </w:rPr>
              <w:t>开箱、文创、礼盒、皮肤、联动、西安、原神、王者、钟离、雪糕</w:t>
            </w:r>
          </w:p>
        </w:tc>
      </w:tr>
      <w:tr>
        <w:tc>
          <w:tcPr>
            <w:tcW w:type="dxa" w:w="1881"/>
          </w:tcPr>
          <w:p>
            <w:pPr>
              <w:jc w:val="center"/>
            </w:pPr>
            <w:r>
              <w:rPr>
                <w:rFonts w:ascii="宋体" w:hAnsi="宋体" w:eastAsia="宋体"/>
                <w:sz w:val="18"/>
              </w:rPr>
              <w:t>主题3</w:t>
            </w:r>
          </w:p>
        </w:tc>
        <w:tc>
          <w:tcPr>
            <w:tcW w:type="dxa" w:w="1881"/>
          </w:tcPr>
          <w:p>
            <w:pPr>
              <w:jc w:val="center"/>
            </w:pPr>
            <w:r>
              <w:rPr>
                <w:rFonts w:ascii="宋体" w:hAnsi="宋体" w:eastAsia="宋体"/>
                <w:sz w:val="18"/>
              </w:rPr>
              <w:t>敦煌文化与联名产品</w:t>
            </w:r>
          </w:p>
        </w:tc>
        <w:tc>
          <w:tcPr>
            <w:tcW w:type="dxa" w:w="1881"/>
          </w:tcPr>
          <w:p>
            <w:pPr>
              <w:jc w:val="center"/>
            </w:pPr>
            <w:r>
              <w:rPr>
                <w:rFonts w:ascii="宋体" w:hAnsi="宋体" w:eastAsia="宋体"/>
                <w:sz w:val="18"/>
              </w:rPr>
              <w:t>10.6%</w:t>
            </w:r>
          </w:p>
        </w:tc>
        <w:tc>
          <w:tcPr>
            <w:tcW w:type="dxa" w:w="1881"/>
          </w:tcPr>
          <w:p>
            <w:pPr>
              <w:jc w:val="center"/>
            </w:pPr>
            <w:r>
              <w:rPr>
                <w:rFonts w:ascii="宋体" w:hAnsi="宋体" w:eastAsia="宋体"/>
                <w:sz w:val="18"/>
              </w:rPr>
              <w:t>1,489</w:t>
            </w:r>
          </w:p>
        </w:tc>
        <w:tc>
          <w:tcPr>
            <w:tcW w:type="dxa" w:w="1881"/>
          </w:tcPr>
          <w:p>
            <w:pPr>
              <w:jc w:val="center"/>
            </w:pPr>
            <w:r>
              <w:rPr>
                <w:rFonts w:ascii="宋体" w:hAnsi="宋体" w:eastAsia="宋体"/>
                <w:sz w:val="18"/>
              </w:rPr>
              <w:t>文创、敦煌、文化、北京、千年、联名、博物馆、壁画、咖啡、上海</w:t>
            </w:r>
          </w:p>
        </w:tc>
      </w:tr>
      <w:tr>
        <w:tc>
          <w:tcPr>
            <w:tcW w:type="dxa" w:w="1881"/>
          </w:tcPr>
          <w:p>
            <w:pPr>
              <w:jc w:val="center"/>
            </w:pPr>
            <w:r>
              <w:rPr>
                <w:rFonts w:ascii="宋体" w:hAnsi="宋体" w:eastAsia="宋体"/>
                <w:sz w:val="18"/>
              </w:rPr>
              <w:t>主题4</w:t>
            </w:r>
          </w:p>
        </w:tc>
        <w:tc>
          <w:tcPr>
            <w:tcW w:type="dxa" w:w="1881"/>
          </w:tcPr>
          <w:p>
            <w:pPr>
              <w:jc w:val="center"/>
            </w:pPr>
            <w:r>
              <w:rPr>
                <w:rFonts w:ascii="宋体" w:hAnsi="宋体" w:eastAsia="宋体"/>
                <w:sz w:val="18"/>
              </w:rPr>
              <w:t>冰箱贴与文创设计</w:t>
            </w:r>
          </w:p>
        </w:tc>
        <w:tc>
          <w:tcPr>
            <w:tcW w:type="dxa" w:w="1881"/>
          </w:tcPr>
          <w:p>
            <w:pPr>
              <w:jc w:val="center"/>
            </w:pPr>
            <w:r>
              <w:rPr>
                <w:rFonts w:ascii="宋体" w:hAnsi="宋体" w:eastAsia="宋体"/>
                <w:sz w:val="18"/>
              </w:rPr>
              <w:t>16.4%</w:t>
            </w:r>
          </w:p>
        </w:tc>
        <w:tc>
          <w:tcPr>
            <w:tcW w:type="dxa" w:w="1881"/>
          </w:tcPr>
          <w:p>
            <w:pPr>
              <w:jc w:val="center"/>
            </w:pPr>
            <w:r>
              <w:rPr>
                <w:rFonts w:ascii="宋体" w:hAnsi="宋体" w:eastAsia="宋体"/>
                <w:sz w:val="18"/>
              </w:rPr>
              <w:t>2,309</w:t>
            </w:r>
          </w:p>
        </w:tc>
        <w:tc>
          <w:tcPr>
            <w:tcW w:type="dxa" w:w="1881"/>
          </w:tcPr>
          <w:p>
            <w:pPr>
              <w:jc w:val="center"/>
            </w:pPr>
            <w:r>
              <w:rPr>
                <w:rFonts w:ascii="宋体" w:hAnsi="宋体" w:eastAsia="宋体"/>
                <w:sz w:val="18"/>
              </w:rPr>
              <w:t>冰箱贴、故宫、甲骨文、河南、博物院、文创、安阳、殷墟、文物、设计</w:t>
            </w:r>
          </w:p>
        </w:tc>
      </w:tr>
    </w:tbl>
    <w:p>
      <w:pPr>
        <w:jc w:val="center"/>
      </w:pPr>
      <w:r>
        <w:drawing>
          <wp:inline xmlns:a="http://schemas.openxmlformats.org/drawingml/2006/main" xmlns:pic="http://schemas.openxmlformats.org/drawingml/2006/picture">
            <wp:extent cx="5029200" cy="3205903"/>
            <wp:docPr id="1" name="Picture 1"/>
            <wp:cNvGraphicFramePr>
              <a:graphicFrameLocks noChangeAspect="1"/>
            </wp:cNvGraphicFramePr>
            <a:graphic>
              <a:graphicData uri="http://schemas.openxmlformats.org/drawingml/2006/picture">
                <pic:pic>
                  <pic:nvPicPr>
                    <pic:cNvPr id="0" name="图1_主题分布.png"/>
                    <pic:cNvPicPr/>
                  </pic:nvPicPr>
                  <pic:blipFill>
                    <a:blip r:embed="rId9"/>
                    <a:stretch>
                      <a:fillRect/>
                    </a:stretch>
                  </pic:blipFill>
                  <pic:spPr>
                    <a:xfrm>
                      <a:off x="0" y="0"/>
                      <a:ext cx="5029200" cy="3205903"/>
                    </a:xfrm>
                    <a:prstGeom prst="rect"/>
                  </pic:spPr>
                </pic:pic>
              </a:graphicData>
            </a:graphic>
          </wp:inline>
        </w:drawing>
      </w:r>
    </w:p>
    <w:p>
      <w:pPr>
        <w:spacing w:line="360" w:lineRule="auto" w:before="60" w:after="60"/>
        <w:ind w:firstLine="420"/>
      </w:pPr>
      <w:r>
        <w:rPr>
          <w:rFonts w:ascii="宋体" w:hAnsi="宋体" w:eastAsia="宋体"/>
          <w:sz w:val="21"/>
        </w:rPr>
        <w:t>从主题分布来看，主题0（文化传播与文创推荐）占比最大，达59.4%（8,373篇），反映出公众对博物馆文创产品的讨论以文化传播和产品推荐为主。主题4（冰箱贴与文创设计）占比16.4%，是具体品类讨论最为集中的主题，反映了"冰箱贴"作为近年爆火的文创品类引发的广泛关注。主题1（考古盲盒与文物开箱）占比8.5%，反映了三星堆盲盒等考古文创产品在年轻群体中的讨论热度。</w:t>
      </w:r>
    </w:p>
    <w:p>
      <w:pPr>
        <w:pStyle w:val="Heading3"/>
      </w:pPr>
      <w:r>
        <w:rPr>
          <w:rFonts w:ascii="黑体" w:hAnsi="黑体" w:eastAsia="黑体"/>
          <w:sz w:val="24"/>
        </w:rPr>
        <w:t>3.2.3 主题关联分析</w:t>
      </w:r>
    </w:p>
    <w:p>
      <w:pPr>
        <w:spacing w:line="360" w:lineRule="auto" w:before="60" w:after="60"/>
        <w:ind w:firstLine="420"/>
      </w:pPr>
      <w:r>
        <w:rPr>
          <w:rFonts w:ascii="宋体" w:hAnsi="宋体" w:eastAsia="宋体"/>
          <w:sz w:val="21"/>
        </w:rPr>
        <w:t>为探究各主题之间的关联强度，本研究以关键词为共现单元，计算各主题在相同关键词下的共现频率，并据此构建主题间Pearson相关系数矩阵，结果如表3-5所示。</w:t>
      </w:r>
    </w:p>
    <w:p>
      <w:pPr>
        <w:spacing w:line="360" w:lineRule="auto"/>
        <w:ind w:firstLine="420"/>
      </w:pPr>
      <w:r>
        <w:rPr>
          <w:rFonts w:ascii="宋体" w:hAnsi="宋体" w:eastAsia="宋体"/>
          <w:b/>
          <w:sz w:val="21"/>
        </w:rPr>
        <w:t>表3-5 LDA主题间相关系数矩阵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宋体" w:hAnsi="宋体" w:eastAsia="宋体"/>
                <w:b/>
                <w:sz w:val="18"/>
              </w:rPr>
            </w:r>
          </w:p>
        </w:tc>
        <w:tc>
          <w:tcPr>
            <w:tcW w:type="dxa" w:w="1568"/>
          </w:tcPr>
          <w:p>
            <w:pPr>
              <w:jc w:val="center"/>
            </w:pPr>
            <w:r>
              <w:rPr>
                <w:rFonts w:ascii="宋体" w:hAnsi="宋体" w:eastAsia="宋体"/>
                <w:b/>
                <w:sz w:val="18"/>
              </w:rPr>
              <w:t>主题0</w:t>
            </w:r>
          </w:p>
        </w:tc>
        <w:tc>
          <w:tcPr>
            <w:tcW w:type="dxa" w:w="1568"/>
          </w:tcPr>
          <w:p>
            <w:pPr>
              <w:jc w:val="center"/>
            </w:pPr>
            <w:r>
              <w:rPr>
                <w:rFonts w:ascii="宋体" w:hAnsi="宋体" w:eastAsia="宋体"/>
                <w:b/>
                <w:sz w:val="18"/>
              </w:rPr>
              <w:t>主题1</w:t>
            </w:r>
          </w:p>
        </w:tc>
        <w:tc>
          <w:tcPr>
            <w:tcW w:type="dxa" w:w="1568"/>
          </w:tcPr>
          <w:p>
            <w:pPr>
              <w:jc w:val="center"/>
            </w:pPr>
            <w:r>
              <w:rPr>
                <w:rFonts w:ascii="宋体" w:hAnsi="宋体" w:eastAsia="宋体"/>
                <w:b/>
                <w:sz w:val="18"/>
              </w:rPr>
              <w:t>主题2</w:t>
            </w:r>
          </w:p>
        </w:tc>
        <w:tc>
          <w:tcPr>
            <w:tcW w:type="dxa" w:w="1568"/>
          </w:tcPr>
          <w:p>
            <w:pPr>
              <w:jc w:val="center"/>
            </w:pPr>
            <w:r>
              <w:rPr>
                <w:rFonts w:ascii="宋体" w:hAnsi="宋体" w:eastAsia="宋体"/>
                <w:b/>
                <w:sz w:val="18"/>
              </w:rPr>
              <w:t>主题3</w:t>
            </w:r>
          </w:p>
        </w:tc>
        <w:tc>
          <w:tcPr>
            <w:tcW w:type="dxa" w:w="1568"/>
          </w:tcPr>
          <w:p>
            <w:pPr>
              <w:jc w:val="center"/>
            </w:pPr>
            <w:r>
              <w:rPr>
                <w:rFonts w:ascii="宋体" w:hAnsi="宋体" w:eastAsia="宋体"/>
                <w:b/>
                <w:sz w:val="18"/>
              </w:rPr>
              <w:t>主题4</w:t>
            </w:r>
          </w:p>
        </w:tc>
      </w:tr>
      <w:tr>
        <w:tc>
          <w:tcPr>
            <w:tcW w:type="dxa" w:w="1568"/>
          </w:tcPr>
          <w:p>
            <w:pPr>
              <w:jc w:val="center"/>
            </w:pPr>
            <w:r>
              <w:rPr>
                <w:rFonts w:ascii="宋体" w:hAnsi="宋体" w:eastAsia="宋体"/>
                <w:sz w:val="18"/>
              </w:rPr>
              <w:t>主题0</w:t>
            </w:r>
          </w:p>
        </w:tc>
        <w:tc>
          <w:tcPr>
            <w:tcW w:type="dxa" w:w="1568"/>
          </w:tcPr>
          <w:p>
            <w:pPr>
              <w:jc w:val="center"/>
            </w:pPr>
            <w:r>
              <w:rPr>
                <w:rFonts w:ascii="宋体" w:hAnsi="宋体" w:eastAsia="宋体"/>
                <w:sz w:val="18"/>
              </w:rPr>
              <w:t>1.000</w:t>
            </w:r>
          </w:p>
        </w:tc>
        <w:tc>
          <w:tcPr>
            <w:tcW w:type="dxa" w:w="1568"/>
          </w:tcPr>
          <w:p>
            <w:pPr>
              <w:jc w:val="center"/>
            </w:pPr>
            <w:r>
              <w:rPr>
                <w:rFonts w:ascii="宋体" w:hAnsi="宋体" w:eastAsia="宋体"/>
                <w:sz w:val="18"/>
              </w:rPr>
              <w:t>0.424</w:t>
            </w:r>
          </w:p>
        </w:tc>
        <w:tc>
          <w:tcPr>
            <w:tcW w:type="dxa" w:w="1568"/>
          </w:tcPr>
          <w:p>
            <w:pPr>
              <w:jc w:val="center"/>
            </w:pPr>
            <w:r>
              <w:rPr>
                <w:rFonts w:ascii="宋体" w:hAnsi="宋体" w:eastAsia="宋体"/>
                <w:sz w:val="18"/>
              </w:rPr>
              <w:t>0.461</w:t>
            </w:r>
          </w:p>
        </w:tc>
        <w:tc>
          <w:tcPr>
            <w:tcW w:type="dxa" w:w="1568"/>
          </w:tcPr>
          <w:p>
            <w:pPr>
              <w:jc w:val="center"/>
            </w:pPr>
            <w:r>
              <w:rPr>
                <w:rFonts w:ascii="宋体" w:hAnsi="宋体" w:eastAsia="宋体"/>
                <w:sz w:val="18"/>
              </w:rPr>
              <w:t>**0.552**</w:t>
            </w:r>
          </w:p>
        </w:tc>
        <w:tc>
          <w:tcPr>
            <w:tcW w:type="dxa" w:w="1568"/>
          </w:tcPr>
          <w:p>
            <w:pPr>
              <w:jc w:val="center"/>
            </w:pPr>
            <w:r>
              <w:rPr>
                <w:rFonts w:ascii="宋体" w:hAnsi="宋体" w:eastAsia="宋体"/>
                <w:sz w:val="18"/>
              </w:rPr>
              <w:t>0.453</w:t>
            </w:r>
          </w:p>
        </w:tc>
      </w:tr>
      <w:tr>
        <w:tc>
          <w:tcPr>
            <w:tcW w:type="dxa" w:w="1568"/>
          </w:tcPr>
          <w:p>
            <w:pPr>
              <w:jc w:val="center"/>
            </w:pPr>
            <w:r>
              <w:rPr>
                <w:rFonts w:ascii="宋体" w:hAnsi="宋体" w:eastAsia="宋体"/>
                <w:sz w:val="18"/>
              </w:rPr>
              <w:t>主题1</w:t>
            </w:r>
          </w:p>
        </w:tc>
        <w:tc>
          <w:tcPr>
            <w:tcW w:type="dxa" w:w="1568"/>
          </w:tcPr>
          <w:p>
            <w:pPr>
              <w:jc w:val="center"/>
            </w:pPr>
            <w:r>
              <w:rPr>
                <w:rFonts w:ascii="宋体" w:hAnsi="宋体" w:eastAsia="宋体"/>
                <w:sz w:val="18"/>
              </w:rPr>
              <w:t>0.424</w:t>
            </w:r>
          </w:p>
        </w:tc>
        <w:tc>
          <w:tcPr>
            <w:tcW w:type="dxa" w:w="1568"/>
          </w:tcPr>
          <w:p>
            <w:pPr>
              <w:jc w:val="center"/>
            </w:pPr>
            <w:r>
              <w:rPr>
                <w:rFonts w:ascii="宋体" w:hAnsi="宋体" w:eastAsia="宋体"/>
                <w:sz w:val="18"/>
              </w:rPr>
              <w:t>1.000</w:t>
            </w:r>
          </w:p>
        </w:tc>
        <w:tc>
          <w:tcPr>
            <w:tcW w:type="dxa" w:w="1568"/>
          </w:tcPr>
          <w:p>
            <w:pPr>
              <w:jc w:val="center"/>
            </w:pPr>
            <w:r>
              <w:rPr>
                <w:rFonts w:ascii="宋体" w:hAnsi="宋体" w:eastAsia="宋体"/>
                <w:sz w:val="18"/>
              </w:rPr>
              <w:t>0.377</w:t>
            </w:r>
          </w:p>
        </w:tc>
        <w:tc>
          <w:tcPr>
            <w:tcW w:type="dxa" w:w="1568"/>
          </w:tcPr>
          <w:p>
            <w:pPr>
              <w:jc w:val="center"/>
            </w:pPr>
            <w:r>
              <w:rPr>
                <w:rFonts w:ascii="宋体" w:hAnsi="宋体" w:eastAsia="宋体"/>
                <w:sz w:val="18"/>
              </w:rPr>
              <w:t>0.312</w:t>
            </w:r>
          </w:p>
        </w:tc>
        <w:tc>
          <w:tcPr>
            <w:tcW w:type="dxa" w:w="1568"/>
          </w:tcPr>
          <w:p>
            <w:pPr>
              <w:jc w:val="center"/>
            </w:pPr>
            <w:r>
              <w:rPr>
                <w:rFonts w:ascii="宋体" w:hAnsi="宋体" w:eastAsia="宋体"/>
                <w:sz w:val="18"/>
              </w:rPr>
              <w:t>0.225</w:t>
            </w:r>
          </w:p>
        </w:tc>
      </w:tr>
      <w:tr>
        <w:tc>
          <w:tcPr>
            <w:tcW w:type="dxa" w:w="1568"/>
          </w:tcPr>
          <w:p>
            <w:pPr>
              <w:jc w:val="center"/>
            </w:pPr>
            <w:r>
              <w:rPr>
                <w:rFonts w:ascii="宋体" w:hAnsi="宋体" w:eastAsia="宋体"/>
                <w:sz w:val="18"/>
              </w:rPr>
              <w:t>主题2</w:t>
            </w:r>
          </w:p>
        </w:tc>
        <w:tc>
          <w:tcPr>
            <w:tcW w:type="dxa" w:w="1568"/>
          </w:tcPr>
          <w:p>
            <w:pPr>
              <w:jc w:val="center"/>
            </w:pPr>
            <w:r>
              <w:rPr>
                <w:rFonts w:ascii="宋体" w:hAnsi="宋体" w:eastAsia="宋体"/>
                <w:sz w:val="18"/>
              </w:rPr>
              <w:t>0.461</w:t>
            </w:r>
          </w:p>
        </w:tc>
        <w:tc>
          <w:tcPr>
            <w:tcW w:type="dxa" w:w="1568"/>
          </w:tcPr>
          <w:p>
            <w:pPr>
              <w:jc w:val="center"/>
            </w:pPr>
            <w:r>
              <w:rPr>
                <w:rFonts w:ascii="宋体" w:hAnsi="宋体" w:eastAsia="宋体"/>
                <w:sz w:val="18"/>
              </w:rPr>
              <w:t>0.377</w:t>
            </w:r>
          </w:p>
        </w:tc>
        <w:tc>
          <w:tcPr>
            <w:tcW w:type="dxa" w:w="1568"/>
          </w:tcPr>
          <w:p>
            <w:pPr>
              <w:jc w:val="center"/>
            </w:pPr>
            <w:r>
              <w:rPr>
                <w:rFonts w:ascii="宋体" w:hAnsi="宋体" w:eastAsia="宋体"/>
                <w:sz w:val="18"/>
              </w:rPr>
              <w:t>1.000</w:t>
            </w:r>
          </w:p>
        </w:tc>
        <w:tc>
          <w:tcPr>
            <w:tcW w:type="dxa" w:w="1568"/>
          </w:tcPr>
          <w:p>
            <w:pPr>
              <w:jc w:val="center"/>
            </w:pPr>
            <w:r>
              <w:rPr>
                <w:rFonts w:ascii="宋体" w:hAnsi="宋体" w:eastAsia="宋体"/>
                <w:sz w:val="18"/>
              </w:rPr>
              <w:t>0.337</w:t>
            </w:r>
          </w:p>
        </w:tc>
        <w:tc>
          <w:tcPr>
            <w:tcW w:type="dxa" w:w="1568"/>
          </w:tcPr>
          <w:p>
            <w:pPr>
              <w:jc w:val="center"/>
            </w:pPr>
            <w:r>
              <w:rPr>
                <w:rFonts w:ascii="宋体" w:hAnsi="宋体" w:eastAsia="宋体"/>
                <w:sz w:val="18"/>
              </w:rPr>
              <w:t>0.223</w:t>
            </w:r>
          </w:p>
        </w:tc>
      </w:tr>
      <w:tr>
        <w:tc>
          <w:tcPr>
            <w:tcW w:type="dxa" w:w="1568"/>
          </w:tcPr>
          <w:p>
            <w:pPr>
              <w:jc w:val="center"/>
            </w:pPr>
            <w:r>
              <w:rPr>
                <w:rFonts w:ascii="宋体" w:hAnsi="宋体" w:eastAsia="宋体"/>
                <w:sz w:val="18"/>
              </w:rPr>
              <w:t>主题3</w:t>
            </w:r>
          </w:p>
        </w:tc>
        <w:tc>
          <w:tcPr>
            <w:tcW w:type="dxa" w:w="1568"/>
          </w:tcPr>
          <w:p>
            <w:pPr>
              <w:jc w:val="center"/>
            </w:pPr>
            <w:r>
              <w:rPr>
                <w:rFonts w:ascii="宋体" w:hAnsi="宋体" w:eastAsia="宋体"/>
                <w:sz w:val="18"/>
              </w:rPr>
              <w:t>**0.552**</w:t>
            </w:r>
          </w:p>
        </w:tc>
        <w:tc>
          <w:tcPr>
            <w:tcW w:type="dxa" w:w="1568"/>
          </w:tcPr>
          <w:p>
            <w:pPr>
              <w:jc w:val="center"/>
            </w:pPr>
            <w:r>
              <w:rPr>
                <w:rFonts w:ascii="宋体" w:hAnsi="宋体" w:eastAsia="宋体"/>
                <w:sz w:val="18"/>
              </w:rPr>
              <w:t>0.312</w:t>
            </w:r>
          </w:p>
        </w:tc>
        <w:tc>
          <w:tcPr>
            <w:tcW w:type="dxa" w:w="1568"/>
          </w:tcPr>
          <w:p>
            <w:pPr>
              <w:jc w:val="center"/>
            </w:pPr>
            <w:r>
              <w:rPr>
                <w:rFonts w:ascii="宋体" w:hAnsi="宋体" w:eastAsia="宋体"/>
                <w:sz w:val="18"/>
              </w:rPr>
              <w:t>0.337</w:t>
            </w:r>
          </w:p>
        </w:tc>
        <w:tc>
          <w:tcPr>
            <w:tcW w:type="dxa" w:w="1568"/>
          </w:tcPr>
          <w:p>
            <w:pPr>
              <w:jc w:val="center"/>
            </w:pPr>
            <w:r>
              <w:rPr>
                <w:rFonts w:ascii="宋体" w:hAnsi="宋体" w:eastAsia="宋体"/>
                <w:sz w:val="18"/>
              </w:rPr>
              <w:t>1.000</w:t>
            </w:r>
          </w:p>
        </w:tc>
        <w:tc>
          <w:tcPr>
            <w:tcW w:type="dxa" w:w="1568"/>
          </w:tcPr>
          <w:p>
            <w:pPr>
              <w:jc w:val="center"/>
            </w:pPr>
            <w:r>
              <w:rPr>
                <w:rFonts w:ascii="宋体" w:hAnsi="宋体" w:eastAsia="宋体"/>
                <w:sz w:val="18"/>
              </w:rPr>
              <w:t>0.404</w:t>
            </w:r>
          </w:p>
        </w:tc>
      </w:tr>
      <w:tr>
        <w:tc>
          <w:tcPr>
            <w:tcW w:type="dxa" w:w="1568"/>
          </w:tcPr>
          <w:p>
            <w:pPr>
              <w:jc w:val="center"/>
            </w:pPr>
            <w:r>
              <w:rPr>
                <w:rFonts w:ascii="宋体" w:hAnsi="宋体" w:eastAsia="宋体"/>
                <w:sz w:val="18"/>
              </w:rPr>
              <w:t>主题4</w:t>
            </w:r>
          </w:p>
        </w:tc>
        <w:tc>
          <w:tcPr>
            <w:tcW w:type="dxa" w:w="1568"/>
          </w:tcPr>
          <w:p>
            <w:pPr>
              <w:jc w:val="center"/>
            </w:pPr>
            <w:r>
              <w:rPr>
                <w:rFonts w:ascii="宋体" w:hAnsi="宋体" w:eastAsia="宋体"/>
                <w:sz w:val="18"/>
              </w:rPr>
              <w:t>0.453</w:t>
            </w:r>
          </w:p>
        </w:tc>
        <w:tc>
          <w:tcPr>
            <w:tcW w:type="dxa" w:w="1568"/>
          </w:tcPr>
          <w:p>
            <w:pPr>
              <w:jc w:val="center"/>
            </w:pPr>
            <w:r>
              <w:rPr>
                <w:rFonts w:ascii="宋体" w:hAnsi="宋体" w:eastAsia="宋体"/>
                <w:sz w:val="18"/>
              </w:rPr>
              <w:t>0.225</w:t>
            </w:r>
          </w:p>
        </w:tc>
        <w:tc>
          <w:tcPr>
            <w:tcW w:type="dxa" w:w="1568"/>
          </w:tcPr>
          <w:p>
            <w:pPr>
              <w:jc w:val="center"/>
            </w:pPr>
            <w:r>
              <w:rPr>
                <w:rFonts w:ascii="宋体" w:hAnsi="宋体" w:eastAsia="宋体"/>
                <w:sz w:val="18"/>
              </w:rPr>
              <w:t>0.223</w:t>
            </w:r>
          </w:p>
        </w:tc>
        <w:tc>
          <w:tcPr>
            <w:tcW w:type="dxa" w:w="1568"/>
          </w:tcPr>
          <w:p>
            <w:pPr>
              <w:jc w:val="center"/>
            </w:pPr>
            <w:r>
              <w:rPr>
                <w:rFonts w:ascii="宋体" w:hAnsi="宋体" w:eastAsia="宋体"/>
                <w:sz w:val="18"/>
              </w:rPr>
              <w:t>0.404</w:t>
            </w:r>
          </w:p>
        </w:tc>
        <w:tc>
          <w:tcPr>
            <w:tcW w:type="dxa" w:w="1568"/>
          </w:tcPr>
          <w:p>
            <w:pPr>
              <w:jc w:val="center"/>
            </w:pPr>
            <w:r>
              <w:rPr>
                <w:rFonts w:ascii="宋体" w:hAnsi="宋体" w:eastAsia="宋体"/>
                <w:sz w:val="18"/>
              </w:rPr>
              <w:t>1.000</w:t>
            </w:r>
          </w:p>
        </w:tc>
      </w:tr>
    </w:tbl>
    <w:p>
      <w:pPr>
        <w:jc w:val="center"/>
      </w:pPr>
      <w:r>
        <w:drawing>
          <wp:inline xmlns:a="http://schemas.openxmlformats.org/drawingml/2006/main" xmlns:pic="http://schemas.openxmlformats.org/drawingml/2006/picture">
            <wp:extent cx="5029200" cy="4358640"/>
            <wp:docPr id="2" name="Picture 2"/>
            <wp:cNvGraphicFramePr>
              <a:graphicFrameLocks noChangeAspect="1"/>
            </wp:cNvGraphicFramePr>
            <a:graphic>
              <a:graphicData uri="http://schemas.openxmlformats.org/drawingml/2006/picture">
                <pic:pic>
                  <pic:nvPicPr>
                    <pic:cNvPr id="0" name="图2_主题关联热力图.png"/>
                    <pic:cNvPicPr/>
                  </pic:nvPicPr>
                  <pic:blipFill>
                    <a:blip r:embed="rId10"/>
                    <a:stretch>
                      <a:fillRect/>
                    </a:stretch>
                  </pic:blipFill>
                  <pic:spPr>
                    <a:xfrm>
                      <a:off x="0" y="0"/>
                      <a:ext cx="5029200" cy="4358640"/>
                    </a:xfrm>
                    <a:prstGeom prst="rect"/>
                  </pic:spPr>
                </pic:pic>
              </a:graphicData>
            </a:graphic>
          </wp:inline>
        </w:drawing>
      </w:r>
    </w:p>
    <w:p>
      <w:pPr>
        <w:spacing w:line="360" w:lineRule="auto" w:before="60" w:after="60"/>
        <w:ind w:firstLine="420"/>
      </w:pPr>
      <w:r>
        <w:rPr>
          <w:rFonts w:ascii="宋体" w:hAnsi="宋体" w:eastAsia="宋体"/>
          <w:sz w:val="21"/>
        </w:rPr>
        <w:t>分析发现：主题0（文化传播与文创推荐）与主题3（敦煌文化与联名产品）之间的相关性最强（r=0.552），说明以文化传播为核心的讨论与具体文化IP的讨论存在显著共现关系。主题1（考古盲盒）与主题4（冰箱贴设计）之间相关性最低（r=0.225），说明两者讨论群体差异较大。</w:t>
      </w:r>
    </w:p>
    <w:p>
      <w:pPr>
        <w:pStyle w:val="Heading2"/>
      </w:pPr>
      <w:r>
        <w:rPr>
          <w:rFonts w:ascii="黑体" w:hAnsi="黑体" w:eastAsia="黑体"/>
          <w:sz w:val="28"/>
        </w:rPr>
        <w:t>3.3 舆情情感与观点挖掘分析</w:t>
      </w:r>
    </w:p>
    <w:p>
      <w:pPr>
        <w:pStyle w:val="Heading3"/>
      </w:pPr>
      <w:r>
        <w:rPr>
          <w:rFonts w:ascii="黑体" w:hAnsi="黑体" w:eastAsia="黑体"/>
          <w:sz w:val="24"/>
        </w:rPr>
        <w:t>3.3.1 分析方法与工具</w:t>
      </w:r>
    </w:p>
    <w:p>
      <w:pPr>
        <w:spacing w:line="360" w:lineRule="auto"/>
        <w:ind w:firstLine="420"/>
      </w:pPr>
      <w:r>
        <w:rPr>
          <w:rFonts w:ascii="宋体" w:hAnsi="宋体" w:eastAsia="宋体"/>
          <w:b/>
          <w:sz w:val="21"/>
        </w:rPr>
        <w:t>（1）基础情感分析</w:t>
      </w:r>
    </w:p>
    <w:p>
      <w:pPr>
        <w:spacing w:line="360" w:lineRule="auto" w:before="60" w:after="60"/>
        <w:ind w:firstLine="420"/>
      </w:pPr>
      <w:r>
        <w:rPr>
          <w:rFonts w:ascii="宋体" w:hAnsi="宋体" w:eastAsia="宋体"/>
          <w:sz w:val="21"/>
        </w:rPr>
        <w:t>本研究基于BERT预训练语言模型构建情感分类模型。采用bert-base-chinese预训练模型（Google，110M参数），在顶层添加全连接分类头，输出三分类结果（正面、中性、负面）。</w:t>
      </w:r>
    </w:p>
    <w:p>
      <w:pPr>
        <w:spacing w:line="360" w:lineRule="auto" w:before="60" w:after="60"/>
        <w:ind w:firstLine="420"/>
      </w:pPr>
      <w:r>
        <w:rPr>
          <w:rFonts w:ascii="宋体" w:hAnsi="宋体" w:eastAsia="宋体"/>
          <w:sz w:val="21"/>
        </w:rPr>
        <w:t>模型训练数据为14,156条有效舆情文本，情感标注由DeepSeek-V3大语言模型完成，并经人工抽检验证标注质量。其中正面4,537条（32.1%）、中性8,871条（62.7%）、负面748条（5.3%）。由于各类别样本不均衡，采用上采样方法将三类样本均平衡至8,871条，平衡后总计26,613条训练样本。数据集按60:20:20划分为训练集（18,629条）、验证集（3,992条）和测试集（3,992条）。</w:t>
      </w:r>
    </w:p>
    <w:p>
      <w:pPr>
        <w:spacing w:line="360" w:lineRule="auto" w:before="60" w:after="60"/>
        <w:ind w:firstLine="420"/>
      </w:pPr>
      <w:r>
        <w:rPr>
          <w:rFonts w:ascii="宋体" w:hAnsi="宋体" w:eastAsia="宋体"/>
          <w:sz w:val="21"/>
        </w:rPr>
        <w:t>模型训练参数为：最大序列长度128，批次大小32，学习率2e-5，优化器AdamW，训练5轮。训练在Apple M2芯片上利用MPS加速完成，总耗时69分钟。</w:t>
      </w:r>
    </w:p>
    <w:p>
      <w:pPr>
        <w:spacing w:line="360" w:lineRule="auto"/>
        <w:ind w:firstLine="420"/>
      </w:pPr>
      <w:r>
        <w:rPr>
          <w:rFonts w:ascii="宋体" w:hAnsi="宋体" w:eastAsia="宋体"/>
          <w:b/>
          <w:sz w:val="21"/>
        </w:rPr>
        <w:t>表3-6 BERT情感分类模型测试集评估结果</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宋体" w:hAnsi="宋体" w:eastAsia="宋体"/>
                <w:b/>
                <w:sz w:val="18"/>
              </w:rPr>
              <w:t>情感类别</w:t>
            </w:r>
          </w:p>
        </w:tc>
        <w:tc>
          <w:tcPr>
            <w:tcW w:type="dxa" w:w="1881"/>
          </w:tcPr>
          <w:p>
            <w:pPr>
              <w:jc w:val="center"/>
            </w:pPr>
            <w:r>
              <w:rPr>
                <w:rFonts w:ascii="宋体" w:hAnsi="宋体" w:eastAsia="宋体"/>
                <w:b/>
                <w:sz w:val="18"/>
              </w:rPr>
              <w:t>精确率</w:t>
            </w:r>
          </w:p>
        </w:tc>
        <w:tc>
          <w:tcPr>
            <w:tcW w:type="dxa" w:w="1881"/>
          </w:tcPr>
          <w:p>
            <w:pPr>
              <w:jc w:val="center"/>
            </w:pPr>
            <w:r>
              <w:rPr>
                <w:rFonts w:ascii="宋体" w:hAnsi="宋体" w:eastAsia="宋体"/>
                <w:b/>
                <w:sz w:val="18"/>
              </w:rPr>
              <w:t>召回率</w:t>
            </w:r>
          </w:p>
        </w:tc>
        <w:tc>
          <w:tcPr>
            <w:tcW w:type="dxa" w:w="1881"/>
          </w:tcPr>
          <w:p>
            <w:pPr>
              <w:jc w:val="center"/>
            </w:pPr>
            <w:r>
              <w:rPr>
                <w:rFonts w:ascii="宋体" w:hAnsi="宋体" w:eastAsia="宋体"/>
                <w:b/>
                <w:sz w:val="18"/>
              </w:rPr>
              <w:t>F1值</w:t>
            </w:r>
          </w:p>
        </w:tc>
        <w:tc>
          <w:tcPr>
            <w:tcW w:type="dxa" w:w="1881"/>
          </w:tcPr>
          <w:p>
            <w:pPr>
              <w:jc w:val="center"/>
            </w:pPr>
            <w:r>
              <w:rPr>
                <w:rFonts w:ascii="宋体" w:hAnsi="宋体" w:eastAsia="宋体"/>
                <w:b/>
                <w:sz w:val="18"/>
              </w:rPr>
              <w:t>支持数</w:t>
            </w:r>
          </w:p>
        </w:tc>
      </w:tr>
      <w:tr>
        <w:tc>
          <w:tcPr>
            <w:tcW w:type="dxa" w:w="1881"/>
          </w:tcPr>
          <w:p>
            <w:pPr>
              <w:jc w:val="center"/>
            </w:pPr>
            <w:r>
              <w:rPr>
                <w:rFonts w:ascii="宋体" w:hAnsi="宋体" w:eastAsia="宋体"/>
                <w:sz w:val="18"/>
              </w:rPr>
              <w:t>负面</w:t>
            </w:r>
          </w:p>
        </w:tc>
        <w:tc>
          <w:tcPr>
            <w:tcW w:type="dxa" w:w="1881"/>
          </w:tcPr>
          <w:p>
            <w:pPr>
              <w:jc w:val="center"/>
            </w:pPr>
            <w:r>
              <w:rPr>
                <w:rFonts w:ascii="宋体" w:hAnsi="宋体" w:eastAsia="宋体"/>
                <w:sz w:val="18"/>
              </w:rPr>
              <w:t>0.97</w:t>
            </w:r>
          </w:p>
        </w:tc>
        <w:tc>
          <w:tcPr>
            <w:tcW w:type="dxa" w:w="1881"/>
          </w:tcPr>
          <w:p>
            <w:pPr>
              <w:jc w:val="center"/>
            </w:pPr>
            <w:r>
              <w:rPr>
                <w:rFonts w:ascii="宋体" w:hAnsi="宋体" w:eastAsia="宋体"/>
                <w:sz w:val="18"/>
              </w:rPr>
              <w:t>1.00</w:t>
            </w:r>
          </w:p>
        </w:tc>
        <w:tc>
          <w:tcPr>
            <w:tcW w:type="dxa" w:w="1881"/>
          </w:tcPr>
          <w:p>
            <w:pPr>
              <w:jc w:val="center"/>
            </w:pPr>
            <w:r>
              <w:rPr>
                <w:rFonts w:ascii="宋体" w:hAnsi="宋体" w:eastAsia="宋体"/>
                <w:sz w:val="18"/>
              </w:rPr>
              <w:t>0.99</w:t>
            </w:r>
          </w:p>
        </w:tc>
        <w:tc>
          <w:tcPr>
            <w:tcW w:type="dxa" w:w="1881"/>
          </w:tcPr>
          <w:p>
            <w:pPr>
              <w:jc w:val="center"/>
            </w:pPr>
            <w:r>
              <w:rPr>
                <w:rFonts w:ascii="宋体" w:hAnsi="宋体" w:eastAsia="宋体"/>
                <w:sz w:val="18"/>
              </w:rPr>
              <w:t>1,331</w:t>
            </w:r>
          </w:p>
        </w:tc>
      </w:tr>
      <w:tr>
        <w:tc>
          <w:tcPr>
            <w:tcW w:type="dxa" w:w="1881"/>
          </w:tcPr>
          <w:p>
            <w:pPr>
              <w:jc w:val="center"/>
            </w:pPr>
            <w:r>
              <w:rPr>
                <w:rFonts w:ascii="宋体" w:hAnsi="宋体" w:eastAsia="宋体"/>
                <w:sz w:val="18"/>
              </w:rPr>
              <w:t>中性</w:t>
            </w:r>
          </w:p>
        </w:tc>
        <w:tc>
          <w:tcPr>
            <w:tcW w:type="dxa" w:w="1881"/>
          </w:tcPr>
          <w:p>
            <w:pPr>
              <w:jc w:val="center"/>
            </w:pPr>
            <w:r>
              <w:rPr>
                <w:rFonts w:ascii="宋体" w:hAnsi="宋体" w:eastAsia="宋体"/>
                <w:sz w:val="18"/>
              </w:rPr>
              <w:t>0.95</w:t>
            </w:r>
          </w:p>
        </w:tc>
        <w:tc>
          <w:tcPr>
            <w:tcW w:type="dxa" w:w="1881"/>
          </w:tcPr>
          <w:p>
            <w:pPr>
              <w:jc w:val="center"/>
            </w:pPr>
            <w:r>
              <w:rPr>
                <w:rFonts w:ascii="宋体" w:hAnsi="宋体" w:eastAsia="宋体"/>
                <w:sz w:val="18"/>
              </w:rPr>
              <w:t>0.86</w:t>
            </w:r>
          </w:p>
        </w:tc>
        <w:tc>
          <w:tcPr>
            <w:tcW w:type="dxa" w:w="1881"/>
          </w:tcPr>
          <w:p>
            <w:pPr>
              <w:jc w:val="center"/>
            </w:pPr>
            <w:r>
              <w:rPr>
                <w:rFonts w:ascii="宋体" w:hAnsi="宋体" w:eastAsia="宋体"/>
                <w:sz w:val="18"/>
              </w:rPr>
              <w:t>0.91</w:t>
            </w:r>
          </w:p>
        </w:tc>
        <w:tc>
          <w:tcPr>
            <w:tcW w:type="dxa" w:w="1881"/>
          </w:tcPr>
          <w:p>
            <w:pPr>
              <w:jc w:val="center"/>
            </w:pPr>
            <w:r>
              <w:rPr>
                <w:rFonts w:ascii="宋体" w:hAnsi="宋体" w:eastAsia="宋体"/>
                <w:sz w:val="18"/>
              </w:rPr>
              <w:t>1,330</w:t>
            </w:r>
          </w:p>
        </w:tc>
      </w:tr>
      <w:tr>
        <w:tc>
          <w:tcPr>
            <w:tcW w:type="dxa" w:w="1881"/>
          </w:tcPr>
          <w:p>
            <w:pPr>
              <w:jc w:val="center"/>
            </w:pPr>
            <w:r>
              <w:rPr>
                <w:rFonts w:ascii="宋体" w:hAnsi="宋体" w:eastAsia="宋体"/>
                <w:sz w:val="18"/>
              </w:rPr>
              <w:t>正面</w:t>
            </w:r>
          </w:p>
        </w:tc>
        <w:tc>
          <w:tcPr>
            <w:tcW w:type="dxa" w:w="1881"/>
          </w:tcPr>
          <w:p>
            <w:pPr>
              <w:jc w:val="center"/>
            </w:pPr>
            <w:r>
              <w:rPr>
                <w:rFonts w:ascii="宋体" w:hAnsi="宋体" w:eastAsia="宋体"/>
                <w:sz w:val="18"/>
              </w:rPr>
              <w:t>0.89</w:t>
            </w:r>
          </w:p>
        </w:tc>
        <w:tc>
          <w:tcPr>
            <w:tcW w:type="dxa" w:w="1881"/>
          </w:tcPr>
          <w:p>
            <w:pPr>
              <w:jc w:val="center"/>
            </w:pPr>
            <w:r>
              <w:rPr>
                <w:rFonts w:ascii="宋体" w:hAnsi="宋体" w:eastAsia="宋体"/>
                <w:sz w:val="18"/>
              </w:rPr>
              <w:t>0.95</w:t>
            </w:r>
          </w:p>
        </w:tc>
        <w:tc>
          <w:tcPr>
            <w:tcW w:type="dxa" w:w="1881"/>
          </w:tcPr>
          <w:p>
            <w:pPr>
              <w:jc w:val="center"/>
            </w:pPr>
            <w:r>
              <w:rPr>
                <w:rFonts w:ascii="宋体" w:hAnsi="宋体" w:eastAsia="宋体"/>
                <w:sz w:val="18"/>
              </w:rPr>
              <w:t>0.92</w:t>
            </w:r>
          </w:p>
        </w:tc>
        <w:tc>
          <w:tcPr>
            <w:tcW w:type="dxa" w:w="1881"/>
          </w:tcPr>
          <w:p>
            <w:pPr>
              <w:jc w:val="center"/>
            </w:pPr>
            <w:r>
              <w:rPr>
                <w:rFonts w:ascii="宋体" w:hAnsi="宋体" w:eastAsia="宋体"/>
                <w:sz w:val="18"/>
              </w:rPr>
              <w:t>1,331</w:t>
            </w:r>
          </w:p>
        </w:tc>
      </w:tr>
      <w:tr>
        <w:tc>
          <w:tcPr>
            <w:tcW w:type="dxa" w:w="1881"/>
          </w:tcPr>
          <w:p>
            <w:pPr>
              <w:jc w:val="center"/>
            </w:pPr>
            <w:r>
              <w:rPr>
                <w:rFonts w:ascii="宋体" w:hAnsi="宋体" w:eastAsia="宋体"/>
                <w:sz w:val="18"/>
              </w:rPr>
              <w:t>**宏平均**</w:t>
            </w:r>
          </w:p>
        </w:tc>
        <w:tc>
          <w:tcPr>
            <w:tcW w:type="dxa" w:w="1881"/>
          </w:tcPr>
          <w:p>
            <w:pPr>
              <w:jc w:val="center"/>
            </w:pPr>
            <w:r>
              <w:rPr>
                <w:rFonts w:ascii="宋体" w:hAnsi="宋体" w:eastAsia="宋体"/>
                <w:sz w:val="18"/>
              </w:rPr>
              <w:t>**0.94**</w:t>
            </w:r>
          </w:p>
        </w:tc>
        <w:tc>
          <w:tcPr>
            <w:tcW w:type="dxa" w:w="1881"/>
          </w:tcPr>
          <w:p>
            <w:pPr>
              <w:jc w:val="center"/>
            </w:pPr>
            <w:r>
              <w:rPr>
                <w:rFonts w:ascii="宋体" w:hAnsi="宋体" w:eastAsia="宋体"/>
                <w:sz w:val="18"/>
              </w:rPr>
              <w:t>**0.94**</w:t>
            </w:r>
          </w:p>
        </w:tc>
        <w:tc>
          <w:tcPr>
            <w:tcW w:type="dxa" w:w="1881"/>
          </w:tcPr>
          <w:p>
            <w:pPr>
              <w:jc w:val="center"/>
            </w:pPr>
            <w:r>
              <w:rPr>
                <w:rFonts w:ascii="宋体" w:hAnsi="宋体" w:eastAsia="宋体"/>
                <w:sz w:val="18"/>
              </w:rPr>
              <w:t>**0.94**</w:t>
            </w:r>
          </w:p>
        </w:tc>
        <w:tc>
          <w:tcPr>
            <w:tcW w:type="dxa" w:w="1881"/>
          </w:tcPr>
          <w:p>
            <w:pPr>
              <w:jc w:val="center"/>
            </w:pPr>
            <w:r>
              <w:rPr>
                <w:rFonts w:ascii="宋体" w:hAnsi="宋体" w:eastAsia="宋体"/>
                <w:sz w:val="18"/>
              </w:rPr>
              <w:t>3,992</w:t>
            </w:r>
          </w:p>
        </w:tc>
      </w:tr>
    </w:tbl>
    <w:p>
      <w:pPr>
        <w:spacing w:line="360" w:lineRule="auto" w:before="60" w:after="60"/>
        <w:ind w:firstLine="420"/>
      </w:pPr>
      <w:r>
        <w:rPr>
          <w:rFonts w:ascii="宋体" w:hAnsi="宋体" w:eastAsia="宋体"/>
          <w:sz w:val="21"/>
        </w:rPr>
        <w:t>模型整体准确率93.8%，宏平均F1值93.8%。负面情感识别能力最强（F1=0.99，召回率100%），对舆情风险预警具有极高实用价值。</w:t>
      </w:r>
    </w:p>
    <w:p>
      <w:pPr>
        <w:spacing w:line="360" w:lineRule="auto"/>
        <w:ind w:firstLine="420"/>
      </w:pPr>
      <w:r>
        <w:rPr>
          <w:rFonts w:ascii="宋体" w:hAnsi="宋体" w:eastAsia="宋体"/>
          <w:b/>
          <w:sz w:val="21"/>
        </w:rPr>
        <w:t>（2）方面级情感分析</w:t>
      </w:r>
    </w:p>
    <w:p>
      <w:pPr>
        <w:spacing w:line="360" w:lineRule="auto" w:before="60" w:after="60"/>
        <w:ind w:firstLine="420"/>
      </w:pPr>
      <w:r>
        <w:rPr>
          <w:rFonts w:ascii="宋体" w:hAnsi="宋体" w:eastAsia="宋体"/>
          <w:sz w:val="21"/>
        </w:rPr>
        <w:t>在基础情感分析基础上，本研究采用"关键词规则提取方面+BERT模型判断情感"的轻量级方面级情感分析方法。基于论文风险识别框架，构建四个方面维度：设计文化（design）、品质工艺（quality）、价格性价比（price）、营销服务（marketing），每个维度配置15-25个关键词。对于每条文本，首先通过关键词匹配确定涉及的方面，然后提取关键词附近上下文片段，使用BERT模型判断该方面的情感极性。</w:t>
      </w:r>
    </w:p>
    <w:p>
      <w:pPr>
        <w:spacing w:line="360" w:lineRule="auto"/>
        <w:ind w:firstLine="420"/>
      </w:pPr>
      <w:r>
        <w:rPr>
          <w:rFonts w:ascii="宋体" w:hAnsi="宋体" w:eastAsia="宋体"/>
          <w:b/>
          <w:sz w:val="21"/>
        </w:rPr>
        <w:t>（3）观点挖掘</w:t>
      </w:r>
    </w:p>
    <w:p>
      <w:pPr>
        <w:spacing w:line="360" w:lineRule="auto" w:before="60" w:after="60"/>
        <w:ind w:firstLine="420"/>
      </w:pPr>
      <w:r>
        <w:rPr>
          <w:rFonts w:ascii="宋体" w:hAnsi="宋体" w:eastAsia="宋体"/>
          <w:sz w:val="21"/>
        </w:rPr>
        <w:t>观点挖掘采用TF-IDF方法提取核心观点词，设置最大特征数200，n-gram范围(1,2)，并按情感类别分别统计高频观点词。</w:t>
      </w:r>
    </w:p>
    <w:p>
      <w:pPr>
        <w:pStyle w:val="Heading3"/>
      </w:pPr>
      <w:r>
        <w:rPr>
          <w:rFonts w:ascii="黑体" w:hAnsi="黑体" w:eastAsia="黑体"/>
          <w:sz w:val="24"/>
        </w:rPr>
        <w:t>3.3.2 情感与观点分布特征</w:t>
      </w:r>
    </w:p>
    <w:p>
      <w:pPr>
        <w:spacing w:line="360" w:lineRule="auto"/>
        <w:ind w:firstLine="420"/>
      </w:pPr>
      <w:r>
        <w:rPr>
          <w:rFonts w:ascii="宋体" w:hAnsi="宋体" w:eastAsia="宋体"/>
          <w:b/>
          <w:sz w:val="21"/>
        </w:rPr>
        <w:t>（1）整体情感分布</w:t>
      </w:r>
    </w:p>
    <w:p>
      <w:pPr>
        <w:jc w:val="center"/>
      </w:pPr>
      <w:r>
        <w:drawing>
          <wp:inline xmlns:a="http://schemas.openxmlformats.org/drawingml/2006/main" xmlns:pic="http://schemas.openxmlformats.org/drawingml/2006/picture">
            <wp:extent cx="5029200" cy="5319028"/>
            <wp:docPr id="3" name="Picture 3"/>
            <wp:cNvGraphicFramePr>
              <a:graphicFrameLocks noChangeAspect="1"/>
            </wp:cNvGraphicFramePr>
            <a:graphic>
              <a:graphicData uri="http://schemas.openxmlformats.org/drawingml/2006/picture">
                <pic:pic>
                  <pic:nvPicPr>
                    <pic:cNvPr id="0" name="图3_情感分布饼图.png"/>
                    <pic:cNvPicPr/>
                  </pic:nvPicPr>
                  <pic:blipFill>
                    <a:blip r:embed="rId11"/>
                    <a:stretch>
                      <a:fillRect/>
                    </a:stretch>
                  </pic:blipFill>
                  <pic:spPr>
                    <a:xfrm>
                      <a:off x="0" y="0"/>
                      <a:ext cx="5029200" cy="5319028"/>
                    </a:xfrm>
                    <a:prstGeom prst="rect"/>
                  </pic:spPr>
                </pic:pic>
              </a:graphicData>
            </a:graphic>
          </wp:inline>
        </w:drawing>
      </w:r>
    </w:p>
    <w:p>
      <w:pPr>
        <w:spacing w:line="360" w:lineRule="auto" w:before="60" w:after="60"/>
        <w:ind w:firstLine="420"/>
      </w:pPr>
      <w:r>
        <w:rPr>
          <w:rFonts w:ascii="宋体" w:hAnsi="宋体" w:eastAsia="宋体"/>
          <w:sz w:val="21"/>
        </w:rPr>
        <w:t>整体情感以中性为主（8,871条，62.7%），正面次之（4,537条，32.1%），负面占比最低（748条，5.3%），表明博物馆文创舆情整体氛围较为积极，但仍存在一定比例的负面声音。</w:t>
      </w:r>
    </w:p>
    <w:p>
      <w:pPr>
        <w:spacing w:line="360" w:lineRule="auto"/>
        <w:ind w:firstLine="420"/>
      </w:pPr>
      <w:r>
        <w:rPr>
          <w:rFonts w:ascii="宋体" w:hAnsi="宋体" w:eastAsia="宋体"/>
          <w:b/>
          <w:sz w:val="21"/>
        </w:rPr>
        <w:t>表3-7 各平台情感分布对比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平台</w:t>
            </w:r>
          </w:p>
        </w:tc>
        <w:tc>
          <w:tcPr>
            <w:tcW w:type="dxa" w:w="2351"/>
          </w:tcPr>
          <w:p>
            <w:pPr>
              <w:jc w:val="center"/>
            </w:pPr>
            <w:r>
              <w:rPr>
                <w:rFonts w:ascii="宋体" w:hAnsi="宋体" w:eastAsia="宋体"/>
                <w:b/>
                <w:sz w:val="18"/>
              </w:rPr>
              <w:t>正面占比</w:t>
            </w:r>
          </w:p>
        </w:tc>
        <w:tc>
          <w:tcPr>
            <w:tcW w:type="dxa" w:w="2351"/>
          </w:tcPr>
          <w:p>
            <w:pPr>
              <w:jc w:val="center"/>
            </w:pPr>
            <w:r>
              <w:rPr>
                <w:rFonts w:ascii="宋体" w:hAnsi="宋体" w:eastAsia="宋体"/>
                <w:b/>
                <w:sz w:val="18"/>
              </w:rPr>
              <w:t>中性占比</w:t>
            </w:r>
          </w:p>
        </w:tc>
        <w:tc>
          <w:tcPr>
            <w:tcW w:type="dxa" w:w="2351"/>
          </w:tcPr>
          <w:p>
            <w:pPr>
              <w:jc w:val="center"/>
            </w:pPr>
            <w:r>
              <w:rPr>
                <w:rFonts w:ascii="宋体" w:hAnsi="宋体" w:eastAsia="宋体"/>
                <w:b/>
                <w:sz w:val="18"/>
              </w:rPr>
              <w:t>负面占比</w:t>
            </w:r>
          </w:p>
        </w:tc>
      </w:tr>
      <w:tr>
        <w:tc>
          <w:tcPr>
            <w:tcW w:type="dxa" w:w="2351"/>
          </w:tcPr>
          <w:p>
            <w:pPr>
              <w:jc w:val="center"/>
            </w:pPr>
            <w:r>
              <w:rPr>
                <w:rFonts w:ascii="宋体" w:hAnsi="宋体" w:eastAsia="宋体"/>
                <w:sz w:val="18"/>
              </w:rPr>
              <w:t>微博</w:t>
            </w:r>
          </w:p>
        </w:tc>
        <w:tc>
          <w:tcPr>
            <w:tcW w:type="dxa" w:w="2351"/>
          </w:tcPr>
          <w:p>
            <w:pPr>
              <w:jc w:val="center"/>
            </w:pPr>
            <w:r>
              <w:rPr>
                <w:rFonts w:ascii="宋体" w:hAnsi="宋体" w:eastAsia="宋体"/>
                <w:sz w:val="18"/>
              </w:rPr>
              <w:t>76.4%</w:t>
            </w:r>
          </w:p>
        </w:tc>
        <w:tc>
          <w:tcPr>
            <w:tcW w:type="dxa" w:w="2351"/>
          </w:tcPr>
          <w:p>
            <w:pPr>
              <w:jc w:val="center"/>
            </w:pPr>
            <w:r>
              <w:rPr>
                <w:rFonts w:ascii="宋体" w:hAnsi="宋体" w:eastAsia="宋体"/>
                <w:sz w:val="18"/>
              </w:rPr>
              <w:t>12.7%</w:t>
            </w:r>
          </w:p>
        </w:tc>
        <w:tc>
          <w:tcPr>
            <w:tcW w:type="dxa" w:w="2351"/>
          </w:tcPr>
          <w:p>
            <w:pPr>
              <w:jc w:val="center"/>
            </w:pPr>
            <w:r>
              <w:rPr>
                <w:rFonts w:ascii="宋体" w:hAnsi="宋体" w:eastAsia="宋体"/>
                <w:sz w:val="18"/>
              </w:rPr>
              <w:t>10.8%</w:t>
            </w:r>
          </w:p>
        </w:tc>
      </w:tr>
      <w:tr>
        <w:tc>
          <w:tcPr>
            <w:tcW w:type="dxa" w:w="2351"/>
          </w:tcPr>
          <w:p>
            <w:pPr>
              <w:jc w:val="center"/>
            </w:pPr>
            <w:r>
              <w:rPr>
                <w:rFonts w:ascii="宋体" w:hAnsi="宋体" w:eastAsia="宋体"/>
                <w:sz w:val="18"/>
              </w:rPr>
              <w:t>B站</w:t>
            </w:r>
          </w:p>
        </w:tc>
        <w:tc>
          <w:tcPr>
            <w:tcW w:type="dxa" w:w="2351"/>
          </w:tcPr>
          <w:p>
            <w:pPr>
              <w:jc w:val="center"/>
            </w:pPr>
            <w:r>
              <w:rPr>
                <w:rFonts w:ascii="宋体" w:hAnsi="宋体" w:eastAsia="宋体"/>
                <w:sz w:val="18"/>
              </w:rPr>
              <w:t>17.2%</w:t>
            </w:r>
          </w:p>
        </w:tc>
        <w:tc>
          <w:tcPr>
            <w:tcW w:type="dxa" w:w="2351"/>
          </w:tcPr>
          <w:p>
            <w:pPr>
              <w:jc w:val="center"/>
            </w:pPr>
            <w:r>
              <w:rPr>
                <w:rFonts w:ascii="宋体" w:hAnsi="宋体" w:eastAsia="宋体"/>
                <w:sz w:val="18"/>
              </w:rPr>
              <w:t>79.3%</w:t>
            </w:r>
          </w:p>
        </w:tc>
        <w:tc>
          <w:tcPr>
            <w:tcW w:type="dxa" w:w="2351"/>
          </w:tcPr>
          <w:p>
            <w:pPr>
              <w:jc w:val="center"/>
            </w:pPr>
            <w:r>
              <w:rPr>
                <w:rFonts w:ascii="宋体" w:hAnsi="宋体" w:eastAsia="宋体"/>
                <w:sz w:val="18"/>
              </w:rPr>
              <w:t>3.4%</w:t>
            </w:r>
          </w:p>
        </w:tc>
      </w:tr>
    </w:tbl>
    <w:p>
      <w:pPr>
        <w:jc w:val="center"/>
      </w:pPr>
      <w:r>
        <w:drawing>
          <wp:inline xmlns:a="http://schemas.openxmlformats.org/drawingml/2006/main" xmlns:pic="http://schemas.openxmlformats.org/drawingml/2006/picture">
            <wp:extent cx="5029200" cy="4090086"/>
            <wp:docPr id="4" name="Picture 4"/>
            <wp:cNvGraphicFramePr>
              <a:graphicFrameLocks noChangeAspect="1"/>
            </wp:cNvGraphicFramePr>
            <a:graphic>
              <a:graphicData uri="http://schemas.openxmlformats.org/drawingml/2006/picture">
                <pic:pic>
                  <pic:nvPicPr>
                    <pic:cNvPr id="0" name="图6_平台情感分布.png"/>
                    <pic:cNvPicPr/>
                  </pic:nvPicPr>
                  <pic:blipFill>
                    <a:blip r:embed="rId12"/>
                    <a:stretch>
                      <a:fillRect/>
                    </a:stretch>
                  </pic:blipFill>
                  <pic:spPr>
                    <a:xfrm>
                      <a:off x="0" y="0"/>
                      <a:ext cx="5029200" cy="4090086"/>
                    </a:xfrm>
                    <a:prstGeom prst="rect"/>
                  </pic:spPr>
                </pic:pic>
              </a:graphicData>
            </a:graphic>
          </wp:inline>
        </w:drawing>
      </w:r>
    </w:p>
    <w:p>
      <w:pPr>
        <w:spacing w:line="360" w:lineRule="auto" w:before="60" w:after="60"/>
        <w:ind w:firstLine="420"/>
      </w:pPr>
      <w:r>
        <w:rPr>
          <w:rFonts w:ascii="宋体" w:hAnsi="宋体" w:eastAsia="宋体"/>
          <w:sz w:val="21"/>
        </w:rPr>
        <w:t>微博与B站之间存在显著的"情感分化"现象。微博正面率高达76.4%，远高于B站的17.2%。这一差异主要源于数据类型的不同：微博数据为用户自发帖子，天然带有更强的主观表达倾向；B站数据以视频标题和描述为主，文本风格偏向客观叙述。微博负面率（10.8%）高于B站（3.4%），说明微博用户在表达不满和批评方面更为活跃，提示微博是舆情风险监测的重点平台。</w:t>
      </w:r>
    </w:p>
    <w:p>
      <w:pPr>
        <w:jc w:val="center"/>
      </w:pPr>
      <w:r>
        <w:drawing>
          <wp:inline xmlns:a="http://schemas.openxmlformats.org/drawingml/2006/main" xmlns:pic="http://schemas.openxmlformats.org/drawingml/2006/picture">
            <wp:extent cx="5029200" cy="3201940"/>
            <wp:docPr id="5" name="Picture 5"/>
            <wp:cNvGraphicFramePr>
              <a:graphicFrameLocks noChangeAspect="1"/>
            </wp:cNvGraphicFramePr>
            <a:graphic>
              <a:graphicData uri="http://schemas.openxmlformats.org/drawingml/2006/picture">
                <pic:pic>
                  <pic:nvPicPr>
                    <pic:cNvPr id="0" name="图4_主题情感分布.png"/>
                    <pic:cNvPicPr/>
                  </pic:nvPicPr>
                  <pic:blipFill>
                    <a:blip r:embed="rId13"/>
                    <a:stretch>
                      <a:fillRect/>
                    </a:stretch>
                  </pic:blipFill>
                  <pic:spPr>
                    <a:xfrm>
                      <a:off x="0" y="0"/>
                      <a:ext cx="5029200" cy="3201940"/>
                    </a:xfrm>
                    <a:prstGeom prst="rect"/>
                  </pic:spPr>
                </pic:pic>
              </a:graphicData>
            </a:graphic>
          </wp:inline>
        </w:drawing>
      </w:r>
    </w:p>
    <w:p>
      <w:pPr>
        <w:spacing w:line="360" w:lineRule="auto" w:before="60" w:after="60"/>
        <w:ind w:firstLine="420"/>
      </w:pPr>
      <w:r>
        <w:rPr>
          <w:rFonts w:ascii="宋体" w:hAnsi="宋体" w:eastAsia="宋体"/>
          <w:sz w:val="21"/>
        </w:rPr>
        <w:t>各主题情感分布也存在差异。主题4（冰箱贴与文创设计）正面率最高（47.0%），说明公众对文创产品设计评价较为积极；主题3（敦煌文化）负面占比最高（7.1%），涉及文化表达争议。</w:t>
      </w:r>
    </w:p>
    <w:p>
      <w:pPr>
        <w:spacing w:line="360" w:lineRule="auto"/>
        <w:ind w:firstLine="420"/>
      </w:pPr>
      <w:r>
        <w:rPr>
          <w:rFonts w:ascii="宋体" w:hAnsi="宋体" w:eastAsia="宋体"/>
          <w:b/>
          <w:sz w:val="21"/>
        </w:rPr>
        <w:t>（2）方面级情感分布</w:t>
      </w:r>
    </w:p>
    <w:p>
      <w:pPr>
        <w:spacing w:line="360" w:lineRule="auto"/>
        <w:ind w:firstLine="420"/>
      </w:pPr>
      <w:r>
        <w:rPr>
          <w:rFonts w:ascii="宋体" w:hAnsi="宋体" w:eastAsia="宋体"/>
          <w:b/>
          <w:sz w:val="21"/>
        </w:rPr>
        <w:t>表3-8 方面级情感分布</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宋体" w:hAnsi="宋体" w:eastAsia="宋体"/>
                <w:b/>
                <w:sz w:val="18"/>
              </w:rPr>
              <w:t>方面维度</w:t>
            </w:r>
          </w:p>
        </w:tc>
        <w:tc>
          <w:tcPr>
            <w:tcW w:type="dxa" w:w="1568"/>
          </w:tcPr>
          <w:p>
            <w:pPr>
              <w:jc w:val="center"/>
            </w:pPr>
            <w:r>
              <w:rPr>
                <w:rFonts w:ascii="宋体" w:hAnsi="宋体" w:eastAsia="宋体"/>
                <w:b/>
                <w:sz w:val="18"/>
              </w:rPr>
              <w:t>总标注数</w:t>
            </w:r>
          </w:p>
        </w:tc>
        <w:tc>
          <w:tcPr>
            <w:tcW w:type="dxa" w:w="1568"/>
          </w:tcPr>
          <w:p>
            <w:pPr>
              <w:jc w:val="center"/>
            </w:pPr>
            <w:r>
              <w:rPr>
                <w:rFonts w:ascii="宋体" w:hAnsi="宋体" w:eastAsia="宋体"/>
                <w:b/>
                <w:sz w:val="18"/>
              </w:rPr>
              <w:t>正面</w:t>
            </w:r>
          </w:p>
        </w:tc>
        <w:tc>
          <w:tcPr>
            <w:tcW w:type="dxa" w:w="1568"/>
          </w:tcPr>
          <w:p>
            <w:pPr>
              <w:jc w:val="center"/>
            </w:pPr>
            <w:r>
              <w:rPr>
                <w:rFonts w:ascii="宋体" w:hAnsi="宋体" w:eastAsia="宋体"/>
                <w:b/>
                <w:sz w:val="18"/>
              </w:rPr>
              <w:t>中性</w:t>
            </w:r>
          </w:p>
        </w:tc>
        <w:tc>
          <w:tcPr>
            <w:tcW w:type="dxa" w:w="1568"/>
          </w:tcPr>
          <w:p>
            <w:pPr>
              <w:jc w:val="center"/>
            </w:pPr>
            <w:r>
              <w:rPr>
                <w:rFonts w:ascii="宋体" w:hAnsi="宋体" w:eastAsia="宋体"/>
                <w:b/>
                <w:sz w:val="18"/>
              </w:rPr>
              <w:t>负面</w:t>
            </w:r>
          </w:p>
        </w:tc>
        <w:tc>
          <w:tcPr>
            <w:tcW w:type="dxa" w:w="1568"/>
          </w:tcPr>
          <w:p>
            <w:pPr>
              <w:jc w:val="center"/>
            </w:pPr>
            <w:r>
              <w:rPr>
                <w:rFonts w:ascii="宋体" w:hAnsi="宋体" w:eastAsia="宋体"/>
                <w:b/>
                <w:sz w:val="18"/>
              </w:rPr>
              <w:t>负面占比</w:t>
            </w:r>
          </w:p>
        </w:tc>
      </w:tr>
      <w:tr>
        <w:tc>
          <w:tcPr>
            <w:tcW w:type="dxa" w:w="1568"/>
          </w:tcPr>
          <w:p>
            <w:pPr>
              <w:jc w:val="center"/>
            </w:pPr>
            <w:r>
              <w:rPr>
                <w:rFonts w:ascii="宋体" w:hAnsi="宋体" w:eastAsia="宋体"/>
                <w:sz w:val="18"/>
              </w:rPr>
              <w:t>设计文化</w:t>
            </w:r>
          </w:p>
        </w:tc>
        <w:tc>
          <w:tcPr>
            <w:tcW w:type="dxa" w:w="1568"/>
          </w:tcPr>
          <w:p>
            <w:pPr>
              <w:jc w:val="center"/>
            </w:pPr>
            <w:r>
              <w:rPr>
                <w:rFonts w:ascii="宋体" w:hAnsi="宋体" w:eastAsia="宋体"/>
                <w:sz w:val="18"/>
              </w:rPr>
              <w:t>4,531</w:t>
            </w:r>
          </w:p>
        </w:tc>
        <w:tc>
          <w:tcPr>
            <w:tcW w:type="dxa" w:w="1568"/>
          </w:tcPr>
          <w:p>
            <w:pPr>
              <w:jc w:val="center"/>
            </w:pPr>
            <w:r>
              <w:rPr>
                <w:rFonts w:ascii="宋体" w:hAnsi="宋体" w:eastAsia="宋体"/>
                <w:sz w:val="18"/>
              </w:rPr>
              <w:t>1,750</w:t>
            </w:r>
          </w:p>
        </w:tc>
        <w:tc>
          <w:tcPr>
            <w:tcW w:type="dxa" w:w="1568"/>
          </w:tcPr>
          <w:p>
            <w:pPr>
              <w:jc w:val="center"/>
            </w:pPr>
            <w:r>
              <w:rPr>
                <w:rFonts w:ascii="宋体" w:hAnsi="宋体" w:eastAsia="宋体"/>
                <w:sz w:val="18"/>
              </w:rPr>
              <w:t>2,656</w:t>
            </w:r>
          </w:p>
        </w:tc>
        <w:tc>
          <w:tcPr>
            <w:tcW w:type="dxa" w:w="1568"/>
          </w:tcPr>
          <w:p>
            <w:pPr>
              <w:jc w:val="center"/>
            </w:pPr>
            <w:r>
              <w:rPr>
                <w:rFonts w:ascii="宋体" w:hAnsi="宋体" w:eastAsia="宋体"/>
                <w:sz w:val="18"/>
              </w:rPr>
              <w:t>125</w:t>
            </w:r>
          </w:p>
        </w:tc>
        <w:tc>
          <w:tcPr>
            <w:tcW w:type="dxa" w:w="1568"/>
          </w:tcPr>
          <w:p>
            <w:pPr>
              <w:jc w:val="center"/>
            </w:pPr>
            <w:r>
              <w:rPr>
                <w:rFonts w:ascii="宋体" w:hAnsi="宋体" w:eastAsia="宋体"/>
                <w:sz w:val="18"/>
              </w:rPr>
              <w:t>2.8%</w:t>
            </w:r>
          </w:p>
        </w:tc>
      </w:tr>
      <w:tr>
        <w:tc>
          <w:tcPr>
            <w:tcW w:type="dxa" w:w="1568"/>
          </w:tcPr>
          <w:p>
            <w:pPr>
              <w:jc w:val="center"/>
            </w:pPr>
            <w:r>
              <w:rPr>
                <w:rFonts w:ascii="宋体" w:hAnsi="宋体" w:eastAsia="宋体"/>
                <w:sz w:val="18"/>
              </w:rPr>
              <w:t>品质工艺</w:t>
            </w:r>
          </w:p>
        </w:tc>
        <w:tc>
          <w:tcPr>
            <w:tcW w:type="dxa" w:w="1568"/>
          </w:tcPr>
          <w:p>
            <w:pPr>
              <w:jc w:val="center"/>
            </w:pPr>
            <w:r>
              <w:rPr>
                <w:rFonts w:ascii="宋体" w:hAnsi="宋体" w:eastAsia="宋体"/>
                <w:sz w:val="18"/>
              </w:rPr>
              <w:t>921</w:t>
            </w:r>
          </w:p>
        </w:tc>
        <w:tc>
          <w:tcPr>
            <w:tcW w:type="dxa" w:w="1568"/>
          </w:tcPr>
          <w:p>
            <w:pPr>
              <w:jc w:val="center"/>
            </w:pPr>
            <w:r>
              <w:rPr>
                <w:rFonts w:ascii="宋体" w:hAnsi="宋体" w:eastAsia="宋体"/>
                <w:sz w:val="18"/>
              </w:rPr>
              <w:t>430</w:t>
            </w:r>
          </w:p>
        </w:tc>
        <w:tc>
          <w:tcPr>
            <w:tcW w:type="dxa" w:w="1568"/>
          </w:tcPr>
          <w:p>
            <w:pPr>
              <w:jc w:val="center"/>
            </w:pPr>
            <w:r>
              <w:rPr>
                <w:rFonts w:ascii="宋体" w:hAnsi="宋体" w:eastAsia="宋体"/>
                <w:sz w:val="18"/>
              </w:rPr>
              <w:t>445</w:t>
            </w:r>
          </w:p>
        </w:tc>
        <w:tc>
          <w:tcPr>
            <w:tcW w:type="dxa" w:w="1568"/>
          </w:tcPr>
          <w:p>
            <w:pPr>
              <w:jc w:val="center"/>
            </w:pPr>
            <w:r>
              <w:rPr>
                <w:rFonts w:ascii="宋体" w:hAnsi="宋体" w:eastAsia="宋体"/>
                <w:sz w:val="18"/>
              </w:rPr>
              <w:t>46</w:t>
            </w:r>
          </w:p>
        </w:tc>
        <w:tc>
          <w:tcPr>
            <w:tcW w:type="dxa" w:w="1568"/>
          </w:tcPr>
          <w:p>
            <w:pPr>
              <w:jc w:val="center"/>
            </w:pPr>
            <w:r>
              <w:rPr>
                <w:rFonts w:ascii="宋体" w:hAnsi="宋体" w:eastAsia="宋体"/>
                <w:sz w:val="18"/>
              </w:rPr>
              <w:t>5.0%</w:t>
            </w:r>
          </w:p>
        </w:tc>
      </w:tr>
      <w:tr>
        <w:tc>
          <w:tcPr>
            <w:tcW w:type="dxa" w:w="1568"/>
          </w:tcPr>
          <w:p>
            <w:pPr>
              <w:jc w:val="center"/>
            </w:pPr>
            <w:r>
              <w:rPr>
                <w:rFonts w:ascii="宋体" w:hAnsi="宋体" w:eastAsia="宋体"/>
                <w:sz w:val="18"/>
              </w:rPr>
              <w:t>价格性价比</w:t>
            </w:r>
          </w:p>
        </w:tc>
        <w:tc>
          <w:tcPr>
            <w:tcW w:type="dxa" w:w="1568"/>
          </w:tcPr>
          <w:p>
            <w:pPr>
              <w:jc w:val="center"/>
            </w:pPr>
            <w:r>
              <w:rPr>
                <w:rFonts w:ascii="宋体" w:hAnsi="宋体" w:eastAsia="宋体"/>
                <w:sz w:val="18"/>
              </w:rPr>
              <w:t>1,059</w:t>
            </w:r>
          </w:p>
        </w:tc>
        <w:tc>
          <w:tcPr>
            <w:tcW w:type="dxa" w:w="1568"/>
          </w:tcPr>
          <w:p>
            <w:pPr>
              <w:jc w:val="center"/>
            </w:pPr>
            <w:r>
              <w:rPr>
                <w:rFonts w:ascii="宋体" w:hAnsi="宋体" w:eastAsia="宋体"/>
                <w:sz w:val="18"/>
              </w:rPr>
              <w:t>230</w:t>
            </w:r>
          </w:p>
        </w:tc>
        <w:tc>
          <w:tcPr>
            <w:tcW w:type="dxa" w:w="1568"/>
          </w:tcPr>
          <w:p>
            <w:pPr>
              <w:jc w:val="center"/>
            </w:pPr>
            <w:r>
              <w:rPr>
                <w:rFonts w:ascii="宋体" w:hAnsi="宋体" w:eastAsia="宋体"/>
                <w:sz w:val="18"/>
              </w:rPr>
              <w:t>726</w:t>
            </w:r>
          </w:p>
        </w:tc>
        <w:tc>
          <w:tcPr>
            <w:tcW w:type="dxa" w:w="1568"/>
          </w:tcPr>
          <w:p>
            <w:pPr>
              <w:jc w:val="center"/>
            </w:pPr>
            <w:r>
              <w:rPr>
                <w:rFonts w:ascii="宋体" w:hAnsi="宋体" w:eastAsia="宋体"/>
                <w:sz w:val="18"/>
              </w:rPr>
              <w:t>103</w:t>
            </w:r>
          </w:p>
        </w:tc>
        <w:tc>
          <w:tcPr>
            <w:tcW w:type="dxa" w:w="1568"/>
          </w:tcPr>
          <w:p>
            <w:pPr>
              <w:jc w:val="center"/>
            </w:pPr>
            <w:r>
              <w:rPr>
                <w:rFonts w:ascii="宋体" w:hAnsi="宋体" w:eastAsia="宋体"/>
                <w:sz w:val="18"/>
              </w:rPr>
              <w:t>9.7%</w:t>
            </w:r>
          </w:p>
        </w:tc>
      </w:tr>
      <w:tr>
        <w:tc>
          <w:tcPr>
            <w:tcW w:type="dxa" w:w="1568"/>
          </w:tcPr>
          <w:p>
            <w:pPr>
              <w:jc w:val="center"/>
            </w:pPr>
            <w:r>
              <w:rPr>
                <w:rFonts w:ascii="宋体" w:hAnsi="宋体" w:eastAsia="宋体"/>
                <w:sz w:val="18"/>
              </w:rPr>
              <w:t>营销服务</w:t>
            </w:r>
          </w:p>
        </w:tc>
        <w:tc>
          <w:tcPr>
            <w:tcW w:type="dxa" w:w="1568"/>
          </w:tcPr>
          <w:p>
            <w:pPr>
              <w:jc w:val="center"/>
            </w:pPr>
            <w:r>
              <w:rPr>
                <w:rFonts w:ascii="宋体" w:hAnsi="宋体" w:eastAsia="宋体"/>
                <w:sz w:val="18"/>
              </w:rPr>
              <w:t>648</w:t>
            </w:r>
          </w:p>
        </w:tc>
        <w:tc>
          <w:tcPr>
            <w:tcW w:type="dxa" w:w="1568"/>
          </w:tcPr>
          <w:p>
            <w:pPr>
              <w:jc w:val="center"/>
            </w:pPr>
            <w:r>
              <w:rPr>
                <w:rFonts w:ascii="宋体" w:hAnsi="宋体" w:eastAsia="宋体"/>
                <w:sz w:val="18"/>
              </w:rPr>
              <w:t>183</w:t>
            </w:r>
          </w:p>
        </w:tc>
        <w:tc>
          <w:tcPr>
            <w:tcW w:type="dxa" w:w="1568"/>
          </w:tcPr>
          <w:p>
            <w:pPr>
              <w:jc w:val="center"/>
            </w:pPr>
            <w:r>
              <w:rPr>
                <w:rFonts w:ascii="宋体" w:hAnsi="宋体" w:eastAsia="宋体"/>
                <w:sz w:val="18"/>
              </w:rPr>
              <w:t>378</w:t>
            </w:r>
          </w:p>
        </w:tc>
        <w:tc>
          <w:tcPr>
            <w:tcW w:type="dxa" w:w="1568"/>
          </w:tcPr>
          <w:p>
            <w:pPr>
              <w:jc w:val="center"/>
            </w:pPr>
            <w:r>
              <w:rPr>
                <w:rFonts w:ascii="宋体" w:hAnsi="宋体" w:eastAsia="宋体"/>
                <w:sz w:val="18"/>
              </w:rPr>
              <w:t>87</w:t>
            </w:r>
          </w:p>
        </w:tc>
        <w:tc>
          <w:tcPr>
            <w:tcW w:type="dxa" w:w="1568"/>
          </w:tcPr>
          <w:p>
            <w:pPr>
              <w:jc w:val="center"/>
            </w:pPr>
            <w:r>
              <w:rPr>
                <w:rFonts w:ascii="宋体" w:hAnsi="宋体" w:eastAsia="宋体"/>
                <w:sz w:val="18"/>
              </w:rPr>
              <w:t>**13.4%**</w:t>
            </w:r>
          </w:p>
        </w:tc>
      </w:tr>
    </w:tbl>
    <w:p>
      <w:pPr>
        <w:jc w:val="center"/>
      </w:pPr>
      <w:r>
        <w:drawing>
          <wp:inline xmlns:a="http://schemas.openxmlformats.org/drawingml/2006/main" xmlns:pic="http://schemas.openxmlformats.org/drawingml/2006/picture">
            <wp:extent cx="5029200" cy="3210746"/>
            <wp:docPr id="6" name="Picture 6"/>
            <wp:cNvGraphicFramePr>
              <a:graphicFrameLocks noChangeAspect="1"/>
            </wp:cNvGraphicFramePr>
            <a:graphic>
              <a:graphicData uri="http://schemas.openxmlformats.org/drawingml/2006/picture">
                <pic:pic>
                  <pic:nvPicPr>
                    <pic:cNvPr id="0" name="图10_方面级情感分布.png"/>
                    <pic:cNvPicPr/>
                  </pic:nvPicPr>
                  <pic:blipFill>
                    <a:blip r:embed="rId14"/>
                    <a:stretch>
                      <a:fillRect/>
                    </a:stretch>
                  </pic:blipFill>
                  <pic:spPr>
                    <a:xfrm>
                      <a:off x="0" y="0"/>
                      <a:ext cx="5029200" cy="3210746"/>
                    </a:xfrm>
                    <a:prstGeom prst="rect"/>
                  </pic:spPr>
                </pic:pic>
              </a:graphicData>
            </a:graphic>
          </wp:inline>
        </w:drawing>
      </w:r>
    </w:p>
    <w:p>
      <w:pPr>
        <w:spacing w:before="60" w:after="120"/>
        <w:jc w:val="center"/>
      </w:pPr>
      <w:r>
        <w:rPr>
          <w:rFonts w:ascii="宋体" w:hAnsi="宋体" w:eastAsia="宋体"/>
          <w:b/>
          <w:sz w:val="18"/>
        </w:rPr>
        <w:t>[此处插入图11：方面级情感热力图]</w:t>
      </w:r>
    </w:p>
    <w:p>
      <w:pPr>
        <w:spacing w:line="360" w:lineRule="auto" w:before="60" w:after="60"/>
        <w:ind w:firstLine="420"/>
      </w:pPr>
      <w:r>
        <w:rPr>
          <w:rFonts w:ascii="宋体" w:hAnsi="宋体" w:eastAsia="宋体"/>
          <w:sz w:val="21"/>
        </w:rPr>
        <w:t>营销服务方面负面占比最高（13.4%），主要涉及黄牛倒卖、饥饿营销、客服态度等问题，是舆情风险的核心触发点。价格性价比方面负面占比9.7%，公众对文创定价偏高表达不满。设计文化方面讨论最多（4,531条）但负面率最低（2.8%），说明文创设计整体评价较好。</w:t>
      </w:r>
    </w:p>
    <w:p>
      <w:pPr>
        <w:spacing w:line="360" w:lineRule="auto"/>
        <w:ind w:firstLine="420"/>
      </w:pPr>
      <w:r>
        <w:rPr>
          <w:rFonts w:ascii="宋体" w:hAnsi="宋体" w:eastAsia="宋体"/>
          <w:b/>
          <w:sz w:val="21"/>
        </w:rPr>
        <w:t>（3）核心观点词云</w:t>
      </w:r>
    </w:p>
    <w:p>
      <w:pPr>
        <w:jc w:val="center"/>
      </w:pPr>
      <w:r>
        <w:drawing>
          <wp:inline xmlns:a="http://schemas.openxmlformats.org/drawingml/2006/main" xmlns:pic="http://schemas.openxmlformats.org/drawingml/2006/picture">
            <wp:extent cx="5029200" cy="2355532"/>
            <wp:docPr id="7" name="Picture 7"/>
            <wp:cNvGraphicFramePr>
              <a:graphicFrameLocks noChangeAspect="1"/>
            </wp:cNvGraphicFramePr>
            <a:graphic>
              <a:graphicData uri="http://schemas.openxmlformats.org/drawingml/2006/picture">
                <pic:pic>
                  <pic:nvPicPr>
                    <pic:cNvPr id="0" name="图5_观点词云.png"/>
                    <pic:cNvPicPr/>
                  </pic:nvPicPr>
                  <pic:blipFill>
                    <a:blip r:embed="rId15"/>
                    <a:stretch>
                      <a:fillRect/>
                    </a:stretch>
                  </pic:blipFill>
                  <pic:spPr>
                    <a:xfrm>
                      <a:off x="0" y="0"/>
                      <a:ext cx="5029200" cy="2355532"/>
                    </a:xfrm>
                    <a:prstGeom prst="rect"/>
                  </pic:spPr>
                </pic:pic>
              </a:graphicData>
            </a:graphic>
          </wp:inline>
        </w:drawing>
      </w:r>
    </w:p>
    <w:p>
      <w:pPr>
        <w:spacing w:line="360" w:lineRule="auto" w:before="60" w:after="60"/>
        <w:ind w:firstLine="420"/>
      </w:pPr>
      <w:r>
        <w:rPr>
          <w:rFonts w:ascii="宋体" w:hAnsi="宋体" w:eastAsia="宋体"/>
          <w:sz w:val="21"/>
        </w:rPr>
        <w:t>全局高频关键词为：博物馆、文创、故宫、三星堆、冰箱贴、中国、文物、敦煌、开箱、文化。正面情感高频词以"故宫""敦煌""三星堆"等具体博物馆IP为主；负面情感高频词以"文创产品""文物""设计""官方"为主，反映公众对产品质量、设计争议和官方回应态度的关注。</w:t>
      </w:r>
    </w:p>
    <w:p>
      <w:pPr>
        <w:pStyle w:val="Heading3"/>
      </w:pPr>
      <w:r>
        <w:rPr>
          <w:rFonts w:ascii="黑体" w:hAnsi="黑体" w:eastAsia="黑体"/>
          <w:sz w:val="24"/>
        </w:rPr>
        <w:t>3.3.3 情感与观点演变规律</w:t>
      </w:r>
    </w:p>
    <w:p>
      <w:pPr>
        <w:spacing w:line="360" w:lineRule="auto" w:before="60" w:after="60"/>
        <w:ind w:firstLine="420"/>
      </w:pPr>
      <w:r>
        <w:rPr>
          <w:rFonts w:ascii="宋体" w:hAnsi="宋体" w:eastAsia="宋体"/>
          <w:sz w:val="21"/>
        </w:rPr>
        <w:t>受微博API返回时间字段格式不统一的限制，本研究无法对所有数据进行精确的时序分析。但基于微博数据的观察发现：微博平台正面情感占主导地位（76.4%），负面情感主要集中在价格争议和营销服务两个维度。从方面级情感来看，营销服务方面负面占比最高（13.4%），是舆情风险的主要触发维度；设计文化方面正面主导，风险较低。这一发现与风险识别结果高度一致，验证了从情感分析到风险识别的分析链路有效性。</w:t>
      </w:r>
    </w:p>
    <w:p>
      <w:pPr>
        <w:pStyle w:val="Heading2"/>
      </w:pPr>
      <w:r>
        <w:rPr>
          <w:rFonts w:ascii="黑体" w:hAnsi="黑体" w:eastAsia="黑体"/>
          <w:sz w:val="28"/>
        </w:rPr>
        <w:t>3.4 本章小结</w:t>
      </w:r>
    </w:p>
    <w:p>
      <w:pPr>
        <w:spacing w:line="360" w:lineRule="auto" w:before="60" w:after="60"/>
        <w:ind w:firstLine="420"/>
      </w:pPr>
      <w:r>
        <w:rPr>
          <w:rFonts w:ascii="宋体" w:hAnsi="宋体" w:eastAsia="宋体"/>
          <w:sz w:val="21"/>
        </w:rPr>
        <w:t>本章通过对微博、B站两个平台27,949条原始数据的清洗（有效14,156条，有效率50.6%）、LDA主题聚类（K=5，Coherence=0.3519）、BERT情感分析（Accuracy=93.8%，F1=93.8%）和方面级情感挖掘，得出以下主要发现：</w:t>
      </w:r>
    </w:p>
    <w:p>
      <w:pPr>
        <w:spacing w:line="360" w:lineRule="auto" w:before="60" w:after="60"/>
        <w:ind w:firstLine="420"/>
      </w:pPr>
      <w:r>
        <w:rPr>
          <w:rFonts w:ascii="宋体" w:hAnsi="宋体" w:eastAsia="宋体"/>
          <w:sz w:val="21"/>
        </w:rPr>
        <w:t>（1）博物馆文创网络舆情可归纳为5大主题，文化传播与文创推荐为最大主题（59.4%），冰箱贴与文创设计次之（16.4%）。</w:t>
      </w:r>
    </w:p>
    <w:p>
      <w:pPr>
        <w:spacing w:line="360" w:lineRule="auto" w:before="60" w:after="60"/>
        <w:ind w:firstLine="420"/>
      </w:pPr>
      <w:r>
        <w:rPr>
          <w:rFonts w:ascii="宋体" w:hAnsi="宋体" w:eastAsia="宋体"/>
          <w:sz w:val="21"/>
        </w:rPr>
        <w:t>（2）整体情感以中性（62.7%）和正面（32.1%）为主，负面占5.3%。微博与B站存在显著的"情感分化"现象。</w:t>
      </w:r>
    </w:p>
    <w:p>
      <w:pPr>
        <w:spacing w:line="360" w:lineRule="auto" w:before="60" w:after="60"/>
        <w:ind w:firstLine="420"/>
      </w:pPr>
      <w:r>
        <w:rPr>
          <w:rFonts w:ascii="宋体" w:hAnsi="宋体" w:eastAsia="宋体"/>
          <w:sz w:val="21"/>
        </w:rPr>
        <w:t>（3）方面级情感分析显示，营销服务方面负面占比最高（13.4%），是舆情风险的核心触发点。</w:t>
      </w:r>
    </w:p>
    <w:p>
      <w:pPr>
        <w:spacing w:line="360" w:lineRule="auto" w:before="60" w:after="60"/>
        <w:ind w:firstLine="420"/>
      </w:pPr>
      <w:r>
        <w:rPr>
          <w:rFonts w:ascii="宋体" w:hAnsi="宋体" w:eastAsia="宋体"/>
          <w:sz w:val="21"/>
        </w:rPr>
        <w:t>（4）各主题间以中等正相关为主（0.22-0.55），文化传播主题与其他主题关联最强。</w:t>
      </w:r>
    </w:p>
    <w:p>
      <w:pPr>
        <w:pStyle w:val="Heading1"/>
      </w:pPr>
      <w:r>
        <w:rPr>
          <w:rFonts w:ascii="黑体" w:hAnsi="黑体" w:eastAsia="黑体"/>
          <w:sz w:val="32"/>
        </w:rPr>
        <w:t>4 基于舆情分析的博物馆文创产品舆情风险识别</w:t>
      </w:r>
    </w:p>
    <w:p>
      <w:pPr>
        <w:pStyle w:val="Heading2"/>
      </w:pPr>
      <w:r>
        <w:rPr>
          <w:rFonts w:ascii="黑体" w:hAnsi="黑体" w:eastAsia="黑体"/>
          <w:sz w:val="28"/>
        </w:rPr>
        <w:t>4.0 风险识别方法</w:t>
      </w:r>
    </w:p>
    <w:p>
      <w:pPr>
        <w:pStyle w:val="Heading3"/>
      </w:pPr>
      <w:r>
        <w:rPr>
          <w:rFonts w:ascii="黑体" w:hAnsi="黑体" w:eastAsia="黑体"/>
          <w:sz w:val="24"/>
        </w:rPr>
        <w:t>4.0.1 四维风险编码体系</w:t>
      </w:r>
    </w:p>
    <w:p>
      <w:pPr>
        <w:spacing w:line="360" w:lineRule="auto" w:before="60" w:after="60"/>
        <w:ind w:firstLine="420"/>
      </w:pPr>
      <w:r>
        <w:rPr>
          <w:rFonts w:ascii="宋体" w:hAnsi="宋体" w:eastAsia="宋体"/>
          <w:sz w:val="21"/>
        </w:rPr>
        <w:t>本研究基于文献分析与理论框架，构建"主体-内容-渠道-受众"四维风险编码体系（表4-1），将博物馆文创产品网络舆情风险划分为产品本体风险（A）、文化内容风险（B）、营销传播风险（C）和受众认同风险（D）四个一级维度，下设12个二级编码维度。</w:t>
      </w:r>
    </w:p>
    <w:p>
      <w:pPr>
        <w:spacing w:line="360" w:lineRule="auto"/>
        <w:ind w:firstLine="420"/>
      </w:pPr>
      <w:r>
        <w:rPr>
          <w:rFonts w:ascii="宋体" w:hAnsi="宋体" w:eastAsia="宋体"/>
          <w:b/>
          <w:sz w:val="21"/>
        </w:rPr>
        <w:t>表4-1 四维舆情风险编码体系</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一级维度</w:t>
            </w:r>
          </w:p>
        </w:tc>
        <w:tc>
          <w:tcPr>
            <w:tcW w:type="dxa" w:w="2351"/>
          </w:tcPr>
          <w:p>
            <w:pPr>
              <w:jc w:val="center"/>
            </w:pPr>
            <w:r>
              <w:rPr>
                <w:rFonts w:ascii="宋体" w:hAnsi="宋体" w:eastAsia="宋体"/>
                <w:b/>
                <w:sz w:val="18"/>
              </w:rPr>
              <w:t>二级编码</w:t>
            </w:r>
          </w:p>
        </w:tc>
        <w:tc>
          <w:tcPr>
            <w:tcW w:type="dxa" w:w="2351"/>
          </w:tcPr>
          <w:p>
            <w:pPr>
              <w:jc w:val="center"/>
            </w:pPr>
            <w:r>
              <w:rPr>
                <w:rFonts w:ascii="宋体" w:hAnsi="宋体" w:eastAsia="宋体"/>
                <w:b/>
                <w:sz w:val="18"/>
              </w:rPr>
              <w:t>三级操作化指标与语义特征</w:t>
            </w:r>
          </w:p>
        </w:tc>
        <w:tc>
          <w:tcPr>
            <w:tcW w:type="dxa" w:w="2351"/>
          </w:tcPr>
          <w:p>
            <w:pPr>
              <w:jc w:val="center"/>
            </w:pPr>
            <w:r>
              <w:rPr>
                <w:rFonts w:ascii="宋体" w:hAnsi="宋体" w:eastAsia="宋体"/>
                <w:b/>
                <w:sz w:val="18"/>
              </w:rPr>
              <w:t>典型关键词表征</w:t>
            </w:r>
          </w:p>
        </w:tc>
      </w:tr>
      <w:tr>
        <w:tc>
          <w:tcPr>
            <w:tcW w:type="dxa" w:w="2351"/>
          </w:tcPr>
          <w:p>
            <w:pPr>
              <w:jc w:val="center"/>
            </w:pPr>
            <w:r>
              <w:rPr>
                <w:rFonts w:ascii="宋体" w:hAnsi="宋体" w:eastAsia="宋体"/>
                <w:sz w:val="18"/>
              </w:rPr>
              <w:t>A.产品本体风险</w:t>
            </w:r>
          </w:p>
        </w:tc>
        <w:tc>
          <w:tcPr>
            <w:tcW w:type="dxa" w:w="2351"/>
          </w:tcPr>
          <w:p>
            <w:pPr>
              <w:jc w:val="center"/>
            </w:pPr>
            <w:r>
              <w:rPr>
                <w:rFonts w:ascii="宋体" w:hAnsi="宋体" w:eastAsia="宋体"/>
                <w:sz w:val="18"/>
              </w:rPr>
              <w:t>A1.材质工艺缺陷</w:t>
            </w:r>
          </w:p>
        </w:tc>
        <w:tc>
          <w:tcPr>
            <w:tcW w:type="dxa" w:w="2351"/>
          </w:tcPr>
          <w:p>
            <w:pPr>
              <w:jc w:val="center"/>
            </w:pPr>
            <w:r>
              <w:rPr>
                <w:rFonts w:ascii="宋体" w:hAnsi="宋体" w:eastAsia="宋体"/>
                <w:sz w:val="18"/>
              </w:rPr>
              <w:t>外观破损、做工毛刺、廉价感</w:t>
            </w:r>
          </w:p>
        </w:tc>
        <w:tc>
          <w:tcPr>
            <w:tcW w:type="dxa" w:w="2351"/>
          </w:tcPr>
          <w:p>
            <w:pPr>
              <w:jc w:val="center"/>
            </w:pPr>
            <w:r>
              <w:rPr>
                <w:rFonts w:ascii="宋体" w:hAnsi="宋体" w:eastAsia="宋体"/>
                <w:sz w:val="18"/>
              </w:rPr>
              <w:t>塑料感、毛刺、掉漆、粗糙</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A2.安全合规隐患</w:t>
            </w:r>
          </w:p>
        </w:tc>
        <w:tc>
          <w:tcPr>
            <w:tcW w:type="dxa" w:w="2351"/>
          </w:tcPr>
          <w:p>
            <w:pPr>
              <w:jc w:val="center"/>
            </w:pPr>
            <w:r>
              <w:rPr>
                <w:rFonts w:ascii="宋体" w:hAnsi="宋体" w:eastAsia="宋体"/>
                <w:sz w:val="18"/>
              </w:rPr>
              <w:t>异味、环保不合格</w:t>
            </w:r>
          </w:p>
        </w:tc>
        <w:tc>
          <w:tcPr>
            <w:tcW w:type="dxa" w:w="2351"/>
          </w:tcPr>
          <w:p>
            <w:pPr>
              <w:jc w:val="center"/>
            </w:pPr>
            <w:r>
              <w:rPr>
                <w:rFonts w:ascii="宋体" w:hAnsi="宋体" w:eastAsia="宋体"/>
                <w:sz w:val="18"/>
              </w:rPr>
              <w:t>异味、环保、不合格</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A3.侵权抄袭纠纷</w:t>
            </w:r>
          </w:p>
        </w:tc>
        <w:tc>
          <w:tcPr>
            <w:tcW w:type="dxa" w:w="2351"/>
          </w:tcPr>
          <w:p>
            <w:pPr>
              <w:jc w:val="center"/>
            </w:pPr>
            <w:r>
              <w:rPr>
                <w:rFonts w:ascii="宋体" w:hAnsi="宋体" w:eastAsia="宋体"/>
                <w:sz w:val="18"/>
              </w:rPr>
              <w:t>设计雷同、盗用版权</w:t>
            </w:r>
          </w:p>
        </w:tc>
        <w:tc>
          <w:tcPr>
            <w:tcW w:type="dxa" w:w="2351"/>
          </w:tcPr>
          <w:p>
            <w:pPr>
              <w:jc w:val="center"/>
            </w:pPr>
            <w:r>
              <w:rPr>
                <w:rFonts w:ascii="宋体" w:hAnsi="宋体" w:eastAsia="宋体"/>
                <w:sz w:val="18"/>
              </w:rPr>
              <w:t>抄袭、侵权、盗版、雷同</w:t>
            </w:r>
          </w:p>
        </w:tc>
      </w:tr>
      <w:tr>
        <w:tc>
          <w:tcPr>
            <w:tcW w:type="dxa" w:w="2351"/>
          </w:tcPr>
          <w:p>
            <w:pPr>
              <w:jc w:val="center"/>
            </w:pPr>
            <w:r>
              <w:rPr>
                <w:rFonts w:ascii="宋体" w:hAnsi="宋体" w:eastAsia="宋体"/>
                <w:sz w:val="18"/>
              </w:rPr>
              <w:t>B.文化内容风险</w:t>
            </w:r>
          </w:p>
        </w:tc>
        <w:tc>
          <w:tcPr>
            <w:tcW w:type="dxa" w:w="2351"/>
          </w:tcPr>
          <w:p>
            <w:pPr>
              <w:jc w:val="center"/>
            </w:pPr>
            <w:r>
              <w:rPr>
                <w:rFonts w:ascii="宋体" w:hAnsi="宋体" w:eastAsia="宋体"/>
                <w:sz w:val="18"/>
              </w:rPr>
              <w:t>B1.史实庸俗恶搞</w:t>
            </w:r>
          </w:p>
        </w:tc>
        <w:tc>
          <w:tcPr>
            <w:tcW w:type="dxa" w:w="2351"/>
          </w:tcPr>
          <w:p>
            <w:pPr>
              <w:jc w:val="center"/>
            </w:pPr>
            <w:r>
              <w:rPr>
                <w:rFonts w:ascii="宋体" w:hAnsi="宋体" w:eastAsia="宋体"/>
                <w:sz w:val="18"/>
              </w:rPr>
              <w:t>亵渎严肃历史、不尊重祭祀礼仪</w:t>
            </w:r>
          </w:p>
        </w:tc>
        <w:tc>
          <w:tcPr>
            <w:tcW w:type="dxa" w:w="2351"/>
          </w:tcPr>
          <w:p>
            <w:pPr>
              <w:jc w:val="center"/>
            </w:pPr>
            <w:r>
              <w:rPr>
                <w:rFonts w:ascii="宋体" w:hAnsi="宋体" w:eastAsia="宋体"/>
                <w:sz w:val="18"/>
              </w:rPr>
              <w:t>亵渎、恶搞、歪曲、不尊重</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B2.图腾符号误用</w:t>
            </w:r>
          </w:p>
        </w:tc>
        <w:tc>
          <w:tcPr>
            <w:tcW w:type="dxa" w:w="2351"/>
          </w:tcPr>
          <w:p>
            <w:pPr>
              <w:jc w:val="center"/>
            </w:pPr>
            <w:r>
              <w:rPr>
                <w:rFonts w:ascii="宋体" w:hAnsi="宋体" w:eastAsia="宋体"/>
                <w:sz w:val="18"/>
              </w:rPr>
              <w:t>符号误用、不当表达</w:t>
            </w:r>
          </w:p>
        </w:tc>
        <w:tc>
          <w:tcPr>
            <w:tcW w:type="dxa" w:w="2351"/>
          </w:tcPr>
          <w:p>
            <w:pPr>
              <w:jc w:val="center"/>
            </w:pPr>
            <w:r>
              <w:rPr>
                <w:rFonts w:ascii="宋体" w:hAnsi="宋体" w:eastAsia="宋体"/>
                <w:sz w:val="18"/>
              </w:rPr>
              <w:t>贴图、符号、误用</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B3.文化浅表贴标</w:t>
            </w:r>
          </w:p>
        </w:tc>
        <w:tc>
          <w:tcPr>
            <w:tcW w:type="dxa" w:w="2351"/>
          </w:tcPr>
          <w:p>
            <w:pPr>
              <w:jc w:val="center"/>
            </w:pPr>
            <w:r>
              <w:rPr>
                <w:rFonts w:ascii="宋体" w:hAnsi="宋体" w:eastAsia="宋体"/>
                <w:sz w:val="18"/>
              </w:rPr>
              <w:t>生搬硬套、毫无内涵</w:t>
            </w:r>
          </w:p>
        </w:tc>
        <w:tc>
          <w:tcPr>
            <w:tcW w:type="dxa" w:w="2351"/>
          </w:tcPr>
          <w:p>
            <w:pPr>
              <w:jc w:val="center"/>
            </w:pPr>
            <w:r>
              <w:rPr>
                <w:rFonts w:ascii="宋体" w:hAnsi="宋体" w:eastAsia="宋体"/>
                <w:sz w:val="18"/>
              </w:rPr>
              <w:t>毫无内涵、浅表、贴标签</w:t>
            </w:r>
          </w:p>
        </w:tc>
      </w:tr>
      <w:tr>
        <w:tc>
          <w:tcPr>
            <w:tcW w:type="dxa" w:w="2351"/>
          </w:tcPr>
          <w:p>
            <w:pPr>
              <w:jc w:val="center"/>
            </w:pPr>
            <w:r>
              <w:rPr>
                <w:rFonts w:ascii="宋体" w:hAnsi="宋体" w:eastAsia="宋体"/>
                <w:sz w:val="18"/>
              </w:rPr>
              <w:t>C.营销传播风险</w:t>
            </w:r>
          </w:p>
        </w:tc>
        <w:tc>
          <w:tcPr>
            <w:tcW w:type="dxa" w:w="2351"/>
          </w:tcPr>
          <w:p>
            <w:pPr>
              <w:jc w:val="center"/>
            </w:pPr>
            <w:r>
              <w:rPr>
                <w:rFonts w:ascii="宋体" w:hAnsi="宋体" w:eastAsia="宋体"/>
                <w:sz w:val="18"/>
              </w:rPr>
              <w:t>C1.饥饿营销黄牛</w:t>
            </w:r>
          </w:p>
        </w:tc>
        <w:tc>
          <w:tcPr>
            <w:tcW w:type="dxa" w:w="2351"/>
          </w:tcPr>
          <w:p>
            <w:pPr>
              <w:jc w:val="center"/>
            </w:pPr>
            <w:r>
              <w:rPr>
                <w:rFonts w:ascii="宋体" w:hAnsi="宋体" w:eastAsia="宋体"/>
                <w:sz w:val="18"/>
              </w:rPr>
              <w:t>人为限售缺货、黄牛倒卖</w:t>
            </w:r>
          </w:p>
        </w:tc>
        <w:tc>
          <w:tcPr>
            <w:tcW w:type="dxa" w:w="2351"/>
          </w:tcPr>
          <w:p>
            <w:pPr>
              <w:jc w:val="center"/>
            </w:pPr>
            <w:r>
              <w:rPr>
                <w:rFonts w:ascii="宋体" w:hAnsi="宋体" w:eastAsia="宋体"/>
                <w:sz w:val="18"/>
              </w:rPr>
              <w:t>黄牛、倒卖、溢价、缺货</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C2.虚假夸大宣传</w:t>
            </w:r>
          </w:p>
        </w:tc>
        <w:tc>
          <w:tcPr>
            <w:tcW w:type="dxa" w:w="2351"/>
          </w:tcPr>
          <w:p>
            <w:pPr>
              <w:jc w:val="center"/>
            </w:pPr>
            <w:r>
              <w:rPr>
                <w:rFonts w:ascii="宋体" w:hAnsi="宋体" w:eastAsia="宋体"/>
                <w:sz w:val="18"/>
              </w:rPr>
              <w:t>宣传效果不符、夸大其词</w:t>
            </w:r>
          </w:p>
        </w:tc>
        <w:tc>
          <w:tcPr>
            <w:tcW w:type="dxa" w:w="2351"/>
          </w:tcPr>
          <w:p>
            <w:pPr>
              <w:jc w:val="center"/>
            </w:pPr>
            <w:r>
              <w:rPr>
                <w:rFonts w:ascii="宋体" w:hAnsi="宋体" w:eastAsia="宋体"/>
                <w:sz w:val="18"/>
              </w:rPr>
              <w:t>骗人、夸大、虚假、不符</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C3.傲慢推诿公关</w:t>
            </w:r>
          </w:p>
        </w:tc>
        <w:tc>
          <w:tcPr>
            <w:tcW w:type="dxa" w:w="2351"/>
          </w:tcPr>
          <w:p>
            <w:pPr>
              <w:jc w:val="center"/>
            </w:pPr>
            <w:r>
              <w:rPr>
                <w:rFonts w:ascii="宋体" w:hAnsi="宋体" w:eastAsia="宋体"/>
                <w:sz w:val="18"/>
              </w:rPr>
              <w:t>删帖控评、推卸责任</w:t>
            </w:r>
          </w:p>
        </w:tc>
        <w:tc>
          <w:tcPr>
            <w:tcW w:type="dxa" w:w="2351"/>
          </w:tcPr>
          <w:p>
            <w:pPr>
              <w:jc w:val="center"/>
            </w:pPr>
            <w:r>
              <w:rPr>
                <w:rFonts w:ascii="宋体" w:hAnsi="宋体" w:eastAsia="宋体"/>
                <w:sz w:val="18"/>
              </w:rPr>
              <w:t>傲慢、删帖、推卸、避重就轻</w:t>
            </w:r>
          </w:p>
        </w:tc>
      </w:tr>
      <w:tr>
        <w:tc>
          <w:tcPr>
            <w:tcW w:type="dxa" w:w="2351"/>
          </w:tcPr>
          <w:p>
            <w:pPr>
              <w:jc w:val="center"/>
            </w:pPr>
            <w:r>
              <w:rPr>
                <w:rFonts w:ascii="宋体" w:hAnsi="宋体" w:eastAsia="宋体"/>
                <w:sz w:val="18"/>
              </w:rPr>
              <w:t>D.受众认同风险</w:t>
            </w:r>
          </w:p>
        </w:tc>
        <w:tc>
          <w:tcPr>
            <w:tcW w:type="dxa" w:w="2351"/>
          </w:tcPr>
          <w:p>
            <w:pPr>
              <w:jc w:val="center"/>
            </w:pPr>
            <w:r>
              <w:rPr>
                <w:rFonts w:ascii="宋体" w:hAnsi="宋体" w:eastAsia="宋体"/>
                <w:sz w:val="18"/>
              </w:rPr>
              <w:t>D1.过度商业化</w:t>
            </w:r>
          </w:p>
        </w:tc>
        <w:tc>
          <w:tcPr>
            <w:tcW w:type="dxa" w:w="2351"/>
          </w:tcPr>
          <w:p>
            <w:pPr>
              <w:jc w:val="center"/>
            </w:pPr>
            <w:r>
              <w:rPr>
                <w:rFonts w:ascii="宋体" w:hAnsi="宋体" w:eastAsia="宋体"/>
                <w:sz w:val="18"/>
              </w:rPr>
              <w:t>公立机构过度商业化、吃相难看</w:t>
            </w:r>
          </w:p>
        </w:tc>
        <w:tc>
          <w:tcPr>
            <w:tcW w:type="dxa" w:w="2351"/>
          </w:tcPr>
          <w:p>
            <w:pPr>
              <w:jc w:val="center"/>
            </w:pPr>
            <w:r>
              <w:rPr>
                <w:rFonts w:ascii="宋体" w:hAnsi="宋体" w:eastAsia="宋体"/>
                <w:sz w:val="18"/>
              </w:rPr>
              <w:t>割韭菜、暴利、商业化、变味</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D2.消费者失望</w:t>
            </w:r>
          </w:p>
        </w:tc>
        <w:tc>
          <w:tcPr>
            <w:tcW w:type="dxa" w:w="2351"/>
          </w:tcPr>
          <w:p>
            <w:pPr>
              <w:jc w:val="center"/>
            </w:pPr>
            <w:r>
              <w:rPr>
                <w:rFonts w:ascii="宋体" w:hAnsi="宋体" w:eastAsia="宋体"/>
                <w:sz w:val="18"/>
              </w:rPr>
              <w:t>不值得、退货、投诉</w:t>
            </w:r>
          </w:p>
        </w:tc>
        <w:tc>
          <w:tcPr>
            <w:tcW w:type="dxa" w:w="2351"/>
          </w:tcPr>
          <w:p>
            <w:pPr>
              <w:jc w:val="center"/>
            </w:pPr>
            <w:r>
              <w:rPr>
                <w:rFonts w:ascii="宋体" w:hAnsi="宋体" w:eastAsia="宋体"/>
                <w:sz w:val="18"/>
              </w:rPr>
              <w:t>失望、不值得、退货、投诉</w:t>
            </w:r>
          </w:p>
        </w:tc>
      </w:tr>
      <w:tr>
        <w:tc>
          <w:tcPr>
            <w:tcW w:type="dxa" w:w="2351"/>
          </w:tcPr>
          <w:p>
            <w:pPr>
              <w:jc w:val="center"/>
            </w:pPr>
            <w:r>
              <w:rPr>
                <w:rFonts w:ascii="宋体" w:hAnsi="宋体" w:eastAsia="宋体"/>
                <w:sz w:val="18"/>
              </w:rPr>
            </w:r>
          </w:p>
        </w:tc>
        <w:tc>
          <w:tcPr>
            <w:tcW w:type="dxa" w:w="2351"/>
          </w:tcPr>
          <w:p>
            <w:pPr>
              <w:jc w:val="center"/>
            </w:pPr>
            <w:r>
              <w:rPr>
                <w:rFonts w:ascii="宋体" w:hAnsi="宋体" w:eastAsia="宋体"/>
                <w:sz w:val="18"/>
              </w:rPr>
              <w:t>D3.地域文化争议</w:t>
            </w:r>
          </w:p>
        </w:tc>
        <w:tc>
          <w:tcPr>
            <w:tcW w:type="dxa" w:w="2351"/>
          </w:tcPr>
          <w:p>
            <w:pPr>
              <w:jc w:val="center"/>
            </w:pPr>
            <w:r>
              <w:rPr>
                <w:rFonts w:ascii="宋体" w:hAnsi="宋体" w:eastAsia="宋体"/>
                <w:sz w:val="18"/>
              </w:rPr>
              <w:t>演变为地域攻击</w:t>
            </w:r>
          </w:p>
        </w:tc>
        <w:tc>
          <w:tcPr>
            <w:tcW w:type="dxa" w:w="2351"/>
          </w:tcPr>
          <w:p>
            <w:pPr>
              <w:jc w:val="center"/>
            </w:pPr>
            <w:r>
              <w:rPr>
                <w:rFonts w:ascii="宋体" w:hAnsi="宋体" w:eastAsia="宋体"/>
                <w:sz w:val="18"/>
              </w:rPr>
              <w:t>地域、攻击、争议</w:t>
            </w:r>
          </w:p>
        </w:tc>
      </w:tr>
    </w:tbl>
    <w:p>
      <w:pPr>
        <w:pStyle w:val="Heading3"/>
      </w:pPr>
      <w:r>
        <w:rPr>
          <w:rFonts w:ascii="黑体" w:hAnsi="黑体" w:eastAsia="黑体"/>
          <w:sz w:val="24"/>
        </w:rPr>
        <w:t>4.0.2 编码方法</w:t>
      </w:r>
    </w:p>
    <w:p>
      <w:pPr>
        <w:spacing w:line="360" w:lineRule="auto" w:before="60" w:after="60"/>
        <w:ind w:firstLine="420"/>
      </w:pPr>
      <w:r>
        <w:rPr>
          <w:rFonts w:ascii="宋体" w:hAnsi="宋体" w:eastAsia="宋体"/>
          <w:sz w:val="21"/>
        </w:rPr>
        <w:t>本研究采用半自动编码方法。首先，基于编码体系中的关键词表征对14,156条有效舆情文本进行关键词匹配；其次，对未匹配到关键词但情感为负面的文本，利用文本语义特征进行人工推断归类；最后，通过BERT情感模型对编码结果进行验证。</w:t>
      </w:r>
    </w:p>
    <w:p>
      <w:pPr>
        <w:pStyle w:val="Heading3"/>
      </w:pPr>
      <w:r>
        <w:rPr>
          <w:rFonts w:ascii="黑体" w:hAnsi="黑体" w:eastAsia="黑体"/>
          <w:sz w:val="24"/>
        </w:rPr>
        <w:t>4.0.3 LDA主题与风险维度的映射</w:t>
      </w:r>
    </w:p>
    <w:p>
      <w:pPr>
        <w:spacing w:line="360" w:lineRule="auto" w:before="60" w:after="60"/>
        <w:ind w:firstLine="420"/>
      </w:pPr>
      <w:r>
        <w:rPr>
          <w:rFonts w:ascii="宋体" w:hAnsi="宋体" w:eastAsia="宋体"/>
          <w:sz w:val="21"/>
        </w:rPr>
        <w:t>基于第3章LDA主题聚类结果，本研究建立了5个主题与4个风险维度的映射关系，如表4-2所示。</w:t>
      </w:r>
    </w:p>
    <w:p>
      <w:pPr>
        <w:spacing w:line="360" w:lineRule="auto"/>
        <w:ind w:firstLine="420"/>
      </w:pPr>
      <w:r>
        <w:rPr>
          <w:rFonts w:ascii="宋体" w:hAnsi="宋体" w:eastAsia="宋体"/>
          <w:b/>
          <w:sz w:val="21"/>
        </w:rPr>
        <w:t>表4-2 LDA主题与风险维度映射</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LDA主题</w:t>
            </w:r>
          </w:p>
        </w:tc>
        <w:tc>
          <w:tcPr>
            <w:tcW w:type="dxa" w:w="2351"/>
          </w:tcPr>
          <w:p>
            <w:pPr>
              <w:jc w:val="center"/>
            </w:pPr>
            <w:r>
              <w:rPr>
                <w:rFonts w:ascii="宋体" w:hAnsi="宋体" w:eastAsia="宋体"/>
                <w:b/>
                <w:sz w:val="18"/>
              </w:rPr>
              <w:t>主题核心内容</w:t>
            </w:r>
          </w:p>
        </w:tc>
        <w:tc>
          <w:tcPr>
            <w:tcW w:type="dxa" w:w="2351"/>
          </w:tcPr>
          <w:p>
            <w:pPr>
              <w:jc w:val="center"/>
            </w:pPr>
            <w:r>
              <w:rPr>
                <w:rFonts w:ascii="宋体" w:hAnsi="宋体" w:eastAsia="宋体"/>
                <w:b/>
                <w:sz w:val="18"/>
              </w:rPr>
              <w:t>对应风险维度</w:t>
            </w:r>
          </w:p>
        </w:tc>
        <w:tc>
          <w:tcPr>
            <w:tcW w:type="dxa" w:w="2351"/>
          </w:tcPr>
          <w:p>
            <w:pPr>
              <w:jc w:val="center"/>
            </w:pPr>
            <w:r>
              <w:rPr>
                <w:rFonts w:ascii="宋体" w:hAnsi="宋体" w:eastAsia="宋体"/>
                <w:b/>
                <w:sz w:val="18"/>
              </w:rPr>
              <w:t>映射依据</w:t>
            </w:r>
          </w:p>
        </w:tc>
      </w:tr>
      <w:tr>
        <w:tc>
          <w:tcPr>
            <w:tcW w:type="dxa" w:w="2351"/>
          </w:tcPr>
          <w:p>
            <w:pPr>
              <w:jc w:val="center"/>
            </w:pPr>
            <w:r>
              <w:rPr>
                <w:rFonts w:ascii="宋体" w:hAnsi="宋体" w:eastAsia="宋体"/>
                <w:sz w:val="18"/>
              </w:rPr>
              <w:t>主题0</w:t>
            </w:r>
          </w:p>
        </w:tc>
        <w:tc>
          <w:tcPr>
            <w:tcW w:type="dxa" w:w="2351"/>
          </w:tcPr>
          <w:p>
            <w:pPr>
              <w:jc w:val="center"/>
            </w:pPr>
            <w:r>
              <w:rPr>
                <w:rFonts w:ascii="宋体" w:hAnsi="宋体" w:eastAsia="宋体"/>
                <w:sz w:val="18"/>
              </w:rPr>
              <w:t>文化传播与文创推荐</w:t>
            </w:r>
          </w:p>
        </w:tc>
        <w:tc>
          <w:tcPr>
            <w:tcW w:type="dxa" w:w="2351"/>
          </w:tcPr>
          <w:p>
            <w:pPr>
              <w:jc w:val="center"/>
            </w:pPr>
            <w:r>
              <w:rPr>
                <w:rFonts w:ascii="宋体" w:hAnsi="宋体" w:eastAsia="宋体"/>
                <w:sz w:val="18"/>
              </w:rPr>
              <w:t>D.受众认同风险</w:t>
            </w:r>
          </w:p>
        </w:tc>
        <w:tc>
          <w:tcPr>
            <w:tcW w:type="dxa" w:w="2351"/>
          </w:tcPr>
          <w:p>
            <w:pPr>
              <w:jc w:val="center"/>
            </w:pPr>
            <w:r>
              <w:rPr>
                <w:rFonts w:ascii="宋体" w:hAnsi="宋体" w:eastAsia="宋体"/>
                <w:sz w:val="18"/>
              </w:rPr>
              <w:t>关注文创推荐与受众接受度</w:t>
            </w:r>
          </w:p>
        </w:tc>
      </w:tr>
      <w:tr>
        <w:tc>
          <w:tcPr>
            <w:tcW w:type="dxa" w:w="2351"/>
          </w:tcPr>
          <w:p>
            <w:pPr>
              <w:jc w:val="center"/>
            </w:pPr>
            <w:r>
              <w:rPr>
                <w:rFonts w:ascii="宋体" w:hAnsi="宋体" w:eastAsia="宋体"/>
                <w:sz w:val="18"/>
              </w:rPr>
              <w:t>主题1</w:t>
            </w:r>
          </w:p>
        </w:tc>
        <w:tc>
          <w:tcPr>
            <w:tcW w:type="dxa" w:w="2351"/>
          </w:tcPr>
          <w:p>
            <w:pPr>
              <w:jc w:val="center"/>
            </w:pPr>
            <w:r>
              <w:rPr>
                <w:rFonts w:ascii="宋体" w:hAnsi="宋体" w:eastAsia="宋体"/>
                <w:sz w:val="18"/>
              </w:rPr>
              <w:t>考古盲盒与文物开箱</w:t>
            </w:r>
          </w:p>
        </w:tc>
        <w:tc>
          <w:tcPr>
            <w:tcW w:type="dxa" w:w="2351"/>
          </w:tcPr>
          <w:p>
            <w:pPr>
              <w:jc w:val="center"/>
            </w:pPr>
            <w:r>
              <w:rPr>
                <w:rFonts w:ascii="宋体" w:hAnsi="宋体" w:eastAsia="宋体"/>
                <w:sz w:val="18"/>
              </w:rPr>
              <w:t>B.文化内容风险</w:t>
            </w:r>
          </w:p>
        </w:tc>
        <w:tc>
          <w:tcPr>
            <w:tcW w:type="dxa" w:w="2351"/>
          </w:tcPr>
          <w:p>
            <w:pPr>
              <w:jc w:val="center"/>
            </w:pPr>
            <w:r>
              <w:rPr>
                <w:rFonts w:ascii="宋体" w:hAnsi="宋体" w:eastAsia="宋体"/>
                <w:sz w:val="18"/>
              </w:rPr>
              <w:t>涉及文物与历史文化的表达</w:t>
            </w:r>
          </w:p>
        </w:tc>
      </w:tr>
      <w:tr>
        <w:tc>
          <w:tcPr>
            <w:tcW w:type="dxa" w:w="2351"/>
          </w:tcPr>
          <w:p>
            <w:pPr>
              <w:jc w:val="center"/>
            </w:pPr>
            <w:r>
              <w:rPr>
                <w:rFonts w:ascii="宋体" w:hAnsi="宋体" w:eastAsia="宋体"/>
                <w:sz w:val="18"/>
              </w:rPr>
              <w:t>主题2</w:t>
            </w:r>
          </w:p>
        </w:tc>
        <w:tc>
          <w:tcPr>
            <w:tcW w:type="dxa" w:w="2351"/>
          </w:tcPr>
          <w:p>
            <w:pPr>
              <w:jc w:val="center"/>
            </w:pPr>
            <w:r>
              <w:rPr>
                <w:rFonts w:ascii="宋体" w:hAnsi="宋体" w:eastAsia="宋体"/>
                <w:sz w:val="18"/>
              </w:rPr>
              <w:t>联名文创与游戏跨界</w:t>
            </w:r>
          </w:p>
        </w:tc>
        <w:tc>
          <w:tcPr>
            <w:tcW w:type="dxa" w:w="2351"/>
          </w:tcPr>
          <w:p>
            <w:pPr>
              <w:jc w:val="center"/>
            </w:pPr>
            <w:r>
              <w:rPr>
                <w:rFonts w:ascii="宋体" w:hAnsi="宋体" w:eastAsia="宋体"/>
                <w:sz w:val="18"/>
              </w:rPr>
              <w:t>C.营销传播风险</w:t>
            </w:r>
          </w:p>
        </w:tc>
        <w:tc>
          <w:tcPr>
            <w:tcW w:type="dxa" w:w="2351"/>
          </w:tcPr>
          <w:p>
            <w:pPr>
              <w:jc w:val="center"/>
            </w:pPr>
            <w:r>
              <w:rPr>
                <w:rFonts w:ascii="宋体" w:hAnsi="宋体" w:eastAsia="宋体"/>
                <w:sz w:val="18"/>
              </w:rPr>
              <w:t>涉及IP联名与营销推广</w:t>
            </w:r>
          </w:p>
        </w:tc>
      </w:tr>
      <w:tr>
        <w:tc>
          <w:tcPr>
            <w:tcW w:type="dxa" w:w="2351"/>
          </w:tcPr>
          <w:p>
            <w:pPr>
              <w:jc w:val="center"/>
            </w:pPr>
            <w:r>
              <w:rPr>
                <w:rFonts w:ascii="宋体" w:hAnsi="宋体" w:eastAsia="宋体"/>
                <w:sz w:val="18"/>
              </w:rPr>
              <w:t>主题3</w:t>
            </w:r>
          </w:p>
        </w:tc>
        <w:tc>
          <w:tcPr>
            <w:tcW w:type="dxa" w:w="2351"/>
          </w:tcPr>
          <w:p>
            <w:pPr>
              <w:jc w:val="center"/>
            </w:pPr>
            <w:r>
              <w:rPr>
                <w:rFonts w:ascii="宋体" w:hAnsi="宋体" w:eastAsia="宋体"/>
                <w:sz w:val="18"/>
              </w:rPr>
              <w:t>敦煌文化与联名产品</w:t>
            </w:r>
          </w:p>
        </w:tc>
        <w:tc>
          <w:tcPr>
            <w:tcW w:type="dxa" w:w="2351"/>
          </w:tcPr>
          <w:p>
            <w:pPr>
              <w:jc w:val="center"/>
            </w:pPr>
            <w:r>
              <w:rPr>
                <w:rFonts w:ascii="宋体" w:hAnsi="宋体" w:eastAsia="宋体"/>
                <w:sz w:val="18"/>
              </w:rPr>
              <w:t>B.文化内容风险</w:t>
            </w:r>
          </w:p>
        </w:tc>
        <w:tc>
          <w:tcPr>
            <w:tcW w:type="dxa" w:w="2351"/>
          </w:tcPr>
          <w:p>
            <w:pPr>
              <w:jc w:val="center"/>
            </w:pPr>
            <w:r>
              <w:rPr>
                <w:rFonts w:ascii="宋体" w:hAnsi="宋体" w:eastAsia="宋体"/>
                <w:sz w:val="18"/>
              </w:rPr>
              <w:t>涉及文化IP的内涵表达</w:t>
            </w:r>
          </w:p>
        </w:tc>
      </w:tr>
      <w:tr>
        <w:tc>
          <w:tcPr>
            <w:tcW w:type="dxa" w:w="2351"/>
          </w:tcPr>
          <w:p>
            <w:pPr>
              <w:jc w:val="center"/>
            </w:pPr>
            <w:r>
              <w:rPr>
                <w:rFonts w:ascii="宋体" w:hAnsi="宋体" w:eastAsia="宋体"/>
                <w:sz w:val="18"/>
              </w:rPr>
              <w:t>主题4</w:t>
            </w:r>
          </w:p>
        </w:tc>
        <w:tc>
          <w:tcPr>
            <w:tcW w:type="dxa" w:w="2351"/>
          </w:tcPr>
          <w:p>
            <w:pPr>
              <w:jc w:val="center"/>
            </w:pPr>
            <w:r>
              <w:rPr>
                <w:rFonts w:ascii="宋体" w:hAnsi="宋体" w:eastAsia="宋体"/>
                <w:sz w:val="18"/>
              </w:rPr>
              <w:t>冰箱贴与文创设计</w:t>
            </w:r>
          </w:p>
        </w:tc>
        <w:tc>
          <w:tcPr>
            <w:tcW w:type="dxa" w:w="2351"/>
          </w:tcPr>
          <w:p>
            <w:pPr>
              <w:jc w:val="center"/>
            </w:pPr>
            <w:r>
              <w:rPr>
                <w:rFonts w:ascii="宋体" w:hAnsi="宋体" w:eastAsia="宋体"/>
                <w:sz w:val="18"/>
              </w:rPr>
              <w:t>A.产品本体风险</w:t>
            </w:r>
          </w:p>
        </w:tc>
        <w:tc>
          <w:tcPr>
            <w:tcW w:type="dxa" w:w="2351"/>
          </w:tcPr>
          <w:p>
            <w:pPr>
              <w:jc w:val="center"/>
            </w:pPr>
            <w:r>
              <w:rPr>
                <w:rFonts w:ascii="宋体" w:hAnsi="宋体" w:eastAsia="宋体"/>
                <w:sz w:val="18"/>
              </w:rPr>
              <w:t>涉及具体产品的设计品质</w:t>
            </w:r>
          </w:p>
        </w:tc>
      </w:tr>
    </w:tbl>
    <w:p>
      <w:pPr>
        <w:spacing w:line="360" w:lineRule="auto" w:before="60" w:after="60"/>
        <w:ind w:firstLine="420"/>
      </w:pPr>
      <w:r>
        <w:rPr>
          <w:rFonts w:ascii="宋体" w:hAnsi="宋体" w:eastAsia="宋体"/>
          <w:sz w:val="21"/>
        </w:rPr>
        <w:t>此映射关系为后续风险识别提供了从主题分析到风险归类的结构化路径。</w:t>
      </w:r>
    </w:p>
    <w:p>
      <w:pPr>
        <w:pStyle w:val="Heading2"/>
      </w:pPr>
      <w:r>
        <w:rPr>
          <w:rFonts w:ascii="黑体" w:hAnsi="黑体" w:eastAsia="黑体"/>
          <w:sz w:val="28"/>
        </w:rPr>
        <w:t>4.1 产品本体层面风险</w:t>
      </w:r>
    </w:p>
    <w:p>
      <w:pPr>
        <w:spacing w:line="360" w:lineRule="auto" w:before="60" w:after="60"/>
        <w:ind w:firstLine="420"/>
      </w:pPr>
      <w:r>
        <w:rPr>
          <w:rFonts w:ascii="宋体" w:hAnsi="宋体" w:eastAsia="宋体"/>
          <w:sz w:val="21"/>
        </w:rPr>
        <w:t>通过关键词匹配与情感辅助判断，共识别产品本体层面风险编码360条。</w:t>
      </w:r>
    </w:p>
    <w:p>
      <w:pPr>
        <w:spacing w:line="360" w:lineRule="auto"/>
        <w:ind w:firstLine="420"/>
      </w:pPr>
      <w:r>
        <w:rPr>
          <w:rFonts w:ascii="宋体" w:hAnsi="宋体" w:eastAsia="宋体"/>
          <w:b/>
          <w:sz w:val="21"/>
        </w:rPr>
        <w:t>表4-3 产品本体层面风险编码结果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子类型</w:t>
            </w:r>
          </w:p>
        </w:tc>
        <w:tc>
          <w:tcPr>
            <w:tcW w:type="dxa" w:w="2351"/>
          </w:tcPr>
          <w:p>
            <w:pPr>
              <w:jc w:val="center"/>
            </w:pPr>
            <w:r>
              <w:rPr>
                <w:rFonts w:ascii="宋体" w:hAnsi="宋体" w:eastAsia="宋体"/>
                <w:b/>
                <w:sz w:val="18"/>
              </w:rPr>
              <w:t>条数</w:t>
            </w:r>
          </w:p>
        </w:tc>
        <w:tc>
          <w:tcPr>
            <w:tcW w:type="dxa" w:w="2351"/>
          </w:tcPr>
          <w:p>
            <w:pPr>
              <w:jc w:val="center"/>
            </w:pPr>
            <w:r>
              <w:rPr>
                <w:rFonts w:ascii="宋体" w:hAnsi="宋体" w:eastAsia="宋体"/>
                <w:b/>
                <w:sz w:val="18"/>
              </w:rPr>
              <w:t>占比</w:t>
            </w:r>
          </w:p>
        </w:tc>
        <w:tc>
          <w:tcPr>
            <w:tcW w:type="dxa" w:w="2351"/>
          </w:tcPr>
          <w:p>
            <w:pPr>
              <w:jc w:val="center"/>
            </w:pPr>
            <w:r>
              <w:rPr>
                <w:rFonts w:ascii="宋体" w:hAnsi="宋体" w:eastAsia="宋体"/>
                <w:b/>
                <w:sz w:val="18"/>
              </w:rPr>
              <w:t>典型文本证据</w:t>
            </w:r>
          </w:p>
        </w:tc>
      </w:tr>
      <w:tr>
        <w:tc>
          <w:tcPr>
            <w:tcW w:type="dxa" w:w="2351"/>
          </w:tcPr>
          <w:p>
            <w:pPr>
              <w:jc w:val="center"/>
            </w:pPr>
            <w:r>
              <w:rPr>
                <w:rFonts w:ascii="宋体" w:hAnsi="宋体" w:eastAsia="宋体"/>
                <w:sz w:val="18"/>
              </w:rPr>
              <w:t>A1.材质工艺缺陷</w:t>
            </w:r>
          </w:p>
        </w:tc>
        <w:tc>
          <w:tcPr>
            <w:tcW w:type="dxa" w:w="2351"/>
          </w:tcPr>
          <w:p>
            <w:pPr>
              <w:jc w:val="center"/>
            </w:pPr>
            <w:r>
              <w:rPr>
                <w:rFonts w:ascii="宋体" w:hAnsi="宋体" w:eastAsia="宋体"/>
                <w:sz w:val="18"/>
              </w:rPr>
              <w:t>230</w:t>
            </w:r>
          </w:p>
        </w:tc>
        <w:tc>
          <w:tcPr>
            <w:tcW w:type="dxa" w:w="2351"/>
          </w:tcPr>
          <w:p>
            <w:pPr>
              <w:jc w:val="center"/>
            </w:pPr>
            <w:r>
              <w:rPr>
                <w:rFonts w:ascii="宋体" w:hAnsi="宋体" w:eastAsia="宋体"/>
                <w:sz w:val="18"/>
              </w:rPr>
              <w:t>63.9%</w:t>
            </w:r>
          </w:p>
        </w:tc>
        <w:tc>
          <w:tcPr>
            <w:tcW w:type="dxa" w:w="2351"/>
          </w:tcPr>
          <w:p>
            <w:pPr>
              <w:jc w:val="center"/>
            </w:pPr>
            <w:r>
              <w:rPr>
                <w:rFonts w:ascii="宋体" w:hAnsi="宋体" w:eastAsia="宋体"/>
                <w:sz w:val="18"/>
              </w:rPr>
              <w:t>"河南博物院的文创性价比比国博的差一大截，品质真的没得说"</w:t>
            </w:r>
          </w:p>
        </w:tc>
      </w:tr>
      <w:tr>
        <w:tc>
          <w:tcPr>
            <w:tcW w:type="dxa" w:w="2351"/>
          </w:tcPr>
          <w:p>
            <w:pPr>
              <w:jc w:val="center"/>
            </w:pPr>
            <w:r>
              <w:rPr>
                <w:rFonts w:ascii="宋体" w:hAnsi="宋体" w:eastAsia="宋体"/>
                <w:sz w:val="18"/>
              </w:rPr>
              <w:t>A2.安全合规隐患</w:t>
            </w:r>
          </w:p>
        </w:tc>
        <w:tc>
          <w:tcPr>
            <w:tcW w:type="dxa" w:w="2351"/>
          </w:tcPr>
          <w:p>
            <w:pPr>
              <w:jc w:val="center"/>
            </w:pPr>
            <w:r>
              <w:rPr>
                <w:rFonts w:ascii="宋体" w:hAnsi="宋体" w:eastAsia="宋体"/>
                <w:sz w:val="18"/>
              </w:rPr>
              <w:t>33</w:t>
            </w:r>
          </w:p>
        </w:tc>
        <w:tc>
          <w:tcPr>
            <w:tcW w:type="dxa" w:w="2351"/>
          </w:tcPr>
          <w:p>
            <w:pPr>
              <w:jc w:val="center"/>
            </w:pPr>
            <w:r>
              <w:rPr>
                <w:rFonts w:ascii="宋体" w:hAnsi="宋体" w:eastAsia="宋体"/>
                <w:sz w:val="18"/>
              </w:rPr>
              <w:t>9.2%</w:t>
            </w:r>
          </w:p>
        </w:tc>
        <w:tc>
          <w:tcPr>
            <w:tcW w:type="dxa" w:w="2351"/>
          </w:tcPr>
          <w:p>
            <w:pPr>
              <w:jc w:val="center"/>
            </w:pPr>
            <w:r>
              <w:rPr>
                <w:rFonts w:ascii="宋体" w:hAnsi="宋体" w:eastAsia="宋体"/>
                <w:sz w:val="18"/>
              </w:rPr>
              <w:t>—</w:t>
            </w:r>
          </w:p>
        </w:tc>
      </w:tr>
      <w:tr>
        <w:tc>
          <w:tcPr>
            <w:tcW w:type="dxa" w:w="2351"/>
          </w:tcPr>
          <w:p>
            <w:pPr>
              <w:jc w:val="center"/>
            </w:pPr>
            <w:r>
              <w:rPr>
                <w:rFonts w:ascii="宋体" w:hAnsi="宋体" w:eastAsia="宋体"/>
                <w:sz w:val="18"/>
              </w:rPr>
              <w:t>A3.侵权抄袭纠纷</w:t>
            </w:r>
          </w:p>
        </w:tc>
        <w:tc>
          <w:tcPr>
            <w:tcW w:type="dxa" w:w="2351"/>
          </w:tcPr>
          <w:p>
            <w:pPr>
              <w:jc w:val="center"/>
            </w:pPr>
            <w:r>
              <w:rPr>
                <w:rFonts w:ascii="宋体" w:hAnsi="宋体" w:eastAsia="宋体"/>
                <w:sz w:val="18"/>
              </w:rPr>
              <w:t>97</w:t>
            </w:r>
          </w:p>
        </w:tc>
        <w:tc>
          <w:tcPr>
            <w:tcW w:type="dxa" w:w="2351"/>
          </w:tcPr>
          <w:p>
            <w:pPr>
              <w:jc w:val="center"/>
            </w:pPr>
            <w:r>
              <w:rPr>
                <w:rFonts w:ascii="宋体" w:hAnsi="宋体" w:eastAsia="宋体"/>
                <w:sz w:val="18"/>
              </w:rPr>
              <w:t>26.9%</w:t>
            </w:r>
          </w:p>
        </w:tc>
        <w:tc>
          <w:tcPr>
            <w:tcW w:type="dxa" w:w="2351"/>
          </w:tcPr>
          <w:p>
            <w:pPr>
              <w:jc w:val="center"/>
            </w:pPr>
            <w:r>
              <w:rPr>
                <w:rFonts w:ascii="宋体" w:hAnsi="宋体" w:eastAsia="宋体"/>
                <w:sz w:val="18"/>
              </w:rPr>
              <w:t>"博物馆文创沈阳发簪抄袭上海不错周边回应画风"</w:t>
            </w:r>
          </w:p>
        </w:tc>
      </w:tr>
    </w:tbl>
    <w:p>
      <w:pPr>
        <w:spacing w:line="360" w:lineRule="auto" w:before="60" w:after="60"/>
        <w:ind w:firstLine="420"/>
      </w:pPr>
      <w:r>
        <w:rPr>
          <w:rFonts w:ascii="宋体" w:hAnsi="宋体" w:eastAsia="宋体"/>
          <w:sz w:val="21"/>
        </w:rPr>
        <w:t>产品本体层面风险以材质工艺缺陷（63.9%）为主。侵权抄袭纠纷中，"沈阳博物馆发簪抄袭"事件是典型案例——公众质疑沈阳博物馆发簪设计抄袭上海博物馆，引发文创知识产权争议。</w:t>
      </w:r>
    </w:p>
    <w:p>
      <w:pPr>
        <w:pStyle w:val="Heading2"/>
      </w:pPr>
      <w:r>
        <w:rPr>
          <w:rFonts w:ascii="黑体" w:hAnsi="黑体" w:eastAsia="黑体"/>
          <w:sz w:val="28"/>
        </w:rPr>
        <w:t>4.2 文化内容层面风险</w:t>
      </w:r>
    </w:p>
    <w:p>
      <w:pPr>
        <w:spacing w:line="360" w:lineRule="auto" w:before="60" w:after="60"/>
        <w:ind w:firstLine="420"/>
      </w:pPr>
      <w:r>
        <w:rPr>
          <w:rFonts w:ascii="宋体" w:hAnsi="宋体" w:eastAsia="宋体"/>
          <w:sz w:val="21"/>
        </w:rPr>
        <w:t>共识别文化内容层面风险编码157条。</w:t>
      </w:r>
    </w:p>
    <w:p>
      <w:pPr>
        <w:spacing w:line="360" w:lineRule="auto"/>
        <w:ind w:firstLine="420"/>
      </w:pPr>
      <w:r>
        <w:rPr>
          <w:rFonts w:ascii="宋体" w:hAnsi="宋体" w:eastAsia="宋体"/>
          <w:b/>
          <w:sz w:val="21"/>
        </w:rPr>
        <w:t>表4-4 文化内容层面风险编码结果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子类型</w:t>
            </w:r>
          </w:p>
        </w:tc>
        <w:tc>
          <w:tcPr>
            <w:tcW w:type="dxa" w:w="2351"/>
          </w:tcPr>
          <w:p>
            <w:pPr>
              <w:jc w:val="center"/>
            </w:pPr>
            <w:r>
              <w:rPr>
                <w:rFonts w:ascii="宋体" w:hAnsi="宋体" w:eastAsia="宋体"/>
                <w:b/>
                <w:sz w:val="18"/>
              </w:rPr>
              <w:t>条数</w:t>
            </w:r>
          </w:p>
        </w:tc>
        <w:tc>
          <w:tcPr>
            <w:tcW w:type="dxa" w:w="2351"/>
          </w:tcPr>
          <w:p>
            <w:pPr>
              <w:jc w:val="center"/>
            </w:pPr>
            <w:r>
              <w:rPr>
                <w:rFonts w:ascii="宋体" w:hAnsi="宋体" w:eastAsia="宋体"/>
                <w:b/>
                <w:sz w:val="18"/>
              </w:rPr>
              <w:t>占比</w:t>
            </w:r>
          </w:p>
        </w:tc>
        <w:tc>
          <w:tcPr>
            <w:tcW w:type="dxa" w:w="2351"/>
          </w:tcPr>
          <w:p>
            <w:pPr>
              <w:jc w:val="center"/>
            </w:pPr>
            <w:r>
              <w:rPr>
                <w:rFonts w:ascii="宋体" w:hAnsi="宋体" w:eastAsia="宋体"/>
                <w:b/>
                <w:sz w:val="18"/>
              </w:rPr>
              <w:t>典型文本证据</w:t>
            </w:r>
          </w:p>
        </w:tc>
      </w:tr>
      <w:tr>
        <w:tc>
          <w:tcPr>
            <w:tcW w:type="dxa" w:w="2351"/>
          </w:tcPr>
          <w:p>
            <w:pPr>
              <w:jc w:val="center"/>
            </w:pPr>
            <w:r>
              <w:rPr>
                <w:rFonts w:ascii="宋体" w:hAnsi="宋体" w:eastAsia="宋体"/>
                <w:sz w:val="18"/>
              </w:rPr>
              <w:t>B1.史实庸俗恶搞</w:t>
            </w:r>
          </w:p>
        </w:tc>
        <w:tc>
          <w:tcPr>
            <w:tcW w:type="dxa" w:w="2351"/>
          </w:tcPr>
          <w:p>
            <w:pPr>
              <w:jc w:val="center"/>
            </w:pPr>
            <w:r>
              <w:rPr>
                <w:rFonts w:ascii="宋体" w:hAnsi="宋体" w:eastAsia="宋体"/>
                <w:sz w:val="18"/>
              </w:rPr>
              <w:t>78</w:t>
            </w:r>
          </w:p>
        </w:tc>
        <w:tc>
          <w:tcPr>
            <w:tcW w:type="dxa" w:w="2351"/>
          </w:tcPr>
          <w:p>
            <w:pPr>
              <w:jc w:val="center"/>
            </w:pPr>
            <w:r>
              <w:rPr>
                <w:rFonts w:ascii="宋体" w:hAnsi="宋体" w:eastAsia="宋体"/>
                <w:sz w:val="18"/>
              </w:rPr>
              <w:t>49.7%</w:t>
            </w:r>
          </w:p>
        </w:tc>
        <w:tc>
          <w:tcPr>
            <w:tcW w:type="dxa" w:w="2351"/>
          </w:tcPr>
          <w:p>
            <w:pPr>
              <w:jc w:val="center"/>
            </w:pPr>
            <w:r>
              <w:rPr>
                <w:rFonts w:ascii="宋体" w:hAnsi="宋体" w:eastAsia="宋体"/>
                <w:sz w:val="18"/>
              </w:rPr>
              <w:t>"各种博物馆错漏百出，河南省博物院的镜像马车图，车左车右职能反了"</w:t>
            </w:r>
          </w:p>
        </w:tc>
      </w:tr>
      <w:tr>
        <w:tc>
          <w:tcPr>
            <w:tcW w:type="dxa" w:w="2351"/>
          </w:tcPr>
          <w:p>
            <w:pPr>
              <w:jc w:val="center"/>
            </w:pPr>
            <w:r>
              <w:rPr>
                <w:rFonts w:ascii="宋体" w:hAnsi="宋体" w:eastAsia="宋体"/>
                <w:sz w:val="18"/>
              </w:rPr>
              <w:t>B2.图腾符号误用</w:t>
            </w:r>
          </w:p>
        </w:tc>
        <w:tc>
          <w:tcPr>
            <w:tcW w:type="dxa" w:w="2351"/>
          </w:tcPr>
          <w:p>
            <w:pPr>
              <w:jc w:val="center"/>
            </w:pPr>
            <w:r>
              <w:rPr>
                <w:rFonts w:ascii="宋体" w:hAnsi="宋体" w:eastAsia="宋体"/>
                <w:sz w:val="18"/>
              </w:rPr>
              <w:t>48</w:t>
            </w:r>
          </w:p>
        </w:tc>
        <w:tc>
          <w:tcPr>
            <w:tcW w:type="dxa" w:w="2351"/>
          </w:tcPr>
          <w:p>
            <w:pPr>
              <w:jc w:val="center"/>
            </w:pPr>
            <w:r>
              <w:rPr>
                <w:rFonts w:ascii="宋体" w:hAnsi="宋体" w:eastAsia="宋体"/>
                <w:sz w:val="18"/>
              </w:rPr>
              <w:t>30.6%</w:t>
            </w:r>
          </w:p>
        </w:tc>
        <w:tc>
          <w:tcPr>
            <w:tcW w:type="dxa" w:w="2351"/>
          </w:tcPr>
          <w:p>
            <w:pPr>
              <w:jc w:val="center"/>
            </w:pPr>
            <w:r>
              <w:rPr>
                <w:rFonts w:ascii="宋体" w:hAnsi="宋体" w:eastAsia="宋体"/>
                <w:sz w:val="18"/>
              </w:rPr>
              <w:t>"文创产品毫无内涵，只是生搬硬套"</w:t>
            </w:r>
          </w:p>
        </w:tc>
      </w:tr>
      <w:tr>
        <w:tc>
          <w:tcPr>
            <w:tcW w:type="dxa" w:w="2351"/>
          </w:tcPr>
          <w:p>
            <w:pPr>
              <w:jc w:val="center"/>
            </w:pPr>
            <w:r>
              <w:rPr>
                <w:rFonts w:ascii="宋体" w:hAnsi="宋体" w:eastAsia="宋体"/>
                <w:sz w:val="18"/>
              </w:rPr>
              <w:t>B3.其他</w:t>
            </w:r>
          </w:p>
        </w:tc>
        <w:tc>
          <w:tcPr>
            <w:tcW w:type="dxa" w:w="2351"/>
          </w:tcPr>
          <w:p>
            <w:pPr>
              <w:jc w:val="center"/>
            </w:pPr>
            <w:r>
              <w:rPr>
                <w:rFonts w:ascii="宋体" w:hAnsi="宋体" w:eastAsia="宋体"/>
                <w:sz w:val="18"/>
              </w:rPr>
              <w:t>31</w:t>
            </w:r>
          </w:p>
        </w:tc>
        <w:tc>
          <w:tcPr>
            <w:tcW w:type="dxa" w:w="2351"/>
          </w:tcPr>
          <w:p>
            <w:pPr>
              <w:jc w:val="center"/>
            </w:pPr>
            <w:r>
              <w:rPr>
                <w:rFonts w:ascii="宋体" w:hAnsi="宋体" w:eastAsia="宋体"/>
                <w:sz w:val="18"/>
              </w:rPr>
              <w:t>19.7%</w:t>
            </w:r>
          </w:p>
        </w:tc>
        <w:tc>
          <w:tcPr>
            <w:tcW w:type="dxa" w:w="2351"/>
          </w:tcPr>
          <w:p>
            <w:pPr>
              <w:jc w:val="center"/>
            </w:pPr>
            <w:r>
              <w:rPr>
                <w:rFonts w:ascii="宋体" w:hAnsi="宋体" w:eastAsia="宋体"/>
                <w:sz w:val="18"/>
              </w:rPr>
              <w:t>—</w:t>
            </w:r>
          </w:p>
        </w:tc>
      </w:tr>
    </w:tbl>
    <w:p>
      <w:pPr>
        <w:spacing w:line="360" w:lineRule="auto" w:before="60" w:after="60"/>
        <w:ind w:firstLine="420"/>
      </w:pPr>
      <w:r>
        <w:rPr>
          <w:rFonts w:ascii="宋体" w:hAnsi="宋体" w:eastAsia="宋体"/>
          <w:sz w:val="21"/>
        </w:rPr>
        <w:t>文化内容风险以史实庸俗恶搞为主。典型文本反映出公众对博物馆展陈及文创产品中历史知识错误的高度敏感，一旦出现史实偏差或文化误用，容易引发深度舆情危机。</w:t>
      </w:r>
    </w:p>
    <w:p>
      <w:pPr>
        <w:pStyle w:val="Heading2"/>
      </w:pPr>
      <w:r>
        <w:rPr>
          <w:rFonts w:ascii="黑体" w:hAnsi="黑体" w:eastAsia="黑体"/>
          <w:sz w:val="28"/>
        </w:rPr>
        <w:t>4.3 营销传播层面风险</w:t>
      </w:r>
    </w:p>
    <w:p>
      <w:pPr>
        <w:spacing w:line="360" w:lineRule="auto" w:before="60" w:after="60"/>
        <w:ind w:firstLine="420"/>
      </w:pPr>
      <w:r>
        <w:rPr>
          <w:rFonts w:ascii="宋体" w:hAnsi="宋体" w:eastAsia="宋体"/>
          <w:sz w:val="21"/>
        </w:rPr>
        <w:t>共识别营销传播层面风险编码529条。</w:t>
      </w:r>
    </w:p>
    <w:p>
      <w:pPr>
        <w:spacing w:line="360" w:lineRule="auto"/>
        <w:ind w:firstLine="420"/>
      </w:pPr>
      <w:r>
        <w:rPr>
          <w:rFonts w:ascii="宋体" w:hAnsi="宋体" w:eastAsia="宋体"/>
          <w:b/>
          <w:sz w:val="21"/>
        </w:rPr>
        <w:t>表4-5 营销传播层面风险编码结果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子类型</w:t>
            </w:r>
          </w:p>
        </w:tc>
        <w:tc>
          <w:tcPr>
            <w:tcW w:type="dxa" w:w="2351"/>
          </w:tcPr>
          <w:p>
            <w:pPr>
              <w:jc w:val="center"/>
            </w:pPr>
            <w:r>
              <w:rPr>
                <w:rFonts w:ascii="宋体" w:hAnsi="宋体" w:eastAsia="宋体"/>
                <w:b/>
                <w:sz w:val="18"/>
              </w:rPr>
              <w:t>条数</w:t>
            </w:r>
          </w:p>
        </w:tc>
        <w:tc>
          <w:tcPr>
            <w:tcW w:type="dxa" w:w="2351"/>
          </w:tcPr>
          <w:p>
            <w:pPr>
              <w:jc w:val="center"/>
            </w:pPr>
            <w:r>
              <w:rPr>
                <w:rFonts w:ascii="宋体" w:hAnsi="宋体" w:eastAsia="宋体"/>
                <w:b/>
                <w:sz w:val="18"/>
              </w:rPr>
              <w:t>占比</w:t>
            </w:r>
          </w:p>
        </w:tc>
        <w:tc>
          <w:tcPr>
            <w:tcW w:type="dxa" w:w="2351"/>
          </w:tcPr>
          <w:p>
            <w:pPr>
              <w:jc w:val="center"/>
            </w:pPr>
            <w:r>
              <w:rPr>
                <w:rFonts w:ascii="宋体" w:hAnsi="宋体" w:eastAsia="宋体"/>
                <w:b/>
                <w:sz w:val="18"/>
              </w:rPr>
              <w:t>典型文本证据</w:t>
            </w:r>
          </w:p>
        </w:tc>
      </w:tr>
      <w:tr>
        <w:tc>
          <w:tcPr>
            <w:tcW w:type="dxa" w:w="2351"/>
          </w:tcPr>
          <w:p>
            <w:pPr>
              <w:jc w:val="center"/>
            </w:pPr>
            <w:r>
              <w:rPr>
                <w:rFonts w:ascii="宋体" w:hAnsi="宋体" w:eastAsia="宋体"/>
                <w:sz w:val="18"/>
              </w:rPr>
              <w:t>C1.饥饿营销黄牛</w:t>
            </w:r>
          </w:p>
        </w:tc>
        <w:tc>
          <w:tcPr>
            <w:tcW w:type="dxa" w:w="2351"/>
          </w:tcPr>
          <w:p>
            <w:pPr>
              <w:jc w:val="center"/>
            </w:pPr>
            <w:r>
              <w:rPr>
                <w:rFonts w:ascii="宋体" w:hAnsi="宋体" w:eastAsia="宋体"/>
                <w:sz w:val="18"/>
              </w:rPr>
              <w:t>335</w:t>
            </w:r>
          </w:p>
        </w:tc>
        <w:tc>
          <w:tcPr>
            <w:tcW w:type="dxa" w:w="2351"/>
          </w:tcPr>
          <w:p>
            <w:pPr>
              <w:jc w:val="center"/>
            </w:pPr>
            <w:r>
              <w:rPr>
                <w:rFonts w:ascii="宋体" w:hAnsi="宋体" w:eastAsia="宋体"/>
                <w:sz w:val="18"/>
              </w:rPr>
              <w:t>63.3%</w:t>
            </w:r>
          </w:p>
        </w:tc>
        <w:tc>
          <w:tcPr>
            <w:tcW w:type="dxa" w:w="2351"/>
          </w:tcPr>
          <w:p>
            <w:pPr>
              <w:jc w:val="center"/>
            </w:pPr>
            <w:r>
              <w:rPr>
                <w:rFonts w:ascii="宋体" w:hAnsi="宋体" w:eastAsia="宋体"/>
                <w:sz w:val="18"/>
              </w:rPr>
              <w:t>"国博冰箱贴黄牛翻倍倒卖，线下排队数小时断货"</w:t>
            </w:r>
          </w:p>
        </w:tc>
      </w:tr>
      <w:tr>
        <w:tc>
          <w:tcPr>
            <w:tcW w:type="dxa" w:w="2351"/>
          </w:tcPr>
          <w:p>
            <w:pPr>
              <w:jc w:val="center"/>
            </w:pPr>
            <w:r>
              <w:rPr>
                <w:rFonts w:ascii="宋体" w:hAnsi="宋体" w:eastAsia="宋体"/>
                <w:sz w:val="18"/>
              </w:rPr>
              <w:t>C2.虚假夸大宣传</w:t>
            </w:r>
          </w:p>
        </w:tc>
        <w:tc>
          <w:tcPr>
            <w:tcW w:type="dxa" w:w="2351"/>
          </w:tcPr>
          <w:p>
            <w:pPr>
              <w:jc w:val="center"/>
            </w:pPr>
            <w:r>
              <w:rPr>
                <w:rFonts w:ascii="宋体" w:hAnsi="宋体" w:eastAsia="宋体"/>
                <w:sz w:val="18"/>
              </w:rPr>
              <w:t>82</w:t>
            </w:r>
          </w:p>
        </w:tc>
        <w:tc>
          <w:tcPr>
            <w:tcW w:type="dxa" w:w="2351"/>
          </w:tcPr>
          <w:p>
            <w:pPr>
              <w:jc w:val="center"/>
            </w:pPr>
            <w:r>
              <w:rPr>
                <w:rFonts w:ascii="宋体" w:hAnsi="宋体" w:eastAsia="宋体"/>
                <w:sz w:val="18"/>
              </w:rPr>
              <w:t>15.5%</w:t>
            </w:r>
          </w:p>
        </w:tc>
        <w:tc>
          <w:tcPr>
            <w:tcW w:type="dxa" w:w="2351"/>
          </w:tcPr>
          <w:p>
            <w:pPr>
              <w:jc w:val="center"/>
            </w:pPr>
            <w:r>
              <w:rPr>
                <w:rFonts w:ascii="宋体" w:hAnsi="宋体" w:eastAsia="宋体"/>
                <w:sz w:val="18"/>
              </w:rPr>
              <w:t>—</w:t>
            </w:r>
          </w:p>
        </w:tc>
      </w:tr>
      <w:tr>
        <w:tc>
          <w:tcPr>
            <w:tcW w:type="dxa" w:w="2351"/>
          </w:tcPr>
          <w:p>
            <w:pPr>
              <w:jc w:val="center"/>
            </w:pPr>
            <w:r>
              <w:rPr>
                <w:rFonts w:ascii="宋体" w:hAnsi="宋体" w:eastAsia="宋体"/>
                <w:sz w:val="18"/>
              </w:rPr>
              <w:t>C3.傲慢推诿公关</w:t>
            </w:r>
          </w:p>
        </w:tc>
        <w:tc>
          <w:tcPr>
            <w:tcW w:type="dxa" w:w="2351"/>
          </w:tcPr>
          <w:p>
            <w:pPr>
              <w:jc w:val="center"/>
            </w:pPr>
            <w:r>
              <w:rPr>
                <w:rFonts w:ascii="宋体" w:hAnsi="宋体" w:eastAsia="宋体"/>
                <w:sz w:val="18"/>
              </w:rPr>
              <w:t>101</w:t>
            </w:r>
          </w:p>
        </w:tc>
        <w:tc>
          <w:tcPr>
            <w:tcW w:type="dxa" w:w="2351"/>
          </w:tcPr>
          <w:p>
            <w:pPr>
              <w:jc w:val="center"/>
            </w:pPr>
            <w:r>
              <w:rPr>
                <w:rFonts w:ascii="宋体" w:hAnsi="宋体" w:eastAsia="宋体"/>
                <w:sz w:val="18"/>
              </w:rPr>
              <w:t>19.1%</w:t>
            </w:r>
          </w:p>
        </w:tc>
        <w:tc>
          <w:tcPr>
            <w:tcW w:type="dxa" w:w="2351"/>
          </w:tcPr>
          <w:p>
            <w:pPr>
              <w:jc w:val="center"/>
            </w:pPr>
            <w:r>
              <w:rPr>
                <w:rFonts w:ascii="宋体" w:hAnsi="宋体" w:eastAsia="宋体"/>
                <w:sz w:val="18"/>
              </w:rPr>
              <w:t>"官方回应避重就轻，推卸责任"</w:t>
            </w:r>
          </w:p>
        </w:tc>
      </w:tr>
      <w:tr>
        <w:tc>
          <w:tcPr>
            <w:tcW w:type="dxa" w:w="2351"/>
          </w:tcPr>
          <w:p>
            <w:pPr>
              <w:jc w:val="center"/>
            </w:pPr>
            <w:r>
              <w:rPr>
                <w:rFonts w:ascii="宋体" w:hAnsi="宋体" w:eastAsia="宋体"/>
                <w:sz w:val="18"/>
              </w:rPr>
              <w:t>其他</w:t>
            </w:r>
          </w:p>
        </w:tc>
        <w:tc>
          <w:tcPr>
            <w:tcW w:type="dxa" w:w="2351"/>
          </w:tcPr>
          <w:p>
            <w:pPr>
              <w:jc w:val="center"/>
            </w:pPr>
            <w:r>
              <w:rPr>
                <w:rFonts w:ascii="宋体" w:hAnsi="宋体" w:eastAsia="宋体"/>
                <w:sz w:val="18"/>
              </w:rPr>
              <w:t>11</w:t>
            </w:r>
          </w:p>
        </w:tc>
        <w:tc>
          <w:tcPr>
            <w:tcW w:type="dxa" w:w="2351"/>
          </w:tcPr>
          <w:p>
            <w:pPr>
              <w:jc w:val="center"/>
            </w:pPr>
            <w:r>
              <w:rPr>
                <w:rFonts w:ascii="宋体" w:hAnsi="宋体" w:eastAsia="宋体"/>
                <w:sz w:val="18"/>
              </w:rPr>
              <w:t>2.1%</w:t>
            </w:r>
          </w:p>
        </w:tc>
        <w:tc>
          <w:tcPr>
            <w:tcW w:type="dxa" w:w="2351"/>
          </w:tcPr>
          <w:p>
            <w:pPr>
              <w:jc w:val="center"/>
            </w:pPr>
            <w:r>
              <w:rPr>
                <w:rFonts w:ascii="宋体" w:hAnsi="宋体" w:eastAsia="宋体"/>
                <w:sz w:val="18"/>
              </w:rPr>
              <w:t>—</w:t>
            </w:r>
          </w:p>
        </w:tc>
      </w:tr>
    </w:tbl>
    <w:p>
      <w:pPr>
        <w:spacing w:line="360" w:lineRule="auto" w:before="60" w:after="60"/>
        <w:ind w:firstLine="420"/>
      </w:pPr>
      <w:r>
        <w:rPr>
          <w:rFonts w:ascii="宋体" w:hAnsi="宋体" w:eastAsia="宋体"/>
          <w:sz w:val="21"/>
        </w:rPr>
        <w:t>营销传播风险以饥饿营销黄牛（63.3%）为主。典型事件为"国博凤冠冰箱贴黄牛炒作"，公众强烈抨击限量发售导致的黄牛哄抬物价现象，相关文本涉及"黄牛""倒卖""溢价""缺货"等高频负面词。</w:t>
      </w:r>
    </w:p>
    <w:p>
      <w:pPr>
        <w:pStyle w:val="Heading2"/>
      </w:pPr>
      <w:r>
        <w:rPr>
          <w:rFonts w:ascii="黑体" w:hAnsi="黑体" w:eastAsia="黑体"/>
          <w:sz w:val="28"/>
        </w:rPr>
        <w:t>4.4 受众认同层面风险</w:t>
      </w:r>
    </w:p>
    <w:p>
      <w:pPr>
        <w:spacing w:line="360" w:lineRule="auto" w:before="60" w:after="60"/>
        <w:ind w:firstLine="420"/>
      </w:pPr>
      <w:r>
        <w:rPr>
          <w:rFonts w:ascii="宋体" w:hAnsi="宋体" w:eastAsia="宋体"/>
          <w:sz w:val="21"/>
        </w:rPr>
        <w:t>共识别受众认同层面风险编码791条，为四维风险中数量最大的维度。</w:t>
      </w:r>
    </w:p>
    <w:p>
      <w:pPr>
        <w:spacing w:line="360" w:lineRule="auto"/>
        <w:ind w:firstLine="420"/>
      </w:pPr>
      <w:r>
        <w:rPr>
          <w:rFonts w:ascii="宋体" w:hAnsi="宋体" w:eastAsia="宋体"/>
          <w:b/>
          <w:sz w:val="21"/>
        </w:rPr>
        <w:t>表4-6 受众认同层面风险编码结果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子类型</w:t>
            </w:r>
          </w:p>
        </w:tc>
        <w:tc>
          <w:tcPr>
            <w:tcW w:type="dxa" w:w="2351"/>
          </w:tcPr>
          <w:p>
            <w:pPr>
              <w:jc w:val="center"/>
            </w:pPr>
            <w:r>
              <w:rPr>
                <w:rFonts w:ascii="宋体" w:hAnsi="宋体" w:eastAsia="宋体"/>
                <w:b/>
                <w:sz w:val="18"/>
              </w:rPr>
              <w:t>条数</w:t>
            </w:r>
          </w:p>
        </w:tc>
        <w:tc>
          <w:tcPr>
            <w:tcW w:type="dxa" w:w="2351"/>
          </w:tcPr>
          <w:p>
            <w:pPr>
              <w:jc w:val="center"/>
            </w:pPr>
            <w:r>
              <w:rPr>
                <w:rFonts w:ascii="宋体" w:hAnsi="宋体" w:eastAsia="宋体"/>
                <w:b/>
                <w:sz w:val="18"/>
              </w:rPr>
              <w:t>占比</w:t>
            </w:r>
          </w:p>
        </w:tc>
        <w:tc>
          <w:tcPr>
            <w:tcW w:type="dxa" w:w="2351"/>
          </w:tcPr>
          <w:p>
            <w:pPr>
              <w:jc w:val="center"/>
            </w:pPr>
            <w:r>
              <w:rPr>
                <w:rFonts w:ascii="宋体" w:hAnsi="宋体" w:eastAsia="宋体"/>
                <w:b/>
                <w:sz w:val="18"/>
              </w:rPr>
              <w:t>典型文本证据</w:t>
            </w:r>
          </w:p>
        </w:tc>
      </w:tr>
      <w:tr>
        <w:tc>
          <w:tcPr>
            <w:tcW w:type="dxa" w:w="2351"/>
          </w:tcPr>
          <w:p>
            <w:pPr>
              <w:jc w:val="center"/>
            </w:pPr>
            <w:r>
              <w:rPr>
                <w:rFonts w:ascii="宋体" w:hAnsi="宋体" w:eastAsia="宋体"/>
                <w:sz w:val="18"/>
              </w:rPr>
              <w:t>D1.过度商业化</w:t>
            </w:r>
          </w:p>
        </w:tc>
        <w:tc>
          <w:tcPr>
            <w:tcW w:type="dxa" w:w="2351"/>
          </w:tcPr>
          <w:p>
            <w:pPr>
              <w:jc w:val="center"/>
            </w:pPr>
            <w:r>
              <w:rPr>
                <w:rFonts w:ascii="宋体" w:hAnsi="宋体" w:eastAsia="宋体"/>
                <w:sz w:val="18"/>
              </w:rPr>
              <w:t>60</w:t>
            </w:r>
          </w:p>
        </w:tc>
        <w:tc>
          <w:tcPr>
            <w:tcW w:type="dxa" w:w="2351"/>
          </w:tcPr>
          <w:p>
            <w:pPr>
              <w:jc w:val="center"/>
            </w:pPr>
            <w:r>
              <w:rPr>
                <w:rFonts w:ascii="宋体" w:hAnsi="宋体" w:eastAsia="宋体"/>
                <w:sz w:val="18"/>
              </w:rPr>
              <w:t>7.6%</w:t>
            </w:r>
          </w:p>
        </w:tc>
        <w:tc>
          <w:tcPr>
            <w:tcW w:type="dxa" w:w="2351"/>
          </w:tcPr>
          <w:p>
            <w:pPr>
              <w:jc w:val="center"/>
            </w:pPr>
            <w:r>
              <w:rPr>
                <w:rFonts w:ascii="宋体" w:hAnsi="宋体" w:eastAsia="宋体"/>
                <w:sz w:val="18"/>
              </w:rPr>
              <w:t>"博物馆变成文创商店和网红摄影棚"</w:t>
            </w:r>
          </w:p>
        </w:tc>
      </w:tr>
      <w:tr>
        <w:tc>
          <w:tcPr>
            <w:tcW w:type="dxa" w:w="2351"/>
          </w:tcPr>
          <w:p>
            <w:pPr>
              <w:jc w:val="center"/>
            </w:pPr>
            <w:r>
              <w:rPr>
                <w:rFonts w:ascii="宋体" w:hAnsi="宋体" w:eastAsia="宋体"/>
                <w:sz w:val="18"/>
              </w:rPr>
              <w:t>D2.消费者失望</w:t>
            </w:r>
          </w:p>
        </w:tc>
        <w:tc>
          <w:tcPr>
            <w:tcW w:type="dxa" w:w="2351"/>
          </w:tcPr>
          <w:p>
            <w:pPr>
              <w:jc w:val="center"/>
            </w:pPr>
            <w:r>
              <w:rPr>
                <w:rFonts w:ascii="宋体" w:hAnsi="宋体" w:eastAsia="宋体"/>
                <w:sz w:val="18"/>
              </w:rPr>
              <w:t>161</w:t>
            </w:r>
          </w:p>
        </w:tc>
        <w:tc>
          <w:tcPr>
            <w:tcW w:type="dxa" w:w="2351"/>
          </w:tcPr>
          <w:p>
            <w:pPr>
              <w:jc w:val="center"/>
            </w:pPr>
            <w:r>
              <w:rPr>
                <w:rFonts w:ascii="宋体" w:hAnsi="宋体" w:eastAsia="宋体"/>
                <w:sz w:val="18"/>
              </w:rPr>
              <w:t>20.4%</w:t>
            </w:r>
          </w:p>
        </w:tc>
        <w:tc>
          <w:tcPr>
            <w:tcW w:type="dxa" w:w="2351"/>
          </w:tcPr>
          <w:p>
            <w:pPr>
              <w:jc w:val="center"/>
            </w:pPr>
            <w:r>
              <w:rPr>
                <w:rFonts w:ascii="宋体" w:hAnsi="宋体" w:eastAsia="宋体"/>
                <w:sz w:val="18"/>
              </w:rPr>
              <w:t>"苏博的定位可能只是一个文创商店，谁也不把这个展陈放在心上"</w:t>
            </w:r>
          </w:p>
        </w:tc>
      </w:tr>
      <w:tr>
        <w:tc>
          <w:tcPr>
            <w:tcW w:type="dxa" w:w="2351"/>
          </w:tcPr>
          <w:p>
            <w:pPr>
              <w:jc w:val="center"/>
            </w:pPr>
            <w:r>
              <w:rPr>
                <w:rFonts w:ascii="宋体" w:hAnsi="宋体" w:eastAsia="宋体"/>
                <w:sz w:val="18"/>
              </w:rPr>
              <w:t>D3.地域文化争议</w:t>
            </w:r>
          </w:p>
        </w:tc>
        <w:tc>
          <w:tcPr>
            <w:tcW w:type="dxa" w:w="2351"/>
          </w:tcPr>
          <w:p>
            <w:pPr>
              <w:jc w:val="center"/>
            </w:pPr>
            <w:r>
              <w:rPr>
                <w:rFonts w:ascii="宋体" w:hAnsi="宋体" w:eastAsia="宋体"/>
                <w:sz w:val="18"/>
              </w:rPr>
              <w:t>94</w:t>
            </w:r>
          </w:p>
        </w:tc>
        <w:tc>
          <w:tcPr>
            <w:tcW w:type="dxa" w:w="2351"/>
          </w:tcPr>
          <w:p>
            <w:pPr>
              <w:jc w:val="center"/>
            </w:pPr>
            <w:r>
              <w:rPr>
                <w:rFonts w:ascii="宋体" w:hAnsi="宋体" w:eastAsia="宋体"/>
                <w:sz w:val="18"/>
              </w:rPr>
              <w:t>11.9%</w:t>
            </w:r>
          </w:p>
        </w:tc>
        <w:tc>
          <w:tcPr>
            <w:tcW w:type="dxa" w:w="2351"/>
          </w:tcPr>
          <w:p>
            <w:pPr>
              <w:jc w:val="center"/>
            </w:pPr>
            <w:r>
              <w:rPr>
                <w:rFonts w:ascii="宋体" w:hAnsi="宋体" w:eastAsia="宋体"/>
                <w:sz w:val="18"/>
              </w:rPr>
              <w:t>—</w:t>
            </w:r>
          </w:p>
        </w:tc>
      </w:tr>
      <w:tr>
        <w:tc>
          <w:tcPr>
            <w:tcW w:type="dxa" w:w="2351"/>
          </w:tcPr>
          <w:p>
            <w:pPr>
              <w:jc w:val="center"/>
            </w:pPr>
            <w:r>
              <w:rPr>
                <w:rFonts w:ascii="宋体" w:hAnsi="宋体" w:eastAsia="宋体"/>
                <w:sz w:val="18"/>
              </w:rPr>
              <w:t>未明确分类</w:t>
            </w:r>
          </w:p>
        </w:tc>
        <w:tc>
          <w:tcPr>
            <w:tcW w:type="dxa" w:w="2351"/>
          </w:tcPr>
          <w:p>
            <w:pPr>
              <w:jc w:val="center"/>
            </w:pPr>
            <w:r>
              <w:rPr>
                <w:rFonts w:ascii="宋体" w:hAnsi="宋体" w:eastAsia="宋体"/>
                <w:sz w:val="18"/>
              </w:rPr>
              <w:t>476</w:t>
            </w:r>
          </w:p>
        </w:tc>
        <w:tc>
          <w:tcPr>
            <w:tcW w:type="dxa" w:w="2351"/>
          </w:tcPr>
          <w:p>
            <w:pPr>
              <w:jc w:val="center"/>
            </w:pPr>
            <w:r>
              <w:rPr>
                <w:rFonts w:ascii="宋体" w:hAnsi="宋体" w:eastAsia="宋体"/>
                <w:sz w:val="18"/>
              </w:rPr>
              <w:t>60.2%</w:t>
            </w:r>
          </w:p>
        </w:tc>
        <w:tc>
          <w:tcPr>
            <w:tcW w:type="dxa" w:w="2351"/>
          </w:tcPr>
          <w:p>
            <w:pPr>
              <w:jc w:val="center"/>
            </w:pPr>
            <w:r>
              <w:rPr>
                <w:rFonts w:ascii="宋体" w:hAnsi="宋体" w:eastAsia="宋体"/>
                <w:sz w:val="18"/>
              </w:rPr>
              <w:t>表达一般性不满但未明确归类</w:t>
            </w:r>
          </w:p>
        </w:tc>
      </w:tr>
    </w:tbl>
    <w:p>
      <w:pPr>
        <w:jc w:val="center"/>
      </w:pPr>
      <w:r>
        <w:drawing>
          <wp:inline xmlns:a="http://schemas.openxmlformats.org/drawingml/2006/main" xmlns:pic="http://schemas.openxmlformats.org/drawingml/2006/picture">
            <wp:extent cx="5029200" cy="4816406"/>
            <wp:docPr id="8" name="Picture 8"/>
            <wp:cNvGraphicFramePr>
              <a:graphicFrameLocks noChangeAspect="1"/>
            </wp:cNvGraphicFramePr>
            <a:graphic>
              <a:graphicData uri="http://schemas.openxmlformats.org/drawingml/2006/picture">
                <pic:pic>
                  <pic:nvPicPr>
                    <pic:cNvPr id="0" name="图7_风险雷达图.png"/>
                    <pic:cNvPicPr/>
                  </pic:nvPicPr>
                  <pic:blipFill>
                    <a:blip r:embed="rId16"/>
                    <a:stretch>
                      <a:fillRect/>
                    </a:stretch>
                  </pic:blipFill>
                  <pic:spPr>
                    <a:xfrm>
                      <a:off x="0" y="0"/>
                      <a:ext cx="5029200" cy="4816406"/>
                    </a:xfrm>
                    <a:prstGeom prst="rect"/>
                  </pic:spPr>
                </pic:pic>
              </a:graphicData>
            </a:graphic>
          </wp:inline>
        </w:drawing>
      </w:r>
    </w:p>
    <w:p>
      <w:pPr>
        <w:spacing w:line="360" w:lineRule="auto" w:before="60" w:after="60"/>
        <w:ind w:firstLine="420"/>
      </w:pPr>
      <w:r>
        <w:rPr>
          <w:rFonts w:ascii="宋体" w:hAnsi="宋体" w:eastAsia="宋体"/>
          <w:sz w:val="21"/>
        </w:rPr>
        <w:t>需说明的是，D维度中"未明确分类"条目较多（476条，60.2%），主要原因在于大量负面文本表达的是对博物馆文创的整体性失望（如"变味了""不值得"等），难以精确归入某一子类型。这反映出受众认同风险的触发因素较为复杂，往往不是单一原因导致，而是多种因素叠加后的整体性不满。</w:t>
      </w:r>
    </w:p>
    <w:p>
      <w:pPr>
        <w:pStyle w:val="Heading2"/>
      </w:pPr>
      <w:r>
        <w:rPr>
          <w:rFonts w:ascii="黑体" w:hAnsi="黑体" w:eastAsia="黑体"/>
          <w:sz w:val="28"/>
        </w:rPr>
        <w:t>4.5 风险等级评估与关联分析</w:t>
      </w:r>
    </w:p>
    <w:p>
      <w:pPr>
        <w:pStyle w:val="Heading3"/>
      </w:pPr>
      <w:r>
        <w:rPr>
          <w:rFonts w:ascii="黑体" w:hAnsi="黑体" w:eastAsia="黑体"/>
          <w:sz w:val="24"/>
        </w:rPr>
        <w:t>4.5.1 风险等级评估</w:t>
      </w:r>
    </w:p>
    <w:p>
      <w:pPr>
        <w:spacing w:line="360" w:lineRule="auto" w:before="60" w:after="60"/>
        <w:ind w:firstLine="420"/>
      </w:pPr>
      <w:r>
        <w:rPr>
          <w:rFonts w:ascii="宋体" w:hAnsi="宋体" w:eastAsia="宋体"/>
          <w:sz w:val="21"/>
        </w:rPr>
        <w:t>本研究采用"负面占比×数量归一化"方法计算各维度风险得分。需要说明的是，开题报告中提出的"AHP+熵权组合赋权"方法因数据条件限制（缺乏专家打分数据）未能实施，本研究改用简化的风险得分计算方法，具体结果如表4-7所示。</w:t>
      </w:r>
    </w:p>
    <w:p>
      <w:pPr>
        <w:spacing w:line="360" w:lineRule="auto"/>
        <w:ind w:firstLine="420"/>
      </w:pPr>
      <w:r>
        <w:rPr>
          <w:rFonts w:ascii="宋体" w:hAnsi="宋体" w:eastAsia="宋体"/>
          <w:b/>
          <w:sz w:val="21"/>
        </w:rPr>
        <w:t>表4-7 各维度风险等级评估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宋体" w:hAnsi="宋体" w:eastAsia="宋体"/>
                <w:b/>
                <w:sz w:val="18"/>
              </w:rPr>
              <w:t>风险维度</w:t>
            </w:r>
          </w:p>
        </w:tc>
        <w:tc>
          <w:tcPr>
            <w:tcW w:type="dxa" w:w="2351"/>
          </w:tcPr>
          <w:p>
            <w:pPr>
              <w:jc w:val="center"/>
            </w:pPr>
            <w:r>
              <w:rPr>
                <w:rFonts w:ascii="宋体" w:hAnsi="宋体" w:eastAsia="宋体"/>
                <w:b/>
                <w:sz w:val="18"/>
              </w:rPr>
              <w:t>风险编码数</w:t>
            </w:r>
          </w:p>
        </w:tc>
        <w:tc>
          <w:tcPr>
            <w:tcW w:type="dxa" w:w="2351"/>
          </w:tcPr>
          <w:p>
            <w:pPr>
              <w:jc w:val="center"/>
            </w:pPr>
            <w:r>
              <w:rPr>
                <w:rFonts w:ascii="宋体" w:hAnsi="宋体" w:eastAsia="宋体"/>
                <w:b/>
                <w:sz w:val="18"/>
              </w:rPr>
              <w:t>风险得分</w:t>
            </w:r>
          </w:p>
        </w:tc>
        <w:tc>
          <w:tcPr>
            <w:tcW w:type="dxa" w:w="2351"/>
          </w:tcPr>
          <w:p>
            <w:pPr>
              <w:jc w:val="center"/>
            </w:pPr>
            <w:r>
              <w:rPr>
                <w:rFonts w:ascii="宋体" w:hAnsi="宋体" w:eastAsia="宋体"/>
                <w:b/>
                <w:sz w:val="18"/>
              </w:rPr>
              <w:t>风险等级</w:t>
            </w:r>
          </w:p>
        </w:tc>
      </w:tr>
      <w:tr>
        <w:tc>
          <w:tcPr>
            <w:tcW w:type="dxa" w:w="2351"/>
          </w:tcPr>
          <w:p>
            <w:pPr>
              <w:jc w:val="center"/>
            </w:pPr>
            <w:r>
              <w:rPr>
                <w:rFonts w:ascii="宋体" w:hAnsi="宋体" w:eastAsia="宋体"/>
                <w:sz w:val="18"/>
              </w:rPr>
              <w:t>D.受众认同风险</w:t>
            </w:r>
          </w:p>
        </w:tc>
        <w:tc>
          <w:tcPr>
            <w:tcW w:type="dxa" w:w="2351"/>
          </w:tcPr>
          <w:p>
            <w:pPr>
              <w:jc w:val="center"/>
            </w:pPr>
            <w:r>
              <w:rPr>
                <w:rFonts w:ascii="宋体" w:hAnsi="宋体" w:eastAsia="宋体"/>
                <w:sz w:val="18"/>
              </w:rPr>
              <w:t>791</w:t>
            </w:r>
          </w:p>
        </w:tc>
        <w:tc>
          <w:tcPr>
            <w:tcW w:type="dxa" w:w="2351"/>
          </w:tcPr>
          <w:p>
            <w:pPr>
              <w:jc w:val="center"/>
            </w:pPr>
            <w:r>
              <w:rPr>
                <w:rFonts w:ascii="宋体" w:hAnsi="宋体" w:eastAsia="宋体"/>
                <w:sz w:val="18"/>
              </w:rPr>
              <w:t>**31.4**</w:t>
            </w:r>
          </w:p>
        </w:tc>
        <w:tc>
          <w:tcPr>
            <w:tcW w:type="dxa" w:w="2351"/>
          </w:tcPr>
          <w:p>
            <w:pPr>
              <w:jc w:val="center"/>
            </w:pPr>
            <w:r>
              <w:rPr>
                <w:rFonts w:ascii="宋体" w:hAnsi="宋体" w:eastAsia="宋体"/>
                <w:sz w:val="18"/>
              </w:rPr>
              <w:t>**高**</w:t>
            </w:r>
          </w:p>
        </w:tc>
      </w:tr>
      <w:tr>
        <w:tc>
          <w:tcPr>
            <w:tcW w:type="dxa" w:w="2351"/>
          </w:tcPr>
          <w:p>
            <w:pPr>
              <w:jc w:val="center"/>
            </w:pPr>
            <w:r>
              <w:rPr>
                <w:rFonts w:ascii="宋体" w:hAnsi="宋体" w:eastAsia="宋体"/>
                <w:sz w:val="18"/>
              </w:rPr>
              <w:t>C.营销传播风险</w:t>
            </w:r>
          </w:p>
        </w:tc>
        <w:tc>
          <w:tcPr>
            <w:tcW w:type="dxa" w:w="2351"/>
          </w:tcPr>
          <w:p>
            <w:pPr>
              <w:jc w:val="center"/>
            </w:pPr>
            <w:r>
              <w:rPr>
                <w:rFonts w:ascii="宋体" w:hAnsi="宋体" w:eastAsia="宋体"/>
                <w:sz w:val="18"/>
              </w:rPr>
              <w:t>529</w:t>
            </w:r>
          </w:p>
        </w:tc>
        <w:tc>
          <w:tcPr>
            <w:tcW w:type="dxa" w:w="2351"/>
          </w:tcPr>
          <w:p>
            <w:pPr>
              <w:jc w:val="center"/>
            </w:pPr>
            <w:r>
              <w:rPr>
                <w:rFonts w:ascii="宋体" w:hAnsi="宋体" w:eastAsia="宋体"/>
                <w:sz w:val="18"/>
              </w:rPr>
              <w:t>6.0</w:t>
            </w:r>
          </w:p>
        </w:tc>
        <w:tc>
          <w:tcPr>
            <w:tcW w:type="dxa" w:w="2351"/>
          </w:tcPr>
          <w:p>
            <w:pPr>
              <w:jc w:val="center"/>
            </w:pPr>
            <w:r>
              <w:rPr>
                <w:rFonts w:ascii="宋体" w:hAnsi="宋体" w:eastAsia="宋体"/>
                <w:sz w:val="18"/>
              </w:rPr>
              <w:t>低</w:t>
            </w:r>
          </w:p>
        </w:tc>
      </w:tr>
      <w:tr>
        <w:tc>
          <w:tcPr>
            <w:tcW w:type="dxa" w:w="2351"/>
          </w:tcPr>
          <w:p>
            <w:pPr>
              <w:jc w:val="center"/>
            </w:pPr>
            <w:r>
              <w:rPr>
                <w:rFonts w:ascii="宋体" w:hAnsi="宋体" w:eastAsia="宋体"/>
                <w:sz w:val="18"/>
              </w:rPr>
              <w:t>A.产品本体风险</w:t>
            </w:r>
          </w:p>
        </w:tc>
        <w:tc>
          <w:tcPr>
            <w:tcW w:type="dxa" w:w="2351"/>
          </w:tcPr>
          <w:p>
            <w:pPr>
              <w:jc w:val="center"/>
            </w:pPr>
            <w:r>
              <w:rPr>
                <w:rFonts w:ascii="宋体" w:hAnsi="宋体" w:eastAsia="宋体"/>
                <w:sz w:val="18"/>
              </w:rPr>
              <w:t>360</w:t>
            </w:r>
          </w:p>
        </w:tc>
        <w:tc>
          <w:tcPr>
            <w:tcW w:type="dxa" w:w="2351"/>
          </w:tcPr>
          <w:p>
            <w:pPr>
              <w:jc w:val="center"/>
            </w:pPr>
            <w:r>
              <w:rPr>
                <w:rFonts w:ascii="宋体" w:hAnsi="宋体" w:eastAsia="宋体"/>
                <w:sz w:val="18"/>
              </w:rPr>
              <w:t>3.4</w:t>
            </w:r>
          </w:p>
        </w:tc>
        <w:tc>
          <w:tcPr>
            <w:tcW w:type="dxa" w:w="2351"/>
          </w:tcPr>
          <w:p>
            <w:pPr>
              <w:jc w:val="center"/>
            </w:pPr>
            <w:r>
              <w:rPr>
                <w:rFonts w:ascii="宋体" w:hAnsi="宋体" w:eastAsia="宋体"/>
                <w:sz w:val="18"/>
              </w:rPr>
              <w:t>低</w:t>
            </w:r>
          </w:p>
        </w:tc>
      </w:tr>
      <w:tr>
        <w:tc>
          <w:tcPr>
            <w:tcW w:type="dxa" w:w="2351"/>
          </w:tcPr>
          <w:p>
            <w:pPr>
              <w:jc w:val="center"/>
            </w:pPr>
            <w:r>
              <w:rPr>
                <w:rFonts w:ascii="宋体" w:hAnsi="宋体" w:eastAsia="宋体"/>
                <w:sz w:val="18"/>
              </w:rPr>
              <w:t>B.文化内容风险</w:t>
            </w:r>
          </w:p>
        </w:tc>
        <w:tc>
          <w:tcPr>
            <w:tcW w:type="dxa" w:w="2351"/>
          </w:tcPr>
          <w:p>
            <w:pPr>
              <w:jc w:val="center"/>
            </w:pPr>
            <w:r>
              <w:rPr>
                <w:rFonts w:ascii="宋体" w:hAnsi="宋体" w:eastAsia="宋体"/>
                <w:sz w:val="18"/>
              </w:rPr>
              <w:t>157</w:t>
            </w:r>
          </w:p>
        </w:tc>
        <w:tc>
          <w:tcPr>
            <w:tcW w:type="dxa" w:w="2351"/>
          </w:tcPr>
          <w:p>
            <w:pPr>
              <w:jc w:val="center"/>
            </w:pPr>
            <w:r>
              <w:rPr>
                <w:rFonts w:ascii="宋体" w:hAnsi="宋体" w:eastAsia="宋体"/>
                <w:sz w:val="18"/>
              </w:rPr>
              <w:t>3.0</w:t>
            </w:r>
          </w:p>
        </w:tc>
        <w:tc>
          <w:tcPr>
            <w:tcW w:type="dxa" w:w="2351"/>
          </w:tcPr>
          <w:p>
            <w:pPr>
              <w:jc w:val="center"/>
            </w:pPr>
            <w:r>
              <w:rPr>
                <w:rFonts w:ascii="宋体" w:hAnsi="宋体" w:eastAsia="宋体"/>
                <w:sz w:val="18"/>
              </w:rPr>
              <w:t>低</w:t>
            </w:r>
          </w:p>
        </w:tc>
      </w:tr>
    </w:tbl>
    <w:p>
      <w:pPr>
        <w:pStyle w:val="Heading3"/>
      </w:pPr>
      <w:r>
        <w:rPr>
          <w:rFonts w:ascii="黑体" w:hAnsi="黑体" w:eastAsia="黑体"/>
          <w:sz w:val="24"/>
        </w:rPr>
        <w:t>4.5.2 风险关联分析</w:t>
      </w:r>
    </w:p>
    <w:p>
      <w:pPr>
        <w:jc w:val="center"/>
      </w:pPr>
      <w:r>
        <w:drawing>
          <wp:inline xmlns:a="http://schemas.openxmlformats.org/drawingml/2006/main" xmlns:pic="http://schemas.openxmlformats.org/drawingml/2006/picture">
            <wp:extent cx="5029200" cy="4129416"/>
            <wp:docPr id="9" name="Picture 9"/>
            <wp:cNvGraphicFramePr>
              <a:graphicFrameLocks noChangeAspect="1"/>
            </wp:cNvGraphicFramePr>
            <a:graphic>
              <a:graphicData uri="http://schemas.openxmlformats.org/drawingml/2006/picture">
                <pic:pic>
                  <pic:nvPicPr>
                    <pic:cNvPr id="0" name="图8_风险关联热力图.png"/>
                    <pic:cNvPicPr/>
                  </pic:nvPicPr>
                  <pic:blipFill>
                    <a:blip r:embed="rId17"/>
                    <a:stretch>
                      <a:fillRect/>
                    </a:stretch>
                  </pic:blipFill>
                  <pic:spPr>
                    <a:xfrm>
                      <a:off x="0" y="0"/>
                      <a:ext cx="5029200" cy="4129416"/>
                    </a:xfrm>
                    <a:prstGeom prst="rect"/>
                  </pic:spPr>
                </pic:pic>
              </a:graphicData>
            </a:graphic>
          </wp:inline>
        </w:drawing>
      </w:r>
    </w:p>
    <w:p>
      <w:pPr>
        <w:spacing w:before="60" w:after="120"/>
        <w:jc w:val="center"/>
      </w:pPr>
      <w:r>
        <w:rPr>
          <w:rFonts w:ascii="宋体" w:hAnsi="宋体" w:eastAsia="宋体"/>
          <w:b/>
          <w:sz w:val="18"/>
        </w:rPr>
        <w:t>[此处插入图9：各风险维度情感分布]</w:t>
      </w:r>
    </w:p>
    <w:p>
      <w:pPr>
        <w:spacing w:line="360" w:lineRule="auto" w:before="60" w:after="60"/>
        <w:ind w:firstLine="420"/>
      </w:pPr>
      <w:r>
        <w:rPr>
          <w:rFonts w:ascii="宋体" w:hAnsi="宋体" w:eastAsia="宋体"/>
          <w:sz w:val="21"/>
        </w:rPr>
        <w:t>各风险维度间均呈负相关（r=-0.14至-0.53）。这一结果表明，四类风险相对独立，同一文本很少同时讨论多类风险，不同类型风险由不同触发因素引起。其中C（营销传播）与D（受众认同）负相关最强（r=-0.533），说明营销问题与受众不满较少在同一文本中同时出现。</w:t>
      </w:r>
    </w:p>
    <w:p>
      <w:pPr>
        <w:spacing w:line="360" w:lineRule="auto" w:before="60" w:after="60"/>
        <w:ind w:firstLine="420"/>
      </w:pPr>
      <w:r>
        <w:rPr>
          <w:rFonts w:ascii="宋体" w:hAnsi="宋体" w:eastAsia="宋体"/>
          <w:sz w:val="21"/>
        </w:rPr>
        <w:t>从风险传导角度看，各风险维度间的独立性意味着舆情风险通常由单一触发因素引发，而非多维度风险叠加扩散。但需注意，当某一维度风险严重时（如黄牛炒作引发公众愤怒），可能间接引发其他维度的次生风险（如受众认同下降），这种间接传导路径需要在治理策略中加以防范。</w:t>
      </w:r>
    </w:p>
    <w:p>
      <w:pPr>
        <w:pStyle w:val="Heading2"/>
      </w:pPr>
      <w:r>
        <w:rPr>
          <w:rFonts w:ascii="黑体" w:hAnsi="黑体" w:eastAsia="黑体"/>
          <w:sz w:val="28"/>
        </w:rPr>
        <w:t>4.6 本章小结</w:t>
      </w:r>
    </w:p>
    <w:p>
      <w:pPr>
        <w:spacing w:line="360" w:lineRule="auto" w:before="60" w:after="60"/>
        <w:ind w:firstLine="420"/>
      </w:pPr>
      <w:r>
        <w:rPr>
          <w:rFonts w:ascii="宋体" w:hAnsi="宋体" w:eastAsia="宋体"/>
          <w:sz w:val="21"/>
        </w:rPr>
        <w:t>本章基于四维风险编码体系对14,156条有效舆情数据进行风险识别，共识别风险编码1,837条。主要发现：</w:t>
      </w:r>
    </w:p>
    <w:p>
      <w:pPr>
        <w:spacing w:line="360" w:lineRule="auto"/>
        <w:ind w:firstLine="420"/>
      </w:pPr>
      <w:r>
        <w:rPr>
          <w:rFonts w:ascii="宋体" w:hAnsi="宋体" w:eastAsia="宋体"/>
          <w:b/>
          <w:sz w:val="21"/>
        </w:rPr>
        <w:t>（1）受众认同风险最为突出（791条，得分31.4，高风险等级），消费者对博物馆文创过度商业化和消费体验失望是核心风险。</w:t>
      </w:r>
    </w:p>
    <w:p>
      <w:pPr>
        <w:spacing w:line="360" w:lineRule="auto"/>
        <w:ind w:firstLine="420"/>
      </w:pPr>
      <w:r>
        <w:rPr>
          <w:rFonts w:ascii="宋体" w:hAnsi="宋体" w:eastAsia="宋体"/>
          <w:b/>
          <w:sz w:val="21"/>
        </w:rPr>
        <w:t>（2）营销传播风险次之（529条），以饥饿营销黄牛炒作为主要表现形式。</w:t>
      </w:r>
    </w:p>
    <w:p>
      <w:pPr>
        <w:spacing w:line="360" w:lineRule="auto"/>
        <w:ind w:firstLine="420"/>
      </w:pPr>
      <w:r>
        <w:rPr>
          <w:rFonts w:ascii="宋体" w:hAnsi="宋体" w:eastAsia="宋体"/>
          <w:b/>
          <w:sz w:val="21"/>
        </w:rPr>
        <w:t>（3）产品本体风险（360条）以材质工艺缺陷和侵权抄袭纠纷为主。</w:t>
      </w:r>
    </w:p>
    <w:p>
      <w:pPr>
        <w:spacing w:line="360" w:lineRule="auto"/>
        <w:ind w:firstLine="420"/>
      </w:pPr>
      <w:r>
        <w:rPr>
          <w:rFonts w:ascii="宋体" w:hAnsi="宋体" w:eastAsia="宋体"/>
          <w:b/>
          <w:sz w:val="21"/>
        </w:rPr>
        <w:t>（4）文化内容风险（157条）数量最少但影响深远，以史实庸俗恶搞为主。</w:t>
      </w:r>
    </w:p>
    <w:p>
      <w:pPr>
        <w:spacing w:line="360" w:lineRule="auto" w:before="60" w:after="60"/>
        <w:ind w:firstLine="420"/>
      </w:pPr>
      <w:r>
        <w:rPr>
          <w:rFonts w:ascii="宋体" w:hAnsi="宋体" w:eastAsia="宋体"/>
          <w:sz w:val="21"/>
        </w:rPr>
        <w:t>（5）各风险维度间呈负相关（r=-0.14至-0.53），四类风险相对独立，需制定差异化治理策略。</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