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0A353">
      <w:pPr>
        <w:spacing w:line="720" w:lineRule="auto"/>
        <w:jc w:val="center"/>
        <w:rPr>
          <w:rFonts w:ascii="微软雅黑" w:hAnsi="微软雅黑" w:eastAsia="微软雅黑"/>
          <w:b/>
          <w:bCs/>
          <w:sz w:val="44"/>
          <w:szCs w:val="44"/>
        </w:rPr>
      </w:pPr>
      <w:r>
        <w:rPr>
          <w:rFonts w:hint="eastAsia" w:ascii="微软雅黑" w:hAnsi="微软雅黑" w:eastAsia="微软雅黑"/>
          <w:b/>
          <w:bCs/>
          <w:sz w:val="44"/>
          <w:szCs w:val="44"/>
        </w:rPr>
        <w:t>东北师范大学</w:t>
      </w:r>
    </w:p>
    <w:p w14:paraId="3F918530">
      <w:pPr>
        <w:jc w:val="center"/>
        <w:rPr>
          <w:rFonts w:hint="eastAsia" w:ascii="微软雅黑" w:hAnsi="微软雅黑" w:eastAsia="微软雅黑"/>
          <w:b/>
          <w:sz w:val="44"/>
          <w:szCs w:val="44"/>
        </w:rPr>
      </w:pPr>
      <w:r>
        <w:rPr>
          <w:rFonts w:hint="eastAsia" w:ascii="微软雅黑" w:hAnsi="微软雅黑" w:eastAsia="微软雅黑"/>
          <w:b/>
          <w:sz w:val="44"/>
          <w:szCs w:val="44"/>
        </w:rPr>
        <w:t>研究生学位论文开题报告</w:t>
      </w:r>
    </w:p>
    <w:p w14:paraId="582E2CE7">
      <w:pPr>
        <w:jc w:val="center"/>
        <w:rPr>
          <w:rFonts w:hint="eastAsia"/>
          <w:sz w:val="48"/>
        </w:rPr>
      </w:pPr>
    </w:p>
    <w:p w14:paraId="2689BFF7">
      <w:pPr>
        <w:jc w:val="center"/>
        <w:rPr>
          <w:rFonts w:hint="eastAsia"/>
          <w:sz w:val="48"/>
        </w:rPr>
      </w:pPr>
    </w:p>
    <w:p w14:paraId="6C9F6277">
      <w:pPr>
        <w:spacing w:before="78" w:beforeLines="25" w:line="480" w:lineRule="auto"/>
        <w:rPr>
          <w:rFonts w:hint="eastAsia" w:ascii="华文楷体" w:hAnsi="华文楷体" w:eastAsia="华文楷体"/>
          <w:sz w:val="32"/>
          <w:lang w:val="en-US" w:eastAsia="zh-CN"/>
        </w:rPr>
      </w:pPr>
      <w:r>
        <w:rPr>
          <w:rFonts w:hint="eastAsia" w:ascii="华文楷体" w:hAnsi="华文楷体" w:eastAsia="华文楷体"/>
          <w:sz w:val="32"/>
        </w:rPr>
        <w:t>论文题目：</w:t>
      </w:r>
      <w:r>
        <w:rPr>
          <w:rFonts w:hint="eastAsia" w:ascii="华文楷体" w:hAnsi="华文楷体" w:eastAsia="华文楷体"/>
          <w:sz w:val="32"/>
          <w:lang w:val="en-US" w:eastAsia="zh-CN"/>
        </w:rPr>
        <w:t>博物馆文创产品网络舆情风险的识别与治理研究</w:t>
      </w:r>
    </w:p>
    <w:p w14:paraId="7AB961FB">
      <w:pPr>
        <w:spacing w:before="78" w:beforeLines="25" w:line="480" w:lineRule="auto"/>
        <w:rPr>
          <w:rFonts w:hint="eastAsia" w:ascii="华文楷体" w:hAnsi="华文楷体" w:eastAsia="华文楷体"/>
          <w:sz w:val="32"/>
          <w:lang w:eastAsia="zh-CN"/>
        </w:rPr>
      </w:pPr>
      <w:r>
        <w:rPr>
          <w:rFonts w:hint="eastAsia" w:ascii="华文楷体" w:hAnsi="华文楷体" w:eastAsia="华文楷体"/>
          <w:sz w:val="32"/>
        </w:rPr>
        <w:t>报告人姓名：</w:t>
      </w:r>
      <w:r>
        <w:rPr>
          <w:rFonts w:hint="eastAsia" w:ascii="华文楷体" w:hAnsi="华文楷体" w:eastAsia="华文楷体"/>
          <w:sz w:val="32"/>
          <w:lang w:val="en-US" w:eastAsia="zh-CN"/>
        </w:rPr>
        <w:t>张诗怡</w:t>
      </w:r>
    </w:p>
    <w:p w14:paraId="6E84328F">
      <w:pPr>
        <w:spacing w:before="78" w:beforeLines="25" w:line="480" w:lineRule="auto"/>
        <w:rPr>
          <w:rFonts w:hint="eastAsia" w:ascii="华文楷体" w:hAnsi="华文楷体" w:eastAsia="华文楷体"/>
          <w:sz w:val="32"/>
          <w:lang w:eastAsia="zh-CN"/>
        </w:rPr>
      </w:pPr>
      <w:r>
        <w:rPr>
          <w:rFonts w:hint="eastAsia" w:ascii="华文楷体" w:hAnsi="华文楷体" w:eastAsia="华文楷体"/>
          <w:sz w:val="32"/>
        </w:rPr>
        <w:t>研究方向：网络</w:t>
      </w:r>
      <w:r>
        <w:rPr>
          <w:rFonts w:hint="eastAsia" w:ascii="华文楷体" w:hAnsi="华文楷体" w:eastAsia="华文楷体"/>
          <w:sz w:val="32"/>
          <w:lang w:val="en-US" w:eastAsia="zh-CN"/>
        </w:rPr>
        <w:t>舆情</w:t>
      </w:r>
    </w:p>
    <w:p w14:paraId="604F99FD">
      <w:pPr>
        <w:spacing w:before="78" w:beforeLines="25" w:line="480" w:lineRule="auto"/>
        <w:rPr>
          <w:rFonts w:hint="eastAsia" w:ascii="华文楷体" w:hAnsi="华文楷体" w:eastAsia="华文楷体"/>
          <w:sz w:val="32"/>
        </w:rPr>
      </w:pPr>
      <w:r>
        <w:rPr>
          <w:rFonts w:hint="eastAsia" w:ascii="华文楷体" w:hAnsi="华文楷体" w:eastAsia="华文楷体"/>
          <w:sz w:val="32"/>
        </w:rPr>
        <w:t>学科专业：图书情报</w:t>
      </w:r>
    </w:p>
    <w:p w14:paraId="1720F34E">
      <w:pPr>
        <w:spacing w:before="78" w:beforeLines="25" w:line="480" w:lineRule="auto"/>
        <w:rPr>
          <w:rFonts w:hint="eastAsia" w:ascii="华文楷体" w:hAnsi="华文楷体" w:eastAsia="华文楷体"/>
          <w:sz w:val="32"/>
        </w:rPr>
      </w:pPr>
      <w:r>
        <w:rPr>
          <w:rFonts w:hint="eastAsia" w:ascii="华文楷体" w:hAnsi="华文楷体" w:eastAsia="华文楷体"/>
          <w:sz w:val="32"/>
        </w:rPr>
        <w:t>年级：2</w:t>
      </w:r>
      <w:r>
        <w:rPr>
          <w:rFonts w:ascii="华文楷体" w:hAnsi="华文楷体" w:eastAsia="华文楷体"/>
          <w:sz w:val="32"/>
        </w:rPr>
        <w:t>02</w:t>
      </w:r>
      <w:r>
        <w:rPr>
          <w:rFonts w:hint="eastAsia" w:ascii="华文楷体" w:hAnsi="华文楷体" w:eastAsia="华文楷体"/>
          <w:sz w:val="32"/>
          <w:lang w:val="en-US" w:eastAsia="zh-CN"/>
        </w:rPr>
        <w:t>4</w:t>
      </w:r>
      <w:r>
        <w:rPr>
          <w:rFonts w:hint="eastAsia" w:ascii="华文楷体" w:hAnsi="华文楷体" w:eastAsia="华文楷体"/>
          <w:sz w:val="32"/>
        </w:rPr>
        <w:t>级</w:t>
      </w:r>
    </w:p>
    <w:p w14:paraId="14B5EEE4">
      <w:pPr>
        <w:spacing w:before="78" w:beforeLines="25" w:line="480" w:lineRule="auto"/>
        <w:rPr>
          <w:rFonts w:hint="eastAsia" w:ascii="华文楷体" w:hAnsi="华文楷体" w:eastAsia="华文楷体"/>
          <w:sz w:val="32"/>
          <w:szCs w:val="32"/>
        </w:rPr>
      </w:pPr>
      <w:r>
        <w:rPr>
          <w:rFonts w:hint="eastAsia" w:ascii="华文楷体" w:hAnsi="华文楷体" w:eastAsia="华文楷体"/>
          <w:sz w:val="32"/>
        </w:rPr>
        <w:t>学历层次：博士生</w:t>
      </w:r>
      <w:r>
        <w:rPr>
          <w:rFonts w:hint="eastAsia" w:ascii="华文楷体" w:hAnsi="华文楷体" w:eastAsia="华文楷体"/>
          <w:sz w:val="32"/>
          <w:szCs w:val="32"/>
        </w:rPr>
        <w:t>□硕士生</w:t>
      </w:r>
      <w:r>
        <w:rPr>
          <w:rFonts w:hint="eastAsia" w:ascii="华文楷体" w:hAnsi="华文楷体" w:eastAsia="华文楷体"/>
          <w:sz w:val="32"/>
          <w:szCs w:val="32"/>
        </w:rPr>
        <w:sym w:font="Wingdings 2" w:char="0052"/>
      </w:r>
    </w:p>
    <w:p w14:paraId="4ADB84FE">
      <w:pPr>
        <w:spacing w:before="78" w:beforeLines="25" w:line="480" w:lineRule="auto"/>
        <w:rPr>
          <w:rFonts w:hint="eastAsia" w:ascii="华文楷体" w:hAnsi="华文楷体" w:eastAsia="华文楷体"/>
          <w:sz w:val="32"/>
        </w:rPr>
      </w:pPr>
      <w:r>
        <w:rPr>
          <w:rFonts w:hint="eastAsia" w:ascii="华文楷体" w:hAnsi="华文楷体" w:eastAsia="华文楷体"/>
          <w:sz w:val="32"/>
          <w:szCs w:val="32"/>
        </w:rPr>
        <w:t>学位类型：学术学位□专业学位</w:t>
      </w:r>
      <w:r>
        <w:rPr>
          <w:rFonts w:hint="eastAsia" w:ascii="华文楷体" w:hAnsi="华文楷体" w:eastAsia="华文楷体"/>
          <w:sz w:val="32"/>
          <w:szCs w:val="32"/>
        </w:rPr>
        <w:sym w:font="Wingdings 2" w:char="0052"/>
      </w:r>
    </w:p>
    <w:p w14:paraId="01D90305">
      <w:pPr>
        <w:spacing w:before="78" w:beforeLines="25" w:line="480" w:lineRule="auto"/>
        <w:rPr>
          <w:rFonts w:hint="eastAsia" w:ascii="华文楷体" w:hAnsi="华文楷体" w:eastAsia="华文楷体"/>
          <w:sz w:val="32"/>
        </w:rPr>
      </w:pPr>
      <w:r>
        <w:rPr>
          <w:rFonts w:hint="eastAsia" w:ascii="华文楷体" w:hAnsi="华文楷体" w:eastAsia="华文楷体"/>
          <w:sz w:val="32"/>
        </w:rPr>
        <w:t>指导教师：陈凌</w:t>
      </w:r>
    </w:p>
    <w:p w14:paraId="12672746">
      <w:pPr>
        <w:spacing w:before="78" w:beforeLines="25" w:line="480" w:lineRule="auto"/>
        <w:rPr>
          <w:rFonts w:hint="eastAsia" w:ascii="华文楷体" w:hAnsi="华文楷体" w:eastAsia="华文楷体"/>
          <w:sz w:val="32"/>
          <w:lang w:val="en-US" w:eastAsia="zh-CN"/>
        </w:rPr>
      </w:pPr>
      <w:r>
        <w:rPr>
          <w:rFonts w:hint="eastAsia" w:ascii="华文楷体" w:hAnsi="华文楷体" w:eastAsia="华文楷体"/>
          <w:sz w:val="32"/>
        </w:rPr>
        <w:t>培养单位：</w:t>
      </w:r>
      <w:r>
        <w:rPr>
          <w:rFonts w:hint="eastAsia" w:ascii="华文楷体" w:hAnsi="华文楷体" w:eastAsia="华文楷体"/>
          <w:sz w:val="32"/>
          <w:lang w:val="en-US" w:eastAsia="zh-CN"/>
        </w:rPr>
        <w:t>东北师范大学</w:t>
      </w:r>
    </w:p>
    <w:p w14:paraId="32049E1B">
      <w:pPr>
        <w:spacing w:before="78" w:beforeLines="25" w:line="480" w:lineRule="auto"/>
        <w:rPr>
          <w:rFonts w:hint="eastAsia" w:ascii="华文楷体" w:hAnsi="华文楷体" w:eastAsia="华文楷体"/>
          <w:sz w:val="32"/>
          <w:lang w:val="en-US" w:eastAsia="zh-CN"/>
        </w:rPr>
      </w:pPr>
    </w:p>
    <w:p w14:paraId="7CA60F8B">
      <w:pPr>
        <w:spacing w:before="78" w:beforeLines="25" w:line="480" w:lineRule="auto"/>
        <w:rPr>
          <w:rFonts w:hint="default" w:ascii="华文楷体" w:hAnsi="华文楷体" w:eastAsia="华文楷体"/>
          <w:sz w:val="32"/>
          <w:lang w:val="en-US" w:eastAsia="zh-CN"/>
        </w:rPr>
      </w:pPr>
      <w:r>
        <w:rPr>
          <w:rFonts w:hint="eastAsia" w:ascii="华文楷体" w:hAnsi="华文楷体" w:eastAsia="华文楷体"/>
          <w:sz w:val="32"/>
          <w:lang w:val="en-US" w:eastAsia="zh-CN"/>
        </w:rPr>
        <w:t xml:space="preserve">    </w:t>
      </w:r>
    </w:p>
    <w:p w14:paraId="09BCF110">
      <w:pPr>
        <w:keepNext w:val="0"/>
        <w:keepLines w:val="0"/>
        <w:pageBreakBefore/>
        <w:widowControl w:val="0"/>
        <w:kinsoku/>
        <w:wordWrap/>
        <w:overflowPunct/>
        <w:topLinePunct w:val="0"/>
        <w:autoSpaceDE/>
        <w:autoSpaceDN/>
        <w:bidi w:val="0"/>
        <w:adjustRightInd/>
        <w:snapToGrid/>
        <w:jc w:val="center"/>
        <w:textAlignment w:val="auto"/>
        <w:rPr>
          <w:rFonts w:hint="eastAsia" w:ascii="华文楷体" w:hAnsi="华文楷体" w:eastAsia="华文楷体"/>
          <w:b/>
          <w:bCs/>
          <w:sz w:val="32"/>
        </w:rPr>
        <w:sectPr>
          <w:pgSz w:w="11906" w:h="16838"/>
          <w:pgMar w:top="1440" w:right="1800" w:bottom="1440" w:left="1800" w:header="851" w:footer="992" w:gutter="0"/>
          <w:cols w:space="425" w:num="1"/>
          <w:docGrid w:type="lines" w:linePitch="312" w:charSpace="0"/>
        </w:sectPr>
      </w:pPr>
    </w:p>
    <w:p w14:paraId="0CB0414C">
      <w:pPr>
        <w:keepNext w:val="0"/>
        <w:keepLines w:val="0"/>
        <w:pageBreakBefore/>
        <w:widowControl w:val="0"/>
        <w:kinsoku/>
        <w:wordWrap/>
        <w:overflowPunct/>
        <w:topLinePunct w:val="0"/>
        <w:autoSpaceDE/>
        <w:autoSpaceDN/>
        <w:bidi w:val="0"/>
        <w:adjustRightInd/>
        <w:snapToGrid/>
        <w:jc w:val="center"/>
        <w:textAlignment w:val="auto"/>
        <w:rPr>
          <w:rFonts w:hint="eastAsia" w:ascii="华文楷体" w:hAnsi="华文楷体" w:eastAsia="华文楷体"/>
          <w:b/>
          <w:bCs/>
          <w:sz w:val="32"/>
        </w:rPr>
      </w:pPr>
      <w:r>
        <w:rPr>
          <w:rFonts w:hint="eastAsia" w:ascii="华文楷体" w:hAnsi="华文楷体" w:eastAsia="华文楷体"/>
          <w:b/>
          <w:bCs/>
          <w:sz w:val="32"/>
        </w:rPr>
        <w:t>撰写说明</w:t>
      </w:r>
    </w:p>
    <w:p w14:paraId="1168CAEB">
      <w:pPr>
        <w:rPr>
          <w:rFonts w:hint="eastAsia" w:ascii="华文楷体" w:hAnsi="华文楷体" w:eastAsia="华文楷体"/>
          <w:bCs/>
          <w:sz w:val="30"/>
          <w:szCs w:val="30"/>
        </w:rPr>
      </w:pPr>
    </w:p>
    <w:p w14:paraId="0CE1C29D">
      <w:pPr>
        <w:spacing w:line="480" w:lineRule="auto"/>
        <w:ind w:firstLine="560" w:firstLineChars="200"/>
        <w:rPr>
          <w:rFonts w:hint="eastAsia" w:ascii="华文楷体" w:hAnsi="华文楷体" w:eastAsia="华文楷体"/>
          <w:sz w:val="28"/>
          <w:szCs w:val="28"/>
        </w:rPr>
      </w:pPr>
      <w:r>
        <w:rPr>
          <w:rFonts w:hint="eastAsia" w:ascii="华文楷体" w:hAnsi="华文楷体" w:eastAsia="华文楷体"/>
          <w:bCs/>
          <w:sz w:val="28"/>
          <w:szCs w:val="28"/>
        </w:rPr>
        <w:t>1.文献综述</w:t>
      </w:r>
      <w:r>
        <w:rPr>
          <w:rFonts w:hint="eastAsia" w:ascii="华文楷体" w:hAnsi="华文楷体" w:eastAsia="华文楷体"/>
          <w:sz w:val="28"/>
          <w:szCs w:val="28"/>
        </w:rPr>
        <w:t>应基于选题领域内具有代表性的文献进行，</w:t>
      </w:r>
      <w:r>
        <w:rPr>
          <w:rFonts w:hint="eastAsia" w:ascii="华文楷体" w:hAnsi="华文楷体" w:eastAsia="华文楷体"/>
          <w:bCs/>
          <w:sz w:val="28"/>
          <w:szCs w:val="28"/>
        </w:rPr>
        <w:t>需满足一定的字数要求。博士生：</w:t>
      </w:r>
      <w:r>
        <w:rPr>
          <w:rFonts w:hint="eastAsia" w:ascii="华文楷体" w:hAnsi="华文楷体" w:eastAsia="华文楷体"/>
          <w:sz w:val="28"/>
          <w:szCs w:val="28"/>
        </w:rPr>
        <w:t>文科不得少于10000字，理科不得少于6000字。硕士生：文科不得少于5000字，理科不得少于3000字。</w:t>
      </w:r>
    </w:p>
    <w:p w14:paraId="38DF9D36">
      <w:pPr>
        <w:spacing w:line="480" w:lineRule="auto"/>
        <w:ind w:firstLine="560" w:firstLineChars="200"/>
        <w:rPr>
          <w:rFonts w:hint="eastAsia" w:ascii="华文楷体" w:hAnsi="华文楷体" w:eastAsia="华文楷体"/>
          <w:bCs/>
          <w:sz w:val="28"/>
          <w:szCs w:val="28"/>
        </w:rPr>
      </w:pPr>
      <w:r>
        <w:rPr>
          <w:rFonts w:hint="eastAsia" w:ascii="华文楷体" w:hAnsi="华文楷体" w:eastAsia="华文楷体"/>
          <w:sz w:val="28"/>
          <w:szCs w:val="28"/>
        </w:rPr>
        <w:t>2.参考文献是指在开题报告中实际引用的文献。博士生实际引用文献须不少于50篇，硕士生实际引用文献须不少于30篇。参考文献格式参照学位论文格式要求，建议文中引用文献以脚注形式标注，并在文末按照字母顺序列出所有引用文献。</w:t>
      </w:r>
    </w:p>
    <w:p w14:paraId="08D38C8E">
      <w:pPr>
        <w:spacing w:line="480" w:lineRule="auto"/>
        <w:ind w:firstLine="560" w:firstLineChars="200"/>
        <w:rPr>
          <w:rFonts w:hint="eastAsia" w:ascii="华文楷体" w:hAnsi="华文楷体" w:eastAsia="华文楷体"/>
          <w:bCs/>
          <w:sz w:val="28"/>
          <w:szCs w:val="28"/>
        </w:rPr>
      </w:pPr>
      <w:r>
        <w:rPr>
          <w:rFonts w:hint="eastAsia" w:ascii="华文楷体" w:hAnsi="华文楷体" w:eastAsia="华文楷体"/>
          <w:bCs/>
          <w:sz w:val="28"/>
          <w:szCs w:val="28"/>
        </w:rPr>
        <w:t>3.博士生论文开题时间与学位论文通讯评阅时间间隔原则上不少于1.5年，硕士生论文开题时间与学位论文通讯评阅时间间隔原则上不少于8个月。</w:t>
      </w:r>
    </w:p>
    <w:p w14:paraId="7A7143D6">
      <w:pPr>
        <w:spacing w:line="480" w:lineRule="auto"/>
        <w:ind w:firstLine="560" w:firstLineChars="200"/>
        <w:rPr>
          <w:rFonts w:hint="eastAsia" w:ascii="华文楷体" w:hAnsi="华文楷体" w:eastAsia="华文楷体"/>
          <w:bCs/>
          <w:sz w:val="28"/>
          <w:szCs w:val="28"/>
        </w:rPr>
      </w:pPr>
      <w:r>
        <w:rPr>
          <w:rFonts w:hint="eastAsia" w:ascii="华文楷体" w:hAnsi="华文楷体" w:eastAsia="华文楷体"/>
          <w:bCs/>
          <w:sz w:val="28"/>
          <w:szCs w:val="28"/>
        </w:rPr>
        <w:t>4.开题报告审查小组根据开题报告情况，在相应的</w:t>
      </w:r>
      <w:r>
        <w:rPr>
          <w:rFonts w:hint="eastAsia" w:ascii="华文楷体" w:hAnsi="华文楷体" w:eastAsia="华文楷体"/>
          <w:sz w:val="28"/>
          <w:szCs w:val="28"/>
        </w:rPr>
        <w:t>□</w:t>
      </w:r>
      <w:r>
        <w:rPr>
          <w:rFonts w:hint="eastAsia" w:ascii="华文楷体" w:hAnsi="华文楷体" w:eastAsia="华文楷体"/>
          <w:bCs/>
          <w:sz w:val="28"/>
          <w:szCs w:val="28"/>
        </w:rPr>
        <w:t>内打</w:t>
      </w:r>
      <w:r>
        <w:rPr>
          <w:rFonts w:hint="eastAsia" w:ascii="华文楷体" w:hAnsi="华文楷体" w:eastAsia="华文楷体"/>
          <w:bCs/>
          <w:sz w:val="28"/>
          <w:szCs w:val="28"/>
        </w:rPr>
        <w:sym w:font="Wingdings 2" w:char="F050"/>
      </w:r>
      <w:r>
        <w:rPr>
          <w:rFonts w:hint="eastAsia" w:ascii="华文楷体" w:hAnsi="华文楷体" w:eastAsia="华文楷体"/>
          <w:bCs/>
          <w:sz w:val="28"/>
          <w:szCs w:val="28"/>
        </w:rPr>
        <w:t>号。</w:t>
      </w:r>
      <w:r>
        <w:rPr>
          <w:rFonts w:hint="eastAsia" w:ascii="华文楷体" w:hAnsi="华文楷体" w:eastAsia="华文楷体"/>
          <w:sz w:val="28"/>
          <w:szCs w:val="28"/>
        </w:rPr>
        <w:t>合格的开题报告，由学院存档并</w:t>
      </w:r>
      <w:r>
        <w:rPr>
          <w:rFonts w:hint="eastAsia" w:ascii="华文楷体" w:hAnsi="华文楷体" w:eastAsia="华文楷体"/>
          <w:bCs/>
          <w:sz w:val="28"/>
          <w:szCs w:val="28"/>
        </w:rPr>
        <w:t>作为毕业审核材料之一。</w:t>
      </w:r>
    </w:p>
    <w:p w14:paraId="2A3B1BE7">
      <w:pPr>
        <w:spacing w:line="480" w:lineRule="auto"/>
        <w:ind w:firstLine="560" w:firstLineChars="200"/>
        <w:rPr>
          <w:rFonts w:hint="eastAsia" w:ascii="华文楷体" w:hAnsi="华文楷体" w:eastAsia="华文楷体"/>
          <w:bCs/>
          <w:sz w:val="28"/>
          <w:szCs w:val="28"/>
        </w:rPr>
      </w:pPr>
      <w:r>
        <w:rPr>
          <w:rFonts w:hint="eastAsia" w:ascii="华文楷体" w:hAnsi="华文楷体" w:eastAsia="华文楷体"/>
          <w:bCs/>
          <w:sz w:val="28"/>
          <w:szCs w:val="28"/>
        </w:rPr>
        <w:t>5.开题报告中的字体字号均用宋体小四，页边距上下20MM,左右25MM，</w:t>
      </w:r>
      <w:r>
        <w:rPr>
          <w:rFonts w:hint="eastAsia" w:ascii="华文楷体" w:hAnsi="华文楷体" w:eastAsia="华文楷体"/>
          <w:sz w:val="28"/>
          <w:szCs w:val="28"/>
        </w:rPr>
        <w:t>用A4纸打印，于左侧装订成册</w:t>
      </w:r>
      <w:r>
        <w:rPr>
          <w:rFonts w:hint="eastAsia" w:ascii="华文楷体" w:hAnsi="华文楷体" w:eastAsia="华文楷体"/>
          <w:bCs/>
          <w:sz w:val="28"/>
          <w:szCs w:val="28"/>
        </w:rPr>
        <w:t>。</w:t>
      </w:r>
    </w:p>
    <w:p w14:paraId="048CFED8">
      <w:pPr>
        <w:ind w:firstLine="560" w:firstLineChars="200"/>
        <w:rPr>
          <w:rFonts w:hint="eastAsia" w:ascii="华文楷体" w:hAnsi="华文楷体" w:eastAsia="华文楷体"/>
          <w:bCs/>
          <w:sz w:val="28"/>
          <w:szCs w:val="28"/>
        </w:rPr>
      </w:pPr>
      <w:r>
        <w:rPr>
          <w:rFonts w:hint="eastAsia" w:ascii="华文楷体" w:hAnsi="华文楷体" w:eastAsia="华文楷体"/>
          <w:bCs/>
          <w:sz w:val="28"/>
          <w:szCs w:val="28"/>
        </w:rPr>
        <w:t>6.开题结束后，研究生需针对开题中所提问题与建议进行修改，并向学院提交开题报告修订花脸稿。</w:t>
      </w:r>
    </w:p>
    <w:p w14:paraId="5AB14BAC">
      <w:pPr>
        <w:rPr>
          <w:rFonts w:hint="eastAsia" w:ascii="华文楷体" w:hAnsi="华文楷体" w:eastAsia="华文楷体"/>
          <w:bCs/>
          <w:color w:val="FF0000"/>
          <w:sz w:val="28"/>
          <w:szCs w:val="28"/>
        </w:rPr>
      </w:pPr>
    </w:p>
    <w:p w14:paraId="3BD86502">
      <w:pPr>
        <w:keepNext w:val="0"/>
        <w:keepLines w:val="0"/>
        <w:pageBreakBefore/>
        <w:widowControl w:val="0"/>
        <w:kinsoku/>
        <w:wordWrap/>
        <w:overflowPunct/>
        <w:topLinePunct w:val="0"/>
        <w:autoSpaceDE/>
        <w:autoSpaceDN/>
        <w:bidi w:val="0"/>
        <w:adjustRightInd/>
        <w:snapToGrid/>
        <w:spacing w:line="300" w:lineRule="auto"/>
        <w:textAlignment w:val="auto"/>
        <w:rPr>
          <w:rFonts w:hint="eastAsia" w:ascii="微软雅黑" w:hAnsi="微软雅黑" w:eastAsia="微软雅黑"/>
          <w:b/>
          <w:bCs/>
          <w:sz w:val="32"/>
        </w:rPr>
        <w:sectPr>
          <w:footerReference r:id="rId3" w:type="default"/>
          <w:pgSz w:w="11906" w:h="16838"/>
          <w:pgMar w:top="1440" w:right="1800" w:bottom="1440" w:left="1800" w:header="851" w:footer="992" w:gutter="0"/>
          <w:pgNumType w:start="1"/>
          <w:cols w:space="425" w:num="1"/>
          <w:docGrid w:type="lines" w:linePitch="312" w:charSpace="0"/>
        </w:sectPr>
      </w:pPr>
    </w:p>
    <w:p w14:paraId="6EEAB5F2">
      <w:pPr>
        <w:keepNext w:val="0"/>
        <w:keepLines w:val="0"/>
        <w:pageBreakBefore/>
        <w:widowControl w:val="0"/>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ascii="微软雅黑" w:hAnsi="微软雅黑" w:eastAsia="微软雅黑"/>
          <w:b/>
          <w:bCs/>
          <w:sz w:val="32"/>
        </w:rPr>
        <w:t>一、研究背景</w:t>
      </w:r>
      <w:r>
        <w:rPr>
          <w:rFonts w:hint="eastAsia" w:ascii="华文楷体" w:hAnsi="华文楷体" w:eastAsia="华文楷体"/>
          <w:sz w:val="28"/>
          <w:szCs w:val="28"/>
        </w:rPr>
        <w:t>（分析本选题范畴内尚未得到较好解决的学术或实践难题，阐述选题的缘起与依据）</w:t>
      </w:r>
    </w:p>
    <w:p w14:paraId="133B6BF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党的十八大以来，推动文化与旅游的深度融合被提升至国家战略层面。习近平总书记多次强调，“要坚持以文塑旅、以旅彰文，推动文化和旅游融合发展”。这不仅是对产业发展规律的深刻把握，更是坚定文化自信、建设文化强国的重要路径。在此背景下，文旅融合不再是简单的业态叠加，而是走向了理念、资源、产业和市场的全方位、深层次融合。文创产品作为连接文化与旅游、传承与消费的关键载体，以其独特的文化内涵和创意设计，从传统的旅游纪念品蜕变为能够讲故事、塑形象、传价值的文化符号，成为文旅融合最直观、最富市场活力的成果体现，也是讲好中国故事、传播中华文明的重要使者。近年来，在文化强国战略推动下，文创产业快速崛起，成为文化传播与经济增收的重要载体，产品类型从传统文创向跨界联名、数字化产品拓展，传播范围与公众关注度持续提升。尤其是随着“博物馆热”的兴起，从故宫的“国潮”文创到敦煌的唯美元素，从三星堆的“神秘周边”到各地博物馆的“网红”冰淇淋，各类以历史文化为依托研发生产的文创产品逐渐热销，成为旅游消费的新增长点。博物馆文创产品从“周边商品”转向“文化传播载体”，博物馆文创产品作为连接传统文化与现代消费的重要桥梁，已从简单的文物复制仿制发展为蕴含深厚文化内涵的创新产品。国家文物局发布的《中国博物馆事业发展报告（2024）》中的数据显示，全国博物馆文创销售收入已达34.28亿元，同比增长63.7%，呈现爆发式增长态势，中国国家博物馆“凤冠”冰箱贴、北京古代建筑博物馆“天宫藻井”冰箱贴等一批精品文创火爆出圈。</w:t>
      </w:r>
    </w:p>
    <w:p w14:paraId="1113BAF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随着文创产业的井喷式发展，博物馆文创产品屡屡成为社会舆论关注的焦点。然而，在产业繁荣的背后，博物馆文创在传播过程中面临的舆情风险也日益凸显，成为制约行业健康发展的潜在威胁。近年来，一系列与博物馆文创相关的舆情危机事件频频发生。一些博物馆文创产品因设计不当被指责亵渎历史文化；因质量粗糙被消费者诟病为敷衍了事；因定价过高被质疑过度商业化；因营销手段失当引发社会价值观争议。这些事件不仅导致产品下架、相关博物馆声誉受损，更可能演变为对所属文旅机构甚至地域文化形象的公共信任危机，最终背离了文旅融合“以文塑旅”的初心。因此，对博物馆文创产品的关注，不能仅停留在其经济价值和网红效应，必须高度重视其作为文化载体的特殊敏感性及其可能引发的社会舆情风险。</w:t>
      </w:r>
    </w:p>
    <w:p w14:paraId="20CDA59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面对数字传播带来的舆情风险挑战，当前博物馆文创舆情管理仍存在诸多不足。多数博物馆尚未建立常态化的数字舆情监测系统，风险预警机制缺失，对线上平台的文创相关讨论缺乏实时跟踪与分析能力，往往在舆情爆发后才被动应对，错失最佳处置时机。其次，风险治理响应滞后且缺乏针对性，面对舆情事件时，大部分博物馆无法结合风险类型、传播阶段制定差异化处置策略，部分回应因缺乏说服力反而引发次生舆情。同时，博物馆与数字平台、媒体、用户之间的协同治理机制尚未建立，难以形成风险管控合力。</w:t>
      </w:r>
    </w:p>
    <w:p w14:paraId="5CC8B28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在此背景下，系统梳理博物馆文创产品舆情风险的形成逻辑，构建科学、可操作的风险识别、评估与治理体系，成为解决当前文创产业发展痛点、推动文化IP可持续发展的迫切需求，也为图书情报学科在文化舆情治理领域的应用拓展提供了重要研究契机。</w:t>
      </w:r>
    </w:p>
    <w:p w14:paraId="79629BE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华文楷体" w:hAnsi="华文楷体" w:eastAsia="华文楷体"/>
          <w:sz w:val="28"/>
          <w:szCs w:val="28"/>
        </w:rPr>
      </w:pPr>
      <w:r>
        <w:rPr>
          <w:rFonts w:hint="eastAsia" w:ascii="微软雅黑" w:hAnsi="微软雅黑" w:eastAsia="微软雅黑"/>
          <w:b/>
          <w:bCs/>
          <w:sz w:val="32"/>
        </w:rPr>
        <w:t>二、文献综述</w:t>
      </w:r>
      <w:r>
        <w:rPr>
          <w:rFonts w:hint="eastAsia" w:ascii="华文楷体" w:hAnsi="华文楷体" w:eastAsia="华文楷体"/>
          <w:sz w:val="28"/>
          <w:szCs w:val="28"/>
        </w:rPr>
        <w:t>（系统梳理本选题相关的具有代表性的文献，分析相关研究的发展脉络与进展，评述已有研究存在的问题与不足）</w:t>
      </w:r>
    </w:p>
    <w:p w14:paraId="12F6FE3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bCs/>
          <w:sz w:val="24"/>
          <w:szCs w:val="24"/>
          <w:lang w:val="en-US"/>
        </w:rPr>
      </w:pPr>
      <w:r>
        <w:rPr>
          <w:rFonts w:hint="eastAsia"/>
          <w:b w:val="0"/>
          <w:bCs w:val="0"/>
          <w:sz w:val="24"/>
          <w:szCs w:val="24"/>
          <w:lang w:val="en-US" w:eastAsia="zh-CN"/>
        </w:rPr>
        <w:t>本文选取Web of science和CNKI为数据源，以网络舆情风险、网络舆情风险识别、网络舆情风险评估、网络舆情风险治理等为关键词进行检索，经过人工筛选后选取具有代表性文献进行分析。通过文献调查法文献的研究对象和研究内容进行分析和评述，全面系统的展示国内外相关研究态势。</w:t>
      </w:r>
    </w:p>
    <w:p w14:paraId="222A6D33">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b w:val="0"/>
          <w:bCs w:val="0"/>
          <w:color w:val="auto"/>
          <w:sz w:val="24"/>
          <w:szCs w:val="24"/>
          <w:lang w:val="en-US" w:eastAsia="zh-CN"/>
        </w:rPr>
      </w:pPr>
      <w:r>
        <w:rPr>
          <w:rFonts w:hint="eastAsia"/>
          <w:b/>
          <w:bCs/>
          <w:sz w:val="24"/>
          <w:szCs w:val="24"/>
          <w:lang w:val="en-US" w:eastAsia="zh-CN"/>
        </w:rPr>
        <w:t>（一）国外研究现状</w:t>
      </w:r>
    </w:p>
    <w:p w14:paraId="5E46D29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240" w:firstLineChars="100"/>
        <w:textAlignment w:val="auto"/>
        <w:rPr>
          <w:rFonts w:hint="eastAsia"/>
          <w:b w:val="0"/>
          <w:bCs w:val="0"/>
          <w:color w:val="auto"/>
          <w:sz w:val="24"/>
          <w:szCs w:val="24"/>
          <w:lang w:val="en-US" w:eastAsia="zh-CN"/>
        </w:rPr>
      </w:pPr>
      <w:r>
        <w:rPr>
          <w:rFonts w:hint="eastAsia"/>
          <w:b w:val="0"/>
          <w:bCs w:val="0"/>
          <w:color w:val="auto"/>
          <w:sz w:val="24"/>
          <w:szCs w:val="24"/>
          <w:lang w:val="en-US" w:eastAsia="zh-CN"/>
        </w:rPr>
        <w:t>1.网络舆情风险相关研究</w:t>
      </w:r>
    </w:p>
    <w:p w14:paraId="30A6C01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网络舆情作为社会情绪和民意的集中反映，若引导不当或应对失策，极易演化为具有破坏性的社会风险，对社会稳定、政府公信力乃至个体权益构成威胁。因此，对网络舆情进行科学有效的风险识别、精准评估与前瞻性治理，已成为信息科学、公共管理等领域的重要研究课题。</w:t>
      </w:r>
    </w:p>
    <w:p w14:paraId="3D957BC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（1）网络舆情风险识别</w:t>
      </w:r>
    </w:p>
    <w:p w14:paraId="61823C2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color w:val="auto"/>
        </w:rPr>
      </w:pPr>
      <w:r>
        <w:rPr>
          <w:rFonts w:hint="eastAsia"/>
          <w:b w:val="0"/>
          <w:bCs w:val="0"/>
          <w:color w:val="auto"/>
          <w:sz w:val="24"/>
          <w:szCs w:val="24"/>
          <w:lang w:val="en-US" w:eastAsia="zh-CN"/>
        </w:rPr>
        <w:t>识别风险来源是风险评估与治理的前提，是指通过对网络舆情进行系统化的监测和分析，及时识别可能引发负面舆论、损害组织声誉或利益的潜在风险因素和苗头性信息。国外在这方面的研究主要应用于社交媒体分析、信息传播模型和假新闻及谣言检测等领域。国外学者通过构建各种基于深度学习、机器学习和传统的文本分析模型，实现了对舆情风险的识别和预测。例如，</w:t>
      </w:r>
      <w:r>
        <w:rPr>
          <w:rFonts w:hint="default" w:ascii="Times New Roman" w:hAnsi="Times New Roman" w:cs="Times New Roman"/>
          <w:color w:val="auto"/>
          <w:sz w:val="24"/>
          <w:szCs w:val="24"/>
          <w:lang w:val="en-US" w:eastAsia="zh-CN"/>
        </w:rPr>
        <w:t>Sai V V K</w:t>
      </w:r>
      <w:r>
        <w:rPr>
          <w:rFonts w:hint="eastAsia" w:cs="Times New Roman"/>
          <w:color w:val="auto"/>
          <w:sz w:val="24"/>
          <w:szCs w:val="24"/>
          <w:lang w:val="en-US" w:eastAsia="zh-CN"/>
        </w:rPr>
        <w:t>（2024）</w:t>
      </w:r>
      <w:r>
        <w:rPr>
          <w:rFonts w:hint="eastAsia"/>
          <w:b w:val="0"/>
          <w:bCs w:val="0"/>
          <w:color w:val="auto"/>
          <w:sz w:val="24"/>
          <w:szCs w:val="24"/>
          <w:lang w:val="en-US" w:eastAsia="zh-CN"/>
        </w:rPr>
        <w:t>等通过对Twitter数据进行分析，对推文表达的情感进行提取和分类，来检测个人档案的政治倾向</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_Ref18619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。另外，Ruz A G（2020）等人采用贝叶斯网络分类器对2010年智利地震和2017年加泰罗尼亚独立公投进行情感分析，解决诸如自然灾害或社会运动等关键事件期间的情感分析问题</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_Ref19056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。Thelwall, M（2012）等人提出一种基于主题模型的方法，用于早期警示社交媒体中的舆情风险，发现该方法确实能给决策者及时提供有效信息</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_Ref19219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。Ahmed S（2018）等人通过研究危机情景下的在线沟通，识别了网络舆情风险的因素，并进行情感分析，识别发现舆情风险的因素包括情感极性、词频以及网络影响力</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_Ref19278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。通过情感倾向来识别舆情风险的深度学习模型主要有两种，一种是卷积神经网络模型（CNN）</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_Ref19360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，另一种是循环神经网络模型（RNN）</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_Ref19406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。例如Li（2016）等人采用CNN模型挖掘微博数据特征，进而对文本进行情感分类，发现这种模型明显优于传统机器学习算法</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_Ref19461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[7]</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。随着预训练语言模型的提出，更多学者选择ELMO和BERT等预训练语言模型，深度学习的性能更好。例如，Peter M E（2018）等人引入一种新的语言训练模型ＢｉＬＭ，发现可以显著地提高情感分析的分类水平和效果</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_Ref19654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[8]</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；Li（2021）等引入BERT-RCNN语言模型来识别突发公共事件中的网民情绪，发现优于支持向量机和其他的深度学习模型，准确率更高，且具有更快的收敛速度和更短的训练时间</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_Ref19712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。Aslanbek Murzakhmetov等提出了一种用于哈萨克斯坦英文旅游评论情感分析的混合堆叠集成方法,集成了四种互补的方法：VADER，TextBlob，Stanza和带有Transformers双向编码器表示的局部上下文聚焦机制( LCF-BRT )。每个模型具有不同的分析能力,包括基于词典的极性检测、基于规则的主观性评估、泛化的星级估计和面向上下文方面的情感分类</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_Ref19856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[10]</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w:t>
      </w:r>
    </w:p>
    <w:p w14:paraId="64C2520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（2）网络舆情风险评估</w:t>
      </w:r>
    </w:p>
    <w:p w14:paraId="271F38A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科学的风险评估是实现对网络舆情风险有效管控的关键环节，旨在识别的基础上，对风险可能造成的影响程度、传播范围和发生概率进行量化或定性分析，确定风险等级。国外在该领域的研究起步较早，主要集中在网络舆情评估指标体系和网络舆情风险评估方法两方面。国外学者在构建指标体系时从不同角度进行选择，Castells（2015）提出一个多维度的舆情分析框架，强调网络舆情社会和政治影响，分析了网民、媒体和政府在舆情形成中的作用</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_Ref19954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。Mulder（2012）将影响网络舆情的关键因素分为媒体、网民、舆论领导人、政党和政府5个方面</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_Ref20006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。Tufekci（2017）提出一个评估网络舆情影响力的框架，重点关注网民行为、媒体传播和政府反应之间的互动</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_Ref20062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。Bennett（2013）等提出一个基于数字媒体的网络舆情分析模型，重点关注网民的自组织行为和媒体传播的作用，并且强调个人化内容在网络舆情形成中的重要性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_Ref20117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。Chadwick（2014）研究混合媒体系统，即传统媒体与社交媒体的结合对网络舆情的影响，重点关注媒体、政党和舆论领袖的互动</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_Ref20212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可以看出，国外研究学者对于影响因素的分类非常多样化，但缺乏统一的评估标准和方法，这导致不同研究结果之间的可比性较差，也给指标选取的实际应用带来一定困难。国外学者在网络舆情风险评估方面亦开展了大量研究，并提出了一系列创新有效的评估方法，目前，运用大数据分析技术进行多维度、多层次的风险评估成为趋势。通过结合主观和客观权重考虑，为网络舆情趋势预测和风险评估提供了可靠性和有效性。Delcea C（2023）等以新冠疫苗接种相关舆情为例，基于不同类别推文数量的变化进行灰色关联分析进行舆情挖掘</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_Ref20767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。Chai（2016）等提出了一种改进的AHP-熵权法对网络舆情风险进行评价，结果表明，同时考虑主观权重和客观权重的方法具有可靠性和有效性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_Ref20937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[17]</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。Smith（2023）等研究了社交媒体对舆情传播及风险预警的影响，并运用熵权法确定各指标的权重，进而对舆情风险等级进行评估</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_Ref21048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[18]</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。Holladay（2017）等从公共危机管理视角，研究公共危机舆情事件传播方式对舆情主体的影响，分析新闻媒体在舆情传播中的差异性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_Ref21953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[19]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。国外研究学者在风险评估的方法应用已经取得了一定的进展，但仍存在一些问题和挑战，包括指标的选择和权重确定、数据的质量和可靠性、模型的稳健性等方面，仍需进一步的研究和改进。</w:t>
      </w:r>
    </w:p>
    <w:p w14:paraId="1D6B7F3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（3）网络舆情风险治理</w:t>
      </w:r>
    </w:p>
    <w:p w14:paraId="62E9247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风险评估的最终目的是为有效的风险治理提供决策支持。网络舆情风险治理是一个涉及信息监控、预警、干预、引导、修复等多个环节的系统工程。国外研究多强调基于危机生命周期理论的阶段性应对策略，以及提升组织透明度、加强与公众沟通的重要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_Ref22358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[20]</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。Ma H（2024）提出在大数据时代，法治治理网络舆情面临监管力度不足，法治体系不完善，执行机制缺乏有效性及监管机制不健全等问题。构建成熟有效的网络舆情治理体系应从加强监管、完善法治体系、强化执行机制及提升法治意识入手，更好应对网络舆情带来的复杂挑战</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_Ref22710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。Yue tong C（2022）提出基于区块链技术的网络舆情治理模型，能有效降低虚假舆情传播的风险，提高信息处理效率。通过区块链去中心化特性，增强舆情数据的透明性与不可篡改性，为现代舆情治理提供新思路，促进用户信息安全与数据管理有效结合</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_Ref22785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。Tom Willaert（2020）提出社交媒体是网络舆情监测的重要信息宝库，在舆情动态研究中，机器引导与认为激励可能存在潜在风险。利用社交媒体数据进行舆情分析时，谨慎考虑数据解读准确性与可靠性，避免因算法便见或人为操控导致误导性结论。提醒研究者在进行数据分析时，关注潜在的伦理问题与风险确保舆情研究科学性和公正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_Ref22867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。Xiaoli Wang（2023）指出互联网信息技术加速了负面事件网络舆情的传播，并提出政府监管在前、企业应对在后是缓解舆情扩散的最佳方法</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_Ref22985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。Chao Cao（2025）强调由于网络平台信息传播速度快，用户规模大，舆情风险更加明显，对舆情危机做出即时反应和干预非常重要</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_Ref23073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。Shuangshuang Q（2023）等提出政府主导模式在整个政策过程中为公民参与提供制度化机会。政府主导下的民间讨论通过改变政策议程的顺序或在官方环境中提供焦点来影响政策。互联网通过开放与大众化参与平台为更广泛的利益相关者赋权。政府主导模式下，公民、尤其是专家，比互联网赋权下的公民更有可能给出积极反馈。中央政府可以通过减少政府主导模式的制度偏差，并利用文本和情感分析来督促地方政府对网络民意做出回应，促进地方层面的包容性决策</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_Ref23239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[26]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w:t>
      </w:r>
    </w:p>
    <w:p w14:paraId="6273BBCF">
      <w:pPr>
        <w:keepNext w:val="0"/>
        <w:keepLines w:val="0"/>
        <w:pageBreakBefore w:val="0"/>
        <w:widowControl w:val="0"/>
        <w:numPr>
          <w:ilvl w:val="0"/>
          <w:numId w:val="1"/>
        </w:numPr>
        <w:kinsoku/>
        <w:wordWrap/>
        <w:overflowPunct/>
        <w:topLinePunct w:val="0"/>
        <w:autoSpaceDE/>
        <w:autoSpaceDN/>
        <w:bidi w:val="0"/>
        <w:adjustRightInd/>
        <w:snapToGrid/>
        <w:spacing w:line="300" w:lineRule="auto"/>
        <w:ind w:firstLine="0" w:firstLineChars="0"/>
        <w:textAlignment w:val="auto"/>
        <w:rPr>
          <w:rFonts w:hint="eastAsia"/>
          <w:b w:val="0"/>
          <w:bCs w:val="0"/>
          <w:color w:val="auto"/>
          <w:sz w:val="24"/>
          <w:szCs w:val="24"/>
          <w:lang w:val="en-US" w:eastAsia="zh-CN"/>
        </w:rPr>
      </w:pPr>
      <w:r>
        <w:rPr>
          <w:rFonts w:hint="eastAsia"/>
          <w:b w:val="0"/>
          <w:bCs w:val="0"/>
          <w:color w:val="auto"/>
          <w:sz w:val="24"/>
          <w:szCs w:val="24"/>
          <w:lang w:val="en-US" w:eastAsia="zh-CN"/>
        </w:rPr>
        <w:t>博物馆文创相关研究</w:t>
      </w:r>
    </w:p>
    <w:p w14:paraId="24AB1C6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西方发达国家的博物馆文创产业起步较早且更加成熟，已形成了较为完善的开发体系。Stephen（2007）指出，在当代社会经济持续增长的背景下，文博事业受到了国家和社会的高度重视，促使众多博物馆将文创产业的发展视为其自身成长与转型的关键环节</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_Ref2044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[27]</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。国外博物馆在文化资源的开发与利用过程中，注重将文创产品与地域特色及博物馆自身的文化特质相结合，实现文化价值与经济价值的双重转化。在文化符号转化方面，Mcdonagh D（2002） 提出博物馆文化商品的象征性较功能性更为明显，而购买博物馆商品属于符号性消费行为，产品的符号含义对消费者而言是情感关系</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_Ref2142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[28]</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；Sun C（2025）等使用 LDA模型对在线评价进行聚类，得出设计维度和关键点，并使用 AHP 分层分析方法对聚类结果的三个维度进行定性和定量分析，提出了文创产品三项战略发展建议：加强博物馆文化体系建设，突出文创产品的文化洗礼效应，加强文化和创意产品在博物馆中的可用性，并加强“人-物-环境”的相关性;提升文创产品创意，促进博物馆文化传承和创新</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_Ref2211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[29]</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；He F（2024）论述了红色文化符号的提取和精神提取过程，以及这些元素在设计中的应用价值，并强调了传统与现代相融合的设计理念、突出红色文化特色的设计原则和以用户体验为主的设计导向</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_Ref2253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[30]</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在设计方式和流程方面，Leong（2003）等提出了研究文化产品设计的架构，将文化空间区分为外在层次（有形和物质的）、中间层次（使用行为和仪式习俗的）与内在层次（意识形态和精神层面的），以此三个层次形成文化整合的设计论点</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_Ref2295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[31]</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；Wang M（2025）通过研究数字建模技术的应用，提出数字建模与 3D 打印和虚拟现实等技术相结合，使博物馆能够精确、高效地复制文物，克服传统材料和手工工艺的限制，不仅提高了复制品的准确性，还促进了通过数字平台全球共享和传播文化遗产</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_Ref3174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[32]</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。在提升游客体验和购买意向方面，Li H（2024）等通过研究AI生成的MCCP设计对消费者满意度的影响，构建了一个由4个维度的14个因素指标组成的综合评价体系，并提出创建多模态博物馆数据库，开发结构化提示卡模型，构建全流程AI参与的MCCP设计平台，有助于提高消费者满意度</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_Ref2756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[33]</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；Chiou（2018）等人研究了文化博物馆创意品牌的设计理念如何影响消费者产生文化创意产品购买意向的过程</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_Ref2821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[34]</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；Li Zhao（2021）等人探讨了博物馆文化创意产品的感知价值对购买意愿的影响并提出了感知价值与购买意愿的关系模型，研究得出创新价值观和体验价值观对购买意愿有显著的正向影响</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_Ref2883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[35]</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在营销策略方面，美国学者Neil和Philip（2006）详细阐述了博物馆如何通过创新性产品来吸引观众，并强调了营销策略在博物馆文化产业中的核心作用。两位学者认为，有效的营销策略不仅能够提升博物馆的公众形象，还能增强文创产品的市场竞争力，从而在文化产业中占据重要地位</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_Ref3295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[36]</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Lupo（2020）等提出将策略设计应用于文化机构，强调建立创新型博物馆系统的必要性。他们认为，博物馆不仅仅是保存和展示文化遗产的场所，还应通过策略性设计和共创工作与利益相关者建立更深层次的共情关系，从而有助于博物馆更好地理解公众需求，促进文化和知识的有效传播</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_Ref3334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[37]</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。Richards（2011）的研究揭示了旅游业与文化创意的密切关系，提出了“创意旅游”概念。创意旅游更加注重非物质文化和日常生活体验，强调游客与目的地之间的互动和共创，从而为游客提供个性化的体验</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_Ref3363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[38]</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。近年来，还有部分学者认为博物馆文化产品中的数字化产品应该更开放，这样更有利于博物馆文创产品的传播。</w:t>
      </w:r>
    </w:p>
    <w:p w14:paraId="496377B7">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b/>
          <w:bCs/>
          <w:color w:val="auto"/>
          <w:sz w:val="24"/>
          <w:szCs w:val="24"/>
          <w:lang w:val="en-US" w:eastAsia="zh-CN"/>
        </w:rPr>
      </w:pPr>
      <w:r>
        <w:rPr>
          <w:rFonts w:hint="eastAsia"/>
          <w:b/>
          <w:bCs/>
          <w:color w:val="auto"/>
          <w:sz w:val="24"/>
          <w:szCs w:val="24"/>
          <w:lang w:val="en-US" w:eastAsia="zh-CN"/>
        </w:rPr>
        <w:t>（二）国内研究现状</w:t>
      </w:r>
    </w:p>
    <w:p w14:paraId="7F666E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240" w:firstLineChars="100"/>
        <w:textAlignment w:val="auto"/>
        <w:rPr>
          <w:rFonts w:hint="eastAsia"/>
          <w:b w:val="0"/>
          <w:bCs w:val="0"/>
          <w:color w:val="auto"/>
          <w:sz w:val="24"/>
          <w:szCs w:val="24"/>
          <w:lang w:val="en-US" w:eastAsia="zh-CN"/>
        </w:rPr>
      </w:pPr>
      <w:r>
        <w:rPr>
          <w:rFonts w:hint="eastAsia"/>
          <w:b w:val="0"/>
          <w:bCs w:val="0"/>
          <w:color w:val="auto"/>
          <w:sz w:val="24"/>
          <w:szCs w:val="24"/>
          <w:lang w:val="en-US" w:eastAsia="zh-CN"/>
        </w:rPr>
        <w:t>1.网络舆情风险相关研究</w:t>
      </w:r>
    </w:p>
    <w:p w14:paraId="668F913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240" w:firstLineChars="100"/>
        <w:textAlignment w:val="auto"/>
        <w:rPr>
          <w:rFonts w:hint="eastAsia"/>
          <w:b w:val="0"/>
          <w:bCs w:val="0"/>
          <w:color w:val="auto"/>
          <w:sz w:val="24"/>
          <w:szCs w:val="24"/>
          <w:lang w:val="en-US" w:eastAsia="zh-CN"/>
        </w:rPr>
      </w:pPr>
      <w:r>
        <w:rPr>
          <w:rFonts w:hint="eastAsia"/>
          <w:b w:val="0"/>
          <w:bCs w:val="0"/>
          <w:color w:val="auto"/>
          <w:sz w:val="24"/>
          <w:szCs w:val="24"/>
          <w:lang w:val="en-US" w:eastAsia="zh-CN"/>
        </w:rPr>
        <w:t>（1）网络舆情风险识别</w:t>
      </w:r>
    </w:p>
    <w:p w14:paraId="52A07F4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在国内，学界普遍认为突发事件网络舆情的风险源具有多样性和复杂性。首先是信息内容层面的风险，如虚假信息、恶意谣言的滋生与传播，煽动性、歧视性言论的扩散，以及因信息过载导致的“信息疫情”等，这些都可能误导公众认知，激化社会矛盾</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_Ref24317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[39]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。其次是信息主体行为层面的风险，如网络水军的恶意炒作、部分意见领袖的非理性引导，以及普通网民在群体情绪裹挟下的网络暴力行为等</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_Ref24346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[40]</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。最后，政府或相关机构在突发事件应对中信息发布不及时、不透明，或应对策略失当，也可能成为引爆或加剧舆情风险的重要因素</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_Ref24372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国内学者基于不同的风险来源和表现形式，对网络舆情风险进行了类型划分，常见的包括声誉风险、信任危机、社会恐慌风险、群体性事件诱发风险、网络暴力风险、政策制定干扰风险等。清晰的风险类型划分有助于后续风险评估指标体系的构建。</w:t>
      </w:r>
    </w:p>
    <w:p w14:paraId="4C81314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国内学者对于网络舆情的风险识别方法大致可分为三种。一种是通过探究影响因素来构建相应指标体系，从而评估风险等级，其二是揭示风险要素的触发逻辑与演化规律，其三是采用深度学习算法和遗传算法对风险进行识别。在探究影响因素方面，王丽华（2021）等从扎根理论视角入手，发现突发事件的网络舆情存在三类风险，分别是固有风险、表达风险和执行风险，从理论层面更好地识别到网络舆情风险</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_Ref24683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；董楠（2023）使用ＨＨＭ方法对网络谣言感染社会情绪的舆情风险进行量化和评级，得出高、中、低风险因素</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_Ref24771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；高晓宁（2023）等融合信息传播过程理论和“五体说”分析高校网络舆情风险影响因素，并构建系统动力学模型探究各因素的复杂因果关系，探究各因素对舆情风险的影响程度</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_Ref24898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。张艳丰（2024）等在生成式人工智能情境下，引入WSR系统方法论，构建物理、事理、人理三维风险要素指标体系，并结合模糊DEMATEL与AHPsortⅡ方法进行风险测度，为技术驱动的舆情风险识别提供了系统性工具</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_Ref25342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林彦君（2024）等将利益相关者理论引入重大事项舆情风险识别，构建规范性、描述性、情境性三级指标体系，并借鉴弗里曼“利益-权力”二维坐标，将参与者细分为直接利益相关者、关键意见领袖等五类角色，该研究突破了传统技术导向的局限，强调风险的社会建构属性，为精准识别不同主体的风险贡献度提供了理论工具</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_Ref26221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在揭示演化规律方面，黄微（2024）等基于刺激反应理论，将人工智能风险纳入分析框架，提出网络舆情风险簇的“四重机理”，即事理风险源触发机理、人工智能力量操纵机理、群体风险加工机理及风险循环反馈机理，归纳为非理性交互主导型、AI-极端观点双重驱动型、多要素协同型三种驱动模式，为理解智能传播时代的风险生成提供了整合性视角</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_Ref26296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[47]</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王林平（2024）等则从生命周期视角切入，刻画突发事件舆情风险在萌发、扩散、高涨、消退四阶段的“突变-涟漪-共振-耗散”演化规律，指出社会隐性风险、公众感知偏差、网络环境失衡与管理响应迟滞是主要生成动因，完善了风险演化的动态解释框架</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_Ref26381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[48]</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。在应用算法方面，曾慧玲（2022）等通过构建BERT和MLM的深度学习算法模型，对新闻舆情风险进行识别，可帮助企业及时做出应对措施</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_Ref26508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[49]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；刘通（2022）利用大数据分析和优化的遗传算法，实现了对网络舆情风险的动态识别，为公安网络舆情风险识别工作提供重要参考</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_Ref26573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[50]</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。张志剑（2024）等面向企业风险场景，创新性地提出KGANN模型，融合知识图谱与神经网络结构，通过股权、司法、知识产权等企业特征实现风险等级自动识别，拓展了舆情风险识别的应用边界</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_Ref26665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。张霁阳（2023）等从主题演化角度出发，基于主题聚类模型LDA和门控循环神经网络单元GRU构建了舆情反转实时识别模型，可以实现舆情反转的自动化识别</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_Ref26796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。林伟（2023）设计了一种融合双向门控循环单元BIGRU和卷积神经网络CNN的情感识别模型，有效地提升了网络舆情情感识别的性能</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_Ref26874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国内学界已构建多维度的网络舆情风险识别体系，清晰界定了信息内容、主体行为等多元风险源，也形成了指标体系构建、演化规律揭示、算法技术应用的多元识别路径，且融入扎根理论、利益相关者理论等跨学科视角与 AI 算法工具，为风险识别提供了丰富方法论。</w:t>
      </w:r>
    </w:p>
    <w:p w14:paraId="14A2033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240" w:firstLineChars="100"/>
        <w:textAlignment w:val="auto"/>
        <w:rPr>
          <w:rFonts w:hint="eastAsia"/>
          <w:b w:val="0"/>
          <w:bCs w:val="0"/>
          <w:color w:val="auto"/>
          <w:sz w:val="24"/>
          <w:szCs w:val="24"/>
          <w:lang w:val="en-US" w:eastAsia="zh-CN"/>
        </w:rPr>
      </w:pPr>
      <w:r>
        <w:rPr>
          <w:rFonts w:hint="eastAsia"/>
          <w:b w:val="0"/>
          <w:bCs w:val="0"/>
          <w:color w:val="auto"/>
          <w:sz w:val="24"/>
          <w:szCs w:val="24"/>
          <w:lang w:val="en-US" w:eastAsia="zh-CN"/>
        </w:rPr>
        <w:t>（2）网络舆情风险评估</w:t>
      </w:r>
    </w:p>
    <w:p w14:paraId="2D029AB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近年来，随着数字技术迭代与风险社会特征凸显，国内学者对网络舆情风险评估的研究持续深化，在借鉴国外经验的基础上，积极探索符合中国网络环境的风险评估路径。目前，国内学者主要采用基于指标体系的评估方法，这类方法是通常包括3个核心部分，指标体系的构建、指标的量化评估以及动态风险分析与评估。在指标体系的构建方面，侧重点在于指标的选择和组织，学者通常根据舆情风险的特点和数据可得性选择不同的方法。张鑫（2020）等通过解构评价目标及具体表征的关键信息，构建了面向反复性事件的网络舆情风险评估指标体系，在后续专家意见征询过程中，发现部分指标存在难获取、冗余等问题，后结合研究实际以及反复性舆情特征，对部分指标进行了调整，最终形成网络舆情风险指标体系</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_Ref28043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杨柳（2022）等在研究高校网络舆情影响因素和发展演化规律的基础上，构建高校网络舆情风险评估指标体系，并利用随机森林算法的特征重要性度量值对指标进行筛选，从而得到高校网络舆情风险评估的最优指标集</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_Ref28131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。江长斌（2024）等基于信息生态视角，从信息内容、信息人和信息环境3个维度构建高校师德师风类网络舆情风险评估指标体系，将舆情风险划分为低危型、中危型和高危型3个等级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_Ref28265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指标体系构建完成后，侧重点在于指标的量化评估，主要强调权重分配的合理性。已有研究对于舆情风险评估指标的赋权方法主要包括以下3类：一是以层次分析法、模糊层次分析法等为代表的主观赋权方法，例如吴琦（2024）等基于社会安全事件负面舆论语义特征，构建领域情感词典，并在词典基础上构建风险词指标，进而形成系统的社会安全事件网络舆情风险评估体系</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_Ref28432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[57]</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。曾艳（2021）采用模糊层次分析法对各个指标进行了权重分配，并选用了随机森林算法对微博谣言的危害性进行了等级划分</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_Ref28670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[58]</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这类方法依赖专家的知识与经验，能够纳入难以量化的因素，但易受到主观性影响；二是以熵权法、属性数学评估等为代表的客观赋权法，基于样本数据的统计特性确定权重，例如贾若男（2024）等构建了事件多维主题图谱以形成舆情知识资源集合，并从中确定群体极化风险要素抽取维度并量化末级指标，最后采用熵权法进行风险评估，并提出有针对性的应对策略</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_Ref30623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[59]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。刘婷（2024）等借助熵权-TOPSIS法，动态评估“深圳暴雨”这一突发公共事件的舆情风险指数，并描述其风险态势，进而划分舆情预警等级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_Ref30966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[60]</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。于群（2025）等提出了一种基于熵权法和属性数学理论的停电事故网络舆情风险评估模型，并以2021年美国得州停电和2020年美国加州停电两次事故为例进行实证研究，得到两次停电事故造成的网络舆情风险等级</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_Ref31475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[61]</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这类方法赋权更具客观性，却可能忽视领域专家对难量化因素的直观判断；三是将主客观相结合的赋权方法，通过数学运算对主观权重和客观权重进行集成，对权重进行加权处理，既关注主观赋权反映的专家知识与决策者意向，也反映了客观赋权方法所揭示的指标与对象间的关联</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_Ref29506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[62]</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。朱国庆（2023）等针对森林火灾网络舆情风险评估指标，联合采用模糊层次分析与直觉模糊熵确定指标权重</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_Ref31740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[63]</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在完成指标体系构建和权重赋值后，研究者通过动态风险分析与评估捕捉舆情风险的演化趋势和潜在影响。这一阶段超越了静态的指标量化，聚焦于舆情事件的动态特征、传播规律和风险演化预测。安璐（2021）等在构建指标体系和完成量化赋权的基础上，通过统计分析方法深入分析各指标对舆情风险的影响力倾向，从而确定了指标在不同取值区间内对舆情风险的影响方向和程度，识别了关键指标及其影响模式</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_Ref31932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[64]</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。周炜（2024）等依据构建的多阶段网络舆情风险评估指标体系，进行多阶段舆情风险评估计算，并依据各类型转变路径的多阶段风险值，揭示了各转变路径风险来源及波动性特征</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_Ref32073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[65]</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尽管现有风险评估模型和方法日益丰富，但在应对突发事件舆情的高动态性、多平台异质性以及风险因素的复杂耦合性方面，如何构建更具鲁棒性、解释性和预测能力的综合风险评估体系，特别是能够融入信息生态失衡如信息污染、生态位缺失等新视角的评估框架，是未来研究的重要方向。</w:t>
      </w:r>
    </w:p>
    <w:p w14:paraId="52122AF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240" w:firstLineChars="100"/>
        <w:textAlignment w:val="auto"/>
        <w:rPr>
          <w:rFonts w:hint="eastAsia"/>
          <w:b w:val="0"/>
          <w:bCs w:val="0"/>
          <w:color w:val="auto"/>
          <w:sz w:val="24"/>
          <w:szCs w:val="24"/>
          <w:lang w:val="en-US" w:eastAsia="zh-CN"/>
        </w:rPr>
      </w:pPr>
      <w:r>
        <w:rPr>
          <w:rFonts w:hint="eastAsia"/>
          <w:b w:val="0"/>
          <w:bCs w:val="0"/>
          <w:color w:val="auto"/>
          <w:sz w:val="24"/>
          <w:szCs w:val="24"/>
          <w:lang w:val="en-US" w:eastAsia="zh-CN"/>
        </w:rPr>
        <w:t>（3）网络舆情风险治理</w:t>
      </w:r>
    </w:p>
    <w:p w14:paraId="18A7035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国内学者在舆情风险治理方面，高度关注政府在其中的主导作用与多主体协同治理模式的构建</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_Ref32210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[66]</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杨志超（2025）等提出在网络舆情治理过程中,要坚持“防患未然—激浊扬清—提质增效—强基固本”的总体思路，以增强防控意识、加强内容建设、培育创新理念、健全长效机制为重点施策，不断提升治理的前瞻力、引领力、驱动力和保障力</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_Ref32432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[67]</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此外，针对特定舆情风险类型的专项治理策略研究也日益深入。例如，张桢（2020）提出了善治视域下提升突发公共事件的网络舆情风险防范与社会治理的对策，即加强社会组织力量参与舆情治理，在良法善治中彰显公平正义，构建多中心协同联动的善治模式,加大民众赋权，最大限度遏制舆论风险形成</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_Ref32523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[68]</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。宋捷（2025）立足于当前高校网络舆情环境的现状，从“稳、导、育”三个维度作为切入点，聚焦当前高校普遍存在的舆情预警滞后等核心问题，深入探索高校在网络舆情应对与思想政治引领中的有效路径</w:t>
      </w:r>
      <w:r>
        <w:rPr>
          <w:rFonts w:hint="eastAsia"/>
          <w:b w:val="0"/>
          <w:bCs w:val="0"/>
          <w:color w:val="auto"/>
          <w:sz w:val="24"/>
          <w:szCs w:val="24"/>
          <w:vertAlign w:val="superscript"/>
          <w:lang w:val="en-US" w:eastAsia="zh-CN"/>
        </w:rPr>
        <w:fldChar w:fldCharType="begin"/>
      </w:r>
      <w:r>
        <w:rPr>
          <w:rFonts w:hint="eastAsia"/>
          <w:b w:val="0"/>
          <w:bCs w:val="0"/>
          <w:color w:val="auto"/>
          <w:sz w:val="24"/>
          <w:szCs w:val="24"/>
          <w:vertAlign w:val="superscript"/>
          <w:lang w:val="en-US" w:eastAsia="zh-CN"/>
        </w:rPr>
        <w:instrText xml:space="preserve"> REF _Ref32628 \r \h </w:instrText>
      </w:r>
      <w:r>
        <w:rPr>
          <w:rFonts w:hint="eastAsia"/>
          <w:b w:val="0"/>
          <w:bCs w:val="0"/>
          <w:color w:val="auto"/>
          <w:sz w:val="24"/>
          <w:szCs w:val="24"/>
          <w:vertAlign w:val="superscript"/>
          <w:lang w:val="en-US" w:eastAsia="zh-CN"/>
        </w:rPr>
        <w:fldChar w:fldCharType="separate"/>
      </w:r>
      <w:r>
        <w:rPr>
          <w:rFonts w:hint="eastAsia"/>
          <w:b w:val="0"/>
          <w:bCs w:val="0"/>
          <w:color w:val="auto"/>
          <w:sz w:val="24"/>
          <w:szCs w:val="24"/>
          <w:vertAlign w:val="superscript"/>
          <w:lang w:val="en-US" w:eastAsia="zh-CN"/>
        </w:rPr>
        <w:t>[69]</w:t>
      </w:r>
      <w:r>
        <w:rPr>
          <w:rFonts w:hint="eastAsia"/>
          <w:b w:val="0"/>
          <w:bCs w:val="0"/>
          <w:color w:val="auto"/>
          <w:sz w:val="24"/>
          <w:szCs w:val="24"/>
          <w:vertAlign w:val="superscript"/>
          <w:lang w:val="en-US" w:eastAsia="zh-CN"/>
        </w:rPr>
        <w:fldChar w:fldCharType="end"/>
      </w:r>
      <w:r>
        <w:rPr>
          <w:rFonts w:hint="eastAsia"/>
          <w:b w:val="0"/>
          <w:bCs w:val="0"/>
          <w:color w:val="auto"/>
          <w:sz w:val="24"/>
          <w:szCs w:val="24"/>
          <w:lang w:val="en-US" w:eastAsia="zh-CN"/>
        </w:rPr>
        <w:t>。然而，在多平台互联互通日益紧密的背景下，如何实现跨平台的协同治理、如何在保障言论自由与维护社会秩序之间取得平衡，以及如何构建更具韧性的网络信息生态系统以从源头上预防和化解舆情风险，仍是未来风险治理研究需要持续探索的深层议题。</w:t>
      </w:r>
    </w:p>
    <w:p w14:paraId="53EFB1A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0" w:firstLineChars="0"/>
        <w:textAlignment w:val="auto"/>
        <w:rPr>
          <w:rFonts w:hint="default"/>
          <w:b w:val="0"/>
          <w:bCs w:val="0"/>
          <w:color w:val="auto"/>
          <w:sz w:val="24"/>
          <w:szCs w:val="24"/>
          <w:lang w:val="en-US" w:eastAsia="zh-CN"/>
        </w:rPr>
      </w:pPr>
      <w:r>
        <w:rPr>
          <w:rFonts w:hint="eastAsia"/>
          <w:b w:val="0"/>
          <w:bCs w:val="0"/>
          <w:color w:val="auto"/>
          <w:sz w:val="24"/>
          <w:szCs w:val="24"/>
          <w:lang w:val="en-US" w:eastAsia="zh-CN"/>
        </w:rPr>
        <w:t>2.博物馆文创相关研究</w:t>
      </w:r>
    </w:p>
    <w:p w14:paraId="4A4DF1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近年来，我国各地博物馆深度挖掘馆藏文物文化内涵，进行创意转化和设计开发的文化创意产品愈发频繁地出现在公众视野中。在学术研究领域内，</w:t>
      </w:r>
      <w:r>
        <w:rPr>
          <w:rFonts w:hint="eastAsia"/>
          <w:b w:val="0"/>
          <w:bCs w:val="0"/>
          <w:color w:val="auto"/>
          <w:sz w:val="24"/>
          <w:szCs w:val="24"/>
          <w:lang w:val="en-US" w:eastAsia="zh-CN"/>
        </w:rPr>
        <w:t>“</w:t>
      </w:r>
      <w:r>
        <w:rPr>
          <w:rFonts w:hint="default"/>
          <w:b w:val="0"/>
          <w:bCs w:val="0"/>
          <w:color w:val="auto"/>
          <w:sz w:val="24"/>
          <w:szCs w:val="24"/>
          <w:lang w:val="en-US" w:eastAsia="zh-CN"/>
        </w:rPr>
        <w:t>文化创意产业</w:t>
      </w:r>
      <w:r>
        <w:rPr>
          <w:rFonts w:hint="eastAsia"/>
          <w:b w:val="0"/>
          <w:bCs w:val="0"/>
          <w:color w:val="auto"/>
          <w:sz w:val="24"/>
          <w:szCs w:val="24"/>
          <w:lang w:val="en-US" w:eastAsia="zh-CN"/>
        </w:rPr>
        <w:t>”“</w:t>
      </w:r>
      <w:r>
        <w:rPr>
          <w:rFonts w:hint="default"/>
          <w:b w:val="0"/>
          <w:bCs w:val="0"/>
          <w:color w:val="auto"/>
          <w:sz w:val="24"/>
          <w:szCs w:val="24"/>
          <w:lang w:val="en-US" w:eastAsia="zh-CN"/>
        </w:rPr>
        <w:t>博物馆文创开发</w:t>
      </w:r>
      <w:r>
        <w:rPr>
          <w:rFonts w:hint="eastAsia"/>
          <w:b w:val="0"/>
          <w:bCs w:val="0"/>
          <w:color w:val="auto"/>
          <w:sz w:val="24"/>
          <w:szCs w:val="24"/>
          <w:lang w:val="en-US" w:eastAsia="zh-CN"/>
        </w:rPr>
        <w:t>”“</w:t>
      </w:r>
      <w:r>
        <w:rPr>
          <w:rFonts w:hint="default"/>
          <w:b w:val="0"/>
          <w:bCs w:val="0"/>
          <w:color w:val="auto"/>
          <w:sz w:val="24"/>
          <w:szCs w:val="24"/>
          <w:lang w:val="en-US" w:eastAsia="zh-CN"/>
        </w:rPr>
        <w:t>文化衍生品设计</w:t>
      </w:r>
      <w:r>
        <w:rPr>
          <w:rFonts w:hint="eastAsia"/>
          <w:b w:val="0"/>
          <w:bCs w:val="0"/>
          <w:color w:val="auto"/>
          <w:sz w:val="24"/>
          <w:szCs w:val="24"/>
          <w:lang w:val="en-US" w:eastAsia="zh-CN"/>
        </w:rPr>
        <w:t>”</w:t>
      </w:r>
      <w:r>
        <w:rPr>
          <w:rFonts w:hint="default"/>
          <w:b w:val="0"/>
          <w:bCs w:val="0"/>
          <w:color w:val="auto"/>
          <w:sz w:val="24"/>
          <w:szCs w:val="24"/>
          <w:lang w:val="en-US" w:eastAsia="zh-CN"/>
        </w:rPr>
        <w:t>等议题正成为聚焦方向。</w:t>
      </w:r>
    </w:p>
    <w:p w14:paraId="04542CE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(1)博物馆文创定义及现状研究</w:t>
      </w:r>
    </w:p>
    <w:p w14:paraId="75AED9C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基于馆藏文物元素自主研发或品牌授权，文化创意产品正在以前所未有的规模进入消费市场，引发观众关注并消费。</w:t>
      </w:r>
      <w:r>
        <w:rPr>
          <w:rFonts w:hint="eastAsia"/>
          <w:b w:val="0"/>
          <w:bCs w:val="0"/>
          <w:color w:val="auto"/>
          <w:sz w:val="24"/>
          <w:szCs w:val="24"/>
          <w:lang w:val="en-US" w:eastAsia="zh-CN"/>
        </w:rPr>
        <w:t>在博物馆文创定义方面</w:t>
      </w:r>
      <w:r>
        <w:rPr>
          <w:rFonts w:hint="default"/>
          <w:b w:val="0"/>
          <w:bCs w:val="0"/>
          <w:color w:val="auto"/>
          <w:sz w:val="24"/>
          <w:szCs w:val="24"/>
          <w:lang w:val="en-US" w:eastAsia="zh-CN"/>
        </w:rPr>
        <w:t>，刑雯婕</w:t>
      </w:r>
      <w:r>
        <w:rPr>
          <w:rFonts w:hint="eastAsia"/>
          <w:b w:val="0"/>
          <w:bCs w:val="0"/>
          <w:color w:val="auto"/>
          <w:sz w:val="24"/>
          <w:szCs w:val="24"/>
          <w:lang w:val="en-US" w:eastAsia="zh-CN"/>
        </w:rPr>
        <w:t>（2022）</w:t>
      </w:r>
      <w:r>
        <w:rPr>
          <w:rFonts w:hint="default"/>
          <w:b w:val="0"/>
          <w:bCs w:val="0"/>
          <w:color w:val="auto"/>
          <w:sz w:val="24"/>
          <w:szCs w:val="24"/>
          <w:lang w:val="en-US" w:eastAsia="zh-CN"/>
        </w:rPr>
        <w:t>将博物馆文化创意产品定义为基于博物馆自身特色的文化背景进行研发设计的产品</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_Ref9065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[70]</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。葛佳琪</w:t>
      </w:r>
      <w:r>
        <w:rPr>
          <w:rFonts w:hint="eastAsia"/>
          <w:b w:val="0"/>
          <w:bCs w:val="0"/>
          <w:color w:val="auto"/>
          <w:sz w:val="24"/>
          <w:szCs w:val="24"/>
          <w:lang w:val="en-US" w:eastAsia="zh-CN"/>
        </w:rPr>
        <w:t>（2018）</w:t>
      </w:r>
      <w:r>
        <w:rPr>
          <w:rFonts w:hint="default"/>
          <w:b w:val="0"/>
          <w:bCs w:val="0"/>
          <w:color w:val="auto"/>
          <w:sz w:val="24"/>
          <w:szCs w:val="24"/>
          <w:lang w:val="en-US" w:eastAsia="zh-CN"/>
        </w:rPr>
        <w:t>等认为博物馆文创是指以博物馆的藏品、文献等为依托，对其加以重新组合或是变形，设计一系列产品，来展现该馆的文化并且加以销售、盈利</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_Ref9088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[71]</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。陈凌云</w:t>
      </w:r>
      <w:r>
        <w:rPr>
          <w:rFonts w:hint="eastAsia"/>
          <w:b w:val="0"/>
          <w:bCs w:val="0"/>
          <w:color w:val="auto"/>
          <w:sz w:val="24"/>
          <w:szCs w:val="24"/>
          <w:lang w:val="en-US" w:eastAsia="zh-CN"/>
        </w:rPr>
        <w:t>（2018）</w:t>
      </w:r>
      <w:r>
        <w:rPr>
          <w:rFonts w:hint="default"/>
          <w:b w:val="0"/>
          <w:bCs w:val="0"/>
          <w:color w:val="auto"/>
          <w:sz w:val="24"/>
          <w:szCs w:val="24"/>
          <w:lang w:val="en-US" w:eastAsia="zh-CN"/>
        </w:rPr>
        <w:t>将博物馆文化创意产品定义为在博物馆实体商店或者电商平台销售的，通过创新性提取、结合馆藏特色兼具实用性和观赏性的特殊商品</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_Ref9114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[72]</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而在博物馆文创发展现状方面，魏婷婷（2020）中指出文创产品与文创产业的发展不仅需要契合现代人的文化需求，还应着力解决博物馆资源匮乏及可持续发展等核心问题。她还进一步提出博物馆文化创意应向产业化方向发展，实现资源的深度开发与长效利用，确保博物馆文创产业的可持续发展</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_Ref9147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[73]</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。乔瑾（2021）认为最大化地开发并合理利用拥有的文物资源是博物馆文化产业发展的重要方式</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_Ref9170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[74]</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黄丽琼（2022）通过深入剖析博物馆文创产品在设计过程中存在的系列问题，提出了相应的改进措施，并指出在设计过程中应综合考虑实际情况，创新设计理念，突破传统思维的束缚，以提升文创产品的文化内涵</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_Ref9202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[75]</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。博物馆文创既有文化价值又有经济价值，以授权机制为核心，侧重产品实用性，与其文化资源相关的有形和无形产品，是促进提高经济效益和促进文化传承的有效途径。</w:t>
      </w:r>
    </w:p>
    <w:p w14:paraId="2A1A6D4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kern w:val="2"/>
          <w:sz w:val="24"/>
          <w:szCs w:val="24"/>
          <w:lang w:val="en-US" w:eastAsia="zh-CN" w:bidi="ar-SA"/>
        </w:rPr>
        <w:t>(</w:t>
      </w:r>
      <w:r>
        <w:rPr>
          <w:rFonts w:hint="default" w:ascii="Times New Roman" w:hAnsi="Times New Roman" w:eastAsia="宋体" w:cs="Times New Roman"/>
          <w:kern w:val="2"/>
          <w:sz w:val="24"/>
          <w:szCs w:val="24"/>
          <w:lang w:val="en-US" w:eastAsia="zh-CN" w:bidi="ar-SA"/>
        </w:rPr>
        <w:t>2</w:t>
      </w:r>
      <w:r>
        <w:rPr>
          <w:rFonts w:hint="eastAsia" w:ascii="宋体" w:hAnsi="宋体" w:eastAsia="宋体" w:cs="宋体"/>
          <w:kern w:val="2"/>
          <w:sz w:val="24"/>
          <w:szCs w:val="24"/>
          <w:lang w:val="en-US" w:eastAsia="zh-CN" w:bidi="ar-SA"/>
        </w:rPr>
        <w:t>)</w:t>
      </w:r>
      <w:r>
        <w:rPr>
          <w:rFonts w:hint="eastAsia" w:ascii="宋体" w:hAnsi="宋体" w:eastAsia="宋体" w:cs="宋体"/>
          <w:sz w:val="24"/>
          <w:szCs w:val="24"/>
        </w:rPr>
        <w:t>博物馆文创开发设计</w:t>
      </w:r>
      <w:r>
        <w:rPr>
          <w:rFonts w:hint="eastAsia" w:ascii="宋体" w:hAnsi="宋体" w:eastAsia="宋体" w:cs="宋体"/>
          <w:sz w:val="24"/>
          <w:szCs w:val="24"/>
          <w:lang w:val="en-US" w:eastAsia="zh-CN"/>
        </w:rPr>
        <w:t>研究</w:t>
      </w:r>
    </w:p>
    <w:p w14:paraId="7CE820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eastAsia" w:ascii="宋体" w:hAnsi="宋体" w:eastAsia="宋体" w:cs="宋体"/>
          <w:sz w:val="24"/>
          <w:szCs w:val="24"/>
        </w:rPr>
        <w:t>随着国内经济的不断增长、人民生活水平的提高和消费需求的多样化，促进了文化创意产品市场的繁荣发展。越来越多的学者立足不同视角和理论模型，洞察消费者心理与消费趋势，深入挖掘博物馆藏品和传统文物元素，设计与开发丰富多彩的文化创意产品。张尧（</w:t>
      </w:r>
      <w:r>
        <w:rPr>
          <w:rFonts w:hint="eastAsia" w:ascii="宋体" w:hAnsi="宋体" w:eastAsia="宋体" w:cs="宋体"/>
          <w:sz w:val="24"/>
          <w:szCs w:val="24"/>
          <w:lang w:val="en-US" w:eastAsia="zh-CN"/>
        </w:rPr>
        <w:t>2015</w:t>
      </w:r>
      <w:r>
        <w:rPr>
          <w:rFonts w:hint="eastAsia" w:ascii="宋体" w:hAnsi="宋体" w:eastAsia="宋体" w:cs="宋体"/>
          <w:sz w:val="24"/>
          <w:szCs w:val="24"/>
        </w:rPr>
        <w:t>）指出，博物馆文创产品的开发应充分发挥其文化价值，以此推动博物馆的可持续发展</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_Ref13297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[76]</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。金青梅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2016</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等</w:t>
      </w:r>
      <w:r>
        <w:rPr>
          <w:rFonts w:hint="eastAsia" w:ascii="宋体" w:hAnsi="宋体" w:eastAsia="宋体" w:cs="宋体"/>
          <w:sz w:val="24"/>
          <w:szCs w:val="24"/>
        </w:rPr>
        <w:t>从价值链的角度出发，探讨了如何有效推进文创产品的开发，以及在开发过程中如何最大化地整合创意、设计、销售等关键环节，为博物馆文创产品的开发提供了新思路</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_Ref13340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[77]</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。吴刘娟（</w:t>
      </w:r>
      <w:r>
        <w:rPr>
          <w:rFonts w:hint="eastAsia" w:ascii="宋体" w:hAnsi="宋体" w:eastAsia="宋体" w:cs="宋体"/>
          <w:sz w:val="24"/>
          <w:szCs w:val="24"/>
          <w:lang w:val="en-US" w:eastAsia="zh-CN"/>
        </w:rPr>
        <w:t>2023</w:t>
      </w:r>
      <w:r>
        <w:rPr>
          <w:rFonts w:hint="eastAsia" w:ascii="宋体" w:hAnsi="宋体" w:eastAsia="宋体" w:cs="宋体"/>
          <w:sz w:val="24"/>
          <w:szCs w:val="24"/>
        </w:rPr>
        <w:t>）提出了优化文创产品研发路径和创新营销策略的方案</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_Ref13376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[78]</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。刘勇（</w:t>
      </w:r>
      <w:r>
        <w:rPr>
          <w:rFonts w:hint="eastAsia" w:ascii="宋体" w:hAnsi="宋体" w:eastAsia="宋体" w:cs="宋体"/>
          <w:sz w:val="24"/>
          <w:szCs w:val="24"/>
          <w:lang w:val="en-US" w:eastAsia="zh-CN"/>
        </w:rPr>
        <w:t>2023</w:t>
      </w:r>
      <w:r>
        <w:rPr>
          <w:rFonts w:hint="eastAsia" w:ascii="宋体" w:hAnsi="宋体" w:eastAsia="宋体" w:cs="宋体"/>
          <w:sz w:val="24"/>
          <w:szCs w:val="24"/>
        </w:rPr>
        <w:t>）</w:t>
      </w:r>
      <w:r>
        <w:rPr>
          <w:rFonts w:hint="eastAsia" w:ascii="宋体" w:hAnsi="宋体" w:eastAsia="宋体" w:cs="宋体"/>
          <w:sz w:val="24"/>
          <w:szCs w:val="24"/>
          <w:lang w:val="en-US" w:eastAsia="zh-CN"/>
        </w:rPr>
        <w:t>等</w:t>
      </w:r>
      <w:r>
        <w:rPr>
          <w:rFonts w:hint="eastAsia" w:ascii="宋体" w:hAnsi="宋体" w:eastAsia="宋体" w:cs="宋体"/>
          <w:sz w:val="24"/>
          <w:szCs w:val="24"/>
        </w:rPr>
        <w:t>提出了博物馆文创产品的开发策略：一是重视博物馆文化理念在设计管理中的统筹作用；二是强调博物馆架构在协作与创新中的重要性；三是专注提升博物馆文创产品的触点服务</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_Ref13418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[79]</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。陈煜</w:t>
      </w:r>
      <w:r>
        <w:rPr>
          <w:rFonts w:hint="eastAsia" w:ascii="宋体" w:hAnsi="宋体" w:cs="宋体"/>
          <w:sz w:val="24"/>
          <w:szCs w:val="24"/>
          <w:lang w:eastAsia="zh-CN"/>
        </w:rPr>
        <w:t>（</w:t>
      </w:r>
      <w:r>
        <w:rPr>
          <w:rFonts w:hint="eastAsia" w:ascii="宋体" w:hAnsi="宋体" w:cs="宋体"/>
          <w:sz w:val="24"/>
          <w:szCs w:val="24"/>
          <w:lang w:val="en-US" w:eastAsia="zh-CN"/>
        </w:rPr>
        <w:t>2023</w:t>
      </w:r>
      <w:r>
        <w:rPr>
          <w:rFonts w:hint="eastAsia" w:ascii="宋体" w:hAnsi="宋体" w:cs="宋体"/>
          <w:sz w:val="24"/>
          <w:szCs w:val="24"/>
          <w:lang w:eastAsia="zh-CN"/>
        </w:rPr>
        <w:t>）</w:t>
      </w:r>
      <w:r>
        <w:rPr>
          <w:rFonts w:hint="eastAsia" w:ascii="宋体" w:hAnsi="宋体" w:eastAsia="宋体" w:cs="宋体"/>
          <w:sz w:val="24"/>
          <w:szCs w:val="24"/>
        </w:rPr>
        <w:t>建议引入众包模式，通过文创大赛等方式让大众参与到文创产品开发中来，发挥群体智慧，筛选优秀创意作品并推动创意落地实现</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_Ref13470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[80]</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。在设计思路上，学者都认为文创产品应该肩负起传承传统文化的重任。一方面，文创产品要具有自己的特色，不能千篇一律，另一方面还要有辨识度，吸引消费者购买，并在市场竞争中占据优势。乔胜舟</w:t>
      </w:r>
      <w:r>
        <w:rPr>
          <w:rFonts w:hint="eastAsia" w:ascii="宋体" w:hAnsi="宋体" w:cs="宋体"/>
          <w:sz w:val="24"/>
          <w:szCs w:val="24"/>
          <w:lang w:eastAsia="zh-CN"/>
        </w:rPr>
        <w:t>（</w:t>
      </w:r>
      <w:r>
        <w:rPr>
          <w:rFonts w:hint="eastAsia" w:ascii="宋体" w:hAnsi="宋体" w:cs="宋体"/>
          <w:sz w:val="24"/>
          <w:szCs w:val="24"/>
          <w:lang w:val="en-US" w:eastAsia="zh-CN"/>
        </w:rPr>
        <w:t>2025</w:t>
      </w:r>
      <w:r>
        <w:rPr>
          <w:rFonts w:hint="eastAsia" w:ascii="宋体" w:hAnsi="宋体" w:cs="宋体"/>
          <w:sz w:val="24"/>
          <w:szCs w:val="24"/>
          <w:lang w:eastAsia="zh-CN"/>
        </w:rPr>
        <w:t>）</w:t>
      </w:r>
      <w:r>
        <w:rPr>
          <w:rFonts w:hint="eastAsia" w:ascii="宋体" w:hAnsi="宋体" w:eastAsia="宋体" w:cs="宋体"/>
          <w:sz w:val="24"/>
          <w:szCs w:val="24"/>
        </w:rPr>
        <w:t>将游戏化思维运用到博物馆文创产品设计中，其个性定制、深入互动、寓教于乐的游戏模式，不单单是对文创产品设计形式的革新，更是对馆藏资源的创新应用和对用户体验模式的深度探索</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_Ref13513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[81]</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。魏楷文</w:t>
      </w:r>
      <w:r>
        <w:rPr>
          <w:rFonts w:hint="eastAsia" w:ascii="宋体" w:hAnsi="宋体" w:cs="宋体"/>
          <w:sz w:val="24"/>
          <w:szCs w:val="24"/>
          <w:lang w:eastAsia="zh-CN"/>
        </w:rPr>
        <w:t>（</w:t>
      </w:r>
      <w:r>
        <w:rPr>
          <w:rFonts w:hint="eastAsia" w:ascii="宋体" w:hAnsi="宋体" w:cs="宋体"/>
          <w:sz w:val="24"/>
          <w:szCs w:val="24"/>
          <w:lang w:val="en-US" w:eastAsia="zh-CN"/>
        </w:rPr>
        <w:t>2024</w:t>
      </w:r>
      <w:r>
        <w:rPr>
          <w:rFonts w:hint="eastAsia" w:ascii="宋体" w:hAnsi="宋体" w:cs="宋体"/>
          <w:sz w:val="24"/>
          <w:szCs w:val="24"/>
          <w:lang w:eastAsia="zh-CN"/>
        </w:rPr>
        <w:t>）</w:t>
      </w:r>
      <w:r>
        <w:rPr>
          <w:rFonts w:hint="eastAsia" w:ascii="宋体" w:hAnsi="宋体" w:eastAsia="宋体" w:cs="宋体"/>
          <w:sz w:val="24"/>
          <w:szCs w:val="24"/>
        </w:rPr>
        <w:t>等从接受心理角度分析现有的三星堆文创产品，认为符合目标受众接受心理设计文创产品可以提高文创产品的销量、完善三星堆博物馆 IP，进而对传播三星堆 IP 文化、提高市场竞争力、占据文创产品市场有积极的促进作用</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_Ref13572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[82]</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。肖巍</w:t>
      </w:r>
      <w:r>
        <w:rPr>
          <w:rFonts w:hint="eastAsia" w:ascii="宋体" w:hAnsi="宋体" w:cs="宋体"/>
          <w:sz w:val="24"/>
          <w:szCs w:val="24"/>
          <w:lang w:eastAsia="zh-CN"/>
        </w:rPr>
        <w:t>（</w:t>
      </w:r>
      <w:r>
        <w:rPr>
          <w:rFonts w:hint="eastAsia" w:ascii="宋体" w:hAnsi="宋体" w:cs="宋体"/>
          <w:sz w:val="24"/>
          <w:szCs w:val="24"/>
          <w:lang w:val="en-US" w:eastAsia="zh-CN"/>
        </w:rPr>
        <w:t>2020</w:t>
      </w:r>
      <w:r>
        <w:rPr>
          <w:rFonts w:hint="eastAsia" w:ascii="宋体" w:hAnsi="宋体" w:cs="宋体"/>
          <w:sz w:val="24"/>
          <w:szCs w:val="24"/>
          <w:lang w:eastAsia="zh-CN"/>
        </w:rPr>
        <w:t>）</w:t>
      </w:r>
      <w:r>
        <w:rPr>
          <w:rFonts w:hint="eastAsia" w:ascii="宋体" w:hAnsi="宋体" w:eastAsia="宋体" w:cs="宋体"/>
          <w:sz w:val="24"/>
          <w:szCs w:val="24"/>
        </w:rPr>
        <w:t>则提出“藏品元素提炼+IP 主体形象+主体形象特征+动态元素的表现+文创产品衍生品设计”的文创设计创作路径</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_Ref13650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[83]</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。周美玉</w:t>
      </w:r>
      <w:r>
        <w:rPr>
          <w:rFonts w:hint="eastAsia" w:ascii="宋体" w:hAnsi="宋体" w:cs="宋体"/>
          <w:sz w:val="24"/>
          <w:szCs w:val="24"/>
          <w:lang w:eastAsia="zh-CN"/>
        </w:rPr>
        <w:t>（</w:t>
      </w:r>
      <w:r>
        <w:rPr>
          <w:rFonts w:hint="eastAsia" w:ascii="宋体" w:hAnsi="宋体" w:cs="宋体"/>
          <w:sz w:val="24"/>
          <w:szCs w:val="24"/>
          <w:lang w:val="en-US" w:eastAsia="zh-CN"/>
        </w:rPr>
        <w:t>2020</w:t>
      </w:r>
      <w:r>
        <w:rPr>
          <w:rFonts w:hint="eastAsia" w:ascii="宋体" w:hAnsi="宋体" w:cs="宋体"/>
          <w:sz w:val="24"/>
          <w:szCs w:val="24"/>
          <w:lang w:eastAsia="zh-CN"/>
        </w:rPr>
        <w:t>）</w:t>
      </w:r>
      <w:r>
        <w:rPr>
          <w:rFonts w:hint="eastAsia" w:ascii="宋体" w:hAnsi="宋体" w:eastAsia="宋体" w:cs="宋体"/>
          <w:sz w:val="24"/>
          <w:szCs w:val="24"/>
        </w:rPr>
        <w:t>认为设计者应统合、归纳和梳理博物馆的文化资源，全方位地把握创意设计，精准定位创意切入点，从而设计出具有文化性、当代性、功能性、美观性和高附加价值的文创产品</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_Ref13689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[84]</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w:t>
      </w:r>
    </w:p>
    <w:p w14:paraId="2F553C3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(3) 博物院文创产品发展路径研究</w:t>
      </w:r>
    </w:p>
    <w:p w14:paraId="16FDC1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color w:val="auto"/>
          <w:sz w:val="24"/>
          <w:szCs w:val="24"/>
          <w:lang w:val="en-US" w:eastAsia="zh-CN"/>
        </w:rPr>
      </w:pPr>
      <w:r>
        <w:rPr>
          <w:rFonts w:hint="default"/>
          <w:b w:val="0"/>
          <w:bCs w:val="0"/>
          <w:color w:val="auto"/>
          <w:sz w:val="24"/>
          <w:szCs w:val="24"/>
          <w:lang w:val="en-US" w:eastAsia="zh-CN"/>
        </w:rPr>
        <w:t>近年来，国家持续发布和完善相关文化产业政策，博物馆文化创意产品迎来发展机遇，消费者的观念也在潜移默化中发生变化。博物馆应该抓住机遇，走出一条独具特色并在市场竞争中占据优势的文化创意产品发展路径。王琳</w:t>
      </w:r>
      <w:r>
        <w:rPr>
          <w:rFonts w:hint="eastAsia"/>
          <w:b w:val="0"/>
          <w:bCs w:val="0"/>
          <w:color w:val="auto"/>
          <w:sz w:val="24"/>
          <w:szCs w:val="24"/>
          <w:lang w:val="en-US" w:eastAsia="zh-CN"/>
        </w:rPr>
        <w:t>（2024）</w:t>
      </w:r>
      <w:r>
        <w:rPr>
          <w:rFonts w:hint="default"/>
          <w:b w:val="0"/>
          <w:bCs w:val="0"/>
          <w:color w:val="auto"/>
          <w:sz w:val="24"/>
          <w:szCs w:val="24"/>
          <w:lang w:val="en-US" w:eastAsia="zh-CN"/>
        </w:rPr>
        <w:t>通过分析河南博物院所打造的文创IP，指出未来可从加强跨界合作，拓展数字化应用，提升用户体验三方面继续探索与时俱进的文创产品创新路径</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_Ref15126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[85]</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。吴春晖</w:t>
      </w:r>
      <w:r>
        <w:rPr>
          <w:rFonts w:hint="eastAsia"/>
          <w:b w:val="0"/>
          <w:bCs w:val="0"/>
          <w:color w:val="auto"/>
          <w:sz w:val="24"/>
          <w:szCs w:val="24"/>
          <w:lang w:val="en-US" w:eastAsia="zh-CN"/>
        </w:rPr>
        <w:t>（2019）等</w:t>
      </w:r>
      <w:r>
        <w:rPr>
          <w:rFonts w:hint="default"/>
          <w:b w:val="0"/>
          <w:bCs w:val="0"/>
          <w:color w:val="auto"/>
          <w:sz w:val="24"/>
          <w:szCs w:val="24"/>
          <w:lang w:val="en-US" w:eastAsia="zh-CN"/>
        </w:rPr>
        <w:t>以故宫博物院文创产品为例，提出北京故宫博物院在今后的发展中应注重专业人才的引进、加快完善相关法律法规，充分利用互联网+文化IP等，促进博物馆文创产品的发展</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_Ref15152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[86]</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。郑薇薇</w:t>
      </w:r>
      <w:r>
        <w:rPr>
          <w:rFonts w:hint="eastAsia"/>
          <w:b w:val="0"/>
          <w:bCs w:val="0"/>
          <w:color w:val="auto"/>
          <w:sz w:val="24"/>
          <w:szCs w:val="24"/>
          <w:lang w:val="en-US" w:eastAsia="zh-CN"/>
        </w:rPr>
        <w:t>（2025）</w:t>
      </w:r>
      <w:r>
        <w:rPr>
          <w:rFonts w:hint="default"/>
          <w:b w:val="0"/>
          <w:bCs w:val="0"/>
          <w:color w:val="auto"/>
          <w:sz w:val="24"/>
          <w:szCs w:val="24"/>
          <w:lang w:val="en-US" w:eastAsia="zh-CN"/>
        </w:rPr>
        <w:t>等通过系统分析历史文化遗产类博物馆现状，提出结合新技术动态阐释文化遗产，增强观众的文化认同感和持续感，从而增强大众对博物馆文化多样性和人类创造力的尊重，具有广阔发展前景</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_Ref15172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[87]</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。张倩倩</w:t>
      </w:r>
      <w:r>
        <w:rPr>
          <w:rFonts w:hint="eastAsia"/>
          <w:b w:val="0"/>
          <w:bCs w:val="0"/>
          <w:color w:val="auto"/>
          <w:sz w:val="24"/>
          <w:szCs w:val="24"/>
          <w:lang w:val="en-US" w:eastAsia="zh-CN"/>
        </w:rPr>
        <w:t>（2025）</w:t>
      </w:r>
      <w:r>
        <w:rPr>
          <w:rFonts w:hint="default"/>
          <w:b w:val="0"/>
          <w:bCs w:val="0"/>
          <w:color w:val="auto"/>
          <w:sz w:val="24"/>
          <w:szCs w:val="24"/>
          <w:lang w:val="en-US" w:eastAsia="zh-CN"/>
        </w:rPr>
        <w:t>等分析当前孔子博物馆文创开发现状，提出深入挖掘孔子文化内涵和文物资源、塑造独特的品牌形象和文化特色、利用新媒体拓展销售渠道、开展跨界合作和开发IP等发展路径</w:t>
      </w:r>
      <w:r>
        <w:rPr>
          <w:rFonts w:hint="default"/>
          <w:b w:val="0"/>
          <w:bCs w:val="0"/>
          <w:color w:val="auto"/>
          <w:sz w:val="24"/>
          <w:szCs w:val="24"/>
          <w:vertAlign w:val="superscript"/>
          <w:lang w:val="en-US" w:eastAsia="zh-CN"/>
        </w:rPr>
        <w:fldChar w:fldCharType="begin"/>
      </w:r>
      <w:r>
        <w:rPr>
          <w:rFonts w:hint="default"/>
          <w:b w:val="0"/>
          <w:bCs w:val="0"/>
          <w:color w:val="auto"/>
          <w:sz w:val="24"/>
          <w:szCs w:val="24"/>
          <w:vertAlign w:val="superscript"/>
          <w:lang w:val="en-US" w:eastAsia="zh-CN"/>
        </w:rPr>
        <w:instrText xml:space="preserve"> REF _Ref15195 \r \h </w:instrText>
      </w:r>
      <w:r>
        <w:rPr>
          <w:rFonts w:hint="default"/>
          <w:b w:val="0"/>
          <w:bCs w:val="0"/>
          <w:color w:val="auto"/>
          <w:sz w:val="24"/>
          <w:szCs w:val="24"/>
          <w:vertAlign w:val="superscript"/>
          <w:lang w:val="en-US" w:eastAsia="zh-CN"/>
        </w:rPr>
        <w:fldChar w:fldCharType="separate"/>
      </w:r>
      <w:r>
        <w:rPr>
          <w:rFonts w:hint="default"/>
          <w:b w:val="0"/>
          <w:bCs w:val="0"/>
          <w:color w:val="auto"/>
          <w:sz w:val="24"/>
          <w:szCs w:val="24"/>
          <w:vertAlign w:val="superscript"/>
          <w:lang w:val="en-US" w:eastAsia="zh-CN"/>
        </w:rPr>
        <w:t>[88]</w:t>
      </w:r>
      <w:r>
        <w:rPr>
          <w:rFonts w:hint="default"/>
          <w:b w:val="0"/>
          <w:bCs w:val="0"/>
          <w:color w:val="auto"/>
          <w:sz w:val="24"/>
          <w:szCs w:val="24"/>
          <w:vertAlign w:val="superscript"/>
          <w:lang w:val="en-US" w:eastAsia="zh-CN"/>
        </w:rPr>
        <w:fldChar w:fldCharType="end"/>
      </w:r>
      <w:r>
        <w:rPr>
          <w:rFonts w:hint="default"/>
          <w:b w:val="0"/>
          <w:bCs w:val="0"/>
          <w:color w:val="auto"/>
          <w:sz w:val="24"/>
          <w:szCs w:val="24"/>
          <w:lang w:val="en-US" w:eastAsia="zh-CN"/>
        </w:rPr>
        <w:t>。</w:t>
      </w:r>
    </w:p>
    <w:p w14:paraId="5CDEF11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b w:val="0"/>
          <w:bCs w:val="0"/>
          <w:sz w:val="24"/>
          <w:szCs w:val="24"/>
          <w:lang w:val="en-US" w:eastAsia="zh-CN"/>
        </w:rPr>
        <w:t>（三）研究评述</w:t>
      </w:r>
    </w:p>
    <w:p w14:paraId="00C88FA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default"/>
          <w:b w:val="0"/>
          <w:bCs w:val="0"/>
          <w:sz w:val="24"/>
          <w:szCs w:val="24"/>
          <w:lang w:val="en-US" w:eastAsia="zh-CN"/>
        </w:rPr>
        <w:t>现有网络舆情风险研究多聚焦于公共突发事件、高校管理、企业危机等通用领域，虽形成了多元的识别框架与评估方法，但缺乏对特定文化产业场景的针对性探索。</w:t>
      </w:r>
      <w:r>
        <w:rPr>
          <w:rFonts w:hint="eastAsia"/>
          <w:b w:val="0"/>
          <w:bCs w:val="0"/>
          <w:sz w:val="24"/>
          <w:szCs w:val="24"/>
          <w:lang w:val="en-US" w:eastAsia="zh-CN"/>
        </w:rPr>
        <w:t>在风险</w:t>
      </w:r>
      <w:r>
        <w:rPr>
          <w:rFonts w:hint="default"/>
          <w:b w:val="0"/>
          <w:bCs w:val="0"/>
          <w:sz w:val="24"/>
          <w:szCs w:val="24"/>
          <w:lang w:val="en-US" w:eastAsia="zh-CN"/>
        </w:rPr>
        <w:t>识别维度集中于通用型风险，如虚假信息传播、网络水军炒作等，未充分关注文创</w:t>
      </w:r>
      <w:r>
        <w:rPr>
          <w:rFonts w:hint="eastAsia"/>
          <w:b w:val="0"/>
          <w:bCs w:val="0"/>
          <w:sz w:val="24"/>
          <w:szCs w:val="24"/>
          <w:lang w:val="en-US" w:eastAsia="zh-CN"/>
        </w:rPr>
        <w:t>产品</w:t>
      </w:r>
      <w:r>
        <w:rPr>
          <w:rFonts w:hint="default"/>
          <w:b w:val="0"/>
          <w:bCs w:val="0"/>
          <w:sz w:val="24"/>
          <w:szCs w:val="24"/>
          <w:lang w:val="en-US" w:eastAsia="zh-CN"/>
        </w:rPr>
        <w:t>的文化核心属性</w:t>
      </w:r>
      <w:r>
        <w:rPr>
          <w:rFonts w:hint="eastAsia"/>
          <w:b w:val="0"/>
          <w:bCs w:val="0"/>
          <w:sz w:val="24"/>
          <w:szCs w:val="24"/>
          <w:lang w:val="en-US" w:eastAsia="zh-CN"/>
        </w:rPr>
        <w:t>，对</w:t>
      </w:r>
      <w:r>
        <w:rPr>
          <w:rFonts w:hint="default"/>
          <w:b w:val="0"/>
          <w:bCs w:val="0"/>
          <w:sz w:val="24"/>
          <w:szCs w:val="24"/>
          <w:lang w:val="en-US" w:eastAsia="zh-CN"/>
        </w:rPr>
        <w:t>文化符号规范、历史内涵解读、文化IP 授权等文化类风险的识别缺乏系统性框架；</w:t>
      </w:r>
      <w:r>
        <w:rPr>
          <w:rFonts w:hint="eastAsia"/>
          <w:b w:val="0"/>
          <w:bCs w:val="0"/>
          <w:sz w:val="24"/>
          <w:szCs w:val="24"/>
          <w:lang w:val="en-US" w:eastAsia="zh-CN"/>
        </w:rPr>
        <w:t>在风险治理方面，文创产品相关的舆情治理需平衡文化传承与商业开发的双重目标，面对文化类风险需兼顾专业性与公众认知，面对产品类风险需协调质量管控与市场反馈，面对传播类风险需适配数字平台的传播规律，而现有治理策略未充分考虑这些场景化需求。</w:t>
      </w:r>
    </w:p>
    <w:p w14:paraId="4104FE0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而在博物馆文创产品方面的研究多集中于供给侧，如开发设计、营销策略、发展路径等和消费侧，如购买意愿、用户体验等，极少涉及传播侧的网络舆情风险问题，缺乏对舆情风险形成机制、传播路径、影响因素的系统性分析，也未提出针对博物馆文创场景的舆情风险识别指标与治理策略，与当前网络传播环境下文创产品频繁引发舆情争议的现实脱节。本论文聚焦网络舆情风险这一被忽视的关键议题，弥补现有研究重供给与消费、轻传播与风险的缺口，通过识别博物馆文创产品的舆情风险类型，提出针对性治理策略，为文创产业的可持续发展提供风险防控维度的理论支撑与实践指导，丰富博物馆文创研究的完整度。</w:t>
      </w:r>
      <w:r>
        <w:rPr>
          <w:rFonts w:hint="eastAsia"/>
          <w:b w:val="0"/>
          <w:bCs w:val="0"/>
          <w:sz w:val="24"/>
          <w:szCs w:val="24"/>
          <w:lang w:val="en-US" w:eastAsia="zh-CN"/>
        </w:rPr>
        <w:t>同时，</w:t>
      </w:r>
      <w:r>
        <w:rPr>
          <w:rFonts w:hint="default"/>
          <w:b w:val="0"/>
          <w:bCs w:val="0"/>
          <w:sz w:val="24"/>
          <w:szCs w:val="24"/>
          <w:lang w:val="en-US" w:eastAsia="zh-CN"/>
        </w:rPr>
        <w:t>现有研究中关于文化符号转化的争议性、数字化传播的开放性、IP开发的边界等讨论，为舆情风险识别提供了潜在线索，如文化符号滥用可能引发舆情、数字平台开放可能加剧负面舆情扩散等。本论文可基于这些线索，进一步聚焦博物馆文创产品网络舆情风险的核心触发因素、不同类型舆情风险的传播规律与影响差异及政府、博物馆、平台、公众等多元主体在舆情治理中的协同机制。</w:t>
      </w:r>
    </w:p>
    <w:p w14:paraId="1334DAD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综上，现有研究存在的不足，为本文提供了明确的研究切入点。本文聚焦博物馆文创这一特定研究对象，构建舆情风险识别、评估与治理体系，既能填补现有研究的空白，也能为博物馆文创的风险管控提供实践指导，同时推动图书情报学科与文化产业、传播学的跨学科融合。</w:t>
      </w:r>
    </w:p>
    <w:p w14:paraId="4F221B2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华文楷体" w:hAnsi="华文楷体" w:eastAsia="华文楷体"/>
          <w:sz w:val="28"/>
          <w:szCs w:val="28"/>
        </w:rPr>
      </w:pPr>
      <w:r>
        <w:rPr>
          <w:rFonts w:hint="eastAsia" w:ascii="微软雅黑" w:hAnsi="微软雅黑" w:eastAsia="微软雅黑"/>
          <w:b/>
          <w:bCs/>
          <w:sz w:val="32"/>
        </w:rPr>
        <w:t>三、研究问题</w:t>
      </w:r>
      <w:r>
        <w:rPr>
          <w:rFonts w:hint="eastAsia" w:ascii="华文楷体" w:hAnsi="华文楷体" w:eastAsia="华文楷体"/>
          <w:sz w:val="28"/>
          <w:szCs w:val="28"/>
        </w:rPr>
        <w:t>（提出本论文拟回答的核心问题及具体研究问题）</w:t>
      </w:r>
    </w:p>
    <w:p w14:paraId="090AC70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本文旨在研究博物馆文创舆情风险的识别与治理路径。本文的研究对象为博物馆文创相关的舆情风险，其中“博物馆文创”指博物馆依托自身文化资源开发的兼具文化属性与商业价值的产品及IP衍生内容，“博物馆文创舆情风险”则定义为数字传播中因文创产品设计、文化表达、营销传播、合规性等问题引发的负面舆论，可能损害博物馆声誉、影响文创产业发展的潜在风险。数字传播的即时性与裂变式特征，使博物馆文创舆情风险更易爆发且影响范围扩大，而现有研究缺乏针对该领域的专项风险识别逻辑、非专家依赖型评估工具及适配性治理策略，难以支撑博物馆文创舆情风险的精准管控。要实现博物馆文创舆情风险的精准识别与治理，需明确其风险类型与触发机制、构建科学可操作的评估体系、探索差异化治理方案。基于此，本文的研究问题主要包括：</w:t>
      </w:r>
    </w:p>
    <w:p w14:paraId="03CB52A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问题一：博物馆文创舆情风险的主要类型与生成机制是什么？</w:t>
      </w:r>
    </w:p>
    <w:p w14:paraId="3A89C9C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问题二：博物馆文创舆情风险的信息传播特征与情感演化规律如何？</w:t>
      </w:r>
    </w:p>
    <w:p w14:paraId="61AF33F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color w:val="auto"/>
          <w:sz w:val="24"/>
          <w:szCs w:val="24"/>
          <w:lang w:val="en-US" w:eastAsia="zh-CN"/>
        </w:rPr>
      </w:pPr>
      <w:r>
        <w:rPr>
          <w:rFonts w:hint="eastAsia"/>
          <w:b w:val="0"/>
          <w:bCs w:val="0"/>
          <w:color w:val="auto"/>
          <w:sz w:val="24"/>
          <w:szCs w:val="24"/>
          <w:lang w:val="en-US" w:eastAsia="zh-CN"/>
        </w:rPr>
        <w:t>问题三：如何精准识别文创产品舆情风险类型？</w:t>
      </w:r>
    </w:p>
    <w:p w14:paraId="72D0A10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val="0"/>
          <w:bCs w:val="0"/>
          <w:sz w:val="24"/>
          <w:szCs w:val="24"/>
          <w:lang w:val="en-US" w:eastAsia="zh-CN"/>
        </w:rPr>
      </w:pPr>
      <w:r>
        <w:rPr>
          <w:rFonts w:hint="eastAsia"/>
          <w:b w:val="0"/>
          <w:bCs w:val="0"/>
          <w:color w:val="auto"/>
          <w:sz w:val="24"/>
          <w:szCs w:val="24"/>
          <w:lang w:val="en-US" w:eastAsia="zh-CN"/>
        </w:rPr>
        <w:t>问题四：博物馆文创舆情风险的动态治理机制应包含哪些要素？</w:t>
      </w:r>
    </w:p>
    <w:p w14:paraId="7245B69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b w:val="0"/>
          <w:bCs w:val="0"/>
          <w:sz w:val="24"/>
          <w:szCs w:val="24"/>
          <w:lang w:val="en-US" w:eastAsia="zh-CN"/>
        </w:rPr>
      </w:pPr>
      <w:r>
        <w:rPr>
          <w:rFonts w:hint="eastAsia" w:ascii="微软雅黑" w:hAnsi="微软雅黑" w:eastAsia="微软雅黑"/>
          <w:b/>
          <w:bCs/>
          <w:sz w:val="32"/>
        </w:rPr>
        <w:t>四、研究意义</w:t>
      </w:r>
      <w:r>
        <w:rPr>
          <w:rFonts w:hint="eastAsia" w:ascii="华文楷体" w:hAnsi="华文楷体" w:eastAsia="华文楷体"/>
          <w:sz w:val="28"/>
          <w:szCs w:val="28"/>
        </w:rPr>
        <w:t>（阐述本研究可能的理论贡献与实践价值）</w:t>
      </w:r>
    </w:p>
    <w:p w14:paraId="2F37B6B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szCs w:val="24"/>
          <w:lang w:val="en-US" w:eastAsia="zh-CN"/>
        </w:rPr>
      </w:pPr>
      <w:r>
        <w:rPr>
          <w:rFonts w:hint="eastAsia"/>
          <w:b/>
          <w:bCs/>
          <w:sz w:val="24"/>
          <w:szCs w:val="24"/>
          <w:lang w:val="en-US" w:eastAsia="zh-CN"/>
        </w:rPr>
        <w:t>理论意义：</w:t>
      </w:r>
    </w:p>
    <w:p w14:paraId="03B1160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现有网络舆情风险评估研究多集中于政务、企业、突发事件等通用场景，针对文化产品的专项研究较少，且多停留在舆情传播特征描述层面，缺乏风险识别、评估与应对的系统性理论建构。本研究聚焦</w:t>
      </w:r>
      <w:r>
        <w:rPr>
          <w:rFonts w:hint="eastAsia"/>
          <w:b w:val="0"/>
          <w:bCs w:val="0"/>
          <w:sz w:val="24"/>
          <w:szCs w:val="24"/>
          <w:lang w:val="en-US" w:eastAsia="zh-CN"/>
        </w:rPr>
        <w:t>博物馆</w:t>
      </w:r>
      <w:r>
        <w:rPr>
          <w:rFonts w:hint="default"/>
          <w:b w:val="0"/>
          <w:bCs w:val="0"/>
          <w:sz w:val="24"/>
          <w:szCs w:val="24"/>
          <w:lang w:val="en-US" w:eastAsia="zh-CN"/>
        </w:rPr>
        <w:t>文创产品</w:t>
      </w:r>
      <w:r>
        <w:rPr>
          <w:rFonts w:hint="eastAsia"/>
          <w:b w:val="0"/>
          <w:bCs w:val="0"/>
          <w:sz w:val="24"/>
          <w:szCs w:val="24"/>
          <w:lang w:val="en-US" w:eastAsia="zh-CN"/>
        </w:rPr>
        <w:t>“</w:t>
      </w:r>
      <w:r>
        <w:rPr>
          <w:rFonts w:hint="default"/>
          <w:b w:val="0"/>
          <w:bCs w:val="0"/>
          <w:sz w:val="24"/>
          <w:szCs w:val="24"/>
          <w:lang w:val="en-US" w:eastAsia="zh-CN"/>
        </w:rPr>
        <w:t>文化属性+商业属性</w:t>
      </w:r>
      <w:r>
        <w:rPr>
          <w:rFonts w:hint="eastAsia"/>
          <w:b w:val="0"/>
          <w:bCs w:val="0"/>
          <w:sz w:val="24"/>
          <w:szCs w:val="24"/>
          <w:lang w:val="en-US" w:eastAsia="zh-CN"/>
        </w:rPr>
        <w:t>”</w:t>
      </w:r>
      <w:r>
        <w:rPr>
          <w:rFonts w:hint="default"/>
          <w:b w:val="0"/>
          <w:bCs w:val="0"/>
          <w:sz w:val="24"/>
          <w:szCs w:val="24"/>
          <w:lang w:val="en-US" w:eastAsia="zh-CN"/>
        </w:rPr>
        <w:t>双重特质，构建适配该细分场景的舆情风险评估框架，填补文化产业与舆情管理交叉领域的研究空白，丰富网络舆情学、文化产业管理学的理论内涵。</w:t>
      </w:r>
      <w:r>
        <w:rPr>
          <w:rFonts w:hint="eastAsia"/>
          <w:b w:val="0"/>
          <w:bCs w:val="0"/>
          <w:sz w:val="24"/>
          <w:szCs w:val="24"/>
          <w:lang w:val="en-US" w:eastAsia="zh-CN"/>
        </w:rPr>
        <w:t>同时，</w:t>
      </w:r>
      <w:r>
        <w:rPr>
          <w:rFonts w:hint="default"/>
          <w:b w:val="0"/>
          <w:bCs w:val="0"/>
          <w:sz w:val="24"/>
          <w:szCs w:val="24"/>
          <w:lang w:val="en-US" w:eastAsia="zh-CN"/>
        </w:rPr>
        <w:t>本研究整合图书情报学的数据挖掘理论，传播学</w:t>
      </w:r>
      <w:r>
        <w:rPr>
          <w:rFonts w:hint="eastAsia"/>
          <w:b w:val="0"/>
          <w:bCs w:val="0"/>
          <w:sz w:val="24"/>
          <w:szCs w:val="24"/>
          <w:lang w:val="en-US" w:eastAsia="zh-CN"/>
        </w:rPr>
        <w:t>相关</w:t>
      </w:r>
      <w:r>
        <w:rPr>
          <w:rFonts w:hint="default"/>
          <w:b w:val="0"/>
          <w:bCs w:val="0"/>
          <w:sz w:val="24"/>
          <w:szCs w:val="24"/>
          <w:lang w:val="en-US" w:eastAsia="zh-CN"/>
        </w:rPr>
        <w:t>理论，以及文化资本、协同治理等多学科理论，明确</w:t>
      </w:r>
      <w:r>
        <w:rPr>
          <w:rFonts w:hint="eastAsia"/>
          <w:b w:val="0"/>
          <w:bCs w:val="0"/>
          <w:sz w:val="24"/>
          <w:szCs w:val="24"/>
          <w:lang w:val="en-US" w:eastAsia="zh-CN"/>
        </w:rPr>
        <w:t>文旅融合背景下</w:t>
      </w:r>
      <w:r>
        <w:rPr>
          <w:rFonts w:hint="default"/>
          <w:b w:val="0"/>
          <w:bCs w:val="0"/>
          <w:sz w:val="24"/>
          <w:szCs w:val="24"/>
          <w:lang w:val="en-US" w:eastAsia="zh-CN"/>
        </w:rPr>
        <w:t>文创</w:t>
      </w:r>
      <w:r>
        <w:rPr>
          <w:rFonts w:hint="eastAsia"/>
          <w:b w:val="0"/>
          <w:bCs w:val="0"/>
          <w:sz w:val="24"/>
          <w:szCs w:val="24"/>
          <w:lang w:val="en-US" w:eastAsia="zh-CN"/>
        </w:rPr>
        <w:t>产品</w:t>
      </w:r>
      <w:r>
        <w:rPr>
          <w:rFonts w:hint="default"/>
          <w:b w:val="0"/>
          <w:bCs w:val="0"/>
          <w:sz w:val="24"/>
          <w:szCs w:val="24"/>
          <w:lang w:val="en-US" w:eastAsia="zh-CN"/>
        </w:rPr>
        <w:t>舆情风险的核心影响因素，构建整合性分析框架，为跨学科舆情研究提供了新的理论视角与融合路径。</w:t>
      </w:r>
    </w:p>
    <w:p w14:paraId="757CDF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szCs w:val="24"/>
          <w:lang w:val="en-US" w:eastAsia="zh-CN"/>
        </w:rPr>
      </w:pPr>
      <w:r>
        <w:rPr>
          <w:rFonts w:hint="eastAsia"/>
          <w:b/>
          <w:bCs/>
          <w:sz w:val="24"/>
          <w:szCs w:val="24"/>
          <w:lang w:val="en-US" w:eastAsia="zh-CN"/>
        </w:rPr>
        <w:t>实践意义：</w:t>
      </w:r>
    </w:p>
    <w:p w14:paraId="32EA3ED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bCs/>
          <w:sz w:val="32"/>
        </w:rPr>
      </w:pPr>
      <w:r>
        <w:rPr>
          <w:rFonts w:hint="eastAsia"/>
          <w:b w:val="0"/>
          <w:bCs w:val="0"/>
          <w:sz w:val="24"/>
          <w:szCs w:val="24"/>
        </w:rPr>
        <w:t>本研究的实践意义聚焦于解决</w:t>
      </w:r>
      <w:r>
        <w:rPr>
          <w:rFonts w:hint="eastAsia"/>
          <w:b w:val="0"/>
          <w:bCs w:val="0"/>
          <w:sz w:val="24"/>
          <w:szCs w:val="24"/>
          <w:lang w:val="en-US" w:eastAsia="zh-CN"/>
        </w:rPr>
        <w:t>博物馆文创产品</w:t>
      </w:r>
      <w:r>
        <w:rPr>
          <w:rFonts w:hint="eastAsia"/>
          <w:b w:val="0"/>
          <w:bCs w:val="0"/>
          <w:sz w:val="24"/>
          <w:szCs w:val="24"/>
        </w:rPr>
        <w:t>舆情风险管控的现实痛点</w:t>
      </w:r>
      <w:r>
        <w:rPr>
          <w:rFonts w:hint="eastAsia"/>
          <w:b w:val="0"/>
          <w:bCs w:val="0"/>
          <w:sz w:val="24"/>
          <w:szCs w:val="24"/>
          <w:lang w:eastAsia="zh-CN"/>
        </w:rPr>
        <w:t>。</w:t>
      </w:r>
      <w:r>
        <w:rPr>
          <w:rFonts w:hint="eastAsia"/>
          <w:b w:val="0"/>
          <w:bCs w:val="0"/>
          <w:sz w:val="24"/>
          <w:szCs w:val="24"/>
          <w:lang w:val="en-US" w:eastAsia="zh-CN"/>
        </w:rPr>
        <w:t>通过对文创产品相关网络舆情风险的识别，</w:t>
      </w:r>
      <w:r>
        <w:rPr>
          <w:rFonts w:hint="eastAsia"/>
          <w:b w:val="0"/>
          <w:bCs w:val="0"/>
          <w:sz w:val="24"/>
          <w:szCs w:val="24"/>
        </w:rPr>
        <w:t>为</w:t>
      </w:r>
      <w:r>
        <w:rPr>
          <w:rFonts w:hint="eastAsia"/>
          <w:b w:val="0"/>
          <w:bCs w:val="0"/>
          <w:sz w:val="24"/>
          <w:szCs w:val="24"/>
          <w:lang w:val="en-US" w:eastAsia="zh-CN"/>
        </w:rPr>
        <w:t>博物馆</w:t>
      </w:r>
      <w:r>
        <w:rPr>
          <w:rFonts w:hint="eastAsia"/>
          <w:b w:val="0"/>
          <w:bCs w:val="0"/>
          <w:sz w:val="24"/>
          <w:szCs w:val="24"/>
        </w:rPr>
        <w:t>提供精准化风险管控工具。研究识别的文化类、产品类、传播类、合规类风险类型，可直接作为</w:t>
      </w:r>
      <w:r>
        <w:rPr>
          <w:rFonts w:hint="eastAsia"/>
          <w:b w:val="0"/>
          <w:bCs w:val="0"/>
          <w:sz w:val="24"/>
          <w:szCs w:val="24"/>
          <w:lang w:val="en-US" w:eastAsia="zh-CN"/>
        </w:rPr>
        <w:t>博物馆</w:t>
      </w:r>
      <w:r>
        <w:rPr>
          <w:rFonts w:hint="eastAsia"/>
          <w:b w:val="0"/>
          <w:bCs w:val="0"/>
          <w:sz w:val="24"/>
          <w:szCs w:val="24"/>
        </w:rPr>
        <w:t>文创</w:t>
      </w:r>
      <w:r>
        <w:rPr>
          <w:rFonts w:hint="eastAsia"/>
          <w:b w:val="0"/>
          <w:bCs w:val="0"/>
          <w:sz w:val="24"/>
          <w:szCs w:val="24"/>
          <w:lang w:val="en-US" w:eastAsia="zh-CN"/>
        </w:rPr>
        <w:t>产品</w:t>
      </w:r>
      <w:r>
        <w:rPr>
          <w:rFonts w:hint="eastAsia"/>
          <w:b w:val="0"/>
          <w:bCs w:val="0"/>
          <w:sz w:val="24"/>
          <w:szCs w:val="24"/>
        </w:rPr>
        <w:t>开发、传播全流程的风险筛查清单，而构建的量化评估体系能帮助</w:t>
      </w:r>
      <w:r>
        <w:rPr>
          <w:rFonts w:hint="eastAsia"/>
          <w:b w:val="0"/>
          <w:bCs w:val="0"/>
          <w:sz w:val="24"/>
          <w:szCs w:val="24"/>
          <w:lang w:val="en-US" w:eastAsia="zh-CN"/>
        </w:rPr>
        <w:t>相关主体</w:t>
      </w:r>
      <w:r>
        <w:rPr>
          <w:rFonts w:hint="eastAsia"/>
          <w:b w:val="0"/>
          <w:bCs w:val="0"/>
          <w:sz w:val="24"/>
          <w:szCs w:val="24"/>
        </w:rPr>
        <w:t>快速判定风险等级，提升风险预警与响应的精准度。</w:t>
      </w:r>
      <w:r>
        <w:rPr>
          <w:rFonts w:hint="eastAsia"/>
          <w:b w:val="0"/>
          <w:bCs w:val="0"/>
          <w:sz w:val="24"/>
          <w:szCs w:val="24"/>
          <w:lang w:val="en-US" w:eastAsia="zh-CN"/>
        </w:rPr>
        <w:t>其次，本研究</w:t>
      </w:r>
      <w:r>
        <w:rPr>
          <w:rFonts w:hint="eastAsia"/>
          <w:b w:val="0"/>
          <w:bCs w:val="0"/>
          <w:sz w:val="24"/>
          <w:szCs w:val="24"/>
        </w:rPr>
        <w:t>为</w:t>
      </w:r>
      <w:r>
        <w:rPr>
          <w:rFonts w:hint="eastAsia"/>
          <w:b w:val="0"/>
          <w:bCs w:val="0"/>
          <w:sz w:val="24"/>
          <w:szCs w:val="24"/>
          <w:lang w:val="en-US" w:eastAsia="zh-CN"/>
        </w:rPr>
        <w:t>文旅部门、图档博、景区、</w:t>
      </w:r>
      <w:r>
        <w:rPr>
          <w:rFonts w:hint="eastAsia"/>
          <w:b w:val="0"/>
          <w:bCs w:val="0"/>
          <w:sz w:val="24"/>
          <w:szCs w:val="24"/>
        </w:rPr>
        <w:t>文创企业与</w:t>
      </w:r>
      <w:r>
        <w:rPr>
          <w:rFonts w:hint="eastAsia"/>
          <w:b w:val="0"/>
          <w:bCs w:val="0"/>
          <w:sz w:val="24"/>
          <w:szCs w:val="24"/>
          <w:lang w:val="en-US" w:eastAsia="zh-CN"/>
        </w:rPr>
        <w:t>媒体</w:t>
      </w:r>
      <w:r>
        <w:rPr>
          <w:rFonts w:hint="eastAsia"/>
          <w:b w:val="0"/>
          <w:bCs w:val="0"/>
          <w:sz w:val="24"/>
          <w:szCs w:val="24"/>
        </w:rPr>
        <w:t>平台提供协同治理依据</w:t>
      </w:r>
      <w:r>
        <w:rPr>
          <w:rFonts w:hint="eastAsia"/>
          <w:b w:val="0"/>
          <w:bCs w:val="0"/>
          <w:sz w:val="24"/>
          <w:szCs w:val="24"/>
          <w:lang w:eastAsia="zh-CN"/>
        </w:rPr>
        <w:t>，</w:t>
      </w:r>
      <w:r>
        <w:rPr>
          <w:rFonts w:hint="eastAsia"/>
          <w:b w:val="0"/>
          <w:bCs w:val="0"/>
          <w:sz w:val="24"/>
          <w:szCs w:val="24"/>
        </w:rPr>
        <w:t>针对</w:t>
      </w:r>
      <w:r>
        <w:rPr>
          <w:rFonts w:hint="eastAsia"/>
          <w:b w:val="0"/>
          <w:bCs w:val="0"/>
          <w:sz w:val="24"/>
          <w:szCs w:val="24"/>
          <w:lang w:val="en-US" w:eastAsia="zh-CN"/>
        </w:rPr>
        <w:t>不同主体提出相应的舆情风险应对</w:t>
      </w:r>
      <w:r>
        <w:rPr>
          <w:rFonts w:hint="eastAsia"/>
          <w:b w:val="0"/>
          <w:bCs w:val="0"/>
          <w:sz w:val="24"/>
          <w:szCs w:val="24"/>
        </w:rPr>
        <w:t>建议，助力构建</w:t>
      </w:r>
      <w:r>
        <w:rPr>
          <w:rFonts w:hint="eastAsia"/>
          <w:b w:val="0"/>
          <w:bCs w:val="0"/>
          <w:sz w:val="24"/>
          <w:szCs w:val="24"/>
          <w:lang w:val="en-US" w:eastAsia="zh-CN"/>
        </w:rPr>
        <w:t>多主体</w:t>
      </w:r>
      <w:r>
        <w:rPr>
          <w:rFonts w:hint="eastAsia"/>
          <w:b w:val="0"/>
          <w:bCs w:val="0"/>
          <w:sz w:val="24"/>
          <w:szCs w:val="24"/>
        </w:rPr>
        <w:t>风险共担机制。</w:t>
      </w:r>
      <w:r>
        <w:rPr>
          <w:rFonts w:hint="eastAsia"/>
          <w:b w:val="0"/>
          <w:bCs w:val="0"/>
          <w:sz w:val="24"/>
          <w:szCs w:val="24"/>
          <w:lang w:val="en-US" w:eastAsia="zh-CN"/>
        </w:rPr>
        <w:t>最后，本</w:t>
      </w:r>
      <w:r>
        <w:rPr>
          <w:rFonts w:hint="eastAsia"/>
          <w:b w:val="0"/>
          <w:bCs w:val="0"/>
          <w:sz w:val="24"/>
          <w:szCs w:val="24"/>
        </w:rPr>
        <w:t>研究提出的全链条治理策略，既能有效规避舆情风险对文化公信力的损害，也能通过规范文创开发与传播行为，引导文创产业在文化传承与商业价值之间实现平衡，推动文创IP的可持续发展，为文化产业数字化转型中的风险管控提供实践范本。</w:t>
      </w:r>
    </w:p>
    <w:p w14:paraId="6D99AF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华文楷体" w:hAnsi="华文楷体" w:eastAsia="华文楷体"/>
          <w:sz w:val="28"/>
          <w:szCs w:val="28"/>
        </w:rPr>
      </w:pPr>
      <w:r>
        <w:rPr>
          <w:rFonts w:hint="eastAsia" w:ascii="微软雅黑" w:hAnsi="微软雅黑" w:eastAsia="微软雅黑"/>
          <w:b/>
          <w:bCs/>
          <w:sz w:val="32"/>
        </w:rPr>
        <w:t>五、研究设计</w:t>
      </w:r>
      <w:r>
        <w:rPr>
          <w:rFonts w:hint="eastAsia" w:ascii="华文楷体" w:hAnsi="华文楷体" w:eastAsia="华文楷体"/>
          <w:sz w:val="28"/>
          <w:szCs w:val="28"/>
        </w:rPr>
        <w:t>（针对研究问题，详细阐述本选题的研究内容、基本思路或总体框架、理论基础、具体研究方案等）</w:t>
      </w:r>
    </w:p>
    <w:p w14:paraId="3C53AF3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szCs w:val="24"/>
          <w:lang w:val="en-US" w:eastAsia="zh-CN"/>
        </w:rPr>
      </w:pPr>
      <w:r>
        <w:rPr>
          <w:rFonts w:hint="eastAsia"/>
          <w:b/>
          <w:bCs/>
          <w:sz w:val="24"/>
          <w:szCs w:val="24"/>
          <w:lang w:val="en-US" w:eastAsia="zh-CN"/>
        </w:rPr>
        <w:t>（一）研究内容：</w:t>
      </w:r>
    </w:p>
    <w:p w14:paraId="5D4F605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本文研究共分为六章。</w:t>
      </w:r>
    </w:p>
    <w:p w14:paraId="604B17C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第一章为绪论，对研究背景、意义、思路、方法、国内外研究现状、研究内容等进行系统地介绍。</w:t>
      </w:r>
    </w:p>
    <w:p w14:paraId="7767748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第二章为相关概念与理论基础，重点阐述与博物馆文创产品、网络舆情风险相关的定义以及本研究所涉及的理论基础。</w:t>
      </w:r>
    </w:p>
    <w:p w14:paraId="5A74975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第三章是博物馆文创产品舆情分析，通过采集主流媒体平台的文创产品相关舆情数据，进行主题聚类与情感分析。</w:t>
      </w:r>
    </w:p>
    <w:p w14:paraId="15140B5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第四章是</w:t>
      </w:r>
      <w:r>
        <w:rPr>
          <w:rFonts w:hint="eastAsia" w:ascii="宋体" w:hAnsi="宋体" w:eastAsia="宋体" w:cs="Times New Roman"/>
          <w:sz w:val="24"/>
          <w:szCs w:val="24"/>
        </w:rPr>
        <w:t>基于舆情分析的</w:t>
      </w:r>
      <w:r>
        <w:rPr>
          <w:rFonts w:hint="eastAsia" w:ascii="宋体" w:hAnsi="宋体" w:cs="Times New Roman"/>
          <w:sz w:val="24"/>
          <w:szCs w:val="24"/>
          <w:lang w:val="en-US" w:eastAsia="zh-CN"/>
        </w:rPr>
        <w:t>博物馆</w:t>
      </w:r>
      <w:r>
        <w:rPr>
          <w:rFonts w:hint="eastAsia" w:ascii="宋体" w:hAnsi="宋体" w:eastAsia="宋体" w:cs="Times New Roman"/>
          <w:sz w:val="24"/>
          <w:szCs w:val="24"/>
        </w:rPr>
        <w:t>文创产品舆情风险识别研究</w:t>
      </w:r>
      <w:r>
        <w:rPr>
          <w:rFonts w:hint="eastAsia" w:ascii="宋体" w:hAnsi="宋体" w:cs="Times New Roman"/>
          <w:sz w:val="24"/>
          <w:szCs w:val="24"/>
          <w:lang w:eastAsia="zh-CN"/>
        </w:rPr>
        <w:t>，</w:t>
      </w:r>
      <w:r>
        <w:rPr>
          <w:rFonts w:hint="eastAsia" w:ascii="宋体" w:hAnsi="宋体" w:cs="Times New Roman"/>
          <w:sz w:val="24"/>
          <w:szCs w:val="24"/>
          <w:lang w:val="en-US" w:eastAsia="zh-CN"/>
        </w:rPr>
        <w:t>基于第三章分析结果，识别文创产品网络舆情风险类型</w:t>
      </w:r>
      <w:r>
        <w:rPr>
          <w:rFonts w:hint="eastAsia"/>
          <w:b w:val="0"/>
          <w:bCs w:val="0"/>
          <w:sz w:val="24"/>
          <w:szCs w:val="24"/>
          <w:lang w:val="en-US" w:eastAsia="zh-CN"/>
        </w:rPr>
        <w:t>。</w:t>
      </w:r>
    </w:p>
    <w:p w14:paraId="0693738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第五章是博物馆文创产品舆情风险治理建议，依据前面篇幅所做的研究，从不同舆情角度出发，有针对性提出舆情治理对策。</w:t>
      </w:r>
    </w:p>
    <w:p w14:paraId="75B84B3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bCs/>
          <w:sz w:val="24"/>
          <w:szCs w:val="24"/>
          <w:lang w:val="en-US" w:eastAsia="zh-CN"/>
        </w:rPr>
      </w:pPr>
      <w:r>
        <w:rPr>
          <w:rFonts w:hint="eastAsia"/>
          <w:b w:val="0"/>
          <w:bCs w:val="0"/>
          <w:sz w:val="24"/>
          <w:szCs w:val="24"/>
          <w:lang w:val="en-US" w:eastAsia="zh-CN"/>
        </w:rPr>
        <w:t>第六章为总结与展望，主要是对本研究进行归纳总结。</w:t>
      </w:r>
    </w:p>
    <w:p w14:paraId="05BFDD8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szCs w:val="24"/>
          <w:lang w:val="en-US" w:eastAsia="zh-CN"/>
        </w:rPr>
      </w:pPr>
      <w:r>
        <w:rPr>
          <w:rFonts w:hint="eastAsia"/>
          <w:b/>
          <w:bCs/>
          <w:sz w:val="24"/>
          <w:szCs w:val="24"/>
          <w:lang w:val="en-US" w:eastAsia="zh-CN"/>
        </w:rPr>
        <w:t>（二）研究方法</w:t>
      </w:r>
    </w:p>
    <w:p w14:paraId="767D02F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b w:val="0"/>
          <w:bCs w:val="0"/>
          <w:sz w:val="24"/>
          <w:szCs w:val="24"/>
          <w:lang w:val="en-US" w:eastAsia="zh-CN"/>
        </w:rPr>
        <w:t>1、文献研究法</w:t>
      </w:r>
    </w:p>
    <w:p w14:paraId="0A980CF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应用场景：用于国内外研究现状及理论基础部分。</w:t>
      </w:r>
    </w:p>
    <w:p w14:paraId="17089EF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具体应用：系统梳理国内外关于博物馆文创产品、网络舆情风险的研究成果，明确研究现状与空白。为核心概念界定和理论框架构建提供文献支撑。</w:t>
      </w:r>
    </w:p>
    <w:p w14:paraId="6A37F2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b w:val="0"/>
          <w:bCs w:val="0"/>
          <w:sz w:val="24"/>
          <w:szCs w:val="24"/>
          <w:lang w:val="en-US" w:eastAsia="zh-CN"/>
        </w:rPr>
        <w:t>2、文本挖掘法</w:t>
      </w:r>
    </w:p>
    <w:p w14:paraId="712DB03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应用场景：用于“文创舆情分析”部分。</w:t>
      </w:r>
    </w:p>
    <w:p w14:paraId="13C8331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具体应用：① 舆情主题聚类：采用LDA主题模型，自动挖掘潜在核心舆情主题；结合统计分析，提炼主题分布权重与主题间共现频率、相关系数，明确主题关联强度。②舆情情感分析：借助BERT预训练语言模型，将舆情情感划分为正向、中性、负向三类；通过描述性统计明确各主题、各平台情感分布特征，运用时序统计追踪情感动态演变规律。</w:t>
      </w:r>
    </w:p>
    <w:p w14:paraId="4B1E2ED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b w:val="0"/>
          <w:bCs w:val="0"/>
          <w:sz w:val="24"/>
          <w:szCs w:val="24"/>
          <w:lang w:val="en-US" w:eastAsia="zh-CN"/>
        </w:rPr>
        <w:t>3、内容分析法</w:t>
      </w:r>
    </w:p>
    <w:p w14:paraId="608AEA2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应用场景：用于“舆情风险识别”部分。</w:t>
      </w:r>
    </w:p>
    <w:p w14:paraId="3B56B1B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b/>
          <w:bCs/>
          <w:sz w:val="24"/>
          <w:szCs w:val="24"/>
          <w:lang w:val="en-US" w:eastAsia="zh-CN"/>
        </w:rPr>
      </w:pPr>
      <w:r>
        <w:rPr>
          <w:rFonts w:hint="eastAsia"/>
          <w:b w:val="0"/>
          <w:bCs w:val="0"/>
          <w:sz w:val="24"/>
          <w:szCs w:val="24"/>
          <w:lang w:val="en-US" w:eastAsia="zh-CN"/>
        </w:rPr>
        <w:t>具体应用：基于文本挖掘法的分析结果开展结构化风险归类与关联探究。①风险编码与归类：构建“主体-内容-渠道-受众”四维风险编码体系，针对高负向情感占比的舆情主题，对应归类各层面的风险类型。②风险关联探究：以交叉分析为辅助，结合编码结果探究不同层面风险的交叉影响与触发场景，明确风险传导路径，实现从舆情特征到风险本质的精准转化。</w:t>
      </w:r>
    </w:p>
    <w:p w14:paraId="07EB813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szCs w:val="24"/>
          <w:lang w:val="en-US" w:eastAsia="zh-CN"/>
        </w:rPr>
      </w:pPr>
      <w:r>
        <w:rPr>
          <w:rFonts w:hint="eastAsia"/>
          <w:b/>
          <w:bCs/>
          <w:sz w:val="24"/>
          <w:szCs w:val="24"/>
          <w:lang w:val="en-US" w:eastAsia="zh-CN"/>
        </w:rPr>
        <w:t>（三）总体框架：</w:t>
      </w:r>
    </w:p>
    <w:p w14:paraId="40D5E2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Times New Roman"/>
          <w:sz w:val="24"/>
          <w:szCs w:val="24"/>
        </w:rPr>
      </w:pPr>
      <w:r>
        <w:rPr>
          <w:rFonts w:hint="eastAsia" w:ascii="宋体" w:hAnsi="宋体" w:eastAsia="宋体" w:cs="Times New Roman"/>
          <w:sz w:val="24"/>
          <w:szCs w:val="24"/>
        </w:rPr>
        <w:t>1绪论</w:t>
      </w:r>
    </w:p>
    <w:p w14:paraId="5517286D">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1.1研究背景</w:t>
      </w:r>
    </w:p>
    <w:p w14:paraId="689CD689">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1.2研究意义</w:t>
      </w:r>
    </w:p>
    <w:p w14:paraId="13C5EDDD">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1.3国内外研究现状</w:t>
      </w:r>
    </w:p>
    <w:p w14:paraId="4D090657">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1.3.1国外研究现状</w:t>
      </w:r>
    </w:p>
    <w:p w14:paraId="0D2E5E8C">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1.3.2国内研究现状</w:t>
      </w:r>
    </w:p>
    <w:p w14:paraId="3C5B7670">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1.3.3研究评述</w:t>
      </w:r>
    </w:p>
    <w:p w14:paraId="5C884054">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1.4研究内容与研究方法</w:t>
      </w:r>
    </w:p>
    <w:p w14:paraId="12EF11E9">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1.4.1研究内容</w:t>
      </w:r>
    </w:p>
    <w:p w14:paraId="2FA7C87B">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1.4.2研究方法</w:t>
      </w:r>
    </w:p>
    <w:p w14:paraId="65BD914E">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1.5创新点与技术路线</w:t>
      </w:r>
    </w:p>
    <w:p w14:paraId="4D051051">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1.5.1创新点</w:t>
      </w:r>
    </w:p>
    <w:p w14:paraId="4D204C0C">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1.5.2技术路线</w:t>
      </w:r>
    </w:p>
    <w:p w14:paraId="5C839D67">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default" w:ascii="宋体" w:hAnsi="宋体" w:eastAsia="宋体" w:cs="Times New Roman"/>
          <w:sz w:val="24"/>
          <w:szCs w:val="24"/>
          <w:lang w:val="en-US" w:eastAsia="zh-CN"/>
        </w:rPr>
      </w:pPr>
      <w:r>
        <w:rPr>
          <w:rFonts w:hint="eastAsia" w:ascii="宋体" w:hAnsi="宋体" w:cs="Times New Roman"/>
          <w:sz w:val="24"/>
          <w:szCs w:val="24"/>
          <w:lang w:val="en-US" w:eastAsia="zh-CN"/>
        </w:rPr>
        <w:t>1.6本章小结</w:t>
      </w:r>
    </w:p>
    <w:p w14:paraId="6C10F29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Times New Roman"/>
          <w:sz w:val="24"/>
          <w:szCs w:val="24"/>
        </w:rPr>
      </w:pPr>
      <w:r>
        <w:rPr>
          <w:rFonts w:hint="eastAsia" w:ascii="宋体" w:hAnsi="宋体" w:eastAsia="宋体" w:cs="Times New Roman"/>
          <w:sz w:val="24"/>
          <w:szCs w:val="24"/>
        </w:rPr>
        <w:t>2相关概念与理论基础</w:t>
      </w:r>
    </w:p>
    <w:p w14:paraId="46090206">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2.1核心概念界定</w:t>
      </w:r>
    </w:p>
    <w:p w14:paraId="63C03E81">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default" w:ascii="宋体" w:hAnsi="宋体" w:eastAsia="宋体" w:cs="Times New Roman"/>
          <w:sz w:val="24"/>
          <w:szCs w:val="24"/>
          <w:lang w:val="en-US"/>
        </w:rPr>
      </w:pPr>
      <w:r>
        <w:rPr>
          <w:rFonts w:hint="eastAsia" w:ascii="宋体" w:hAnsi="宋体" w:cs="Times New Roman"/>
          <w:sz w:val="24"/>
          <w:szCs w:val="24"/>
          <w:lang w:val="en-US" w:eastAsia="zh-CN"/>
        </w:rPr>
        <w:t>2.1.1博物馆文创产品</w:t>
      </w:r>
    </w:p>
    <w:p w14:paraId="54FEE9DC">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2.1.2</w:t>
      </w:r>
      <w:r>
        <w:rPr>
          <w:rFonts w:hint="eastAsia" w:ascii="宋体" w:hAnsi="宋体" w:eastAsia="宋体" w:cs="Times New Roman"/>
          <w:sz w:val="24"/>
          <w:szCs w:val="24"/>
        </w:rPr>
        <w:t>网络舆情</w:t>
      </w:r>
    </w:p>
    <w:p w14:paraId="6EAF21CD">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2.1.3博物馆文创产品</w:t>
      </w:r>
      <w:r>
        <w:rPr>
          <w:rFonts w:hint="eastAsia" w:ascii="宋体" w:hAnsi="宋体" w:eastAsia="宋体" w:cs="Times New Roman"/>
          <w:sz w:val="24"/>
          <w:szCs w:val="24"/>
        </w:rPr>
        <w:t>网络舆情风险</w:t>
      </w:r>
    </w:p>
    <w:p w14:paraId="0D286601">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2.2理论支撑</w:t>
      </w:r>
    </w:p>
    <w:p w14:paraId="0C24DA61">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default" w:ascii="宋体" w:hAnsi="宋体" w:cs="Times New Roman"/>
          <w:sz w:val="24"/>
          <w:szCs w:val="24"/>
          <w:lang w:val="en-US" w:eastAsia="zh-CN"/>
        </w:rPr>
      </w:pPr>
      <w:r>
        <w:rPr>
          <w:rFonts w:hint="eastAsia" w:ascii="宋体" w:hAnsi="宋体" w:cs="Times New Roman"/>
          <w:sz w:val="24"/>
          <w:szCs w:val="24"/>
          <w:lang w:val="en-US" w:eastAsia="zh-CN"/>
        </w:rPr>
        <w:t>2.2.1风险管理理论</w:t>
      </w:r>
    </w:p>
    <w:p w14:paraId="32985C18">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cs="Times New Roman"/>
          <w:sz w:val="24"/>
          <w:szCs w:val="24"/>
          <w:lang w:val="en-US" w:eastAsia="zh-CN"/>
        </w:rPr>
      </w:pPr>
      <w:r>
        <w:rPr>
          <w:rFonts w:hint="eastAsia" w:ascii="宋体" w:hAnsi="宋体" w:cs="Times New Roman"/>
          <w:sz w:val="24"/>
          <w:szCs w:val="24"/>
          <w:lang w:val="en-US" w:eastAsia="zh-CN"/>
        </w:rPr>
        <w:t>2.2.2文化资本理论</w:t>
      </w:r>
    </w:p>
    <w:p w14:paraId="734AD422">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default" w:ascii="宋体" w:hAnsi="宋体" w:cs="Times New Roman"/>
          <w:sz w:val="24"/>
          <w:szCs w:val="24"/>
          <w:lang w:val="en-US" w:eastAsia="zh-CN"/>
        </w:rPr>
      </w:pPr>
      <w:r>
        <w:rPr>
          <w:rFonts w:hint="eastAsia" w:ascii="宋体" w:hAnsi="宋体" w:cs="Times New Roman"/>
          <w:sz w:val="24"/>
          <w:szCs w:val="24"/>
          <w:lang w:val="en-US" w:eastAsia="zh-CN"/>
        </w:rPr>
        <w:t>2.2.3利益相关者理论</w:t>
      </w:r>
    </w:p>
    <w:p w14:paraId="4936AAB7">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2.3本章小结</w:t>
      </w:r>
    </w:p>
    <w:p w14:paraId="6959A1F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Times New Roman"/>
          <w:sz w:val="24"/>
          <w:szCs w:val="24"/>
          <w:lang w:eastAsia="zh-CN"/>
        </w:rPr>
      </w:pPr>
      <w:r>
        <w:rPr>
          <w:rFonts w:hint="eastAsia" w:ascii="宋体" w:hAnsi="宋体" w:eastAsia="宋体" w:cs="Times New Roman"/>
          <w:sz w:val="24"/>
          <w:szCs w:val="24"/>
        </w:rPr>
        <w:t>3</w:t>
      </w:r>
      <w:r>
        <w:rPr>
          <w:rFonts w:hint="eastAsia" w:ascii="宋体" w:hAnsi="宋体" w:cs="Times New Roman"/>
          <w:color w:val="auto"/>
          <w:sz w:val="24"/>
          <w:szCs w:val="24"/>
          <w:lang w:val="en-US" w:eastAsia="zh-CN"/>
        </w:rPr>
        <w:t>博物馆文创产品</w:t>
      </w:r>
      <w:r>
        <w:rPr>
          <w:rFonts w:hint="eastAsia" w:ascii="宋体" w:hAnsi="宋体" w:eastAsia="宋体" w:cs="Times New Roman"/>
          <w:color w:val="auto"/>
          <w:sz w:val="24"/>
          <w:szCs w:val="24"/>
        </w:rPr>
        <w:t>舆情</w:t>
      </w:r>
      <w:r>
        <w:rPr>
          <w:rFonts w:hint="eastAsia" w:ascii="宋体" w:hAnsi="宋体" w:cs="Times New Roman"/>
          <w:color w:val="auto"/>
          <w:sz w:val="24"/>
          <w:szCs w:val="24"/>
          <w:lang w:val="en-US" w:eastAsia="zh-CN"/>
        </w:rPr>
        <w:t>分析</w:t>
      </w:r>
    </w:p>
    <w:p w14:paraId="419AAF8A">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3.1数据来源与处理</w:t>
      </w:r>
    </w:p>
    <w:p w14:paraId="31435E36">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3.1.1数据采集范围</w:t>
      </w:r>
    </w:p>
    <w:p w14:paraId="200DA495">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3.1.2数据采集渠道与工具</w:t>
      </w:r>
    </w:p>
    <w:p w14:paraId="40F0C027">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3.1.3数据预处理流程</w:t>
      </w:r>
    </w:p>
    <w:p w14:paraId="175507CB">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3.2舆情主题聚类分析</w:t>
      </w:r>
    </w:p>
    <w:p w14:paraId="2650662E">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3.2.1分析方法与流程</w:t>
      </w:r>
    </w:p>
    <w:p w14:paraId="1F02E0E8">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3.2.2核心主题提炼与分布</w:t>
      </w:r>
    </w:p>
    <w:p w14:paraId="7857FA83">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w:t>
      </w:r>
      <w:r>
        <w:rPr>
          <w:rFonts w:hint="eastAsia" w:ascii="宋体" w:hAnsi="宋体" w:cs="Times New Roman"/>
          <w:sz w:val="24"/>
          <w:szCs w:val="24"/>
          <w:lang w:val="en-US" w:eastAsia="zh-CN"/>
        </w:rPr>
        <w:t>.</w:t>
      </w:r>
      <w:r>
        <w:rPr>
          <w:rFonts w:hint="eastAsia" w:ascii="宋体" w:hAnsi="宋体" w:eastAsia="宋体" w:cs="Times New Roman"/>
          <w:sz w:val="24"/>
          <w:szCs w:val="24"/>
        </w:rPr>
        <w:t>2</w:t>
      </w:r>
      <w:r>
        <w:rPr>
          <w:rFonts w:hint="eastAsia" w:ascii="宋体" w:hAnsi="宋体" w:cs="Times New Roman"/>
          <w:sz w:val="24"/>
          <w:szCs w:val="24"/>
          <w:lang w:val="en-US" w:eastAsia="zh-CN"/>
        </w:rPr>
        <w:t>.</w:t>
      </w:r>
      <w:r>
        <w:rPr>
          <w:rFonts w:hint="eastAsia" w:ascii="宋体" w:hAnsi="宋体" w:eastAsia="宋体" w:cs="Times New Roman"/>
          <w:sz w:val="24"/>
          <w:szCs w:val="24"/>
        </w:rPr>
        <w:t>3主题关联分析</w:t>
      </w:r>
    </w:p>
    <w:p w14:paraId="7CA1568F">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3.3舆情情感与观点挖掘分析</w:t>
      </w:r>
    </w:p>
    <w:p w14:paraId="25D56E58">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3.3.1分析方法与工具</w:t>
      </w:r>
    </w:p>
    <w:p w14:paraId="72C942D1">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基础情感分析</w:t>
      </w:r>
    </w:p>
    <w:p w14:paraId="13D1D336">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方面级情感分析</w:t>
      </w:r>
    </w:p>
    <w:p w14:paraId="0A6B53EA">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t>观点挖掘</w:t>
      </w:r>
    </w:p>
    <w:p w14:paraId="696EA29C">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eastAsia="宋体" w:cs="Times New Roman"/>
          <w:sz w:val="24"/>
          <w:szCs w:val="24"/>
        </w:rPr>
        <w:t>3.3.2情感与观点分布特征</w:t>
      </w:r>
    </w:p>
    <w:p w14:paraId="447650BB">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720" w:firstLineChars="300"/>
        <w:textAlignment w:val="auto"/>
        <w:rPr>
          <w:rFonts w:hint="eastAsia" w:ascii="宋体" w:hAnsi="宋体" w:cs="Times New Roman"/>
          <w:sz w:val="24"/>
          <w:szCs w:val="24"/>
          <w:lang w:eastAsia="zh-CN"/>
        </w:rPr>
      </w:pPr>
      <w:r>
        <w:rPr>
          <w:rFonts w:hint="eastAsia" w:ascii="宋体" w:hAnsi="宋体" w:cs="Times New Roman"/>
          <w:sz w:val="24"/>
          <w:szCs w:val="24"/>
          <w:lang w:eastAsia="zh-CN"/>
        </w:rPr>
        <w:t>整体情感分布</w:t>
      </w:r>
    </w:p>
    <w:p w14:paraId="18B2A752">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lang w:eastAsia="zh-CN"/>
        </w:rPr>
      </w:pPr>
      <w:r>
        <w:rPr>
          <w:rFonts w:hint="eastAsia" w:ascii="宋体" w:hAnsi="宋体" w:cs="Times New Roman"/>
          <w:sz w:val="24"/>
          <w:szCs w:val="24"/>
          <w:lang w:eastAsia="zh-CN"/>
        </w:rPr>
        <w:t>方面级情感分布</w:t>
      </w:r>
    </w:p>
    <w:p w14:paraId="0ECFD9FC">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lang w:eastAsia="zh-CN"/>
        </w:rPr>
      </w:pPr>
      <w:r>
        <w:rPr>
          <w:rFonts w:hint="eastAsia" w:ascii="宋体" w:hAnsi="宋体" w:cs="Times New Roman"/>
          <w:sz w:val="24"/>
          <w:szCs w:val="24"/>
          <w:lang w:eastAsia="zh-CN"/>
        </w:rPr>
        <w:t>核心观点词云</w:t>
      </w:r>
    </w:p>
    <w:p w14:paraId="35EC5BF6">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cs="Times New Roman"/>
          <w:sz w:val="24"/>
          <w:szCs w:val="24"/>
          <w:lang w:val="en-US" w:eastAsia="zh-CN"/>
        </w:rPr>
      </w:pPr>
      <w:r>
        <w:rPr>
          <w:rFonts w:hint="eastAsia" w:ascii="宋体" w:hAnsi="宋体" w:cs="Times New Roman"/>
          <w:sz w:val="24"/>
          <w:szCs w:val="24"/>
          <w:lang w:val="en-US" w:eastAsia="zh-CN"/>
        </w:rPr>
        <w:t>3.3.3情感与观点演变规律</w:t>
      </w:r>
    </w:p>
    <w:p w14:paraId="6851ACF5">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720" w:firstLineChars="300"/>
        <w:textAlignment w:val="auto"/>
        <w:rPr>
          <w:rFonts w:hint="eastAsia" w:ascii="宋体" w:hAnsi="宋体" w:cs="Times New Roman"/>
          <w:sz w:val="24"/>
          <w:szCs w:val="24"/>
          <w:lang w:val="en-US" w:eastAsia="zh-CN"/>
        </w:rPr>
      </w:pPr>
      <w:r>
        <w:rPr>
          <w:rFonts w:hint="eastAsia" w:ascii="宋体" w:hAnsi="宋体" w:cs="Times New Roman"/>
          <w:sz w:val="24"/>
          <w:szCs w:val="24"/>
          <w:lang w:val="en-US" w:eastAsia="zh-CN"/>
        </w:rPr>
        <w:t>整体情感趋势</w:t>
      </w:r>
    </w:p>
    <w:p w14:paraId="6315E801">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default" w:ascii="宋体" w:hAnsi="宋体" w:cs="Times New Roman"/>
          <w:sz w:val="24"/>
          <w:szCs w:val="24"/>
          <w:lang w:val="en-US" w:eastAsia="zh-CN"/>
        </w:rPr>
        <w:t>方面级情感演变</w:t>
      </w:r>
    </w:p>
    <w:p w14:paraId="4C0440BD">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3.</w:t>
      </w:r>
      <w:r>
        <w:rPr>
          <w:rFonts w:hint="eastAsia" w:ascii="宋体" w:hAnsi="宋体" w:cs="Times New Roman"/>
          <w:sz w:val="24"/>
          <w:szCs w:val="24"/>
          <w:lang w:val="en-US" w:eastAsia="zh-CN"/>
        </w:rPr>
        <w:t>4</w:t>
      </w:r>
      <w:r>
        <w:rPr>
          <w:rFonts w:hint="eastAsia" w:ascii="宋体" w:hAnsi="宋体" w:eastAsia="宋体" w:cs="Times New Roman"/>
          <w:sz w:val="24"/>
          <w:szCs w:val="24"/>
        </w:rPr>
        <w:t>本章小结</w:t>
      </w:r>
    </w:p>
    <w:p w14:paraId="02E63BA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Times New Roman"/>
          <w:color w:val="FF0000"/>
          <w:sz w:val="24"/>
          <w:szCs w:val="24"/>
          <w:lang w:val="en-US" w:eastAsia="zh-CN"/>
        </w:rPr>
      </w:pPr>
      <w:r>
        <w:rPr>
          <w:rFonts w:hint="eastAsia" w:ascii="宋体" w:hAnsi="宋体" w:eastAsia="宋体" w:cs="Times New Roman"/>
          <w:sz w:val="24"/>
          <w:szCs w:val="24"/>
        </w:rPr>
        <w:t>4</w:t>
      </w:r>
      <w:r>
        <w:rPr>
          <w:rFonts w:hint="eastAsia" w:ascii="宋体" w:hAnsi="宋体" w:cs="Times New Roman"/>
          <w:color w:val="auto"/>
          <w:sz w:val="24"/>
          <w:szCs w:val="24"/>
          <w:lang w:val="en-US" w:eastAsia="zh-CN"/>
        </w:rPr>
        <w:t>基于舆情分析的博物馆文创产品</w:t>
      </w:r>
      <w:r>
        <w:rPr>
          <w:rFonts w:hint="eastAsia" w:ascii="宋体" w:hAnsi="宋体" w:eastAsia="宋体" w:cs="Times New Roman"/>
          <w:color w:val="auto"/>
          <w:sz w:val="24"/>
          <w:szCs w:val="24"/>
        </w:rPr>
        <w:t>舆情风险</w:t>
      </w:r>
      <w:r>
        <w:rPr>
          <w:rFonts w:hint="eastAsia" w:ascii="宋体" w:hAnsi="宋体" w:cs="Times New Roman"/>
          <w:color w:val="auto"/>
          <w:sz w:val="24"/>
          <w:szCs w:val="24"/>
          <w:lang w:val="en-US" w:eastAsia="zh-CN"/>
        </w:rPr>
        <w:t>识别</w:t>
      </w:r>
    </w:p>
    <w:p w14:paraId="1CE1B3FA">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4.1产品本体层面风险</w:t>
      </w:r>
    </w:p>
    <w:p w14:paraId="7E18C30E">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4</w:t>
      </w:r>
      <w:r>
        <w:rPr>
          <w:rFonts w:hint="eastAsia" w:ascii="宋体" w:hAnsi="宋体" w:eastAsia="宋体" w:cs="Times New Roman"/>
          <w:sz w:val="24"/>
          <w:szCs w:val="24"/>
        </w:rPr>
        <w:t>.</w:t>
      </w:r>
      <w:r>
        <w:rPr>
          <w:rFonts w:hint="eastAsia" w:ascii="宋体" w:hAnsi="宋体" w:cs="Times New Roman"/>
          <w:sz w:val="24"/>
          <w:szCs w:val="24"/>
          <w:lang w:val="en-US" w:eastAsia="zh-CN"/>
        </w:rPr>
        <w:t>2</w:t>
      </w:r>
      <w:r>
        <w:rPr>
          <w:rFonts w:hint="eastAsia" w:ascii="宋体" w:hAnsi="宋体" w:eastAsia="宋体" w:cs="Times New Roman"/>
          <w:sz w:val="24"/>
          <w:szCs w:val="24"/>
        </w:rPr>
        <w:t>文化内容层面风险</w:t>
      </w:r>
    </w:p>
    <w:p w14:paraId="5D19ACEC">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4</w:t>
      </w:r>
      <w:r>
        <w:rPr>
          <w:rFonts w:hint="eastAsia" w:ascii="宋体" w:hAnsi="宋体" w:eastAsia="宋体" w:cs="Times New Roman"/>
          <w:sz w:val="24"/>
          <w:szCs w:val="24"/>
        </w:rPr>
        <w:t>.</w:t>
      </w:r>
      <w:r>
        <w:rPr>
          <w:rFonts w:hint="eastAsia" w:ascii="宋体" w:hAnsi="宋体" w:cs="Times New Roman"/>
          <w:sz w:val="24"/>
          <w:szCs w:val="24"/>
          <w:lang w:val="en-US" w:eastAsia="zh-CN"/>
        </w:rPr>
        <w:t>3</w:t>
      </w:r>
      <w:r>
        <w:rPr>
          <w:rFonts w:hint="eastAsia" w:ascii="宋体" w:hAnsi="宋体" w:eastAsia="宋体" w:cs="Times New Roman"/>
          <w:sz w:val="24"/>
          <w:szCs w:val="24"/>
        </w:rPr>
        <w:t>营销传播层面风险</w:t>
      </w:r>
    </w:p>
    <w:p w14:paraId="64E0B64F">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4</w:t>
      </w:r>
      <w:r>
        <w:rPr>
          <w:rFonts w:hint="eastAsia" w:ascii="宋体" w:hAnsi="宋体" w:eastAsia="宋体" w:cs="Times New Roman"/>
          <w:sz w:val="24"/>
          <w:szCs w:val="24"/>
        </w:rPr>
        <w:t>.</w:t>
      </w:r>
      <w:r>
        <w:rPr>
          <w:rFonts w:hint="eastAsia" w:ascii="宋体" w:hAnsi="宋体" w:cs="Times New Roman"/>
          <w:sz w:val="24"/>
          <w:szCs w:val="24"/>
          <w:lang w:val="en-US" w:eastAsia="zh-CN"/>
        </w:rPr>
        <w:t>4</w:t>
      </w:r>
      <w:r>
        <w:rPr>
          <w:rFonts w:hint="eastAsia" w:ascii="宋体" w:hAnsi="宋体" w:eastAsia="宋体" w:cs="Times New Roman"/>
          <w:sz w:val="24"/>
          <w:szCs w:val="24"/>
        </w:rPr>
        <w:t>受众认同层面风险</w:t>
      </w:r>
    </w:p>
    <w:p w14:paraId="48BD4ADD">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4.</w:t>
      </w:r>
      <w:r>
        <w:rPr>
          <w:rFonts w:hint="eastAsia" w:ascii="宋体" w:hAnsi="宋体" w:cs="Times New Roman"/>
          <w:sz w:val="24"/>
          <w:szCs w:val="24"/>
          <w:lang w:val="en-US" w:eastAsia="zh-CN"/>
        </w:rPr>
        <w:t>5</w:t>
      </w:r>
      <w:r>
        <w:rPr>
          <w:rFonts w:hint="eastAsia" w:ascii="宋体" w:hAnsi="宋体" w:eastAsia="宋体" w:cs="Times New Roman"/>
          <w:sz w:val="24"/>
          <w:szCs w:val="24"/>
        </w:rPr>
        <w:t>本章小结</w:t>
      </w:r>
    </w:p>
    <w:p w14:paraId="0467F4F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Times New Roman"/>
          <w:sz w:val="24"/>
          <w:szCs w:val="24"/>
        </w:rPr>
      </w:pPr>
      <w:r>
        <w:rPr>
          <w:rFonts w:hint="eastAsia" w:ascii="宋体" w:hAnsi="宋体" w:eastAsia="宋体" w:cs="Times New Roman"/>
          <w:sz w:val="24"/>
          <w:szCs w:val="24"/>
        </w:rPr>
        <w:t>5</w:t>
      </w:r>
      <w:r>
        <w:rPr>
          <w:rFonts w:hint="eastAsia" w:ascii="宋体" w:hAnsi="宋体" w:cs="Times New Roman"/>
          <w:color w:val="auto"/>
          <w:sz w:val="24"/>
          <w:szCs w:val="24"/>
          <w:lang w:val="en-US" w:eastAsia="zh-CN"/>
        </w:rPr>
        <w:t>博物馆文创产品</w:t>
      </w:r>
      <w:r>
        <w:rPr>
          <w:rFonts w:hint="eastAsia" w:ascii="宋体" w:hAnsi="宋体" w:eastAsia="宋体" w:cs="Times New Roman"/>
          <w:color w:val="auto"/>
          <w:sz w:val="24"/>
          <w:szCs w:val="24"/>
        </w:rPr>
        <w:t>舆情风险</w:t>
      </w:r>
      <w:r>
        <w:rPr>
          <w:rFonts w:hint="eastAsia" w:ascii="宋体" w:hAnsi="宋体" w:cs="Times New Roman"/>
          <w:color w:val="auto"/>
          <w:sz w:val="24"/>
          <w:szCs w:val="24"/>
          <w:lang w:val="en-US" w:eastAsia="zh-CN"/>
        </w:rPr>
        <w:t>治理</w:t>
      </w:r>
      <w:r>
        <w:rPr>
          <w:rFonts w:hint="eastAsia" w:ascii="宋体" w:hAnsi="宋体" w:eastAsia="宋体" w:cs="Times New Roman"/>
          <w:color w:val="auto"/>
          <w:sz w:val="24"/>
          <w:szCs w:val="24"/>
        </w:rPr>
        <w:t>建议</w:t>
      </w:r>
    </w:p>
    <w:p w14:paraId="2DBB1E70">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default" w:ascii="宋体" w:hAnsi="宋体" w:eastAsia="宋体" w:cs="Times New Roman"/>
          <w:sz w:val="24"/>
          <w:szCs w:val="24"/>
          <w:lang w:val="en-US" w:eastAsia="zh-CN"/>
        </w:rPr>
      </w:pPr>
      <w:r>
        <w:rPr>
          <w:rFonts w:hint="eastAsia" w:ascii="宋体" w:hAnsi="宋体" w:eastAsia="宋体" w:cs="Times New Roman"/>
          <w:sz w:val="24"/>
          <w:szCs w:val="24"/>
        </w:rPr>
        <w:t>5.1技术赋能​</w:t>
      </w:r>
    </w:p>
    <w:p w14:paraId="56B741AF">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5.2主体协同​</w:t>
      </w:r>
    </w:p>
    <w:p w14:paraId="5872EB7D">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5.2.1</w:t>
      </w:r>
      <w:r>
        <w:rPr>
          <w:rFonts w:hint="eastAsia" w:ascii="宋体" w:hAnsi="宋体" w:eastAsia="宋体" w:cs="Times New Roman"/>
          <w:sz w:val="24"/>
          <w:szCs w:val="24"/>
        </w:rPr>
        <w:t>政府部门​</w:t>
      </w:r>
    </w:p>
    <w:p w14:paraId="25CC241E">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5.2.2</w:t>
      </w:r>
      <w:r>
        <w:rPr>
          <w:rFonts w:hint="eastAsia" w:ascii="宋体" w:hAnsi="宋体" w:eastAsia="宋体" w:cs="Times New Roman"/>
          <w:sz w:val="24"/>
          <w:szCs w:val="24"/>
        </w:rPr>
        <w:t>文旅企业​</w:t>
      </w:r>
    </w:p>
    <w:p w14:paraId="1B6E2A6C">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5.2.3</w:t>
      </w:r>
      <w:r>
        <w:rPr>
          <w:rFonts w:hint="eastAsia" w:ascii="宋体" w:hAnsi="宋体" w:eastAsia="宋体" w:cs="Times New Roman"/>
          <w:sz w:val="24"/>
          <w:szCs w:val="24"/>
        </w:rPr>
        <w:t>平台方​</w:t>
      </w:r>
    </w:p>
    <w:p w14:paraId="0EF375EB">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5.2.4</w:t>
      </w:r>
      <w:r>
        <w:rPr>
          <w:rFonts w:hint="eastAsia" w:ascii="宋体" w:hAnsi="宋体" w:eastAsia="宋体" w:cs="Times New Roman"/>
          <w:sz w:val="24"/>
          <w:szCs w:val="24"/>
        </w:rPr>
        <w:t>公众与媒体</w:t>
      </w:r>
    </w:p>
    <w:p w14:paraId="7ACD79BB">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5.3制度保障​</w:t>
      </w:r>
    </w:p>
    <w:p w14:paraId="37334137">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5.3.1建设</w:t>
      </w:r>
      <w:r>
        <w:rPr>
          <w:rFonts w:hint="eastAsia" w:ascii="宋体" w:hAnsi="宋体" w:eastAsia="宋体" w:cs="Times New Roman"/>
          <w:sz w:val="24"/>
          <w:szCs w:val="24"/>
        </w:rPr>
        <w:t>舆情应急预案标准化​</w:t>
      </w:r>
    </w:p>
    <w:p w14:paraId="41C0D4E6">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5.3.2完善</w:t>
      </w:r>
      <w:r>
        <w:rPr>
          <w:rFonts w:hint="eastAsia" w:ascii="宋体" w:hAnsi="宋体" w:eastAsia="宋体" w:cs="Times New Roman"/>
          <w:sz w:val="24"/>
          <w:szCs w:val="24"/>
        </w:rPr>
        <w:t>文旅文创产品舆情治理法规​</w:t>
      </w:r>
    </w:p>
    <w:p w14:paraId="5F8D6903">
      <w:pPr>
        <w:keepNext w:val="0"/>
        <w:keepLines w:val="0"/>
        <w:pageBreakBefore w:val="0"/>
        <w:widowControl w:val="0"/>
        <w:kinsoku/>
        <w:wordWrap/>
        <w:overflowPunct/>
        <w:topLinePunct w:val="0"/>
        <w:autoSpaceDE/>
        <w:autoSpaceDN/>
        <w:bidi w:val="0"/>
        <w:adjustRightInd/>
        <w:snapToGrid/>
        <w:spacing w:line="300" w:lineRule="auto"/>
        <w:ind w:firstLine="720" w:firstLineChars="300"/>
        <w:textAlignment w:val="auto"/>
        <w:rPr>
          <w:rFonts w:hint="eastAsia" w:ascii="宋体" w:hAnsi="宋体" w:eastAsia="宋体" w:cs="Times New Roman"/>
          <w:sz w:val="24"/>
          <w:szCs w:val="24"/>
        </w:rPr>
      </w:pPr>
      <w:r>
        <w:rPr>
          <w:rFonts w:hint="eastAsia" w:ascii="宋体" w:hAnsi="宋体" w:cs="Times New Roman"/>
          <w:sz w:val="24"/>
          <w:szCs w:val="24"/>
          <w:lang w:val="en-US" w:eastAsia="zh-CN"/>
        </w:rPr>
        <w:t>5.3.3构建</w:t>
      </w:r>
      <w:r>
        <w:rPr>
          <w:rFonts w:hint="eastAsia" w:ascii="宋体" w:hAnsi="宋体" w:eastAsia="宋体" w:cs="Times New Roman"/>
          <w:sz w:val="24"/>
          <w:szCs w:val="24"/>
        </w:rPr>
        <w:t>行业自律与信用评价体系</w:t>
      </w:r>
    </w:p>
    <w:p w14:paraId="0153D3D0">
      <w:pPr>
        <w:keepNext w:val="0"/>
        <w:keepLines w:val="0"/>
        <w:pageBreakBefore w:val="0"/>
        <w:widowControl w:val="0"/>
        <w:kinsoku/>
        <w:wordWrap/>
        <w:overflowPunct/>
        <w:topLinePunct w:val="0"/>
        <w:autoSpaceDE/>
        <w:autoSpaceDN/>
        <w:bidi w:val="0"/>
        <w:adjustRightInd/>
        <w:snapToGrid/>
        <w:spacing w:line="300" w:lineRule="auto"/>
        <w:ind w:firstLine="240" w:firstLineChars="100"/>
        <w:textAlignment w:val="auto"/>
        <w:rPr>
          <w:rFonts w:hint="eastAsia" w:ascii="宋体" w:hAnsi="宋体" w:eastAsia="宋体" w:cs="Times New Roman"/>
          <w:sz w:val="24"/>
          <w:szCs w:val="24"/>
        </w:rPr>
      </w:pPr>
      <w:r>
        <w:rPr>
          <w:rFonts w:hint="eastAsia" w:ascii="宋体" w:hAnsi="宋体" w:eastAsia="宋体" w:cs="Times New Roman"/>
          <w:sz w:val="24"/>
          <w:szCs w:val="24"/>
        </w:rPr>
        <w:t>5.4本章小结</w:t>
      </w:r>
    </w:p>
    <w:p w14:paraId="67101A7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Times New Roman"/>
          <w:sz w:val="24"/>
          <w:szCs w:val="24"/>
          <w:lang w:eastAsia="zh-CN"/>
        </w:rPr>
      </w:pPr>
      <w:r>
        <w:rPr>
          <w:rFonts w:hint="eastAsia" w:ascii="宋体" w:hAnsi="宋体" w:eastAsia="宋体" w:cs="Times New Roman"/>
          <w:sz w:val="24"/>
          <w:szCs w:val="24"/>
        </w:rPr>
        <w:t>6研究结论与展望</w:t>
      </w:r>
    </w:p>
    <w:p w14:paraId="004827D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华文楷体" w:hAnsi="华文楷体" w:eastAsia="华文楷体"/>
          <w:sz w:val="28"/>
          <w:szCs w:val="28"/>
        </w:rPr>
      </w:pPr>
      <w:r>
        <w:rPr>
          <w:rFonts w:hint="eastAsia" w:ascii="微软雅黑" w:hAnsi="微软雅黑" w:eastAsia="微软雅黑"/>
          <w:b/>
          <w:bCs/>
          <w:sz w:val="32"/>
        </w:rPr>
        <w:t>六、进度安排</w:t>
      </w:r>
      <w:r>
        <w:rPr>
          <w:rFonts w:hint="eastAsia" w:ascii="华文楷体" w:hAnsi="华文楷体" w:eastAsia="华文楷体"/>
          <w:sz w:val="28"/>
          <w:szCs w:val="28"/>
        </w:rPr>
        <w:t>（按照时间顺序，就研究的进度做出具体的规划）</w:t>
      </w:r>
    </w:p>
    <w:p w14:paraId="0736ECD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华文楷体" w:hAnsi="华文楷体" w:eastAsia="华文楷体"/>
          <w:sz w:val="28"/>
          <w:szCs w:val="28"/>
        </w:rPr>
      </w:pPr>
      <w:r>
        <w:rPr>
          <w:rFonts w:hint="eastAsia" w:ascii="华文楷体" w:hAnsi="华文楷体" w:eastAsia="华文楷体"/>
          <w:sz w:val="28"/>
          <w:szCs w:val="28"/>
        </w:rPr>
        <w:t xml:space="preserve">具体的时间安排如下： </w:t>
      </w:r>
    </w:p>
    <w:p w14:paraId="4969DC0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2025年</w:t>
      </w:r>
      <w:r>
        <w:rPr>
          <w:rFonts w:hint="eastAsia" w:ascii="宋体" w:hAnsi="宋体" w:cs="宋体"/>
          <w:sz w:val="24"/>
          <w:szCs w:val="24"/>
          <w:lang w:val="en-US" w:eastAsia="zh-CN"/>
        </w:rPr>
        <w:t>10</w:t>
      </w:r>
      <w:r>
        <w:rPr>
          <w:rFonts w:hint="eastAsia" w:ascii="宋体" w:hAnsi="宋体" w:eastAsia="宋体" w:cs="宋体"/>
          <w:sz w:val="24"/>
          <w:szCs w:val="24"/>
        </w:rPr>
        <w:t>月-202</w:t>
      </w:r>
      <w:r>
        <w:rPr>
          <w:rFonts w:hint="eastAsia" w:ascii="宋体" w:hAnsi="宋体" w:cs="宋体"/>
          <w:sz w:val="24"/>
          <w:szCs w:val="24"/>
          <w:lang w:val="en-US" w:eastAsia="zh-CN"/>
        </w:rPr>
        <w:t>6</w:t>
      </w:r>
      <w:r>
        <w:rPr>
          <w:rFonts w:hint="eastAsia" w:ascii="宋体" w:hAnsi="宋体" w:eastAsia="宋体" w:cs="宋体"/>
          <w:sz w:val="24"/>
          <w:szCs w:val="24"/>
        </w:rPr>
        <w:t>年</w:t>
      </w:r>
      <w:r>
        <w:rPr>
          <w:rFonts w:hint="eastAsia" w:ascii="宋体" w:hAnsi="宋体" w:cs="宋体"/>
          <w:sz w:val="24"/>
          <w:szCs w:val="24"/>
          <w:lang w:val="en-US" w:eastAsia="zh-CN"/>
        </w:rPr>
        <w:t>1</w:t>
      </w:r>
      <w:r>
        <w:rPr>
          <w:rFonts w:hint="eastAsia" w:ascii="宋体" w:hAnsi="宋体" w:eastAsia="宋体" w:cs="宋体"/>
          <w:sz w:val="24"/>
          <w:szCs w:val="24"/>
        </w:rPr>
        <w:t>月</w:t>
      </w:r>
      <w:r>
        <w:rPr>
          <w:rFonts w:hint="eastAsia" w:ascii="宋体" w:hAnsi="宋体" w:cs="宋体"/>
          <w:sz w:val="24"/>
          <w:szCs w:val="24"/>
          <w:lang w:eastAsia="zh-CN"/>
        </w:rPr>
        <w:t>：</w:t>
      </w:r>
      <w:r>
        <w:rPr>
          <w:rFonts w:hint="eastAsia" w:ascii="宋体" w:hAnsi="宋体" w:cs="宋体"/>
          <w:sz w:val="24"/>
          <w:szCs w:val="24"/>
          <w:lang w:val="en-US" w:eastAsia="zh-CN"/>
        </w:rPr>
        <w:t>确定选题，广泛调研领域研究现状，撰写文献综述，明确研究问题、目标与方法，完成开题报告</w:t>
      </w:r>
      <w:r>
        <w:rPr>
          <w:rFonts w:hint="eastAsia" w:ascii="宋体" w:hAnsi="宋体" w:eastAsia="宋体" w:cs="宋体"/>
          <w:sz w:val="24"/>
          <w:szCs w:val="24"/>
        </w:rPr>
        <w:t>；</w:t>
      </w:r>
    </w:p>
    <w:p w14:paraId="62D3F1D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2026年1月-2026年</w:t>
      </w:r>
      <w:r>
        <w:rPr>
          <w:rFonts w:hint="eastAsia" w:ascii="宋体" w:hAnsi="宋体" w:cs="宋体"/>
          <w:sz w:val="24"/>
          <w:szCs w:val="24"/>
          <w:lang w:val="en-US" w:eastAsia="zh-CN"/>
        </w:rPr>
        <w:t>6</w:t>
      </w:r>
      <w:r>
        <w:rPr>
          <w:rFonts w:hint="eastAsia" w:ascii="宋体" w:hAnsi="宋体" w:eastAsia="宋体" w:cs="宋体"/>
          <w:sz w:val="24"/>
          <w:szCs w:val="24"/>
        </w:rPr>
        <w:t>月</w:t>
      </w:r>
      <w:r>
        <w:rPr>
          <w:rFonts w:hint="eastAsia" w:ascii="宋体" w:hAnsi="宋体" w:cs="宋体"/>
          <w:sz w:val="24"/>
          <w:szCs w:val="24"/>
          <w:lang w:eastAsia="zh-CN"/>
        </w:rPr>
        <w:t>：</w:t>
      </w:r>
      <w:r>
        <w:rPr>
          <w:rFonts w:hint="eastAsia" w:ascii="宋体" w:hAnsi="宋体" w:cs="宋体"/>
          <w:sz w:val="24"/>
          <w:szCs w:val="24"/>
          <w:lang w:val="en-US" w:eastAsia="zh-CN"/>
        </w:rPr>
        <w:t>开展预调研，优化研究方案，深入阅读文献，构建论文理论框架，开始部分章节的撰写</w:t>
      </w:r>
      <w:r>
        <w:rPr>
          <w:rFonts w:hint="eastAsia" w:ascii="宋体" w:hAnsi="宋体" w:eastAsia="宋体" w:cs="宋体"/>
          <w:sz w:val="24"/>
          <w:szCs w:val="24"/>
        </w:rPr>
        <w:t>；</w:t>
      </w:r>
    </w:p>
    <w:p w14:paraId="46F290E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2026年</w:t>
      </w:r>
      <w:r>
        <w:rPr>
          <w:rFonts w:hint="eastAsia" w:ascii="宋体" w:hAnsi="宋体" w:cs="宋体"/>
          <w:sz w:val="24"/>
          <w:szCs w:val="24"/>
          <w:lang w:val="en-US" w:eastAsia="zh-CN"/>
        </w:rPr>
        <w:t>6</w:t>
      </w:r>
      <w:r>
        <w:rPr>
          <w:rFonts w:hint="eastAsia" w:ascii="宋体" w:hAnsi="宋体" w:eastAsia="宋体" w:cs="宋体"/>
          <w:sz w:val="24"/>
          <w:szCs w:val="24"/>
        </w:rPr>
        <w:t>月-2026年</w:t>
      </w:r>
      <w:r>
        <w:rPr>
          <w:rFonts w:hint="eastAsia" w:ascii="宋体" w:hAnsi="宋体" w:cs="宋体"/>
          <w:sz w:val="24"/>
          <w:szCs w:val="24"/>
          <w:lang w:val="en-US" w:eastAsia="zh-CN"/>
        </w:rPr>
        <w:t>10</w:t>
      </w:r>
      <w:r>
        <w:rPr>
          <w:rFonts w:hint="eastAsia" w:ascii="宋体" w:hAnsi="宋体" w:eastAsia="宋体" w:cs="宋体"/>
          <w:sz w:val="24"/>
          <w:szCs w:val="24"/>
        </w:rPr>
        <w:t>月</w:t>
      </w:r>
      <w:r>
        <w:rPr>
          <w:rFonts w:hint="eastAsia" w:ascii="宋体" w:hAnsi="宋体" w:cs="宋体"/>
          <w:sz w:val="24"/>
          <w:szCs w:val="24"/>
          <w:lang w:eastAsia="zh-CN"/>
        </w:rPr>
        <w:t>：进行相关网络舆情事件数据的爬取和分析，</w:t>
      </w:r>
      <w:r>
        <w:rPr>
          <w:rFonts w:hint="eastAsia" w:ascii="宋体" w:hAnsi="宋体" w:cs="宋体"/>
          <w:sz w:val="24"/>
          <w:szCs w:val="24"/>
          <w:lang w:val="en-US" w:eastAsia="zh-CN"/>
        </w:rPr>
        <w:t>进行文创</w:t>
      </w:r>
      <w:r>
        <w:rPr>
          <w:rFonts w:hint="eastAsia" w:ascii="宋体" w:hAnsi="宋体" w:eastAsia="宋体" w:cs="宋体"/>
          <w:sz w:val="24"/>
          <w:szCs w:val="24"/>
        </w:rPr>
        <w:t>舆情风险评估体系</w:t>
      </w:r>
      <w:r>
        <w:rPr>
          <w:rFonts w:hint="eastAsia" w:ascii="宋体" w:hAnsi="宋体" w:cs="宋体"/>
          <w:sz w:val="24"/>
          <w:szCs w:val="24"/>
          <w:lang w:val="en-US" w:eastAsia="zh-CN"/>
        </w:rPr>
        <w:t>的</w:t>
      </w:r>
      <w:r>
        <w:rPr>
          <w:rFonts w:hint="eastAsia" w:ascii="宋体" w:hAnsi="宋体" w:eastAsia="宋体" w:cs="宋体"/>
          <w:sz w:val="24"/>
          <w:szCs w:val="24"/>
        </w:rPr>
        <w:t>构建</w:t>
      </w:r>
      <w:r>
        <w:rPr>
          <w:rFonts w:hint="eastAsia" w:ascii="宋体" w:hAnsi="宋体" w:cs="宋体"/>
          <w:sz w:val="24"/>
          <w:szCs w:val="24"/>
          <w:lang w:val="en-US" w:eastAsia="zh-CN"/>
        </w:rPr>
        <w:t>与验证，完成中期报告</w:t>
      </w:r>
      <w:r>
        <w:rPr>
          <w:rFonts w:hint="eastAsia" w:ascii="宋体" w:hAnsi="宋体" w:eastAsia="宋体" w:cs="宋体"/>
          <w:sz w:val="24"/>
          <w:szCs w:val="24"/>
        </w:rPr>
        <w:t>；</w:t>
      </w:r>
    </w:p>
    <w:p w14:paraId="2F7108D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2026年</w:t>
      </w:r>
      <w:r>
        <w:rPr>
          <w:rFonts w:hint="eastAsia" w:ascii="宋体" w:hAnsi="宋体" w:cs="宋体"/>
          <w:sz w:val="24"/>
          <w:szCs w:val="24"/>
          <w:lang w:val="en-US" w:eastAsia="zh-CN"/>
        </w:rPr>
        <w:t>10</w:t>
      </w:r>
      <w:r>
        <w:rPr>
          <w:rFonts w:hint="eastAsia" w:ascii="宋体" w:hAnsi="宋体" w:eastAsia="宋体" w:cs="宋体"/>
          <w:sz w:val="24"/>
          <w:szCs w:val="24"/>
        </w:rPr>
        <w:t>月-202</w:t>
      </w:r>
      <w:r>
        <w:rPr>
          <w:rFonts w:hint="eastAsia" w:ascii="宋体" w:hAnsi="宋体" w:cs="宋体"/>
          <w:sz w:val="24"/>
          <w:szCs w:val="24"/>
          <w:lang w:val="en-US" w:eastAsia="zh-CN"/>
        </w:rPr>
        <w:t>7</w:t>
      </w:r>
      <w:r>
        <w:rPr>
          <w:rFonts w:hint="eastAsia" w:ascii="宋体" w:hAnsi="宋体" w:eastAsia="宋体" w:cs="宋体"/>
          <w:sz w:val="24"/>
          <w:szCs w:val="24"/>
        </w:rPr>
        <w:t>年</w:t>
      </w:r>
      <w:r>
        <w:rPr>
          <w:rFonts w:hint="eastAsia" w:ascii="宋体" w:hAnsi="宋体" w:cs="宋体"/>
          <w:sz w:val="24"/>
          <w:szCs w:val="24"/>
          <w:lang w:val="en-US" w:eastAsia="zh-CN"/>
        </w:rPr>
        <w:t>1</w:t>
      </w:r>
      <w:r>
        <w:rPr>
          <w:rFonts w:hint="eastAsia" w:ascii="宋体" w:hAnsi="宋体" w:eastAsia="宋体" w:cs="宋体"/>
          <w:sz w:val="24"/>
          <w:szCs w:val="24"/>
        </w:rPr>
        <w:t>月</w:t>
      </w:r>
      <w:r>
        <w:rPr>
          <w:rFonts w:hint="eastAsia" w:ascii="宋体" w:hAnsi="宋体" w:cs="宋体"/>
          <w:sz w:val="24"/>
          <w:szCs w:val="24"/>
          <w:lang w:eastAsia="zh-CN"/>
        </w:rPr>
        <w:t>：</w:t>
      </w:r>
      <w:r>
        <w:rPr>
          <w:rFonts w:hint="eastAsia" w:ascii="宋体" w:hAnsi="宋体" w:cs="宋体"/>
          <w:sz w:val="24"/>
          <w:szCs w:val="24"/>
          <w:lang w:val="en-US" w:eastAsia="zh-CN"/>
        </w:rPr>
        <w:t>结合中期意见，完成全部数据处理与分析，撰写论文主体内容，完成论文初稿</w:t>
      </w:r>
      <w:r>
        <w:rPr>
          <w:rFonts w:hint="eastAsia" w:ascii="宋体" w:hAnsi="宋体" w:eastAsia="宋体" w:cs="宋体"/>
          <w:sz w:val="24"/>
          <w:szCs w:val="24"/>
        </w:rPr>
        <w:t>；</w:t>
      </w:r>
    </w:p>
    <w:p w14:paraId="58AEA7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7</w:t>
      </w:r>
      <w:r>
        <w:rPr>
          <w:rFonts w:hint="eastAsia" w:ascii="宋体" w:hAnsi="宋体" w:eastAsia="宋体" w:cs="宋体"/>
          <w:sz w:val="24"/>
          <w:szCs w:val="24"/>
        </w:rPr>
        <w:t>年</w:t>
      </w:r>
      <w:r>
        <w:rPr>
          <w:rFonts w:hint="eastAsia" w:ascii="宋体" w:hAnsi="宋体" w:cs="宋体"/>
          <w:sz w:val="24"/>
          <w:szCs w:val="24"/>
          <w:lang w:val="en-US" w:eastAsia="zh-CN"/>
        </w:rPr>
        <w:t>1</w:t>
      </w:r>
      <w:r>
        <w:rPr>
          <w:rFonts w:hint="eastAsia" w:ascii="宋体" w:hAnsi="宋体" w:eastAsia="宋体" w:cs="宋体"/>
          <w:sz w:val="24"/>
          <w:szCs w:val="24"/>
        </w:rPr>
        <w:t>月-202</w:t>
      </w:r>
      <w:r>
        <w:rPr>
          <w:rFonts w:hint="eastAsia" w:ascii="宋体" w:hAnsi="宋体" w:cs="宋体"/>
          <w:sz w:val="24"/>
          <w:szCs w:val="24"/>
          <w:lang w:val="en-US" w:eastAsia="zh-CN"/>
        </w:rPr>
        <w:t>7</w:t>
      </w:r>
      <w:r>
        <w:rPr>
          <w:rFonts w:hint="eastAsia" w:ascii="宋体" w:hAnsi="宋体" w:eastAsia="宋体" w:cs="宋体"/>
          <w:sz w:val="24"/>
          <w:szCs w:val="24"/>
        </w:rPr>
        <w:t>年</w:t>
      </w:r>
      <w:r>
        <w:rPr>
          <w:rFonts w:hint="eastAsia" w:ascii="宋体" w:hAnsi="宋体" w:cs="宋体"/>
          <w:sz w:val="24"/>
          <w:szCs w:val="24"/>
          <w:lang w:val="en-US" w:eastAsia="zh-CN"/>
        </w:rPr>
        <w:t>3</w:t>
      </w:r>
      <w:r>
        <w:rPr>
          <w:rFonts w:hint="eastAsia" w:ascii="宋体" w:hAnsi="宋体" w:eastAsia="宋体" w:cs="宋体"/>
          <w:sz w:val="24"/>
          <w:szCs w:val="24"/>
        </w:rPr>
        <w:t>月</w:t>
      </w:r>
      <w:r>
        <w:rPr>
          <w:rFonts w:hint="eastAsia" w:ascii="宋体" w:hAnsi="宋体" w:cs="宋体"/>
          <w:sz w:val="24"/>
          <w:szCs w:val="24"/>
          <w:lang w:eastAsia="zh-CN"/>
        </w:rPr>
        <w:t>：</w:t>
      </w:r>
      <w:r>
        <w:rPr>
          <w:rFonts w:hint="eastAsia" w:ascii="宋体" w:hAnsi="宋体" w:cs="宋体"/>
          <w:sz w:val="24"/>
          <w:szCs w:val="24"/>
          <w:lang w:val="en-US" w:eastAsia="zh-CN"/>
        </w:rPr>
        <w:t>依据导师及同行意见，修改完善论文，补充必要分析，完成论文终稿</w:t>
      </w:r>
      <w:r>
        <w:rPr>
          <w:rFonts w:hint="eastAsia" w:ascii="宋体" w:hAnsi="宋体" w:eastAsia="宋体" w:cs="宋体"/>
          <w:sz w:val="24"/>
          <w:szCs w:val="24"/>
        </w:rPr>
        <w:t>；</w:t>
      </w:r>
    </w:p>
    <w:p w14:paraId="156C838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7</w:t>
      </w:r>
      <w:r>
        <w:rPr>
          <w:rFonts w:hint="eastAsia" w:ascii="宋体" w:hAnsi="宋体" w:eastAsia="宋体" w:cs="宋体"/>
          <w:sz w:val="24"/>
          <w:szCs w:val="24"/>
        </w:rPr>
        <w:t>年</w:t>
      </w:r>
      <w:r>
        <w:rPr>
          <w:rFonts w:hint="eastAsia" w:ascii="宋体" w:hAnsi="宋体" w:cs="宋体"/>
          <w:sz w:val="24"/>
          <w:szCs w:val="24"/>
          <w:lang w:val="en-US" w:eastAsia="zh-CN"/>
        </w:rPr>
        <w:t>3</w:t>
      </w:r>
      <w:r>
        <w:rPr>
          <w:rFonts w:hint="eastAsia" w:ascii="宋体" w:hAnsi="宋体" w:eastAsia="宋体" w:cs="宋体"/>
          <w:sz w:val="24"/>
          <w:szCs w:val="24"/>
        </w:rPr>
        <w:t>月-2027年</w:t>
      </w:r>
      <w:r>
        <w:rPr>
          <w:rFonts w:hint="eastAsia" w:ascii="宋体" w:hAnsi="宋体" w:cs="宋体"/>
          <w:sz w:val="24"/>
          <w:szCs w:val="24"/>
          <w:lang w:val="en-US" w:eastAsia="zh-CN"/>
        </w:rPr>
        <w:t>5</w:t>
      </w:r>
      <w:r>
        <w:rPr>
          <w:rFonts w:hint="eastAsia" w:ascii="宋体" w:hAnsi="宋体" w:eastAsia="宋体" w:cs="宋体"/>
          <w:sz w:val="24"/>
          <w:szCs w:val="24"/>
        </w:rPr>
        <w:t>月</w:t>
      </w:r>
      <w:r>
        <w:rPr>
          <w:rFonts w:hint="eastAsia" w:ascii="宋体" w:hAnsi="宋体" w:cs="宋体"/>
          <w:sz w:val="24"/>
          <w:szCs w:val="24"/>
          <w:lang w:eastAsia="zh-CN"/>
        </w:rPr>
        <w:t>：</w:t>
      </w:r>
      <w:r>
        <w:rPr>
          <w:rFonts w:hint="eastAsia" w:ascii="宋体" w:hAnsi="宋体" w:cs="宋体"/>
          <w:sz w:val="24"/>
          <w:szCs w:val="24"/>
          <w:lang w:val="en-US" w:eastAsia="zh-CN"/>
        </w:rPr>
        <w:t>继续完善论文，准备答辩</w:t>
      </w:r>
      <w:r>
        <w:rPr>
          <w:rFonts w:hint="eastAsia" w:ascii="宋体" w:hAnsi="宋体" w:eastAsia="宋体" w:cs="宋体"/>
          <w:sz w:val="24"/>
          <w:szCs w:val="24"/>
        </w:rPr>
        <w:t>。</w:t>
      </w:r>
    </w:p>
    <w:p w14:paraId="4CA1BDED">
      <w:pPr>
        <w:keepNext w:val="0"/>
        <w:keepLines w:val="0"/>
        <w:pageBreakBefore/>
        <w:widowControl w:val="0"/>
        <w:kinsoku/>
        <w:wordWrap/>
        <w:overflowPunct/>
        <w:topLinePunct w:val="0"/>
        <w:autoSpaceDE/>
        <w:autoSpaceDN/>
        <w:bidi w:val="0"/>
        <w:adjustRightInd/>
        <w:snapToGrid/>
        <w:spacing w:line="300" w:lineRule="auto"/>
        <w:textAlignment w:val="auto"/>
        <w:rPr>
          <w:rFonts w:hint="eastAsia" w:ascii="微软雅黑" w:hAnsi="微软雅黑" w:eastAsia="微软雅黑"/>
          <w:b/>
          <w:bCs/>
          <w:sz w:val="32"/>
        </w:rPr>
      </w:pPr>
      <w:r>
        <w:rPr>
          <w:rFonts w:hint="eastAsia" w:ascii="微软雅黑" w:hAnsi="微软雅黑" w:eastAsia="微软雅黑"/>
          <w:b/>
          <w:bCs/>
          <w:sz w:val="32"/>
        </w:rPr>
        <w:t>七、参考文献</w:t>
      </w:r>
    </w:p>
    <w:p w14:paraId="21EA28ED">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0" w:name="_Ref18619"/>
      <w:r>
        <w:rPr>
          <w:rFonts w:hint="default" w:ascii="Times New Roman" w:hAnsi="Times New Roman" w:cs="Times New Roman"/>
          <w:color w:val="auto"/>
          <w:sz w:val="24"/>
          <w:szCs w:val="24"/>
          <w:lang w:val="en-US" w:eastAsia="zh-CN"/>
        </w:rPr>
        <w:t xml:space="preserve">Sai V V K ,L. Y ,Srivatsan H , et al. Sentiment analysis of twitter data to detect and predict political leniency using natural language processing [J]. Journal of Intelligent Information Systems, 2024, 62 (3): 765-785. </w:t>
      </w:r>
      <w:bookmarkEnd w:id="0"/>
    </w:p>
    <w:p w14:paraId="29099015">
      <w:pPr>
        <w:numPr>
          <w:ilvl w:val="0"/>
          <w:numId w:val="5"/>
        </w:numPr>
        <w:ind w:left="425" w:leftChars="0" w:hanging="425" w:firstLineChars="0"/>
        <w:rPr>
          <w:rFonts w:hint="default" w:ascii="Times New Roman" w:hAnsi="Times New Roman" w:cs="Times New Roman"/>
          <w:color w:val="auto"/>
          <w:sz w:val="24"/>
          <w:szCs w:val="24"/>
        </w:rPr>
      </w:pPr>
      <w:bookmarkStart w:id="1" w:name="_Ref19056"/>
      <w:r>
        <w:rPr>
          <w:rFonts w:hint="default" w:ascii="Times New Roman" w:hAnsi="Times New Roman" w:cs="Times New Roman"/>
          <w:color w:val="auto"/>
          <w:sz w:val="24"/>
          <w:szCs w:val="24"/>
          <w:lang w:val="en-US" w:eastAsia="zh-CN"/>
        </w:rPr>
        <w:t xml:space="preserve">Ruz A G ,Henríquez A P ,Mascareño A . Sentiment analysis of Twitter data during critical events through Bayesian networks classifiers [J]. Future Generation Computer Systems, 2020, 106 92-104. </w:t>
      </w:r>
      <w:bookmarkEnd w:id="1"/>
    </w:p>
    <w:p w14:paraId="2F4292FA">
      <w:pPr>
        <w:numPr>
          <w:ilvl w:val="0"/>
          <w:numId w:val="5"/>
        </w:numPr>
        <w:ind w:left="425" w:leftChars="0" w:hanging="425" w:firstLineChars="0"/>
        <w:rPr>
          <w:rFonts w:hint="default" w:ascii="Times New Roman" w:hAnsi="Times New Roman" w:cs="Times New Roman"/>
          <w:color w:val="auto"/>
          <w:sz w:val="24"/>
          <w:szCs w:val="24"/>
        </w:rPr>
      </w:pPr>
      <w:bookmarkStart w:id="2" w:name="_Ref19219"/>
      <w:r>
        <w:rPr>
          <w:rFonts w:hint="default" w:ascii="Times New Roman" w:hAnsi="Times New Roman" w:cs="Times New Roman"/>
          <w:color w:val="auto"/>
          <w:sz w:val="24"/>
          <w:szCs w:val="24"/>
        </w:rPr>
        <w:t>Thelwall, M，Buckley, K，Paltoglou, G. Sentiment Strength Detection for the Social Web[J]．Journal of the American Society for Information Science and Technology，2012，63（1）：163-173.</w:t>
      </w:r>
      <w:bookmarkEnd w:id="2"/>
    </w:p>
    <w:p w14:paraId="0FBDE2DE">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3" w:name="_Ref19278"/>
      <w:r>
        <w:rPr>
          <w:rFonts w:hint="default" w:ascii="Times New Roman" w:hAnsi="Times New Roman" w:cs="Times New Roman"/>
          <w:color w:val="auto"/>
          <w:sz w:val="24"/>
          <w:szCs w:val="24"/>
          <w:lang w:val="en-US" w:eastAsia="zh-CN"/>
        </w:rPr>
        <w:t>Ahmed S ,Hina S ,Asif R . Detection of Sentiment Polarity of Unstructured Multi-Language Text from Social Media [J]. International Journal of Advanced Computer Science and Applications (IJACSA), 2018, 9 (7):</w:t>
      </w:r>
      <w:bookmarkEnd w:id="3"/>
    </w:p>
    <w:p w14:paraId="76F15F8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4" w:name="_Ref19360"/>
      <w:r>
        <w:rPr>
          <w:rFonts w:hint="default" w:ascii="Times New Roman" w:hAnsi="Times New Roman" w:cs="Times New Roman"/>
          <w:color w:val="auto"/>
          <w:sz w:val="24"/>
          <w:szCs w:val="24"/>
          <w:lang w:val="en-US" w:eastAsia="zh-CN"/>
        </w:rPr>
        <w:t>Kim Y . Convolutional Neural Networks for Sentence Classification. [J]. CoRR, 2014, abs/1408.5882</w:t>
      </w:r>
      <w:bookmarkEnd w:id="4"/>
    </w:p>
    <w:p w14:paraId="7EA938F3">
      <w:pPr>
        <w:numPr>
          <w:ilvl w:val="0"/>
          <w:numId w:val="5"/>
        </w:numPr>
        <w:ind w:left="425" w:leftChars="0" w:hanging="425" w:firstLineChars="0"/>
        <w:rPr>
          <w:rFonts w:hint="default" w:ascii="Times New Roman" w:hAnsi="Times New Roman" w:cs="Times New Roman"/>
          <w:color w:val="auto"/>
          <w:sz w:val="24"/>
          <w:szCs w:val="24"/>
        </w:rPr>
      </w:pPr>
      <w:bookmarkStart w:id="5" w:name="_Ref19406"/>
      <w:r>
        <w:rPr>
          <w:rFonts w:hint="default" w:ascii="Times New Roman" w:hAnsi="Times New Roman" w:cs="Times New Roman"/>
          <w:color w:val="auto"/>
          <w:sz w:val="24"/>
          <w:szCs w:val="24"/>
        </w:rPr>
        <w:t>Elman J L. Finding Structure in Time[J]. Cognitive Science，1990，14（2）：179-211</w:t>
      </w:r>
      <w:bookmarkEnd w:id="5"/>
    </w:p>
    <w:p w14:paraId="2DDE6616">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6" w:name="_Ref19461"/>
      <w:r>
        <w:rPr>
          <w:rFonts w:hint="default" w:ascii="Times New Roman" w:hAnsi="Times New Roman" w:cs="Times New Roman"/>
          <w:color w:val="auto"/>
          <w:sz w:val="24"/>
          <w:szCs w:val="24"/>
          <w:lang w:val="en-US" w:eastAsia="zh-CN"/>
        </w:rPr>
        <w:t>Li Q ,Jin Z ,Wang C , et al. Mining opinion summarizations using convolutional neural networks in Chinese microblogging systems [J]. Knowledge-Based Systems, 2016, 107 289-300.</w:t>
      </w:r>
      <w:bookmarkEnd w:id="6"/>
    </w:p>
    <w:p w14:paraId="5B2EC732">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 w:name="_Ref19654"/>
      <w:r>
        <w:rPr>
          <w:rFonts w:hint="eastAsia" w:cs="Times New Roman"/>
          <w:color w:val="auto"/>
          <w:sz w:val="24"/>
          <w:szCs w:val="24"/>
          <w:lang w:val="en-US" w:eastAsia="zh-CN"/>
        </w:rPr>
        <w:t>Peters M E，Neumann M，Iyyer M，et al. Deep contextualized word representations[C]. Proceedings of NAACLHLT，Los Angeles，USA，2018.</w:t>
      </w:r>
      <w:bookmarkEnd w:id="7"/>
    </w:p>
    <w:p w14:paraId="7DC4EF8D">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 w:name="_Ref19712"/>
      <w:r>
        <w:rPr>
          <w:rFonts w:hint="eastAsia" w:cs="Times New Roman"/>
          <w:color w:val="auto"/>
          <w:sz w:val="24"/>
          <w:szCs w:val="24"/>
          <w:lang w:val="en-US" w:eastAsia="zh-CN"/>
        </w:rPr>
        <w:t>Li H，Zhang L. Deep Learning based Text Sentiment Analysis During Epidemic[J]. International Core Journal of Engineering，2021，7（）07.；467-472.</w:t>
      </w:r>
      <w:bookmarkEnd w:id="8"/>
    </w:p>
    <w:p w14:paraId="68E702C9">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9" w:name="_Ref19856"/>
      <w:r>
        <w:rPr>
          <w:rFonts w:hint="default" w:ascii="Times New Roman" w:hAnsi="Times New Roman" w:cs="Times New Roman"/>
          <w:color w:val="auto"/>
          <w:sz w:val="24"/>
          <w:szCs w:val="24"/>
          <w:lang w:val="en-US" w:eastAsia="zh-CN"/>
        </w:rPr>
        <w:t>Murzakhmetov A ,Satymbekov M ,Bapanov A , et al. Sentiment Analysis of Tourist Reviews About Kazakhstan Using a Hybrid Stacking Ensemble Approach [J]. Computation, 2025, 13 (10): 240-240.</w:t>
      </w:r>
      <w:bookmarkEnd w:id="9"/>
    </w:p>
    <w:p w14:paraId="0C584AA7">
      <w:pPr>
        <w:numPr>
          <w:ilvl w:val="0"/>
          <w:numId w:val="5"/>
        </w:numPr>
        <w:ind w:left="425" w:leftChars="0" w:hanging="425" w:firstLineChars="0"/>
        <w:rPr>
          <w:rFonts w:hint="default" w:ascii="Times New Roman" w:hAnsi="Times New Roman" w:cs="Times New Roman"/>
          <w:color w:val="auto"/>
          <w:sz w:val="24"/>
          <w:szCs w:val="24"/>
        </w:rPr>
      </w:pPr>
      <w:bookmarkStart w:id="10" w:name="_Ref19954"/>
      <w:r>
        <w:rPr>
          <w:rFonts w:hint="default" w:ascii="Times New Roman" w:hAnsi="Times New Roman" w:cs="Times New Roman"/>
          <w:color w:val="auto"/>
          <w:sz w:val="24"/>
          <w:szCs w:val="24"/>
        </w:rPr>
        <w:t>Castells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M．Networks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Outrage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Hope：Social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Movements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Internet</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Age[J]．Polity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Press，2015，17（2）：276-282．</w:t>
      </w:r>
      <w:bookmarkEnd w:id="10"/>
    </w:p>
    <w:p w14:paraId="1F02956F">
      <w:pPr>
        <w:numPr>
          <w:ilvl w:val="0"/>
          <w:numId w:val="5"/>
        </w:numPr>
        <w:ind w:left="425" w:leftChars="0" w:hanging="425" w:firstLineChars="0"/>
        <w:rPr>
          <w:rFonts w:hint="default" w:ascii="Times New Roman" w:hAnsi="Times New Roman" w:cs="Times New Roman"/>
          <w:color w:val="auto"/>
          <w:sz w:val="24"/>
          <w:szCs w:val="24"/>
        </w:rPr>
      </w:pPr>
      <w:bookmarkStart w:id="11" w:name="_Ref20006"/>
      <w:r>
        <w:rPr>
          <w:rFonts w:hint="default" w:ascii="Times New Roman" w:hAnsi="Times New Roman" w:cs="Times New Roman"/>
          <w:color w:val="auto"/>
          <w:sz w:val="24"/>
          <w:szCs w:val="24"/>
        </w:rPr>
        <w:t>Mulder</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KF．The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dynamics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public</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opinion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nuclear</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power．Interpreting</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experiment</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Netherlands[J]．Technological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Forecasting</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Social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Change，2012，79（15）：13-24．</w:t>
      </w:r>
      <w:bookmarkEnd w:id="11"/>
    </w:p>
    <w:p w14:paraId="61C765F3">
      <w:pPr>
        <w:numPr>
          <w:ilvl w:val="0"/>
          <w:numId w:val="5"/>
        </w:numPr>
        <w:ind w:left="425" w:leftChars="0" w:hanging="425" w:firstLineChars="0"/>
        <w:rPr>
          <w:rFonts w:hint="default" w:ascii="Times New Roman" w:hAnsi="Times New Roman" w:cs="Times New Roman"/>
          <w:color w:val="auto"/>
          <w:sz w:val="24"/>
          <w:szCs w:val="24"/>
        </w:rPr>
      </w:pPr>
      <w:bookmarkStart w:id="12" w:name="_Ref20062"/>
      <w:r>
        <w:rPr>
          <w:rFonts w:hint="default" w:ascii="Times New Roman" w:hAnsi="Times New Roman" w:cs="Times New Roman"/>
          <w:color w:val="auto"/>
          <w:sz w:val="24"/>
          <w:szCs w:val="24"/>
        </w:rPr>
        <w:t>Tufekci</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Z．Twitter</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Tear</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Gas：The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Power</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Fragility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Networked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Protest[M]．Yale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University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Press，2017．</w:t>
      </w:r>
      <w:bookmarkEnd w:id="12"/>
    </w:p>
    <w:p w14:paraId="06EC75E9">
      <w:pPr>
        <w:numPr>
          <w:ilvl w:val="0"/>
          <w:numId w:val="5"/>
        </w:numPr>
        <w:ind w:left="425" w:leftChars="0" w:hanging="425" w:firstLineChars="0"/>
        <w:rPr>
          <w:rFonts w:hint="default" w:ascii="Times New Roman" w:hAnsi="Times New Roman" w:cs="Times New Roman"/>
          <w:color w:val="auto"/>
          <w:sz w:val="24"/>
          <w:szCs w:val="24"/>
        </w:rPr>
      </w:pPr>
      <w:bookmarkStart w:id="13" w:name="_Ref20117"/>
      <w:r>
        <w:rPr>
          <w:rFonts w:hint="default" w:ascii="Times New Roman" w:hAnsi="Times New Roman" w:cs="Times New Roman"/>
          <w:color w:val="auto"/>
          <w:sz w:val="24"/>
          <w:szCs w:val="24"/>
        </w:rPr>
        <w:t>Bennett</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WL，Segerberg</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Logic</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Connective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Action：Digital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Media</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Personalization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Contentious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Politics[J]．Cambridge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University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Press，2013，15（01）：739-768．</w:t>
      </w:r>
      <w:bookmarkEnd w:id="13"/>
    </w:p>
    <w:p w14:paraId="49F56229">
      <w:pPr>
        <w:numPr>
          <w:ilvl w:val="0"/>
          <w:numId w:val="5"/>
        </w:numPr>
        <w:ind w:left="425" w:leftChars="0" w:hanging="425" w:firstLineChars="0"/>
        <w:rPr>
          <w:rFonts w:hint="default" w:ascii="Times New Roman" w:hAnsi="Times New Roman" w:cs="Times New Roman"/>
          <w:color w:val="auto"/>
          <w:sz w:val="24"/>
          <w:szCs w:val="24"/>
        </w:rPr>
      </w:pPr>
      <w:bookmarkStart w:id="14" w:name="_Ref20212"/>
      <w:r>
        <w:rPr>
          <w:rFonts w:hint="default" w:ascii="Times New Roman" w:hAnsi="Times New Roman" w:cs="Times New Roman"/>
          <w:color w:val="auto"/>
          <w:sz w:val="24"/>
          <w:szCs w:val="24"/>
        </w:rPr>
        <w:t>Chadwick</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Hybrid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Media</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System：Politics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Power[J]．OxfordUniversityPress，2014，92（04）：1110-1112．</w:t>
      </w:r>
      <w:bookmarkEnd w:id="14"/>
    </w:p>
    <w:p w14:paraId="5790B7E9">
      <w:pPr>
        <w:numPr>
          <w:ilvl w:val="0"/>
          <w:numId w:val="5"/>
        </w:numPr>
        <w:ind w:left="425" w:leftChars="0" w:hanging="425" w:firstLineChars="0"/>
        <w:rPr>
          <w:rFonts w:hint="default" w:ascii="Times New Roman" w:hAnsi="Times New Roman" w:cs="Times New Roman"/>
          <w:color w:val="auto"/>
          <w:sz w:val="24"/>
          <w:szCs w:val="24"/>
        </w:rPr>
      </w:pPr>
      <w:bookmarkStart w:id="15" w:name="_Ref20767"/>
      <w:r>
        <w:rPr>
          <w:rFonts w:hint="default" w:ascii="Times New Roman" w:hAnsi="Times New Roman" w:cs="Times New Roman"/>
          <w:color w:val="auto"/>
          <w:sz w:val="24"/>
          <w:szCs w:val="24"/>
        </w:rPr>
        <w:t>Delcea</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C，Cotfas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LA．Advancements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Grey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Systems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Theory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Economics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Social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Sciences[M]．Singapore：Springer，2023．</w:t>
      </w:r>
      <w:bookmarkEnd w:id="15"/>
    </w:p>
    <w:p w14:paraId="2A6EB2CF">
      <w:pPr>
        <w:numPr>
          <w:ilvl w:val="0"/>
          <w:numId w:val="5"/>
        </w:numPr>
        <w:ind w:left="425" w:leftChars="0" w:hanging="425" w:firstLineChars="0"/>
        <w:rPr>
          <w:rFonts w:hint="default" w:ascii="Times New Roman" w:hAnsi="Times New Roman" w:cs="Times New Roman"/>
          <w:color w:val="auto"/>
          <w:sz w:val="24"/>
          <w:szCs w:val="24"/>
        </w:rPr>
      </w:pPr>
      <w:bookmarkStart w:id="16" w:name="_Ref20937"/>
      <w:r>
        <w:rPr>
          <w:rFonts w:hint="default" w:ascii="Times New Roman" w:hAnsi="Times New Roman" w:cs="Times New Roman"/>
          <w:color w:val="auto"/>
          <w:sz w:val="24"/>
          <w:szCs w:val="24"/>
        </w:rPr>
        <w:t>Chai</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W，Mao</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Research</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Network</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Public</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Opinion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Risk</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Assessment</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based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CWAHP-Entropy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Method[J]．International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journal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security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its</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applications，2016，10（4）：197-208．</w:t>
      </w:r>
      <w:bookmarkEnd w:id="16"/>
    </w:p>
    <w:p w14:paraId="085ECB59">
      <w:pPr>
        <w:numPr>
          <w:ilvl w:val="0"/>
          <w:numId w:val="5"/>
        </w:numPr>
        <w:ind w:left="425" w:leftChars="0" w:hanging="425" w:firstLineChars="0"/>
        <w:rPr>
          <w:rFonts w:hint="default" w:ascii="Times New Roman" w:hAnsi="Times New Roman" w:cs="Times New Roman"/>
          <w:color w:val="auto"/>
          <w:sz w:val="24"/>
          <w:szCs w:val="24"/>
        </w:rPr>
      </w:pPr>
      <w:bookmarkStart w:id="17" w:name="_Ref21048"/>
      <w:r>
        <w:rPr>
          <w:rFonts w:hint="default" w:ascii="Times New Roman" w:hAnsi="Times New Roman" w:cs="Times New Roman"/>
          <w:color w:val="auto"/>
          <w:sz w:val="24"/>
          <w:szCs w:val="24"/>
        </w:rPr>
        <w:t>Smith</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J，Johnson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A．Research</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the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Influence</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Social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Media</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Public</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Opinion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Dissemination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and</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Risk</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Early</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Warning[J]．Journal</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of</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Communication</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Studies，2023，35（2）：123-140．</w:t>
      </w:r>
      <w:bookmarkEnd w:id="17"/>
    </w:p>
    <w:p w14:paraId="322BD53F">
      <w:pPr>
        <w:numPr>
          <w:ilvl w:val="0"/>
          <w:numId w:val="5"/>
        </w:numPr>
        <w:ind w:left="425" w:leftChars="0" w:hanging="425" w:firstLineChars="0"/>
        <w:rPr>
          <w:rFonts w:hint="default" w:ascii="Times New Roman" w:hAnsi="Times New Roman" w:cs="Times New Roman"/>
          <w:color w:val="auto"/>
          <w:sz w:val="24"/>
          <w:szCs w:val="24"/>
        </w:rPr>
      </w:pPr>
      <w:bookmarkStart w:id="18" w:name="_Ref21953"/>
      <w:r>
        <w:rPr>
          <w:rFonts w:hint="default" w:ascii="Times New Roman" w:hAnsi="Times New Roman" w:cs="Times New Roman"/>
          <w:color w:val="auto"/>
          <w:sz w:val="24"/>
          <w:szCs w:val="24"/>
        </w:rPr>
        <w:t>Holladay SJ，Coombs WT．Further explorations of post-crisis communication; Effects of media and response strategies on perceptions and intentions[J]．Public Relations Review，2009，35（1）：1-6．</w:t>
      </w:r>
      <w:bookmarkEnd w:id="18"/>
    </w:p>
    <w:p w14:paraId="4FAA3D96">
      <w:pPr>
        <w:numPr>
          <w:ilvl w:val="0"/>
          <w:numId w:val="5"/>
        </w:numPr>
        <w:ind w:left="425" w:leftChars="0" w:hanging="425" w:firstLineChars="0"/>
        <w:rPr>
          <w:rFonts w:hint="default" w:ascii="Times New Roman" w:hAnsi="Times New Roman" w:cs="Times New Roman"/>
          <w:color w:val="auto"/>
          <w:sz w:val="24"/>
          <w:szCs w:val="24"/>
        </w:rPr>
      </w:pPr>
      <w:bookmarkStart w:id="19" w:name="_Ref22358"/>
      <w:r>
        <w:rPr>
          <w:rFonts w:hint="default" w:ascii="Times New Roman" w:hAnsi="Times New Roman" w:cs="Times New Roman"/>
          <w:color w:val="auto"/>
          <w:sz w:val="24"/>
          <w:szCs w:val="24"/>
        </w:rPr>
        <w:t>Deng J ,Liu Y . Research on Sentiment Analysis of Online Public Opinion Based on RoBERTa–BiLSTM–Attention Model [J]. Applied Sciences, 2025, 15 (4): 2148-2148.</w:t>
      </w:r>
      <w:bookmarkEnd w:id="19"/>
    </w:p>
    <w:p w14:paraId="5E33CA22">
      <w:pPr>
        <w:numPr>
          <w:ilvl w:val="0"/>
          <w:numId w:val="5"/>
        </w:numPr>
        <w:ind w:left="425" w:leftChars="0" w:hanging="425" w:firstLineChars="0"/>
        <w:rPr>
          <w:rFonts w:hint="default" w:ascii="Times New Roman" w:hAnsi="Times New Roman" w:cs="Times New Roman"/>
          <w:color w:val="auto"/>
          <w:sz w:val="24"/>
          <w:szCs w:val="24"/>
        </w:rPr>
      </w:pPr>
      <w:bookmarkStart w:id="20" w:name="_Ref22710"/>
      <w:r>
        <w:rPr>
          <w:rFonts w:hint="default" w:ascii="Times New Roman" w:hAnsi="Times New Roman" w:cs="Times New Roman"/>
          <w:color w:val="auto"/>
          <w:sz w:val="24"/>
          <w:szCs w:val="24"/>
        </w:rPr>
        <w:t>Ma H . The Way Forward for Online Public Opinion Governance in the Age of Big Data [J]. Academic Journal of Management and Social Sciences, 2024, 7 (1): 26-30.</w:t>
      </w:r>
      <w:bookmarkEnd w:id="20"/>
    </w:p>
    <w:p w14:paraId="656C34CE">
      <w:pPr>
        <w:numPr>
          <w:ilvl w:val="0"/>
          <w:numId w:val="5"/>
        </w:numPr>
        <w:ind w:left="425" w:leftChars="0" w:hanging="425" w:firstLineChars="0"/>
        <w:rPr>
          <w:rFonts w:hint="default" w:ascii="Times New Roman" w:hAnsi="Times New Roman" w:cs="Times New Roman"/>
          <w:color w:val="auto"/>
          <w:sz w:val="24"/>
          <w:szCs w:val="24"/>
        </w:rPr>
      </w:pPr>
      <w:bookmarkStart w:id="21" w:name="_Ref22785"/>
      <w:r>
        <w:rPr>
          <w:rFonts w:hint="default" w:ascii="Times New Roman" w:hAnsi="Times New Roman" w:cs="Times New Roman"/>
          <w:color w:val="auto"/>
          <w:sz w:val="24"/>
          <w:szCs w:val="24"/>
        </w:rPr>
        <w:t>Yuetong C ,Fengming L . Research on improvement of DPoS consensus mechanism in collaborative governance of network public opinion. [J]. Peer-to-peer networking and applications, 2022, 15 (4): 11-13.</w:t>
      </w:r>
      <w:bookmarkEnd w:id="21"/>
    </w:p>
    <w:p w14:paraId="07887701">
      <w:pPr>
        <w:numPr>
          <w:ilvl w:val="0"/>
          <w:numId w:val="5"/>
        </w:numPr>
        <w:ind w:left="425" w:leftChars="0" w:hanging="425" w:firstLineChars="0"/>
        <w:rPr>
          <w:rFonts w:hint="default" w:ascii="Times New Roman" w:hAnsi="Times New Roman" w:cs="Times New Roman"/>
          <w:color w:val="auto"/>
          <w:sz w:val="24"/>
          <w:szCs w:val="24"/>
        </w:rPr>
      </w:pPr>
      <w:bookmarkStart w:id="22" w:name="_Ref22867"/>
      <w:r>
        <w:rPr>
          <w:rFonts w:hint="default" w:ascii="Times New Roman" w:hAnsi="Times New Roman" w:cs="Times New Roman"/>
          <w:color w:val="auto"/>
          <w:sz w:val="24"/>
          <w:szCs w:val="24"/>
        </w:rPr>
        <w:t>Tom W ,Paul E V ,Katrien B , et al. Building Social Media Observatories for Monitoring Online Opinion Dynamics [J]. Social Media + Society, 2020, 6 (2):</w:t>
      </w:r>
      <w:bookmarkEnd w:id="22"/>
    </w:p>
    <w:p w14:paraId="5800EA91">
      <w:pPr>
        <w:numPr>
          <w:ilvl w:val="0"/>
          <w:numId w:val="5"/>
        </w:numPr>
        <w:ind w:left="425" w:leftChars="0" w:hanging="425" w:firstLineChars="0"/>
        <w:rPr>
          <w:rFonts w:hint="default" w:ascii="Times New Roman" w:hAnsi="Times New Roman" w:cs="Times New Roman"/>
          <w:color w:val="auto"/>
          <w:sz w:val="24"/>
          <w:szCs w:val="24"/>
        </w:rPr>
      </w:pPr>
      <w:bookmarkStart w:id="23" w:name="_Ref22985"/>
      <w:r>
        <w:rPr>
          <w:rFonts w:hint="default" w:ascii="Times New Roman" w:hAnsi="Times New Roman" w:cs="Times New Roman"/>
          <w:color w:val="auto"/>
          <w:sz w:val="24"/>
          <w:szCs w:val="24"/>
        </w:rPr>
        <w:t>Wang X ,Chen S ,Xie Y , et al. An interaction model among enterprise and government actions and public opinion dissemination in negative events [J]. Electronic Commerce Research, 2023, 25 (4): 1-19.</w:t>
      </w:r>
      <w:bookmarkEnd w:id="23"/>
    </w:p>
    <w:p w14:paraId="489E0D9D">
      <w:pPr>
        <w:numPr>
          <w:ilvl w:val="0"/>
          <w:numId w:val="5"/>
        </w:numPr>
        <w:ind w:left="425" w:leftChars="0" w:hanging="425" w:firstLineChars="0"/>
        <w:rPr>
          <w:rFonts w:hint="default" w:ascii="Times New Roman" w:hAnsi="Times New Roman" w:cs="Times New Roman"/>
          <w:color w:val="auto"/>
          <w:sz w:val="24"/>
          <w:szCs w:val="24"/>
        </w:rPr>
      </w:pPr>
      <w:bookmarkStart w:id="24" w:name="_Ref23073"/>
      <w:r>
        <w:rPr>
          <w:rFonts w:hint="default" w:ascii="Times New Roman" w:hAnsi="Times New Roman" w:cs="Times New Roman"/>
          <w:color w:val="auto"/>
          <w:sz w:val="24"/>
          <w:szCs w:val="24"/>
        </w:rPr>
        <w:t>Cao C ,Li Z ,Li L , et al. Research on the evolution of college online public opinion risk based on improved Grey Wolf Optimizer combined with LSTM model. [J]. PloS one, 2025, 20 (1): e0311749.</w:t>
      </w:r>
      <w:bookmarkEnd w:id="24"/>
    </w:p>
    <w:p w14:paraId="58C591E3">
      <w:pPr>
        <w:numPr>
          <w:ilvl w:val="0"/>
          <w:numId w:val="5"/>
        </w:numPr>
        <w:ind w:left="425" w:leftChars="0" w:hanging="425" w:firstLineChars="0"/>
        <w:rPr>
          <w:rFonts w:hint="default" w:ascii="Times New Roman" w:hAnsi="Times New Roman" w:cs="Times New Roman"/>
          <w:color w:val="auto"/>
          <w:sz w:val="24"/>
          <w:szCs w:val="24"/>
        </w:rPr>
      </w:pPr>
      <w:bookmarkStart w:id="25" w:name="_Ref23239"/>
      <w:r>
        <w:rPr>
          <w:rFonts w:hint="default" w:ascii="Times New Roman" w:hAnsi="Times New Roman" w:cs="Times New Roman"/>
          <w:color w:val="auto"/>
          <w:sz w:val="24"/>
          <w:szCs w:val="24"/>
        </w:rPr>
        <w:t>Shuangshuang Q ,Xiang G ,Wenze Y , et al. Government-led and Internet-empowered citizen participation in China's policymaking: A case study of the Shanghai 2035 Master Plan [J]. Government Information Quarterly, 2023, 40 (3):</w:t>
      </w:r>
      <w:bookmarkEnd w:id="25"/>
    </w:p>
    <w:p w14:paraId="38349933">
      <w:pPr>
        <w:numPr>
          <w:ilvl w:val="0"/>
          <w:numId w:val="5"/>
        </w:numPr>
        <w:ind w:left="425" w:leftChars="0" w:hanging="425" w:firstLineChars="0"/>
        <w:rPr>
          <w:rFonts w:hint="default" w:ascii="Times New Roman" w:hAnsi="Times New Roman" w:cs="Times New Roman"/>
          <w:color w:val="auto"/>
          <w:sz w:val="24"/>
          <w:szCs w:val="24"/>
        </w:rPr>
      </w:pPr>
      <w:bookmarkStart w:id="26" w:name="_Ref2044"/>
      <w:r>
        <w:rPr>
          <w:rFonts w:hint="default" w:ascii="Times New Roman" w:hAnsi="Times New Roman" w:eastAsia="宋体" w:cs="Times New Roman"/>
          <w:sz w:val="24"/>
          <w:szCs w:val="24"/>
          <w:lang w:eastAsia="zh-CN"/>
        </w:rPr>
        <w:t>Stephen A . The Contemporary Museum and Leisure: Recreation As a Museum Function [J]. Museum Management and Curatorship, 2007, 19 (3): 297-308.</w:t>
      </w:r>
      <w:bookmarkEnd w:id="26"/>
    </w:p>
    <w:p w14:paraId="756ABB91">
      <w:pPr>
        <w:numPr>
          <w:ilvl w:val="0"/>
          <w:numId w:val="5"/>
        </w:numPr>
        <w:ind w:left="425" w:leftChars="0" w:hanging="425" w:firstLineChars="0"/>
        <w:rPr>
          <w:rFonts w:hint="default" w:ascii="Times New Roman" w:hAnsi="Times New Roman" w:cs="Times New Roman"/>
          <w:color w:val="auto"/>
          <w:sz w:val="24"/>
          <w:szCs w:val="24"/>
        </w:rPr>
      </w:pPr>
      <w:bookmarkStart w:id="27" w:name="_Ref2142"/>
      <w:r>
        <w:rPr>
          <w:rFonts w:hint="default" w:ascii="Times New Roman" w:hAnsi="Times New Roman" w:eastAsia="宋体" w:cs="Times New Roman"/>
          <w:sz w:val="24"/>
          <w:szCs w:val="24"/>
          <w:lang w:eastAsia="zh-CN"/>
        </w:rPr>
        <w:t>McDonagh D ,Bruseberg A ,Haslam C . Visual product evaluation: exploring users’ emotional relationships with products [J]. Applied Ergonomics, 2002, 33 (3): 231-240.</w:t>
      </w:r>
      <w:bookmarkEnd w:id="27"/>
    </w:p>
    <w:p w14:paraId="3284A8CA">
      <w:pPr>
        <w:numPr>
          <w:ilvl w:val="0"/>
          <w:numId w:val="5"/>
        </w:numPr>
        <w:ind w:left="425" w:leftChars="0" w:hanging="425" w:firstLineChars="0"/>
        <w:rPr>
          <w:rFonts w:hint="default" w:ascii="Times New Roman" w:hAnsi="Times New Roman" w:cs="Times New Roman"/>
          <w:color w:val="auto"/>
          <w:sz w:val="24"/>
          <w:szCs w:val="24"/>
        </w:rPr>
      </w:pPr>
      <w:bookmarkStart w:id="28" w:name="_Ref2211"/>
      <w:r>
        <w:rPr>
          <w:rFonts w:hint="default" w:ascii="Times New Roman" w:hAnsi="Times New Roman" w:eastAsia="宋体" w:cs="Times New Roman"/>
          <w:sz w:val="24"/>
          <w:szCs w:val="24"/>
          <w:lang w:eastAsia="zh-CN"/>
        </w:rPr>
        <w:t>Sun C ,He Y ,Xu J . Research on Design Strategies of Museum Cultural and Creative Products Based on Online Evaluation and AHP Hierarchical Analysis [J]. Philosophy and Social Science, 2025, 2 (1):</w:t>
      </w:r>
      <w:bookmarkEnd w:id="28"/>
    </w:p>
    <w:p w14:paraId="4E37028B">
      <w:pPr>
        <w:numPr>
          <w:ilvl w:val="0"/>
          <w:numId w:val="5"/>
        </w:numPr>
        <w:ind w:left="425" w:leftChars="0" w:hanging="425" w:firstLineChars="0"/>
        <w:rPr>
          <w:rFonts w:hint="default" w:ascii="Times New Roman" w:hAnsi="Times New Roman" w:cs="Times New Roman"/>
          <w:color w:val="auto"/>
          <w:sz w:val="24"/>
          <w:szCs w:val="24"/>
        </w:rPr>
      </w:pPr>
      <w:bookmarkStart w:id="29" w:name="_Ref2253"/>
      <w:r>
        <w:rPr>
          <w:rFonts w:hint="default" w:ascii="Times New Roman" w:hAnsi="Times New Roman" w:eastAsia="宋体" w:cs="Times New Roman"/>
          <w:sz w:val="24"/>
          <w:szCs w:val="24"/>
          <w:lang w:eastAsia="zh-CN"/>
        </w:rPr>
        <w:t>He F . Research on the Innovative Application of Jingdezhen Red Cultural Elements in Digital Cultural and Creative Product Design [J]. Academic Journal of Management and Social Sciences, 2024, 9 (2): 43-46.</w:t>
      </w:r>
      <w:bookmarkEnd w:id="29"/>
    </w:p>
    <w:p w14:paraId="69AF6C72">
      <w:pPr>
        <w:numPr>
          <w:ilvl w:val="0"/>
          <w:numId w:val="5"/>
        </w:numPr>
        <w:ind w:left="425" w:leftChars="0" w:hanging="425" w:firstLineChars="0"/>
        <w:rPr>
          <w:rFonts w:hint="default" w:ascii="Times New Roman" w:hAnsi="Times New Roman" w:cs="Times New Roman"/>
          <w:color w:val="auto"/>
          <w:sz w:val="24"/>
          <w:szCs w:val="24"/>
        </w:rPr>
      </w:pPr>
      <w:bookmarkStart w:id="30" w:name="_Ref2295"/>
      <w:r>
        <w:rPr>
          <w:rFonts w:hint="default" w:ascii="Times New Roman" w:hAnsi="Times New Roman" w:eastAsia="宋体" w:cs="Times New Roman"/>
          <w:sz w:val="24"/>
          <w:szCs w:val="24"/>
          <w:lang w:eastAsia="zh-CN"/>
        </w:rPr>
        <w:t>Leong D B ,Clark H . Culture-Based Knowledge Towards New Design Thinking and Practice: A Dialogue [J]. Design Issues, 2003, 19 (3): 48-58.</w:t>
      </w:r>
      <w:bookmarkEnd w:id="30"/>
    </w:p>
    <w:p w14:paraId="14058D96">
      <w:pPr>
        <w:numPr>
          <w:ilvl w:val="0"/>
          <w:numId w:val="5"/>
        </w:numPr>
        <w:ind w:left="425" w:leftChars="0" w:hanging="425" w:firstLineChars="0"/>
        <w:rPr>
          <w:rFonts w:hint="default" w:ascii="Times New Roman" w:hAnsi="Times New Roman" w:cs="Times New Roman"/>
          <w:color w:val="auto"/>
          <w:sz w:val="24"/>
          <w:szCs w:val="24"/>
        </w:rPr>
      </w:pPr>
      <w:bookmarkStart w:id="31" w:name="_Ref3174"/>
      <w:r>
        <w:rPr>
          <w:rFonts w:hint="default" w:ascii="Times New Roman" w:hAnsi="Times New Roman" w:cs="Times New Roman"/>
          <w:sz w:val="24"/>
          <w:szCs w:val="24"/>
          <w:lang w:val="en-US" w:eastAsia="zh-CN"/>
        </w:rPr>
        <w:t xml:space="preserve">Wang M . </w:t>
      </w:r>
      <w:r>
        <w:rPr>
          <w:rFonts w:hint="default" w:ascii="Times New Roman" w:hAnsi="Times New Roman" w:eastAsia="宋体" w:cs="Times New Roman"/>
          <w:sz w:val="24"/>
          <w:szCs w:val="24"/>
          <w:lang w:eastAsia="zh-CN"/>
        </w:rPr>
        <w:t>Study on the Application of Digital Modeling Technology in Museum Cultural and Creative Design [J]. Highlights in Art and Design, 2025, 9 (3): 81-85.</w:t>
      </w:r>
      <w:bookmarkEnd w:id="31"/>
    </w:p>
    <w:p w14:paraId="327B42C6">
      <w:pPr>
        <w:numPr>
          <w:ilvl w:val="0"/>
          <w:numId w:val="5"/>
        </w:numPr>
        <w:ind w:left="425" w:leftChars="0" w:hanging="425" w:firstLineChars="0"/>
        <w:rPr>
          <w:rFonts w:hint="default" w:ascii="Times New Roman" w:hAnsi="Times New Roman" w:cs="Times New Roman"/>
          <w:color w:val="auto"/>
          <w:sz w:val="24"/>
          <w:szCs w:val="24"/>
        </w:rPr>
      </w:pPr>
      <w:bookmarkStart w:id="32" w:name="_Ref2756"/>
      <w:r>
        <w:rPr>
          <w:rFonts w:hint="default" w:ascii="Times New Roman" w:hAnsi="Times New Roman" w:cs="Times New Roman"/>
          <w:sz w:val="24"/>
          <w:szCs w:val="24"/>
          <w:lang w:val="en-US" w:eastAsia="zh-CN"/>
        </w:rPr>
        <w:t>Li H ,</w:t>
      </w:r>
      <w:r>
        <w:rPr>
          <w:rFonts w:hint="default" w:ascii="Times New Roman" w:hAnsi="Times New Roman" w:eastAsia="宋体" w:cs="Times New Roman"/>
          <w:sz w:val="24"/>
          <w:szCs w:val="24"/>
          <w:lang w:eastAsia="zh-CN"/>
        </w:rPr>
        <w:t>Zhu Y ,Guo Q , et al. Unveiling Consumer Satisfaction with AI-Generated Museum Cultural and Creative Products Design: Using Importance–Performance Analysis [J]. Sustainability, 2024, 16 (18): 8203-8203.</w:t>
      </w:r>
      <w:bookmarkEnd w:id="32"/>
    </w:p>
    <w:p w14:paraId="4C6B4CB3">
      <w:pPr>
        <w:numPr>
          <w:ilvl w:val="0"/>
          <w:numId w:val="5"/>
        </w:numPr>
        <w:ind w:left="425" w:leftChars="0" w:hanging="425" w:firstLineChars="0"/>
        <w:rPr>
          <w:rFonts w:hint="default" w:ascii="Times New Roman" w:hAnsi="Times New Roman" w:cs="Times New Roman"/>
          <w:color w:val="auto"/>
          <w:sz w:val="24"/>
          <w:szCs w:val="24"/>
        </w:rPr>
      </w:pPr>
      <w:bookmarkStart w:id="33" w:name="_Ref2821"/>
      <w:r>
        <w:rPr>
          <w:rFonts w:hint="default" w:ascii="Times New Roman" w:hAnsi="Times New Roman" w:cs="Times New Roman"/>
          <w:sz w:val="24"/>
          <w:szCs w:val="24"/>
          <w:lang w:val="en-US" w:eastAsia="zh-CN"/>
        </w:rPr>
        <w:t>Chiou ,</w:t>
      </w:r>
      <w:r>
        <w:rPr>
          <w:rFonts w:hint="default" w:ascii="Times New Roman" w:hAnsi="Times New Roman" w:eastAsia="宋体" w:cs="Times New Roman"/>
          <w:sz w:val="24"/>
          <w:szCs w:val="24"/>
          <w:lang w:eastAsia="zh-CN"/>
        </w:rPr>
        <w:t>Shang-Chia ,Wang , et al. The example application of genetic algorithm for the framework of cultural and creative brand design in Tamsui Historical Museum [J]. Soft computing: A fusion of foundations, methodologies and applications, 2018, 22 (8): 2527-2545.</w:t>
      </w:r>
      <w:bookmarkEnd w:id="33"/>
    </w:p>
    <w:p w14:paraId="17FC8B1C">
      <w:pPr>
        <w:numPr>
          <w:ilvl w:val="0"/>
          <w:numId w:val="5"/>
        </w:numPr>
        <w:ind w:left="425" w:leftChars="0" w:hanging="425" w:firstLineChars="0"/>
        <w:rPr>
          <w:rFonts w:hint="default" w:ascii="Times New Roman" w:hAnsi="Times New Roman" w:cs="Times New Roman"/>
          <w:color w:val="auto"/>
          <w:sz w:val="24"/>
          <w:szCs w:val="24"/>
        </w:rPr>
      </w:pPr>
      <w:bookmarkStart w:id="34" w:name="_Ref2883"/>
      <w:r>
        <w:rPr>
          <w:rFonts w:hint="default" w:ascii="Times New Roman" w:hAnsi="Times New Roman" w:cs="Times New Roman"/>
          <w:sz w:val="24"/>
          <w:szCs w:val="24"/>
          <w:lang w:val="en-US" w:eastAsia="zh-CN"/>
        </w:rPr>
        <w:t xml:space="preserve">Zhao L </w:t>
      </w:r>
      <w:r>
        <w:rPr>
          <w:rFonts w:hint="default" w:ascii="Times New Roman" w:hAnsi="Times New Roman" w:eastAsia="宋体" w:cs="Times New Roman"/>
          <w:sz w:val="24"/>
          <w:szCs w:val="24"/>
          <w:lang w:eastAsia="zh-CN"/>
        </w:rPr>
        <w:t>,Shujin S ,Jun S , et al. Innovative or Not? The Effects of Consumer Perceived Value on Purchase Intentions for the Palace Museum’s Cultural and Creative Products [J]. Sustainability, 2021, 13 (4): 2412-2412.</w:t>
      </w:r>
      <w:bookmarkEnd w:id="34"/>
    </w:p>
    <w:p w14:paraId="36C5DB80">
      <w:pPr>
        <w:numPr>
          <w:ilvl w:val="0"/>
          <w:numId w:val="5"/>
        </w:numPr>
        <w:ind w:left="425" w:leftChars="0" w:hanging="425" w:firstLineChars="0"/>
        <w:rPr>
          <w:rFonts w:hint="default" w:ascii="Times New Roman" w:hAnsi="Times New Roman" w:cs="Times New Roman"/>
          <w:color w:val="auto"/>
          <w:sz w:val="24"/>
          <w:szCs w:val="24"/>
        </w:rPr>
      </w:pPr>
      <w:bookmarkStart w:id="35" w:name="_Ref3295"/>
      <w:r>
        <w:rPr>
          <w:rFonts w:hint="default" w:ascii="Times New Roman" w:hAnsi="Times New Roman" w:cs="Times New Roman"/>
          <w:sz w:val="24"/>
          <w:szCs w:val="24"/>
          <w:lang w:val="en-US" w:eastAsia="zh-CN"/>
        </w:rPr>
        <w:t xml:space="preserve">Neil </w:t>
      </w:r>
      <w:r>
        <w:rPr>
          <w:rFonts w:hint="default" w:ascii="Times New Roman" w:hAnsi="Times New Roman" w:eastAsia="宋体" w:cs="Times New Roman"/>
          <w:sz w:val="24"/>
          <w:szCs w:val="24"/>
          <w:lang w:val="en-US" w:eastAsia="zh-CN"/>
        </w:rPr>
        <w:t>Kotler，Philip Kotler.Museum Strategy and Marketing[M].Beijing：Yanshan Publishing House，2006.</w:t>
      </w:r>
      <w:bookmarkEnd w:id="35"/>
    </w:p>
    <w:p w14:paraId="48CD8F97">
      <w:pPr>
        <w:numPr>
          <w:ilvl w:val="0"/>
          <w:numId w:val="5"/>
        </w:numPr>
        <w:ind w:left="425" w:leftChars="0" w:hanging="425" w:firstLineChars="0"/>
        <w:rPr>
          <w:rFonts w:hint="default" w:ascii="Times New Roman" w:hAnsi="Times New Roman" w:cs="Times New Roman"/>
          <w:color w:val="auto"/>
          <w:sz w:val="24"/>
          <w:szCs w:val="24"/>
        </w:rPr>
      </w:pPr>
      <w:bookmarkStart w:id="36" w:name="_Ref3334"/>
      <w:r>
        <w:rPr>
          <w:rFonts w:hint="default" w:ascii="Times New Roman" w:hAnsi="Times New Roman" w:cs="Times New Roman"/>
          <w:sz w:val="24"/>
          <w:szCs w:val="24"/>
          <w:lang w:val="en-US" w:eastAsia="zh-CN"/>
        </w:rPr>
        <w:t>Lupo</w:t>
      </w:r>
      <w:r>
        <w:rPr>
          <w:rFonts w:hint="default" w:ascii="Times New Roman" w:hAnsi="Times New Roman" w:eastAsia="宋体" w:cs="Times New Roman"/>
          <w:sz w:val="24"/>
          <w:szCs w:val="24"/>
        </w:rPr>
        <w:t>,E</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Vitale,G</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Design Strategies for Cultural Heritage: Innovating Tradition Within Museums</w:t>
      </w:r>
      <w:r>
        <w:rPr>
          <w:rFonts w:hint="default" w:ascii="Times New Roman" w:hAnsi="Times New Roman" w:eastAsia="宋体" w:cs="Times New Roman"/>
          <w:sz w:val="24"/>
          <w:szCs w:val="24"/>
          <w:lang w:val="en-US" w:eastAsia="zh-CN"/>
        </w:rPr>
        <w:t>[J].In Lecture Notes in Civil Engineering,2020:595-606.</w:t>
      </w:r>
      <w:bookmarkEnd w:id="36"/>
    </w:p>
    <w:p w14:paraId="69E7F2E0">
      <w:pPr>
        <w:numPr>
          <w:ilvl w:val="0"/>
          <w:numId w:val="5"/>
        </w:numPr>
        <w:ind w:left="425" w:leftChars="0" w:hanging="425" w:firstLineChars="0"/>
        <w:rPr>
          <w:rFonts w:hint="default" w:ascii="Times New Roman" w:hAnsi="Times New Roman" w:cs="Times New Roman"/>
          <w:color w:val="auto"/>
          <w:sz w:val="24"/>
          <w:szCs w:val="24"/>
        </w:rPr>
      </w:pPr>
      <w:bookmarkStart w:id="37" w:name="_Ref3363"/>
      <w:r>
        <w:rPr>
          <w:rFonts w:hint="default" w:ascii="Times New Roman" w:hAnsi="Times New Roman" w:cs="Times New Roman"/>
          <w:sz w:val="24"/>
          <w:szCs w:val="24"/>
          <w:lang w:val="en-US" w:eastAsia="zh-CN"/>
        </w:rPr>
        <w:t>Ri</w:t>
      </w:r>
      <w:r>
        <w:rPr>
          <w:rFonts w:hint="default" w:ascii="Times New Roman" w:hAnsi="Times New Roman" w:eastAsia="宋体" w:cs="Times New Roman"/>
          <w:sz w:val="24"/>
          <w:szCs w:val="24"/>
          <w:lang w:val="en-US" w:eastAsia="zh-CN"/>
        </w:rPr>
        <w:t>chards, G.Creativity and Tourism:The State of the Art[J].Annals of Tourism Research,,38(4):1225-1253.</w:t>
      </w:r>
      <w:bookmarkEnd w:id="37"/>
    </w:p>
    <w:p w14:paraId="02BB7E56">
      <w:pPr>
        <w:numPr>
          <w:ilvl w:val="0"/>
          <w:numId w:val="5"/>
        </w:numPr>
        <w:ind w:left="425" w:leftChars="0" w:hanging="425" w:firstLineChars="0"/>
        <w:rPr>
          <w:rFonts w:hint="default" w:ascii="Times New Roman" w:hAnsi="Times New Roman" w:cs="Times New Roman"/>
          <w:color w:val="auto"/>
          <w:sz w:val="24"/>
          <w:szCs w:val="24"/>
        </w:rPr>
      </w:pPr>
      <w:bookmarkStart w:id="38" w:name="_Ref24317"/>
      <w:r>
        <w:rPr>
          <w:rFonts w:hint="default" w:ascii="Times New Roman" w:hAnsi="Times New Roman" w:cs="Times New Roman"/>
          <w:color w:val="auto"/>
          <w:sz w:val="24"/>
          <w:szCs w:val="24"/>
        </w:rPr>
        <w:t>董倩. 信息疫情对社交媒体用户消极使用行为的影响研究 [J]. 情报探索, 2025, (02): 25-31.</w:t>
      </w:r>
      <w:bookmarkEnd w:id="38"/>
    </w:p>
    <w:p w14:paraId="11E27AA7">
      <w:pPr>
        <w:numPr>
          <w:ilvl w:val="0"/>
          <w:numId w:val="5"/>
        </w:numPr>
        <w:ind w:left="425" w:leftChars="0" w:hanging="425" w:firstLineChars="0"/>
        <w:rPr>
          <w:rFonts w:hint="default" w:ascii="Times New Roman" w:hAnsi="Times New Roman" w:cs="Times New Roman"/>
          <w:color w:val="auto"/>
          <w:sz w:val="24"/>
          <w:szCs w:val="24"/>
        </w:rPr>
      </w:pPr>
      <w:bookmarkStart w:id="39" w:name="_Ref24346"/>
      <w:r>
        <w:rPr>
          <w:rFonts w:hint="default" w:ascii="Times New Roman" w:hAnsi="Times New Roman" w:cs="Times New Roman"/>
          <w:color w:val="auto"/>
          <w:sz w:val="24"/>
          <w:szCs w:val="24"/>
        </w:rPr>
        <w:t>张志霞,徐汝梁. 信息异化视角下数字环境的风险具象与治理逻辑 [J]. 图书馆, 2025, (05): 32-40.</w:t>
      </w:r>
      <w:bookmarkEnd w:id="39"/>
    </w:p>
    <w:p w14:paraId="3BF80A6F">
      <w:pPr>
        <w:numPr>
          <w:ilvl w:val="0"/>
          <w:numId w:val="5"/>
        </w:numPr>
        <w:ind w:left="425" w:leftChars="0" w:hanging="425" w:firstLineChars="0"/>
        <w:rPr>
          <w:rFonts w:hint="default" w:ascii="Times New Roman" w:hAnsi="Times New Roman" w:cs="Times New Roman"/>
          <w:color w:val="auto"/>
          <w:sz w:val="24"/>
          <w:szCs w:val="24"/>
        </w:rPr>
      </w:pPr>
      <w:bookmarkStart w:id="40" w:name="_Ref24372"/>
      <w:r>
        <w:rPr>
          <w:rFonts w:hint="default" w:ascii="Times New Roman" w:hAnsi="Times New Roman" w:cs="Times New Roman"/>
          <w:color w:val="auto"/>
          <w:sz w:val="24"/>
          <w:szCs w:val="24"/>
        </w:rPr>
        <w:t>王清刚,吴祺源. 重大公共卫生事件舆情的风险管理——基于总体国家安全观视角的分析 [J]. 中南民族大学学报(人文社会科学版), 2024, 44 (08): 142-149+187.</w:t>
      </w:r>
      <w:bookmarkEnd w:id="40"/>
    </w:p>
    <w:p w14:paraId="270E79F8">
      <w:pPr>
        <w:numPr>
          <w:ilvl w:val="0"/>
          <w:numId w:val="5"/>
        </w:numPr>
        <w:ind w:left="425" w:leftChars="0" w:hanging="425" w:firstLineChars="0"/>
        <w:rPr>
          <w:rFonts w:hint="default" w:ascii="Times New Roman" w:hAnsi="Times New Roman" w:cs="Times New Roman"/>
          <w:color w:val="auto"/>
          <w:sz w:val="24"/>
          <w:szCs w:val="24"/>
        </w:rPr>
      </w:pPr>
      <w:bookmarkStart w:id="41" w:name="_Ref24683"/>
      <w:r>
        <w:rPr>
          <w:rFonts w:hint="default" w:ascii="Times New Roman" w:hAnsi="Times New Roman" w:cs="Times New Roman"/>
          <w:color w:val="auto"/>
          <w:sz w:val="24"/>
          <w:szCs w:val="24"/>
        </w:rPr>
        <w:t>王丽华,夏一雪,杨露露,等. 基于扎根理论的突发事件网络舆情风险识别研究 [J]. 新媒体研究, 2021, 7 (20): 17-24.</w:t>
      </w:r>
      <w:bookmarkEnd w:id="41"/>
    </w:p>
    <w:p w14:paraId="40612FEB">
      <w:pPr>
        <w:numPr>
          <w:ilvl w:val="0"/>
          <w:numId w:val="5"/>
        </w:numPr>
        <w:ind w:left="425" w:leftChars="0" w:hanging="425" w:firstLineChars="0"/>
        <w:rPr>
          <w:rFonts w:hint="default" w:ascii="Times New Roman" w:hAnsi="Times New Roman" w:cs="Times New Roman"/>
          <w:color w:val="auto"/>
          <w:sz w:val="24"/>
          <w:szCs w:val="24"/>
        </w:rPr>
      </w:pPr>
      <w:bookmarkStart w:id="42" w:name="_Ref24771"/>
      <w:r>
        <w:rPr>
          <w:rFonts w:hint="default" w:ascii="Times New Roman" w:hAnsi="Times New Roman" w:cs="Times New Roman"/>
          <w:color w:val="auto"/>
          <w:sz w:val="24"/>
          <w:szCs w:val="24"/>
        </w:rPr>
        <w:t>董楠,祁凯. 基于HHM的网络谣言感染社会情绪的舆情风险识别研究 [J]. 网络安全技术与应用, 2023, (12): 47-51.</w:t>
      </w:r>
      <w:bookmarkEnd w:id="42"/>
    </w:p>
    <w:p w14:paraId="21341678">
      <w:pPr>
        <w:numPr>
          <w:ilvl w:val="0"/>
          <w:numId w:val="5"/>
        </w:numPr>
        <w:ind w:left="425" w:leftChars="0" w:hanging="425" w:firstLineChars="0"/>
        <w:rPr>
          <w:rFonts w:hint="default" w:ascii="Times New Roman" w:hAnsi="Times New Roman" w:cs="Times New Roman"/>
          <w:color w:val="auto"/>
          <w:sz w:val="24"/>
          <w:szCs w:val="24"/>
        </w:rPr>
      </w:pPr>
      <w:bookmarkStart w:id="43" w:name="_Ref24898"/>
      <w:r>
        <w:rPr>
          <w:rFonts w:hint="default" w:ascii="Times New Roman" w:hAnsi="Times New Roman" w:cs="Times New Roman"/>
          <w:color w:val="auto"/>
          <w:sz w:val="24"/>
          <w:szCs w:val="24"/>
        </w:rPr>
        <w:t>高晓宁,韦浩冉,张孟伟. 高校网络舆情风险影响因素的系统动力学建模与仿真分析 [J]. 情报科学, 2025, 43 (02): 121-131.</w:t>
      </w:r>
      <w:bookmarkEnd w:id="43"/>
    </w:p>
    <w:p w14:paraId="0E25B6C4">
      <w:pPr>
        <w:numPr>
          <w:ilvl w:val="0"/>
          <w:numId w:val="5"/>
        </w:numPr>
        <w:ind w:left="425" w:leftChars="0" w:hanging="425" w:firstLineChars="0"/>
        <w:rPr>
          <w:rFonts w:hint="default" w:ascii="Times New Roman" w:hAnsi="Times New Roman" w:cs="Times New Roman"/>
          <w:color w:val="auto"/>
          <w:sz w:val="24"/>
          <w:szCs w:val="24"/>
        </w:rPr>
      </w:pPr>
      <w:bookmarkStart w:id="44" w:name="_Ref25342"/>
      <w:r>
        <w:rPr>
          <w:rFonts w:hint="default" w:ascii="Times New Roman" w:hAnsi="Times New Roman" w:cs="Times New Roman"/>
          <w:color w:val="auto"/>
          <w:sz w:val="24"/>
          <w:szCs w:val="24"/>
        </w:rPr>
        <w:t>张艳丰,黄亚婷,易臣何. 生成式人工智能情境下智能生成网络舆情风险测度实证研究 [J/OL]. 情报资料工作, 1-17[2025-11-18].</w:t>
      </w:r>
      <w:bookmarkEnd w:id="44"/>
    </w:p>
    <w:p w14:paraId="045B6AEB">
      <w:pPr>
        <w:numPr>
          <w:ilvl w:val="0"/>
          <w:numId w:val="5"/>
        </w:numPr>
        <w:ind w:left="425" w:leftChars="0" w:hanging="425" w:firstLineChars="0"/>
        <w:rPr>
          <w:rFonts w:hint="default" w:ascii="Times New Roman" w:hAnsi="Times New Roman" w:cs="Times New Roman"/>
          <w:color w:val="auto"/>
          <w:sz w:val="24"/>
          <w:szCs w:val="24"/>
        </w:rPr>
      </w:pPr>
      <w:bookmarkStart w:id="45" w:name="_Ref26221"/>
      <w:r>
        <w:rPr>
          <w:rFonts w:hint="default" w:ascii="Times New Roman" w:hAnsi="Times New Roman" w:cs="Times New Roman"/>
          <w:color w:val="auto"/>
          <w:sz w:val="24"/>
          <w:szCs w:val="24"/>
        </w:rPr>
        <w:t>林彦君,郭晓科. 基于利益相关者理论的重大事项网络舆情风险评估指标体系建构 [J]. 福建师范大学学报(哲学社会科学版), 2024, (06): 132-141.</w:t>
      </w:r>
      <w:bookmarkEnd w:id="45"/>
    </w:p>
    <w:p w14:paraId="3B2A545D">
      <w:pPr>
        <w:numPr>
          <w:ilvl w:val="0"/>
          <w:numId w:val="5"/>
        </w:numPr>
        <w:ind w:left="425" w:leftChars="0" w:hanging="425" w:firstLineChars="0"/>
        <w:rPr>
          <w:rFonts w:hint="default" w:ascii="Times New Roman" w:hAnsi="Times New Roman" w:cs="Times New Roman"/>
          <w:color w:val="auto"/>
          <w:sz w:val="24"/>
          <w:szCs w:val="24"/>
        </w:rPr>
      </w:pPr>
      <w:bookmarkStart w:id="46" w:name="_Ref26296"/>
      <w:r>
        <w:rPr>
          <w:rFonts w:hint="default" w:ascii="Times New Roman" w:hAnsi="Times New Roman" w:cs="Times New Roman"/>
          <w:color w:val="auto"/>
          <w:sz w:val="24"/>
          <w:szCs w:val="24"/>
        </w:rPr>
        <w:t>黄微,刘毅洲,刘逸伦. 智能传播视角下网络舆情风险簇的生发机理研究 [J/OL]. 情报科学, 1-21[2025-11-18].</w:t>
      </w:r>
      <w:bookmarkEnd w:id="46"/>
    </w:p>
    <w:p w14:paraId="1E589AA2">
      <w:pPr>
        <w:numPr>
          <w:ilvl w:val="0"/>
          <w:numId w:val="5"/>
        </w:numPr>
        <w:ind w:left="425" w:leftChars="0" w:hanging="425" w:firstLineChars="0"/>
        <w:rPr>
          <w:rFonts w:hint="default" w:ascii="Times New Roman" w:hAnsi="Times New Roman" w:cs="Times New Roman"/>
          <w:color w:val="auto"/>
          <w:sz w:val="24"/>
          <w:szCs w:val="24"/>
        </w:rPr>
      </w:pPr>
      <w:bookmarkStart w:id="47" w:name="_Ref26381"/>
      <w:r>
        <w:rPr>
          <w:rFonts w:hint="default" w:ascii="Times New Roman" w:hAnsi="Times New Roman" w:cs="Times New Roman"/>
          <w:color w:val="auto"/>
          <w:sz w:val="24"/>
          <w:szCs w:val="24"/>
        </w:rPr>
        <w:t>王林平,高宇. 突发事件网络舆情风险演化规律及防控策略 [J]. 吉首大学学报(社会科学版), 2022, 43 (04): 96-107.</w:t>
      </w:r>
      <w:bookmarkEnd w:id="47"/>
    </w:p>
    <w:p w14:paraId="3F2C030E">
      <w:pPr>
        <w:numPr>
          <w:ilvl w:val="0"/>
          <w:numId w:val="5"/>
        </w:numPr>
        <w:ind w:left="425" w:leftChars="0" w:hanging="425" w:firstLineChars="0"/>
        <w:rPr>
          <w:rFonts w:hint="default" w:ascii="Times New Roman" w:hAnsi="Times New Roman" w:cs="Times New Roman"/>
          <w:color w:val="auto"/>
          <w:sz w:val="24"/>
          <w:szCs w:val="24"/>
        </w:rPr>
      </w:pPr>
      <w:bookmarkStart w:id="48" w:name="_Ref26508"/>
      <w:r>
        <w:rPr>
          <w:rFonts w:hint="default" w:ascii="Times New Roman" w:hAnsi="Times New Roman" w:cs="Times New Roman"/>
          <w:color w:val="auto"/>
          <w:sz w:val="24"/>
          <w:szCs w:val="24"/>
        </w:rPr>
        <w:t>曾慧玲,李琳,吕思洋,等. 提示学习驱动的新闻舆情风险识别方法研究 [J]. 计算机工程与应用, 2024, 60 (01): 182-188.</w:t>
      </w:r>
      <w:bookmarkEnd w:id="48"/>
    </w:p>
    <w:p w14:paraId="54097D6B">
      <w:pPr>
        <w:numPr>
          <w:ilvl w:val="0"/>
          <w:numId w:val="5"/>
        </w:numPr>
        <w:ind w:left="425" w:leftChars="0" w:hanging="425" w:firstLineChars="0"/>
        <w:rPr>
          <w:rFonts w:hint="default" w:ascii="Times New Roman" w:hAnsi="Times New Roman" w:cs="Times New Roman"/>
          <w:color w:val="auto"/>
          <w:sz w:val="24"/>
          <w:szCs w:val="24"/>
        </w:rPr>
      </w:pPr>
      <w:bookmarkStart w:id="49" w:name="_Ref26573"/>
      <w:r>
        <w:rPr>
          <w:rFonts w:hint="default" w:ascii="Times New Roman" w:hAnsi="Times New Roman" w:cs="Times New Roman"/>
          <w:color w:val="auto"/>
          <w:sz w:val="24"/>
          <w:szCs w:val="24"/>
        </w:rPr>
        <w:t>刘通,靳会峰. 大数据时代公安网络舆情风险识别研究 [J]. 中国人民警察大学学报, 2022, 38 (04): 38-44.</w:t>
      </w:r>
      <w:bookmarkEnd w:id="49"/>
    </w:p>
    <w:p w14:paraId="2E8E9B13">
      <w:pPr>
        <w:numPr>
          <w:ilvl w:val="0"/>
          <w:numId w:val="5"/>
        </w:numPr>
        <w:ind w:left="425" w:leftChars="0" w:hanging="425" w:firstLineChars="0"/>
        <w:rPr>
          <w:rFonts w:hint="default" w:ascii="Times New Roman" w:hAnsi="Times New Roman" w:cs="Times New Roman"/>
          <w:color w:val="auto"/>
          <w:sz w:val="24"/>
          <w:szCs w:val="24"/>
        </w:rPr>
      </w:pPr>
      <w:bookmarkStart w:id="50" w:name="_Ref26665"/>
      <w:r>
        <w:rPr>
          <w:rFonts w:hint="default" w:ascii="Times New Roman" w:hAnsi="Times New Roman" w:cs="Times New Roman"/>
          <w:color w:val="auto"/>
          <w:sz w:val="24"/>
          <w:szCs w:val="24"/>
        </w:rPr>
        <w:t>张志剑,刘政昊,马费成. 面向互联网舆情事件的企业风险识别——基于KGANN模型 [J]. 工程管理科技前沿, 2022, 41 (01): 65-73.</w:t>
      </w:r>
      <w:bookmarkEnd w:id="50"/>
    </w:p>
    <w:p w14:paraId="7953D3A4">
      <w:pPr>
        <w:numPr>
          <w:ilvl w:val="0"/>
          <w:numId w:val="5"/>
        </w:numPr>
        <w:ind w:left="425" w:leftChars="0" w:hanging="425" w:firstLineChars="0"/>
        <w:rPr>
          <w:rFonts w:hint="default" w:ascii="Times New Roman" w:hAnsi="Times New Roman" w:cs="Times New Roman"/>
          <w:color w:val="auto"/>
          <w:sz w:val="24"/>
          <w:szCs w:val="24"/>
        </w:rPr>
      </w:pPr>
      <w:bookmarkStart w:id="51" w:name="_Ref26796"/>
      <w:r>
        <w:rPr>
          <w:rFonts w:hint="default" w:ascii="Times New Roman" w:hAnsi="Times New Roman" w:cs="Times New Roman"/>
          <w:color w:val="auto"/>
          <w:sz w:val="24"/>
          <w:szCs w:val="24"/>
        </w:rPr>
        <w:t>张霁阳,张鹏,兰月新,等. 基于动态主题聚类的网络舆情反转识别模型构建与实证研究 [J]. 情报理论与实践, 2023, 46 (10): 174-181+129.</w:t>
      </w:r>
      <w:bookmarkEnd w:id="51"/>
    </w:p>
    <w:p w14:paraId="008A1396">
      <w:pPr>
        <w:numPr>
          <w:ilvl w:val="0"/>
          <w:numId w:val="5"/>
        </w:numPr>
        <w:ind w:left="425" w:leftChars="0" w:hanging="425" w:firstLineChars="0"/>
        <w:rPr>
          <w:rFonts w:hint="default" w:ascii="Times New Roman" w:hAnsi="Times New Roman" w:cs="Times New Roman"/>
          <w:color w:val="auto"/>
          <w:sz w:val="24"/>
          <w:szCs w:val="24"/>
        </w:rPr>
      </w:pPr>
      <w:bookmarkStart w:id="52" w:name="_Ref26874"/>
      <w:r>
        <w:rPr>
          <w:rFonts w:hint="default" w:ascii="Times New Roman" w:hAnsi="Times New Roman" w:cs="Times New Roman"/>
          <w:color w:val="auto"/>
          <w:sz w:val="24"/>
          <w:szCs w:val="24"/>
        </w:rPr>
        <w:t>林伟,陈雁. 融合BERT-BiGRU和多尺度CNN的中文微博情感分析 [J]. 中国电子科学研究院学报, 2023, 18 (10): 939-945.</w:t>
      </w:r>
      <w:bookmarkEnd w:id="52"/>
    </w:p>
    <w:p w14:paraId="4222AA3B">
      <w:pPr>
        <w:numPr>
          <w:ilvl w:val="0"/>
          <w:numId w:val="5"/>
        </w:numPr>
        <w:ind w:left="425" w:leftChars="0" w:hanging="425" w:firstLineChars="0"/>
        <w:rPr>
          <w:rFonts w:hint="default" w:ascii="Times New Roman" w:hAnsi="Times New Roman" w:cs="Times New Roman"/>
          <w:color w:val="auto"/>
          <w:sz w:val="24"/>
          <w:szCs w:val="24"/>
        </w:rPr>
      </w:pPr>
      <w:bookmarkStart w:id="53" w:name="_Ref28043"/>
      <w:r>
        <w:rPr>
          <w:rFonts w:hint="default" w:ascii="Times New Roman" w:hAnsi="Times New Roman" w:cs="Times New Roman"/>
          <w:color w:val="auto"/>
          <w:sz w:val="24"/>
          <w:szCs w:val="24"/>
        </w:rPr>
        <w:t>张鑫,田雪灿,刘鑫雅. 反复性视角下网络舆情风险评估指标体系研究 [J]. 图书与情报, 2020, (06): 123-135.</w:t>
      </w:r>
      <w:bookmarkEnd w:id="53"/>
    </w:p>
    <w:p w14:paraId="2BD87370">
      <w:pPr>
        <w:numPr>
          <w:ilvl w:val="0"/>
          <w:numId w:val="5"/>
        </w:numPr>
        <w:ind w:left="425" w:leftChars="0" w:hanging="425" w:firstLineChars="0"/>
        <w:rPr>
          <w:rFonts w:hint="default" w:ascii="Times New Roman" w:hAnsi="Times New Roman" w:cs="Times New Roman"/>
          <w:color w:val="auto"/>
          <w:sz w:val="24"/>
          <w:szCs w:val="24"/>
        </w:rPr>
      </w:pPr>
      <w:bookmarkStart w:id="54" w:name="_Ref28131"/>
      <w:r>
        <w:rPr>
          <w:rFonts w:hint="default" w:ascii="Times New Roman" w:hAnsi="Times New Roman" w:cs="Times New Roman"/>
          <w:color w:val="auto"/>
          <w:sz w:val="24"/>
          <w:szCs w:val="24"/>
        </w:rPr>
        <w:t>杨柳,徐宇昭,邓春林. 高校网络舆情风险评估及预警研究 [J]. 情报科学, 2022, 40 (05): 65-72+83.</w:t>
      </w:r>
      <w:bookmarkEnd w:id="54"/>
    </w:p>
    <w:p w14:paraId="087EDBAB">
      <w:pPr>
        <w:numPr>
          <w:ilvl w:val="0"/>
          <w:numId w:val="5"/>
        </w:numPr>
        <w:ind w:left="425" w:leftChars="0" w:hanging="425" w:firstLineChars="0"/>
        <w:rPr>
          <w:rFonts w:hint="default" w:ascii="Times New Roman" w:hAnsi="Times New Roman" w:cs="Times New Roman"/>
          <w:color w:val="auto"/>
          <w:sz w:val="24"/>
          <w:szCs w:val="24"/>
        </w:rPr>
      </w:pPr>
      <w:bookmarkStart w:id="55" w:name="_Ref28265"/>
      <w:r>
        <w:rPr>
          <w:rFonts w:hint="default" w:ascii="Times New Roman" w:hAnsi="Times New Roman" w:cs="Times New Roman"/>
          <w:color w:val="auto"/>
          <w:sz w:val="24"/>
          <w:szCs w:val="24"/>
        </w:rPr>
        <w:t>江长斌,徐紫琪,王宏宇,等. 基于熵权TOPSIS法的高校师德师风类网络舆情风险评估预警研究 [J]. 情报科学, 2024, 42 (06): 113-120.</w:t>
      </w:r>
      <w:bookmarkEnd w:id="55"/>
    </w:p>
    <w:p w14:paraId="61B8A10B">
      <w:pPr>
        <w:numPr>
          <w:ilvl w:val="0"/>
          <w:numId w:val="5"/>
        </w:numPr>
        <w:ind w:left="425" w:leftChars="0" w:hanging="425" w:firstLineChars="0"/>
        <w:rPr>
          <w:rFonts w:hint="default" w:ascii="Times New Roman" w:hAnsi="Times New Roman" w:cs="Times New Roman"/>
          <w:color w:val="auto"/>
          <w:sz w:val="24"/>
          <w:szCs w:val="24"/>
        </w:rPr>
      </w:pPr>
      <w:bookmarkStart w:id="56" w:name="_Ref28432"/>
      <w:r>
        <w:rPr>
          <w:rFonts w:hint="default" w:ascii="Times New Roman" w:hAnsi="Times New Roman" w:cs="Times New Roman"/>
          <w:color w:val="auto"/>
          <w:sz w:val="24"/>
          <w:szCs w:val="24"/>
        </w:rPr>
        <w:t>吴琦,李阳. 融入领域风险词典的社会安全事件网络舆情风险评估研究 [J]. 情报理论与实践, 2024, 47 (06): 175-183.</w:t>
      </w:r>
      <w:bookmarkEnd w:id="56"/>
    </w:p>
    <w:p w14:paraId="556BBEF0">
      <w:pPr>
        <w:numPr>
          <w:ilvl w:val="0"/>
          <w:numId w:val="5"/>
        </w:numPr>
        <w:ind w:left="425" w:leftChars="0" w:hanging="425" w:firstLineChars="0"/>
        <w:rPr>
          <w:rFonts w:hint="default" w:ascii="Times New Roman" w:hAnsi="Times New Roman" w:cs="Times New Roman"/>
          <w:color w:val="auto"/>
          <w:sz w:val="24"/>
          <w:szCs w:val="24"/>
        </w:rPr>
      </w:pPr>
      <w:bookmarkStart w:id="57" w:name="_Ref28670"/>
      <w:r>
        <w:rPr>
          <w:rFonts w:hint="default" w:ascii="Times New Roman" w:hAnsi="Times New Roman" w:cs="Times New Roman"/>
          <w:color w:val="auto"/>
          <w:sz w:val="24"/>
          <w:szCs w:val="24"/>
        </w:rPr>
        <w:t>曾艳. 基于集成学习的微博谣言识别与危害性评估[D]. 重庆邮电大学, 2020.</w:t>
      </w:r>
      <w:bookmarkEnd w:id="57"/>
    </w:p>
    <w:p w14:paraId="1EEDD08E">
      <w:pPr>
        <w:numPr>
          <w:ilvl w:val="0"/>
          <w:numId w:val="5"/>
        </w:numPr>
        <w:ind w:left="425" w:leftChars="0" w:hanging="425" w:firstLineChars="0"/>
        <w:rPr>
          <w:rFonts w:hint="default" w:ascii="Times New Roman" w:hAnsi="Times New Roman" w:cs="Times New Roman"/>
          <w:color w:val="auto"/>
          <w:sz w:val="24"/>
          <w:szCs w:val="24"/>
        </w:rPr>
      </w:pPr>
      <w:bookmarkStart w:id="58" w:name="_Ref30623"/>
      <w:r>
        <w:rPr>
          <w:rFonts w:hint="default" w:ascii="Times New Roman" w:hAnsi="Times New Roman" w:cs="Times New Roman"/>
          <w:color w:val="auto"/>
          <w:sz w:val="24"/>
          <w:szCs w:val="24"/>
        </w:rPr>
        <w:t>贾若男,王晰巍,王楠阿雪. 突发事件网络舆情群体极化风险评估研究 [J]. 图书情报工作, 2024, 68 (06): 83-92.</w:t>
      </w:r>
      <w:bookmarkEnd w:id="58"/>
    </w:p>
    <w:p w14:paraId="59B6BDF7">
      <w:pPr>
        <w:numPr>
          <w:ilvl w:val="0"/>
          <w:numId w:val="5"/>
        </w:numPr>
        <w:ind w:left="425" w:leftChars="0" w:hanging="425" w:firstLineChars="0"/>
        <w:rPr>
          <w:rFonts w:hint="default" w:ascii="Times New Roman" w:hAnsi="Times New Roman" w:cs="Times New Roman"/>
          <w:color w:val="auto"/>
          <w:sz w:val="24"/>
          <w:szCs w:val="24"/>
        </w:rPr>
      </w:pPr>
      <w:bookmarkStart w:id="59" w:name="_Ref30966"/>
      <w:r>
        <w:rPr>
          <w:rFonts w:hint="default" w:ascii="Times New Roman" w:hAnsi="Times New Roman" w:cs="Times New Roman"/>
          <w:color w:val="auto"/>
          <w:sz w:val="24"/>
          <w:szCs w:val="24"/>
        </w:rPr>
        <w:t>刘婷,鲁梓萌,刘翕,等. 基于灾害链的突发公共事件网络舆情风险评估研究 [J]. 情报科学, 2025, 43 (01): 69-78.</w:t>
      </w:r>
      <w:bookmarkEnd w:id="59"/>
    </w:p>
    <w:p w14:paraId="1F3E0C53">
      <w:pPr>
        <w:numPr>
          <w:ilvl w:val="0"/>
          <w:numId w:val="5"/>
        </w:numPr>
        <w:ind w:left="425" w:leftChars="0" w:hanging="425" w:firstLineChars="0"/>
        <w:rPr>
          <w:rFonts w:hint="default" w:ascii="Times New Roman" w:hAnsi="Times New Roman" w:cs="Times New Roman"/>
          <w:color w:val="auto"/>
          <w:sz w:val="24"/>
          <w:szCs w:val="24"/>
        </w:rPr>
      </w:pPr>
      <w:bookmarkStart w:id="60" w:name="_Ref31475"/>
      <w:r>
        <w:rPr>
          <w:rFonts w:hint="default" w:ascii="Times New Roman" w:hAnsi="Times New Roman" w:cs="Times New Roman"/>
          <w:color w:val="auto"/>
          <w:sz w:val="24"/>
          <w:szCs w:val="24"/>
        </w:rPr>
        <w:t>于群,英启昊,曹娜,等. 基于属性数学理论的电网停电事故网络舆情风险评估 [J]. 电网技术, 2025, 49 (02): 719-726.</w:t>
      </w:r>
      <w:bookmarkEnd w:id="60"/>
    </w:p>
    <w:p w14:paraId="4D4D1C6B">
      <w:pPr>
        <w:numPr>
          <w:ilvl w:val="0"/>
          <w:numId w:val="5"/>
        </w:numPr>
        <w:ind w:left="425" w:leftChars="0" w:hanging="425" w:firstLineChars="0"/>
        <w:rPr>
          <w:rFonts w:hint="default" w:ascii="Times New Roman" w:hAnsi="Times New Roman" w:cs="Times New Roman"/>
          <w:color w:val="auto"/>
          <w:sz w:val="24"/>
          <w:szCs w:val="24"/>
        </w:rPr>
      </w:pPr>
      <w:bookmarkStart w:id="61" w:name="_Ref29506"/>
      <w:r>
        <w:rPr>
          <w:rFonts w:hint="default" w:ascii="Times New Roman" w:hAnsi="Times New Roman" w:cs="Times New Roman"/>
          <w:color w:val="auto"/>
          <w:sz w:val="24"/>
          <w:szCs w:val="24"/>
        </w:rPr>
        <w:t>刘秋艳,吴新年. 多要素评价中指标权重的确定方法评述 [J]. 知识管理论坛, 2017, 2 (06): 500-510.</w:t>
      </w:r>
      <w:bookmarkEnd w:id="61"/>
    </w:p>
    <w:p w14:paraId="6D70A714">
      <w:pPr>
        <w:numPr>
          <w:ilvl w:val="0"/>
          <w:numId w:val="5"/>
        </w:numPr>
        <w:ind w:left="425" w:leftChars="0" w:hanging="425" w:firstLineChars="0"/>
        <w:rPr>
          <w:rFonts w:hint="default" w:ascii="Times New Roman" w:hAnsi="Times New Roman" w:cs="Times New Roman"/>
          <w:color w:val="auto"/>
          <w:sz w:val="24"/>
          <w:szCs w:val="24"/>
        </w:rPr>
      </w:pPr>
      <w:bookmarkStart w:id="62" w:name="_Ref31740"/>
      <w:r>
        <w:rPr>
          <w:rFonts w:hint="default" w:ascii="Times New Roman" w:hAnsi="Times New Roman" w:cs="Times New Roman"/>
          <w:color w:val="auto"/>
          <w:sz w:val="24"/>
          <w:szCs w:val="24"/>
        </w:rPr>
        <w:t>朱国庆,陈燕,郎坤,等. 信息生态视角下森林火灾网络舆情风险预警研究 [J]. 东北大学学报(自然科学版), 2023, 44 (08): 1208-1216.</w:t>
      </w:r>
      <w:bookmarkEnd w:id="62"/>
    </w:p>
    <w:p w14:paraId="71C072D0">
      <w:pPr>
        <w:numPr>
          <w:ilvl w:val="0"/>
          <w:numId w:val="5"/>
        </w:numPr>
        <w:ind w:left="425" w:leftChars="0" w:hanging="425" w:firstLineChars="0"/>
        <w:rPr>
          <w:rFonts w:hint="default" w:ascii="Times New Roman" w:hAnsi="Times New Roman" w:cs="Times New Roman"/>
          <w:color w:val="auto"/>
          <w:sz w:val="24"/>
          <w:szCs w:val="24"/>
        </w:rPr>
      </w:pPr>
      <w:bookmarkStart w:id="63" w:name="_Ref31932"/>
      <w:r>
        <w:rPr>
          <w:rFonts w:hint="default" w:ascii="Times New Roman" w:hAnsi="Times New Roman" w:cs="Times New Roman"/>
          <w:color w:val="auto"/>
          <w:sz w:val="24"/>
          <w:szCs w:val="24"/>
        </w:rPr>
        <w:t>安璐,陈苗苗,李纲. 社交媒体环境下突发事件严重性评估和预警机制研究 [J]. 图书情报工作, 2021, 65 (05): 98-109.</w:t>
      </w:r>
      <w:bookmarkEnd w:id="63"/>
    </w:p>
    <w:p w14:paraId="25C88E4D">
      <w:pPr>
        <w:numPr>
          <w:ilvl w:val="0"/>
          <w:numId w:val="5"/>
        </w:numPr>
        <w:ind w:left="425" w:leftChars="0" w:hanging="425" w:firstLineChars="0"/>
        <w:rPr>
          <w:rFonts w:hint="default" w:ascii="Times New Roman" w:hAnsi="Times New Roman" w:cs="Times New Roman"/>
          <w:color w:val="auto"/>
          <w:sz w:val="24"/>
          <w:szCs w:val="24"/>
        </w:rPr>
      </w:pPr>
      <w:bookmarkStart w:id="64" w:name="_Ref32073"/>
      <w:r>
        <w:rPr>
          <w:rFonts w:hint="default" w:ascii="Times New Roman" w:hAnsi="Times New Roman" w:cs="Times New Roman"/>
          <w:color w:val="auto"/>
          <w:sz w:val="24"/>
          <w:szCs w:val="24"/>
        </w:rPr>
        <w:t>周炜,安璐,韩瑞莲. 突发事件网络舆情主题转变路径及其风险评估 [J]. 情报学报, 2024, 43 (10): 1227-1241.</w:t>
      </w:r>
      <w:bookmarkEnd w:id="64"/>
    </w:p>
    <w:p w14:paraId="6CB6BAA5">
      <w:pPr>
        <w:numPr>
          <w:ilvl w:val="0"/>
          <w:numId w:val="5"/>
        </w:numPr>
        <w:ind w:left="425" w:leftChars="0" w:hanging="425" w:firstLineChars="0"/>
        <w:rPr>
          <w:rFonts w:hint="default" w:ascii="Times New Roman" w:hAnsi="Times New Roman" w:cs="Times New Roman"/>
          <w:color w:val="auto"/>
          <w:sz w:val="24"/>
          <w:szCs w:val="24"/>
        </w:rPr>
      </w:pPr>
      <w:bookmarkStart w:id="65" w:name="_Ref32210"/>
      <w:r>
        <w:rPr>
          <w:rFonts w:hint="default" w:ascii="Times New Roman" w:hAnsi="Times New Roman" w:cs="Times New Roman"/>
          <w:color w:val="auto"/>
          <w:sz w:val="24"/>
          <w:szCs w:val="24"/>
        </w:rPr>
        <w:t>向青平,雷跃捷. 突发公共事件网络舆情风险的现代化协同治理机制:基于“事件—传播”的研究 [J]. 湘潭大学学报(哲学社会科学版), 2024, 48 (04): 160-164.</w:t>
      </w:r>
      <w:bookmarkEnd w:id="65"/>
    </w:p>
    <w:p w14:paraId="3E25B9FB">
      <w:pPr>
        <w:numPr>
          <w:ilvl w:val="0"/>
          <w:numId w:val="5"/>
        </w:numPr>
        <w:ind w:left="425" w:leftChars="0" w:hanging="425" w:firstLineChars="0"/>
        <w:rPr>
          <w:rFonts w:hint="default" w:ascii="Times New Roman" w:hAnsi="Times New Roman" w:cs="Times New Roman"/>
          <w:color w:val="auto"/>
          <w:sz w:val="24"/>
          <w:szCs w:val="24"/>
        </w:rPr>
      </w:pPr>
      <w:bookmarkStart w:id="66" w:name="_Ref32432"/>
      <w:r>
        <w:rPr>
          <w:rFonts w:hint="default" w:ascii="Times New Roman" w:hAnsi="Times New Roman" w:cs="Times New Roman"/>
          <w:color w:val="auto"/>
          <w:sz w:val="24"/>
          <w:szCs w:val="24"/>
          <w:lang w:val="en-US" w:eastAsia="zh-CN"/>
        </w:rPr>
        <w:t xml:space="preserve">杨志超,程冠一. 突发公共事件中的网络舆情风险及治理——基于2022—2024年30件网络舆情案例的分析 [J/OL]. 行政与法, 1-13[2025-11-18]. </w:t>
      </w:r>
      <w:bookmarkEnd w:id="66"/>
    </w:p>
    <w:p w14:paraId="1CC55FF2">
      <w:pPr>
        <w:numPr>
          <w:ilvl w:val="0"/>
          <w:numId w:val="5"/>
        </w:numPr>
        <w:ind w:left="425" w:leftChars="0" w:hanging="425" w:firstLineChars="0"/>
        <w:rPr>
          <w:rFonts w:hint="default" w:ascii="Times New Roman" w:hAnsi="Times New Roman" w:cs="Times New Roman"/>
          <w:color w:val="auto"/>
          <w:sz w:val="24"/>
          <w:szCs w:val="24"/>
        </w:rPr>
      </w:pPr>
      <w:bookmarkStart w:id="67" w:name="_Ref32523"/>
      <w:r>
        <w:rPr>
          <w:rFonts w:hint="default" w:ascii="Times New Roman" w:hAnsi="Times New Roman" w:cs="Times New Roman"/>
          <w:color w:val="auto"/>
          <w:sz w:val="24"/>
          <w:szCs w:val="24"/>
        </w:rPr>
        <w:t>张桢. 善治视角下公共突发事件网络舆情风险防范与社会治理研究 [J]. 文化与传播, 2020, 9 (05): 103-107.</w:t>
      </w:r>
      <w:bookmarkEnd w:id="67"/>
    </w:p>
    <w:p w14:paraId="762E2D0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68" w:name="_Ref32628"/>
      <w:r>
        <w:rPr>
          <w:rFonts w:hint="default" w:ascii="Times New Roman" w:hAnsi="Times New Roman" w:cs="Times New Roman"/>
          <w:color w:val="auto"/>
          <w:sz w:val="24"/>
          <w:szCs w:val="24"/>
        </w:rPr>
        <w:t>宋捷. 高校网络舆情治理：从风险防控到生态优化 [J]. 传媒论坛, 2025, (18): 93-95.</w:t>
      </w:r>
      <w:bookmarkEnd w:id="68"/>
    </w:p>
    <w:p w14:paraId="40493844">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69" w:name="_Ref9065"/>
      <w:r>
        <w:rPr>
          <w:rFonts w:hint="default" w:ascii="Times New Roman" w:hAnsi="Times New Roman" w:cs="Times New Roman"/>
          <w:color w:val="auto"/>
          <w:sz w:val="24"/>
          <w:szCs w:val="24"/>
          <w:lang w:val="en-US" w:eastAsia="zh-CN"/>
        </w:rPr>
        <w:t>邢雯婕. 博物馆文创产品设计研究 [J]. 艺术研究, 2022, (04): 168-172.</w:t>
      </w:r>
      <w:bookmarkEnd w:id="69"/>
    </w:p>
    <w:p w14:paraId="2D2EF45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0" w:name="_Ref9088"/>
      <w:r>
        <w:rPr>
          <w:rFonts w:hint="default" w:ascii="Times New Roman" w:hAnsi="Times New Roman" w:cs="Times New Roman"/>
          <w:color w:val="auto"/>
          <w:sz w:val="24"/>
          <w:szCs w:val="24"/>
          <w:lang w:val="en-US" w:eastAsia="zh-CN"/>
        </w:rPr>
        <w:t>葛佳琪,于炜,王婷. 故宫文创产品设计解析及借鉴意义研究 [J]. 设计, 2018, (05): 103-105.</w:t>
      </w:r>
      <w:bookmarkEnd w:id="70"/>
    </w:p>
    <w:p w14:paraId="601017C2">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1" w:name="_Ref9114"/>
      <w:r>
        <w:rPr>
          <w:rFonts w:hint="default" w:ascii="Times New Roman" w:hAnsi="Times New Roman" w:cs="Times New Roman"/>
          <w:color w:val="auto"/>
          <w:sz w:val="24"/>
          <w:szCs w:val="24"/>
          <w:lang w:val="en-US" w:eastAsia="zh-CN"/>
        </w:rPr>
        <w:t>陈凌云. 博物馆文化创意产品开发研究[D]. 上海大学, 2018.</w:t>
      </w:r>
      <w:bookmarkEnd w:id="71"/>
    </w:p>
    <w:p w14:paraId="7147D304">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2" w:name="_Ref9147"/>
      <w:r>
        <w:rPr>
          <w:rFonts w:hint="default" w:ascii="Times New Roman" w:hAnsi="Times New Roman" w:cs="Times New Roman"/>
          <w:color w:val="auto"/>
          <w:sz w:val="24"/>
          <w:szCs w:val="24"/>
          <w:lang w:val="en-US" w:eastAsia="zh-CN"/>
        </w:rPr>
        <w:t>魏婷婷. 当代博物馆文创产品与产业的发展现状与对策探讨 [J]. 中国民族博览, 2020, (20): 228-229.</w:t>
      </w:r>
      <w:bookmarkEnd w:id="72"/>
    </w:p>
    <w:p w14:paraId="1E46B638">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3" w:name="_Ref9170"/>
      <w:r>
        <w:rPr>
          <w:rFonts w:hint="default" w:ascii="Times New Roman" w:hAnsi="Times New Roman" w:cs="Times New Roman"/>
          <w:color w:val="auto"/>
          <w:sz w:val="24"/>
          <w:szCs w:val="24"/>
          <w:lang w:val="en-US" w:eastAsia="zh-CN"/>
        </w:rPr>
        <w:t>乔瑾. 博物馆文创产品开发现状及发展对策分析 [J]. 文物鉴定与鉴赏, 2021, (15): 133-135.</w:t>
      </w:r>
      <w:bookmarkEnd w:id="73"/>
    </w:p>
    <w:p w14:paraId="4D454265">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4" w:name="_Ref9202"/>
      <w:r>
        <w:rPr>
          <w:rFonts w:hint="default" w:ascii="Times New Roman" w:hAnsi="Times New Roman" w:cs="Times New Roman"/>
          <w:color w:val="auto"/>
          <w:sz w:val="24"/>
          <w:szCs w:val="24"/>
          <w:lang w:val="en-US" w:eastAsia="zh-CN"/>
        </w:rPr>
        <w:t>黄丽琼. 博物馆文创产品设计现状分析及改进措施 [J]. 艺术品鉴, 2022, (35): 100-103.</w:t>
      </w:r>
      <w:bookmarkEnd w:id="74"/>
    </w:p>
    <w:p w14:paraId="523770F1">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5" w:name="_Ref13297"/>
      <w:r>
        <w:rPr>
          <w:rFonts w:hint="default" w:ascii="Times New Roman" w:hAnsi="Times New Roman" w:cs="Times New Roman"/>
          <w:color w:val="auto"/>
          <w:sz w:val="24"/>
          <w:szCs w:val="24"/>
          <w:lang w:val="en-US" w:eastAsia="zh-CN"/>
        </w:rPr>
        <w:t>张尧. 基于博物馆资源的文化创意产品开发设计研究[D]. 苏州大学, 2015.</w:t>
      </w:r>
      <w:bookmarkEnd w:id="75"/>
    </w:p>
    <w:p w14:paraId="63337042">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6" w:name="_Ref13340"/>
      <w:r>
        <w:rPr>
          <w:rFonts w:hint="default" w:ascii="Times New Roman" w:hAnsi="Times New Roman" w:cs="Times New Roman"/>
          <w:color w:val="auto"/>
          <w:sz w:val="24"/>
          <w:szCs w:val="24"/>
          <w:lang w:val="en-US" w:eastAsia="zh-CN"/>
        </w:rPr>
        <w:t>金青梅,张鑫. 博物馆文创产品开发研究 [J]. 西安建筑科技大学学报(社会科学版), 2016, 35 (06): 42-46.</w:t>
      </w:r>
      <w:bookmarkEnd w:id="76"/>
    </w:p>
    <w:p w14:paraId="7805BD5D">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7" w:name="_Ref13376"/>
      <w:r>
        <w:rPr>
          <w:rFonts w:hint="default" w:ascii="Times New Roman" w:hAnsi="Times New Roman" w:cs="Times New Roman"/>
          <w:color w:val="auto"/>
          <w:sz w:val="24"/>
          <w:szCs w:val="24"/>
          <w:lang w:val="en-US" w:eastAsia="zh-CN"/>
        </w:rPr>
        <w:t>吴刘娟. 博物馆文化创意产品的研发与营销 [J]. 文化产业, 2023, (33): 1-3.</w:t>
      </w:r>
      <w:bookmarkEnd w:id="77"/>
    </w:p>
    <w:p w14:paraId="7B494A7E">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8" w:name="_Ref13418"/>
      <w:r>
        <w:rPr>
          <w:rFonts w:hint="default" w:ascii="Times New Roman" w:hAnsi="Times New Roman" w:cs="Times New Roman"/>
          <w:color w:val="auto"/>
          <w:sz w:val="24"/>
          <w:szCs w:val="24"/>
          <w:lang w:val="en-US" w:eastAsia="zh-CN"/>
        </w:rPr>
        <w:t>刘勇,柯佳明. 设计管理驱动博物馆文创产品开发策略研究 [J]. 家具与室内装饰, 2023, 30 (10): 46-50. DOI:10.16771/j.cn43-1247/ts.2023.10.009.</w:t>
      </w:r>
      <w:bookmarkEnd w:id="78"/>
    </w:p>
    <w:p w14:paraId="764222A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79" w:name="_Ref13470"/>
      <w:r>
        <w:rPr>
          <w:rFonts w:hint="default" w:ascii="Times New Roman" w:hAnsi="Times New Roman" w:cs="Times New Roman"/>
          <w:color w:val="auto"/>
          <w:sz w:val="24"/>
          <w:szCs w:val="24"/>
          <w:lang w:val="en-US" w:eastAsia="zh-CN"/>
        </w:rPr>
        <w:t>陈煜. 新媒体视域下博物馆文创产品开发策略研究 [J]. 中国包装, 2023, 43 (02): 86-88.</w:t>
      </w:r>
      <w:bookmarkEnd w:id="79"/>
    </w:p>
    <w:p w14:paraId="6687B638">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0" w:name="_Ref13513"/>
      <w:r>
        <w:rPr>
          <w:rFonts w:hint="default" w:ascii="Times New Roman" w:hAnsi="Times New Roman" w:cs="Times New Roman"/>
          <w:color w:val="auto"/>
          <w:sz w:val="24"/>
          <w:szCs w:val="24"/>
          <w:lang w:val="en-US" w:eastAsia="zh-CN"/>
        </w:rPr>
        <w:t>乔胜舟. 基于游戏化思维的博物馆文创产品设计研究 [J]. 绿色包装, 2025, (04): 178-181.</w:t>
      </w:r>
      <w:bookmarkEnd w:id="80"/>
    </w:p>
    <w:p w14:paraId="7372A1BE">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1" w:name="_Ref13572"/>
      <w:r>
        <w:rPr>
          <w:rFonts w:hint="default" w:ascii="Times New Roman" w:hAnsi="Times New Roman" w:cs="Times New Roman"/>
          <w:color w:val="auto"/>
          <w:sz w:val="24"/>
          <w:szCs w:val="24"/>
          <w:lang w:val="en-US" w:eastAsia="zh-CN"/>
        </w:rPr>
        <w:t>魏楷文,王崇东,刘磊. 基于接受心理下的三星堆博物馆文创产品设计分析 [J]. 鞋类工艺与设计, 2024, 4 (04): 197-200.</w:t>
      </w:r>
      <w:bookmarkEnd w:id="81"/>
    </w:p>
    <w:p w14:paraId="265CEA7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2" w:name="_Ref13650"/>
      <w:r>
        <w:rPr>
          <w:rFonts w:hint="default" w:ascii="Times New Roman" w:hAnsi="Times New Roman" w:cs="Times New Roman"/>
          <w:color w:val="auto"/>
          <w:sz w:val="24"/>
          <w:szCs w:val="24"/>
          <w:lang w:val="en-US" w:eastAsia="zh-CN"/>
        </w:rPr>
        <w:t>肖巍. 湖北省博物馆文创IP设计研究 [J]. 艺术品鉴, 2020, (11): 221-222.</w:t>
      </w:r>
      <w:bookmarkEnd w:id="82"/>
    </w:p>
    <w:p w14:paraId="7F81A98F">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3" w:name="_Ref13689"/>
      <w:r>
        <w:rPr>
          <w:rFonts w:hint="default" w:ascii="Times New Roman" w:hAnsi="Times New Roman" w:cs="Times New Roman"/>
          <w:color w:val="auto"/>
          <w:sz w:val="24"/>
          <w:szCs w:val="24"/>
          <w:lang w:val="en-US" w:eastAsia="zh-CN"/>
        </w:rPr>
        <w:t>周美玉,孙昕. 博物馆文创产品设计研究 [J]. 包装工程, 2020, 41 (20): 1-7.</w:t>
      </w:r>
      <w:bookmarkEnd w:id="83"/>
    </w:p>
    <w:p w14:paraId="4D99AFB0">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4" w:name="_Ref15126"/>
      <w:r>
        <w:rPr>
          <w:rFonts w:hint="default" w:ascii="Times New Roman" w:hAnsi="Times New Roman" w:cs="Times New Roman"/>
          <w:color w:val="auto"/>
          <w:sz w:val="24"/>
          <w:szCs w:val="24"/>
          <w:lang w:val="en-US" w:eastAsia="zh-CN"/>
        </w:rPr>
        <w:t>王琳. 河南博物院文创IP创新发展的路径探究 [J]. 明日风尚, 2024, (07): 161-163.</w:t>
      </w:r>
      <w:bookmarkEnd w:id="84"/>
    </w:p>
    <w:p w14:paraId="71B0F375">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5" w:name="_Ref15152"/>
      <w:r>
        <w:rPr>
          <w:rFonts w:hint="default" w:ascii="Times New Roman" w:hAnsi="Times New Roman" w:cs="Times New Roman"/>
          <w:color w:val="auto"/>
          <w:sz w:val="24"/>
          <w:szCs w:val="24"/>
          <w:lang w:val="en-US" w:eastAsia="zh-CN"/>
        </w:rPr>
        <w:t>吴春晖,范文静. 博物馆文创产品开发研究——以北京故宫博物院为例 [J]. 北京印刷学院学报, 2019, 27 (04): 37-41.</w:t>
      </w:r>
      <w:bookmarkEnd w:id="85"/>
    </w:p>
    <w:p w14:paraId="033CB858">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6" w:name="_Ref15172"/>
      <w:r>
        <w:rPr>
          <w:rFonts w:hint="default" w:ascii="Times New Roman" w:hAnsi="Times New Roman" w:cs="Times New Roman"/>
          <w:color w:val="auto"/>
          <w:sz w:val="24"/>
          <w:szCs w:val="24"/>
          <w:lang w:val="en-US" w:eastAsia="zh-CN"/>
        </w:rPr>
        <w:t>郑薇薇,王文丽,徐银权,等. 历史文化遗产类博物馆文旅融合发展路径研究——以宁波市为例 [J].</w:t>
      </w:r>
      <w:bookmarkEnd w:id="86"/>
      <w:r>
        <w:rPr>
          <w:rFonts w:hint="default" w:ascii="Times New Roman" w:hAnsi="Times New Roman" w:cs="Times New Roman"/>
          <w:color w:val="auto"/>
          <w:sz w:val="24"/>
          <w:szCs w:val="24"/>
          <w:lang w:val="en-US" w:eastAsia="zh-CN"/>
        </w:rPr>
        <w:t xml:space="preserve"> 文物鉴定与鉴赏, 2025, (01): 164-168.</w:t>
      </w:r>
    </w:p>
    <w:p w14:paraId="16BC6EE7">
      <w:pPr>
        <w:numPr>
          <w:ilvl w:val="0"/>
          <w:numId w:val="5"/>
        </w:numPr>
        <w:ind w:left="425" w:leftChars="0" w:hanging="425" w:firstLineChars="0"/>
        <w:rPr>
          <w:rFonts w:hint="default" w:ascii="Times New Roman" w:hAnsi="Times New Roman" w:cs="Times New Roman"/>
          <w:color w:val="auto"/>
          <w:sz w:val="24"/>
          <w:szCs w:val="24"/>
          <w:lang w:val="en-US" w:eastAsia="zh-CN"/>
        </w:rPr>
      </w:pPr>
      <w:bookmarkStart w:id="87" w:name="_Ref15195"/>
      <w:r>
        <w:rPr>
          <w:rFonts w:hint="default" w:ascii="Times New Roman" w:hAnsi="Times New Roman" w:cs="Times New Roman"/>
          <w:color w:val="auto"/>
          <w:sz w:val="24"/>
          <w:szCs w:val="24"/>
          <w:lang w:val="en-US" w:eastAsia="zh-CN"/>
        </w:rPr>
        <w:t>张倩倩. 博物馆文创发展路径的探索与实践——以孔子博物馆为例 [J]. 文物鉴定与鉴赏, 2025, (11): 92-95.</w:t>
      </w:r>
      <w:bookmarkEnd w:id="87"/>
    </w:p>
    <w:p w14:paraId="32ADD051">
      <w:pPr>
        <w:rPr>
          <w:rFonts w:hint="eastAsia"/>
          <w:color w:val="249087" w:themeColor="accent5" w:themeShade="BF"/>
        </w:rPr>
      </w:pPr>
    </w:p>
    <w:p w14:paraId="4BC04B9B">
      <w:pPr>
        <w:rPr>
          <w:rFonts w:hint="eastAsia"/>
          <w:color w:val="249087" w:themeColor="accent5" w:themeShade="BF"/>
        </w:rPr>
      </w:pPr>
    </w:p>
    <w:p w14:paraId="31BCEB3F">
      <w:pPr>
        <w:tabs>
          <w:tab w:val="left" w:pos="6228"/>
        </w:tabs>
        <w:ind w:firstLine="5520" w:firstLineChars="2300"/>
        <w:jc w:val="left"/>
        <w:rPr>
          <w:rFonts w:hint="eastAsia" w:eastAsia="宋体"/>
          <w:color w:val="auto"/>
          <w:sz w:val="24"/>
          <w:szCs w:val="24"/>
          <w:lang w:val="en-US" w:eastAsia="zh-CN"/>
        </w:rPr>
      </w:pPr>
      <w:bookmarkStart w:id="88" w:name="_GoBack"/>
      <w:bookmarkEnd w:id="88"/>
      <w:r>
        <w:rPr>
          <w:rFonts w:hint="eastAsia"/>
          <w:color w:val="auto"/>
          <w:sz w:val="24"/>
          <w:szCs w:val="24"/>
          <w:lang w:val="en-US" w:eastAsia="zh-CN"/>
        </w:rPr>
        <w:t>导师签字：</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 w:name="Wingdings 2">
    <w:altName w:val="Wingdings"/>
    <w:panose1 w:val="05020102010507070707"/>
    <w:charset w:val="02"/>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A509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447C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1D77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01D77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EBD03C"/>
    <w:multiLevelType w:val="singleLevel"/>
    <w:tmpl w:val="C0EBD03C"/>
    <w:lvl w:ilvl="0" w:tentative="0">
      <w:start w:val="2"/>
      <w:numFmt w:val="decimal"/>
      <w:lvlText w:val="%1."/>
      <w:lvlJc w:val="left"/>
      <w:pPr>
        <w:tabs>
          <w:tab w:val="left" w:pos="312"/>
        </w:tabs>
      </w:pPr>
    </w:lvl>
  </w:abstractNum>
  <w:abstractNum w:abstractNumId="1">
    <w:nsid w:val="1C5B21B9"/>
    <w:multiLevelType w:val="singleLevel"/>
    <w:tmpl w:val="1C5B21B9"/>
    <w:lvl w:ilvl="0" w:tentative="0">
      <w:start w:val="1"/>
      <w:numFmt w:val="decimal"/>
      <w:suff w:val="nothing"/>
      <w:lvlText w:val="（%1）"/>
      <w:lvlJc w:val="left"/>
    </w:lvl>
  </w:abstractNum>
  <w:abstractNum w:abstractNumId="2">
    <w:nsid w:val="27FA185C"/>
    <w:multiLevelType w:val="singleLevel"/>
    <w:tmpl w:val="27FA185C"/>
    <w:lvl w:ilvl="0" w:tentative="0">
      <w:start w:val="1"/>
      <w:numFmt w:val="decimal"/>
      <w:suff w:val="nothing"/>
      <w:lvlText w:val="（%1）"/>
      <w:lvlJc w:val="left"/>
    </w:lvl>
  </w:abstractNum>
  <w:abstractNum w:abstractNumId="3">
    <w:nsid w:val="291914EA"/>
    <w:multiLevelType w:val="singleLevel"/>
    <w:tmpl w:val="291914EA"/>
    <w:lvl w:ilvl="0" w:tentative="0">
      <w:start w:val="1"/>
      <w:numFmt w:val="decimal"/>
      <w:suff w:val="nothing"/>
      <w:lvlText w:val="（%1）"/>
      <w:lvlJc w:val="left"/>
    </w:lvl>
  </w:abstractNum>
  <w:abstractNum w:abstractNumId="4">
    <w:nsid w:val="631557B4"/>
    <w:multiLevelType w:val="singleLevel"/>
    <w:tmpl w:val="631557B4"/>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E16813"/>
    <w:rsid w:val="009A5857"/>
    <w:rsid w:val="00D54F2D"/>
    <w:rsid w:val="011253ED"/>
    <w:rsid w:val="02BF15A4"/>
    <w:rsid w:val="03CD1A9F"/>
    <w:rsid w:val="04262466"/>
    <w:rsid w:val="06523DAF"/>
    <w:rsid w:val="06F76BFB"/>
    <w:rsid w:val="0AAE1995"/>
    <w:rsid w:val="0D1129FD"/>
    <w:rsid w:val="0D3D054C"/>
    <w:rsid w:val="0F6A2898"/>
    <w:rsid w:val="11EF06BA"/>
    <w:rsid w:val="13EF22C9"/>
    <w:rsid w:val="158A5CCF"/>
    <w:rsid w:val="17974173"/>
    <w:rsid w:val="17E16813"/>
    <w:rsid w:val="184779C8"/>
    <w:rsid w:val="19255746"/>
    <w:rsid w:val="1AF57D36"/>
    <w:rsid w:val="21976550"/>
    <w:rsid w:val="21B509A3"/>
    <w:rsid w:val="237038B3"/>
    <w:rsid w:val="24462D1C"/>
    <w:rsid w:val="252C47A8"/>
    <w:rsid w:val="25FF7D86"/>
    <w:rsid w:val="276E2ACE"/>
    <w:rsid w:val="27762B06"/>
    <w:rsid w:val="280546D4"/>
    <w:rsid w:val="28850088"/>
    <w:rsid w:val="291640F4"/>
    <w:rsid w:val="2BF8042B"/>
    <w:rsid w:val="2D73454E"/>
    <w:rsid w:val="302B3BE2"/>
    <w:rsid w:val="32036DFA"/>
    <w:rsid w:val="33415E50"/>
    <w:rsid w:val="341113B0"/>
    <w:rsid w:val="35586B6B"/>
    <w:rsid w:val="3A6179A2"/>
    <w:rsid w:val="3AAE5A84"/>
    <w:rsid w:val="3C574E55"/>
    <w:rsid w:val="3D6F7148"/>
    <w:rsid w:val="3DF918B9"/>
    <w:rsid w:val="3ED90D1D"/>
    <w:rsid w:val="40F63296"/>
    <w:rsid w:val="45556780"/>
    <w:rsid w:val="46E44703"/>
    <w:rsid w:val="46F5246C"/>
    <w:rsid w:val="4992545E"/>
    <w:rsid w:val="49D46750"/>
    <w:rsid w:val="4B1F5D09"/>
    <w:rsid w:val="4B4106B8"/>
    <w:rsid w:val="4E282FD1"/>
    <w:rsid w:val="4F5057E1"/>
    <w:rsid w:val="500049BD"/>
    <w:rsid w:val="50067498"/>
    <w:rsid w:val="53F648B3"/>
    <w:rsid w:val="541F216B"/>
    <w:rsid w:val="55A4688A"/>
    <w:rsid w:val="590E560F"/>
    <w:rsid w:val="5A265019"/>
    <w:rsid w:val="5C0A6062"/>
    <w:rsid w:val="5CC11051"/>
    <w:rsid w:val="5D2472B9"/>
    <w:rsid w:val="5D973E25"/>
    <w:rsid w:val="5E3A0EFC"/>
    <w:rsid w:val="5F5E6069"/>
    <w:rsid w:val="613977D6"/>
    <w:rsid w:val="63F06D02"/>
    <w:rsid w:val="65450B1D"/>
    <w:rsid w:val="69493201"/>
    <w:rsid w:val="6CF50B68"/>
    <w:rsid w:val="6E9D5013"/>
    <w:rsid w:val="700C41FF"/>
    <w:rsid w:val="72600832"/>
    <w:rsid w:val="75226272"/>
    <w:rsid w:val="76C75323"/>
    <w:rsid w:val="773A78A3"/>
    <w:rsid w:val="78D635FC"/>
    <w:rsid w:val="7A3F4413"/>
    <w:rsid w:val="7BA24D4C"/>
    <w:rsid w:val="7CE81B50"/>
    <w:rsid w:val="7D6464C5"/>
    <w:rsid w:val="7FA06711"/>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12582</Words>
  <Characters>13460</Characters>
  <Lines>0</Lines>
  <Paragraphs>0</Paragraphs>
  <TotalTime>4</TotalTime>
  <ScaleCrop>false</ScaleCrop>
  <LinksUpToDate>false</LinksUpToDate>
  <CharactersWithSpaces>13506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2025-11-09T08:16:00Z</dcterms:created>
  <dc:creator>Ancestor诗</dc:creator>
  <cp:lastModifiedBy>Ancestor诗</cp:lastModifiedBy>
  <dcterms:modified xsi:type="dcterms:W3CDTF">2025-12-08T01:46:02Z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633F9323F84049038EC38A06D8D043EE_11</vt:lpwstr>
  </property>
  <property fmtid="{D5CDD505-2E9C-101B-9397-08002B2CF9AE}" pid="4" name="KSOTemplateDocerSaveRecord">
    <vt:lpwstr>eyJoZGlkIjoiYWZhOWU1MGU0NDU5YjgwNjVmNmFkM2IxZGU3MDUxY2EiLCJ1c2VySWQiOiI0MDk2NDQzNTQifQ==</vt:lpwstr>
  </property>
</Properties>
</file>