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Programing Code and Outcomes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Cecilia Shields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MIS581-1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den Heijer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7, 2022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1: Summary Statistics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05104" cy="339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104" cy="339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 means data=WORK.BURNOUTDATA chartype mean std min max n vardef=df;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var Designation 'Resource Allocation'n 'Mental Fatigue Score'n 'Burn Rate'n;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class Gender 'Company Type'n 'WFH Setup Available'n;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Figure 2: Gender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341532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41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 sgplot data=WORK.BURNOUTDATA;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title height=14pt "Average Burn Out Rate by Gender";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vbar Gender / response='Burn Rate'n datalabel stat=mean;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yaxis grid;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ods graphics / reset;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title;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Figure 3: Company Type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34088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40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 sgplot data=WORK.BURNOUTDATA;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title height=14pt "Average Burn Out Rate by Company Type";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vbar 'Company Type'n / response='Burn Rate'n datalabel stat=mean;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yaxis grid;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ods graphics / reset;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Figure 4: Designation, Resource Allocation, Mental Fatigue Score Correlation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&gt;cor(BurnOutData$Designation,BurnOutData$`Burn Rate`, use = “complete.obs”)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&gt;cor(BurnOutData$`Resource Allocation`,BurnOutData$`Burn Rate`, use = “complete.obs”)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&gt;cor(BurnOutData$`Mental Fatigue Score`,BurnOutData$`Burn Rate`, use = “complete.obs”)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Figure 5: WFH Setup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5231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52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proc sgplot data=WORK.BURNOUTDATA;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title height=14pt "Average Burn Out Rate with or without WFH Setup";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vbar 'WFH Setup Available'n / response='Burn Rate'n datalabel stat=mean;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yaxis grid;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ods graphics / reset;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title;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6: Gender Pie Chart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3585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58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 template;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define statgraph SASStudio.Pie;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begingraph;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entrytitle "Survey Gender Spread" / textattrs=(size=14);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layout region;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piechart category=Gender / stat=pct;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endlayout;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endgraph;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ods graphics / reset width=6.4in height=4.8in imagemap;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proc sgrender template=SASStudio.Pie data=WORK.BURNOUTDATA;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ods graphics / reset;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