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60" w:type="dxa"/>
        <w:jc w:val="center"/>
        <w:tblLook w:val="04A0" w:firstRow="1" w:lastRow="0" w:firstColumn="1" w:lastColumn="0" w:noHBand="0" w:noVBand="1"/>
      </w:tblPr>
      <w:tblGrid>
        <w:gridCol w:w="279"/>
        <w:gridCol w:w="9781"/>
      </w:tblGrid>
      <w:tr w:rsidR="0006774B" w:rsidRPr="00663EFE" w14:paraId="09D19043" w14:textId="77777777" w:rsidTr="0006774B">
        <w:trPr>
          <w:jc w:val="center"/>
        </w:trPr>
        <w:tc>
          <w:tcPr>
            <w:tcW w:w="279" w:type="dxa"/>
          </w:tcPr>
          <w:p w14:paraId="65EF45C9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7552DFA" w14:textId="464A4AC0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Данные, информация, знания. Пирамида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DIKW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. Преобразование данных в информацию. Формы представления и свойства информации: адекватность, достоверность, полнота, доступность, актуальность, полезность и другие. Характеристики качества информации.</w:t>
            </w:r>
          </w:p>
        </w:tc>
      </w:tr>
      <w:tr w:rsidR="0006774B" w:rsidRPr="00663EFE" w14:paraId="380E5F2A" w14:textId="77777777" w:rsidTr="0006774B">
        <w:trPr>
          <w:jc w:val="center"/>
        </w:trPr>
        <w:tc>
          <w:tcPr>
            <w:tcW w:w="279" w:type="dxa"/>
          </w:tcPr>
          <w:p w14:paraId="479815E8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308D4EA2" w14:textId="2B228DF4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в контексте экономической среды организации. Уровни управления в организации. Экономическая и управленческая информация. </w:t>
            </w:r>
          </w:p>
        </w:tc>
      </w:tr>
      <w:tr w:rsidR="0006774B" w:rsidRPr="00663EFE" w14:paraId="4F787563" w14:textId="77777777" w:rsidTr="0006774B">
        <w:trPr>
          <w:jc w:val="center"/>
        </w:trPr>
        <w:tc>
          <w:tcPr>
            <w:tcW w:w="279" w:type="dxa"/>
          </w:tcPr>
          <w:p w14:paraId="1A659E95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781892E" w14:textId="67AC9A30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Понятие информационной технологии. Информационные революции. Феномен персональных вычислений. </w:t>
            </w:r>
          </w:p>
        </w:tc>
      </w:tr>
      <w:tr w:rsidR="0006774B" w:rsidRPr="00663EFE" w14:paraId="242DBF09" w14:textId="77777777" w:rsidTr="0006774B">
        <w:trPr>
          <w:jc w:val="center"/>
        </w:trPr>
        <w:tc>
          <w:tcPr>
            <w:tcW w:w="279" w:type="dxa"/>
          </w:tcPr>
          <w:p w14:paraId="5B3C4256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31C9C23F" w14:textId="63A40764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Информационное общество. Характерные черты информационного общества. Федеральная целевая программа «Электронное общество». Электронное правительство. Цифровая трансформация.</w:t>
            </w:r>
          </w:p>
        </w:tc>
      </w:tr>
      <w:tr w:rsidR="0006774B" w:rsidRPr="00663EFE" w14:paraId="2F6993D3" w14:textId="77777777" w:rsidTr="0006774B">
        <w:trPr>
          <w:jc w:val="center"/>
        </w:trPr>
        <w:tc>
          <w:tcPr>
            <w:tcW w:w="279" w:type="dxa"/>
          </w:tcPr>
          <w:p w14:paraId="0A066F13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33DFE539" w14:textId="26BC6D02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ресурсы, информационные продукты и информационные услуги. Виды информационных услуг. Поставщики и потребители информационных продуктов и услуг. Рынок информационных продуктов и услуг.</w:t>
            </w:r>
          </w:p>
        </w:tc>
      </w:tr>
      <w:tr w:rsidR="0006774B" w:rsidRPr="00663EFE" w14:paraId="469B52AC" w14:textId="77777777" w:rsidTr="0006774B">
        <w:trPr>
          <w:jc w:val="center"/>
        </w:trPr>
        <w:tc>
          <w:tcPr>
            <w:tcW w:w="279" w:type="dxa"/>
          </w:tcPr>
          <w:p w14:paraId="0058D083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6A43D04F" w14:textId="25AEABDD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Структурная схема ПК. Устройства ввода и вывода, их технические характеристики. Процессоры, тактовая частота и производительность. Устройства хранения информации, технические характеристики.</w:t>
            </w:r>
          </w:p>
        </w:tc>
      </w:tr>
      <w:tr w:rsidR="0006774B" w:rsidRPr="00663EFE" w14:paraId="7E528A5E" w14:textId="77777777" w:rsidTr="0006774B">
        <w:trPr>
          <w:jc w:val="center"/>
        </w:trPr>
        <w:tc>
          <w:tcPr>
            <w:tcW w:w="279" w:type="dxa"/>
          </w:tcPr>
          <w:p w14:paraId="4FBF6EE5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7E0E1BEF" w14:textId="3903F15C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категории компьютеров: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-метки, микроконтроллеры, микрокомпьютеры; миникомпьютеры и серверы; мейнфреймы; суперкомпьютеры. Перспективы развития компьютерной техники.</w:t>
            </w:r>
          </w:p>
        </w:tc>
      </w:tr>
      <w:tr w:rsidR="0006774B" w:rsidRPr="00663EFE" w14:paraId="37FDFCCA" w14:textId="77777777" w:rsidTr="0006774B">
        <w:trPr>
          <w:jc w:val="center"/>
        </w:trPr>
        <w:tc>
          <w:tcPr>
            <w:tcW w:w="279" w:type="dxa"/>
          </w:tcPr>
          <w:p w14:paraId="3F9343BD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0F9A92CA" w14:textId="73A08AAD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Телекоммуникационные сети. Компьютерные сети. Закон 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Мэтклафа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. Аппаратура передачи данных (коммуникационное оборудование). Каналы связи: проводные и беспроводные. Типы компьютерных сетей (персональные, локальные, муниципальные, глобальные). Топология локальных сетей. </w:t>
            </w:r>
          </w:p>
        </w:tc>
      </w:tr>
      <w:tr w:rsidR="0006774B" w:rsidRPr="00663EFE" w14:paraId="008DC97A" w14:textId="77777777" w:rsidTr="0006774B">
        <w:trPr>
          <w:jc w:val="center"/>
        </w:trPr>
        <w:tc>
          <w:tcPr>
            <w:tcW w:w="279" w:type="dxa"/>
          </w:tcPr>
          <w:p w14:paraId="25D7AE12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E3DB677" w14:textId="655CDC1A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Интернет. </w:t>
            </w:r>
            <w:proofErr w:type="gramStart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Интернет провайдеры</w:t>
            </w:r>
            <w:proofErr w:type="gramEnd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. Модели делового взаимодействия в Интернете. Роль Интернета в реструктуризации деловых отношений. Интранет и 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экстранет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. Всемирная паутина. Мобильный интернет. Интернет вещей.</w:t>
            </w:r>
          </w:p>
        </w:tc>
      </w:tr>
      <w:tr w:rsidR="0006774B" w:rsidRPr="00663EFE" w14:paraId="60AF4EAE" w14:textId="77777777" w:rsidTr="0006774B">
        <w:trPr>
          <w:jc w:val="center"/>
        </w:trPr>
        <w:tc>
          <w:tcPr>
            <w:tcW w:w="279" w:type="dxa"/>
          </w:tcPr>
          <w:p w14:paraId="5A77036B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2CAFF42" w14:textId="667776F5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Алгоритм, программа, программное обеспечение (ПО). Основные категории ПО: системное ПО и прикладное ПО. Системное ПО: операционные системы, системы программирования, утилиты и драйверы. Прикладное ПО: прикладные программы общего назначения и специализированные прикладные программы. Программы работы с текстами: текстовые редакторы и процессоры, настольные издательские системы, системы распознавания текстов, программы конвертации.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 Приложения управления задачами и проектами. Персональный информационный менеджер. Электронный органайзер. Электронные таблицы. Системы управления базами данных. Программы для работы в интернете. 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Groupware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или 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collaborative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software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– программное обеспечение для совместной работы группы людей.</w:t>
            </w:r>
          </w:p>
        </w:tc>
      </w:tr>
      <w:tr w:rsidR="0006774B" w:rsidRPr="00663EFE" w14:paraId="375C969D" w14:textId="77777777" w:rsidTr="0006774B">
        <w:trPr>
          <w:jc w:val="center"/>
        </w:trPr>
        <w:tc>
          <w:tcPr>
            <w:tcW w:w="279" w:type="dxa"/>
          </w:tcPr>
          <w:p w14:paraId="406A62E5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C60C46E" w14:textId="101B7D3B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ПО: операционные системы, системы программирования, утилиты и драйверы. Операционная система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774B" w:rsidRPr="00663EFE" w14:paraId="1A94A748" w14:textId="77777777" w:rsidTr="0006774B">
        <w:trPr>
          <w:jc w:val="center"/>
        </w:trPr>
        <w:tc>
          <w:tcPr>
            <w:tcW w:w="279" w:type="dxa"/>
          </w:tcPr>
          <w:p w14:paraId="760AD907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1934D323" w14:textId="09A00D50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Файловые системы. Понятие базы данных. Документальные и фактографические базы данных.  Базы данных, хранящие данные в свободном формате. Гипертекстовые базы данных. Хранилища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витрины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Data mining. Text mining. Web mining. OLAP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. Дата-центры (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ЦОДы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 – центры обработки данных).</w:t>
            </w:r>
          </w:p>
        </w:tc>
      </w:tr>
      <w:tr w:rsidR="0006774B" w:rsidRPr="00663EFE" w14:paraId="6E3067AD" w14:textId="77777777" w:rsidTr="0006774B">
        <w:trPr>
          <w:jc w:val="center"/>
        </w:trPr>
        <w:tc>
          <w:tcPr>
            <w:tcW w:w="279" w:type="dxa"/>
          </w:tcPr>
          <w:p w14:paraId="53E22629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5DEC4CB" w14:textId="5C2B7779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Системы управления базами данных. Языки баз данных. Логические модели данных. Реляционные базы данных. СУБД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. Язык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774B" w:rsidRPr="00663EFE" w14:paraId="0682CAF1" w14:textId="77777777" w:rsidTr="0006774B">
        <w:trPr>
          <w:jc w:val="center"/>
        </w:trPr>
        <w:tc>
          <w:tcPr>
            <w:tcW w:w="279" w:type="dxa"/>
          </w:tcPr>
          <w:p w14:paraId="52064012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4D4E5DA" w14:textId="0A934CC1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 xml:space="preserve">Программы работы с текстами: текстовые редакторы и процессоры, настольные издательские системы, системы распознавания текстов, программы конвертации. Форматы текстовых документов и их  особенности. Текстовый процессор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774B" w:rsidRPr="00663EFE" w14:paraId="22883A5A" w14:textId="77777777" w:rsidTr="0006774B">
        <w:trPr>
          <w:jc w:val="center"/>
        </w:trPr>
        <w:tc>
          <w:tcPr>
            <w:tcW w:w="279" w:type="dxa"/>
          </w:tcPr>
          <w:p w14:paraId="62B044DC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1F4E8670" w14:textId="4FF43BE3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Векторная и растровая графика.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</w:t>
            </w:r>
          </w:p>
        </w:tc>
      </w:tr>
      <w:tr w:rsidR="0006774B" w:rsidRPr="00663EFE" w14:paraId="64C88A37" w14:textId="77777777" w:rsidTr="0006774B">
        <w:trPr>
          <w:jc w:val="center"/>
        </w:trPr>
        <w:tc>
          <w:tcPr>
            <w:tcW w:w="279" w:type="dxa"/>
          </w:tcPr>
          <w:p w14:paraId="5F3342FE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C9E023C" w14:textId="472709B1" w:rsidR="0006774B" w:rsidRPr="00663EFE" w:rsidRDefault="0006774B" w:rsidP="00DC5E2E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</w:rPr>
              <w:t>Табличные процессоры. История развития электронных таблиц.</w:t>
            </w:r>
            <w:r w:rsidR="00DC5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Excel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Google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таблицы. Основные элементы электронной таблицы: листы, ячейки, адресация ячеек,  ленты команд, строка ввода. Типы данных. Формулы. Встроенные функции. Относительная и абсолютная адресация ячеек.</w:t>
            </w:r>
          </w:p>
        </w:tc>
      </w:tr>
      <w:tr w:rsidR="0006774B" w:rsidRPr="00663EFE" w14:paraId="66B567DC" w14:textId="77777777" w:rsidTr="00AF45D2">
        <w:trPr>
          <w:trHeight w:val="1301"/>
          <w:jc w:val="center"/>
        </w:trPr>
        <w:tc>
          <w:tcPr>
            <w:tcW w:w="279" w:type="dxa"/>
          </w:tcPr>
          <w:p w14:paraId="7C6B58B0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73269E5C" w14:textId="77777777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Табличный процессор MS Excel. Пользовательский интерфейс: лента, контекстное меню, модальные и немодальные окна диалога, клавиатурные сокращения, смарт-теги. Ввод и форматирование данных. Создание диаграмм. </w:t>
            </w:r>
            <w:proofErr w:type="spellStart"/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Спарклайны</w:t>
            </w:r>
            <w:proofErr w:type="spellEnd"/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bookmarkStart w:id="0" w:name="_GoBack"/>
            <w:bookmarkEnd w:id="0"/>
          </w:p>
          <w:p w14:paraId="3D3649AE" w14:textId="77777777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</w:p>
        </w:tc>
      </w:tr>
      <w:tr w:rsidR="0006774B" w:rsidRPr="00663EFE" w14:paraId="74FF0246" w14:textId="77777777" w:rsidTr="0006774B">
        <w:trPr>
          <w:jc w:val="center"/>
        </w:trPr>
        <w:tc>
          <w:tcPr>
            <w:tcW w:w="279" w:type="dxa"/>
          </w:tcPr>
          <w:p w14:paraId="585E3FFB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B961374" w14:textId="77777777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Формулы Excel. Арифметические и логические выражения. Встроенные функции: математические, логические, текстовые, статистические, дата и время, проверка свойств и значений. Копирование формул.</w:t>
            </w:r>
          </w:p>
          <w:p w14:paraId="32C970F4" w14:textId="37750F80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Операции с листами. Работа с диапазонами ячеек. Формулы массивов.</w:t>
            </w:r>
          </w:p>
        </w:tc>
      </w:tr>
      <w:tr w:rsidR="0006774B" w:rsidRPr="00663EFE" w14:paraId="59F38674" w14:textId="77777777" w:rsidTr="0006774B">
        <w:trPr>
          <w:jc w:val="center"/>
        </w:trPr>
        <w:tc>
          <w:tcPr>
            <w:tcW w:w="279" w:type="dxa"/>
          </w:tcPr>
          <w:p w14:paraId="76073C20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0E9A8BD8" w14:textId="20E06A7B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Сводные таблицы. Источники данных для сводных таблиц. Структура сводной таблицы. Сводные диаграммы. </w:t>
            </w:r>
          </w:p>
        </w:tc>
      </w:tr>
      <w:tr w:rsidR="0006774B" w:rsidRPr="00663EFE" w14:paraId="62E64403" w14:textId="77777777" w:rsidTr="0006774B">
        <w:trPr>
          <w:jc w:val="center"/>
        </w:trPr>
        <w:tc>
          <w:tcPr>
            <w:tcW w:w="279" w:type="dxa"/>
          </w:tcPr>
          <w:p w14:paraId="6E79F7B0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C61C760" w14:textId="77777777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Excel и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VBA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Концепция объектов Excel. Объектная модель Excel. Иерархия объектов. Коллекция. Свойства и методы.</w:t>
            </w:r>
          </w:p>
          <w:p w14:paraId="2E2A8DC9" w14:textId="77777777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Приложения электронных таблиц. </w:t>
            </w:r>
          </w:p>
          <w:p w14:paraId="58201C30" w14:textId="318E1EAE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Вкладка «Разработчик». Макросы. Редактор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VBE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6774B" w:rsidRPr="00663EFE" w14:paraId="340E0A75" w14:textId="77777777" w:rsidTr="0006774B">
        <w:trPr>
          <w:jc w:val="center"/>
        </w:trPr>
        <w:tc>
          <w:tcPr>
            <w:tcW w:w="279" w:type="dxa"/>
          </w:tcPr>
          <w:p w14:paraId="36CC1A7B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F20B008" w14:textId="343BB7B4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Язык 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VBA</w:t>
            </w: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 основные элементы и конструкции.</w:t>
            </w:r>
          </w:p>
        </w:tc>
      </w:tr>
      <w:tr w:rsidR="0006774B" w:rsidRPr="00663EFE" w14:paraId="68E2B86F" w14:textId="77777777" w:rsidTr="0006774B">
        <w:trPr>
          <w:jc w:val="center"/>
        </w:trPr>
        <w:tc>
          <w:tcPr>
            <w:tcW w:w="279" w:type="dxa"/>
          </w:tcPr>
          <w:p w14:paraId="19B40565" w14:textId="77777777" w:rsidR="0006774B" w:rsidRPr="00663EFE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A3FB3D5" w14:textId="72033A99" w:rsidR="0006774B" w:rsidRPr="00663EFE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663E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Тенденции и перспективы развития информационных технологий.</w:t>
            </w:r>
          </w:p>
        </w:tc>
      </w:tr>
    </w:tbl>
    <w:p w14:paraId="4DF31B03" w14:textId="77777777" w:rsidR="00A355CD" w:rsidRPr="00663EFE" w:rsidRDefault="00A355CD" w:rsidP="0006774B">
      <w:pPr>
        <w:ind w:left="851"/>
        <w:rPr>
          <w:rFonts w:ascii="Times New Roman" w:hAnsi="Times New Roman" w:cs="Times New Roman"/>
        </w:rPr>
      </w:pPr>
    </w:p>
    <w:sectPr w:rsidR="00A355CD" w:rsidRPr="00663EFE" w:rsidSect="0006774B">
      <w:pgSz w:w="12240" w:h="15840"/>
      <w:pgMar w:top="993" w:right="850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C95"/>
    <w:multiLevelType w:val="hybridMultilevel"/>
    <w:tmpl w:val="B360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198A"/>
    <w:multiLevelType w:val="hybridMultilevel"/>
    <w:tmpl w:val="80501276"/>
    <w:lvl w:ilvl="0" w:tplc="9C8AE834">
      <w:start w:val="1"/>
      <w:numFmt w:val="decimal"/>
      <w:lvlText w:val="%1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4B"/>
    <w:rsid w:val="0006774B"/>
    <w:rsid w:val="00094295"/>
    <w:rsid w:val="000F41FA"/>
    <w:rsid w:val="000F6A1C"/>
    <w:rsid w:val="00202429"/>
    <w:rsid w:val="004429D1"/>
    <w:rsid w:val="00464F5F"/>
    <w:rsid w:val="004C240A"/>
    <w:rsid w:val="004D4792"/>
    <w:rsid w:val="00663EFE"/>
    <w:rsid w:val="0075324C"/>
    <w:rsid w:val="007F5F43"/>
    <w:rsid w:val="009D34EA"/>
    <w:rsid w:val="00A355CD"/>
    <w:rsid w:val="00AF45D2"/>
    <w:rsid w:val="00B47C95"/>
    <w:rsid w:val="00C351EC"/>
    <w:rsid w:val="00D92272"/>
    <w:rsid w:val="00DC5E2E"/>
    <w:rsid w:val="00ED116E"/>
    <w:rsid w:val="00FB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4A19"/>
  <w15:chartTrackingRefBased/>
  <w15:docId w15:val="{0A863028-9B88-44F1-9467-EAB433E6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20</cp:revision>
  <dcterms:created xsi:type="dcterms:W3CDTF">2020-01-02T22:11:00Z</dcterms:created>
  <dcterms:modified xsi:type="dcterms:W3CDTF">2020-01-03T21:58:00Z</dcterms:modified>
</cp:coreProperties>
</file>