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Парадокс Симпсона, Пестерев, 131-ПИо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Парадокс Симпсона — явление в статистике, когда мы видим в каждой из групп данных определенную зависимость, но при объединении этих групп зависимость исчезает или становится противоположной. Это явление было описано Эдвардом Симпсоном в 1951 году и Удни Юлом в 1903 году. Иногда это явление называют «парадоксом объединения». Удивительно, но эффект этого парадокса часто проявляется в области социологических наук и медицинской статистике, что иногда мешает проведению исследований и любой другой обработке собранных данных. Из-за этого парадокса часто могут делаться неверные выводы в исследованиях.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Согласно парадоксу </w:t>
      </w:r>
      <w:r>
        <w:rPr>
          <w:rStyle w:val="9"/>
          <w:rFonts w:ascii="Times New Roman" w:hAnsi="Times New Roman" w:cs="Times New Roman"/>
          <w:sz w:val="22"/>
          <w:szCs w:val="22"/>
        </w:rPr>
        <w:t>фактор</w:t>
      </w:r>
      <w:r>
        <w:rPr>
          <w:rFonts w:ascii="Times New Roman" w:hAnsi="Times New Roman" w:cs="Times New Roman"/>
          <w:sz w:val="22"/>
          <w:szCs w:val="22"/>
        </w:rPr>
        <w:t>, больше проявляющийся при любых фонов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ых условиях, чем противоположный ему, проигрывает менее эффективному, но относительно часто встречающемуся фактору. Эффект этого парадокса на удивление часто проявляется в области </w:t>
      </w:r>
      <w:r>
        <w:rPr>
          <w:rStyle w:val="9"/>
          <w:rFonts w:ascii="Times New Roman" w:hAnsi="Times New Roman" w:cs="Times New Roman"/>
          <w:sz w:val="22"/>
          <w:szCs w:val="22"/>
        </w:rPr>
        <w:t>социологических</w:t>
      </w:r>
      <w:r>
        <w:rPr>
          <w:rFonts w:ascii="Times New Roman" w:hAnsi="Times New Roman" w:cs="Times New Roman"/>
          <w:sz w:val="22"/>
          <w:szCs w:val="22"/>
        </w:rPr>
        <w:t xml:space="preserve"> наук и </w:t>
      </w:r>
      <w:r>
        <w:rPr>
          <w:rStyle w:val="9"/>
          <w:rFonts w:ascii="Times New Roman" w:hAnsi="Times New Roman" w:cs="Times New Roman"/>
          <w:sz w:val="22"/>
          <w:szCs w:val="22"/>
        </w:rPr>
        <w:t>медицинской</w:t>
      </w:r>
      <w:r>
        <w:rPr>
          <w:rFonts w:ascii="Times New Roman" w:hAnsi="Times New Roman" w:cs="Times New Roman"/>
          <w:sz w:val="22"/>
          <w:szCs w:val="22"/>
        </w:rPr>
        <w:t xml:space="preserve"> статистике; это происходит, когда весовая переменная не учитывается для одной группы, но должна использоваться при расчётах общих оценок.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2"/>
          <w:szCs w:val="22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2"/>
          <w:szCs w:val="22"/>
          <w:lang w:eastAsia="ru-RU"/>
        </w:rPr>
        <w:t>Пример М. Гарднера с камнями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2"/>
          <w:szCs w:val="22"/>
          <w:lang w:eastAsia="ru-RU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Пусть мы имеем четыре набора камней. Вероятность вытащить чёрный камень набора № 1 выше, чем из набора № 2. В свою очередь, вероятность вытащить чёрный камень из набора № 3 больше, чем из набора № 4. Объединим набор № 1 с набором № 3 (получим набор I), а набор № 2 — с набором № 4 (набор II). Интуитивно можно ожидать, что вероятность вытащить чёрный камень из набора I будет выше, чем из набора II. Однако, в общем случае такое утверждение неверно.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2"/>
          <w:szCs w:val="22"/>
          <w:lang w:eastAsia="ru-RU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Математическое доказательство такое. Пусть </w:t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drawing>
          <wp:inline distT="0" distB="0" distL="0" distR="0">
            <wp:extent cx="186055" cy="170180"/>
            <wp:effectExtent l="0" t="0" r="4445" b="1270"/>
            <wp:docPr id="10" name="Рисунок 10" descr="{\displaystyle n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{\displaystyle n_{i}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1" cy="17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— число чёрных камней в </w:t>
      </w:r>
      <w:r>
        <w:rPr>
          <w:rFonts w:ascii="Times New Roman" w:hAnsi="Times New Roman" w:eastAsia="Times New Roman" w:cs="Times New Roman"/>
          <w:sz w:val="22"/>
          <w:szCs w:val="22"/>
          <w:lang w:val="en-US" w:eastAsia="ru-RU"/>
        </w:rPr>
        <w:t>i</w:t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-ом наборе (выборке), </w:t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drawing>
          <wp:inline distT="0" distB="0" distL="0" distR="0">
            <wp:extent cx="217170" cy="152400"/>
            <wp:effectExtent l="0" t="0" r="0" b="0"/>
            <wp:docPr id="8" name="Рисунок 8" descr="{\displaystyle m_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{\displaystyle m_{i}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43" cy="15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— общее число камней в </w:t>
      </w:r>
      <w:r>
        <w:rPr>
          <w:rFonts w:ascii="Times New Roman" w:hAnsi="Times New Roman" w:eastAsia="Times New Roman" w:cs="Times New Roman"/>
          <w:sz w:val="22"/>
          <w:szCs w:val="22"/>
          <w:lang w:val="en-US" w:eastAsia="ru-RU"/>
        </w:rPr>
        <w:t>i</w:t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-ом наборе при </w:t>
      </w:r>
      <w:r>
        <w:rPr>
          <w:rFonts w:ascii="Times New Roman" w:hAnsi="Times New Roman" w:eastAsia="Times New Roman" w:cs="Times New Roman"/>
          <w:sz w:val="22"/>
          <w:szCs w:val="22"/>
          <w:lang w:val="en-US" w:eastAsia="ru-RU"/>
        </w:rPr>
        <w:t>i</w:t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 = 1,2,3,4. По условию: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2"/>
          <w:szCs w:val="22"/>
          <w:lang w:eastAsia="ru-RU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drawing>
          <wp:inline distT="0" distB="0" distL="0" distR="0">
            <wp:extent cx="1319530" cy="280670"/>
            <wp:effectExtent l="0" t="0" r="13970" b="5080"/>
            <wp:docPr id="5" name="Рисунок 5" descr="{\displaystyle {\frac {n_{1}}{m_{1}}}&gt;{\frac {n_{2}}{m_{3}}},{\frac {n_{3}}{m_{3}}}&gt;{\frac {n_{4}}{m_{4}}}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{\displaystyle {\frac {n_{1}}{m_{1}}}&gt;{\frac {n_{2}}{m_{3}}},{\frac {n_{3}}{m_{3}}}&gt;{\frac {n_{4}}{m_{4}}}.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2"/>
          <w:szCs w:val="22"/>
          <w:lang w:eastAsia="ru-RU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Вероятность вытащить чёрный камень из наборов I и II, соответственно: </w:t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drawing>
          <wp:inline distT="0" distB="0" distL="0" distR="0">
            <wp:extent cx="1146810" cy="285750"/>
            <wp:effectExtent l="0" t="0" r="15240" b="0"/>
            <wp:docPr id="4" name="Рисунок 4" descr="{\displaystyle {\frac {n_{1}+n_{3}}{m_{1}+m_{3}}},{\frac {n_{2}+n_{4}}{m_{2}+m_{4}}}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{\displaystyle {\frac {n_{1}+n_{3}}{m_{1}+m_{3}}},{\frac {n_{2}+n_{4}}{m_{2}+m_{4}}}.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2"/>
          <w:szCs w:val="22"/>
          <w:lang w:eastAsia="ru-RU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Выражение для набора I не всегда больше выражения для набора II. Например: </w:t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drawing>
          <wp:inline distT="0" distB="0" distL="0" distR="0">
            <wp:extent cx="3273425" cy="117475"/>
            <wp:effectExtent l="0" t="0" r="3175" b="15875"/>
            <wp:docPr id="3" name="Рисунок 3" descr="{\displaystyle n_{1}=6,~m_{1}=13,~n_{2}=4,~m_{2}=9,~n_{3}=6,~m_{3}=9,~n_{4}=9,~m_{4}=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{\displaystyle n_{1}=6,~m_{1}=13,~n_{2}=4,~m_{2}=9,~n_{3}=6,~m_{3}=9,~n_{4}=9,~m_{4}=14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.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2"/>
          <w:szCs w:val="22"/>
          <w:lang w:eastAsia="ru-RU"/>
        </w:rPr>
      </w:pP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Легко проверить, что </w:t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drawing>
          <wp:inline distT="0" distB="0" distL="0" distR="0">
            <wp:extent cx="1285875" cy="149860"/>
            <wp:effectExtent l="0" t="0" r="9525" b="2540"/>
            <wp:docPr id="2" name="Рисунок 2" descr="{\displaystyle 6/13&gt;4/9,~6/9&gt;9/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{\displaystyle 6/13&gt;4/9,~6/9&gt;9/14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. В то время как </w:t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drawing>
          <wp:inline distT="0" distB="0" distL="0" distR="0">
            <wp:extent cx="708025" cy="135255"/>
            <wp:effectExtent l="0" t="0" r="15875" b="17145"/>
            <wp:docPr id="1" name="Рисунок 1" descr="{\displaystyle 12/22&lt;13/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{\displaystyle 12/22&lt;13/23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2"/>
          <w:szCs w:val="22"/>
          <w:lang w:eastAsia="ru-RU"/>
        </w:rPr>
        <w:t xml:space="preserve">. </w:t>
      </w:r>
    </w:p>
    <w:p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ascii="Times New Roman" w:hAnsi="Times New Roman" w:cs="Times New Roman"/>
          <w:color w:val="auto"/>
          <w:sz w:val="22"/>
          <w:szCs w:val="22"/>
        </w:rPr>
        <w:t>Причины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>Причина парадокса заключается в некорректном усреднении двух групп данных с различной долей контрольных наблюдений (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"https://ru.wikipedia.org/wiki/%D0%A0%D0%B5%D0%BF%D1%80%D0%B5%D0%B7%D0%B5%D0%BD%D1%82%D0%B0%D1%82%D0%B8%D0%B2%D0%BD%D0%BE%D1%81%D1%82%D1%8C" \o "Репрезентативность" </w:instrText>
      </w:r>
      <w:r>
        <w:rPr>
          <w:sz w:val="22"/>
          <w:szCs w:val="22"/>
        </w:rPr>
        <w:fldChar w:fldCharType="separate"/>
      </w:r>
      <w:r>
        <w:rPr>
          <w:rStyle w:val="7"/>
          <w:color w:val="auto"/>
          <w:sz w:val="22"/>
          <w:szCs w:val="22"/>
        </w:rPr>
        <w:t>нерепрезентативная</w:t>
      </w:r>
      <w:r>
        <w:rPr>
          <w:rStyle w:val="7"/>
          <w:color w:val="auto"/>
          <w:sz w:val="22"/>
          <w:szCs w:val="22"/>
        </w:rPr>
        <w:fldChar w:fldCharType="end"/>
      </w:r>
      <w:r>
        <w:rPr>
          <w:sz w:val="22"/>
          <w:szCs w:val="22"/>
        </w:rPr>
        <w:t xml:space="preserve"> выборка). Поскольку интуитивно предполагается, что при применении найденных зависимостей доля контрольных будет одинаковой в обеих группах, а в исходных данных это не выполняется, то к ним нельзя применять арифметическое усреднение. 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Парадокс Симпсона показывает, что выводы из результатов социологических опросов с нерепрезентативной выборкой нельзя принимать как неопровержимые, доказанные научным путём. </w:t>
      </w:r>
    </w:p>
    <w:p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Style w:val="11"/>
          <w:rFonts w:ascii="Times New Roman" w:hAnsi="Times New Roman" w:cs="Times New Roman"/>
          <w:color w:val="auto"/>
          <w:sz w:val="22"/>
          <w:szCs w:val="22"/>
        </w:rPr>
        <w:t>Практическая значимость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Парадокс Симпсона иллюстрирует неправомерность обобщений по нерепрезентативным выборкам, иногда опасных для жизни. Так, например, в ходе эксперимента в группе мужчин и группе женщин, больных одной и той же болезнью, к стандартному лечению прибавили новый лекарственный препарат. Результат по обеим группам в отдельности подтверждал эффективность нового средства.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drawing>
          <wp:inline distT="0" distB="0" distL="0" distR="0">
            <wp:extent cx="4000500" cy="1852930"/>
            <wp:effectExtent l="0" t="0" r="0" b="139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Интуитивно предполагается, что если в обеих группах прослеживается зависимость, она должна проявиться и при объединении этих групп. Но хотя соотношение выздоровевших и больных среди и женщин, и мужчин, принимавших лекарство, больше, чем среди тех из них, кто его не использовал, в связи с нерепрезентативностью контрольной группы в агрегированных данных эта закономерность не сохраняется.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drawing>
          <wp:inline distT="0" distB="0" distL="0" distR="0">
            <wp:extent cx="4197985" cy="964565"/>
            <wp:effectExtent l="0" t="0" r="1206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Соотношение в агрегированных данных 850/870&lt;480/410, то есть 0,977&lt;1,171. Следовательно, доля выздоровевших среди принимавших лекарство меньше той же доли среди не принимавших. 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Для устранения парадокса нужно обратить внимание, что отношение контрольной группы к группе воздействия в приведённых группах резко различается: у мужчин составляет (80+130)/(700+800) = 14 %, а у женщин (400+280)/(150+70) = 309 %. </w:t>
      </w:r>
    </w:p>
    <w:p>
      <w:pPr>
        <w:pStyle w:val="8"/>
        <w:rPr>
          <w:sz w:val="22"/>
          <w:szCs w:val="22"/>
        </w:rPr>
      </w:pPr>
      <w:r>
        <w:rPr>
          <w:sz w:val="22"/>
          <w:szCs w:val="22"/>
        </w:rPr>
        <w:t xml:space="preserve">Для корректного усреднения нужно обеспечить репрезентативность контрольной группы в обеих выборках, введя весовые коэффициенты так, чтобы взвешенная доля контрольных в обеих группах стала одинаковой. В данном случае достаточно количество мужчин, не принимавших лекарства, умножить на весовой коэффициент 22.07. Измененные таблицы будут выглядеть так: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ru-RU"/>
        </w:rPr>
        <w:drawing>
          <wp:inline distT="0" distB="0" distL="0" distR="0">
            <wp:extent cx="3067685" cy="2162810"/>
            <wp:effectExtent l="0" t="0" r="1841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Соотношение взвешенного количества выздоровевших к не выздоровевшим среди не принимавших лекарство в этом случае составит 0,685, то есть ниже, чем у принимавших лекарство. Это устраняет парадокс и показывает отношение выздоровевших к не выздоровевшим без приема лекарства для такой же пропорции мужчин и женщин, как у принимавших лекарство, что позволяет сравнивать эти цифры.</w:t>
      </w:r>
    </w:p>
    <w:sectPr>
      <w:pgSz w:w="11906" w:h="16838"/>
      <w:pgMar w:top="709" w:right="566" w:bottom="426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rebuchet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rebuchet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Tahoma">
    <w:altName w:val="Verdana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057"/>
    <w:rsid w:val="002D53DB"/>
    <w:rsid w:val="002F10AA"/>
    <w:rsid w:val="00310C68"/>
    <w:rsid w:val="005E072E"/>
    <w:rsid w:val="006B4FBF"/>
    <w:rsid w:val="00842057"/>
    <w:rsid w:val="008B31F9"/>
    <w:rsid w:val="00B155EF"/>
    <w:rsid w:val="00D511C4"/>
    <w:rsid w:val="00EF6545"/>
    <w:rsid w:val="00F7358F"/>
    <w:rsid w:val="77D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9">
    <w:name w:val="new"/>
    <w:basedOn w:val="4"/>
    <w:qFormat/>
    <w:uiPriority w:val="0"/>
  </w:style>
  <w:style w:type="character" w:customStyle="1" w:styleId="10">
    <w:name w:val="Заголовок 3 Знак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1">
    <w:name w:val="mw-headline"/>
    <w:basedOn w:val="4"/>
    <w:uiPriority w:val="0"/>
  </w:style>
  <w:style w:type="character" w:customStyle="1" w:styleId="12">
    <w:name w:val="Текст выноски Знак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Заголовок 2 Знак"/>
    <w:basedOn w:val="4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677</Words>
  <Characters>3861</Characters>
  <Lines>32</Lines>
  <Paragraphs>9</Paragraphs>
  <TotalTime>0</TotalTime>
  <ScaleCrop>false</ScaleCrop>
  <LinksUpToDate>false</LinksUpToDate>
  <CharactersWithSpaces>4529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2022-04-12T11:12:00Z</dcterms:created>
  <dc:creator>k1_519_10</dc:creator>
  <cp:lastModifiedBy>liaten</cp:lastModifiedBy>
  <dcterms:modified xsi:type="dcterms:W3CDTF">2022-04-15T14:09:52Z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