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D2E4" w14:textId="5AD4EEAE" w:rsidR="00023C8F" w:rsidRPr="00FB7004" w:rsidRDefault="00023C8F" w:rsidP="009E082B">
      <w:pPr>
        <w:jc w:val="both"/>
        <w:rPr>
          <w:rFonts w:cstheme="minorHAnsi"/>
          <w:b/>
          <w:bCs/>
          <w:sz w:val="40"/>
          <w:szCs w:val="40"/>
        </w:rPr>
      </w:pPr>
    </w:p>
    <w:p w14:paraId="7E11FE70" w14:textId="703FE209" w:rsidR="00735E2E" w:rsidRPr="00FB7004" w:rsidRDefault="00735E2E" w:rsidP="009E082B">
      <w:pPr>
        <w:jc w:val="both"/>
        <w:rPr>
          <w:rFonts w:cstheme="minorHAnsi"/>
          <w:b/>
          <w:bCs/>
          <w:sz w:val="40"/>
          <w:szCs w:val="40"/>
        </w:rPr>
      </w:pPr>
    </w:p>
    <w:p w14:paraId="26E417C0" w14:textId="013E32B4" w:rsidR="00735E2E" w:rsidRPr="00FB7004" w:rsidRDefault="00735E2E" w:rsidP="009E082B">
      <w:pPr>
        <w:jc w:val="both"/>
        <w:rPr>
          <w:rFonts w:cstheme="minorHAnsi"/>
          <w:b/>
          <w:bCs/>
          <w:color w:val="FFBE00"/>
          <w:sz w:val="40"/>
          <w:szCs w:val="40"/>
        </w:rPr>
      </w:pPr>
    </w:p>
    <w:p w14:paraId="3ADC87D5" w14:textId="71AAA821" w:rsidR="00735E2E" w:rsidRPr="00FB7004" w:rsidRDefault="00735E2E" w:rsidP="009E082B">
      <w:pPr>
        <w:jc w:val="both"/>
        <w:rPr>
          <w:rFonts w:cstheme="minorHAnsi"/>
          <w:b/>
          <w:bCs/>
          <w:color w:val="000729"/>
          <w:sz w:val="40"/>
          <w:szCs w:val="40"/>
        </w:rPr>
      </w:pPr>
    </w:p>
    <w:p w14:paraId="61369131" w14:textId="5F0D56B2" w:rsidR="00735E2E" w:rsidRPr="00FB7004" w:rsidRDefault="00735E2E" w:rsidP="009E082B">
      <w:pPr>
        <w:jc w:val="both"/>
        <w:rPr>
          <w:rFonts w:cstheme="minorHAnsi"/>
          <w:b/>
          <w:bCs/>
          <w:sz w:val="40"/>
          <w:szCs w:val="40"/>
        </w:rPr>
      </w:pPr>
    </w:p>
    <w:p w14:paraId="192B75DB" w14:textId="69A33BC0" w:rsidR="00735E2E" w:rsidRPr="00FB7004" w:rsidRDefault="00735E2E" w:rsidP="009E082B">
      <w:pPr>
        <w:jc w:val="both"/>
        <w:rPr>
          <w:rFonts w:cstheme="minorHAnsi"/>
          <w:b/>
          <w:bCs/>
          <w:sz w:val="40"/>
          <w:szCs w:val="40"/>
        </w:rPr>
      </w:pPr>
    </w:p>
    <w:p w14:paraId="40A27D57" w14:textId="1FCAEF85" w:rsidR="00735E2E" w:rsidRPr="00FB7004" w:rsidRDefault="00735E2E" w:rsidP="009E082B">
      <w:pPr>
        <w:jc w:val="both"/>
        <w:rPr>
          <w:rFonts w:cstheme="minorHAnsi"/>
          <w:b/>
          <w:bCs/>
          <w:sz w:val="40"/>
          <w:szCs w:val="40"/>
        </w:rPr>
      </w:pPr>
    </w:p>
    <w:p w14:paraId="433CECC9" w14:textId="7997FA55" w:rsidR="00735E2E" w:rsidRPr="00FB7004" w:rsidRDefault="00735E2E" w:rsidP="009E082B">
      <w:pPr>
        <w:jc w:val="both"/>
        <w:rPr>
          <w:rFonts w:cstheme="minorHAnsi"/>
          <w:b/>
          <w:bCs/>
          <w:sz w:val="40"/>
          <w:szCs w:val="40"/>
        </w:rPr>
      </w:pPr>
    </w:p>
    <w:p w14:paraId="1914E4B6" w14:textId="42EE1A33" w:rsidR="00735E2E" w:rsidRPr="00FB7004" w:rsidRDefault="00735E2E" w:rsidP="009E082B">
      <w:pPr>
        <w:jc w:val="center"/>
        <w:rPr>
          <w:rFonts w:cstheme="minorHAnsi"/>
          <w:b/>
          <w:bCs/>
          <w:sz w:val="40"/>
          <w:szCs w:val="40"/>
        </w:rPr>
      </w:pPr>
    </w:p>
    <w:p w14:paraId="24CF6A0F" w14:textId="583DB641" w:rsidR="00735E2E" w:rsidRPr="00FB7004" w:rsidRDefault="004E66D9" w:rsidP="009E082B">
      <w:pPr>
        <w:jc w:val="center"/>
        <w:rPr>
          <w:rFonts w:cstheme="minorHAnsi"/>
          <w:b/>
          <w:bCs/>
          <w:sz w:val="40"/>
          <w:szCs w:val="40"/>
        </w:rPr>
      </w:pPr>
      <w:r w:rsidRPr="00D84C11">
        <w:rPr>
          <w:rFonts w:ascii="Arial" w:hAnsi="Arial" w:cs="Arial"/>
          <w:noProof/>
          <w:color w:val="000729"/>
        </w:rPr>
        <w:drawing>
          <wp:anchor distT="0" distB="0" distL="114300" distR="114300" simplePos="0" relativeHeight="251659264" behindDoc="0" locked="0" layoutInCell="1" allowOverlap="1" wp14:anchorId="7040877E" wp14:editId="3B111EDD">
            <wp:simplePos x="0" y="0"/>
            <wp:positionH relativeFrom="column">
              <wp:posOffset>3629171</wp:posOffset>
            </wp:positionH>
            <wp:positionV relativeFrom="paragraph">
              <wp:posOffset>237832</wp:posOffset>
            </wp:positionV>
            <wp:extent cx="2179955" cy="1282065"/>
            <wp:effectExtent l="0" t="0" r="4445" b="635"/>
            <wp:wrapThrough wrapText="bothSides">
              <wp:wrapPolygon edited="0">
                <wp:start x="0" y="0"/>
                <wp:lineTo x="0" y="21397"/>
                <wp:lineTo x="21518" y="21397"/>
                <wp:lineTo x="21518" y="0"/>
                <wp:lineTo x="0" y="0"/>
              </wp:wrapPolygon>
            </wp:wrapThrough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A4061" w14:textId="5C21B950" w:rsidR="00D10882" w:rsidRPr="00FB7004" w:rsidRDefault="00735E2E" w:rsidP="009E082B">
      <w:pPr>
        <w:jc w:val="center"/>
        <w:rPr>
          <w:rFonts w:cstheme="minorHAnsi"/>
          <w:b/>
          <w:bCs/>
          <w:color w:val="FFBE00"/>
          <w:sz w:val="72"/>
          <w:szCs w:val="72"/>
        </w:rPr>
      </w:pPr>
      <w:r w:rsidRPr="00FB7004">
        <w:rPr>
          <w:rFonts w:cstheme="minorHAnsi"/>
          <w:b/>
          <w:bCs/>
          <w:color w:val="FFBE00"/>
          <w:sz w:val="72"/>
          <w:szCs w:val="72"/>
        </w:rPr>
        <w:t>Lending Report</w:t>
      </w:r>
    </w:p>
    <w:p w14:paraId="3E966D15" w14:textId="298DA726" w:rsidR="00D10882" w:rsidRPr="00FB7004" w:rsidRDefault="00D10882" w:rsidP="009E082B">
      <w:pPr>
        <w:jc w:val="center"/>
        <w:rPr>
          <w:rFonts w:cstheme="minorHAnsi"/>
          <w:b/>
          <w:bCs/>
          <w:sz w:val="20"/>
          <w:szCs w:val="20"/>
        </w:rPr>
      </w:pPr>
    </w:p>
    <w:p w14:paraId="4AD67E05" w14:textId="7D144786" w:rsidR="00110B58" w:rsidRPr="00FB7004" w:rsidRDefault="00735E2E" w:rsidP="009E082B">
      <w:pPr>
        <w:jc w:val="center"/>
        <w:rPr>
          <w:rFonts w:cstheme="minorHAnsi"/>
          <w:b/>
          <w:bCs/>
          <w:color w:val="000729"/>
          <w:sz w:val="46"/>
          <w:szCs w:val="46"/>
        </w:rPr>
      </w:pPr>
      <w:r w:rsidRPr="00FB7004">
        <w:rPr>
          <w:rFonts w:cstheme="minorHAnsi"/>
          <w:b/>
          <w:bCs/>
          <w:color w:val="000729"/>
          <w:sz w:val="46"/>
          <w:szCs w:val="46"/>
        </w:rPr>
        <w:t>ABC Company</w:t>
      </w:r>
    </w:p>
    <w:p w14:paraId="7A3D941D" w14:textId="0B944DF3" w:rsidR="00394756" w:rsidRPr="006F213F" w:rsidRDefault="00394756" w:rsidP="006F213F">
      <w:pPr>
        <w:rPr>
          <w:rFonts w:cstheme="minorHAnsi"/>
          <w:b/>
          <w:bCs/>
          <w:sz w:val="46"/>
          <w:szCs w:val="46"/>
        </w:rPr>
      </w:pPr>
      <w:r w:rsidRPr="00FB7004">
        <w:rPr>
          <w:rFonts w:cstheme="minorHAnsi"/>
          <w:b/>
          <w:bCs/>
          <w:color w:val="000729"/>
          <w:sz w:val="32"/>
          <w:szCs w:val="32"/>
        </w:rPr>
        <w:br w:type="page"/>
      </w:r>
    </w:p>
    <w:p w14:paraId="60065CE9" w14:textId="277C80F3" w:rsidR="008E7449" w:rsidRPr="008E7449" w:rsidRDefault="008E7449" w:rsidP="009E082B">
      <w:pPr>
        <w:pStyle w:val="Heading1"/>
        <w:jc w:val="both"/>
        <w:rPr>
          <w:rFonts w:asciiTheme="minorHAnsi" w:eastAsiaTheme="minorHAnsi" w:hAnsiTheme="minorHAnsi" w:cstheme="minorHAnsi"/>
          <w:color w:val="000729"/>
          <w:sz w:val="24"/>
          <w:szCs w:val="24"/>
        </w:rPr>
      </w:pPr>
      <w:bookmarkStart w:id="0" w:name="_Toc127218011"/>
      <w:r w:rsidRPr="008E7449">
        <w:rPr>
          <w:rFonts w:asciiTheme="minorHAnsi" w:eastAsiaTheme="minorHAnsi" w:hAnsiTheme="minorHAnsi" w:cstheme="minorHAnsi"/>
          <w:color w:val="000729"/>
          <w:sz w:val="24"/>
          <w:szCs w:val="24"/>
        </w:rPr>
        <w:lastRenderedPageBreak/>
        <w:t>To evaluate whether ABC Company is eligible for a short-term loan, the company’s financial position is analysed through the examination of the provided 2021 Financial Statements and the current account movement</w:t>
      </w:r>
      <w:r>
        <w:rPr>
          <w:rFonts w:asciiTheme="minorHAnsi" w:eastAsiaTheme="minorHAnsi" w:hAnsiTheme="minorHAnsi" w:cstheme="minorHAnsi"/>
          <w:color w:val="000729"/>
          <w:sz w:val="24"/>
          <w:szCs w:val="24"/>
        </w:rPr>
        <w:t xml:space="preserve"> for the year 2022</w:t>
      </w:r>
      <w:r w:rsidRPr="008E7449">
        <w:rPr>
          <w:rFonts w:asciiTheme="minorHAnsi" w:eastAsiaTheme="minorHAnsi" w:hAnsiTheme="minorHAnsi" w:cstheme="minorHAnsi"/>
          <w:color w:val="000729"/>
          <w:sz w:val="24"/>
          <w:szCs w:val="24"/>
        </w:rPr>
        <w:t>.</w:t>
      </w:r>
      <w:bookmarkEnd w:id="0"/>
    </w:p>
    <w:p w14:paraId="56C5E914" w14:textId="49FBE82A" w:rsidR="009A0478" w:rsidRPr="00FB7004" w:rsidRDefault="009A0478" w:rsidP="009E082B">
      <w:pPr>
        <w:pStyle w:val="Heading1"/>
        <w:jc w:val="both"/>
        <w:rPr>
          <w:rFonts w:asciiTheme="minorHAnsi" w:hAnsiTheme="minorHAnsi" w:cstheme="minorHAnsi"/>
          <w:b/>
          <w:bCs/>
          <w:color w:val="FFBE00"/>
        </w:rPr>
      </w:pPr>
      <w:bookmarkStart w:id="1" w:name="_Toc127218012"/>
      <w:r w:rsidRPr="00FB7004">
        <w:rPr>
          <w:rFonts w:asciiTheme="minorHAnsi" w:hAnsiTheme="minorHAnsi" w:cstheme="minorHAnsi"/>
          <w:b/>
          <w:bCs/>
          <w:color w:val="FFBE00"/>
        </w:rPr>
        <w:t>Financial Statements Insights</w:t>
      </w:r>
      <w:bookmarkEnd w:id="1"/>
    </w:p>
    <w:p w14:paraId="7223B31D" w14:textId="7EB7B242" w:rsidR="009A0478" w:rsidRPr="00FB7004" w:rsidRDefault="009A0478" w:rsidP="009E082B">
      <w:pPr>
        <w:jc w:val="both"/>
        <w:rPr>
          <w:rFonts w:cstheme="minorHAnsi"/>
          <w:color w:val="000729"/>
        </w:rPr>
      </w:pPr>
    </w:p>
    <w:p w14:paraId="532CA7A9" w14:textId="261825F3" w:rsidR="008153E4" w:rsidRDefault="00AA1E41" w:rsidP="008153E4">
      <w:pPr>
        <w:jc w:val="both"/>
        <w:rPr>
          <w:rFonts w:cstheme="minorHAnsi"/>
          <w:color w:val="000729"/>
        </w:rPr>
      </w:pPr>
      <w:r w:rsidRPr="00FB7004">
        <w:rPr>
          <w:rFonts w:cstheme="minorHAnsi"/>
          <w:color w:val="000729"/>
        </w:rPr>
        <w:t xml:space="preserve">The </w:t>
      </w:r>
      <w:r w:rsidR="003605E1">
        <w:rPr>
          <w:rFonts w:cstheme="minorHAnsi"/>
          <w:color w:val="000729"/>
        </w:rPr>
        <w:t>following</w:t>
      </w:r>
      <w:r w:rsidRPr="00FB7004">
        <w:rPr>
          <w:rFonts w:cstheme="minorHAnsi"/>
          <w:color w:val="000729"/>
        </w:rPr>
        <w:t xml:space="preserve"> </w:t>
      </w:r>
      <w:r w:rsidR="008E7449">
        <w:rPr>
          <w:rFonts w:cstheme="minorHAnsi"/>
          <w:color w:val="000729"/>
        </w:rPr>
        <w:t>info</w:t>
      </w:r>
      <w:r w:rsidR="00502AE4">
        <w:rPr>
          <w:rFonts w:cstheme="minorHAnsi"/>
          <w:color w:val="000729"/>
        </w:rPr>
        <w:t>rmation</w:t>
      </w:r>
      <w:r w:rsidR="008E7449">
        <w:rPr>
          <w:rFonts w:cstheme="minorHAnsi"/>
          <w:color w:val="000729"/>
        </w:rPr>
        <w:t xml:space="preserve"> constitutes the financial statements </w:t>
      </w:r>
      <w:r w:rsidR="008153E4" w:rsidRPr="008153E4">
        <w:rPr>
          <w:rFonts w:cstheme="minorHAnsi"/>
          <w:color w:val="000729"/>
        </w:rPr>
        <w:t xml:space="preserve">key </w:t>
      </w:r>
      <w:r w:rsidR="008E7449">
        <w:rPr>
          <w:rFonts w:cstheme="minorHAnsi"/>
          <w:color w:val="000729"/>
        </w:rPr>
        <w:t xml:space="preserve">insights as seen in </w:t>
      </w:r>
      <w:r w:rsidR="008E7449" w:rsidRPr="008E7449">
        <w:rPr>
          <w:rFonts w:cstheme="minorHAnsi"/>
          <w:i/>
          <w:iCs/>
          <w:color w:val="000729"/>
        </w:rPr>
        <w:t>Table 1</w:t>
      </w:r>
      <w:r w:rsidR="008E7449">
        <w:rPr>
          <w:rFonts w:cstheme="minorHAnsi"/>
          <w:color w:val="000729"/>
        </w:rPr>
        <w:t xml:space="preserve"> and </w:t>
      </w:r>
      <w:r w:rsidR="008E7449" w:rsidRPr="008E7449">
        <w:rPr>
          <w:rFonts w:cstheme="minorHAnsi"/>
          <w:i/>
          <w:iCs/>
          <w:color w:val="000729"/>
        </w:rPr>
        <w:t>Table 2</w:t>
      </w:r>
      <w:r w:rsidR="008E7449">
        <w:rPr>
          <w:rFonts w:cstheme="minorHAnsi"/>
          <w:color w:val="000729"/>
        </w:rPr>
        <w:t>:</w:t>
      </w:r>
    </w:p>
    <w:p w14:paraId="5D0B8B9B" w14:textId="1EF79399" w:rsidR="000D1609" w:rsidRDefault="000D1609" w:rsidP="008153E4">
      <w:pPr>
        <w:jc w:val="both"/>
        <w:rPr>
          <w:rFonts w:cstheme="minorHAnsi"/>
          <w:color w:val="000729"/>
        </w:rPr>
      </w:pPr>
    </w:p>
    <w:p w14:paraId="4252AD43" w14:textId="1D39571E" w:rsidR="00287FEB" w:rsidRDefault="003605E1" w:rsidP="000B7D9A">
      <w:pPr>
        <w:pStyle w:val="ListParagraph"/>
        <w:numPr>
          <w:ilvl w:val="0"/>
          <w:numId w:val="10"/>
        </w:numPr>
        <w:jc w:val="both"/>
        <w:rPr>
          <w:rFonts w:cstheme="minorHAnsi"/>
          <w:color w:val="000729"/>
        </w:rPr>
      </w:pPr>
      <w:r w:rsidRPr="008153E4">
        <w:rPr>
          <w:rFonts w:cstheme="minorHAnsi"/>
          <w:color w:val="000729"/>
        </w:rPr>
        <w:t>The company has a total of</w:t>
      </w:r>
      <w:r w:rsidR="008E7449">
        <w:rPr>
          <w:rFonts w:cstheme="minorHAnsi"/>
          <w:color w:val="000729"/>
        </w:rPr>
        <w:t xml:space="preserve"> </w:t>
      </w:r>
      <w:r w:rsidR="008E7449" w:rsidRPr="00287FEB">
        <w:rPr>
          <w:rFonts w:cstheme="minorHAnsi"/>
          <w:b/>
          <w:bCs/>
          <w:color w:val="000729"/>
        </w:rPr>
        <w:t xml:space="preserve">€225,168 </w:t>
      </w:r>
      <w:r w:rsidR="008E7449">
        <w:rPr>
          <w:rFonts w:cstheme="minorHAnsi"/>
          <w:color w:val="000729"/>
        </w:rPr>
        <w:t xml:space="preserve">in total assets of which </w:t>
      </w:r>
      <w:r w:rsidRPr="003605E1">
        <w:rPr>
          <w:rFonts w:cstheme="minorHAnsi"/>
          <w:b/>
          <w:bCs/>
          <w:color w:val="000729"/>
        </w:rPr>
        <w:t xml:space="preserve">€145,786 </w:t>
      </w:r>
      <w:r w:rsidR="00287FEB">
        <w:rPr>
          <w:rFonts w:cstheme="minorHAnsi"/>
          <w:b/>
          <w:bCs/>
          <w:color w:val="000729"/>
        </w:rPr>
        <w:t>are</w:t>
      </w:r>
      <w:r w:rsidRPr="003605E1">
        <w:rPr>
          <w:rFonts w:cstheme="minorHAnsi"/>
          <w:b/>
          <w:bCs/>
          <w:color w:val="000729"/>
        </w:rPr>
        <w:t xml:space="preserve"> </w:t>
      </w:r>
      <w:r w:rsidR="00287FEB">
        <w:rPr>
          <w:rFonts w:cstheme="minorHAnsi"/>
          <w:b/>
          <w:bCs/>
          <w:color w:val="000729"/>
        </w:rPr>
        <w:t xml:space="preserve">in the form of </w:t>
      </w:r>
      <w:r w:rsidRPr="003605E1">
        <w:rPr>
          <w:rFonts w:cstheme="minorHAnsi"/>
          <w:b/>
          <w:bCs/>
          <w:color w:val="000729"/>
        </w:rPr>
        <w:t>current assets</w:t>
      </w:r>
      <w:r w:rsidR="00287FEB">
        <w:rPr>
          <w:rFonts w:cstheme="minorHAnsi"/>
          <w:color w:val="000729"/>
        </w:rPr>
        <w:t xml:space="preserve">. </w:t>
      </w:r>
      <w:r w:rsidRPr="003605E1">
        <w:rPr>
          <w:rFonts w:cstheme="minorHAnsi"/>
          <w:b/>
          <w:bCs/>
          <w:color w:val="000729"/>
        </w:rPr>
        <w:t xml:space="preserve">€54,891 are </w:t>
      </w:r>
      <w:r w:rsidR="00287FEB">
        <w:rPr>
          <w:rFonts w:cstheme="minorHAnsi"/>
          <w:b/>
          <w:bCs/>
          <w:color w:val="000729"/>
        </w:rPr>
        <w:t xml:space="preserve">in </w:t>
      </w:r>
      <w:r w:rsidRPr="003605E1">
        <w:rPr>
          <w:rFonts w:cstheme="minorHAnsi"/>
          <w:b/>
          <w:bCs/>
          <w:color w:val="000729"/>
        </w:rPr>
        <w:t>liquid assets</w:t>
      </w:r>
      <w:r w:rsidR="00287FEB">
        <w:rPr>
          <w:rFonts w:cstheme="minorHAnsi"/>
          <w:b/>
          <w:bCs/>
          <w:color w:val="000729"/>
        </w:rPr>
        <w:t xml:space="preserve"> </w:t>
      </w:r>
      <w:r w:rsidR="00287FEB" w:rsidRPr="00287FEB">
        <w:rPr>
          <w:rFonts w:cstheme="minorHAnsi"/>
          <w:color w:val="000729"/>
        </w:rPr>
        <w:t>which can be easily converted into cash</w:t>
      </w:r>
      <w:r w:rsidR="00287FEB">
        <w:rPr>
          <w:rFonts w:cstheme="minorHAnsi"/>
          <w:color w:val="000729"/>
        </w:rPr>
        <w:t xml:space="preserve"> and</w:t>
      </w:r>
      <w:r w:rsidR="008E7449">
        <w:rPr>
          <w:rFonts w:cstheme="minorHAnsi"/>
          <w:color w:val="000729"/>
        </w:rPr>
        <w:t xml:space="preserve"> fund its</w:t>
      </w:r>
      <w:r w:rsidR="00287FEB">
        <w:rPr>
          <w:rFonts w:cstheme="minorHAnsi"/>
          <w:color w:val="000729"/>
        </w:rPr>
        <w:t xml:space="preserve"> </w:t>
      </w:r>
      <w:r w:rsidR="008E7449">
        <w:rPr>
          <w:rFonts w:cstheme="minorHAnsi"/>
          <w:color w:val="000729"/>
        </w:rPr>
        <w:t>working capital needs.</w:t>
      </w:r>
    </w:p>
    <w:p w14:paraId="65BAD636" w14:textId="77777777" w:rsidR="00287FEB" w:rsidRDefault="00287FEB" w:rsidP="00287FEB">
      <w:pPr>
        <w:pStyle w:val="ListParagraph"/>
        <w:jc w:val="both"/>
        <w:rPr>
          <w:rFonts w:cstheme="minorHAnsi"/>
          <w:color w:val="000729"/>
        </w:rPr>
      </w:pPr>
    </w:p>
    <w:p w14:paraId="49C5066B" w14:textId="27C8C31F" w:rsidR="003605E1" w:rsidRPr="00287FEB" w:rsidRDefault="00287FEB" w:rsidP="000B7D9A">
      <w:pPr>
        <w:pStyle w:val="ListParagraph"/>
        <w:numPr>
          <w:ilvl w:val="0"/>
          <w:numId w:val="10"/>
        </w:numPr>
        <w:jc w:val="both"/>
        <w:rPr>
          <w:rFonts w:cstheme="minorHAnsi"/>
          <w:color w:val="000729"/>
        </w:rPr>
      </w:pPr>
      <w:r>
        <w:rPr>
          <w:rFonts w:cstheme="minorHAnsi"/>
          <w:color w:val="000729"/>
        </w:rPr>
        <w:t xml:space="preserve">With a </w:t>
      </w:r>
      <w:r w:rsidR="003605E1" w:rsidRPr="00287FEB">
        <w:rPr>
          <w:rFonts w:cstheme="minorHAnsi"/>
          <w:b/>
          <w:bCs/>
          <w:color w:val="000729"/>
        </w:rPr>
        <w:t>debt-to-assets ratio of 0.62</w:t>
      </w:r>
      <w:r w:rsidR="001849CC" w:rsidRPr="005658B2">
        <w:rPr>
          <w:rFonts w:cstheme="minorHAnsi"/>
          <w:color w:val="000729"/>
        </w:rPr>
        <w:t>,</w:t>
      </w:r>
      <w:r w:rsidRPr="005658B2">
        <w:rPr>
          <w:rFonts w:cstheme="minorHAnsi"/>
          <w:color w:val="000729"/>
        </w:rPr>
        <w:t xml:space="preserve"> the company is not considered highly leveraged</w:t>
      </w:r>
      <w:r w:rsidR="00D567C8" w:rsidRPr="005658B2">
        <w:rPr>
          <w:rFonts w:cstheme="minorHAnsi"/>
          <w:color w:val="000729"/>
        </w:rPr>
        <w:t>.</w:t>
      </w:r>
    </w:p>
    <w:p w14:paraId="485FDED9" w14:textId="77777777" w:rsidR="001937D9" w:rsidRPr="001937D9" w:rsidRDefault="001937D9" w:rsidP="001937D9">
      <w:pPr>
        <w:jc w:val="both"/>
        <w:rPr>
          <w:rFonts w:cstheme="minorHAnsi"/>
          <w:color w:val="000729"/>
        </w:rPr>
      </w:pPr>
    </w:p>
    <w:p w14:paraId="7D82D28F" w14:textId="2D782397" w:rsidR="003605E1" w:rsidRDefault="00287FEB" w:rsidP="000B7D9A">
      <w:pPr>
        <w:pStyle w:val="ListParagraph"/>
        <w:numPr>
          <w:ilvl w:val="0"/>
          <w:numId w:val="10"/>
        </w:numPr>
        <w:jc w:val="both"/>
        <w:rPr>
          <w:rFonts w:cstheme="minorHAnsi"/>
          <w:color w:val="000729"/>
        </w:rPr>
      </w:pPr>
      <w:r>
        <w:rPr>
          <w:rFonts w:cstheme="minorHAnsi"/>
          <w:color w:val="000729"/>
        </w:rPr>
        <w:t xml:space="preserve">The year </w:t>
      </w:r>
      <w:r w:rsidR="003605E1" w:rsidRPr="003605E1">
        <w:rPr>
          <w:rFonts w:cstheme="minorHAnsi"/>
          <w:b/>
          <w:bCs/>
          <w:color w:val="000729"/>
        </w:rPr>
        <w:t>loss of –€94,264</w:t>
      </w:r>
      <w:r w:rsidR="003605E1" w:rsidRPr="003605E1">
        <w:rPr>
          <w:rFonts w:cstheme="minorHAnsi"/>
          <w:color w:val="000729"/>
        </w:rPr>
        <w:t xml:space="preserve"> as stated in the profit &amp; loss for the year 2021</w:t>
      </w:r>
      <w:r>
        <w:rPr>
          <w:rFonts w:cstheme="minorHAnsi"/>
          <w:color w:val="000729"/>
        </w:rPr>
        <w:t xml:space="preserve"> is a </w:t>
      </w:r>
      <w:r w:rsidR="003605E1" w:rsidRPr="003605E1">
        <w:rPr>
          <w:rFonts w:cstheme="minorHAnsi"/>
          <w:color w:val="000729"/>
        </w:rPr>
        <w:t xml:space="preserve">cause for concern and may impact the company's future performance. However, it is important to </w:t>
      </w:r>
      <w:r>
        <w:rPr>
          <w:rFonts w:cstheme="minorHAnsi"/>
          <w:color w:val="000729"/>
        </w:rPr>
        <w:t>note</w:t>
      </w:r>
      <w:r w:rsidR="003605E1" w:rsidRPr="003605E1">
        <w:rPr>
          <w:rFonts w:cstheme="minorHAnsi"/>
          <w:color w:val="000729"/>
        </w:rPr>
        <w:t xml:space="preserve"> that this loss was for a specific year and may not be r</w:t>
      </w:r>
      <w:r>
        <w:rPr>
          <w:rFonts w:cstheme="minorHAnsi"/>
          <w:color w:val="000729"/>
        </w:rPr>
        <w:t>eflective</w:t>
      </w:r>
      <w:r w:rsidR="003605E1" w:rsidRPr="003605E1">
        <w:rPr>
          <w:rFonts w:cstheme="minorHAnsi"/>
          <w:color w:val="000729"/>
        </w:rPr>
        <w:t xml:space="preserve"> of the company's current </w:t>
      </w:r>
      <w:r>
        <w:rPr>
          <w:rFonts w:cstheme="minorHAnsi"/>
          <w:color w:val="000729"/>
        </w:rPr>
        <w:t xml:space="preserve">financial </w:t>
      </w:r>
      <w:r w:rsidR="003605E1" w:rsidRPr="003605E1">
        <w:rPr>
          <w:rFonts w:cstheme="minorHAnsi"/>
          <w:color w:val="000729"/>
        </w:rPr>
        <w:t>position</w:t>
      </w:r>
      <w:r>
        <w:rPr>
          <w:rFonts w:cstheme="minorHAnsi"/>
          <w:color w:val="000729"/>
        </w:rPr>
        <w:t>.</w:t>
      </w:r>
    </w:p>
    <w:p w14:paraId="0B346EB0" w14:textId="77777777" w:rsidR="001937D9" w:rsidRPr="001937D9" w:rsidRDefault="001937D9" w:rsidP="001937D9">
      <w:pPr>
        <w:jc w:val="both"/>
        <w:rPr>
          <w:rFonts w:cstheme="minorHAnsi"/>
          <w:color w:val="000729"/>
        </w:rPr>
      </w:pPr>
    </w:p>
    <w:p w14:paraId="6AB076B6" w14:textId="08F7D888" w:rsidR="00AA1E41" w:rsidRPr="003605E1" w:rsidRDefault="00287FEB" w:rsidP="000B7D9A">
      <w:pPr>
        <w:pStyle w:val="ListParagraph"/>
        <w:numPr>
          <w:ilvl w:val="0"/>
          <w:numId w:val="10"/>
        </w:numPr>
        <w:jc w:val="both"/>
        <w:rPr>
          <w:rFonts w:cstheme="minorHAnsi"/>
          <w:color w:val="000729"/>
        </w:rPr>
      </w:pPr>
      <w:r>
        <w:rPr>
          <w:rFonts w:cstheme="minorHAnsi"/>
          <w:color w:val="000729"/>
        </w:rPr>
        <w:t>T</w:t>
      </w:r>
      <w:r w:rsidR="003605E1" w:rsidRPr="003605E1">
        <w:rPr>
          <w:rFonts w:cstheme="minorHAnsi"/>
          <w:color w:val="000729"/>
        </w:rPr>
        <w:t>he costs of production are quite high, so if the company lowers the costs, then there is a higher chance of a profit for future years.</w:t>
      </w:r>
    </w:p>
    <w:p w14:paraId="1E46E468" w14:textId="1C5F9396" w:rsidR="00AA1E41" w:rsidRDefault="00AA1E41" w:rsidP="008153E4">
      <w:pPr>
        <w:jc w:val="both"/>
        <w:rPr>
          <w:rFonts w:cstheme="minorHAnsi"/>
          <w:color w:val="000729"/>
        </w:rPr>
      </w:pPr>
    </w:p>
    <w:p w14:paraId="19ADB424" w14:textId="77777777" w:rsidR="00522585" w:rsidRPr="00FB7004" w:rsidRDefault="00522585" w:rsidP="008153E4">
      <w:pPr>
        <w:jc w:val="both"/>
        <w:rPr>
          <w:rFonts w:cstheme="minorHAnsi"/>
          <w:color w:val="000729"/>
        </w:rPr>
      </w:pPr>
    </w:p>
    <w:p w14:paraId="106407D7" w14:textId="53BA3ACF" w:rsidR="00761297" w:rsidRPr="00FB7004" w:rsidRDefault="00B953D7" w:rsidP="00761297">
      <w:pPr>
        <w:jc w:val="center"/>
        <w:rPr>
          <w:rFonts w:cstheme="minorHAnsi"/>
          <w:color w:val="000729"/>
        </w:rPr>
      </w:pPr>
      <w:r w:rsidRPr="00B953D7">
        <w:rPr>
          <w:rFonts w:cstheme="minorHAnsi"/>
          <w:noProof/>
          <w:color w:val="000729"/>
        </w:rPr>
        <w:drawing>
          <wp:inline distT="0" distB="0" distL="0" distR="0" wp14:anchorId="4E5A7B34" wp14:editId="5422824F">
            <wp:extent cx="5943600" cy="3094892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b="3240"/>
                    <a:stretch/>
                  </pic:blipFill>
                  <pic:spPr bwMode="auto">
                    <a:xfrm>
                      <a:off x="0" y="0"/>
                      <a:ext cx="5943600" cy="309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D8664" w14:textId="77777777" w:rsidR="00761297" w:rsidRPr="00FB7004" w:rsidRDefault="00761297" w:rsidP="00761297">
      <w:pPr>
        <w:jc w:val="center"/>
        <w:rPr>
          <w:rFonts w:cstheme="minorHAnsi"/>
          <w:color w:val="000729"/>
          <w:sz w:val="13"/>
          <w:szCs w:val="13"/>
        </w:rPr>
      </w:pPr>
    </w:p>
    <w:p w14:paraId="5F03959F" w14:textId="70C4B7E8" w:rsidR="00E349AF" w:rsidRDefault="000A2811" w:rsidP="003605E1">
      <w:pPr>
        <w:jc w:val="center"/>
        <w:rPr>
          <w:rFonts w:cstheme="minorHAnsi"/>
          <w:color w:val="000729"/>
          <w:sz w:val="20"/>
          <w:szCs w:val="20"/>
        </w:rPr>
      </w:pPr>
      <w:r>
        <w:rPr>
          <w:rFonts w:cstheme="minorHAnsi"/>
          <w:b/>
          <w:bCs/>
          <w:i/>
          <w:iCs/>
          <w:color w:val="000729"/>
          <w:sz w:val="20"/>
          <w:szCs w:val="20"/>
        </w:rPr>
        <w:t>Table</w:t>
      </w:r>
      <w:r w:rsidR="00761297"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 xml:space="preserve"> 1:</w:t>
      </w:r>
      <w:r w:rsidR="00761297" w:rsidRPr="00FB7004">
        <w:rPr>
          <w:rFonts w:cstheme="minorHAnsi"/>
          <w:color w:val="000729"/>
          <w:sz w:val="20"/>
          <w:szCs w:val="20"/>
        </w:rPr>
        <w:t xml:space="preserve"> </w:t>
      </w:r>
      <w:r w:rsidR="00761297" w:rsidRPr="00FB7004">
        <w:rPr>
          <w:rFonts w:cstheme="minorHAnsi"/>
          <w:i/>
          <w:iCs/>
          <w:color w:val="000729"/>
          <w:sz w:val="20"/>
          <w:szCs w:val="20"/>
        </w:rPr>
        <w:t>ABC Company – Balance Sheet as of 31</w:t>
      </w:r>
      <w:r w:rsidR="00761297" w:rsidRPr="00FB7004">
        <w:rPr>
          <w:rFonts w:cstheme="minorHAnsi"/>
          <w:i/>
          <w:iCs/>
          <w:color w:val="000729"/>
          <w:sz w:val="20"/>
          <w:szCs w:val="20"/>
          <w:vertAlign w:val="superscript"/>
        </w:rPr>
        <w:t>st</w:t>
      </w:r>
      <w:r w:rsidR="00761297" w:rsidRPr="00FB7004">
        <w:rPr>
          <w:rFonts w:cstheme="minorHAnsi"/>
          <w:i/>
          <w:iCs/>
          <w:color w:val="000729"/>
          <w:sz w:val="20"/>
          <w:szCs w:val="20"/>
        </w:rPr>
        <w:t xml:space="preserve"> of December 2021</w:t>
      </w:r>
    </w:p>
    <w:p w14:paraId="1443645B" w14:textId="786DA9EF" w:rsidR="00206A95" w:rsidRPr="00FB7004" w:rsidRDefault="00206A95" w:rsidP="009E082B">
      <w:pPr>
        <w:jc w:val="both"/>
        <w:rPr>
          <w:rFonts w:cstheme="minorHAnsi"/>
          <w:color w:val="000729"/>
        </w:rPr>
      </w:pPr>
    </w:p>
    <w:p w14:paraId="221D1C7A" w14:textId="4095F1B6" w:rsidR="00206A95" w:rsidRPr="00FB7004" w:rsidRDefault="00206A95" w:rsidP="009E082B">
      <w:pPr>
        <w:jc w:val="both"/>
        <w:rPr>
          <w:rFonts w:cstheme="minorHAnsi"/>
          <w:color w:val="000729"/>
        </w:rPr>
      </w:pPr>
      <w:r w:rsidRPr="00FB7004">
        <w:rPr>
          <w:rFonts w:cstheme="minorHAnsi"/>
          <w:noProof/>
          <w:color w:val="000729"/>
        </w:rPr>
        <w:lastRenderedPageBreak/>
        <w:drawing>
          <wp:inline distT="0" distB="0" distL="0" distR="0" wp14:anchorId="53669E0B" wp14:editId="1CC2B39F">
            <wp:extent cx="5951141" cy="2005070"/>
            <wp:effectExtent l="0" t="0" r="5715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b="8219"/>
                    <a:stretch/>
                  </pic:blipFill>
                  <pic:spPr bwMode="auto">
                    <a:xfrm>
                      <a:off x="0" y="0"/>
                      <a:ext cx="5952698" cy="200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FD173" w14:textId="362B49E3" w:rsidR="00206A95" w:rsidRPr="00FB7004" w:rsidRDefault="000A2811" w:rsidP="00206A95">
      <w:pPr>
        <w:jc w:val="center"/>
        <w:rPr>
          <w:rFonts w:cstheme="minorHAnsi"/>
          <w:color w:val="000729"/>
          <w:sz w:val="20"/>
          <w:szCs w:val="20"/>
        </w:rPr>
      </w:pPr>
      <w:r>
        <w:rPr>
          <w:rFonts w:cstheme="minorHAnsi"/>
          <w:b/>
          <w:bCs/>
          <w:i/>
          <w:iCs/>
          <w:color w:val="000729"/>
          <w:sz w:val="20"/>
          <w:szCs w:val="20"/>
        </w:rPr>
        <w:t>Table</w:t>
      </w:r>
      <w:r w:rsidR="006F50CD"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 xml:space="preserve"> </w:t>
      </w:r>
      <w:r w:rsidR="00BF1312"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>2</w:t>
      </w:r>
      <w:r w:rsidR="006F50CD"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>:</w:t>
      </w:r>
      <w:r w:rsidR="006F50CD" w:rsidRPr="00FB7004">
        <w:rPr>
          <w:rFonts w:cstheme="minorHAnsi"/>
          <w:color w:val="000729"/>
          <w:sz w:val="20"/>
          <w:szCs w:val="20"/>
        </w:rPr>
        <w:t xml:space="preserve"> </w:t>
      </w:r>
      <w:r w:rsidR="00206A95" w:rsidRPr="00FB7004">
        <w:rPr>
          <w:rFonts w:cstheme="minorHAnsi"/>
          <w:i/>
          <w:iCs/>
          <w:color w:val="000729"/>
          <w:sz w:val="20"/>
          <w:szCs w:val="20"/>
        </w:rPr>
        <w:t>ABC Company - Profit &amp; Loss as of 31</w:t>
      </w:r>
      <w:r w:rsidR="00206A95" w:rsidRPr="00FB7004">
        <w:rPr>
          <w:rFonts w:cstheme="minorHAnsi"/>
          <w:i/>
          <w:iCs/>
          <w:color w:val="000729"/>
          <w:sz w:val="20"/>
          <w:szCs w:val="20"/>
          <w:vertAlign w:val="superscript"/>
        </w:rPr>
        <w:t>st</w:t>
      </w:r>
      <w:r w:rsidR="00206A95" w:rsidRPr="00FB7004">
        <w:rPr>
          <w:rFonts w:cstheme="minorHAnsi"/>
          <w:i/>
          <w:iCs/>
          <w:color w:val="000729"/>
          <w:sz w:val="20"/>
          <w:szCs w:val="20"/>
        </w:rPr>
        <w:t xml:space="preserve"> of December 2021</w:t>
      </w:r>
    </w:p>
    <w:p w14:paraId="4DCBEA80" w14:textId="64B0E1E2" w:rsidR="00206A95" w:rsidRPr="00FB7004" w:rsidRDefault="00206A95" w:rsidP="00206A95">
      <w:pPr>
        <w:jc w:val="center"/>
        <w:rPr>
          <w:rFonts w:cstheme="minorHAnsi"/>
          <w:color w:val="000729"/>
        </w:rPr>
      </w:pPr>
    </w:p>
    <w:p w14:paraId="65538C6D" w14:textId="513F1028" w:rsidR="009A0478" w:rsidRPr="00FB7004" w:rsidRDefault="009A0478" w:rsidP="009E082B">
      <w:pPr>
        <w:jc w:val="both"/>
        <w:rPr>
          <w:rFonts w:cstheme="minorHAnsi"/>
          <w:color w:val="000729"/>
        </w:rPr>
      </w:pPr>
    </w:p>
    <w:p w14:paraId="075318D8" w14:textId="7997360B" w:rsidR="00794CA4" w:rsidRDefault="00794CA4">
      <w:pPr>
        <w:rPr>
          <w:rFonts w:eastAsiaTheme="majorEastAsia" w:cstheme="minorHAnsi"/>
          <w:b/>
          <w:bCs/>
          <w:color w:val="FFBE00"/>
          <w:sz w:val="32"/>
          <w:szCs w:val="32"/>
        </w:rPr>
      </w:pPr>
    </w:p>
    <w:p w14:paraId="7B5BB135" w14:textId="091F0D6F" w:rsidR="009A0478" w:rsidRPr="00FB7004" w:rsidRDefault="002E3C36" w:rsidP="009E082B">
      <w:pPr>
        <w:pStyle w:val="Heading1"/>
        <w:jc w:val="both"/>
        <w:rPr>
          <w:rFonts w:asciiTheme="minorHAnsi" w:hAnsiTheme="minorHAnsi" w:cstheme="minorHAnsi"/>
          <w:b/>
          <w:bCs/>
          <w:color w:val="FFBE00"/>
        </w:rPr>
      </w:pPr>
      <w:bookmarkStart w:id="2" w:name="_Toc127218013"/>
      <w:r w:rsidRPr="00FB7004">
        <w:rPr>
          <w:rFonts w:asciiTheme="minorHAnsi" w:hAnsiTheme="minorHAnsi" w:cstheme="minorHAnsi"/>
          <w:b/>
          <w:bCs/>
          <w:color w:val="FFBE00"/>
        </w:rPr>
        <w:t>Current Account Insights</w:t>
      </w:r>
      <w:bookmarkEnd w:id="2"/>
    </w:p>
    <w:p w14:paraId="4BDEBD27" w14:textId="3B0B70D0" w:rsidR="002E3C36" w:rsidRPr="00FB7004" w:rsidRDefault="002E3C36" w:rsidP="009E082B">
      <w:pPr>
        <w:jc w:val="both"/>
        <w:rPr>
          <w:rFonts w:cstheme="minorHAnsi"/>
        </w:rPr>
      </w:pPr>
    </w:p>
    <w:p w14:paraId="7FD05AB4" w14:textId="1D837667" w:rsidR="00BF63BA" w:rsidRDefault="00E30B77" w:rsidP="00E30B77">
      <w:pPr>
        <w:jc w:val="both"/>
        <w:rPr>
          <w:rFonts w:cstheme="minorHAnsi"/>
          <w:color w:val="000729"/>
        </w:rPr>
      </w:pPr>
      <w:r>
        <w:rPr>
          <w:rFonts w:cstheme="minorHAnsi"/>
          <w:color w:val="000729"/>
        </w:rPr>
        <w:t>By analysing the current account movement</w:t>
      </w:r>
      <w:r w:rsidR="00F208B4">
        <w:rPr>
          <w:rFonts w:cstheme="minorHAnsi"/>
          <w:color w:val="000729"/>
        </w:rPr>
        <w:t>s</w:t>
      </w:r>
      <w:r w:rsidR="00DB3645">
        <w:rPr>
          <w:rFonts w:cstheme="minorHAnsi"/>
          <w:color w:val="000729"/>
        </w:rPr>
        <w:t>,</w:t>
      </w:r>
      <w:r>
        <w:rPr>
          <w:rFonts w:cstheme="minorHAnsi"/>
          <w:color w:val="000729"/>
        </w:rPr>
        <w:t xml:space="preserve"> important</w:t>
      </w:r>
      <w:r w:rsidR="005F4939" w:rsidRPr="005F4939">
        <w:rPr>
          <w:rFonts w:cstheme="minorHAnsi"/>
          <w:color w:val="000729"/>
        </w:rPr>
        <w:t xml:space="preserve"> insight</w:t>
      </w:r>
      <w:r w:rsidR="005F4939">
        <w:rPr>
          <w:rFonts w:cstheme="minorHAnsi"/>
          <w:color w:val="000729"/>
        </w:rPr>
        <w:t>s</w:t>
      </w:r>
      <w:r w:rsidR="005F4939" w:rsidRPr="005F4939">
        <w:rPr>
          <w:rFonts w:cstheme="minorHAnsi"/>
          <w:color w:val="000729"/>
        </w:rPr>
        <w:t xml:space="preserve"> into </w:t>
      </w:r>
      <w:r>
        <w:rPr>
          <w:rFonts w:cstheme="minorHAnsi"/>
          <w:color w:val="000729"/>
        </w:rPr>
        <w:t>the</w:t>
      </w:r>
      <w:r w:rsidR="005F4939" w:rsidRPr="005F4939">
        <w:rPr>
          <w:rFonts w:cstheme="minorHAnsi"/>
          <w:color w:val="000729"/>
        </w:rPr>
        <w:t xml:space="preserve"> company's financial </w:t>
      </w:r>
      <w:r>
        <w:rPr>
          <w:rFonts w:cstheme="minorHAnsi"/>
          <w:color w:val="000729"/>
        </w:rPr>
        <w:t>ability</w:t>
      </w:r>
      <w:r w:rsidR="005F4939" w:rsidRPr="005F4939">
        <w:rPr>
          <w:rFonts w:cstheme="minorHAnsi"/>
          <w:color w:val="000729"/>
        </w:rPr>
        <w:t xml:space="preserve"> to </w:t>
      </w:r>
      <w:r>
        <w:rPr>
          <w:rFonts w:cstheme="minorHAnsi"/>
          <w:color w:val="000729"/>
        </w:rPr>
        <w:t>repay a probable short</w:t>
      </w:r>
      <w:r w:rsidR="00502AE4">
        <w:rPr>
          <w:rFonts w:cstheme="minorHAnsi"/>
          <w:color w:val="000729"/>
        </w:rPr>
        <w:t>-</w:t>
      </w:r>
      <w:r>
        <w:rPr>
          <w:rFonts w:cstheme="minorHAnsi"/>
          <w:color w:val="000729"/>
        </w:rPr>
        <w:t xml:space="preserve">term </w:t>
      </w:r>
      <w:r w:rsidR="005F4939" w:rsidRPr="005F4939">
        <w:rPr>
          <w:rFonts w:cstheme="minorHAnsi"/>
          <w:color w:val="000729"/>
        </w:rPr>
        <w:t xml:space="preserve">loan </w:t>
      </w:r>
      <w:r w:rsidR="00DB3645">
        <w:rPr>
          <w:rFonts w:cstheme="minorHAnsi"/>
          <w:color w:val="000729"/>
        </w:rPr>
        <w:t>were identified</w:t>
      </w:r>
      <w:r w:rsidR="0085519C">
        <w:rPr>
          <w:rFonts w:cstheme="minorHAnsi"/>
          <w:color w:val="000729"/>
        </w:rPr>
        <w:t>.</w:t>
      </w:r>
    </w:p>
    <w:p w14:paraId="3FB015B7" w14:textId="77777777" w:rsidR="00E30B77" w:rsidRPr="00E30B77" w:rsidRDefault="00E30B77" w:rsidP="00E30B77">
      <w:pPr>
        <w:jc w:val="both"/>
        <w:rPr>
          <w:rFonts w:cstheme="minorHAnsi"/>
          <w:color w:val="000729"/>
        </w:rPr>
      </w:pPr>
    </w:p>
    <w:p w14:paraId="47A25812" w14:textId="6BDB94A8" w:rsidR="00941ED3" w:rsidRDefault="001A48B1" w:rsidP="00836017">
      <w:pPr>
        <w:jc w:val="both"/>
        <w:rPr>
          <w:rFonts w:cstheme="minorHAnsi"/>
          <w:color w:val="000729"/>
        </w:rPr>
      </w:pPr>
      <w:r>
        <w:rPr>
          <w:rFonts w:cstheme="minorHAnsi"/>
          <w:color w:val="000729"/>
        </w:rPr>
        <w:t xml:space="preserve">Generally, throughout the entire year 2022, ABC Company had a </w:t>
      </w:r>
      <w:proofErr w:type="gramStart"/>
      <w:r w:rsidR="008938CF">
        <w:rPr>
          <w:rFonts w:cstheme="minorHAnsi"/>
          <w:color w:val="000729"/>
        </w:rPr>
        <w:t>total debit transaction</w:t>
      </w:r>
      <w:r w:rsidR="00A2170C">
        <w:rPr>
          <w:rFonts w:cstheme="minorHAnsi"/>
          <w:color w:val="000729"/>
        </w:rPr>
        <w:t>s</w:t>
      </w:r>
      <w:proofErr w:type="gramEnd"/>
      <w:r w:rsidR="00E30B77">
        <w:rPr>
          <w:rFonts w:cstheme="minorHAnsi"/>
          <w:color w:val="000729"/>
        </w:rPr>
        <w:t xml:space="preserve"> </w:t>
      </w:r>
      <w:r>
        <w:rPr>
          <w:rFonts w:cstheme="minorHAnsi"/>
          <w:color w:val="000729"/>
        </w:rPr>
        <w:t>of</w:t>
      </w:r>
      <w:r w:rsidR="00DD3387">
        <w:rPr>
          <w:rFonts w:cstheme="minorHAnsi"/>
          <w:color w:val="000729"/>
        </w:rPr>
        <w:t xml:space="preserve"> </w:t>
      </w:r>
      <w:r w:rsidR="00190472">
        <w:rPr>
          <w:rFonts w:cstheme="minorHAnsi"/>
          <w:color w:val="000729"/>
        </w:rPr>
        <w:t>–</w:t>
      </w:r>
      <w:r w:rsidR="00190472" w:rsidRPr="00190472">
        <w:rPr>
          <w:rFonts w:cstheme="minorHAnsi"/>
          <w:color w:val="000729"/>
        </w:rPr>
        <w:t>€</w:t>
      </w:r>
      <w:r>
        <w:rPr>
          <w:rFonts w:cstheme="minorHAnsi"/>
          <w:color w:val="000729"/>
        </w:rPr>
        <w:t>366,008</w:t>
      </w:r>
      <w:r w:rsidR="00190472">
        <w:rPr>
          <w:rFonts w:cstheme="minorHAnsi"/>
          <w:color w:val="000729"/>
        </w:rPr>
        <w:t xml:space="preserve">.32 </w:t>
      </w:r>
      <w:r>
        <w:rPr>
          <w:rFonts w:cstheme="minorHAnsi"/>
          <w:color w:val="000729"/>
        </w:rPr>
        <w:t xml:space="preserve">and total credit </w:t>
      </w:r>
      <w:r w:rsidR="00E30B77">
        <w:rPr>
          <w:rFonts w:cstheme="minorHAnsi"/>
          <w:color w:val="000729"/>
        </w:rPr>
        <w:t xml:space="preserve">ones </w:t>
      </w:r>
      <w:r>
        <w:rPr>
          <w:rFonts w:cstheme="minorHAnsi"/>
          <w:color w:val="000729"/>
        </w:rPr>
        <w:t xml:space="preserve">of </w:t>
      </w:r>
      <w:r w:rsidR="00190472" w:rsidRPr="00190472">
        <w:rPr>
          <w:rFonts w:cstheme="minorHAnsi"/>
          <w:color w:val="000729"/>
        </w:rPr>
        <w:t>€</w:t>
      </w:r>
      <w:r w:rsidR="00190472">
        <w:rPr>
          <w:rFonts w:cstheme="minorHAnsi"/>
          <w:color w:val="000729"/>
        </w:rPr>
        <w:t xml:space="preserve">373,355.46, with average </w:t>
      </w:r>
      <w:r w:rsidR="0085519C">
        <w:rPr>
          <w:rFonts w:cstheme="minorHAnsi"/>
          <w:color w:val="000729"/>
        </w:rPr>
        <w:t xml:space="preserve">transaction </w:t>
      </w:r>
      <w:r w:rsidR="00941ED3">
        <w:rPr>
          <w:rFonts w:cstheme="minorHAnsi"/>
          <w:color w:val="000729"/>
        </w:rPr>
        <w:t>values</w:t>
      </w:r>
      <w:r w:rsidR="00190472">
        <w:rPr>
          <w:rFonts w:cstheme="minorHAnsi"/>
          <w:color w:val="000729"/>
        </w:rPr>
        <w:t xml:space="preserve"> </w:t>
      </w:r>
      <w:r w:rsidR="0085519C">
        <w:rPr>
          <w:rFonts w:cstheme="minorHAnsi"/>
          <w:color w:val="000729"/>
        </w:rPr>
        <w:t xml:space="preserve">of </w:t>
      </w:r>
      <w:r w:rsidR="00190472">
        <w:rPr>
          <w:rFonts w:cstheme="minorHAnsi"/>
          <w:color w:val="000729"/>
        </w:rPr>
        <w:t>–</w:t>
      </w:r>
      <w:r w:rsidR="00190472" w:rsidRPr="00190472">
        <w:rPr>
          <w:rFonts w:cstheme="minorHAnsi"/>
          <w:color w:val="000729"/>
        </w:rPr>
        <w:t>€</w:t>
      </w:r>
      <w:r w:rsidR="00190472">
        <w:rPr>
          <w:rFonts w:cstheme="minorHAnsi"/>
          <w:color w:val="000729"/>
        </w:rPr>
        <w:t xml:space="preserve">3,182.68 and </w:t>
      </w:r>
      <w:r w:rsidR="00190472" w:rsidRPr="00190472">
        <w:rPr>
          <w:rFonts w:cstheme="minorHAnsi"/>
          <w:color w:val="000729"/>
        </w:rPr>
        <w:t>€</w:t>
      </w:r>
      <w:r w:rsidR="00190472">
        <w:rPr>
          <w:rFonts w:cstheme="minorHAnsi"/>
          <w:color w:val="000729"/>
        </w:rPr>
        <w:t>3,248.12</w:t>
      </w:r>
      <w:r w:rsidR="00941ED3">
        <w:rPr>
          <w:rFonts w:cstheme="minorHAnsi"/>
          <w:color w:val="000729"/>
        </w:rPr>
        <w:t xml:space="preserve">, </w:t>
      </w:r>
      <w:r w:rsidR="00E30B77">
        <w:rPr>
          <w:rFonts w:cstheme="minorHAnsi"/>
          <w:color w:val="000729"/>
        </w:rPr>
        <w:t>respectively.</w:t>
      </w:r>
      <w:r>
        <w:rPr>
          <w:rFonts w:cstheme="minorHAnsi"/>
          <w:color w:val="000729"/>
        </w:rPr>
        <w:t xml:space="preserve"> </w:t>
      </w:r>
    </w:p>
    <w:p w14:paraId="2C246EF7" w14:textId="77777777" w:rsidR="00E30B77" w:rsidRDefault="00E30B77" w:rsidP="00836017">
      <w:pPr>
        <w:jc w:val="both"/>
        <w:rPr>
          <w:rFonts w:cstheme="minorHAnsi"/>
          <w:color w:val="000729"/>
        </w:rPr>
      </w:pPr>
    </w:p>
    <w:p w14:paraId="33053087" w14:textId="797F5593" w:rsidR="009B23BE" w:rsidRDefault="00E24E31" w:rsidP="00836017">
      <w:pPr>
        <w:jc w:val="both"/>
        <w:rPr>
          <w:rFonts w:cstheme="minorHAnsi"/>
          <w:color w:val="000729"/>
        </w:rPr>
      </w:pPr>
      <w:r>
        <w:rPr>
          <w:rFonts w:cstheme="minorHAnsi"/>
          <w:color w:val="000729"/>
        </w:rPr>
        <w:t xml:space="preserve">These transactions </w:t>
      </w:r>
      <w:r w:rsidR="00E30B77">
        <w:rPr>
          <w:rFonts w:cstheme="minorHAnsi"/>
          <w:color w:val="000729"/>
        </w:rPr>
        <w:t>are separated into</w:t>
      </w:r>
      <w:r w:rsidR="001A48B1">
        <w:rPr>
          <w:rFonts w:cstheme="minorHAnsi"/>
          <w:color w:val="000729"/>
        </w:rPr>
        <w:t xml:space="preserve"> 7 </w:t>
      </w:r>
      <w:r w:rsidR="00E30B77">
        <w:rPr>
          <w:rFonts w:cstheme="minorHAnsi"/>
          <w:color w:val="000729"/>
        </w:rPr>
        <w:t xml:space="preserve">main </w:t>
      </w:r>
      <w:r w:rsidR="001A48B1">
        <w:rPr>
          <w:rFonts w:cstheme="minorHAnsi"/>
          <w:color w:val="000729"/>
        </w:rPr>
        <w:t>categories</w:t>
      </w:r>
      <w:r w:rsidR="00E30B77">
        <w:rPr>
          <w:rFonts w:cstheme="minorHAnsi"/>
          <w:color w:val="000729"/>
        </w:rPr>
        <w:t xml:space="preserve"> as seen in </w:t>
      </w:r>
      <w:r w:rsidR="00E30B77" w:rsidRPr="00502AE4">
        <w:rPr>
          <w:rFonts w:cstheme="minorHAnsi"/>
          <w:i/>
          <w:iCs/>
          <w:color w:val="000729"/>
        </w:rPr>
        <w:t>Table 3</w:t>
      </w:r>
      <w:r w:rsidR="0085519C">
        <w:rPr>
          <w:rFonts w:cstheme="minorHAnsi"/>
          <w:color w:val="000729"/>
        </w:rPr>
        <w:t xml:space="preserve">. </w:t>
      </w:r>
    </w:p>
    <w:p w14:paraId="02E8F540" w14:textId="77777777" w:rsidR="00BB2A15" w:rsidRPr="00836017" w:rsidRDefault="00BB2A15" w:rsidP="00836017">
      <w:pPr>
        <w:jc w:val="both"/>
        <w:rPr>
          <w:rFonts w:cstheme="minorHAnsi"/>
          <w:color w:val="000729"/>
        </w:rPr>
      </w:pPr>
    </w:p>
    <w:p w14:paraId="30D543E0" w14:textId="699C6764" w:rsidR="000A2811" w:rsidRDefault="000A2811" w:rsidP="009B23BE">
      <w:pPr>
        <w:jc w:val="center"/>
        <w:rPr>
          <w:rFonts w:cstheme="minorHAnsi"/>
          <w:color w:val="000729"/>
        </w:rPr>
      </w:pPr>
      <w:r w:rsidRPr="00882EFF">
        <w:rPr>
          <w:rFonts w:cstheme="minorHAnsi"/>
          <w:noProof/>
          <w:color w:val="000729"/>
        </w:rPr>
        <w:drawing>
          <wp:inline distT="0" distB="0" distL="0" distR="0" wp14:anchorId="22006443" wp14:editId="1CC55D7C">
            <wp:extent cx="3409244" cy="2176988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919" cy="220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6330" w14:textId="77777777" w:rsidR="009B23BE" w:rsidRPr="009B23BE" w:rsidRDefault="009B23BE" w:rsidP="009B23BE">
      <w:pPr>
        <w:jc w:val="center"/>
        <w:rPr>
          <w:rFonts w:cstheme="minorHAnsi"/>
          <w:color w:val="000729"/>
          <w:sz w:val="10"/>
          <w:szCs w:val="10"/>
        </w:rPr>
      </w:pPr>
    </w:p>
    <w:p w14:paraId="2449BA56" w14:textId="34E648FB" w:rsidR="000A2811" w:rsidRDefault="009B23BE" w:rsidP="000A2811">
      <w:pPr>
        <w:jc w:val="center"/>
        <w:rPr>
          <w:rFonts w:cstheme="minorHAnsi"/>
          <w:i/>
          <w:iCs/>
          <w:color w:val="000729"/>
          <w:sz w:val="20"/>
          <w:szCs w:val="20"/>
        </w:rPr>
      </w:pPr>
      <w:r>
        <w:rPr>
          <w:rFonts w:cstheme="minorHAnsi"/>
          <w:b/>
          <w:bCs/>
          <w:i/>
          <w:iCs/>
          <w:color w:val="000729"/>
          <w:sz w:val="20"/>
          <w:szCs w:val="20"/>
        </w:rPr>
        <w:t>Table</w:t>
      </w:r>
      <w:r w:rsidR="000A2811"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 xml:space="preserve"> </w:t>
      </w:r>
      <w:r>
        <w:rPr>
          <w:rFonts w:cstheme="minorHAnsi"/>
          <w:b/>
          <w:bCs/>
          <w:i/>
          <w:iCs/>
          <w:color w:val="000729"/>
          <w:sz w:val="20"/>
          <w:szCs w:val="20"/>
        </w:rPr>
        <w:t>3</w:t>
      </w:r>
      <w:r w:rsidR="000A2811"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>:</w:t>
      </w:r>
      <w:r w:rsidR="000A2811" w:rsidRPr="00FB7004">
        <w:rPr>
          <w:rFonts w:cstheme="minorHAnsi"/>
          <w:color w:val="000729"/>
          <w:sz w:val="20"/>
          <w:szCs w:val="20"/>
        </w:rPr>
        <w:t xml:space="preserve"> </w:t>
      </w:r>
      <w:r w:rsidRPr="009B23BE">
        <w:rPr>
          <w:rFonts w:cstheme="minorHAnsi"/>
          <w:i/>
          <w:iCs/>
          <w:color w:val="000729"/>
          <w:sz w:val="20"/>
          <w:szCs w:val="20"/>
        </w:rPr>
        <w:t>2022</w:t>
      </w:r>
      <w:r>
        <w:rPr>
          <w:rFonts w:cstheme="minorHAnsi"/>
          <w:color w:val="000729"/>
          <w:sz w:val="20"/>
          <w:szCs w:val="20"/>
        </w:rPr>
        <w:t xml:space="preserve"> </w:t>
      </w:r>
      <w:r>
        <w:rPr>
          <w:rFonts w:cstheme="minorHAnsi"/>
          <w:i/>
          <w:iCs/>
          <w:color w:val="000729"/>
          <w:sz w:val="20"/>
          <w:szCs w:val="20"/>
        </w:rPr>
        <w:t>Transactions Sum</w:t>
      </w:r>
    </w:p>
    <w:p w14:paraId="018A91B1" w14:textId="77777777" w:rsidR="00BB2A15" w:rsidRDefault="00BB2A15" w:rsidP="000A2811">
      <w:pPr>
        <w:jc w:val="center"/>
        <w:rPr>
          <w:rFonts w:cstheme="minorHAnsi"/>
          <w:i/>
          <w:iCs/>
          <w:color w:val="000729"/>
          <w:sz w:val="20"/>
          <w:szCs w:val="20"/>
        </w:rPr>
      </w:pPr>
    </w:p>
    <w:p w14:paraId="534FBD6B" w14:textId="77777777" w:rsidR="0085519C" w:rsidRDefault="0085519C" w:rsidP="00BF1C22">
      <w:pPr>
        <w:jc w:val="both"/>
        <w:rPr>
          <w:rFonts w:cstheme="minorHAnsi"/>
          <w:color w:val="000729"/>
        </w:rPr>
      </w:pPr>
    </w:p>
    <w:p w14:paraId="2CCC32D6" w14:textId="62031C55" w:rsidR="0085519C" w:rsidRDefault="0085519C" w:rsidP="0085519C">
      <w:pPr>
        <w:jc w:val="both"/>
        <w:rPr>
          <w:rFonts w:cstheme="minorHAnsi"/>
          <w:color w:val="000729"/>
        </w:rPr>
      </w:pPr>
      <w:r>
        <w:rPr>
          <w:rFonts w:cstheme="minorHAnsi"/>
          <w:color w:val="000729"/>
        </w:rPr>
        <w:t xml:space="preserve">The </w:t>
      </w:r>
      <w:r w:rsidR="00941212">
        <w:rPr>
          <w:rFonts w:cstheme="minorHAnsi"/>
          <w:color w:val="000729"/>
        </w:rPr>
        <w:t>lowest</w:t>
      </w:r>
      <w:r>
        <w:rPr>
          <w:rFonts w:cstheme="minorHAnsi"/>
          <w:color w:val="000729"/>
        </w:rPr>
        <w:t xml:space="preserve"> amount of </w:t>
      </w:r>
      <w:r w:rsidR="00941212">
        <w:rPr>
          <w:rFonts w:cstheme="minorHAnsi"/>
          <w:color w:val="000729"/>
        </w:rPr>
        <w:t xml:space="preserve">net cash </w:t>
      </w:r>
      <w:r>
        <w:rPr>
          <w:rFonts w:cstheme="minorHAnsi"/>
          <w:color w:val="000729"/>
        </w:rPr>
        <w:t xml:space="preserve">flow in the current </w:t>
      </w:r>
      <w:r w:rsidR="00647CF5">
        <w:rPr>
          <w:rFonts w:cstheme="minorHAnsi"/>
          <w:color w:val="000729"/>
        </w:rPr>
        <w:t>account is</w:t>
      </w:r>
      <w:r w:rsidR="00941212">
        <w:rPr>
          <w:rFonts w:cstheme="minorHAnsi"/>
          <w:color w:val="000729"/>
        </w:rPr>
        <w:t xml:space="preserve"> observed in May 2022 at</w:t>
      </w:r>
      <w:r>
        <w:rPr>
          <w:rFonts w:cstheme="minorHAnsi"/>
          <w:color w:val="000729"/>
        </w:rPr>
        <w:t xml:space="preserve"> –</w:t>
      </w:r>
      <w:r w:rsidRPr="00190472">
        <w:rPr>
          <w:rFonts w:cstheme="minorHAnsi"/>
          <w:color w:val="000729"/>
        </w:rPr>
        <w:t>€</w:t>
      </w:r>
      <w:r>
        <w:rPr>
          <w:rFonts w:cstheme="minorHAnsi"/>
          <w:color w:val="000729"/>
        </w:rPr>
        <w:t>1,724.57</w:t>
      </w:r>
      <w:r w:rsidR="00941212">
        <w:rPr>
          <w:rFonts w:cstheme="minorHAnsi"/>
          <w:color w:val="000729"/>
        </w:rPr>
        <w:t xml:space="preserve"> which led to the need of a new financial disbursement of €10</w:t>
      </w:r>
      <w:r w:rsidR="00647CF5">
        <w:rPr>
          <w:rFonts w:cstheme="minorHAnsi"/>
          <w:color w:val="000729"/>
        </w:rPr>
        <w:t xml:space="preserve">,000, as seen in </w:t>
      </w:r>
      <w:r w:rsidR="00941212" w:rsidRPr="00647CF5">
        <w:rPr>
          <w:rFonts w:cstheme="minorHAnsi"/>
          <w:i/>
          <w:iCs/>
          <w:color w:val="000729"/>
        </w:rPr>
        <w:t xml:space="preserve">Table </w:t>
      </w:r>
      <w:r w:rsidR="00B2220B">
        <w:rPr>
          <w:rFonts w:cstheme="minorHAnsi"/>
          <w:i/>
          <w:iCs/>
          <w:color w:val="000729"/>
        </w:rPr>
        <w:t>4</w:t>
      </w:r>
      <w:r>
        <w:rPr>
          <w:rFonts w:cstheme="minorHAnsi"/>
          <w:color w:val="000729"/>
        </w:rPr>
        <w:t xml:space="preserve">. As a result, </w:t>
      </w:r>
      <w:r>
        <w:rPr>
          <w:rFonts w:cstheme="minorHAnsi"/>
          <w:color w:val="000729"/>
        </w:rPr>
        <w:lastRenderedPageBreak/>
        <w:t xml:space="preserve">the balance at the end of May </w:t>
      </w:r>
      <w:r w:rsidR="00941212">
        <w:rPr>
          <w:rFonts w:cstheme="minorHAnsi"/>
          <w:color w:val="000729"/>
        </w:rPr>
        <w:t>turned</w:t>
      </w:r>
      <w:r>
        <w:rPr>
          <w:rFonts w:cstheme="minorHAnsi"/>
          <w:color w:val="000729"/>
        </w:rPr>
        <w:t xml:space="preserve"> positive</w:t>
      </w:r>
      <w:r w:rsidR="00941212">
        <w:rPr>
          <w:rFonts w:cstheme="minorHAnsi"/>
          <w:color w:val="000729"/>
        </w:rPr>
        <w:t xml:space="preserve"> leading to positive end </w:t>
      </w:r>
      <w:r w:rsidR="00CE513A">
        <w:rPr>
          <w:rFonts w:cstheme="minorHAnsi"/>
          <w:color w:val="000729"/>
        </w:rPr>
        <w:t xml:space="preserve">of </w:t>
      </w:r>
      <w:r w:rsidR="00941212">
        <w:rPr>
          <w:rFonts w:cstheme="minorHAnsi"/>
          <w:color w:val="000729"/>
        </w:rPr>
        <w:t xml:space="preserve">month </w:t>
      </w:r>
      <w:r w:rsidR="00CE513A">
        <w:rPr>
          <w:rFonts w:cstheme="minorHAnsi"/>
          <w:color w:val="000729"/>
        </w:rPr>
        <w:t>cash flow</w:t>
      </w:r>
      <w:r w:rsidR="00941212">
        <w:rPr>
          <w:rFonts w:cstheme="minorHAnsi"/>
          <w:color w:val="000729"/>
        </w:rPr>
        <w:t xml:space="preserve"> for the remaining months until year end</w:t>
      </w:r>
      <w:r w:rsidR="00647CF5">
        <w:rPr>
          <w:rFonts w:cstheme="minorHAnsi"/>
          <w:color w:val="000729"/>
        </w:rPr>
        <w:t xml:space="preserve">, as seen in </w:t>
      </w:r>
      <w:r w:rsidR="00941212" w:rsidRPr="00647CF5">
        <w:rPr>
          <w:rFonts w:cstheme="minorHAnsi"/>
          <w:i/>
          <w:iCs/>
          <w:color w:val="000729"/>
        </w:rPr>
        <w:t xml:space="preserve">Table </w:t>
      </w:r>
      <w:r w:rsidR="00B2220B">
        <w:rPr>
          <w:rFonts w:cstheme="minorHAnsi"/>
          <w:i/>
          <w:iCs/>
          <w:color w:val="000729"/>
        </w:rPr>
        <w:t>5</w:t>
      </w:r>
      <w:r w:rsidR="00941212">
        <w:rPr>
          <w:rFonts w:cstheme="minorHAnsi"/>
          <w:color w:val="000729"/>
        </w:rPr>
        <w:t xml:space="preserve">. </w:t>
      </w:r>
    </w:p>
    <w:p w14:paraId="51BA25A3" w14:textId="77777777" w:rsidR="00550891" w:rsidRPr="0074760A" w:rsidRDefault="00550891" w:rsidP="0085519C">
      <w:pPr>
        <w:jc w:val="both"/>
        <w:rPr>
          <w:rFonts w:cstheme="minorHAnsi"/>
          <w:color w:val="000729"/>
        </w:rPr>
      </w:pPr>
    </w:p>
    <w:p w14:paraId="76A278FB" w14:textId="63687618" w:rsidR="0085519C" w:rsidRDefault="00550891" w:rsidP="00550891">
      <w:pPr>
        <w:jc w:val="center"/>
        <w:rPr>
          <w:rFonts w:cstheme="minorHAnsi"/>
          <w:color w:val="000729"/>
        </w:rPr>
      </w:pPr>
      <w:r w:rsidRPr="00917BE6">
        <w:rPr>
          <w:rFonts w:cstheme="minorHAnsi"/>
          <w:i/>
          <w:iCs/>
          <w:noProof/>
          <w:color w:val="000729"/>
          <w:sz w:val="20"/>
          <w:szCs w:val="20"/>
        </w:rPr>
        <w:drawing>
          <wp:inline distT="0" distB="0" distL="0" distR="0" wp14:anchorId="68741419" wp14:editId="4805AB58">
            <wp:extent cx="4429965" cy="2963538"/>
            <wp:effectExtent l="0" t="0" r="254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 rotWithShape="1">
                    <a:blip r:embed="rId11"/>
                    <a:srcRect b="8710"/>
                    <a:stretch/>
                  </pic:blipFill>
                  <pic:spPr bwMode="auto">
                    <a:xfrm>
                      <a:off x="0" y="0"/>
                      <a:ext cx="4438655" cy="2969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FD70F" w14:textId="77777777" w:rsidR="00550891" w:rsidRPr="00FF3A81" w:rsidRDefault="00550891" w:rsidP="00550891">
      <w:pPr>
        <w:jc w:val="center"/>
        <w:rPr>
          <w:rFonts w:cstheme="minorHAnsi"/>
          <w:b/>
          <w:bCs/>
          <w:i/>
          <w:iCs/>
          <w:color w:val="000729"/>
          <w:sz w:val="11"/>
          <w:szCs w:val="11"/>
        </w:rPr>
      </w:pPr>
    </w:p>
    <w:p w14:paraId="39875761" w14:textId="1C8B1ACC" w:rsidR="00550891" w:rsidRDefault="00550891" w:rsidP="00550891">
      <w:pPr>
        <w:jc w:val="center"/>
        <w:rPr>
          <w:rFonts w:cstheme="minorHAnsi"/>
          <w:i/>
          <w:iCs/>
          <w:color w:val="000729"/>
          <w:sz w:val="20"/>
          <w:szCs w:val="20"/>
        </w:rPr>
      </w:pPr>
      <w:r>
        <w:rPr>
          <w:rFonts w:cstheme="minorHAnsi"/>
          <w:b/>
          <w:bCs/>
          <w:i/>
          <w:iCs/>
          <w:color w:val="000729"/>
          <w:sz w:val="20"/>
          <w:szCs w:val="20"/>
        </w:rPr>
        <w:t>Table</w:t>
      </w:r>
      <w:r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 xml:space="preserve"> </w:t>
      </w:r>
      <w:r>
        <w:rPr>
          <w:rFonts w:cstheme="minorHAnsi"/>
          <w:b/>
          <w:bCs/>
          <w:i/>
          <w:iCs/>
          <w:color w:val="000729"/>
          <w:sz w:val="20"/>
          <w:szCs w:val="20"/>
        </w:rPr>
        <w:t>4</w:t>
      </w:r>
      <w:r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>:</w:t>
      </w:r>
      <w:r w:rsidRPr="00FB7004">
        <w:rPr>
          <w:rFonts w:cstheme="minorHAnsi"/>
          <w:color w:val="000729"/>
          <w:sz w:val="20"/>
          <w:szCs w:val="20"/>
        </w:rPr>
        <w:t xml:space="preserve"> </w:t>
      </w:r>
      <w:r w:rsidRPr="00550891">
        <w:rPr>
          <w:rFonts w:cstheme="minorHAnsi"/>
          <w:i/>
          <w:iCs/>
          <w:color w:val="000729"/>
          <w:sz w:val="20"/>
          <w:szCs w:val="20"/>
        </w:rPr>
        <w:t xml:space="preserve">May </w:t>
      </w:r>
      <w:r w:rsidRPr="009B23BE">
        <w:rPr>
          <w:rFonts w:cstheme="minorHAnsi"/>
          <w:i/>
          <w:iCs/>
          <w:color w:val="000729"/>
          <w:sz w:val="20"/>
          <w:szCs w:val="20"/>
        </w:rPr>
        <w:t>2022</w:t>
      </w:r>
      <w:r>
        <w:rPr>
          <w:rFonts w:cstheme="minorHAnsi"/>
          <w:color w:val="000729"/>
          <w:sz w:val="20"/>
          <w:szCs w:val="20"/>
        </w:rPr>
        <w:t xml:space="preserve"> </w:t>
      </w:r>
      <w:r>
        <w:rPr>
          <w:rFonts w:cstheme="minorHAnsi"/>
          <w:i/>
          <w:iCs/>
          <w:color w:val="000729"/>
          <w:sz w:val="20"/>
          <w:szCs w:val="20"/>
        </w:rPr>
        <w:t xml:space="preserve">Transactions   </w:t>
      </w:r>
    </w:p>
    <w:p w14:paraId="3075E416" w14:textId="6C3A10D8" w:rsidR="00550891" w:rsidRDefault="00550891" w:rsidP="00550891">
      <w:pPr>
        <w:jc w:val="center"/>
        <w:rPr>
          <w:rFonts w:cstheme="minorHAnsi"/>
          <w:i/>
          <w:iCs/>
          <w:color w:val="000729"/>
          <w:sz w:val="20"/>
          <w:szCs w:val="20"/>
        </w:rPr>
      </w:pPr>
    </w:p>
    <w:p w14:paraId="0AA529BB" w14:textId="77777777" w:rsidR="00550891" w:rsidRDefault="00550891" w:rsidP="00550891">
      <w:pPr>
        <w:jc w:val="center"/>
        <w:rPr>
          <w:rFonts w:cstheme="minorHAnsi"/>
          <w:i/>
          <w:iCs/>
          <w:color w:val="000729"/>
          <w:sz w:val="20"/>
          <w:szCs w:val="20"/>
        </w:rPr>
      </w:pPr>
    </w:p>
    <w:p w14:paraId="501D0D2A" w14:textId="4999CA78" w:rsidR="00550891" w:rsidRDefault="00550891" w:rsidP="00550891">
      <w:pPr>
        <w:jc w:val="center"/>
        <w:rPr>
          <w:rFonts w:cstheme="minorHAnsi"/>
          <w:b/>
          <w:bCs/>
          <w:i/>
          <w:iCs/>
          <w:color w:val="000729"/>
          <w:sz w:val="20"/>
          <w:szCs w:val="20"/>
        </w:rPr>
      </w:pPr>
      <w:r w:rsidRPr="00917BE6">
        <w:rPr>
          <w:rFonts w:cstheme="minorHAnsi"/>
          <w:i/>
          <w:iCs/>
          <w:noProof/>
          <w:color w:val="000729"/>
          <w:sz w:val="20"/>
          <w:szCs w:val="20"/>
        </w:rPr>
        <w:drawing>
          <wp:inline distT="0" distB="0" distL="0" distR="0" wp14:anchorId="3EB393A2" wp14:editId="213EF39D">
            <wp:extent cx="2026618" cy="2690495"/>
            <wp:effectExtent l="0" t="0" r="5715" b="190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 rotWithShape="1">
                    <a:blip r:embed="rId12"/>
                    <a:srcRect l="3031" r="4035" b="9322"/>
                    <a:stretch/>
                  </pic:blipFill>
                  <pic:spPr bwMode="auto">
                    <a:xfrm>
                      <a:off x="0" y="0"/>
                      <a:ext cx="2039380" cy="270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93E41" w14:textId="77777777" w:rsidR="00550891" w:rsidRPr="00550891" w:rsidRDefault="00550891" w:rsidP="00550891">
      <w:pPr>
        <w:jc w:val="center"/>
        <w:rPr>
          <w:rFonts w:cstheme="minorHAnsi"/>
          <w:b/>
          <w:bCs/>
          <w:i/>
          <w:iCs/>
          <w:color w:val="000729"/>
          <w:sz w:val="11"/>
          <w:szCs w:val="11"/>
        </w:rPr>
      </w:pPr>
    </w:p>
    <w:p w14:paraId="03C69B66" w14:textId="1FEC0450" w:rsidR="00550891" w:rsidRPr="0038199E" w:rsidRDefault="00550891" w:rsidP="0038199E">
      <w:pPr>
        <w:jc w:val="center"/>
        <w:rPr>
          <w:rFonts w:cstheme="minorHAnsi"/>
          <w:i/>
          <w:iCs/>
          <w:color w:val="000729"/>
          <w:sz w:val="20"/>
          <w:szCs w:val="20"/>
        </w:rPr>
      </w:pPr>
      <w:r>
        <w:rPr>
          <w:rFonts w:cstheme="minorHAnsi"/>
          <w:b/>
          <w:bCs/>
          <w:i/>
          <w:iCs/>
          <w:color w:val="000729"/>
          <w:sz w:val="20"/>
          <w:szCs w:val="20"/>
        </w:rPr>
        <w:t>Table</w:t>
      </w:r>
      <w:r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 xml:space="preserve"> </w:t>
      </w:r>
      <w:r>
        <w:rPr>
          <w:rFonts w:cstheme="minorHAnsi"/>
          <w:b/>
          <w:bCs/>
          <w:i/>
          <w:iCs/>
          <w:color w:val="000729"/>
          <w:sz w:val="20"/>
          <w:szCs w:val="20"/>
        </w:rPr>
        <w:t>5</w:t>
      </w:r>
      <w:r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>:</w:t>
      </w:r>
      <w:r w:rsidRPr="00FB7004">
        <w:rPr>
          <w:rFonts w:cstheme="minorHAnsi"/>
          <w:color w:val="000729"/>
          <w:sz w:val="20"/>
          <w:szCs w:val="20"/>
        </w:rPr>
        <w:t xml:space="preserve"> </w:t>
      </w:r>
      <w:r w:rsidRPr="009B23BE">
        <w:rPr>
          <w:rFonts w:cstheme="minorHAnsi"/>
          <w:i/>
          <w:iCs/>
          <w:color w:val="000729"/>
          <w:sz w:val="20"/>
          <w:szCs w:val="20"/>
        </w:rPr>
        <w:t>2022</w:t>
      </w:r>
      <w:r>
        <w:rPr>
          <w:rFonts w:cstheme="minorHAnsi"/>
          <w:color w:val="000729"/>
          <w:sz w:val="20"/>
          <w:szCs w:val="20"/>
        </w:rPr>
        <w:t xml:space="preserve"> </w:t>
      </w:r>
      <w:r>
        <w:rPr>
          <w:rFonts w:cstheme="minorHAnsi"/>
          <w:i/>
          <w:iCs/>
          <w:color w:val="000729"/>
          <w:sz w:val="20"/>
          <w:szCs w:val="20"/>
        </w:rPr>
        <w:t xml:space="preserve">End of Month Balances   </w:t>
      </w:r>
    </w:p>
    <w:p w14:paraId="00450435" w14:textId="3C6E450F" w:rsidR="00550891" w:rsidRDefault="00550891" w:rsidP="00550891">
      <w:pPr>
        <w:jc w:val="center"/>
        <w:rPr>
          <w:rFonts w:cstheme="minorHAnsi"/>
          <w:color w:val="000729"/>
        </w:rPr>
      </w:pPr>
    </w:p>
    <w:p w14:paraId="6D5C1BAD" w14:textId="77777777" w:rsidR="0038199E" w:rsidRDefault="0038199E" w:rsidP="00550891">
      <w:pPr>
        <w:jc w:val="center"/>
        <w:rPr>
          <w:rFonts w:cstheme="minorHAnsi"/>
          <w:color w:val="000729"/>
        </w:rPr>
      </w:pPr>
    </w:p>
    <w:p w14:paraId="25C32B07" w14:textId="77777777" w:rsidR="00550891" w:rsidRDefault="00550891" w:rsidP="00550891">
      <w:pPr>
        <w:jc w:val="center"/>
        <w:rPr>
          <w:rFonts w:cstheme="minorHAnsi"/>
          <w:color w:val="000729"/>
        </w:rPr>
      </w:pPr>
    </w:p>
    <w:p w14:paraId="7C6D82AA" w14:textId="485E4353" w:rsidR="00BF1C22" w:rsidRDefault="0085519C" w:rsidP="00BF1C22">
      <w:pPr>
        <w:jc w:val="both"/>
        <w:rPr>
          <w:rFonts w:cstheme="minorHAnsi"/>
          <w:color w:val="000729"/>
        </w:rPr>
      </w:pPr>
      <w:r>
        <w:rPr>
          <w:rFonts w:cstheme="minorHAnsi"/>
          <w:color w:val="000729"/>
        </w:rPr>
        <w:t xml:space="preserve">Due to the </w:t>
      </w:r>
      <w:r w:rsidR="0084632F">
        <w:rPr>
          <w:rFonts w:cstheme="minorHAnsi"/>
          <w:color w:val="000729"/>
        </w:rPr>
        <w:t>f</w:t>
      </w:r>
      <w:r>
        <w:rPr>
          <w:rFonts w:cstheme="minorHAnsi"/>
          <w:color w:val="000729"/>
        </w:rPr>
        <w:t xml:space="preserve">inancial </w:t>
      </w:r>
      <w:r w:rsidR="0084632F">
        <w:rPr>
          <w:rFonts w:cstheme="minorHAnsi"/>
          <w:color w:val="000729"/>
        </w:rPr>
        <w:t>d</w:t>
      </w:r>
      <w:r>
        <w:rPr>
          <w:rFonts w:cstheme="minorHAnsi"/>
          <w:color w:val="000729"/>
        </w:rPr>
        <w:t>isbursement of €10</w:t>
      </w:r>
      <w:r w:rsidR="00647CF5">
        <w:rPr>
          <w:rFonts w:cstheme="minorHAnsi"/>
          <w:color w:val="000729"/>
        </w:rPr>
        <w:t>,000</w:t>
      </w:r>
      <w:r>
        <w:rPr>
          <w:rFonts w:cstheme="minorHAnsi"/>
          <w:color w:val="000729"/>
        </w:rPr>
        <w:t xml:space="preserve"> in May 2022, the monthly </w:t>
      </w:r>
      <w:r w:rsidR="0084632F">
        <w:rPr>
          <w:rFonts w:cstheme="minorHAnsi"/>
          <w:color w:val="000729"/>
        </w:rPr>
        <w:t>f</w:t>
      </w:r>
      <w:r>
        <w:rPr>
          <w:rFonts w:cstheme="minorHAnsi"/>
          <w:color w:val="000729"/>
        </w:rPr>
        <w:t xml:space="preserve">inancial </w:t>
      </w:r>
      <w:r w:rsidR="0084632F">
        <w:rPr>
          <w:rFonts w:cstheme="minorHAnsi"/>
          <w:color w:val="000729"/>
        </w:rPr>
        <w:t>r</w:t>
      </w:r>
      <w:r>
        <w:rPr>
          <w:rFonts w:cstheme="minorHAnsi"/>
          <w:color w:val="000729"/>
        </w:rPr>
        <w:t>epayments of originally €1</w:t>
      </w:r>
      <w:r w:rsidR="00647CF5">
        <w:rPr>
          <w:rFonts w:cstheme="minorHAnsi"/>
          <w:color w:val="000729"/>
        </w:rPr>
        <w:t>,</w:t>
      </w:r>
      <w:r>
        <w:rPr>
          <w:rFonts w:cstheme="minorHAnsi"/>
          <w:color w:val="000729"/>
        </w:rPr>
        <w:t>200 p</w:t>
      </w:r>
      <w:r w:rsidR="00941212">
        <w:rPr>
          <w:rFonts w:cstheme="minorHAnsi"/>
          <w:color w:val="000729"/>
        </w:rPr>
        <w:t>er month</w:t>
      </w:r>
      <w:r w:rsidR="00444001">
        <w:rPr>
          <w:rFonts w:cstheme="minorHAnsi"/>
          <w:color w:val="000729"/>
        </w:rPr>
        <w:t xml:space="preserve"> </w:t>
      </w:r>
      <w:r>
        <w:rPr>
          <w:rFonts w:cstheme="minorHAnsi"/>
          <w:color w:val="000729"/>
        </w:rPr>
        <w:t>increased to €1</w:t>
      </w:r>
      <w:r w:rsidR="00647CF5">
        <w:rPr>
          <w:rFonts w:cstheme="minorHAnsi"/>
          <w:color w:val="000729"/>
        </w:rPr>
        <w:t>,</w:t>
      </w:r>
      <w:r>
        <w:rPr>
          <w:rFonts w:cstheme="minorHAnsi"/>
          <w:color w:val="000729"/>
        </w:rPr>
        <w:t>700 after May</w:t>
      </w:r>
      <w:r w:rsidR="00444001">
        <w:rPr>
          <w:rFonts w:cstheme="minorHAnsi"/>
          <w:color w:val="000729"/>
        </w:rPr>
        <w:t xml:space="preserve">, as seen in </w:t>
      </w:r>
      <w:r w:rsidR="00444001" w:rsidRPr="00647CF5">
        <w:rPr>
          <w:rFonts w:cstheme="minorHAnsi"/>
          <w:i/>
          <w:iCs/>
          <w:color w:val="000729"/>
        </w:rPr>
        <w:t xml:space="preserve">Table </w:t>
      </w:r>
      <w:r w:rsidR="00444001">
        <w:rPr>
          <w:rFonts w:cstheme="minorHAnsi"/>
          <w:i/>
          <w:iCs/>
          <w:color w:val="000729"/>
        </w:rPr>
        <w:t>6</w:t>
      </w:r>
      <w:r>
        <w:rPr>
          <w:rFonts w:cstheme="minorHAnsi"/>
          <w:color w:val="000729"/>
        </w:rPr>
        <w:t xml:space="preserve">. </w:t>
      </w:r>
      <w:r w:rsidR="000E26C7" w:rsidRPr="000E26C7">
        <w:rPr>
          <w:rFonts w:cstheme="minorHAnsi"/>
          <w:color w:val="000729"/>
        </w:rPr>
        <w:t>By the end of the year 2022</w:t>
      </w:r>
      <w:r w:rsidR="00BD46D9">
        <w:rPr>
          <w:rFonts w:cstheme="minorHAnsi"/>
          <w:color w:val="000729"/>
        </w:rPr>
        <w:t xml:space="preserve">, the company </w:t>
      </w:r>
      <w:r w:rsidR="00676937">
        <w:rPr>
          <w:rFonts w:cstheme="minorHAnsi"/>
          <w:color w:val="000729"/>
        </w:rPr>
        <w:t>had re</w:t>
      </w:r>
      <w:r w:rsidR="00BD46D9">
        <w:rPr>
          <w:rFonts w:cstheme="minorHAnsi"/>
          <w:color w:val="000729"/>
        </w:rPr>
        <w:t xml:space="preserve">paid </w:t>
      </w:r>
      <w:r w:rsidR="000E26C7" w:rsidRPr="000E26C7">
        <w:rPr>
          <w:rFonts w:cstheme="minorHAnsi"/>
          <w:color w:val="000729"/>
        </w:rPr>
        <w:t xml:space="preserve">7 </w:t>
      </w:r>
      <w:r w:rsidR="00BD46D9" w:rsidRPr="000E26C7">
        <w:rPr>
          <w:rFonts w:cstheme="minorHAnsi"/>
          <w:color w:val="000729"/>
        </w:rPr>
        <w:t>instalments</w:t>
      </w:r>
      <w:r w:rsidR="00BD46D9">
        <w:rPr>
          <w:rFonts w:cstheme="minorHAnsi"/>
          <w:color w:val="000729"/>
        </w:rPr>
        <w:t xml:space="preserve"> of the new loan, therefore </w:t>
      </w:r>
      <w:r w:rsidR="00676937">
        <w:rPr>
          <w:rFonts w:cstheme="minorHAnsi"/>
          <w:color w:val="000729"/>
        </w:rPr>
        <w:t xml:space="preserve">settled a </w:t>
      </w:r>
      <w:r w:rsidR="00BD46D9">
        <w:rPr>
          <w:rFonts w:cstheme="minorHAnsi"/>
          <w:color w:val="000729"/>
        </w:rPr>
        <w:t xml:space="preserve">total of </w:t>
      </w:r>
      <w:r w:rsidR="000E26C7" w:rsidRPr="000E26C7">
        <w:rPr>
          <w:rFonts w:cstheme="minorHAnsi"/>
          <w:color w:val="000729"/>
        </w:rPr>
        <w:lastRenderedPageBreak/>
        <w:t>€3</w:t>
      </w:r>
      <w:r w:rsidR="00BD46D9">
        <w:rPr>
          <w:rFonts w:cstheme="minorHAnsi"/>
          <w:color w:val="000729"/>
        </w:rPr>
        <w:t>,</w:t>
      </w:r>
      <w:r w:rsidR="000E26C7" w:rsidRPr="000E26C7">
        <w:rPr>
          <w:rFonts w:cstheme="minorHAnsi"/>
          <w:color w:val="000729"/>
        </w:rPr>
        <w:t>5</w:t>
      </w:r>
      <w:r w:rsidR="00BD46D9">
        <w:rPr>
          <w:rFonts w:cstheme="minorHAnsi"/>
          <w:color w:val="000729"/>
        </w:rPr>
        <w:t>00</w:t>
      </w:r>
      <w:r w:rsidR="000E26C7" w:rsidRPr="000E26C7">
        <w:rPr>
          <w:rFonts w:cstheme="minorHAnsi"/>
          <w:color w:val="000729"/>
        </w:rPr>
        <w:t xml:space="preserve"> </w:t>
      </w:r>
      <w:r w:rsidR="00676937">
        <w:rPr>
          <w:rFonts w:cstheme="minorHAnsi"/>
          <w:color w:val="000729"/>
        </w:rPr>
        <w:t>vs</w:t>
      </w:r>
      <w:r w:rsidR="000E26C7" w:rsidRPr="000E26C7">
        <w:rPr>
          <w:rFonts w:cstheme="minorHAnsi"/>
          <w:color w:val="000729"/>
        </w:rPr>
        <w:t xml:space="preserve"> the €10</w:t>
      </w:r>
      <w:r w:rsidR="00BD46D9">
        <w:rPr>
          <w:rFonts w:cstheme="minorHAnsi"/>
          <w:color w:val="000729"/>
        </w:rPr>
        <w:t>,000</w:t>
      </w:r>
      <w:r w:rsidR="000E26C7" w:rsidRPr="000E26C7">
        <w:rPr>
          <w:rFonts w:cstheme="minorHAnsi"/>
          <w:color w:val="000729"/>
        </w:rPr>
        <w:t xml:space="preserve"> loan</w:t>
      </w:r>
      <w:r w:rsidR="00BD46D9">
        <w:rPr>
          <w:rFonts w:cstheme="minorHAnsi"/>
          <w:color w:val="000729"/>
        </w:rPr>
        <w:t>.</w:t>
      </w:r>
      <w:r w:rsidR="00676937" w:rsidRPr="00676937">
        <w:rPr>
          <w:rFonts w:cstheme="minorHAnsi"/>
          <w:color w:val="000729"/>
        </w:rPr>
        <w:t xml:space="preserve"> </w:t>
      </w:r>
      <w:r w:rsidR="00D131FF">
        <w:rPr>
          <w:rFonts w:cstheme="minorHAnsi"/>
          <w:color w:val="000729"/>
        </w:rPr>
        <w:t>Considering</w:t>
      </w:r>
      <w:r w:rsidR="00BF1C22">
        <w:rPr>
          <w:rFonts w:cstheme="minorHAnsi"/>
          <w:color w:val="000729"/>
        </w:rPr>
        <w:t xml:space="preserve"> that the closing balance of the year</w:t>
      </w:r>
      <w:r w:rsidR="00D131FF">
        <w:rPr>
          <w:rFonts w:cstheme="minorHAnsi"/>
          <w:color w:val="000729"/>
        </w:rPr>
        <w:t xml:space="preserve"> </w:t>
      </w:r>
      <w:r w:rsidR="00BF1C22">
        <w:rPr>
          <w:rFonts w:cstheme="minorHAnsi"/>
          <w:color w:val="000729"/>
        </w:rPr>
        <w:t xml:space="preserve">was </w:t>
      </w:r>
      <w:r w:rsidR="00BF1C22" w:rsidRPr="00190472">
        <w:rPr>
          <w:rFonts w:cstheme="minorHAnsi"/>
          <w:color w:val="000729"/>
        </w:rPr>
        <w:t>€</w:t>
      </w:r>
      <w:r w:rsidR="00BF1C22">
        <w:rPr>
          <w:rFonts w:cstheme="minorHAnsi"/>
          <w:color w:val="000729"/>
        </w:rPr>
        <w:t>7,525.14 (</w:t>
      </w:r>
      <w:r w:rsidR="00BF1C22" w:rsidRPr="00647CF5">
        <w:rPr>
          <w:rFonts w:cstheme="minorHAnsi"/>
          <w:i/>
          <w:iCs/>
          <w:color w:val="000729"/>
        </w:rPr>
        <w:t xml:space="preserve">Table </w:t>
      </w:r>
      <w:r w:rsidR="00B2220B">
        <w:rPr>
          <w:rFonts w:cstheme="minorHAnsi"/>
          <w:i/>
          <w:iCs/>
          <w:color w:val="000729"/>
        </w:rPr>
        <w:t>5</w:t>
      </w:r>
      <w:r w:rsidR="00BF1C22">
        <w:rPr>
          <w:rFonts w:cstheme="minorHAnsi"/>
          <w:color w:val="000729"/>
        </w:rPr>
        <w:t>), it is evident that the Company could have repaid the whole of the said loan at year end.</w:t>
      </w:r>
    </w:p>
    <w:p w14:paraId="0D679951" w14:textId="77777777" w:rsidR="00BB2A15" w:rsidRDefault="00BB2A15" w:rsidP="000E26C7">
      <w:pPr>
        <w:jc w:val="both"/>
        <w:rPr>
          <w:rFonts w:cstheme="minorHAnsi"/>
          <w:color w:val="000729"/>
        </w:rPr>
      </w:pPr>
    </w:p>
    <w:p w14:paraId="327DDFB7" w14:textId="6D1AC484" w:rsidR="00A2501B" w:rsidRPr="000E26C7" w:rsidRDefault="008F7198" w:rsidP="008F7198">
      <w:pPr>
        <w:jc w:val="center"/>
        <w:rPr>
          <w:rFonts w:cstheme="minorHAnsi"/>
          <w:color w:val="000729"/>
        </w:rPr>
      </w:pPr>
      <w:r w:rsidRPr="00882EFF">
        <w:rPr>
          <w:rFonts w:cstheme="minorHAnsi"/>
          <w:noProof/>
          <w:color w:val="000729"/>
        </w:rPr>
        <w:drawing>
          <wp:inline distT="0" distB="0" distL="0" distR="0" wp14:anchorId="36F1F929" wp14:editId="74DAF292">
            <wp:extent cx="4018537" cy="2401677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601" cy="24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6F02" w14:textId="6CA15067" w:rsidR="00917BE6" w:rsidRPr="00550891" w:rsidRDefault="008F7198" w:rsidP="00550891">
      <w:pPr>
        <w:jc w:val="center"/>
        <w:rPr>
          <w:rFonts w:cstheme="minorHAnsi"/>
          <w:i/>
          <w:iCs/>
          <w:color w:val="000729"/>
          <w:sz w:val="20"/>
          <w:szCs w:val="20"/>
        </w:rPr>
      </w:pPr>
      <w:r>
        <w:rPr>
          <w:rFonts w:cstheme="minorHAnsi"/>
          <w:b/>
          <w:bCs/>
          <w:i/>
          <w:iCs/>
          <w:color w:val="000729"/>
          <w:sz w:val="20"/>
          <w:szCs w:val="20"/>
        </w:rPr>
        <w:t>Table</w:t>
      </w:r>
      <w:r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 xml:space="preserve"> </w:t>
      </w:r>
      <w:r w:rsidR="00B2220B">
        <w:rPr>
          <w:rFonts w:cstheme="minorHAnsi"/>
          <w:b/>
          <w:bCs/>
          <w:i/>
          <w:iCs/>
          <w:color w:val="000729"/>
          <w:sz w:val="20"/>
          <w:szCs w:val="20"/>
        </w:rPr>
        <w:t>6</w:t>
      </w:r>
      <w:r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>:</w:t>
      </w:r>
      <w:r w:rsidRPr="00FB7004">
        <w:rPr>
          <w:rFonts w:cstheme="minorHAnsi"/>
          <w:color w:val="000729"/>
          <w:sz w:val="20"/>
          <w:szCs w:val="20"/>
        </w:rPr>
        <w:t xml:space="preserve"> </w:t>
      </w:r>
      <w:r w:rsidRPr="009B23BE">
        <w:rPr>
          <w:rFonts w:cstheme="minorHAnsi"/>
          <w:i/>
          <w:iCs/>
          <w:color w:val="000729"/>
          <w:sz w:val="20"/>
          <w:szCs w:val="20"/>
        </w:rPr>
        <w:t>2022</w:t>
      </w:r>
      <w:r>
        <w:rPr>
          <w:rFonts w:cstheme="minorHAnsi"/>
          <w:color w:val="000729"/>
          <w:sz w:val="20"/>
          <w:szCs w:val="20"/>
        </w:rPr>
        <w:t xml:space="preserve"> </w:t>
      </w:r>
      <w:r>
        <w:rPr>
          <w:rFonts w:cstheme="minorHAnsi"/>
          <w:i/>
          <w:iCs/>
          <w:color w:val="000729"/>
          <w:sz w:val="20"/>
          <w:szCs w:val="20"/>
        </w:rPr>
        <w:t>Financial Repayments – Monthly Instalments</w:t>
      </w:r>
    </w:p>
    <w:p w14:paraId="085EA818" w14:textId="11AE95DC" w:rsidR="00F614EA" w:rsidRDefault="00F614EA" w:rsidP="00F614EA">
      <w:pPr>
        <w:pStyle w:val="Heading2"/>
        <w:jc w:val="both"/>
        <w:rPr>
          <w:rFonts w:asciiTheme="minorHAnsi" w:hAnsiTheme="minorHAnsi" w:cstheme="minorHAnsi"/>
          <w:b/>
          <w:bCs/>
          <w:color w:val="000729"/>
          <w:u w:val="single"/>
        </w:rPr>
      </w:pPr>
    </w:p>
    <w:p w14:paraId="71B7C367" w14:textId="77777777" w:rsidR="006F30CE" w:rsidRPr="006F30CE" w:rsidRDefault="006F30CE" w:rsidP="006F30CE"/>
    <w:p w14:paraId="4A49B2D6" w14:textId="7F8156CD" w:rsidR="00F614EA" w:rsidRDefault="00B97036" w:rsidP="00F614EA">
      <w:pPr>
        <w:jc w:val="both"/>
        <w:rPr>
          <w:rFonts w:cstheme="minorHAnsi"/>
          <w:color w:val="000729"/>
        </w:rPr>
      </w:pPr>
      <w:r>
        <w:rPr>
          <w:rFonts w:cstheme="minorHAnsi"/>
          <w:color w:val="000729"/>
        </w:rPr>
        <w:t>Finally, t</w:t>
      </w:r>
      <w:r w:rsidR="00F614EA" w:rsidRPr="00F614EA">
        <w:rPr>
          <w:rFonts w:cstheme="minorHAnsi"/>
          <w:color w:val="000729"/>
        </w:rPr>
        <w:t>he</w:t>
      </w:r>
      <w:r w:rsidR="00F614EA">
        <w:rPr>
          <w:rFonts w:cstheme="minorHAnsi"/>
          <w:color w:val="000729"/>
        </w:rPr>
        <w:t xml:space="preserve"> transactions</w:t>
      </w:r>
      <w:r w:rsidR="00F614EA" w:rsidRPr="00F614EA">
        <w:rPr>
          <w:rFonts w:cstheme="minorHAnsi"/>
          <w:color w:val="000729"/>
        </w:rPr>
        <w:t xml:space="preserve"> </w:t>
      </w:r>
      <w:r>
        <w:rPr>
          <w:rFonts w:cstheme="minorHAnsi"/>
          <w:color w:val="000729"/>
        </w:rPr>
        <w:t xml:space="preserve">evolution through </w:t>
      </w:r>
      <w:r w:rsidR="0038199E">
        <w:rPr>
          <w:rFonts w:cstheme="minorHAnsi"/>
          <w:color w:val="000729"/>
        </w:rPr>
        <w:t xml:space="preserve">time </w:t>
      </w:r>
      <w:r w:rsidR="0038199E" w:rsidRPr="00F614EA">
        <w:rPr>
          <w:rFonts w:cstheme="minorHAnsi"/>
          <w:color w:val="000729"/>
        </w:rPr>
        <w:t>shows</w:t>
      </w:r>
      <w:r w:rsidR="00F614EA" w:rsidRPr="00F614EA">
        <w:rPr>
          <w:rFonts w:cstheme="minorHAnsi"/>
          <w:color w:val="000729"/>
        </w:rPr>
        <w:t xml:space="preserve"> an upward trend</w:t>
      </w:r>
      <w:r w:rsidR="00B92B0D">
        <w:rPr>
          <w:rFonts w:cstheme="minorHAnsi"/>
          <w:color w:val="000729"/>
        </w:rPr>
        <w:t>, in both debit and credit</w:t>
      </w:r>
      <w:r w:rsidR="00F614EA">
        <w:rPr>
          <w:rFonts w:cstheme="minorHAnsi"/>
          <w:color w:val="000729"/>
        </w:rPr>
        <w:t xml:space="preserve">. </w:t>
      </w:r>
      <w:r>
        <w:rPr>
          <w:rFonts w:cstheme="minorHAnsi"/>
          <w:color w:val="000729"/>
        </w:rPr>
        <w:t xml:space="preserve">The credit </w:t>
      </w:r>
      <w:r w:rsidR="00F614EA">
        <w:rPr>
          <w:rFonts w:cstheme="minorHAnsi"/>
          <w:color w:val="000729"/>
        </w:rPr>
        <w:t>peak at the end of May</w:t>
      </w:r>
      <w:r>
        <w:rPr>
          <w:rFonts w:cstheme="minorHAnsi"/>
          <w:color w:val="000729"/>
        </w:rPr>
        <w:t xml:space="preserve"> </w:t>
      </w:r>
      <w:r w:rsidR="00F614EA">
        <w:rPr>
          <w:rFonts w:cstheme="minorHAnsi"/>
          <w:color w:val="000729"/>
        </w:rPr>
        <w:t xml:space="preserve">is the loan of </w:t>
      </w:r>
      <w:r w:rsidR="00F614EA" w:rsidRPr="00190472">
        <w:rPr>
          <w:rFonts w:cstheme="minorHAnsi"/>
          <w:color w:val="000729"/>
        </w:rPr>
        <w:t>€</w:t>
      </w:r>
      <w:r w:rsidR="00F614EA">
        <w:rPr>
          <w:rFonts w:cstheme="minorHAnsi"/>
          <w:color w:val="000729"/>
        </w:rPr>
        <w:t>10,000.</w:t>
      </w:r>
    </w:p>
    <w:p w14:paraId="2A624365" w14:textId="77777777" w:rsidR="00647CF5" w:rsidRDefault="00647CF5" w:rsidP="00F614EA">
      <w:pPr>
        <w:jc w:val="both"/>
        <w:rPr>
          <w:rFonts w:cstheme="minorHAnsi"/>
          <w:color w:val="000729"/>
        </w:rPr>
      </w:pPr>
    </w:p>
    <w:p w14:paraId="094062D7" w14:textId="77777777" w:rsidR="00A7137A" w:rsidRDefault="000A2811" w:rsidP="00A7137A">
      <w:pPr>
        <w:jc w:val="center"/>
        <w:rPr>
          <w:rFonts w:cstheme="minorHAnsi"/>
          <w:b/>
          <w:bCs/>
          <w:i/>
          <w:iCs/>
          <w:color w:val="000729"/>
          <w:sz w:val="20"/>
          <w:szCs w:val="20"/>
        </w:rPr>
      </w:pPr>
      <w:r w:rsidRPr="00882EFF">
        <w:rPr>
          <w:noProof/>
        </w:rPr>
        <w:drawing>
          <wp:inline distT="0" distB="0" distL="0" distR="0" wp14:anchorId="06A25B58" wp14:editId="27EE10EB">
            <wp:extent cx="3886077" cy="2704561"/>
            <wp:effectExtent l="0" t="0" r="635" b="63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853" cy="271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3BDD" w14:textId="54C55883" w:rsidR="00A7137A" w:rsidRDefault="00A7137A" w:rsidP="00A7137A">
      <w:pPr>
        <w:jc w:val="center"/>
        <w:rPr>
          <w:rFonts w:cstheme="minorHAnsi"/>
          <w:i/>
          <w:iCs/>
          <w:color w:val="000729"/>
          <w:sz w:val="20"/>
          <w:szCs w:val="20"/>
        </w:rPr>
      </w:pPr>
      <w:r w:rsidRPr="00A7137A">
        <w:rPr>
          <w:rFonts w:cstheme="minorHAnsi"/>
          <w:b/>
          <w:bCs/>
          <w:i/>
          <w:iCs/>
          <w:color w:val="000729"/>
          <w:sz w:val="20"/>
          <w:szCs w:val="20"/>
        </w:rPr>
        <w:t xml:space="preserve"> </w:t>
      </w:r>
      <w:r>
        <w:rPr>
          <w:rFonts w:cstheme="minorHAnsi"/>
          <w:b/>
          <w:bCs/>
          <w:i/>
          <w:iCs/>
          <w:color w:val="000729"/>
          <w:sz w:val="20"/>
          <w:szCs w:val="20"/>
        </w:rPr>
        <w:t>Graph 1</w:t>
      </w:r>
      <w:r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>:</w:t>
      </w:r>
      <w:r w:rsidRPr="00FB7004">
        <w:rPr>
          <w:rFonts w:cstheme="minorHAnsi"/>
          <w:color w:val="000729"/>
          <w:sz w:val="20"/>
          <w:szCs w:val="20"/>
        </w:rPr>
        <w:t xml:space="preserve"> </w:t>
      </w:r>
      <w:r>
        <w:rPr>
          <w:rFonts w:cstheme="minorHAnsi"/>
          <w:i/>
          <w:iCs/>
          <w:color w:val="000729"/>
          <w:sz w:val="20"/>
          <w:szCs w:val="20"/>
        </w:rPr>
        <w:t>Transactions Over Time</w:t>
      </w:r>
    </w:p>
    <w:p w14:paraId="76D74F4E" w14:textId="102C5CA3" w:rsidR="008E5CE9" w:rsidRDefault="008E5CE9" w:rsidP="00A7137A">
      <w:pPr>
        <w:rPr>
          <w:rFonts w:cstheme="minorHAnsi"/>
          <w:color w:val="000729"/>
        </w:rPr>
      </w:pPr>
    </w:p>
    <w:p w14:paraId="7A702948" w14:textId="019EA3C7" w:rsidR="00F62666" w:rsidRDefault="00F62666" w:rsidP="005F4939">
      <w:pPr>
        <w:jc w:val="both"/>
        <w:rPr>
          <w:rFonts w:cstheme="minorHAnsi"/>
          <w:color w:val="000729"/>
        </w:rPr>
      </w:pPr>
    </w:p>
    <w:p w14:paraId="3DFDBA5F" w14:textId="77777777" w:rsidR="0038199E" w:rsidRDefault="0038199E" w:rsidP="005F4939">
      <w:pPr>
        <w:jc w:val="both"/>
        <w:rPr>
          <w:rFonts w:cstheme="minorHAnsi"/>
          <w:color w:val="000729"/>
        </w:rPr>
      </w:pPr>
    </w:p>
    <w:p w14:paraId="7DCC302F" w14:textId="77777777" w:rsidR="00D80BC5" w:rsidRPr="00FB7004" w:rsidRDefault="00D80BC5" w:rsidP="00D80BC5">
      <w:pPr>
        <w:jc w:val="both"/>
        <w:rPr>
          <w:rFonts w:cstheme="minorHAnsi"/>
          <w:color w:val="000729"/>
        </w:rPr>
      </w:pPr>
    </w:p>
    <w:p w14:paraId="36E4BDA5" w14:textId="4E579E8C" w:rsidR="002E3C36" w:rsidRDefault="00B97036" w:rsidP="009E082B">
      <w:pPr>
        <w:pStyle w:val="Heading1"/>
        <w:jc w:val="both"/>
        <w:rPr>
          <w:rFonts w:asciiTheme="minorHAnsi" w:hAnsiTheme="minorHAnsi" w:cstheme="minorHAnsi"/>
          <w:b/>
          <w:bCs/>
          <w:color w:val="FFBE00"/>
        </w:rPr>
      </w:pPr>
      <w:bookmarkStart w:id="3" w:name="_Toc127218014"/>
      <w:r>
        <w:rPr>
          <w:rFonts w:asciiTheme="minorHAnsi" w:hAnsiTheme="minorHAnsi" w:cstheme="minorHAnsi"/>
          <w:b/>
          <w:bCs/>
          <w:color w:val="FFBE00"/>
        </w:rPr>
        <w:lastRenderedPageBreak/>
        <w:t xml:space="preserve">Conclusion and </w:t>
      </w:r>
      <w:r w:rsidR="00506175">
        <w:rPr>
          <w:rFonts w:asciiTheme="minorHAnsi" w:hAnsiTheme="minorHAnsi" w:cstheme="minorHAnsi"/>
          <w:b/>
          <w:bCs/>
          <w:color w:val="FFBE00"/>
        </w:rPr>
        <w:t>S</w:t>
      </w:r>
      <w:r w:rsidR="002E3C36" w:rsidRPr="00FB7004">
        <w:rPr>
          <w:rFonts w:asciiTheme="minorHAnsi" w:hAnsiTheme="minorHAnsi" w:cstheme="minorHAnsi"/>
          <w:b/>
          <w:bCs/>
          <w:color w:val="FFBE00"/>
        </w:rPr>
        <w:t>uggestion</w:t>
      </w:r>
      <w:r>
        <w:rPr>
          <w:rFonts w:asciiTheme="minorHAnsi" w:hAnsiTheme="minorHAnsi" w:cstheme="minorHAnsi"/>
          <w:b/>
          <w:bCs/>
          <w:color w:val="FFBE00"/>
        </w:rPr>
        <w:t xml:space="preserve"> for a </w:t>
      </w:r>
      <w:r w:rsidR="00506175">
        <w:rPr>
          <w:rFonts w:asciiTheme="minorHAnsi" w:hAnsiTheme="minorHAnsi" w:cstheme="minorHAnsi"/>
          <w:b/>
          <w:bCs/>
          <w:color w:val="FFBE00"/>
        </w:rPr>
        <w:t>C</w:t>
      </w:r>
      <w:r>
        <w:rPr>
          <w:rFonts w:asciiTheme="minorHAnsi" w:hAnsiTheme="minorHAnsi" w:cstheme="minorHAnsi"/>
          <w:b/>
          <w:bCs/>
          <w:color w:val="FFBE00"/>
        </w:rPr>
        <w:t xml:space="preserve">redit </w:t>
      </w:r>
      <w:r w:rsidR="00506175">
        <w:rPr>
          <w:rFonts w:asciiTheme="minorHAnsi" w:hAnsiTheme="minorHAnsi" w:cstheme="minorHAnsi"/>
          <w:b/>
          <w:bCs/>
          <w:color w:val="FFBE00"/>
        </w:rPr>
        <w:t>L</w:t>
      </w:r>
      <w:r>
        <w:rPr>
          <w:rFonts w:asciiTheme="minorHAnsi" w:hAnsiTheme="minorHAnsi" w:cstheme="minorHAnsi"/>
          <w:b/>
          <w:bCs/>
          <w:color w:val="FFBE00"/>
        </w:rPr>
        <w:t>ine</w:t>
      </w:r>
      <w:bookmarkEnd w:id="3"/>
    </w:p>
    <w:p w14:paraId="41AF9A5C" w14:textId="77777777" w:rsidR="000C012C" w:rsidRDefault="000C012C" w:rsidP="00D80BC5">
      <w:pPr>
        <w:jc w:val="both"/>
        <w:rPr>
          <w:rFonts w:cstheme="minorHAnsi"/>
          <w:color w:val="000729"/>
        </w:rPr>
      </w:pPr>
    </w:p>
    <w:p w14:paraId="74A56D8E" w14:textId="36A65FE1" w:rsidR="00B97036" w:rsidRDefault="00B97036" w:rsidP="00AA6667">
      <w:pPr>
        <w:jc w:val="both"/>
        <w:rPr>
          <w:rFonts w:cstheme="minorHAnsi"/>
          <w:color w:val="000729"/>
        </w:rPr>
      </w:pPr>
      <w:r>
        <w:rPr>
          <w:rFonts w:cstheme="minorHAnsi"/>
          <w:color w:val="000729"/>
        </w:rPr>
        <w:t xml:space="preserve">Taking into consideration the above analysis </w:t>
      </w:r>
      <w:r w:rsidR="005D3F87">
        <w:rPr>
          <w:rFonts w:cstheme="minorHAnsi"/>
          <w:color w:val="000729"/>
        </w:rPr>
        <w:t xml:space="preserve">and assuming that for 2023 </w:t>
      </w:r>
      <w:r w:rsidR="00C36C79">
        <w:rPr>
          <w:rFonts w:cstheme="minorHAnsi"/>
          <w:color w:val="000729"/>
        </w:rPr>
        <w:t>ABC</w:t>
      </w:r>
      <w:r w:rsidR="005D3F87">
        <w:rPr>
          <w:rFonts w:cstheme="minorHAnsi"/>
          <w:color w:val="000729"/>
        </w:rPr>
        <w:t xml:space="preserve"> Company shall have the same financial short</w:t>
      </w:r>
      <w:r w:rsidR="00820164">
        <w:rPr>
          <w:rFonts w:cstheme="minorHAnsi"/>
          <w:color w:val="000729"/>
        </w:rPr>
        <w:t>-</w:t>
      </w:r>
      <w:r w:rsidR="005D3F87">
        <w:rPr>
          <w:rFonts w:cstheme="minorHAnsi"/>
          <w:color w:val="000729"/>
        </w:rPr>
        <w:t xml:space="preserve">term needs, </w:t>
      </w:r>
      <w:r>
        <w:rPr>
          <w:rFonts w:cstheme="minorHAnsi"/>
          <w:color w:val="000729"/>
        </w:rPr>
        <w:t>the following are the key conclusions:</w:t>
      </w:r>
    </w:p>
    <w:p w14:paraId="14489C61" w14:textId="77777777" w:rsidR="00B97036" w:rsidRDefault="00B97036" w:rsidP="00AA6667">
      <w:pPr>
        <w:jc w:val="both"/>
        <w:rPr>
          <w:rFonts w:cstheme="minorHAnsi"/>
          <w:color w:val="000729"/>
        </w:rPr>
      </w:pPr>
    </w:p>
    <w:p w14:paraId="73E7B0D2" w14:textId="730BCEC6" w:rsidR="00B97036" w:rsidRDefault="00AA6667" w:rsidP="00346BB6">
      <w:pPr>
        <w:pStyle w:val="ListParagraph"/>
        <w:numPr>
          <w:ilvl w:val="0"/>
          <w:numId w:val="11"/>
        </w:numPr>
        <w:jc w:val="both"/>
        <w:rPr>
          <w:rFonts w:cstheme="minorHAnsi"/>
          <w:color w:val="000729"/>
        </w:rPr>
      </w:pPr>
      <w:r w:rsidRPr="00346BB6">
        <w:rPr>
          <w:rFonts w:cstheme="minorHAnsi"/>
          <w:color w:val="000729"/>
        </w:rPr>
        <w:t xml:space="preserve">ABC Company </w:t>
      </w:r>
      <w:r w:rsidR="00346BB6">
        <w:rPr>
          <w:rFonts w:cstheme="minorHAnsi"/>
          <w:color w:val="000729"/>
        </w:rPr>
        <w:t xml:space="preserve">is </w:t>
      </w:r>
      <w:r w:rsidR="00346BB6" w:rsidRPr="00067377">
        <w:rPr>
          <w:rFonts w:cstheme="minorHAnsi"/>
          <w:b/>
          <w:bCs/>
          <w:color w:val="000729"/>
        </w:rPr>
        <w:t>not highly leveraged</w:t>
      </w:r>
      <w:r w:rsidR="00346BB6">
        <w:rPr>
          <w:rFonts w:cstheme="minorHAnsi"/>
          <w:color w:val="000729"/>
        </w:rPr>
        <w:t xml:space="preserve"> and </w:t>
      </w:r>
      <w:r w:rsidRPr="00346BB6">
        <w:rPr>
          <w:rFonts w:cstheme="minorHAnsi"/>
          <w:color w:val="000729"/>
        </w:rPr>
        <w:t xml:space="preserve">has </w:t>
      </w:r>
      <w:r w:rsidR="00B97036" w:rsidRPr="00346BB6">
        <w:rPr>
          <w:rFonts w:cstheme="minorHAnsi"/>
          <w:color w:val="000729"/>
        </w:rPr>
        <w:t xml:space="preserve">the financial ability to repay short term loans. </w:t>
      </w:r>
    </w:p>
    <w:p w14:paraId="2708861B" w14:textId="77777777" w:rsidR="00D24B0B" w:rsidRPr="00346BB6" w:rsidRDefault="00D24B0B" w:rsidP="00D24B0B">
      <w:pPr>
        <w:pStyle w:val="ListParagraph"/>
        <w:jc w:val="both"/>
        <w:rPr>
          <w:rFonts w:cstheme="minorHAnsi"/>
          <w:color w:val="000729"/>
        </w:rPr>
      </w:pPr>
    </w:p>
    <w:p w14:paraId="0A39736A" w14:textId="0D0D7D2C" w:rsidR="00AA6667" w:rsidRDefault="00B97036" w:rsidP="00346BB6">
      <w:pPr>
        <w:pStyle w:val="ListParagraph"/>
        <w:numPr>
          <w:ilvl w:val="0"/>
          <w:numId w:val="11"/>
        </w:numPr>
        <w:jc w:val="both"/>
        <w:rPr>
          <w:rFonts w:cstheme="minorHAnsi"/>
          <w:color w:val="000729"/>
        </w:rPr>
      </w:pPr>
      <w:r w:rsidRPr="00346BB6">
        <w:rPr>
          <w:rFonts w:cstheme="minorHAnsi"/>
          <w:color w:val="000729"/>
        </w:rPr>
        <w:t>The</w:t>
      </w:r>
      <w:r w:rsidR="00AA6667" w:rsidRPr="00346BB6">
        <w:rPr>
          <w:rFonts w:cstheme="minorHAnsi"/>
          <w:color w:val="000729"/>
        </w:rPr>
        <w:t xml:space="preserve"> loss for 2021 may </w:t>
      </w:r>
      <w:r w:rsidR="00346BB6">
        <w:rPr>
          <w:rFonts w:cstheme="minorHAnsi"/>
          <w:color w:val="000729"/>
        </w:rPr>
        <w:t xml:space="preserve">have </w:t>
      </w:r>
      <w:r w:rsidR="00AA6667" w:rsidRPr="00346BB6">
        <w:rPr>
          <w:rFonts w:cstheme="minorHAnsi"/>
          <w:color w:val="000729"/>
        </w:rPr>
        <w:t xml:space="preserve">seem concerning, but </w:t>
      </w:r>
      <w:r w:rsidR="00346BB6">
        <w:rPr>
          <w:rFonts w:cstheme="minorHAnsi"/>
          <w:color w:val="000729"/>
        </w:rPr>
        <w:t xml:space="preserve">the way that the current account has operated in 2022 shows a </w:t>
      </w:r>
      <w:r w:rsidR="00346BB6" w:rsidRPr="00067377">
        <w:rPr>
          <w:rFonts w:cstheme="minorHAnsi"/>
          <w:b/>
          <w:bCs/>
          <w:color w:val="000729"/>
        </w:rPr>
        <w:t>better financial position</w:t>
      </w:r>
      <w:r w:rsidR="008045C7" w:rsidRPr="00067377">
        <w:rPr>
          <w:rFonts w:cstheme="minorHAnsi"/>
          <w:b/>
          <w:bCs/>
          <w:color w:val="000729"/>
        </w:rPr>
        <w:t xml:space="preserve"> and ability to repay debts</w:t>
      </w:r>
      <w:r w:rsidR="00346BB6">
        <w:rPr>
          <w:rFonts w:cstheme="minorHAnsi"/>
          <w:color w:val="000729"/>
        </w:rPr>
        <w:t>.</w:t>
      </w:r>
    </w:p>
    <w:p w14:paraId="5987BFC6" w14:textId="77777777" w:rsidR="00D24B0B" w:rsidRPr="00D24B0B" w:rsidRDefault="00D24B0B" w:rsidP="00D24B0B">
      <w:pPr>
        <w:jc w:val="both"/>
        <w:rPr>
          <w:rFonts w:cstheme="minorHAnsi"/>
          <w:color w:val="000729"/>
        </w:rPr>
      </w:pPr>
    </w:p>
    <w:p w14:paraId="14383BE6" w14:textId="24C797DF" w:rsidR="008045C7" w:rsidRDefault="00346BB6" w:rsidP="00346BB6">
      <w:pPr>
        <w:pStyle w:val="ListParagraph"/>
        <w:numPr>
          <w:ilvl w:val="0"/>
          <w:numId w:val="11"/>
        </w:numPr>
        <w:jc w:val="both"/>
        <w:rPr>
          <w:rFonts w:cstheme="minorHAnsi"/>
          <w:color w:val="000729"/>
        </w:rPr>
      </w:pPr>
      <w:r>
        <w:rPr>
          <w:rFonts w:cstheme="minorHAnsi"/>
          <w:color w:val="000729"/>
        </w:rPr>
        <w:t>T</w:t>
      </w:r>
      <w:r w:rsidR="00B97036" w:rsidRPr="00346BB6">
        <w:rPr>
          <w:rFonts w:cstheme="minorHAnsi"/>
          <w:color w:val="000729"/>
        </w:rPr>
        <w:t>he extra credit line o</w:t>
      </w:r>
      <w:r w:rsidR="0063647A" w:rsidRPr="00346BB6">
        <w:rPr>
          <w:rFonts w:cstheme="minorHAnsi"/>
          <w:color w:val="000729"/>
        </w:rPr>
        <w:t xml:space="preserve">f €10,000 was sufficient </w:t>
      </w:r>
      <w:r w:rsidR="008045C7">
        <w:rPr>
          <w:rFonts w:cstheme="minorHAnsi"/>
          <w:color w:val="000729"/>
        </w:rPr>
        <w:t xml:space="preserve">in 2022 </w:t>
      </w:r>
      <w:r w:rsidR="0063647A" w:rsidRPr="00346BB6">
        <w:rPr>
          <w:rFonts w:cstheme="minorHAnsi"/>
          <w:color w:val="000729"/>
        </w:rPr>
        <w:t xml:space="preserve">for </w:t>
      </w:r>
      <w:r w:rsidR="002525BE" w:rsidRPr="00346BB6">
        <w:rPr>
          <w:rFonts w:cstheme="minorHAnsi"/>
          <w:color w:val="000729"/>
        </w:rPr>
        <w:t xml:space="preserve">the Company </w:t>
      </w:r>
      <w:r w:rsidR="0063647A" w:rsidRPr="00346BB6">
        <w:rPr>
          <w:rFonts w:cstheme="minorHAnsi"/>
          <w:color w:val="000729"/>
        </w:rPr>
        <w:t xml:space="preserve">to stay punctual with its </w:t>
      </w:r>
      <w:r w:rsidR="00B97036" w:rsidRPr="00346BB6">
        <w:rPr>
          <w:rFonts w:cstheme="minorHAnsi"/>
          <w:color w:val="000729"/>
        </w:rPr>
        <w:t>creditors</w:t>
      </w:r>
      <w:r w:rsidR="0063647A" w:rsidRPr="00346BB6">
        <w:rPr>
          <w:rFonts w:cstheme="minorHAnsi"/>
          <w:color w:val="000729"/>
        </w:rPr>
        <w:t xml:space="preserve"> and monthly repayments</w:t>
      </w:r>
      <w:r w:rsidR="008045C7">
        <w:rPr>
          <w:rFonts w:cstheme="minorHAnsi"/>
          <w:color w:val="000729"/>
        </w:rPr>
        <w:t xml:space="preserve">. </w:t>
      </w:r>
    </w:p>
    <w:p w14:paraId="181A1284" w14:textId="77777777" w:rsidR="00D24B0B" w:rsidRPr="00D24B0B" w:rsidRDefault="00D24B0B" w:rsidP="00D24B0B">
      <w:pPr>
        <w:jc w:val="both"/>
        <w:rPr>
          <w:rFonts w:cstheme="minorHAnsi"/>
          <w:color w:val="000729"/>
        </w:rPr>
      </w:pPr>
    </w:p>
    <w:p w14:paraId="11FF7C76" w14:textId="179174FF" w:rsidR="00B97036" w:rsidRPr="00346BB6" w:rsidRDefault="008045C7" w:rsidP="00346BB6">
      <w:pPr>
        <w:pStyle w:val="ListParagraph"/>
        <w:numPr>
          <w:ilvl w:val="0"/>
          <w:numId w:val="11"/>
        </w:numPr>
        <w:jc w:val="both"/>
        <w:rPr>
          <w:rFonts w:cstheme="minorHAnsi"/>
          <w:color w:val="000729"/>
        </w:rPr>
      </w:pPr>
      <w:r>
        <w:rPr>
          <w:rFonts w:cstheme="minorHAnsi"/>
          <w:color w:val="000729"/>
        </w:rPr>
        <w:t>A</w:t>
      </w:r>
      <w:r w:rsidR="003552CB" w:rsidRPr="00346BB6">
        <w:rPr>
          <w:rFonts w:cstheme="minorHAnsi"/>
          <w:color w:val="000729"/>
        </w:rPr>
        <w:t xml:space="preserve">t the end of the year with </w:t>
      </w:r>
      <w:r w:rsidR="002525BE" w:rsidRPr="00346BB6">
        <w:rPr>
          <w:rFonts w:cstheme="minorHAnsi"/>
          <w:color w:val="000729"/>
        </w:rPr>
        <w:t xml:space="preserve">its </w:t>
      </w:r>
      <w:r w:rsidR="00B97036" w:rsidRPr="00346BB6">
        <w:rPr>
          <w:rFonts w:cstheme="minorHAnsi"/>
          <w:color w:val="000729"/>
        </w:rPr>
        <w:t xml:space="preserve">net </w:t>
      </w:r>
      <w:r w:rsidR="003552CB" w:rsidRPr="00346BB6">
        <w:rPr>
          <w:rFonts w:cstheme="minorHAnsi"/>
          <w:color w:val="000729"/>
        </w:rPr>
        <w:t xml:space="preserve">cash </w:t>
      </w:r>
      <w:r w:rsidR="00B97036" w:rsidRPr="00346BB6">
        <w:rPr>
          <w:rFonts w:cstheme="minorHAnsi"/>
          <w:color w:val="000729"/>
        </w:rPr>
        <w:t xml:space="preserve">position </w:t>
      </w:r>
      <w:r>
        <w:rPr>
          <w:rFonts w:cstheme="minorHAnsi"/>
          <w:color w:val="000729"/>
        </w:rPr>
        <w:t xml:space="preserve">the </w:t>
      </w:r>
      <w:r w:rsidR="009A7009">
        <w:rPr>
          <w:rFonts w:cstheme="minorHAnsi"/>
          <w:color w:val="000729"/>
        </w:rPr>
        <w:t>c</w:t>
      </w:r>
      <w:r>
        <w:rPr>
          <w:rFonts w:cstheme="minorHAnsi"/>
          <w:color w:val="000729"/>
        </w:rPr>
        <w:t xml:space="preserve">ompany </w:t>
      </w:r>
      <w:r w:rsidR="002525BE" w:rsidRPr="00346BB6">
        <w:rPr>
          <w:rFonts w:cstheme="minorHAnsi"/>
          <w:color w:val="000729"/>
        </w:rPr>
        <w:t xml:space="preserve">could have settled </w:t>
      </w:r>
      <w:r w:rsidR="005D3F87">
        <w:rPr>
          <w:rFonts w:cstheme="minorHAnsi"/>
          <w:color w:val="000729"/>
        </w:rPr>
        <w:t xml:space="preserve">fully </w:t>
      </w:r>
      <w:r w:rsidR="00346BB6">
        <w:rPr>
          <w:rFonts w:cstheme="minorHAnsi"/>
          <w:color w:val="000729"/>
        </w:rPr>
        <w:t xml:space="preserve">the </w:t>
      </w:r>
      <w:r w:rsidR="005D3F87">
        <w:rPr>
          <w:rFonts w:cstheme="minorHAnsi"/>
          <w:color w:val="000729"/>
        </w:rPr>
        <w:t>extra</w:t>
      </w:r>
      <w:r w:rsidR="00346BB6">
        <w:rPr>
          <w:rFonts w:cstheme="minorHAnsi"/>
          <w:color w:val="000729"/>
        </w:rPr>
        <w:t xml:space="preserve"> loan </w:t>
      </w:r>
      <w:r w:rsidR="005D3F87">
        <w:rPr>
          <w:rFonts w:cstheme="minorHAnsi"/>
          <w:color w:val="000729"/>
        </w:rPr>
        <w:t>of €10</w:t>
      </w:r>
      <w:r w:rsidR="00BA1F59">
        <w:rPr>
          <w:rFonts w:cstheme="minorHAnsi"/>
          <w:color w:val="000729"/>
        </w:rPr>
        <w:t>,000</w:t>
      </w:r>
      <w:r w:rsidR="00B97036" w:rsidRPr="00346BB6">
        <w:rPr>
          <w:rFonts w:cstheme="minorHAnsi"/>
          <w:color w:val="000729"/>
        </w:rPr>
        <w:t xml:space="preserve"> </w:t>
      </w:r>
      <w:r w:rsidR="005D3F87">
        <w:rPr>
          <w:rFonts w:cstheme="minorHAnsi"/>
          <w:color w:val="000729"/>
        </w:rPr>
        <w:t>and thus reduce the monthly instalment to the original €1</w:t>
      </w:r>
      <w:r w:rsidR="0006345E">
        <w:rPr>
          <w:rFonts w:cstheme="minorHAnsi"/>
          <w:color w:val="000729"/>
        </w:rPr>
        <w:t>,</w:t>
      </w:r>
      <w:r w:rsidR="005D3F87">
        <w:rPr>
          <w:rFonts w:cstheme="minorHAnsi"/>
          <w:color w:val="000729"/>
        </w:rPr>
        <w:t>200.</w:t>
      </w:r>
    </w:p>
    <w:p w14:paraId="7E35CD3B" w14:textId="77777777" w:rsidR="002525BE" w:rsidRDefault="002525BE" w:rsidP="003A6E8F">
      <w:pPr>
        <w:jc w:val="both"/>
        <w:rPr>
          <w:rFonts w:cstheme="minorHAnsi"/>
          <w:color w:val="000729"/>
        </w:rPr>
      </w:pPr>
    </w:p>
    <w:p w14:paraId="46537744" w14:textId="67E54361" w:rsidR="0032128D" w:rsidRPr="003E170A" w:rsidRDefault="003A6E8F" w:rsidP="008045C7">
      <w:pPr>
        <w:jc w:val="both"/>
        <w:rPr>
          <w:rFonts w:cstheme="minorHAnsi"/>
          <w:b/>
          <w:bCs/>
          <w:color w:val="000729"/>
        </w:rPr>
      </w:pPr>
      <w:r w:rsidRPr="003E170A">
        <w:rPr>
          <w:rFonts w:cstheme="minorHAnsi"/>
          <w:b/>
          <w:bCs/>
          <w:color w:val="000729"/>
        </w:rPr>
        <w:t xml:space="preserve">As a </w:t>
      </w:r>
      <w:r w:rsidR="0006345E" w:rsidRPr="003E170A">
        <w:rPr>
          <w:rFonts w:cstheme="minorHAnsi"/>
          <w:b/>
          <w:bCs/>
          <w:color w:val="000729"/>
        </w:rPr>
        <w:t>result, a</w:t>
      </w:r>
      <w:r w:rsidRPr="003E170A">
        <w:rPr>
          <w:rFonts w:cstheme="minorHAnsi"/>
          <w:b/>
          <w:bCs/>
          <w:color w:val="000729"/>
        </w:rPr>
        <w:t xml:space="preserve"> </w:t>
      </w:r>
      <w:r w:rsidR="002525BE" w:rsidRPr="003E170A">
        <w:rPr>
          <w:rFonts w:cstheme="minorHAnsi"/>
          <w:b/>
          <w:bCs/>
          <w:color w:val="000729"/>
        </w:rPr>
        <w:t>short</w:t>
      </w:r>
      <w:r w:rsidR="00837F93" w:rsidRPr="003E170A">
        <w:rPr>
          <w:rFonts w:cstheme="minorHAnsi"/>
          <w:b/>
          <w:bCs/>
          <w:color w:val="000729"/>
        </w:rPr>
        <w:t>-</w:t>
      </w:r>
      <w:r w:rsidR="002525BE" w:rsidRPr="003E170A">
        <w:rPr>
          <w:rFonts w:cstheme="minorHAnsi"/>
          <w:b/>
          <w:bCs/>
          <w:color w:val="000729"/>
        </w:rPr>
        <w:t xml:space="preserve">term funding </w:t>
      </w:r>
      <w:r w:rsidRPr="003E170A">
        <w:rPr>
          <w:rFonts w:cstheme="minorHAnsi"/>
          <w:b/>
          <w:bCs/>
          <w:color w:val="000729"/>
        </w:rPr>
        <w:t xml:space="preserve">of </w:t>
      </w:r>
      <w:r w:rsidR="008045C7" w:rsidRPr="003E170A">
        <w:rPr>
          <w:rFonts w:cstheme="minorHAnsi"/>
          <w:b/>
          <w:bCs/>
          <w:color w:val="000729"/>
        </w:rPr>
        <w:t xml:space="preserve">max </w:t>
      </w:r>
      <w:r w:rsidR="002525BE" w:rsidRPr="003E170A">
        <w:rPr>
          <w:rFonts w:cstheme="minorHAnsi"/>
          <w:b/>
          <w:bCs/>
          <w:color w:val="000729"/>
        </w:rPr>
        <w:t>€10</w:t>
      </w:r>
      <w:r w:rsidR="0006345E" w:rsidRPr="003E170A">
        <w:rPr>
          <w:rFonts w:cstheme="minorHAnsi"/>
          <w:b/>
          <w:bCs/>
          <w:color w:val="000729"/>
        </w:rPr>
        <w:t>,000</w:t>
      </w:r>
      <w:r w:rsidRPr="003E170A">
        <w:rPr>
          <w:rFonts w:cstheme="minorHAnsi"/>
          <w:b/>
          <w:bCs/>
          <w:color w:val="000729"/>
        </w:rPr>
        <w:t xml:space="preserve"> </w:t>
      </w:r>
      <w:r w:rsidR="00346BB6" w:rsidRPr="003E170A">
        <w:rPr>
          <w:rFonts w:cstheme="minorHAnsi"/>
          <w:b/>
          <w:bCs/>
          <w:color w:val="000729"/>
        </w:rPr>
        <w:t>c</w:t>
      </w:r>
      <w:r w:rsidRPr="003E170A">
        <w:rPr>
          <w:rFonts w:cstheme="minorHAnsi"/>
          <w:b/>
          <w:bCs/>
          <w:color w:val="000729"/>
        </w:rPr>
        <w:t xml:space="preserve">ould be </w:t>
      </w:r>
      <w:r w:rsidR="00346BB6" w:rsidRPr="003E170A">
        <w:rPr>
          <w:rFonts w:cstheme="minorHAnsi"/>
          <w:b/>
          <w:bCs/>
          <w:color w:val="000729"/>
        </w:rPr>
        <w:t>justified</w:t>
      </w:r>
      <w:r w:rsidR="008E4A4A" w:rsidRPr="003E170A">
        <w:rPr>
          <w:rFonts w:cstheme="minorHAnsi"/>
          <w:b/>
          <w:bCs/>
          <w:color w:val="000729"/>
        </w:rPr>
        <w:t xml:space="preserve">. </w:t>
      </w:r>
    </w:p>
    <w:p w14:paraId="0D623CB5" w14:textId="1622BBA2" w:rsidR="000C0A6D" w:rsidRPr="00E00163" w:rsidRDefault="000C0A6D" w:rsidP="003A6E8F">
      <w:pPr>
        <w:jc w:val="both"/>
        <w:rPr>
          <w:rFonts w:cstheme="minorHAnsi"/>
          <w:b/>
          <w:bCs/>
          <w:color w:val="000729"/>
          <w:lang w:val="en-US"/>
        </w:rPr>
      </w:pPr>
    </w:p>
    <w:sectPr w:rsidR="000C0A6D" w:rsidRPr="00E00163" w:rsidSect="00F3484A">
      <w:headerReference w:type="default" r:id="rId15"/>
      <w:footerReference w:type="even" r:id="rId16"/>
      <w:footerReference w:type="default" r:id="rId17"/>
      <w:pgSz w:w="12240" w:h="15840"/>
      <w:pgMar w:top="1496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8AA72" w14:textId="77777777" w:rsidR="0050038C" w:rsidRDefault="0050038C" w:rsidP="003E6ACB">
      <w:r>
        <w:separator/>
      </w:r>
    </w:p>
  </w:endnote>
  <w:endnote w:type="continuationSeparator" w:id="0">
    <w:p w14:paraId="526EA776" w14:textId="77777777" w:rsidR="0050038C" w:rsidRDefault="0050038C" w:rsidP="003E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59398336"/>
      <w:docPartObj>
        <w:docPartGallery w:val="Page Numbers (Bottom of Page)"/>
        <w:docPartUnique/>
      </w:docPartObj>
    </w:sdtPr>
    <w:sdtContent>
      <w:p w14:paraId="5D57FB3E" w14:textId="6283DBCE" w:rsidR="00F3484A" w:rsidRDefault="00F3484A" w:rsidP="005D419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74CB483" w14:textId="77777777" w:rsidR="00F3484A" w:rsidRDefault="00F3484A" w:rsidP="00F3484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7606690"/>
      <w:docPartObj>
        <w:docPartGallery w:val="Page Numbers (Bottom of Page)"/>
        <w:docPartUnique/>
      </w:docPartObj>
    </w:sdtPr>
    <w:sdtEndPr>
      <w:rPr>
        <w:rStyle w:val="PageNumber"/>
        <w:color w:val="424242"/>
      </w:rPr>
    </w:sdtEndPr>
    <w:sdtContent>
      <w:p w14:paraId="779451A3" w14:textId="64D4440D" w:rsidR="00F3484A" w:rsidRPr="00F3484A" w:rsidRDefault="00F3484A" w:rsidP="005D4196">
        <w:pPr>
          <w:pStyle w:val="Footer"/>
          <w:framePr w:wrap="none" w:vAnchor="text" w:hAnchor="margin" w:xAlign="right" w:y="1"/>
          <w:rPr>
            <w:rStyle w:val="PageNumber"/>
            <w:color w:val="424242"/>
          </w:rPr>
        </w:pPr>
        <w:r w:rsidRPr="00F3484A">
          <w:rPr>
            <w:rStyle w:val="PageNumber"/>
            <w:color w:val="424242"/>
          </w:rPr>
          <w:fldChar w:fldCharType="begin"/>
        </w:r>
        <w:r w:rsidRPr="00F3484A">
          <w:rPr>
            <w:rStyle w:val="PageNumber"/>
            <w:color w:val="424242"/>
          </w:rPr>
          <w:instrText xml:space="preserve"> PAGE </w:instrText>
        </w:r>
        <w:r w:rsidRPr="00F3484A">
          <w:rPr>
            <w:rStyle w:val="PageNumber"/>
            <w:color w:val="424242"/>
          </w:rPr>
          <w:fldChar w:fldCharType="separate"/>
        </w:r>
        <w:r w:rsidRPr="00F3484A">
          <w:rPr>
            <w:rStyle w:val="PageNumber"/>
            <w:noProof/>
            <w:color w:val="424242"/>
          </w:rPr>
          <w:t>2</w:t>
        </w:r>
        <w:r w:rsidRPr="00F3484A">
          <w:rPr>
            <w:rStyle w:val="PageNumber"/>
            <w:color w:val="424242"/>
          </w:rPr>
          <w:fldChar w:fldCharType="end"/>
        </w:r>
      </w:p>
    </w:sdtContent>
  </w:sdt>
  <w:p w14:paraId="07D20235" w14:textId="51296E69" w:rsidR="00F3484A" w:rsidRPr="00F3484A" w:rsidRDefault="00F3484A" w:rsidP="00F3484A">
    <w:pPr>
      <w:pStyle w:val="Footer"/>
      <w:ind w:right="360"/>
      <w:rPr>
        <w:color w:val="424242"/>
        <w:lang w:val="en-US"/>
      </w:rPr>
    </w:pPr>
    <w:r w:rsidRPr="00F3484A">
      <w:rPr>
        <w:color w:val="424242"/>
        <w:lang w:val="en-US"/>
      </w:rPr>
      <w:t>Lia Toumazi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93C6D" w14:textId="77777777" w:rsidR="0050038C" w:rsidRDefault="0050038C" w:rsidP="003E6ACB">
      <w:r>
        <w:separator/>
      </w:r>
    </w:p>
  </w:footnote>
  <w:footnote w:type="continuationSeparator" w:id="0">
    <w:p w14:paraId="197B2FF5" w14:textId="77777777" w:rsidR="0050038C" w:rsidRDefault="0050038C" w:rsidP="003E6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1645E" w14:textId="04C5885F" w:rsidR="003E6ACB" w:rsidRPr="00D84C11" w:rsidRDefault="003E6ACB" w:rsidP="00D84C11">
    <w:pPr>
      <w:pStyle w:val="Header"/>
      <w:rPr>
        <w:rFonts w:ascii="Arial" w:hAnsi="Arial" w:cs="Arial"/>
        <w:color w:val="000729"/>
      </w:rPr>
    </w:pPr>
    <w:r w:rsidRPr="00D84C11">
      <w:rPr>
        <w:rFonts w:ascii="Arial" w:hAnsi="Arial" w:cs="Arial"/>
        <w:noProof/>
        <w:color w:val="000729"/>
      </w:rPr>
      <w:drawing>
        <wp:anchor distT="0" distB="0" distL="114300" distR="114300" simplePos="0" relativeHeight="251658240" behindDoc="0" locked="0" layoutInCell="1" allowOverlap="1" wp14:anchorId="0176BC46" wp14:editId="388AAA2B">
          <wp:simplePos x="0" y="0"/>
          <wp:positionH relativeFrom="column">
            <wp:posOffset>4977130</wp:posOffset>
          </wp:positionH>
          <wp:positionV relativeFrom="paragraph">
            <wp:posOffset>-233826</wp:posOffset>
          </wp:positionV>
          <wp:extent cx="1070873" cy="630000"/>
          <wp:effectExtent l="0" t="0" r="0" b="5080"/>
          <wp:wrapThrough wrapText="bothSides">
            <wp:wrapPolygon edited="0">
              <wp:start x="0" y="0"/>
              <wp:lineTo x="0" y="21339"/>
              <wp:lineTo x="21267" y="21339"/>
              <wp:lineTo x="21267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73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6073DF"/>
    <w:multiLevelType w:val="multilevel"/>
    <w:tmpl w:val="0CDE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EC77AB"/>
    <w:multiLevelType w:val="hybridMultilevel"/>
    <w:tmpl w:val="4104C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4616C"/>
    <w:multiLevelType w:val="hybridMultilevel"/>
    <w:tmpl w:val="9A50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915DA"/>
    <w:multiLevelType w:val="multilevel"/>
    <w:tmpl w:val="01D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DD6068"/>
    <w:multiLevelType w:val="hybridMultilevel"/>
    <w:tmpl w:val="2AD44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F66E3"/>
    <w:multiLevelType w:val="multilevel"/>
    <w:tmpl w:val="DE3C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DA2C8E"/>
    <w:multiLevelType w:val="hybridMultilevel"/>
    <w:tmpl w:val="E7287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D02F0D"/>
    <w:multiLevelType w:val="hybridMultilevel"/>
    <w:tmpl w:val="6692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5985">
    <w:abstractNumId w:val="6"/>
  </w:num>
  <w:num w:numId="2" w16cid:durableId="1662612893">
    <w:abstractNumId w:val="8"/>
  </w:num>
  <w:num w:numId="3" w16cid:durableId="1810242917">
    <w:abstractNumId w:val="3"/>
  </w:num>
  <w:num w:numId="4" w16cid:durableId="633869806">
    <w:abstractNumId w:val="0"/>
  </w:num>
  <w:num w:numId="5" w16cid:durableId="196622198">
    <w:abstractNumId w:val="1"/>
  </w:num>
  <w:num w:numId="6" w16cid:durableId="1739937022">
    <w:abstractNumId w:val="2"/>
  </w:num>
  <w:num w:numId="7" w16cid:durableId="1971128210">
    <w:abstractNumId w:val="7"/>
  </w:num>
  <w:num w:numId="8" w16cid:durableId="433324437">
    <w:abstractNumId w:val="9"/>
  </w:num>
  <w:num w:numId="9" w16cid:durableId="954865566">
    <w:abstractNumId w:val="5"/>
  </w:num>
  <w:num w:numId="10" w16cid:durableId="637297787">
    <w:abstractNumId w:val="4"/>
  </w:num>
  <w:num w:numId="11" w16cid:durableId="4219503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3B"/>
    <w:rsid w:val="000006E0"/>
    <w:rsid w:val="00007803"/>
    <w:rsid w:val="00023C8F"/>
    <w:rsid w:val="00035D23"/>
    <w:rsid w:val="00040F23"/>
    <w:rsid w:val="000423F4"/>
    <w:rsid w:val="0006345E"/>
    <w:rsid w:val="00067377"/>
    <w:rsid w:val="000A007D"/>
    <w:rsid w:val="000A2811"/>
    <w:rsid w:val="000A5F7D"/>
    <w:rsid w:val="000B7D9A"/>
    <w:rsid w:val="000C012C"/>
    <w:rsid w:val="000C0A6D"/>
    <w:rsid w:val="000D08AC"/>
    <w:rsid w:val="000D1609"/>
    <w:rsid w:val="000D17CD"/>
    <w:rsid w:val="000D60F4"/>
    <w:rsid w:val="000E26C7"/>
    <w:rsid w:val="000F6179"/>
    <w:rsid w:val="00102288"/>
    <w:rsid w:val="00110B58"/>
    <w:rsid w:val="0012711B"/>
    <w:rsid w:val="00153DCC"/>
    <w:rsid w:val="00170B67"/>
    <w:rsid w:val="001849CC"/>
    <w:rsid w:val="00190472"/>
    <w:rsid w:val="001937D9"/>
    <w:rsid w:val="001A48B1"/>
    <w:rsid w:val="001D4C0E"/>
    <w:rsid w:val="00206A95"/>
    <w:rsid w:val="00210D37"/>
    <w:rsid w:val="00244BBF"/>
    <w:rsid w:val="00251AE3"/>
    <w:rsid w:val="002525BE"/>
    <w:rsid w:val="00260631"/>
    <w:rsid w:val="0028111D"/>
    <w:rsid w:val="00287FEB"/>
    <w:rsid w:val="00294C76"/>
    <w:rsid w:val="00297C05"/>
    <w:rsid w:val="002B40C1"/>
    <w:rsid w:val="002C473F"/>
    <w:rsid w:val="002D43D5"/>
    <w:rsid w:val="002E073B"/>
    <w:rsid w:val="002E3C36"/>
    <w:rsid w:val="002E6C73"/>
    <w:rsid w:val="002F4780"/>
    <w:rsid w:val="0031045C"/>
    <w:rsid w:val="0031436B"/>
    <w:rsid w:val="00316ADE"/>
    <w:rsid w:val="0032128D"/>
    <w:rsid w:val="00330518"/>
    <w:rsid w:val="00336215"/>
    <w:rsid w:val="0033690A"/>
    <w:rsid w:val="00341F36"/>
    <w:rsid w:val="00346BB6"/>
    <w:rsid w:val="003552CB"/>
    <w:rsid w:val="00355746"/>
    <w:rsid w:val="00356CDB"/>
    <w:rsid w:val="003605E1"/>
    <w:rsid w:val="0038199E"/>
    <w:rsid w:val="003863F1"/>
    <w:rsid w:val="00394756"/>
    <w:rsid w:val="003A6E8F"/>
    <w:rsid w:val="003E170A"/>
    <w:rsid w:val="003E188E"/>
    <w:rsid w:val="003E6ACB"/>
    <w:rsid w:val="003F19FD"/>
    <w:rsid w:val="003F4258"/>
    <w:rsid w:val="00405A32"/>
    <w:rsid w:val="004101F0"/>
    <w:rsid w:val="00444001"/>
    <w:rsid w:val="004443D7"/>
    <w:rsid w:val="0047177F"/>
    <w:rsid w:val="00483591"/>
    <w:rsid w:val="004878CC"/>
    <w:rsid w:val="004B2AFF"/>
    <w:rsid w:val="004C18E5"/>
    <w:rsid w:val="004E66D9"/>
    <w:rsid w:val="0050038C"/>
    <w:rsid w:val="00502AE4"/>
    <w:rsid w:val="00506175"/>
    <w:rsid w:val="00522585"/>
    <w:rsid w:val="005303D7"/>
    <w:rsid w:val="00550891"/>
    <w:rsid w:val="00554D0B"/>
    <w:rsid w:val="0055753C"/>
    <w:rsid w:val="00560A83"/>
    <w:rsid w:val="005658B2"/>
    <w:rsid w:val="00575849"/>
    <w:rsid w:val="00590EFE"/>
    <w:rsid w:val="005C2237"/>
    <w:rsid w:val="005D0780"/>
    <w:rsid w:val="005D3F87"/>
    <w:rsid w:val="005D59D1"/>
    <w:rsid w:val="005F4939"/>
    <w:rsid w:val="005F6437"/>
    <w:rsid w:val="006163AD"/>
    <w:rsid w:val="00627C5E"/>
    <w:rsid w:val="0063647A"/>
    <w:rsid w:val="006376A2"/>
    <w:rsid w:val="006404A2"/>
    <w:rsid w:val="00647CF5"/>
    <w:rsid w:val="00654227"/>
    <w:rsid w:val="0065717D"/>
    <w:rsid w:val="00670AFB"/>
    <w:rsid w:val="00676937"/>
    <w:rsid w:val="00695D29"/>
    <w:rsid w:val="006B28F0"/>
    <w:rsid w:val="006D4857"/>
    <w:rsid w:val="006D5389"/>
    <w:rsid w:val="006E5F20"/>
    <w:rsid w:val="006F213F"/>
    <w:rsid w:val="006F30CE"/>
    <w:rsid w:val="006F50CD"/>
    <w:rsid w:val="006F699A"/>
    <w:rsid w:val="00701877"/>
    <w:rsid w:val="007171F4"/>
    <w:rsid w:val="0072468E"/>
    <w:rsid w:val="00735E2E"/>
    <w:rsid w:val="007424F4"/>
    <w:rsid w:val="0074760A"/>
    <w:rsid w:val="00757444"/>
    <w:rsid w:val="00761297"/>
    <w:rsid w:val="0076193E"/>
    <w:rsid w:val="00765BA6"/>
    <w:rsid w:val="00777015"/>
    <w:rsid w:val="00794CA4"/>
    <w:rsid w:val="007E077B"/>
    <w:rsid w:val="008045C7"/>
    <w:rsid w:val="00804B58"/>
    <w:rsid w:val="008079B2"/>
    <w:rsid w:val="008109B6"/>
    <w:rsid w:val="008153E4"/>
    <w:rsid w:val="00820164"/>
    <w:rsid w:val="00823309"/>
    <w:rsid w:val="008333F4"/>
    <w:rsid w:val="00836017"/>
    <w:rsid w:val="00837F93"/>
    <w:rsid w:val="0084632F"/>
    <w:rsid w:val="0085519C"/>
    <w:rsid w:val="00882EFF"/>
    <w:rsid w:val="008833A9"/>
    <w:rsid w:val="008938CF"/>
    <w:rsid w:val="00895F23"/>
    <w:rsid w:val="0089693B"/>
    <w:rsid w:val="008A037F"/>
    <w:rsid w:val="008A0782"/>
    <w:rsid w:val="008C5AC1"/>
    <w:rsid w:val="008D0106"/>
    <w:rsid w:val="008D529E"/>
    <w:rsid w:val="008E0353"/>
    <w:rsid w:val="008E4A4A"/>
    <w:rsid w:val="008E5CE9"/>
    <w:rsid w:val="008E7449"/>
    <w:rsid w:val="008F7198"/>
    <w:rsid w:val="0091221E"/>
    <w:rsid w:val="00917BE6"/>
    <w:rsid w:val="00921A73"/>
    <w:rsid w:val="00933BF3"/>
    <w:rsid w:val="009370BB"/>
    <w:rsid w:val="00941212"/>
    <w:rsid w:val="00941ED3"/>
    <w:rsid w:val="00985A06"/>
    <w:rsid w:val="009A0478"/>
    <w:rsid w:val="009A2B2A"/>
    <w:rsid w:val="009A7009"/>
    <w:rsid w:val="009A7E7F"/>
    <w:rsid w:val="009B10D3"/>
    <w:rsid w:val="009B23BE"/>
    <w:rsid w:val="009B50A8"/>
    <w:rsid w:val="009C4834"/>
    <w:rsid w:val="009E082B"/>
    <w:rsid w:val="009E544E"/>
    <w:rsid w:val="00A2170C"/>
    <w:rsid w:val="00A2501B"/>
    <w:rsid w:val="00A30A9C"/>
    <w:rsid w:val="00A51C32"/>
    <w:rsid w:val="00A64A98"/>
    <w:rsid w:val="00A7137A"/>
    <w:rsid w:val="00A84C87"/>
    <w:rsid w:val="00A90A12"/>
    <w:rsid w:val="00AA1E41"/>
    <w:rsid w:val="00AA6667"/>
    <w:rsid w:val="00AB4214"/>
    <w:rsid w:val="00AD0EFF"/>
    <w:rsid w:val="00B06D2D"/>
    <w:rsid w:val="00B0704E"/>
    <w:rsid w:val="00B2220B"/>
    <w:rsid w:val="00B357AF"/>
    <w:rsid w:val="00B37B17"/>
    <w:rsid w:val="00B53EF2"/>
    <w:rsid w:val="00B75C0D"/>
    <w:rsid w:val="00B762C9"/>
    <w:rsid w:val="00B86718"/>
    <w:rsid w:val="00B92B0D"/>
    <w:rsid w:val="00B953D7"/>
    <w:rsid w:val="00B95FC0"/>
    <w:rsid w:val="00B97036"/>
    <w:rsid w:val="00BA1F59"/>
    <w:rsid w:val="00BB2A15"/>
    <w:rsid w:val="00BD46D9"/>
    <w:rsid w:val="00BD4CAF"/>
    <w:rsid w:val="00BE03DF"/>
    <w:rsid w:val="00BF1312"/>
    <w:rsid w:val="00BF1C22"/>
    <w:rsid w:val="00BF63BA"/>
    <w:rsid w:val="00C36C79"/>
    <w:rsid w:val="00C43F82"/>
    <w:rsid w:val="00C72830"/>
    <w:rsid w:val="00C90240"/>
    <w:rsid w:val="00CA597B"/>
    <w:rsid w:val="00CC39BA"/>
    <w:rsid w:val="00CE2F33"/>
    <w:rsid w:val="00CE513A"/>
    <w:rsid w:val="00D10882"/>
    <w:rsid w:val="00D131FF"/>
    <w:rsid w:val="00D22874"/>
    <w:rsid w:val="00D23D42"/>
    <w:rsid w:val="00D24B0B"/>
    <w:rsid w:val="00D410D6"/>
    <w:rsid w:val="00D567C8"/>
    <w:rsid w:val="00D80BC5"/>
    <w:rsid w:val="00D84C11"/>
    <w:rsid w:val="00DA2A3F"/>
    <w:rsid w:val="00DA582F"/>
    <w:rsid w:val="00DB3645"/>
    <w:rsid w:val="00DD3387"/>
    <w:rsid w:val="00DD59E2"/>
    <w:rsid w:val="00DF6650"/>
    <w:rsid w:val="00E00163"/>
    <w:rsid w:val="00E13289"/>
    <w:rsid w:val="00E24E31"/>
    <w:rsid w:val="00E30B77"/>
    <w:rsid w:val="00E349AF"/>
    <w:rsid w:val="00EB38D2"/>
    <w:rsid w:val="00EC785A"/>
    <w:rsid w:val="00ED414A"/>
    <w:rsid w:val="00F10F0F"/>
    <w:rsid w:val="00F208B4"/>
    <w:rsid w:val="00F3484A"/>
    <w:rsid w:val="00F51D6F"/>
    <w:rsid w:val="00F614EA"/>
    <w:rsid w:val="00F62666"/>
    <w:rsid w:val="00F71EE7"/>
    <w:rsid w:val="00F74EB2"/>
    <w:rsid w:val="00F75845"/>
    <w:rsid w:val="00FB36F5"/>
    <w:rsid w:val="00FB7004"/>
    <w:rsid w:val="00FE1CBF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5EAF8"/>
  <w15:chartTrackingRefBased/>
  <w15:docId w15:val="{DBC2472F-6155-4843-9CB4-3747D74F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A6"/>
  </w:style>
  <w:style w:type="paragraph" w:styleId="Heading1">
    <w:name w:val="heading 1"/>
    <w:basedOn w:val="Normal"/>
    <w:next w:val="Normal"/>
    <w:link w:val="Heading1Char"/>
    <w:uiPriority w:val="9"/>
    <w:qFormat/>
    <w:rsid w:val="003947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8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9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6A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ACB"/>
  </w:style>
  <w:style w:type="paragraph" w:styleId="Footer">
    <w:name w:val="footer"/>
    <w:basedOn w:val="Normal"/>
    <w:link w:val="FooterChar"/>
    <w:uiPriority w:val="99"/>
    <w:unhideWhenUsed/>
    <w:rsid w:val="003E6A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ACB"/>
  </w:style>
  <w:style w:type="character" w:customStyle="1" w:styleId="Heading1Char">
    <w:name w:val="Heading 1 Char"/>
    <w:basedOn w:val="DefaultParagraphFont"/>
    <w:link w:val="Heading1"/>
    <w:uiPriority w:val="9"/>
    <w:rsid w:val="00394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475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475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9475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475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475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475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475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475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475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4756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4C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8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485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C7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F34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5332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1126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771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29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88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Toumazi, Lia</dc:creator>
  <cp:keywords/>
  <dc:description/>
  <cp:lastModifiedBy>Toumazi, Lia</cp:lastModifiedBy>
  <cp:revision>52</cp:revision>
  <cp:lastPrinted>2023-02-13T14:13:00Z</cp:lastPrinted>
  <dcterms:created xsi:type="dcterms:W3CDTF">2023-02-13T18:00:00Z</dcterms:created>
  <dcterms:modified xsi:type="dcterms:W3CDTF">2023-02-13T20:30:00Z</dcterms:modified>
</cp:coreProperties>
</file>