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  <w:r>
        <w:rPr>
          <w:b/>
          <w:color w:val="1F4E79"/>
          <w:sz w:val="44"/>
        </w:rPr>
        <w:t>多邮箱管理系统 —— 需求功能说明书 (PRD)</w:t>
      </w:r>
    </w:p>
    <w:p>
      <w:pPr>
        <w:keepNext/>
        <w:spacing w:before="360" w:after="160"/>
      </w:pPr>
      <w:r>
        <w:rPr>
          <w:b/>
          <w:color w:val="1F4E79"/>
          <w:sz w:val="32"/>
        </w:rPr>
        <w:t>1. 文档概述</w:t>
      </w:r>
    </w:p>
    <w:p>
      <w:pPr>
        <w:spacing w:after="200" w:line="300" w:lineRule="auto"/>
      </w:pPr>
      <w:r>
        <w:t>本文档旨在明确“多邮箱管理系统”的核心功能需求与交互逻辑。该系统主要用于多通道 Outlook 邮箱账号的集中导入、状态监控、数据提取（账号/密码/令牌）以及邮件内容的在线查看，实现自动化的邮箱资产管理与高效运维工作流。</w:t>
      </w:r>
    </w:p>
    <w:p>
      <w:pPr>
        <w:keepNext/>
        <w:spacing w:before="360" w:after="160"/>
      </w:pPr>
      <w:r>
        <w:rPr>
          <w:b/>
          <w:color w:val="1F4E79"/>
          <w:sz w:val="32"/>
        </w:rPr>
        <w:t>2. 核心功能模块详细设计</w:t>
      </w:r>
    </w:p>
    <w:p>
      <w:pPr>
        <w:keepNext/>
        <w:spacing w:before="240" w:after="80"/>
      </w:pPr>
      <w:r>
        <w:rPr>
          <w:b/>
          <w:color w:val="5A5A5A"/>
          <w:sz w:val="25"/>
        </w:rPr>
        <w:t>2.1 模块一：邮箱管理主列表 (图一)</w:t>
      </w:r>
    </w:p>
    <w:p>
      <w:pPr>
        <w:spacing w:after="120"/>
      </w:pPr>
      <w:r>
        <w:t>页面定位为系统的核心工作台，集中展示所有已导入的邮箱资产状态，支持实时查询与操作流转。</w:t>
      </w:r>
    </w:p>
    <w:p>
      <w:pPr>
        <w:pStyle w:val="ListBullet"/>
        <w:spacing w:after="60"/>
      </w:pPr>
      <w:r>
        <w:rPr>
          <w:b/>
        </w:rPr>
        <w:t>搜索与筛选：</w:t>
      </w:r>
      <w:r>
        <w:t>支持按“邮箱地址”进行模糊检索；支持按“分组”（如：全部、默认分组等）进行下拉联动筛选。</w:t>
      </w:r>
    </w:p>
    <w:p>
      <w:pPr>
        <w:pStyle w:val="ListBullet"/>
        <w:spacing w:after="120"/>
      </w:pPr>
      <w:r>
        <w:rPr>
          <w:b/>
        </w:rPr>
        <w:t>数据网格核心字段（Data Grid）：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字段属性说明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交互行为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多选框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批量操作勾选键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支持表头“全选/全不选”以及单项勾选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#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自动递增序号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基于当前分页的数据行数自动生成，支持顺序递补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邮箱地址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文本展示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附带“一键复制”图标按钮，点击后文本载入剪贴板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密码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密文/明文切换展示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默认以密文(或显式)展示，提供一键复制与显隐切换图标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分组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标签（Tag）展示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标识具体的业务归属场景（例如：默认分组、营销A组等）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令牌状态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状态灯标签（Status Tag）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绿灯表示“正常”，黄灯表示“检测中”，红灯表示“失效”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权限/通道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协议或通道标识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直观展示授权通道，如 OAuth2.0 协议特有的“O2”标识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360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字段属性说明</w:t>
            </w:r>
          </w:p>
        </w:tc>
        <w:tc>
          <w:tcPr>
            <w:tcW w:type="dxa" w:w="360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交互行为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多选框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批量操作勾选键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支持表头“全选/全不选”以及单项勾选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#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自动递增序号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基于当前分页的数据行数自动生成，支持顺序递补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邮箱地址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文本展示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附带“一键复制”图标按钮，点击后文本载入剪贴板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密码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密文/明文切换展示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默认以密文(或显式)展示，提供一键复制与显隐切换图标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分组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标签（Tag）展示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标识具体的业务归属场景（例如：默认分组、营销A组等）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令牌状态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状态灯标签（Status Tag）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绿灯表示“正常”，黄灯表示“检测中”，红灯表示“失效”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权限/通道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协议或通道标识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直观展示授权通道，如 OAuth2.0 协议特有的“O2”标识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动作操作按钮组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sz w:val="19"/>
              </w:rPr>
              <w:t>包含“查看”、“删除”以及“更多(...)”的高级二级菜单</w:t>
            </w:r>
          </w:p>
        </w:tc>
      </w:tr>
    </w:tbl>
    <w:p>
      <w:pPr>
        <w:spacing w:before="160"/>
      </w:pPr>
    </w:p>
    <w:p>
      <w:pPr>
        <w:pStyle w:val="ListBullet"/>
        <w:spacing w:after="240"/>
      </w:pPr>
      <w:r>
        <w:rPr>
          <w:b/>
        </w:rPr>
        <w:t>分页组件：</w:t>
      </w:r>
      <w:r>
        <w:t>支持弹性设置“每页条数”（默认10条/页）、上下页无缝跳转以及精准页码直接跳转。</w:t>
      </w:r>
    </w:p>
    <w:p>
      <w:pPr>
        <w:keepNext/>
        <w:spacing w:before="240" w:after="80"/>
      </w:pPr>
      <w:r>
        <w:rPr>
          <w:b/>
          <w:color w:val="5A5A5A"/>
          <w:sz w:val="25"/>
        </w:rPr>
        <w:t>2.2 模块二：数据批处理操作 (图一、图三)</w:t>
      </w:r>
    </w:p>
    <w:p>
      <w:pPr>
        <w:spacing w:after="80"/>
      </w:pPr>
      <w:r>
        <w:t>提供高效的全局资产维护工具，支持对勾选或全量数据的批量自动化处理：</w:t>
      </w:r>
    </w:p>
    <w:p>
      <w:pPr>
        <w:pStyle w:val="ListBullet"/>
        <w:spacing w:after="80"/>
      </w:pPr>
      <w:r>
        <w:rPr>
          <w:b/>
        </w:rPr>
        <w:t>1. 导入邮箱：</w:t>
      </w:r>
      <w:r>
        <w:t>点击后触发弹出专用的导入模态框窗口（详见 2.3）。</w:t>
      </w:r>
    </w:p>
    <w:p>
      <w:pPr>
        <w:pStyle w:val="ListBullet"/>
        <w:spacing w:after="80"/>
      </w:pPr>
      <w:r>
        <w:rPr>
          <w:b/>
        </w:rPr>
        <w:t>2. 导出备份：</w:t>
      </w:r>
      <w:r>
        <w:t>支持将当前列表选中的特定数据或筛选后的全部账号数据，快速导出为本地 CSV 或 Excel 文件。</w:t>
      </w:r>
    </w:p>
    <w:p>
      <w:pPr>
        <w:pStyle w:val="ListBullet"/>
        <w:spacing w:after="80"/>
      </w:pPr>
      <w:r>
        <w:rPr>
          <w:b/>
        </w:rPr>
        <w:t>3. 批量复制 (下拉级联菜单)：</w:t>
      </w:r>
      <w:r>
        <w:t>包含三项原子能力：</w:t>
        <w:br/>
        <w:t>• 批量复制账号：仅精准提取并复制所勾选行的邮箱地址。</w:t>
        <w:br/>
        <w:t>• 批量复制密码：仅精准提取并复制所勾选行的密码内容。</w:t>
        <w:br/>
        <w:t>• 批量复制账号----密码：将账号与密码按照标准分隔符（如“----”）无缝拼接后整块复制到系统剪贴板。</w:t>
      </w:r>
    </w:p>
    <w:p>
      <w:pPr>
        <w:pStyle w:val="ListBullet"/>
        <w:spacing w:after="80"/>
      </w:pPr>
      <w:r>
        <w:rPr>
          <w:b/>
        </w:rPr>
        <w:t>4. 批量设置分组：</w:t>
      </w:r>
      <w:r>
        <w:t>允许用户在勾选多个目标账号后，一键弹窗修改或指派其所属的全新业务分组标签。</w:t>
      </w:r>
    </w:p>
    <w:p>
      <w:pPr>
        <w:pStyle w:val="ListBullet"/>
        <w:spacing w:after="80"/>
      </w:pPr>
      <w:r>
        <w:rPr>
          <w:b/>
        </w:rPr>
        <w:t>5. 批量删除：</w:t>
      </w:r>
      <w:r>
        <w:t>提供带有强风险警示的二次确认机制，支持对选中资产进行批量的物理或逻辑删除。</w:t>
      </w:r>
    </w:p>
    <w:p>
      <w:pPr>
        <w:keepNext/>
        <w:spacing w:before="240" w:after="80"/>
      </w:pPr>
      <w:r>
        <w:rPr>
          <w:b/>
          <w:color w:val="5A5A5A"/>
          <w:sz w:val="25"/>
        </w:rPr>
        <w:t>2.3 模块三：账户导入模态框 (图二)</w:t>
      </w:r>
    </w:p>
    <w:p>
      <w:pPr>
        <w:spacing w:after="80"/>
      </w:pPr>
      <w:r>
        <w:t>提供“文本批量录入”与“结构化文件上传”的双通道数据录入方式，设计规范如下：</w:t>
      </w:r>
    </w:p>
    <w:p>
      <w:pPr>
        <w:pStyle w:val="ListBullet"/>
        <w:spacing w:after="80"/>
      </w:pPr>
      <w:r>
        <w:rPr>
          <w:b/>
        </w:rPr>
        <w:t>支持解析的数据结构：</w:t>
      </w:r>
      <w:r>
        <w:t>文本域支持按行解析，单行支持以下两种标准多字段结构：</w:t>
        <w:br/>
        <w:t>• 格式 A（空格/Tab分隔）：邮箱地址 密码 Client_ID 刷新令牌</w:t>
        <w:br/>
        <w:t>• 格式 B（四连减号分隔）：邮箱地址----密码----Client_ID----刷新令牌</w:t>
      </w:r>
    </w:p>
    <w:p>
      <w:pPr>
        <w:pStyle w:val="ListBullet"/>
        <w:spacing w:after="80"/>
      </w:pPr>
      <w:r>
        <w:rPr>
          <w:b/>
        </w:rPr>
        <w:t>前端解析校验逻辑：</w:t>
      </w:r>
      <w:r>
        <w:t>系统在触发提交时必须校验单行是否包含完整的 4 个必要核心字段，若遇到非合规数据行需阻断提交，并精准定位报错具体的行数。</w:t>
      </w:r>
    </w:p>
    <w:p>
      <w:pPr>
        <w:pStyle w:val="ListBullet"/>
        <w:spacing w:after="240"/>
      </w:pPr>
      <w:r>
        <w:rPr>
          <w:b/>
        </w:rPr>
        <w:t>底层写入交互按钮：</w:t>
      </w:r>
      <w:r>
        <w:br/>
        <w:t>• 取消：放弃当前文本域内所有录入更改并安全关闭弹窗。</w:t>
        <w:br/>
        <w:t>• 追加导入：将解析成功的合规资产数据增量插入现有系统列表尾部。</w:t>
        <w:br/>
        <w:t>• 覆盖导入：执行覆盖前弹出高危清空警示，确认后清空系统内该模块现有全量数据，以本次导入数据重建底层列表。</w:t>
      </w:r>
    </w:p>
    <w:p>
      <w:pPr>
        <w:keepNext/>
        <w:spacing w:before="240" w:after="80"/>
      </w:pPr>
      <w:r>
        <w:rPr>
          <w:b/>
          <w:color w:val="5A5A5A"/>
          <w:sz w:val="25"/>
        </w:rPr>
        <w:t>2.4 模块四：邮件在线查看详情页 (图四)</w:t>
      </w:r>
    </w:p>
    <w:p>
      <w:pPr>
        <w:spacing w:after="80"/>
      </w:pPr>
      <w:r>
        <w:t>点击主列表特定行的“查看”按钮后弹出的响应式大号模态框。无需在多个外置客户端系统间频繁切换，提供在线阅览能力。</w:t>
      </w:r>
    </w:p>
    <w:p>
      <w:pPr>
        <w:pStyle w:val="ListBullet"/>
        <w:spacing w:after="80"/>
      </w:pPr>
      <w:r>
        <w:rPr>
          <w:b/>
        </w:rPr>
        <w:t>左侧目录导航与多邮箱通道：</w:t>
      </w:r>
      <w:r>
        <w:t>顶部区域动态渲染当前正被查看的邮箱主体账户：邮件列表 - [User_Email]。下方支持原生“收件箱 (Inbox)”与“垃圾箱 (Junk)”的单选标签（Tab）自由切换，并内置“刷新邮件”异步轮询按钮，支持点击后实时调用外挂接口拉取最新邮件列表。</w:t>
      </w:r>
    </w:p>
    <w:p>
      <w:pPr>
        <w:pStyle w:val="ListBullet"/>
        <w:spacing w:after="80"/>
      </w:pPr>
      <w:r>
        <w:rPr>
          <w:b/>
        </w:rPr>
        <w:t>邮件动态列表流（Mail List）：</w:t>
      </w:r>
      <w:r>
        <w:t>支持基于发件人名称、邮件主题关键字进行列表内的即时过滤。卡片式多态展示项包含发件人主体、邮件精简主题、首行摘要信息预览以及收件的精准绝对时间戳。</w:t>
      </w:r>
    </w:p>
    <w:p>
      <w:pPr>
        <w:pStyle w:val="ListBullet"/>
        <w:spacing w:after="80"/>
      </w:pPr>
      <w:r>
        <w:rPr>
          <w:b/>
        </w:rPr>
        <w:t>右侧邮件正文渲染视窗（Mail Body View）：</w:t>
      </w:r>
      <w:r>
        <w:t>• 缺省状态：当未选中具体邮件时，居中展示浅灰色状态提示语“请从左侧选择一封邮件查看”。</w:t>
        <w:br/>
        <w:t>• 激活状态：点击左侧列表卡片后，右侧通过内嵌的安全 HTML 渲染器，高度还原邮件富文本图形内容，且支持验证码的快捷一键复制及安全高亮链接的跳转。</w:t>
      </w:r>
    </w:p>
    <w:p>
      <w:pPr>
        <w:keepNext/>
        <w:spacing w:before="360" w:after="160"/>
      </w:pPr>
      <w:r>
        <w:rPr>
          <w:b/>
          <w:color w:val="1F4E79"/>
          <w:sz w:val="32"/>
        </w:rPr>
        <w:t>3. 非功能性需求与系统优化建议</w:t>
      </w:r>
    </w:p>
    <w:p>
      <w:pPr>
        <w:pStyle w:val="ListBullet"/>
        <w:spacing w:after="80"/>
      </w:pPr>
      <w:r>
        <w:rPr>
          <w:b/>
        </w:rPr>
        <w:t>数据加密与资产安全性：</w:t>
      </w:r>
      <w:r>
        <w:t>鉴于系统集中管理核心邮箱凭证，数据库中存储的“密码”、“Client_ID”和“刷新令牌(Refresh Token)”严禁明文落库，必须强制采用商用对称加密算法（如 AES-256）进行密文存储。同时，批量复制与批量导出等敏感高危操作建议全程记录后台审计日志。</w:t>
      </w:r>
    </w:p>
    <w:p>
      <w:pPr>
        <w:pStyle w:val="ListBullet"/>
        <w:spacing w:after="80"/>
      </w:pPr>
      <w:r>
        <w:rPr>
          <w:b/>
        </w:rPr>
        <w:t>高并发令牌心跳检查：</w:t>
      </w:r>
      <w:r>
        <w:t>由于系统主列表中需高频更新“令牌健康状态”，后端不应在前端页面加载时同步执行轮询请求。需设计独立的后台常驻线程池/异步队列进行解耦心跳检测，以避免网络超时导致前端骨架屏或主页面加载产生严重卡顿。</w:t>
      </w:r>
    </w:p>
    <w:p>
      <w:pPr>
        <w:pStyle w:val="ListBullet"/>
        <w:spacing w:after="240"/>
      </w:pPr>
      <w:r>
        <w:rPr>
          <w:b/>
        </w:rPr>
        <w:t>大数据量邮件懒加载：</w:t>
      </w:r>
      <w:r>
        <w:t>调取单一邮箱查看明细时，应采用 Lazy Load（懒加载）或分页拉取的分级分流加载机制，限制一次性拉取巨量历史邮件及垃圾邮件，从根本上防止因大报文导致的前端浏览器卡死或服务器内存溢出。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