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等线 Light" w:hAnsi="等线 Light" w:cs="等线 Light" w:eastAsia="等线 Light"/>
          <w:color w:val="auto"/>
          <w:spacing w:val="-10"/>
          <w:position w:val="0"/>
          <w:sz w:val="56"/>
          <w:shd w:fill="auto" w:val="clear"/>
        </w:rPr>
      </w:pPr>
      <w:r>
        <w:rPr>
          <w:rFonts w:ascii="等线 Light" w:hAnsi="等线 Light" w:cs="等线 Light" w:eastAsia="等线 Light"/>
          <w:color w:val="auto"/>
          <w:spacing w:val="-10"/>
          <w:position w:val="0"/>
          <w:sz w:val="56"/>
          <w:shd w:fill="auto" w:val="clear"/>
        </w:rPr>
        <w:t xml:space="preserve">Airship Restaurant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ab/>
        <w:t xml:space="preserve">桌面游戏、休闲、模拟经营、反战、通过信件帮助玩家了解世界观。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玩法要素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自定义餐厅布局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玩家可以派遣飞艇，向战场上运送物资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科技树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游戏界面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游戏界面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游戏元素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空艇</w:t>
      </w:r>
    </w:p>
    <w:p>
      <w:pPr>
        <w:numPr>
          <w:ilvl w:val="0"/>
          <w:numId w:val="5"/>
        </w:numPr>
        <w:spacing w:before="0" w:after="0" w:line="240"/>
        <w:ind w:right="0" w:left="114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始终浮在游戏视口的最上方</w:t>
      </w:r>
    </w:p>
    <w:p>
      <w:pPr>
        <w:numPr>
          <w:ilvl w:val="0"/>
          <w:numId w:val="5"/>
        </w:numPr>
        <w:spacing w:before="0" w:after="0" w:line="240"/>
        <w:ind w:right="0" w:left="114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可以拖拽，左右移动</w:t>
      </w:r>
    </w:p>
    <w:p>
      <w:pPr>
        <w:numPr>
          <w:ilvl w:val="0"/>
          <w:numId w:val="5"/>
        </w:numPr>
        <w:spacing w:before="0" w:after="0" w:line="240"/>
        <w:ind w:right="0" w:left="114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点击后可以唤起界面，由于升级科技树、打开短信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游戏脑洞：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反战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店主可以通过便签和玩家交流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模拟经营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airship-restaurant&#30028;&#38754;&#35774;&#35745;.drawi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