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80"/>
            <w:rPr/>
          </w:pPr>
          <w:r>
            <w:rPr/>
            <w:t>Inhaltsverzeichnis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X19dcbec4dba8dbeaad2086b7473df2c88c08b6b"/>
      <w:r>
        <w:rPr/>
        <w:t>Anleitung: Ransomware – Vorsorge und Wiederherstellung (linux1/linux0/linux7)</w:t>
      </w:r>
    </w:p>
    <w:p>
      <w:pPr>
        <w:pStyle w:val="BodyText"/>
        <w:rPr/>
      </w:pPr>
      <w:r>
        <w:rPr>
          <w:b/>
          <w:bCs/>
        </w:rPr>
        <w:t>Stand:</w:t>
      </w:r>
      <w:r>
        <w:rPr/>
        <w:t xml:space="preserve"> </w:t>
      </w:r>
      <w:r>
        <w:rPr/>
        <w:t xml:space="preserve">19.7.26 </w:t>
      </w:r>
      <w:r>
        <w:rPr/>
        <w:t xml:space="preserve">. </w:t>
        <w:br/>
        <w:t xml:space="preserve">Bezieht sich auf die aktuelle Infrastruktur: </w:t>
        <w:br/>
        <w:t xml:space="preserve">linux1 (Produktiv), linux0/linux7 (Reserve: </w:t>
      </w:r>
      <w:r>
        <w:rPr/>
        <w:t>Aktivierung mit</w:t>
      </w:r>
      <w:r>
        <w:rPr/>
        <w:t xml:space="preserve"> </w:t>
      </w:r>
      <w:r>
        <w:rPr>
          <w:rStyle w:val="VerbatimChar"/>
        </w:rPr>
        <w:t xml:space="preserve">uebernahme.sh, </w:t>
      </w:r>
      <w:r>
        <w:rPr>
          <w:rStyle w:val="VerbatimChar"/>
        </w:rPr>
        <w:t xml:space="preserve">Rückgabe an linux1 später mit </w:t>
      </w:r>
      <w:r>
        <w:rPr>
          <w:rStyle w:val="VerbatimChar"/>
        </w:rPr>
        <w:t>rueckgabe.sh</w:t>
      </w:r>
      <w:r>
        <w:rPr/>
        <w:t xml:space="preserve">), </w:t>
        <w:br/>
        <w:t xml:space="preserve">Online-Backups über </w:t>
      </w:r>
      <w:r>
        <w:rPr>
          <w:rStyle w:val="VerbatimChar"/>
        </w:rPr>
        <w:t>bulinux.sh</w:t>
      </w:r>
      <w:r>
        <w:rPr/>
        <w:t>/</w:t>
      </w:r>
      <w:r>
        <w:rPr>
          <w:rStyle w:val="VerbatimChar"/>
        </w:rPr>
        <w:t>bumo.sh</w:t>
      </w:r>
      <w:r>
        <w:rPr/>
        <w:t>/</w:t>
      </w:r>
      <w:r>
        <w:rPr>
          <w:rStyle w:val="VerbatimChar"/>
        </w:rPr>
        <w:t>bunacht.sh</w:t>
      </w:r>
      <w:r>
        <w:rPr/>
        <w:t xml:space="preserve"> (mit Schutzdatei-Mechanismus, s. Teil A.6), tägliche Offline-Sicherung auf rotierende USB-Sticks über </w:t>
      </w:r>
      <w:r>
        <w:rPr>
          <w:rStyle w:val="VerbatimChar"/>
        </w:rPr>
        <w:t>mokopr.ps1</w:t>
      </w:r>
      <w:r>
        <w:rPr/>
        <w:t>/</w:t>
      </w:r>
      <w:r>
        <w:rPr>
          <w:rStyle w:val="VerbatimChar"/>
        </w:rPr>
        <w:t>morueck.ps1</w:t>
      </w:r>
      <w:r>
        <w:rPr/>
        <w:t xml:space="preserve"> (s. Teil A.1).</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X4ae3809f21663e56a89ba894d2296df26864839"/>
      <w:r>
        <w:rPr/>
        <w:t>Wichtiger Ausgangspunkt: Failover ≠ Ransomware-Schutz</w:t>
      </w:r>
    </w:p>
    <w:p>
      <w:pPr>
        <w:pStyle w:val="FirstParagraph"/>
        <w:rPr/>
      </w:pPr>
      <w:r>
        <w:rPr/>
        <w:t xml:space="preserve">Die bestehende linux0/linux7-Übernahme-Logik löst </w:t>
      </w:r>
      <w:r>
        <w:rPr>
          <w:b/>
          <w:bCs/>
        </w:rPr>
        <w:t>Hardware-/Systemausfall</w:t>
      </w:r>
      <w:r>
        <w:rPr/>
        <w:t xml:space="preserve">, nicht </w:t>
      </w:r>
      <w:r>
        <w:rPr>
          <w:b/>
          <w:bCs/>
        </w:rPr>
        <w:t>Verschlüsselung durch Ransomware</w:t>
      </w:r>
      <w:r>
        <w:rPr/>
        <w:t xml:space="preserve">. Wenn ein Verschlüsselungstrojaner sich im Netz ausbreitet (typischer Weg: über SMB/CIFS-Freigaben, offene RDP/SSH-Zugänge, oder ein infiziertes Windows-Client-System, das auf die Server-Freigaben zugreift), wären linux0/linux7 potenziell </w:t>
      </w:r>
      <w:r>
        <w:rPr>
          <w:b/>
          <w:bCs/>
        </w:rPr>
        <w:t>genauso betroffen</w:t>
      </w:r>
      <w:r>
        <w:rPr/>
        <w:t xml:space="preserve">, sofern sie zum Zeitpunkt der Infektion im Netz erreichbar wären und deren Freigaben beschreibbar wären. </w:t>
      </w:r>
    </w:p>
    <w:p>
      <w:pPr>
        <w:pStyle w:val="FirstParagraph"/>
        <w:numPr>
          <w:ilvl w:val="0"/>
          <w:numId w:val="1"/>
        </w:numPr>
        <w:rPr/>
      </w:pPr>
      <w:r>
        <w:rPr/>
        <w:t>Damit das möglichst nicht geschieht, sollt der service samba auf diesen PCs normalerweise ausgeschaltet sein.</w:t>
      </w:r>
    </w:p>
    <w:p>
      <w:pPr>
        <w:pStyle w:val="Compact"/>
        <w:numPr>
          <w:ilvl w:val="0"/>
          <w:numId w:val="1"/>
        </w:numPr>
        <w:rPr/>
      </w:pPr>
      <w:r>
        <w:rPr/>
        <w:t>Die eigentlichen Backup-Skripte (</w:t>
      </w:r>
      <w:r>
        <w:rPr>
          <w:rStyle w:val="VerbatimChar"/>
        </w:rPr>
        <w:t>bulinux.sh</w:t>
      </w:r>
      <w:r>
        <w:rPr/>
        <w:t xml:space="preserve">, </w:t>
      </w:r>
      <w:r>
        <w:rPr>
          <w:rStyle w:val="VerbatimChar"/>
        </w:rPr>
        <w:t>bumo.sh</w:t>
      </w:r>
      <w:r>
        <w:rPr/>
        <w:t xml:space="preserve">, </w:t>
      </w:r>
      <w:r>
        <w:rPr>
          <w:rStyle w:val="VerbatimChar"/>
        </w:rPr>
        <w:t>bunacht.sh</w:t>
      </w:r>
      <w:r>
        <w:rPr/>
        <w:t xml:space="preserve">, alle über </w:t>
      </w:r>
      <w:r>
        <w:rPr>
          <w:rStyle w:val="VerbatimChar"/>
        </w:rPr>
        <w:t>bugem.sh</w:t>
      </w:r>
      <w:r>
        <w:rPr/>
        <w:t xml:space="preserve">) verwenden einen </w:t>
      </w:r>
      <w:r>
        <w:rPr>
          <w:b/>
          <w:bCs/>
        </w:rPr>
        <w:t>Schutzdatei-Mechanismus</w:t>
      </w:r>
      <w:r>
        <w:rPr/>
        <w:t>: Vor jedem Kopiervorgang wird eine Gruppe unauffälliger Referenzdateien (</w:t>
      </w:r>
      <w:r>
        <w:rPr>
          <w:rStyle w:val="VerbatimChar"/>
        </w:rPr>
        <w:t>Schutzdatei_bitte_belassen.doc</w:t>
      </w:r>
      <w:r>
        <w:rPr/>
        <w:t xml:space="preserve">, </w:t>
      </w:r>
      <w:r>
        <w:rPr>
          <w:rStyle w:val="VerbatimChar"/>
        </w:rPr>
        <w:t>Auch_eine_Schutzdatei_bitte_belassen.jpg</w:t>
      </w:r>
      <w:r>
        <w:rPr/>
        <w:t xml:space="preserve">, </w:t>
      </w:r>
      <w:r>
        <w:rPr>
          <w:rStyle w:val="VerbatimChar"/>
        </w:rPr>
        <w:t>zusätzliche_Schutzdatei_bitte_belassen.pdf</w:t>
      </w:r>
      <w:r>
        <w:rPr/>
        <w:t xml:space="preserve">) per SHA-256-Hash zwischen Quelle und Ziel verglichen; weicht auch nur eine ab, </w:t>
      </w:r>
      <w:r>
        <w:rPr/>
        <w:t xml:space="preserve">so </w:t>
      </w:r>
      <w:r>
        <w:rPr/>
        <w:t xml:space="preserve">wird die Sicherung für das betroffene Verzeichnis </w:t>
      </w:r>
      <w:r>
        <w:rPr>
          <w:b/>
          <w:bCs/>
        </w:rPr>
        <w:t xml:space="preserve">verweigert und eine Warnmail </w:t>
      </w:r>
      <w:r>
        <w:rPr>
          <w:b/>
          <w:bCs/>
        </w:rPr>
        <w:t xml:space="preserve">an </w:t>
      </w:r>
      <w:hyperlink r:id="rId2">
        <w:r>
          <w:rPr>
            <w:rStyle w:val="Hyperlink"/>
            <w:b/>
            <w:bCs/>
          </w:rPr>
          <w:t>diabetologie@dachau-mail.de</w:t>
        </w:r>
      </w:hyperlink>
      <w:r>
        <w:rPr>
          <w:b/>
          <w:bCs/>
        </w:rPr>
        <w:t xml:space="preserve"> </w:t>
      </w:r>
      <w:r>
        <w:rPr>
          <w:b/>
          <w:bCs/>
        </w:rPr>
        <w:t>verschickt</w:t>
      </w:r>
      <w:r>
        <w:rPr/>
        <w:t xml:space="preserve">, statt die gute Kopie stillschweigend zu überschreiben (relevant v. a. bei </w:t>
      </w:r>
      <w:r>
        <w:rPr>
          <w:rStyle w:val="VerbatimChar"/>
        </w:rPr>
        <w:t>bumo.sh</w:t>
      </w:r>
      <w:r>
        <w:rPr/>
        <w:t>/</w:t>
      </w:r>
      <w:r>
        <w:rPr>
          <w:rStyle w:val="VerbatimChar"/>
        </w:rPr>
        <w:t>bunacht.sh</w:t>
      </w:r>
      <w:r>
        <w:rPr/>
        <w:t xml:space="preserve">, die </w:t>
      </w:r>
      <w:r>
        <w:rPr/>
        <w:t>auf der Kopierquelle nicht mehr vorhandene Dateien auch auf dem Kopierziel löschen (s.</w:t>
      </w:r>
      <w:r>
        <w:rPr/>
        <w:t>Abschnitt 6</w:t>
      </w:r>
      <w:r>
        <w:rPr/>
        <w:t>)</w:t>
      </w:r>
      <w:r>
        <w:rPr/>
        <w:t>.</w:t>
      </w:r>
    </w:p>
    <w:p>
      <w:pPr>
        <w:pStyle w:val="Normal"/>
        <w:rPr/>
      </w:pPr>
      <w:bookmarkStart w:id="2" w:name="X4ae3809f21663e56a89ba894d2296df26864839"/>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X7c354e7e7d43a1cd386fbdf2464883d9e38cd50"/>
      <w:r>
        <w:rPr/>
        <w:t>Teil A – Was schon jetzt bereitstehen sollte (Vorsorge)</w:t>
      </w:r>
    </w:p>
    <w:p>
      <w:pPr>
        <w:pStyle w:val="Heading3"/>
        <w:rPr/>
      </w:pPr>
      <w:bookmarkStart w:id="4" w:name="X7acaac8b740d70bc4a703a072112decc3175413"/>
      <w:r>
        <w:rPr/>
        <w:t>1. Mindestens eine wirklich unveränderliche/getrennte Kopie (3-2-1-1-Regel)</w:t>
      </w:r>
    </w:p>
    <w:p>
      <w:pPr>
        <w:pStyle w:val="Compact"/>
        <w:numPr>
          <w:ilvl w:val="0"/>
          <w:numId w:val="1"/>
        </w:numPr>
        <w:rPr/>
      </w:pPr>
      <w:r>
        <w:rPr>
          <w:b/>
          <w:bCs/>
        </w:rPr>
        <w:t>3</w:t>
      </w:r>
      <w:r>
        <w:rPr/>
        <w:t xml:space="preserve"> Kopien der Daten </w:t>
      </w:r>
      <w:r>
        <w:rPr/>
        <w:t>(a) linux0, b) linux7, c) zwei rote USB-Sticks)</w:t>
      </w:r>
      <w:r>
        <w:rPr/>
        <w:t xml:space="preserve">, auf </w:t>
      </w:r>
      <w:r>
        <w:rPr>
          <w:b/>
          <w:bCs/>
        </w:rPr>
        <w:t>2</w:t>
      </w:r>
      <w:r>
        <w:rPr/>
        <w:t xml:space="preserve"> verschiedenen Medientypen, </w:t>
      </w:r>
      <w:r>
        <w:rPr>
          <w:b/>
          <w:bCs/>
        </w:rPr>
        <w:t>1</w:t>
      </w:r>
      <w:r>
        <w:rPr/>
        <w:t xml:space="preserve"> davon extern/offsite, </w:t>
      </w:r>
      <w:r>
        <w:rPr>
          <w:b/>
          <w:bCs/>
        </w:rPr>
        <w:t>1</w:t>
      </w:r>
      <w:r>
        <w:rPr/>
        <w:t xml:space="preserve"> davon offline oder unveränderlich (immutable) bzw. air-gapped.</w:t>
      </w:r>
    </w:p>
    <w:p>
      <w:pPr>
        <w:pStyle w:val="Compact"/>
        <w:numPr>
          <w:ilvl w:val="0"/>
          <w:numId w:val="1"/>
        </w:numPr>
        <w:rPr/>
      </w:pPr>
      <w:r>
        <w:rPr>
          <w:b/>
          <w:bCs/>
        </w:rPr>
        <w:t xml:space="preserve">Eine echte Offline-Kopie </w:t>
      </w:r>
      <w:r>
        <w:rPr>
          <w:b/>
          <w:bCs/>
        </w:rPr>
        <w:t xml:space="preserve">wird mit dem Script </w:t>
      </w:r>
      <w:r>
        <w:rPr>
          <w:rStyle w:val="VerbatimChar"/>
        </w:rPr>
        <w:t>/DATA/down/mokopr.ps1</w:t>
      </w:r>
      <w:r>
        <w:rPr/>
        <w:t xml:space="preserve"> </w:t>
      </w:r>
      <w:r>
        <w:rPr/>
        <w:t xml:space="preserve">täglich </w:t>
      </w:r>
      <w:r>
        <w:rPr/>
        <w:t xml:space="preserve">von szn4 </w:t>
      </w:r>
      <w:r>
        <w:rPr/>
        <w:t xml:space="preserve">manuell aufgerufen </w:t>
      </w:r>
      <w:r>
        <w:rPr/>
        <w:t xml:space="preserve">(Datenbanken, Patientendokumente, MariaDB-Dumps) auf zwei rotierende USB-Sticks (je 953 GB), die anschließend mit </w:t>
      </w:r>
      <w:r>
        <w:rPr>
          <w:rStyle w:val="VerbatimChar"/>
        </w:rPr>
        <w:t>morueck.ps1</w:t>
      </w:r>
      <w:r>
        <w:rPr/>
        <w:t xml:space="preserve"> auf einen nicht mit der Praxis verbundenen Windows-Rechner </w:t>
      </w:r>
      <w:r>
        <w:rPr/>
        <w:t xml:space="preserve">bei G.Schade </w:t>
      </w:r>
      <w:r>
        <w:rPr/>
        <w:t>übertragen werden. Das deckt “1 offline/air-gapped” der 3-2-1-1-Regel ab, inklusive Prüfung per Schutzdatei-Mechanismus (Größe/Datum/Inhalts-Hash) vor jeder Übertragung.</w:t>
      </w:r>
    </w:p>
    <w:p>
      <w:pPr>
        <w:pStyle w:val="Compact"/>
        <w:numPr>
          <w:ilvl w:val="0"/>
          <w:numId w:val="1"/>
        </w:numPr>
        <w:rPr/>
      </w:pPr>
      <w:r>
        <w:rPr/>
        <w:t>Auf linux0 werden mit snapper snapshots gemäß /etc/snapper/config/data/ angelegt (14-täglich + 8-wöchentlich).</w:t>
      </w:r>
    </w:p>
    <w:p>
      <w:pPr>
        <w:pStyle w:val="Compact"/>
        <w:numPr>
          <w:ilvl w:val="0"/>
          <w:numId w:val="1"/>
        </w:numPr>
        <w:rPr/>
      </w:pPr>
      <w:r>
        <w:rPr/>
        <w:t xml:space="preserve">Verbleibende, priorisierte Empfehlungen für die </w:t>
      </w:r>
      <w:r>
        <w:rPr>
          <w:b/>
          <w:bCs/>
        </w:rPr>
        <w:t>Online</w:t>
      </w:r>
      <w:r>
        <w:rPr/>
        <w:t>-Kopien auf linux0/linux7:</w:t>
      </w:r>
    </w:p>
    <w:p>
      <w:pPr>
        <w:pStyle w:val="Compact"/>
        <w:numPr>
          <w:ilvl w:val="1"/>
          <w:numId w:val="1"/>
        </w:numPr>
        <w:rPr/>
      </w:pPr>
      <w:r>
        <w:rPr>
          <w:b/>
          <w:bCs/>
        </w:rPr>
        <w:t>Windows-Seite (noch offen, geplant):</w:t>
      </w:r>
      <w:r>
        <w:rPr/>
        <w:t xml:space="preserve"> Image-Backups (z. B. Macrium Reflect) der beiden Windows-2019-Server (Medical Office) sowie mindestens eines Praxis-PCs auf eine Reserveplatte, die nur zum Sichern angeschlossen wird (nicht dauerhaft verbunden), mit mindestens zwei Zielplatten im Wechsel. Noch nicht umgesetzt.</w:t>
      </w:r>
      <w:bookmarkEnd w:id="4"/>
    </w:p>
    <w:p>
      <w:pPr>
        <w:pStyle w:val="Heading3"/>
        <w:rPr/>
      </w:pPr>
      <w:bookmarkStart w:id="5" w:name="X51ffcfa30f11d4ea56457585ac9994f46aa53ba"/>
      <w:r>
        <w:rPr/>
        <w:t xml:space="preserve">2. Backup-Architektur: </w:t>
      </w:r>
    </w:p>
    <w:p>
      <w:pPr>
        <w:pStyle w:val="Compact"/>
        <w:numPr>
          <w:ilvl w:val="0"/>
          <w:numId w:val="1"/>
        </w:numPr>
        <w:rPr/>
      </w:pPr>
      <w:r>
        <w:rPr/>
        <w:t xml:space="preserve">Noch offen: </w:t>
      </w:r>
      <w:r>
        <w:rPr/>
        <w:t>Mindestens: Backup-Ziele nicht mit denselben root/Admin-Credentials wie die Produktivsysteme erreichbar machen.</w:t>
      </w:r>
      <w:bookmarkEnd w:id="5"/>
    </w:p>
    <w:p>
      <w:pPr>
        <w:pStyle w:val="Heading3"/>
        <w:rPr/>
      </w:pPr>
      <w:bookmarkStart w:id="6" w:name="netzsegmentierung"/>
      <w:r>
        <w:rPr/>
        <w:t>3. Netzsegmentierung</w:t>
      </w:r>
    </w:p>
    <w:p>
      <w:pPr>
        <w:pStyle w:val="Compact"/>
        <w:numPr>
          <w:ilvl w:val="0"/>
          <w:numId w:val="1"/>
        </w:numPr>
        <w:rPr/>
      </w:pPr>
      <w:r>
        <w:rPr/>
        <w:t xml:space="preserve">linux0/linux7 </w:t>
      </w:r>
      <w:r>
        <w:rPr/>
        <w:t>werden nur zum backup eingeschaltet und schalten sich dann wieder aus</w:t>
      </w:r>
      <w:bookmarkEnd w:id="6"/>
    </w:p>
    <w:p>
      <w:pPr>
        <w:pStyle w:val="Heading3"/>
        <w:rPr/>
      </w:pPr>
      <w:bookmarkStart w:id="7" w:name="zugänge-härten"/>
      <w:r>
        <w:rPr/>
        <w:t>4. Zugänge härten</w:t>
      </w:r>
    </w:p>
    <w:p>
      <w:pPr>
        <w:pStyle w:val="Compact"/>
        <w:numPr>
          <w:ilvl w:val="0"/>
          <w:numId w:val="1"/>
        </w:numPr>
        <w:rPr/>
      </w:pPr>
      <w:r>
        <w:rPr/>
        <w:t xml:space="preserve">SSH/root-Login: falls noch Passwort-Login aktiv, auf Key-basierte Authentifizierung umstellen, </w:t>
      </w:r>
      <w:r>
        <w:rPr>
          <w:rStyle w:val="VerbatimChar"/>
        </w:rPr>
        <w:t>PermitRootLogin</w:t>
      </w:r>
      <w:r>
        <w:rPr/>
        <w:t xml:space="preserve"> einschränken (mind. </w:t>
      </w:r>
      <w:r>
        <w:rPr>
          <w:rStyle w:val="VerbatimChar"/>
        </w:rPr>
        <w:t>prohibit-password</w:t>
      </w:r>
      <w:r>
        <w:rPr/>
        <w:t xml:space="preserve">), </w:t>
      </w:r>
      <w:r>
        <w:rPr>
          <w:rStyle w:val="VerbatimChar"/>
        </w:rPr>
        <w:t>fail2ban</w:t>
      </w:r>
      <w:r>
        <w:rPr/>
        <w:t xml:space="preserve"> oder vergleichbares gegen Brute-Force.</w:t>
      </w:r>
    </w:p>
    <w:p>
      <w:pPr>
        <w:pStyle w:val="Compact"/>
        <w:numPr>
          <w:ilvl w:val="0"/>
          <w:numId w:val="1"/>
        </w:numPr>
        <w:rPr/>
      </w:pPr>
      <w:r>
        <w:rPr/>
        <w:t>SMB/CIFS: SMBv1 deaktivieren, Freigabe-Rechte regelmäßig prüfen (wer darf wirklich schreiben?).</w:t>
      </w:r>
    </w:p>
    <w:p>
      <w:pPr>
        <w:pStyle w:val="Compact"/>
        <w:numPr>
          <w:ilvl w:val="0"/>
          <w:numId w:val="1"/>
        </w:numPr>
        <w:rPr/>
      </w:pPr>
      <w:r>
        <w:rPr/>
        <w:t>Alle Fernzugänge (falls vorhanden: VPN, Remote-Support-Tools) mit Mehr-Faktor-Authentifizierung absichern.</w:t>
      </w:r>
    </w:p>
    <w:p>
      <w:pPr>
        <w:pStyle w:val="Compact"/>
        <w:numPr>
          <w:ilvl w:val="0"/>
          <w:numId w:val="1"/>
        </w:numPr>
        <w:rPr/>
      </w:pPr>
      <w:bookmarkStart w:id="8" w:name="zugänge-härten"/>
      <w:r>
        <w:rPr/>
        <w:t>Windows-Arbeitsplätze in der Praxis sind der wahrscheinlichste Eintrittsweg (Phishing-Mail-Anhang, präpariertes Dokument) – dort Endpoint-Schutz/aktuelle Signaturen und eingeschränkte Benutzerrechte (kein Alltagsarbeiten mit Admin-Rechten) sind der wichtigste Hebel, den die Server-Seite nicht ersetzen kann.</w:t>
      </w:r>
      <w:bookmarkEnd w:id="8"/>
    </w:p>
    <w:p>
      <w:pPr>
        <w:pStyle w:val="Heading3"/>
        <w:rPr/>
      </w:pPr>
      <w:bookmarkStart w:id="9" w:name="patch-management"/>
      <w:r>
        <w:rPr/>
        <w:t>5. Patch-Management</w:t>
      </w:r>
    </w:p>
    <w:p>
      <w:pPr>
        <w:pStyle w:val="Compact"/>
        <w:numPr>
          <w:ilvl w:val="0"/>
          <w:numId w:val="1"/>
        </w:numPr>
        <w:rPr/>
      </w:pPr>
      <w:bookmarkStart w:id="10" w:name="patch-management"/>
      <w:r>
        <w:rPr/>
        <w:t>Betriebssystem und Dienste auf linux1/linux0/linux7 zeitnah patchen, insbesondere alles mit Netzwerk-Exposition (Samba, SSH, ggf. Webdienste). Ein fester, wiederkehrender Termin (z. B. monatlich) senkt das Risiko, dass eine bekannte Lücke offenbleibt.</w:t>
      </w:r>
      <w:bookmarkEnd w:id="10"/>
    </w:p>
    <w:p>
      <w:pPr>
        <w:pStyle w:val="Heading3"/>
        <w:rPr/>
      </w:pPr>
      <w:bookmarkStart w:id="11" w:name="monitoringalarmierung"/>
      <w:r>
        <w:rPr/>
        <w:t>6. Monitoring/Alarmierung</w:t>
      </w:r>
    </w:p>
    <w:p>
      <w:pPr>
        <w:pStyle w:val="FirstParagraph"/>
        <w:rPr/>
      </w:pPr>
      <w:r>
        <w:rPr>
          <w:b/>
          <w:bCs/>
        </w:rPr>
        <w:t>Stand 12.7.2026: vorhanden und getestet funktionsfähig.</w:t>
      </w:r>
    </w:p>
    <w:p>
      <w:pPr>
        <w:pStyle w:val="Compact"/>
        <w:numPr>
          <w:ilvl w:val="0"/>
          <w:numId w:val="1"/>
        </w:numPr>
        <w:rPr/>
      </w:pPr>
      <w:r>
        <w:rPr>
          <w:b/>
          <w:bCs/>
        </w:rPr>
        <w:t>Mechanismus:</w:t>
      </w:r>
      <w:r>
        <w:rPr/>
        <w:t xml:space="preserve"> Vor jedem Backup-Kopiervorgang (</w:t>
      </w:r>
      <w:r>
        <w:rPr>
          <w:rStyle w:val="VerbatimChar"/>
        </w:rPr>
        <w:t>bulinux.sh</w:t>
      </w:r>
      <w:r>
        <w:rPr/>
        <w:t>/</w:t>
      </w:r>
      <w:r>
        <w:rPr>
          <w:rStyle w:val="VerbatimChar"/>
        </w:rPr>
        <w:t>bumo.sh</w:t>
      </w:r>
      <w:r>
        <w:rPr/>
        <w:t>/</w:t>
      </w:r>
      <w:r>
        <w:rPr>
          <w:rStyle w:val="VerbatimChar"/>
        </w:rPr>
        <w:t>bunacht.sh</w:t>
      </w:r>
      <w:r>
        <w:rPr/>
        <w:t xml:space="preserve"> auf der Bash-Seite, </w:t>
      </w:r>
      <w:r>
        <w:rPr>
          <w:rStyle w:val="VerbatimChar"/>
        </w:rPr>
        <w:t>mokopr.ps1</w:t>
      </w:r>
      <w:r>
        <w:rPr/>
        <w:t>/</w:t>
      </w:r>
      <w:r>
        <w:rPr>
          <w:rStyle w:val="VerbatimChar"/>
        </w:rPr>
        <w:t>morueck.ps1</w:t>
      </w:r>
      <w:r>
        <w:rPr/>
        <w:t xml:space="preserve"> auf der PowerShell/USB-Seite) wird eine Gruppe von drei bewusst unterschiedlich benannten und typisierten Referenzdateien (</w:t>
      </w:r>
      <w:r>
        <w:rPr>
          <w:rStyle w:val="VerbatimChar"/>
        </w:rPr>
        <w:t>Schutzdatei_bitte_belassen.doc</w:t>
      </w:r>
      <w:r>
        <w:rPr/>
        <w:t xml:space="preserve">, </w:t>
      </w:r>
      <w:r>
        <w:rPr>
          <w:rStyle w:val="VerbatimChar"/>
        </w:rPr>
        <w:t>Auch_eine_Schutzdatei_bitte_belassen.jpg</w:t>
      </w:r>
      <w:r>
        <w:rPr/>
        <w:t xml:space="preserve">, </w:t>
      </w:r>
      <w:r>
        <w:rPr>
          <w:rStyle w:val="VerbatimChar"/>
        </w:rPr>
        <w:t>zusätzliche_Schutzdatei_bitte_belassen.pdf</w:t>
      </w:r>
      <w:r>
        <w:rPr/>
        <w:t xml:space="preserve">) zwischen Quelle und Ziel per </w:t>
      </w:r>
      <w:r>
        <w:rPr>
          <w:b/>
          <w:bCs/>
        </w:rPr>
        <w:t>SHA-256-Inhaltsvergleich</w:t>
      </w:r>
      <w:r>
        <w:rPr/>
        <w:t xml:space="preserve"> geprüft. Fehlt eine Datei auf der Quelle oder weicht ihr Inhalt ab, wird die Sicherung für das betroffene Verzeichnis </w:t>
      </w:r>
      <w:r>
        <w:rPr>
          <w:b/>
          <w:bCs/>
        </w:rPr>
        <w:t>verweigert statt stillschweigend durchgeführt</w:t>
      </w:r>
      <w:r>
        <w:rPr/>
        <w:t>, und eine Warnmail geht raus.</w:t>
      </w:r>
    </w:p>
    <w:p>
      <w:pPr>
        <w:pStyle w:val="Compact"/>
        <w:numPr>
          <w:ilvl w:val="0"/>
          <w:numId w:val="1"/>
        </w:numPr>
        <w:rPr/>
      </w:pPr>
      <w:r>
        <w:rPr>
          <w:b/>
          <w:bCs/>
        </w:rPr>
        <w:t>Mailversand:</w:t>
      </w:r>
      <w:r>
        <w:rPr/>
        <w:t xml:space="preserve"> Postfix versendet jetzt authentifiziert über den M-net-Smarthost (</w:t>
      </w:r>
      <w:r>
        <w:rPr>
          <w:rStyle w:val="VerbatimChar"/>
        </w:rPr>
        <w:t>mail.mnet-online.de:587</w:t>
      </w:r>
      <w:r>
        <w:rPr/>
        <w:t xml:space="preserve">, SASL, STARTTLS; Zugangsdaten aus </w:t>
      </w:r>
      <w:r>
        <w:rPr>
          <w:rStyle w:val="VerbatimChar"/>
        </w:rPr>
        <w:t>/root/mnetrc</w:t>
      </w:r>
      <w:r>
        <w:rPr/>
        <w:t xml:space="preserve">) mit per </w:t>
      </w:r>
      <w:r>
        <w:rPr>
          <w:rStyle w:val="VerbatimChar"/>
        </w:rPr>
        <w:t>sender_canonical_maps</w:t>
      </w:r>
      <w:r>
        <w:rPr/>
        <w:t xml:space="preserve"> korrigiertem Absender (</w:t>
      </w:r>
      <w:r>
        <w:rPr>
          <w:rStyle w:val="VerbatimChar"/>
        </w:rPr>
        <w:t>gschade@dachau-mail.de</w:t>
      </w:r>
      <w:r>
        <w:rPr/>
        <w:t>). Erfolgreich getestet an alle drei konfigurierten Empfänger.</w:t>
      </w:r>
    </w:p>
    <w:p>
      <w:pPr>
        <w:pStyle w:val="Compact"/>
        <w:numPr>
          <w:ilvl w:val="0"/>
          <w:numId w:val="0"/>
        </w:numPr>
        <w:ind w:hanging="0" w:left="720"/>
        <w:rPr/>
      </w:pPr>
      <w:r>
        <w:rPr>
          <w:b w:val="false"/>
          <w:bCs w:val="false"/>
        </w:rPr>
        <w:t>Empfänger</w:t>
      </w:r>
      <w:r>
        <w:rPr>
          <w:b w:val="false"/>
          <w:bCs w:val="false"/>
        </w:rPr>
        <w:t xml:space="preserve"> </w:t>
      </w:r>
      <w:r>
        <w:rPr/>
        <w:t>(</w:t>
      </w:r>
      <w:r>
        <w:rPr>
          <w:rStyle w:val="VerbatimChar"/>
        </w:rPr>
        <w:t>SDMAILEMPF</w:t>
      </w:r>
      <w:r>
        <w:rPr/>
        <w:t xml:space="preserve"> in </w:t>
      </w:r>
      <w:r>
        <w:rPr>
          <w:rStyle w:val="VerbatimChar"/>
        </w:rPr>
        <w:t>bugem.sh</w:t>
      </w:r>
      <w:r>
        <w:rPr/>
        <w:t xml:space="preserve">): </w:t>
      </w:r>
      <w:r>
        <w:rPr>
          <w:rStyle w:val="VerbatimChar"/>
        </w:rPr>
        <w:t>diabetologie@dachau-mail.de</w:t>
      </w:r>
      <w:r>
        <w:rPr/>
        <w:t xml:space="preserve">, </w:t>
      </w:r>
      <w:r>
        <w:rPr>
          <w:rStyle w:val="VerbatimChar"/>
        </w:rPr>
        <w:t>gerald.schade@gmx.de</w:t>
      </w:r>
      <w:r>
        <w:rPr/>
        <w:t xml:space="preserve">, </w:t>
      </w:r>
      <w:r>
        <w:rPr>
          <w:rStyle w:val="VerbatimChar"/>
        </w:rPr>
        <w:t>geraldschade@gmx.de</w:t>
      </w:r>
      <w:r>
        <w:rPr/>
        <w:t xml:space="preserve"> – bei Bedarf dort leicht erweiterbar.</w:t>
      </w:r>
    </w:p>
    <w:p>
      <w:pPr>
        <w:pStyle w:val="Compact"/>
        <w:numPr>
          <w:ilvl w:val="0"/>
          <w:numId w:val="1"/>
        </w:numPr>
        <w:rPr/>
      </w:pPr>
      <w:r>
        <w:rPr>
          <w:b/>
          <w:bCs/>
        </w:rPr>
        <w:t>Massenänderungs-Wächter für /DATA (linux1)</w:t>
      </w:r>
      <w:r>
        <w:rPr/>
        <w:t>:</w:t>
      </w:r>
    </w:p>
    <w:p>
      <w:pPr>
        <w:pStyle w:val="Compact"/>
        <w:numPr>
          <w:ilvl w:val="0"/>
          <w:numId w:val="0"/>
        </w:numPr>
        <w:ind w:hanging="0" w:left="720"/>
        <w:rPr/>
      </w:pPr>
      <w:r>
        <w:rPr/>
        <w:t>Seit dem 12.7.2026 überwachen zwei zusammenspielende Cron-Skripte /DATA auf ungewöhnlich viele Dateiänderungen in kurzer Zeit — das typische Muster einer laufenden Ransomware-Verschlüsselung:</w:t>
      </w:r>
    </w:p>
    <w:p>
      <w:pPr>
        <w:pStyle w:val="Compact"/>
        <w:numPr>
          <w:ilvl w:val="0"/>
          <w:numId w:val="0"/>
        </w:numPr>
        <w:ind w:hanging="0" w:left="720"/>
        <w:rPr/>
      </w:pPr>
      <w:r>
        <w:rPr/>
        <w:t>- aenderungsrate_erhebung.sh (alle 5 Min.): protokolliert in /var/log/aenderungsrate_erhebung.csv die Änderungsrate in 1-/5-/15-Minuten-Fenstern, jeweils mit und ohne die bekannten "Haushaltsverzeichnisse" rett/ und Papierkorb/. Dient nur der Kalibrierung, löst selbst keinen Alarm aus.</w:t>
      </w:r>
    </w:p>
    <w:p>
      <w:pPr>
        <w:pStyle w:val="Compact"/>
        <w:numPr>
          <w:ilvl w:val="0"/>
          <w:numId w:val="0"/>
        </w:numPr>
        <w:ind w:hanging="0" w:left="720"/>
        <w:rPr/>
      </w:pPr>
      <w:r>
        <w:rPr/>
        <w:t>- massenaenderung_waechter.sh (alle 15 Min.): zählt geänderte Dateien unter /DATA der letzten 15 Minuten, ausgenommen rett/ und Papierkorb/ (dort entstehen durch interne Spiegelung/Papierkorb normale Massenänderungen, die sonst die Erkennung unbrauchbar machen würden). Basiswert vom 12.7.2026: ~3800 Änderungen/15 Min. inklusive dieser beiden Verzeichnisse, aber nur ~10 außerhalb davon.</w:t>
      </w:r>
    </w:p>
    <w:p>
      <w:pPr>
        <w:pStyle w:val="Compact"/>
        <w:numPr>
          <w:ilvl w:val="0"/>
          <w:numId w:val="0"/>
        </w:numPr>
        <w:ind w:hanging="0" w:left="720"/>
        <w:rPr/>
      </w:pPr>
      <w:r>
        <w:rPr/>
        <w:t>Bei Überschreiten der Schwelle von 300 Änderungen/15 Min. außerhalb von rett//Papierkorb/ verschickt das Skript eine Alarm-Mail an diabetologie@dachau-mail.de sowie zwei GMX-Adressen, mit 60-Minuten-Cooldown gegen Mail-Flut bei anhaltender Verschlüsselung.</w:t>
      </w:r>
    </w:p>
    <w:p>
      <w:pPr>
        <w:pStyle w:val="Compact"/>
        <w:numPr>
          <w:ilvl w:val="0"/>
          <w:numId w:val="0"/>
        </w:numPr>
        <w:ind w:hanging="0" w:left="720"/>
        <w:rPr/>
      </w:pPr>
      <w:r>
        <w:rPr/>
        <w:t>Beide Läufe sind per verhdop.sh gegen Überlappung abgesichert und laufen unabhängig vom Schutzdatei-Mechanismus in bugem.sh. Aktuell (Stichprobe von eben):</w:t>
      </w:r>
    </w:p>
    <w:p>
      <w:pPr>
        <w:pStyle w:val="Compact"/>
        <w:numPr>
          <w:ilvl w:val="0"/>
          <w:numId w:val="0"/>
        </w:numPr>
        <w:ind w:hanging="0" w:left="720"/>
        <w:rPr/>
      </w:pPr>
      <w:r>
        <w:rPr/>
        <w:t>~3834 Änderungen/15 Min. gesamt, aber nur 7–10 außerhalb der Ausnahmeverzeichnisse — deutlich unter der Alarmschwelle, kein aktiver Alarm-Marker vorhande</w:t>
      </w:r>
      <w:r>
        <w:rPr/>
        <w:t>n.</w:t>
        <w:br/>
      </w:r>
      <w:r>
        <w:rPr/>
        <w:t>Das Restrisiko aus der alten Analyse ist damit geschlossen.</w:t>
      </w:r>
    </w:p>
    <w:p>
      <w:pPr>
        <w:pStyle w:val="Compact"/>
        <w:numPr>
          <w:ilvl w:val="0"/>
          <w:numId w:val="1"/>
        </w:numPr>
        <w:rPr/>
      </w:pPr>
      <w:r>
        <w:rPr/>
      </w:r>
    </w:p>
    <w:p>
      <w:pPr>
        <w:pStyle w:val="Compact"/>
        <w:numPr>
          <w:ilvl w:val="0"/>
          <w:numId w:val="1"/>
        </w:numPr>
        <w:rPr/>
      </w:pPr>
      <w:r>
        <w:rPr>
          <w:b/>
          <w:bCs/>
        </w:rPr>
        <w:t>Alarmmechanismen</w:t>
      </w:r>
      <w:r>
        <w:rPr/>
        <w:t xml:space="preserve"> mindestens 1×/Jahr aktiv testen (nicht nur “ist im Code vorhanden” annehmen) – siehe auch Punkt 7 (Recovery Day), sinnvollerweise gemeinsam mit einem Mail-Alarmtest.</w:t>
      </w:r>
      <w:bookmarkEnd w:id="11"/>
    </w:p>
    <w:p>
      <w:pPr>
        <w:pStyle w:val="Heading3"/>
        <w:rPr/>
      </w:pPr>
      <w:bookmarkStart w:id="12" w:name="testweise-wiederherstellung-recovery-day"/>
      <w:r>
        <w:rPr/>
        <w:t>7. Testweise Wiederherstellung (“Recovery Day”)</w:t>
      </w:r>
    </w:p>
    <w:p>
      <w:pPr>
        <w:pStyle w:val="Compact"/>
        <w:numPr>
          <w:ilvl w:val="0"/>
          <w:numId w:val="1"/>
        </w:numPr>
        <w:rPr/>
      </w:pPr>
      <w:bookmarkStart w:id="13" w:name="testweise-wiederherstellung-recovery-day"/>
      <w:r>
        <w:rPr/>
        <w:t>Ein Backup, das nie zurückgespielt wurde, ist nur eine Vermutung. Mindestens 1–2× jährlich testen: Kann aus dem Backup-Bestand tatsächlich eine Datenbank/ein Verzeichnis vollständig und korrekt wiederhergestellt werden? Zeit dafür realistisch einplanen (nicht nur “Datei kopiert sich”, sondern “Praxissoftware startet damit korrekt”).</w:t>
      </w:r>
      <w:bookmarkEnd w:id="13"/>
    </w:p>
    <w:p>
      <w:pPr>
        <w:pStyle w:val="Heading3"/>
        <w:rPr/>
      </w:pPr>
      <w:bookmarkStart w:id="14" w:name="Xc061e1a067d44a1570670f9bd5dc879ea6885f1"/>
      <w:r>
        <w:rPr/>
        <w:t xml:space="preserve">8. </w:t>
      </w:r>
      <w:r>
        <w:rPr>
          <w:b/>
          <w:bCs/>
        </w:rPr>
        <w:t>Notfallplan und -kontakte offline verfügbar halten</w:t>
      </w:r>
    </w:p>
    <w:p>
      <w:pPr>
        <w:pStyle w:val="FirstParagraph"/>
        <w:rPr/>
      </w:pPr>
      <w:r>
        <w:rPr>
          <w:b/>
          <w:bCs/>
        </w:rPr>
        <w:t>Stand 12.7.2026: Kontaktliste unten mit recherchierten/bestätigten Daten gefüllt, weiterhin nicht ausgedruckt/extern hinterlegt (offen).</w:t>
      </w:r>
    </w:p>
    <w:p>
      <w:pPr>
        <w:pStyle w:val="Compact"/>
        <w:numPr>
          <w:ilvl w:val="0"/>
          <w:numId w:val="1"/>
        </w:numPr>
        <w:rPr>
          <w:b/>
          <w:bCs/>
        </w:rPr>
      </w:pPr>
      <w:r>
        <w:rPr/>
        <w:t xml:space="preserve">Diese Anleitung selbst, </w:t>
      </w:r>
      <w:r>
        <w:rPr>
          <w:rStyle w:val="VerbatimChar"/>
        </w:rPr>
        <w:t>uebernahme.sh</w:t>
      </w:r>
      <w:r>
        <w:rPr/>
        <w:t>/</w:t>
      </w:r>
      <w:r>
        <w:rPr>
          <w:rStyle w:val="VerbatimChar"/>
        </w:rPr>
        <w:t>rueckgabe.sh</w:t>
      </w:r>
      <w:r>
        <w:rPr/>
        <w:t xml:space="preserve"> und die zugehörige Doku dürfen </w:t>
      </w:r>
      <w:r>
        <w:rPr>
          <w:b/>
          <w:bCs/>
        </w:rPr>
        <w:t>nicht ausschließlich verschlüsselbar auf linux1/linux0/linux7 liegen</w:t>
      </w:r>
      <w:r>
        <w:rPr>
          <w:b/>
          <w:bCs/>
        </w:rPr>
        <w:t>.</w:t>
      </w:r>
      <w:r>
        <w:rPr/>
        <w:t xml:space="preserve"> </w:t>
      </w:r>
      <w:r>
        <w:rPr/>
        <w:t>Sie sind auch auf die roten USB-Sticks (s.o.) kopiert.</w:t>
        <w:br/>
        <w:t>Z</w:t>
      </w:r>
      <w:r>
        <w:rPr/>
        <w:t xml:space="preserve">usätzlich eine ausgedruckte </w:t>
      </w:r>
      <w:r>
        <w:rPr/>
        <w:t xml:space="preserve">und </w:t>
      </w:r>
      <w:r>
        <w:rPr/>
        <w:t xml:space="preserve">auf einem USB-Stick/Cloud-Notiz außerhalb der Serverinfrastruktur abgelegte Kopie dieses Dokuments plus der wichtigsten Zugangsdaten/Notfallkontakte (analog zur bereits vorhandenen </w:t>
      </w:r>
      <w:r>
        <w:rPr>
          <w:rStyle w:val="VerbatimChar"/>
        </w:rPr>
        <w:t>Anleitung_MFA_Notfall_Uebernahme_Rueckgabe</w:t>
      </w:r>
      <w:r>
        <w:rPr/>
        <w:t xml:space="preserve">-Logik, aber für den IT-technischen Ernstfall). </w:t>
      </w:r>
      <w:r>
        <w:rPr/>
        <w:t>D</w:t>
      </w:r>
      <w:r>
        <w:rPr/>
        <w:t xml:space="preserve">ie Liste </w:t>
      </w:r>
      <w:r>
        <w:rPr/>
        <w:t>folgt hier unten</w:t>
      </w:r>
      <w:r>
        <w:rPr/>
        <w:t>.</w:t>
      </w:r>
    </w:p>
    <w:p>
      <w:pPr>
        <w:pStyle w:val="BodyText"/>
        <w:numPr>
          <w:ilvl w:val="0"/>
          <w:numId w:val="1"/>
        </w:numPr>
        <w:bidi w:val="0"/>
        <w:spacing w:before="150" w:after="150"/>
        <w:ind w:hanging="0" w:left="150" w:right="150"/>
        <w:jc w:val="left"/>
        <w:rPr/>
      </w:pPr>
      <w:r>
        <w:rPr>
          <w:rStyle w:val="Strong"/>
          <w:shd w:fill="FFF3CD" w:val="clear"/>
        </w:rPr>
        <w:t>Notfallkontakt Gerald Schade:</w:t>
      </w:r>
      <w:r>
        <w:rPr>
          <w:shd w:fill="FFF3CD" w:val="clear"/>
        </w:rPr>
        <w:t xml:space="preserve"> </w:t>
      </w:r>
    </w:p>
    <w:p>
      <w:pPr>
        <w:pStyle w:val="BodyText"/>
        <w:numPr>
          <w:ilvl w:val="0"/>
          <w:numId w:val="1"/>
        </w:numPr>
        <w:tabs>
          <w:tab w:val="clear" w:pos="720"/>
          <w:tab w:val="left" w:pos="859" w:leader="none"/>
        </w:tabs>
        <w:bidi w:val="0"/>
        <w:spacing w:before="150" w:after="150"/>
        <w:ind w:hanging="283" w:left="859" w:right="150"/>
        <w:jc w:val="left"/>
        <w:rPr/>
      </w:pPr>
      <w:r>
        <w:rPr>
          <w:shd w:fill="FFF3CD" w:val="clear"/>
        </w:rPr>
        <w:t xml:space="preserve">Erste Nummer: </w:t>
      </w:r>
      <w:r>
        <w:rPr>
          <w:rStyle w:val="Strong"/>
          <w:shd w:fill="FFF3CD" w:val="clear"/>
        </w:rPr>
        <w:t>+49 177 8358086</w:t>
      </w:r>
      <w:r>
        <w:rPr>
          <w:shd w:fill="FFF3CD" w:val="clear"/>
        </w:rPr>
        <w:t xml:space="preserve"> </w:t>
      </w:r>
    </w:p>
    <w:p>
      <w:pPr>
        <w:pStyle w:val="BodyText"/>
        <w:numPr>
          <w:ilvl w:val="0"/>
          <w:numId w:val="1"/>
        </w:numPr>
        <w:tabs>
          <w:tab w:val="clear" w:pos="720"/>
          <w:tab w:val="left" w:pos="859" w:leader="none"/>
        </w:tabs>
        <w:bidi w:val="0"/>
        <w:spacing w:before="150" w:after="150"/>
        <w:ind w:hanging="283" w:left="859" w:right="150"/>
        <w:jc w:val="left"/>
        <w:rPr/>
      </w:pPr>
      <w:r>
        <w:rPr>
          <w:shd w:fill="FFF3CD" w:val="clear"/>
        </w:rPr>
        <w:t xml:space="preserve">Falls nicht erreichbar (Reserve): </w:t>
      </w:r>
      <w:r>
        <w:rPr>
          <w:rStyle w:val="Strong"/>
          <w:shd w:fill="FFF3CD" w:val="clear"/>
        </w:rPr>
        <w:t>+49 151 20201740</w:t>
      </w:r>
      <w:r>
        <w:rPr>
          <w:shd w:fill="FFF3CD" w:val="clear"/>
        </w:rPr>
        <w:t xml:space="preserve"> </w:t>
      </w:r>
    </w:p>
    <w:p>
      <w:pPr>
        <w:pStyle w:val="BodyText"/>
        <w:numPr>
          <w:ilvl w:val="0"/>
          <w:numId w:val="1"/>
        </w:numPr>
        <w:tabs>
          <w:tab w:val="clear" w:pos="720"/>
          <w:tab w:val="left" w:pos="859" w:leader="none"/>
        </w:tabs>
        <w:bidi w:val="0"/>
        <w:spacing w:before="150" w:after="150"/>
        <w:ind w:hanging="283" w:left="859" w:right="150"/>
        <w:jc w:val="left"/>
        <w:rPr/>
      </w:pPr>
      <w:r>
        <w:rPr>
          <w:shd w:fill="FFF3CD" w:val="clear"/>
        </w:rPr>
        <w:t xml:space="preserve">Falls auch das nicht erreichbar ist (Reserve): </w:t>
      </w:r>
      <w:r>
        <w:rPr>
          <w:rStyle w:val="Strong"/>
          <w:shd w:fill="FFF3CD" w:val="clear"/>
        </w:rPr>
        <w:t>+49 1789429341</w:t>
      </w:r>
      <w:r>
        <w:rPr>
          <w:shd w:fill="FFF3CD" w:val="clear"/>
        </w:rPr>
        <w:t xml:space="preserve"> </w:t>
      </w:r>
    </w:p>
    <w:p>
      <w:pPr>
        <w:pStyle w:val="Compact"/>
        <w:numPr>
          <w:ilvl w:val="0"/>
          <w:numId w:val="1"/>
        </w:numPr>
        <w:rPr/>
      </w:pPr>
      <w:r>
        <w:rPr>
          <w:b/>
          <w:bCs/>
        </w:rPr>
        <w:t>Praxissoftware-Hersteller (Medical Office): redomed, Inh. Helmut Holz.</w:t>
      </w:r>
    </w:p>
    <w:p>
      <w:pPr>
        <w:pStyle w:val="Compact"/>
        <w:numPr>
          <w:ilvl w:val="1"/>
          <w:numId w:val="1"/>
        </w:numPr>
        <w:rPr/>
      </w:pPr>
      <w:r>
        <w:rPr/>
        <w:t xml:space="preserve">Offizieller Kontakt (Homepage, Stand 12.7.2026): Martinsring 13, 94339 Leiblfing. Telefon/Support: </w:t>
      </w:r>
      <w:r>
        <w:rPr>
          <w:b/>
          <w:bCs/>
        </w:rPr>
        <w:t>09427 / 90 19 10 0</w:t>
      </w:r>
      <w:r>
        <w:rPr/>
        <w:t xml:space="preserve">, Fax: 09427 / 90 19 10 20, E-Mail: </w:t>
      </w:r>
      <w:r>
        <w:rPr>
          <w:b/>
          <w:bCs/>
        </w:rPr>
        <w:t>support@redomed.de</w:t>
      </w:r>
      <w:r>
        <w:rPr/>
        <w:t>. Bietet Fernwartung per TeamViewer an.</w:t>
      </w:r>
    </w:p>
    <w:p>
      <w:pPr>
        <w:pStyle w:val="Compact"/>
        <w:numPr>
          <w:ilvl w:val="1"/>
          <w:numId w:val="1"/>
        </w:numPr>
        <w:rPr/>
      </w:pPr>
      <w:r>
        <w:rPr/>
        <w:t xml:space="preserve">Geschäftsführer/Inhaber: Herr Holz, E-Mail: </w:t>
      </w:r>
      <w:r>
        <w:rPr>
          <w:b/>
          <w:bCs/>
        </w:rPr>
        <w:t>helmut.holz@redomed.de</w:t>
      </w:r>
      <w:r>
        <w:rPr/>
        <w:t xml:space="preserve"> (Telefon geschäftlich identisch mit obiger Support-Nummer).</w:t>
      </w:r>
    </w:p>
    <w:p>
      <w:pPr>
        <w:pStyle w:val="Compact"/>
        <w:numPr>
          <w:ilvl w:val="1"/>
          <w:numId w:val="1"/>
        </w:numPr>
        <w:rPr/>
      </w:pPr>
      <w:r>
        <w:rPr/>
        <w:t xml:space="preserve">Mobil/privat: </w:t>
      </w:r>
      <w:r>
        <w:rPr>
          <w:b/>
          <w:bCs/>
        </w:rPr>
        <w:t>+49 1511 6511336</w:t>
      </w:r>
      <w:r>
        <w:rPr/>
        <w:t xml:space="preserve"> – </w:t>
      </w:r>
      <w:r>
        <w:rPr>
          <w:b/>
          <w:bCs/>
        </w:rPr>
        <w:t>kein offizieller Kontaktweg</w:t>
      </w:r>
      <w:r>
        <w:rPr/>
        <w:t>, nur für den äußersten Notfall (z. B. wenn der reguläre Support-Kanal wegen des Vorfalls selbst nicht erreichbar ist), nicht routinemäßig nutzen.</w:t>
      </w:r>
    </w:p>
    <w:p>
      <w:pPr>
        <w:pStyle w:val="Compact"/>
        <w:numPr>
          <w:ilvl w:val="0"/>
          <w:numId w:val="1"/>
        </w:numPr>
        <w:rPr/>
      </w:pPr>
      <w:r>
        <w:rPr>
          <w:b/>
          <w:bCs/>
        </w:rPr>
        <w:t>IT-Forensik/Incident-Response-Dienstleister:</w:t>
      </w:r>
      <w:r>
        <w:rPr/>
        <w:t xml:space="preserve"> recherchiert am 12.7.2026 über die offizielle BSI-Liste qualifizierter APT-Response-Dienstleister (Stand 01.06.2026, staatlich geprüfter Qualitätsstandard). </w:t>
      </w:r>
      <w:r>
        <w:rPr>
          <w:b/>
          <w:bCs/>
        </w:rPr>
        <w:t>Auswahl bewusst offen gelassen</w:t>
      </w:r>
      <w:r>
        <w:rPr/>
        <w:t xml:space="preserve"> – Empfehlung: 1–2 davon vorab unverbindlich kontaktieren, um Eindruck/Konditionen zu bekommen, bevor man sich festlegt.</w:t>
      </w:r>
    </w:p>
    <w:p>
      <w:pPr>
        <w:pStyle w:val="Compact"/>
        <w:numPr>
          <w:ilvl w:val="1"/>
          <w:numId w:val="1"/>
        </w:numPr>
        <w:rPr/>
      </w:pPr>
      <w:r>
        <w:rPr>
          <w:b/>
          <w:bCs/>
        </w:rPr>
        <w:t>Corporate Trust Business Risk &amp; Crisis Management GmbH</w:t>
      </w:r>
      <w:r>
        <w:rPr/>
        <w:t xml:space="preserve"> (München) – Tel. +49 89 599 88 75 80, info@corporate-trust.de</w:t>
      </w:r>
    </w:p>
    <w:p>
      <w:pPr>
        <w:pStyle w:val="Compact"/>
        <w:numPr>
          <w:ilvl w:val="1"/>
          <w:numId w:val="1"/>
        </w:numPr>
        <w:rPr/>
      </w:pPr>
      <w:r>
        <w:rPr>
          <w:b/>
          <w:bCs/>
        </w:rPr>
        <w:t>HvS-Consulting GmbH</w:t>
      </w:r>
      <w:r>
        <w:rPr/>
        <w:t xml:space="preserve"> (München) – Tel. +49 89 890 636 261, incidentresponse@hvs-consulting.de</w:t>
      </w:r>
    </w:p>
    <w:p>
      <w:pPr>
        <w:pStyle w:val="Compact"/>
        <w:numPr>
          <w:ilvl w:val="1"/>
          <w:numId w:val="1"/>
        </w:numPr>
        <w:rPr/>
      </w:pPr>
      <w:r>
        <w:rPr>
          <w:b/>
          <w:bCs/>
        </w:rPr>
        <w:t>msg systems ag – security advisors</w:t>
      </w:r>
      <w:r>
        <w:rPr/>
        <w:t xml:space="preserve"> (Ismaning/München) – 24/7-Hotline +49 89 413242320, dfir@msg.group (größte/etablierteste der vier, ggf. eher auf größere Mandanten ausgerichtet)</w:t>
      </w:r>
    </w:p>
    <w:p>
      <w:pPr>
        <w:pStyle w:val="Compact"/>
        <w:numPr>
          <w:ilvl w:val="1"/>
          <w:numId w:val="1"/>
        </w:numPr>
        <w:rPr/>
      </w:pPr>
      <w:r>
        <w:rPr>
          <w:b/>
          <w:bCs/>
        </w:rPr>
        <w:t>intersoft consulting services AG</w:t>
      </w:r>
      <w:r>
        <w:rPr/>
        <w:t xml:space="preserve"> (Hamburg, nicht Bayern) – 24/7-Hotline +49 180 622 124 6, it-forensik@intersoft-consulting.de – bietet zusätzlich Datenschutzrecht/DSGVO-Beratung aus einer Hand an</w:t>
      </w:r>
    </w:p>
    <w:p>
      <w:pPr>
        <w:pStyle w:val="Compact"/>
        <w:numPr>
          <w:ilvl w:val="0"/>
          <w:numId w:val="1"/>
        </w:numPr>
        <w:rPr/>
      </w:pPr>
      <w:r>
        <w:rPr>
          <w:b/>
          <w:bCs/>
        </w:rPr>
        <w:t>Cyber-Versicherung:</w:t>
      </w:r>
      <w:r>
        <w:rPr/>
        <w:t xml:space="preserve"> aktuell </w:t>
      </w:r>
      <w:r>
        <w:rPr>
          <w:b/>
          <w:bCs/>
        </w:rPr>
        <w:t>bewusst nicht</w:t>
      </w:r>
      <w:r>
        <w:rPr/>
        <w:t xml:space="preserve"> abgeschlossen (s. Punkt 9).</w:t>
      </w:r>
    </w:p>
    <w:p>
      <w:pPr>
        <w:pStyle w:val="Compact"/>
        <w:numPr>
          <w:ilvl w:val="0"/>
          <w:numId w:val="1"/>
        </w:numPr>
        <w:rPr/>
      </w:pPr>
      <w:r>
        <w:rPr>
          <w:b/>
          <w:bCs/>
        </w:rPr>
        <w:t>Zentrale Ansprechstelle Cybercrime (ZAC) Bayern</w:t>
      </w:r>
      <w:r>
        <w:rPr/>
        <w:t xml:space="preserve"> beim Bayerischen Landeskriminalamt – Erstanlaufstelle der Polizei für Unternehmen/Praxen bei Cybercrime-Vorfällen, auch beratend </w:t>
      </w:r>
      <w:r>
        <w:rPr>
          <w:i/>
          <w:iCs/>
        </w:rPr>
        <w:t>vor</w:t>
      </w:r>
      <w:r>
        <w:rPr/>
        <w:t xml:space="preserve"> einem Vorfall:</w:t>
      </w:r>
    </w:p>
    <w:p>
      <w:pPr>
        <w:pStyle w:val="Compact"/>
        <w:numPr>
          <w:ilvl w:val="1"/>
          <w:numId w:val="1"/>
        </w:numPr>
        <w:rPr/>
      </w:pPr>
      <w:r>
        <w:rPr/>
        <w:t>Online-Meldung: https://www.zac-formular.polizei.bayern.de/</w:t>
      </w:r>
    </w:p>
    <w:p>
      <w:pPr>
        <w:pStyle w:val="Compact"/>
        <w:numPr>
          <w:ilvl w:val="1"/>
          <w:numId w:val="1"/>
        </w:numPr>
        <w:rPr/>
      </w:pPr>
      <w:r>
        <w:rPr/>
        <w:t xml:space="preserve">Telefon: </w:t>
      </w:r>
      <w:r>
        <w:rPr>
          <w:b/>
          <w:bCs/>
        </w:rPr>
        <w:t>+49 89 1212-3300</w:t>
      </w:r>
      <w:r>
        <w:rPr/>
        <w:t xml:space="preserve">, E-Mail: </w:t>
      </w:r>
      <w:r>
        <w:rPr>
          <w:b/>
          <w:bCs/>
        </w:rPr>
        <w:t>zac@polizei.bayern.de</w:t>
      </w:r>
    </w:p>
    <w:p>
      <w:pPr>
        <w:pStyle w:val="Compact"/>
        <w:numPr>
          <w:ilvl w:val="1"/>
          <w:numId w:val="1"/>
        </w:numPr>
        <w:rPr/>
      </w:pPr>
      <w:r>
        <w:rPr/>
        <w:t>Adresse: Maillingerstraße 15, 80636 München</w:t>
      </w:r>
    </w:p>
    <w:p>
      <w:pPr>
        <w:pStyle w:val="Compact"/>
        <w:numPr>
          <w:ilvl w:val="0"/>
          <w:numId w:val="1"/>
        </w:numPr>
        <w:rPr/>
      </w:pPr>
      <w:r>
        <w:rPr>
          <w:b/>
          <w:bCs/>
        </w:rPr>
        <w:t>Zuständige Datenschutzbehörde:</w:t>
      </w:r>
      <w:r>
        <w:rPr/>
        <w:t xml:space="preserve"> s. Punkt 10 (BayLDA).</w:t>
      </w:r>
    </w:p>
    <w:p>
      <w:pPr>
        <w:pStyle w:val="Compact"/>
        <w:numPr>
          <w:ilvl w:val="0"/>
          <w:numId w:val="1"/>
        </w:numPr>
        <w:rPr/>
      </w:pPr>
      <w:r>
        <w:rPr>
          <w:b/>
          <w:bCs/>
        </w:rPr>
        <w:t>Ärztekammer/KV</w:t>
      </w:r>
      <w:r>
        <w:rPr/>
        <w:t xml:space="preserve"> – zwei unterschiedliche Stellen, je nach Situation:</w:t>
      </w:r>
    </w:p>
    <w:p>
      <w:pPr>
        <w:pStyle w:val="Compact"/>
        <w:numPr>
          <w:ilvl w:val="1"/>
          <w:numId w:val="1"/>
        </w:numPr>
        <w:rPr/>
      </w:pPr>
      <w:r>
        <w:rPr>
          <w:b/>
          <w:bCs/>
        </w:rPr>
        <w:t>Ärztekammer</w:t>
      </w:r>
      <w:r>
        <w:rPr/>
        <w:t xml:space="preserve"> (Standesrecht/Schweigepflicht): vor allem relevant, wenn Hinweise auf tatsächlichen </w:t>
      </w:r>
      <w:r>
        <w:rPr>
          <w:b/>
          <w:bCs/>
        </w:rPr>
        <w:t>Datenabfluss</w:t>
      </w:r>
      <w:r>
        <w:rPr/>
        <w:t xml:space="preserve"> vorliegen (nicht nur Verschlüsselung vor Ort) – berührt dann ggf. § 203 StGB. Bayerische Landesärztekammer, München, allgemeine Beratung auch präventiv möglich.</w:t>
      </w:r>
    </w:p>
    <w:p>
      <w:pPr>
        <w:pStyle w:val="Compact"/>
        <w:numPr>
          <w:ilvl w:val="1"/>
          <w:numId w:val="1"/>
        </w:numPr>
        <w:rPr/>
      </w:pPr>
      <w:r>
        <w:rPr>
          <w:b/>
          <w:bCs/>
        </w:rPr>
        <w:t>KV (Kassenärztliche Vereinigung Bayerns)</w:t>
      </w:r>
      <w:r>
        <w:rPr/>
        <w:t>: relevant, wenn Abrechnung/Praxisbetrieb durch den Vorfall gestört ist (Fristen, Ersatzverfahren) – kein Bezug zur Schweigepflicht.</w:t>
      </w:r>
      <w:bookmarkEnd w:id="14"/>
    </w:p>
    <w:p>
      <w:pPr>
        <w:pStyle w:val="Heading3"/>
        <w:rPr/>
      </w:pPr>
      <w:bookmarkStart w:id="15" w:name="cyber-versicherung-prüfen"/>
      <w:r>
        <w:rPr/>
        <w:t>9. Cyber-Versicherung prüfen</w:t>
      </w:r>
    </w:p>
    <w:p>
      <w:pPr>
        <w:pStyle w:val="FirstParagraph"/>
        <w:rPr/>
      </w:pPr>
      <w:r>
        <w:rPr>
          <w:b/>
          <w:bCs/>
        </w:rPr>
        <w:t xml:space="preserve">(Stand 12.7.2026): </w:t>
      </w:r>
      <w:r>
        <w:rPr>
          <w:b/>
          <w:bCs/>
        </w:rPr>
        <w:t xml:space="preserve">zur Zeit </w:t>
      </w:r>
      <w:r>
        <w:rPr>
          <w:b/>
          <w:bCs/>
        </w:rPr>
        <w:t>nicht abgeschlossen.</w:t>
      </w:r>
      <w:r>
        <w:rPr/>
        <w:t xml:space="preserve"> Falls sich das später ändert: für eine Arztpraxis mit Patientendaten grundsätzlich sinnvoll, deckt oft auch Forensik-Dienstleister und Betriebsunterbrechung ab – dann vorab prüfen, welche Auflagen die Police an die IT-Sicherheit stellt (sonst im Schadensfall Deckungslücke).</w:t>
      </w:r>
      <w:bookmarkEnd w:id="15"/>
    </w:p>
    <w:p>
      <w:pPr>
        <w:pStyle w:val="Heading3"/>
        <w:rPr/>
      </w:pPr>
      <w:bookmarkStart w:id="16" w:name="rechtliche-vorbereitung-gesundheitsdaten"/>
      <w:r>
        <w:rPr/>
        <w:t>10. Rechtliche Vorbereitung (Gesundheitsdaten!)</w:t>
      </w:r>
    </w:p>
    <w:p>
      <w:pPr>
        <w:pStyle w:val="Compact"/>
        <w:numPr>
          <w:ilvl w:val="0"/>
          <w:numId w:val="1"/>
        </w:numPr>
        <w:rPr/>
      </w:pPr>
      <w:r>
        <w:rPr/>
        <w:t xml:space="preserve">Da Patientendaten betroffen sind (Art. 9 DSGVO – besondere Kategorien), ist ein Ransomware-Vorfall mit Zugriff/Verschlüsselung dieser Daten in aller Regel eine </w:t>
      </w:r>
      <w:r>
        <w:rPr>
          <w:b/>
          <w:bCs/>
        </w:rPr>
        <w:t>meldepflichtige Datenschutzverletzung</w:t>
      </w:r>
      <w:r>
        <w:rPr/>
        <w:t xml:space="preserve"> (Art. 33 DSGVO, 72-Stunden-Frist ab Kenntnis) und ggf. Informationspflicht gegenüber Betroffenen (Art. 34 DSGVO).</w:t>
      </w:r>
    </w:p>
    <w:p>
      <w:pPr>
        <w:pStyle w:val="Compact"/>
        <w:numPr>
          <w:ilvl w:val="0"/>
          <w:numId w:val="1"/>
        </w:numPr>
        <w:rPr/>
      </w:pPr>
      <w:r>
        <w:rPr>
          <w:b/>
          <w:bCs/>
        </w:rPr>
        <w:t>Zuständige Behörde (Sitz Dachau, Bayern): Bayerisches Landesamt für Datenschutzaufsicht (BayLDA)</w:t>
      </w:r>
      <w:r>
        <w:rPr/>
        <w:t xml:space="preserve"> – zuständig für nicht-öffentliche Stellen (Arztpraxen, Unternehmen, Selbstständige), recherchiert und bestätigt am 12.7.2026:</w:t>
      </w:r>
    </w:p>
    <w:p>
      <w:pPr>
        <w:pStyle w:val="Compact"/>
        <w:numPr>
          <w:ilvl w:val="1"/>
          <w:numId w:val="1"/>
        </w:numPr>
        <w:rPr/>
      </w:pPr>
      <w:r>
        <w:rPr>
          <w:b/>
          <w:bCs/>
        </w:rPr>
        <w:t>Online-Meldeformular (empfohlen, da schnellere Bearbeitung):</w:t>
      </w:r>
      <w:r>
        <w:rPr/>
        <w:t xml:space="preserve"> https://www.lda.bayern.de/de/datenpanne.html – liefert nach Absenden sofort eine eigene Vorgangs-ID mit Zeitstempel als Nachweis der 72h-Frist; unterstützt auch Folgemeldungen zum selben Vorgang.</w:t>
      </w:r>
    </w:p>
    <w:p>
      <w:pPr>
        <w:pStyle w:val="Compact"/>
        <w:numPr>
          <w:ilvl w:val="1"/>
          <w:numId w:val="1"/>
        </w:numPr>
        <w:rPr/>
      </w:pPr>
      <w:r>
        <w:rPr/>
        <w:t xml:space="preserve">Telefon: </w:t>
      </w:r>
      <w:r>
        <w:rPr>
          <w:b/>
          <w:bCs/>
        </w:rPr>
        <w:t>+49 981 180093-0</w:t>
      </w:r>
      <w:r>
        <w:rPr/>
        <w:t xml:space="preserve"> (Mo–Fr 8:00–12:00 Uhr), Fax: +49 981 180093-800</w:t>
      </w:r>
    </w:p>
    <w:p>
      <w:pPr>
        <w:pStyle w:val="Compact"/>
        <w:numPr>
          <w:ilvl w:val="1"/>
          <w:numId w:val="1"/>
        </w:numPr>
        <w:rPr/>
      </w:pPr>
      <w:r>
        <w:rPr/>
        <w:t>Adresse: Promenade 18, 91522 Ansbach; E-Mail: poststelle@lda.bayern.de (nur PDF-Anhänge)</w:t>
      </w:r>
    </w:p>
    <w:p>
      <w:pPr>
        <w:pStyle w:val="Compact"/>
        <w:numPr>
          <w:ilvl w:val="1"/>
          <w:numId w:val="1"/>
        </w:numPr>
        <w:rPr/>
      </w:pPr>
      <w:r>
        <w:rPr/>
        <w:t xml:space="preserve">Für technische/kriminalpolizeiliche Seite parallel </w:t>
      </w:r>
      <w:r>
        <w:rPr>
          <w:b/>
          <w:bCs/>
        </w:rPr>
        <w:t>ZAC Bayern</w:t>
      </w:r>
      <w:r>
        <w:rPr/>
        <w:t xml:space="preserve"> kontaktieren (s. Punkt 8) – das BayLDA selbst verweist bei Cybercrime-Fällen auch dorthin.</w:t>
      </w:r>
    </w:p>
    <w:p>
      <w:pPr>
        <w:pStyle w:val="Normal"/>
        <w:rPr/>
      </w:pPr>
      <w:bookmarkStart w:id="17" w:name="X7c354e7e7d43a1cd386fbdf2464883d9e38cd50"/>
      <w:bookmarkStart w:id="18" w:name="rechtliche-vorbereitung-gesundheitsdaten"/>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p>
    <w:p>
      <w:pPr>
        <w:pStyle w:val="Heading2"/>
        <w:rPr/>
      </w:pPr>
      <w:bookmarkStart w:id="19" w:name="Xbceba91017094f63139921ac4fe727b359ec9ba"/>
      <w:r>
        <w:rPr/>
        <w:t>Teil B – Vorgehen im akuten Ransomware-Fall</w:t>
      </w:r>
    </w:p>
    <w:p>
      <w:pPr>
        <w:pStyle w:val="Heading3"/>
        <w:rPr/>
      </w:pPr>
      <w:bookmarkStart w:id="20" w:name="X22afcdedd369038e692ec00ec2250057fc3ef7c"/>
      <w:r>
        <w:rPr/>
        <w:t>Schritt 1: Isolieren, bevor irgendetwas anderes passiert</w:t>
      </w:r>
    </w:p>
    <w:p>
      <w:pPr>
        <w:pStyle w:val="Compact"/>
        <w:numPr>
          <w:ilvl w:val="0"/>
          <w:numId w:val="1"/>
        </w:numPr>
        <w:rPr/>
      </w:pPr>
      <w:r>
        <w:rPr/>
        <w:t xml:space="preserve">Betroffene(s) System(e) </w:t>
      </w:r>
      <w:r>
        <w:rPr>
          <w:b/>
          <w:bCs/>
        </w:rPr>
        <w:t>sofort vom Netz trennen</w:t>
      </w:r>
      <w:r>
        <w:rPr/>
        <w:t xml:space="preserve"> (Netzwerkkabel ziehen bzw. Netzwerk-Interface deaktivieren) – nicht sofort ausschalten, wenn vermeidbar (laufende Verschlüsselung stoppt durch Netztrennung oft schon, und der Systemzustand bleibt für eine spätere forensische Einschätzung erhalten).</w:t>
      </w:r>
    </w:p>
    <w:p>
      <w:pPr>
        <w:pStyle w:val="Compact"/>
        <w:numPr>
          <w:ilvl w:val="0"/>
          <w:numId w:val="1"/>
        </w:numPr>
        <w:rPr/>
      </w:pPr>
      <w:r>
        <w:rPr>
          <w:b/>
          <w:bCs/>
        </w:rPr>
        <w:t>Alle anderen Systeme im selben Netz prüfen und vorsorglich ebenfalls trennen</w:t>
      </w:r>
      <w:r>
        <w:rPr/>
        <w:t>, solange unklar ist, wie weit sich der Trojaner schon ausgebreitet hat – ausdrücklich auch linux0/linux7, falls sie zu dem Zeitpunkt im Netz eingebunden waren (siehe Hinweis oben: Failover-Server sind kein automatischer Schutz).</w:t>
      </w:r>
    </w:p>
    <w:p>
      <w:pPr>
        <w:pStyle w:val="Compact"/>
        <w:numPr>
          <w:ilvl w:val="0"/>
          <w:numId w:val="1"/>
        </w:numPr>
        <w:rPr/>
      </w:pPr>
      <w:r>
        <w:rPr>
          <w:b/>
          <w:bCs/>
        </w:rPr>
        <w:t>Auf keinen Fall</w:t>
      </w:r>
      <w:r>
        <w:rPr/>
        <w:t xml:space="preserve"> jetzt ein Backup-Medium anschließen, das nicht sicher schreibgeschützt ist – sonst droht, dass auch die letzte gute Kopie überschrieben oder mitverschlüsselt wird.</w:t>
      </w:r>
      <w:bookmarkEnd w:id="20"/>
    </w:p>
    <w:p>
      <w:pPr>
        <w:pStyle w:val="Heading3"/>
        <w:rPr/>
      </w:pPr>
      <w:bookmarkStart w:id="21" w:name="X44b0ce0f178c861f4f5a72e7168436c8fb6cb2b"/>
      <w:r>
        <w:rPr/>
        <w:t>Schritt 2: Beweise sichern, bevor aufgeräumt wird</w:t>
      </w:r>
    </w:p>
    <w:p>
      <w:pPr>
        <w:pStyle w:val="Compact"/>
        <w:numPr>
          <w:ilvl w:val="0"/>
          <w:numId w:val="1"/>
        </w:numPr>
        <w:rPr/>
      </w:pPr>
      <w:r>
        <w:rPr/>
        <w:t>Erpresserbotschaft (Screenshot/Foto), betroffene Dateiendungen, ungefähre Uhrzeit des ersten Auffallens, verdächtige E-Mails/Anhänge der letzten Tage notieren.</w:t>
      </w:r>
    </w:p>
    <w:p>
      <w:pPr>
        <w:pStyle w:val="Compact"/>
        <w:numPr>
          <w:ilvl w:val="0"/>
          <w:numId w:val="1"/>
        </w:numPr>
        <w:rPr/>
      </w:pPr>
      <w:r>
        <w:rPr/>
        <w:t>Relevante Logs sichern, bevor sie rotiert werden (</w:t>
      </w:r>
      <w:r>
        <w:rPr>
          <w:rStyle w:val="VerbatimChar"/>
        </w:rPr>
        <w:t>/var/log/rsync.log</w:t>
      </w:r>
      <w:r>
        <w:rPr/>
        <w:t xml:space="preserve">, </w:t>
      </w:r>
      <w:r>
        <w:rPr>
          <w:rStyle w:val="VerbatimChar"/>
        </w:rPr>
        <w:t>gsbackup.prot</w:t>
      </w:r>
      <w:r>
        <w:rPr/>
        <w:t>/</w:t>
      </w:r>
      <w:r>
        <w:rPr>
          <w:rStyle w:val="VerbatimChar"/>
        </w:rPr>
        <w:t>gsbackupfehler.prot</w:t>
      </w:r>
      <w:r>
        <w:rPr/>
        <w:t>, System-/Auth-Logs, Cron-Logs).</w:t>
      </w:r>
    </w:p>
    <w:p>
      <w:pPr>
        <w:pStyle w:val="Compact"/>
        <w:numPr>
          <w:ilvl w:val="0"/>
          <w:numId w:val="1"/>
        </w:numPr>
        <w:rPr/>
      </w:pPr>
      <w:bookmarkStart w:id="22" w:name="X44b0ce0f178c861f4f5a72e7168436c8fb6cb2b"/>
      <w:r>
        <w:rPr/>
        <w:t>Das alles wird für Anzeige, Versicherung und eine mögliche Forensik gebraucht.</w:t>
      </w:r>
      <w:bookmarkEnd w:id="22"/>
    </w:p>
    <w:p>
      <w:pPr>
        <w:pStyle w:val="Heading3"/>
        <w:rPr/>
      </w:pPr>
      <w:bookmarkStart w:id="23" w:name="Xcb3e61506280b9c607e03980b4304e0319900dd"/>
      <w:r>
        <w:rPr/>
        <w:t>Schritt 3: Nicht zahlen, nicht selbst experimentieren</w:t>
      </w:r>
    </w:p>
    <w:p>
      <w:pPr>
        <w:pStyle w:val="Compact"/>
        <w:numPr>
          <w:ilvl w:val="0"/>
          <w:numId w:val="1"/>
        </w:numPr>
        <w:rPr/>
      </w:pPr>
      <w:r>
        <w:rPr/>
        <w:t>Von offizieller Seite (BSI u. a.) wird von Lösegeldzahlungen abgeraten: keine Garantie auf Entschlüsselung, finanziert weitere Kriminalität, macht als “zahlender Kunde” ggf. erneut zum Ziel. Die endgültige Entscheidung liegt selbstverständlich bei euch, aber sie sollte nicht spontan unter Druck getroffen werden.</w:t>
      </w:r>
    </w:p>
    <w:p>
      <w:pPr>
        <w:pStyle w:val="Compact"/>
        <w:numPr>
          <w:ilvl w:val="0"/>
          <w:numId w:val="1"/>
        </w:numPr>
        <w:rPr/>
      </w:pPr>
      <w:bookmarkStart w:id="24" w:name="Xcb3e61506280b9c607e03980b4304e0319900dd"/>
      <w:r>
        <w:rPr/>
        <w:t>Vor jedem eigenen Entschlüsselungsversuch mit Tools aus dem Netz: Vorsicht vor Falsch-Tools, die zusätzlichen Schaden anrichten. Bekannte, saubere Entschlüsselungstools (falls die Ransomware-Familie bereits geknackt ist) finden sich z. B. beim Projekt “No More Ransom” (nomoreransom.org) – dort zuerst die erkannte Ransomware-Variante identifizieren lassen.</w:t>
      </w:r>
      <w:bookmarkEnd w:id="24"/>
    </w:p>
    <w:p>
      <w:pPr>
        <w:pStyle w:val="Heading3"/>
        <w:rPr/>
      </w:pPr>
      <w:bookmarkStart w:id="25" w:name="schritt-4-experten-hinzuziehen"/>
      <w:r>
        <w:rPr/>
        <w:t>Schritt 4: Experten hinzuziehen</w:t>
      </w:r>
    </w:p>
    <w:p>
      <w:pPr>
        <w:pStyle w:val="Compact"/>
        <w:numPr>
          <w:ilvl w:val="0"/>
          <w:numId w:val="1"/>
        </w:numPr>
        <w:rPr/>
      </w:pPr>
      <w:bookmarkStart w:id="26" w:name="schritt-4-experten-hinzuziehen"/>
      <w:r>
        <w:rPr/>
        <w:t>Spätestens jetzt IT-Forensik/Incident-Response-Dienstleister kontaktieren (idealerweise vorab schon bekannt, siehe Teil A.8) bzw. über die Cyber-Versicherung vermitteln lassen. Bei einer Arztpraxis mit Patientendaten ist “selber schnell reparieren” wegen der rechtlichen Lage riskanter als bei einem reinen Hobby-Server.</w:t>
      </w:r>
      <w:bookmarkEnd w:id="26"/>
    </w:p>
    <w:p>
      <w:pPr>
        <w:pStyle w:val="Heading3"/>
        <w:rPr/>
      </w:pPr>
      <w:bookmarkStart w:id="27" w:name="Xbcba3ff69477bd69edf158e0677aae51a0ffbe5"/>
      <w:r>
        <w:rPr/>
        <w:t>Schritt 5: Melden (rechtliche Pflichten nicht vergessen)</w:t>
      </w:r>
    </w:p>
    <w:p>
      <w:pPr>
        <w:pStyle w:val="Compact"/>
        <w:numPr>
          <w:ilvl w:val="0"/>
          <w:numId w:val="1"/>
        </w:numPr>
        <w:rPr/>
      </w:pPr>
      <w:r>
        <w:rPr>
          <w:b/>
          <w:bCs/>
        </w:rPr>
        <w:t>BayLDA:</w:t>
      </w:r>
      <w:r>
        <w:rPr/>
        <w:t xml:space="preserve"> binnen 72 Stunden nach Kenntnis melden (Art. 33 DSGVO), da Gesundheitsdaten wahrscheinlich betroffen sind – auch wenn zu diesem Zeitpunkt noch nicht alle Details geklärt sind (Nachmeldung ist möglich). Online-Formular: https://www.lda.bayern.de/de/datenpanne.html (liefert sofort eine Vorgangs-ID als Fristnachweis), telefonisch +49 981 180093-0 (Mo–Fr 8–12 Uhr). Details s. Teil A, Punkt 10.</w:t>
      </w:r>
    </w:p>
    <w:p>
      <w:pPr>
        <w:pStyle w:val="Compact"/>
        <w:numPr>
          <w:ilvl w:val="0"/>
          <w:numId w:val="1"/>
        </w:numPr>
        <w:rPr/>
      </w:pPr>
      <w:r>
        <w:rPr>
          <w:b/>
          <w:bCs/>
        </w:rPr>
        <w:t>Betroffene Patienten:</w:t>
      </w:r>
      <w:r>
        <w:rPr/>
        <w:t xml:space="preserve"> prüfen, ob Informationspflicht nach Art. 34 DSGVO greift (hohes Risiko für Rechte/Freiheiten der Betroffenen – bei Gesundheitsdaten im Zweifel eher ja).</w:t>
      </w:r>
    </w:p>
    <w:p>
      <w:pPr>
        <w:pStyle w:val="Compact"/>
        <w:numPr>
          <w:ilvl w:val="0"/>
          <w:numId w:val="1"/>
        </w:numPr>
        <w:rPr/>
      </w:pPr>
      <w:r>
        <w:rPr>
          <w:b/>
          <w:bCs/>
        </w:rPr>
        <w:t>ZAC Bayern (Polizei):</w:t>
      </w:r>
      <w:r>
        <w:rPr/>
        <w:t xml:space="preserve"> Zentrale Ansprechstelle Cybercrime beim Bayerischen LKA, https://www.zac-formular.polizei.bayern.de/, Tel. +49 89 1212-3300. Details s. Teil A, Punkt 8.</w:t>
      </w:r>
    </w:p>
    <w:p>
      <w:pPr>
        <w:pStyle w:val="Compact"/>
        <w:numPr>
          <w:ilvl w:val="0"/>
          <w:numId w:val="1"/>
        </w:numPr>
        <w:rPr/>
      </w:pPr>
      <w:r>
        <w:rPr>
          <w:b/>
          <w:bCs/>
        </w:rPr>
        <w:t>BSI:</w:t>
      </w:r>
      <w:r>
        <w:rPr/>
        <w:t xml:space="preserve"> freiwillige Meldung möglich und sinnvoll (Lagebild, ggf. Unterstützung).</w:t>
      </w:r>
    </w:p>
    <w:p>
      <w:pPr>
        <w:pStyle w:val="Compact"/>
        <w:numPr>
          <w:ilvl w:val="0"/>
          <w:numId w:val="1"/>
        </w:numPr>
        <w:rPr/>
      </w:pPr>
      <w:r>
        <w:rPr>
          <w:b/>
          <w:bCs/>
        </w:rPr>
        <w:t>Ärztekammer:</w:t>
      </w:r>
      <w:r>
        <w:rPr/>
        <w:t xml:space="preserve"> falls Hinweise auf tatsächlichen Datenabfluss vorliegen (nicht nur Verschlüsselung) – berührt dann ggf. die Schweigepflicht (§ 203 StGB). </w:t>
      </w:r>
      <w:r>
        <w:rPr>
          <w:b/>
          <w:bCs/>
        </w:rPr>
        <w:t>KV Bayerns:</w:t>
      </w:r>
      <w:r>
        <w:rPr/>
        <w:t xml:space="preserve"> falls Abrechnung/Praxisbetrieb durch den Vorfall gestört ist (Fristen, Ersatzverfahren) – anderer Grund, andere Stelle, s. Teil A, Punkt 8.</w:t>
      </w:r>
      <w:bookmarkEnd w:id="27"/>
    </w:p>
    <w:p>
      <w:pPr>
        <w:pStyle w:val="Heading3"/>
        <w:rPr/>
      </w:pPr>
      <w:bookmarkStart w:id="28" w:name="Xd57e91210eab764709c518378e1dfdc09599df0"/>
      <w:r>
        <w:rPr/>
        <w:t>Schritt 6: Wiederherstellung – sauber statt schnell</w:t>
      </w:r>
    </w:p>
    <w:p>
      <w:pPr>
        <w:pStyle w:val="Compact"/>
        <w:numPr>
          <w:ilvl w:val="0"/>
          <w:numId w:val="1"/>
        </w:numPr>
        <w:rPr/>
      </w:pPr>
      <w:r>
        <w:rPr>
          <w:b/>
          <w:bCs/>
        </w:rPr>
        <w:t>Nicht einfach das verschlüsselte System “bereinigen” und weiterlaufen lassen.</w:t>
      </w:r>
      <w:r>
        <w:rPr/>
        <w:t xml:space="preserve"> Empfehlung: betroffene(s) System(e) komplett neu aufsetzen (Betriebssystem-Neuinstallation), nicht nur die sichtbare Schadsoftware entfernen – Backdoors/Persistenzmechanismen bleiben sonst oft unentdeckt zurück.</w:t>
      </w:r>
    </w:p>
    <w:p>
      <w:pPr>
        <w:pStyle w:val="Compact"/>
        <w:numPr>
          <w:ilvl w:val="0"/>
          <w:numId w:val="1"/>
        </w:numPr>
        <w:rPr/>
      </w:pPr>
      <w:r>
        <w:rPr/>
        <w:t xml:space="preserve">Daten </w:t>
      </w:r>
      <w:r>
        <w:rPr>
          <w:b/>
          <w:bCs/>
        </w:rPr>
        <w:t>nur aus einer nachweislich sauberen Kopie</w:t>
      </w:r>
      <w:r>
        <w:rPr/>
        <w:t xml:space="preserve"> wiederherstellen, die sicher </w:t>
      </w:r>
      <w:r>
        <w:rPr>
          <w:b/>
          <w:bCs/>
        </w:rPr>
        <w:t>vor</w:t>
      </w:r>
      <w:r>
        <w:rPr/>
        <w:t xml:space="preserve"> dem Infektionszeitpunkt liegt. Genau hier zeigt sich, warum Teil A wichtig ist: ohne unveränderliche/versionierte Kopie lässt sich oft schwer beweisen, dass ein Backup wirklich “sauber” ist.</w:t>
      </w:r>
    </w:p>
    <w:p>
      <w:pPr>
        <w:pStyle w:val="Compact"/>
        <w:numPr>
          <w:ilvl w:val="0"/>
          <w:numId w:val="1"/>
        </w:numPr>
        <w:rPr/>
      </w:pPr>
      <w:r>
        <w:rPr/>
        <w:t>Die bestehende linux0/linux7-Übernahme-Logik (</w:t>
      </w:r>
      <w:r>
        <w:rPr>
          <w:rStyle w:val="VerbatimChar"/>
        </w:rPr>
        <w:t>uebernahme.sh</w:t>
      </w:r>
      <w:r>
        <w:rPr/>
        <w:t xml:space="preserve">) </w:t>
      </w:r>
      <w:r>
        <w:rPr>
          <w:b/>
          <w:bCs/>
        </w:rPr>
        <w:t>nicht ungeprüft</w:t>
      </w:r>
      <w:r>
        <w:rPr/>
        <w:t xml:space="preserve"> als “sauberen Ersatz” nutzen, wenn unklar ist, ob diese Systeme zum Infektionszeitpunkt im Netz erreichbar und damit potenziell auch betroffen waren. Erst prüfen (Neuinstallation im Zweifel auch hier), dann übernehmen.</w:t>
      </w:r>
    </w:p>
    <w:p>
      <w:pPr>
        <w:pStyle w:val="Compact"/>
        <w:numPr>
          <w:ilvl w:val="0"/>
          <w:numId w:val="1"/>
        </w:numPr>
        <w:rPr/>
      </w:pPr>
      <w:r>
        <w:rPr>
          <w:b/>
          <w:bCs/>
        </w:rPr>
        <w:t>Alle Zugangsdaten wechseln</w:t>
      </w:r>
      <w:r>
        <w:rPr/>
        <w:t xml:space="preserve"> – root-Passwörter, SSH-Keys, CIFS/Samba-Konten, WLAN, Fernzugänge, ggf. auch Konten der Praxissoftware selbst. Ein Angreifer, der einmal drin war, hat evtl. Zugangsdaten mitgelesen.</w:t>
      </w:r>
    </w:p>
    <w:p>
      <w:pPr>
        <w:pStyle w:val="Compact"/>
        <w:numPr>
          <w:ilvl w:val="0"/>
          <w:numId w:val="1"/>
        </w:numPr>
        <w:rPr/>
      </w:pPr>
      <w:bookmarkStart w:id="29" w:name="Xd57e91210eab764709c518378e1dfdc09599df0"/>
      <w:r>
        <w:rPr/>
        <w:t>Erst nach Schließen der bekannten Einfallstür (Patch, geändertes Passwort, entferntes offenes Protokoll o. Ä.) wieder ans Netz gehen.</w:t>
      </w:r>
      <w:bookmarkEnd w:id="29"/>
    </w:p>
    <w:p>
      <w:pPr>
        <w:pStyle w:val="Heading3"/>
        <w:rPr/>
      </w:pPr>
      <w:bookmarkStart w:id="30" w:name="schritt-7-nachbereitung"/>
      <w:r>
        <w:rPr/>
        <w:t>Schritt 7: Nachbereitung</w:t>
      </w:r>
    </w:p>
    <w:p>
      <w:pPr>
        <w:pStyle w:val="Compact"/>
        <w:numPr>
          <w:ilvl w:val="0"/>
          <w:numId w:val="1"/>
        </w:numPr>
        <w:rPr/>
      </w:pPr>
      <w:r>
        <w:rPr/>
        <w:t>Kurzer, schriftlicher Rückblick: Wie kam der Trojaner rein, was hat wie lange gedauert, was hat gut/schlecht funktioniert? Diese Anleitung danach entsprechend aktualisieren.</w:t>
      </w:r>
    </w:p>
    <w:p>
      <w:pPr>
        <w:pStyle w:val="Compact"/>
        <w:numPr>
          <w:ilvl w:val="0"/>
          <w:numId w:val="1"/>
        </w:numPr>
        <w:rPr/>
      </w:pPr>
      <w:r>
        <w:rPr/>
        <w:t>Praxisteam kurz sensibilisieren (v. a. Phishing-Erkennung), da der Eintrittsweg sehr häufig über einen Windows-Arbeitsplatz läuft, nicht über den Server direkt.</w:t>
      </w:r>
    </w:p>
    <w:p>
      <w:pPr>
        <w:pStyle w:val="Normal"/>
        <w:rPr/>
      </w:pPr>
      <w:bookmarkStart w:id="31" w:name="Xbceba91017094f63139921ac4fe727b359ec9ba"/>
      <w:bookmarkStart w:id="32" w:name="schritt-7-nachbereitung"/>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p>
    <w:p>
      <w:pPr>
        <w:pStyle w:val="Heading2"/>
        <w:rPr/>
      </w:pPr>
      <w:bookmarkStart w:id="33" w:name="X579f387d8d496a2eb18bd15cdd7199eebf624ff"/>
      <w:r>
        <w:rPr/>
        <w:t>Kurz-Checkliste für den Ernstfall (zum schnellen Nachschlagen)</w:t>
      </w:r>
    </w:p>
    <w:p>
      <w:pPr>
        <w:pStyle w:val="Compact"/>
        <w:numPr>
          <w:ilvl w:val="0"/>
          <w:numId w:val="26"/>
        </w:numPr>
        <w:rPr/>
      </w:pPr>
      <w:r>
        <w:rPr/>
        <w:t>Netz trennen (betroffenes System + vorsorglich linux0/linux7).</w:t>
      </w:r>
    </w:p>
    <w:p>
      <w:pPr>
        <w:pStyle w:val="Compact"/>
        <w:numPr>
          <w:ilvl w:val="0"/>
          <w:numId w:val="24"/>
        </w:numPr>
        <w:rPr/>
      </w:pPr>
      <w:r>
        <w:rPr/>
        <w:t>Kein Backup-Medium anschließen, bevor Lage klar ist.</w:t>
      </w:r>
    </w:p>
    <w:p>
      <w:pPr>
        <w:pStyle w:val="Compact"/>
        <w:numPr>
          <w:ilvl w:val="0"/>
          <w:numId w:val="24"/>
        </w:numPr>
        <w:rPr/>
      </w:pPr>
      <w:r>
        <w:rPr/>
        <w:t>Beweise sichern (Screenshots, Logs, Dateiliste).</w:t>
      </w:r>
    </w:p>
    <w:p>
      <w:pPr>
        <w:pStyle w:val="Compact"/>
        <w:numPr>
          <w:ilvl w:val="0"/>
          <w:numId w:val="24"/>
        </w:numPr>
        <w:rPr/>
      </w:pPr>
      <w:r>
        <w:rPr/>
        <w:t>Nicht zahlen, keine Drittanbieter-Tools ungeprüft ausführen.</w:t>
      </w:r>
    </w:p>
    <w:p>
      <w:pPr>
        <w:pStyle w:val="Compact"/>
        <w:numPr>
          <w:ilvl w:val="0"/>
          <w:numId w:val="24"/>
        </w:numPr>
        <w:rPr/>
      </w:pPr>
      <w:r>
        <w:rPr/>
        <w:t>Forensik-/IR-Dienstleister + Versicherung kontaktieren.</w:t>
      </w:r>
    </w:p>
    <w:p>
      <w:pPr>
        <w:pStyle w:val="Compact"/>
        <w:numPr>
          <w:ilvl w:val="0"/>
          <w:numId w:val="24"/>
        </w:numPr>
        <w:rPr/>
      </w:pPr>
      <w:r>
        <w:rPr/>
        <w:t>Meldung: BayLDA (72h, lda.bayern.de/de/datenpanne.html), ggf. Patienten, ZAC Bayern (Polizei), ggf. BSI/Ärztekammer/KV.</w:t>
      </w:r>
    </w:p>
    <w:p>
      <w:pPr>
        <w:pStyle w:val="Compact"/>
        <w:numPr>
          <w:ilvl w:val="0"/>
          <w:numId w:val="24"/>
        </w:numPr>
        <w:rPr/>
      </w:pPr>
      <w:r>
        <w:rPr/>
        <w:t>Sauber neu aufsetzen statt nur bereinigen, nur aus nachweislich sauberem Backup wiederherstellen.</w:t>
      </w:r>
    </w:p>
    <w:p>
      <w:pPr>
        <w:pStyle w:val="Compact"/>
        <w:numPr>
          <w:ilvl w:val="0"/>
          <w:numId w:val="24"/>
        </w:numPr>
        <w:rPr/>
      </w:pPr>
      <w:r>
        <w:rPr/>
        <w:t>Alle Zugangsdaten wechseln, Einfallstor schließen, erst dann wieder ans Netz.</w:t>
      </w:r>
    </w:p>
    <w:p>
      <w:pPr>
        <w:pStyle w:val="Compact"/>
        <w:numPr>
          <w:ilvl w:val="0"/>
          <w:numId w:val="24"/>
        </w:numPr>
        <w:spacing w:before="36" w:after="36"/>
        <w:rPr/>
      </w:pPr>
      <w:bookmarkStart w:id="34" w:name="X19dcbec4dba8dbeaad2086b7473df2c88c08b6b"/>
      <w:bookmarkStart w:id="35" w:name="X579f387d8d496a2eb18bd15cdd7199eebf624ff"/>
      <w:r>
        <w:rPr/>
        <w:t>Nachbereitung + dieses Dokument aktualisieren.</w:t>
      </w:r>
      <w:bookmarkEnd w:id="34"/>
      <w:bookmarkEnd w:id="35"/>
    </w:p>
    <w:sectPr>
      <w:headerReference w:type="even" r:id="rId3"/>
      <w:headerReference w:type="default" r:id="rId4"/>
      <w:headerReference w:type="first" r:id="rId5"/>
      <w:type w:val="nextPage"/>
      <w:pgSz w:w="12240" w:h="15840"/>
      <w:pgMar w:left="1440" w:right="1440" w:gutter="0" w:header="72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 xml:space="preserve">Ransomware – Vorsorge und Wiederherstellung – Seite </w:t>
    </w:r>
    <w:r>
      <w:rPr/>
      <w:fldChar w:fldCharType="begin"/>
    </w:r>
    <w:r>
      <w:rPr/>
      <w:instrText xml:space="preserve"> PAGE </w:instrText>
    </w:r>
    <w:r>
      <w:rPr/>
      <w:fldChar w:fldCharType="separate"/>
    </w:r>
    <w:r>
      <w:rPr/>
      <w:t>8</w:t>
    </w:r>
    <w:r>
      <w:rPr/>
      <w:fldChar w:fldCharType="end"/>
    </w:r>
    <w:r>
      <w:rPr/>
      <w:t xml:space="preserve"> von </w:t>
    </w:r>
    <w:r>
      <w:rPr/>
      <w:fldChar w:fldCharType="begin"/>
    </w:r>
    <w:r>
      <w:rPr/>
      <w:instrText xml:space="preserve"> NUMPAGES </w:instrText>
    </w:r>
    <w:r>
      <w:rPr/>
      <w:fldChar w:fldCharType="separate"/>
    </w:r>
    <w:r>
      <w:rPr/>
      <w:t>8</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 xml:space="preserve">Ransomware – Vorsorge und Wiederherstellung – Seite </w:t>
    </w:r>
    <w:r>
      <w:rPr/>
      <w:fldChar w:fldCharType="begin"/>
    </w:r>
    <w:r>
      <w:rPr/>
      <w:instrText xml:space="preserve"> PAGE </w:instrText>
    </w:r>
    <w:r>
      <w:rPr/>
      <w:fldChar w:fldCharType="separate"/>
    </w:r>
    <w:r>
      <w:rPr/>
      <w:t>8</w:t>
    </w:r>
    <w:r>
      <w:rPr/>
      <w:fldChar w:fldCharType="end"/>
    </w:r>
    <w:r>
      <w:rPr/>
      <w:t xml:space="preserve"> von </w:t>
    </w:r>
    <w:r>
      <w:rPr/>
      <w:fldChar w:fldCharType="begin"/>
    </w:r>
    <w:r>
      <w:rPr/>
      <w:instrText xml:space="preserve"> NUMPAGES </w:instrText>
    </w:r>
    <w:r>
      <w:rPr/>
      <w:fldChar w:fldCharType="separate"/>
    </w:r>
    <w:r>
      <w:rPr/>
      <w:t>8</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4"/>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de-DE"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de-DE"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unotenzeichen">
    <w:name w:val="Fußnotenzeichen"/>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trong">
    <w:name w:val="Strong"/>
    <w:qFormat/>
    <w:rPr>
      <w:b/>
      <w:bCs/>
    </w:rPr>
  </w:style>
  <w:style w:type="paragraph" w:styleId="berschrift">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Verzeichnis">
    <w:name w:val="Verzeichnis"/>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de-DE"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de-DE"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Schaubild" w:customStyle="1">
    <w:name w:val="Schaubild"/>
    <w:basedOn w:val="Normal"/>
    <w:qFormat/>
    <w:pPr/>
    <w:rPr/>
  </w:style>
  <w:style w:type="paragraph" w:styleId="CaptionedFigure" w:customStyle="1">
    <w:name w:val="Captioned Figure"/>
    <w:basedOn w:val="Schaubild"/>
    <w:qFormat/>
    <w:pPr>
      <w:keepNext w:val="true"/>
    </w:pPr>
    <w:rPr/>
  </w:style>
  <w:style w:type="paragraph" w:styleId="IndexHeading">
    <w:name w:val="index heading"/>
    <w:basedOn w:val="berschrift"/>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Kopf-Fuzeile">
    <w:name w:val="Kopf-/Fußzeile"/>
    <w:basedOn w:val="Normal"/>
    <w:qFormat/>
    <w:pPr/>
    <w:rPr/>
  </w:style>
  <w:style w:type="paragraph" w:styleId="Header">
    <w:name w:val="header"/>
    <w:basedOn w:val="Kopf-Fuzeile"/>
    <w:pPr/>
    <w:rPr/>
  </w:style>
  <w:style w:type="paragraph" w:styleId="HorizontaleLinie">
    <w:name w:val="Horizontale Linie"/>
    <w:basedOn w:val="Normal"/>
    <w:next w:val="BodyText"/>
    <w:qFormat/>
    <w:pPr>
      <w:pBdr>
        <w:bottom w:val="double" w:sz="2" w:space="0" w:color="808080"/>
      </w:pBdr>
      <w:spacing w:before="0" w:after="283"/>
    </w:pPr>
    <w:rPr>
      <w:sz w:val="12"/>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iabetologie@dachau-mail.de"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70</TotalTime>
  <Application>LibreOffice/25.8.7.3$Windows_X86_64 LibreOffice_project/30742500f2d3eb4366ac312fa33d3dcabdb3eba5</Application>
  <AppVersion>15.0000</AppVersion>
  <Pages>8</Pages>
  <Words>2184</Words>
  <Characters>16472</Characters>
  <CharactersWithSpaces>18496</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2026-07-12T17:27:06Z</dcterms:created>
  <dc:creator/>
  <dc:description/>
  <dc:language>de-DE</dc:language>
  <cp:lastModifiedBy>Gerald Schade</cp:lastModifiedBy>
  <dcterms:modified xsi:type="dcterms:W3CDTF">2026-07-19T18:37:14Z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Inhaltsverzeichnis</vt:lpwstr>
  </property>
</Properties>
</file>