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X19dcbec4dba8dbeaad2086b7473df2c88c08b6b"/>
    <w:p>
      <w:pPr>
        <w:pStyle w:val="Heading1"/>
      </w:pPr>
      <w:r>
        <w:t xml:space="preserve">Anleitung: Ransomware – Vorsorge und Wiederherstellung (linux1/linux0/linux7)</w:t>
      </w:r>
    </w:p>
    <w:p>
      <w:pPr>
        <w:pStyle w:val="FirstParagraph"/>
      </w:pPr>
      <w:r>
        <w:rPr>
          <w:b/>
          <w:bCs/>
        </w:rPr>
        <w:t xml:space="preserve">Für:</w:t>
      </w:r>
      <w:r>
        <w:t xml:space="preserve"> </w:t>
      </w:r>
      <w:r>
        <w:t xml:space="preserve">Gerald Schade (Admin). Kein Dokument für die MFA – bei akutem Verdacht auf Ransomware zuerst Kontakt gemäß eigenem Eskalationsweg, dann diese Anleitung.</w:t>
      </w:r>
    </w:p>
    <w:p>
      <w:pPr>
        <w:pStyle w:val="BodyText"/>
      </w:pPr>
      <w:r>
        <w:rPr>
          <w:b/>
          <w:bCs/>
        </w:rPr>
        <w:t xml:space="preserve">Stand:</w:t>
      </w:r>
      <w:r>
        <w:t xml:space="preserve"> </w:t>
      </w:r>
      <w:r>
        <w:t xml:space="preserve">2026-07-12, im Lauf des Tages aktualisiert (u. a. nach Praxistest der Mail-Alarmierung, s. Teil A.6). Bezieht sich auf die aktuelle Infrastruktur: linux1 (Produktiv), linux0/linux7 (Reserve/Failover über</w:t>
      </w:r>
      <w:r>
        <w:t xml:space="preserve"> </w:t>
      </w:r>
      <w:r>
        <w:rPr>
          <w:rStyle w:val="VerbatimChar"/>
        </w:rPr>
        <w:t xml:space="preserve">uebernahme.sh</w:t>
      </w:r>
      <w:r>
        <w:t xml:space="preserve">/</w:t>
      </w:r>
      <w:r>
        <w:rPr>
          <w:rStyle w:val="VerbatimChar"/>
        </w:rPr>
        <w:t xml:space="preserve">rueckgabe.sh</w:t>
      </w:r>
      <w:r>
        <w:t xml:space="preserve">), Online-Backups über</w:t>
      </w:r>
      <w:r>
        <w:t xml:space="preserve"> </w:t>
      </w:r>
      <w:r>
        <w:rPr>
          <w:rStyle w:val="VerbatimChar"/>
        </w:rPr>
        <w:t xml:space="preserve">bulinux.sh</w:t>
      </w:r>
      <w:r>
        <w:t xml:space="preserve">/</w:t>
      </w:r>
      <w:r>
        <w:rPr>
          <w:rStyle w:val="VerbatimChar"/>
        </w:rPr>
        <w:t xml:space="preserve">bumo.sh</w:t>
      </w:r>
      <w:r>
        <w:t xml:space="preserve">/</w:t>
      </w:r>
      <w:r>
        <w:rPr>
          <w:rStyle w:val="VerbatimChar"/>
        </w:rPr>
        <w:t xml:space="preserve">bunacht.sh</w:t>
      </w:r>
      <w:r>
        <w:t xml:space="preserve"> </w:t>
      </w:r>
      <w:r>
        <w:t xml:space="preserve">(mit Schutzdatei-Mechanismus, s. Teil A.6) sowie</w:t>
      </w:r>
      <w:r>
        <w:t xml:space="preserve"> </w:t>
      </w:r>
      <w:r>
        <w:rPr>
          <w:rStyle w:val="VerbatimChar"/>
        </w:rPr>
        <w:t xml:space="preserve">gsbackup.sh</w:t>
      </w:r>
      <w:r>
        <w:t xml:space="preserve">/</w:t>
      </w:r>
      <w:r>
        <w:rPr>
          <w:rStyle w:val="VerbatimChar"/>
        </w:rPr>
        <w:t xml:space="preserve">dorsync.sh</w:t>
      </w:r>
      <w:r>
        <w:t xml:space="preserve">/</w:t>
      </w:r>
      <w:r>
        <w:rPr>
          <w:rStyle w:val="VerbatimChar"/>
        </w:rPr>
        <w:t xml:space="preserve">7zdb.sh</w:t>
      </w:r>
      <w:r>
        <w:t xml:space="preserve"> </w:t>
      </w:r>
      <w:r>
        <w:t xml:space="preserve">(ältere/ergänzende Skripte), tägliche Offline-Sicherung auf rotierende USB-Sticks über</w:t>
      </w:r>
      <w:r>
        <w:t xml:space="preserve"> </w:t>
      </w:r>
      <w:r>
        <w:rPr>
          <w:rStyle w:val="VerbatimChar"/>
        </w:rPr>
        <w:t xml:space="preserve">mokopr.ps1</w:t>
      </w:r>
      <w:r>
        <w:t xml:space="preserve">/</w:t>
      </w:r>
      <w:r>
        <w:rPr>
          <w:rStyle w:val="VerbatimChar"/>
        </w:rPr>
        <w:t xml:space="preserve">morueck.ps1</w:t>
      </w:r>
      <w:r>
        <w:t xml:space="preserve"> </w:t>
      </w:r>
      <w:r>
        <w:t xml:space="preserve">(s. Teil A.1).</w:t>
      </w:r>
    </w:p>
    <w:p>
      <w:r>
        <w:pict>
          <v:rect style="width:0;height:1.5pt" o:hralign="center" o:hrstd="t" o:hr="t"/>
        </w:pict>
      </w:r>
    </w:p>
    <w:bookmarkStart w:id="20" w:name="X4ae3809f21663e56a89ba894d2296df26864839"/>
    <w:p>
      <w:pPr>
        <w:pStyle w:val="Heading2"/>
      </w:pPr>
      <w:r>
        <w:t xml:space="preserve">Wichtiger Ausgangspunkt: Failover ≠ Ransomware-Schutz</w:t>
      </w:r>
    </w:p>
    <w:p>
      <w:pPr>
        <w:pStyle w:val="FirstParagraph"/>
      </w:pPr>
      <w:r>
        <w:t xml:space="preserve">Die bestehende linux0/linux7-Übernahme-Logik löst</w:t>
      </w:r>
      <w:r>
        <w:t xml:space="preserve"> </w:t>
      </w:r>
      <w:r>
        <w:rPr>
          <w:b/>
          <w:bCs/>
        </w:rPr>
        <w:t xml:space="preserve">Hardware-/Systemausfall</w:t>
      </w:r>
      <w:r>
        <w:t xml:space="preserve">, nicht</w:t>
      </w:r>
      <w:r>
        <w:t xml:space="preserve"> </w:t>
      </w:r>
      <w:r>
        <w:rPr>
          <w:b/>
          <w:bCs/>
        </w:rPr>
        <w:t xml:space="preserve">Verschlüsselung durch Ransomware</w:t>
      </w:r>
      <w:r>
        <w:t xml:space="preserve">. Wenn ein Verschlüsselungstrojaner sich im Netz ausbreitet (typischer Weg: über SMB/CIFS-Freigaben, offene RDP/SSH-Zugänge, oder ein infiziertes Windows-Client-System, das auf die Server-Freigaben zugreift), wären linux0/linux7 potenziell</w:t>
      </w:r>
      <w:r>
        <w:t xml:space="preserve"> </w:t>
      </w:r>
      <w:r>
        <w:rPr>
          <w:b/>
          <w:bCs/>
        </w:rPr>
        <w:t xml:space="preserve">genauso betroffen</w:t>
      </w:r>
      <w:r>
        <w:t xml:space="preserve">, sofern sie zum Zeitpunkt der Infektion im Netz erreichbar wären und deren Freigaben beschreibbar wären.</w:t>
      </w:r>
    </w:p>
    <w:p>
      <w:pPr>
        <w:pStyle w:val="BodyText"/>
      </w:pPr>
      <w:r>
        <w:rPr>
          <w:b/>
          <w:bCs/>
        </w:rPr>
        <w:t xml:space="preserve">Korrektur/Ergänzung (Stand 12.7.2026, nach genauerer Durchsicht):</w:t>
      </w:r>
      <w:r>
        <w:t xml:space="preserve"> </w:t>
      </w:r>
      <w:r>
        <w:t xml:space="preserve">Diese Gefahr ist in der Praxis kleiner als hier ursprünglich angenommen, aus zwei Gründen, die schon vorher bestanden:</w:t>
      </w:r>
    </w:p>
    <w:p>
      <w:pPr>
        <w:pStyle w:val="Compact"/>
        <w:numPr>
          <w:ilvl w:val="0"/>
          <w:numId w:val="1001"/>
        </w:numPr>
      </w:pPr>
      <w:r>
        <w:t xml:space="preserve">Samba läuft auf linux0/linux7</w:t>
      </w:r>
      <w:r>
        <w:t xml:space="preserve"> </w:t>
      </w:r>
      <w:r>
        <w:rPr>
          <w:b/>
          <w:bCs/>
        </w:rPr>
        <w:t xml:space="preserve">im Normalbetrieb bewusst nicht</w:t>
      </w:r>
      <w:r>
        <w:t xml:space="preserve"> </w:t>
      </w:r>
      <w:r>
        <w:t xml:space="preserve">(nur während einer echten Übernahme aktiv) – der wahrscheinlichste Ausbreitungsweg (SMB von einem kompromittierten Windows-Rechner) ist damit für die Online-Backups weitgehend verschlossen.</w:t>
      </w:r>
    </w:p>
    <w:p>
      <w:pPr>
        <w:pStyle w:val="Compact"/>
        <w:numPr>
          <w:ilvl w:val="0"/>
          <w:numId w:val="1001"/>
        </w:numPr>
      </w:pPr>
      <w:r>
        <w:t xml:space="preserve">Die eigentlichen Backup-Skripte (</w:t>
      </w:r>
      <w:r>
        <w:rPr>
          <w:rStyle w:val="VerbatimChar"/>
        </w:rPr>
        <w:t xml:space="preserve">bulinux.sh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bumo.sh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bunacht.sh</w:t>
      </w:r>
      <w:r>
        <w:t xml:space="preserve">, alle über</w:t>
      </w:r>
      <w:r>
        <w:t xml:space="preserve"> </w:t>
      </w:r>
      <w:r>
        <w:rPr>
          <w:rStyle w:val="VerbatimChar"/>
        </w:rPr>
        <w:t xml:space="preserve">bugem.sh</w:t>
      </w:r>
      <w:r>
        <w:t xml:space="preserve">) verwenden einen</w:t>
      </w:r>
      <w:r>
        <w:t xml:space="preserve"> </w:t>
      </w:r>
      <w:r>
        <w:rPr>
          <w:b/>
          <w:bCs/>
        </w:rPr>
        <w:t xml:space="preserve">Schutzdatei-Mechanismus</w:t>
      </w:r>
      <w:r>
        <w:t xml:space="preserve">: Vor jedem Kopiervorgang wird eine Gruppe unauffälliger Referenzdateien (</w:t>
      </w:r>
      <w:r>
        <w:rPr>
          <w:rStyle w:val="VerbatimChar"/>
        </w:rPr>
        <w:t xml:space="preserve">Schutzdatei_bitte_belassen.doc</w:t>
      </w:r>
      <w:r>
        <w:t xml:space="preserve">,</w:t>
      </w:r>
      <w:r>
        <w:t xml:space="preserve"> </w:t>
      </w:r>
      <w:r>
        <w:rPr>
          <w:rStyle w:val="VerbatimChar"/>
        </w:rPr>
        <w:t xml:space="preserve">Auch_eine_Schutzdatei_bitte_belassen.jpg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zusätzliche_Schutzdatei_bitte_belassen.pdf</w:t>
      </w:r>
      <w:r>
        <w:t xml:space="preserve">) per SHA-256-Hash zwischen Quelle und Ziel verglichen; weicht auch nur eine ab, wird die Sicherung für das betroffene Verzeichnis</w:t>
      </w:r>
      <w:r>
        <w:t xml:space="preserve"> </w:t>
      </w:r>
      <w:r>
        <w:rPr>
          <w:b/>
          <w:bCs/>
        </w:rPr>
        <w:t xml:space="preserve">verweigert und eine Warnmail verschickt</w:t>
      </w:r>
      <w:r>
        <w:t xml:space="preserve">, statt die gute Kopie stillschweigend zu überschreiben (relevant v. a. bei</w:t>
      </w:r>
      <w:r>
        <w:t xml:space="preserve"> </w:t>
      </w:r>
      <w:r>
        <w:rPr>
          <w:rStyle w:val="VerbatimChar"/>
        </w:rPr>
        <w:t xml:space="preserve">bumo.sh</w:t>
      </w:r>
      <w:r>
        <w:t xml:space="preserve">/</w:t>
      </w:r>
      <w:r>
        <w:rPr>
          <w:rStyle w:val="VerbatimChar"/>
        </w:rPr>
        <w:t xml:space="preserve">bunacht.sh</w:t>
      </w:r>
      <w:r>
        <w:t xml:space="preserve">, die mit</w:t>
      </w:r>
      <w:r>
        <w:t xml:space="preserve"> </w:t>
      </w:r>
      <w:r>
        <w:rPr>
          <w:rStyle w:val="VerbatimChar"/>
        </w:rPr>
        <w:t xml:space="preserve">--delete</w:t>
      </w:r>
      <w:r>
        <w:t xml:space="preserve"> </w:t>
      </w:r>
      <w:r>
        <w:t xml:space="preserve">arbeiten). Details siehe Abschnitt 6.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gsbackup.sh</w:t>
      </w:r>
      <w:r>
        <w:t xml:space="preserve"> </w:t>
      </w:r>
      <w:r>
        <w:t xml:space="preserve">(älterer, separater Mechanismus für CIFS-Ziele) hat diese Prüfung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geprüft am 12.7.2026: kein aktiver (nicht-auskommentierter) Cron-Aufruf auf linux1, linux0 oder linux7 gefunden.</w:t>
      </w:r>
      <w:r>
        <w:t xml:space="preserve"> </w:t>
      </w:r>
      <w:r>
        <w:t xml:space="preserve">Der ursprüngliche Kritikpunkt (rsync ohne Versionierung, kein Schutz vor Überschreiben) ist damit gegenstandslos, solange das so bleibt.</w:t>
      </w:r>
    </w:p>
    <w:p>
      <w:r>
        <w:pict>
          <v:rect style="width:0;height:1.5pt" o:hralign="center" o:hrstd="t" o:hr="t"/>
        </w:pict>
      </w:r>
    </w:p>
    <w:bookmarkEnd w:id="20"/>
    <w:bookmarkStart w:id="31" w:name="X7c354e7e7d43a1cd386fbdf2464883d9e38cd50"/>
    <w:p>
      <w:pPr>
        <w:pStyle w:val="Heading2"/>
      </w:pPr>
      <w:r>
        <w:t xml:space="preserve">Teil A – Was schon jetzt bereitstehen sollte (Vorsorge)</w:t>
      </w:r>
    </w:p>
    <w:bookmarkStart w:id="21" w:name="X7acaac8b740d70bc4a703a072112decc3175413"/>
    <w:p>
      <w:pPr>
        <w:pStyle w:val="Heading3"/>
      </w:pPr>
      <w:r>
        <w:t xml:space="preserve">1. Mindestens eine wirklich unveränderliche/getrennte Kopie (3-2-1-1-Regel)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</w:t>
      </w:r>
      <w:r>
        <w:t xml:space="preserve"> </w:t>
      </w:r>
      <w:r>
        <w:t xml:space="preserve">Kopien der Daten, auf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verschiedenen Medientypen,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davon extern/offsite,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davon offline oder unveränderlich (immutable) bzw. air-gapped.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Korrektur (12.7.2026): Eine echte Offline-Kopie existiert bereits</w:t>
      </w:r>
      <w:r>
        <w:t xml:space="preserve"> </w:t>
      </w:r>
      <w:r>
        <w:t xml:space="preserve">und wurde bei der ursprünglichen Fassung dieses Dokuments übersehen:</w:t>
      </w:r>
      <w:r>
        <w:t xml:space="preserve"> </w:t>
      </w:r>
      <w:r>
        <w:rPr>
          <w:rStyle w:val="VerbatimChar"/>
        </w:rPr>
        <w:t xml:space="preserve">/DATA/down/mokopr.ps1</w:t>
      </w:r>
      <w:r>
        <w:t xml:space="preserve"> </w:t>
      </w:r>
      <w:r>
        <w:t xml:space="preserve">erstellt täglich von szn4 aus Kopien (Datenbanken, Patientendokumente, MariaDB-Dumps) auf zwei rotierende USB-Sticks (je 953 GB), die anschließend mit</w:t>
      </w:r>
      <w:r>
        <w:t xml:space="preserve"> </w:t>
      </w:r>
      <w:r>
        <w:rPr>
          <w:rStyle w:val="VerbatimChar"/>
        </w:rPr>
        <w:t xml:space="preserve">morueck.ps1</w:t>
      </w:r>
      <w:r>
        <w:t xml:space="preserve"> </w:t>
      </w:r>
      <w:r>
        <w:t xml:space="preserve">auf einen nicht mit der Praxis verbundenen Windows-Rechner zuhause übertragen werden. Das deckt</w:t>
      </w:r>
      <w:r>
        <w:t xml:space="preserve"> </w:t>
      </w:r>
      <w:r>
        <w:t xml:space="preserve">“1 offline/air-gapped”</w:t>
      </w:r>
      <w:r>
        <w:t xml:space="preserve"> </w:t>
      </w:r>
      <w:r>
        <w:t xml:space="preserve">der 3-2-1-1-Regel ab, inklusive Prüfung per Schutzdatei-Mechanismus (Größe/Datum/Inhalts-Hash) vor jeder Übertragung.</w:t>
      </w:r>
    </w:p>
    <w:p>
      <w:pPr>
        <w:pStyle w:val="Compact"/>
        <w:numPr>
          <w:ilvl w:val="0"/>
          <w:numId w:val="1002"/>
        </w:numPr>
      </w:pPr>
      <w:r>
        <w:t xml:space="preserve">Verbleibende, priorisierte Empfehlungen für die</w:t>
      </w:r>
      <w:r>
        <w:t xml:space="preserve"> </w:t>
      </w:r>
      <w:r>
        <w:rPr>
          <w:b/>
          <w:bCs/>
        </w:rPr>
        <w:t xml:space="preserve">Online</w:t>
      </w:r>
      <w:r>
        <w:t xml:space="preserve">-Kopien auf linux0/linux7: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Bereits vorhanden, ungenutzt:</w:t>
      </w:r>
      <w:r>
        <w:t xml:space="preserve"> </w:t>
      </w:r>
      <w:r>
        <w:rPr>
          <w:rStyle w:val="VerbatimChar"/>
        </w:rPr>
        <w:t xml:space="preserve">linux0:/DATA</w:t>
      </w:r>
      <w:r>
        <w:t xml:space="preserve"> </w:t>
      </w:r>
      <w:r>
        <w:t xml:space="preserve">läuft bereits auf</w:t>
      </w:r>
      <w:r>
        <w:t xml:space="preserve"> </w:t>
      </w:r>
      <w:r>
        <w:rPr>
          <w:b/>
          <w:bCs/>
        </w:rPr>
        <w:t xml:space="preserve">Btrfs</w:t>
      </w:r>
      <w:r>
        <w:t xml:space="preserve"> </w:t>
      </w:r>
      <w:r>
        <w:t xml:space="preserve">(2,1 TB, Subvolume vorhanden) – Snapshots werden dort aber noch nicht gezogen (Snapper ist nur für die Systempartition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konfiguriert, nicht für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). Nächster konkreter Schritt: eine Snapper-Konfiguration für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auf linux0 anlegen und nach jedem</w:t>
      </w:r>
      <w:r>
        <w:t xml:space="preserve"> </w:t>
      </w:r>
      <w:r>
        <w:rPr>
          <w:rStyle w:val="VerbatimChar"/>
        </w:rPr>
        <w:t xml:space="preserve">bulinux.sh</w:t>
      </w:r>
      <w:r>
        <w:t xml:space="preserve">/</w:t>
      </w:r>
      <w:r>
        <w:rPr>
          <w:rStyle w:val="VerbatimChar"/>
        </w:rPr>
        <w:t xml:space="preserve">bunacht.sh</w:t>
      </w:r>
      <w:r>
        <w:t xml:space="preserve">-Lauf einen read-only-Snapshot ziehen (z. B. 14 täglich + 8 wöchentlich) – kein Reformatieren nötig.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linux7:/DATA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linux1:/DATA</w:t>
      </w:r>
      <w:r>
        <w:t xml:space="preserve"> </w:t>
      </w:r>
      <w:r>
        <w:t xml:space="preserve">sind</w:t>
      </w:r>
      <w:r>
        <w:t xml:space="preserve"> </w:t>
      </w:r>
      <w:r>
        <w:rPr>
          <w:b/>
          <w:bCs/>
        </w:rPr>
        <w:t xml:space="preserve">ext4</w:t>
      </w:r>
      <w:r>
        <w:t xml:space="preserve">, nicht snapshot-fähig – Umstellung auf Btrfs wäre eine größere Migration (7,2 TB) und dort niedriger priorisiert, solange linux0 den Snapshot-Schutz übernimmt.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Windows-Seite (noch offen, geplant):</w:t>
      </w:r>
      <w:r>
        <w:t xml:space="preserve"> </w:t>
      </w:r>
      <w:r>
        <w:t xml:space="preserve">Image-Backups (z. B. Macrium Reflect) der beiden Windows-2019-Server (Medical Office) sowie mindestens eines Praxis-PCs auf eine Reserveplatte, die nur zum Sichern angeschlossen wird (nicht dauerhaft verbunden), mit mindestens zwei Zielplatten im Wechsel. Noch nicht umgesetzt.</w:t>
      </w:r>
    </w:p>
    <w:bookmarkEnd w:id="21"/>
    <w:bookmarkStart w:id="22" w:name="X51ffcfa30f11d4ea56457585ac9994f46aa53ba"/>
    <w:p>
      <w:pPr>
        <w:pStyle w:val="Heading3"/>
      </w:pPr>
      <w:r>
        <w:t xml:space="preserve">2. Backup-Architektur:</w:t>
      </w:r>
      <w:r>
        <w:t xml:space="preserve"> </w:t>
      </w:r>
      <w:r>
        <w:t xml:space="preserve">“Pull”</w:t>
      </w:r>
      <w:r>
        <w:t xml:space="preserve"> </w:t>
      </w:r>
      <w:r>
        <w:t xml:space="preserve">statt</w:t>
      </w:r>
      <w:r>
        <w:t xml:space="preserve"> </w:t>
      </w:r>
      <w:r>
        <w:t xml:space="preserve">“Push”</w:t>
      </w:r>
      <w:r>
        <w:t xml:space="preserve">, getrennte Zugangsdaten</w:t>
      </w:r>
    </w:p>
    <w:p>
      <w:pPr>
        <w:pStyle w:val="Compact"/>
        <w:numPr>
          <w:ilvl w:val="0"/>
          <w:numId w:val="1004"/>
        </w:numPr>
      </w:pPr>
      <w:r>
        <w:t xml:space="preserve">Aktuell laufen die Sicherungen vom Produktivsystem aus (Push) mit denselben root-Rechten, die auch ein Angreifer bei Kompromittierung von linux1 hätte. Besser: Der Backup-Zielserver</w:t>
      </w:r>
      <w:r>
        <w:t xml:space="preserve"> </w:t>
      </w:r>
      <w:r>
        <w:rPr>
          <w:b/>
          <w:bCs/>
        </w:rPr>
        <w:t xml:space="preserve">zieht</w:t>
      </w:r>
      <w:r>
        <w:t xml:space="preserve"> </w:t>
      </w:r>
      <w:r>
        <w:t xml:space="preserve">sich die Daten (Pull) mit eigenen, eingeschränkten Zugangsdaten, sodass ein kompromittiertes linux1 das Backup-Ziel nicht direkt löschen/überschreiben kann.</w:t>
      </w:r>
    </w:p>
    <w:p>
      <w:pPr>
        <w:pStyle w:val="Compact"/>
        <w:numPr>
          <w:ilvl w:val="0"/>
          <w:numId w:val="1004"/>
        </w:numPr>
      </w:pPr>
      <w:r>
        <w:t xml:space="preserve">Mindestens: Backup-Ziele nicht mit denselben root/Admin-Credentials wie die Produktivsysteme erreichbar machen.</w:t>
      </w:r>
    </w:p>
    <w:bookmarkEnd w:id="22"/>
    <w:bookmarkStart w:id="23" w:name="netzsegmentierung"/>
    <w:p>
      <w:pPr>
        <w:pStyle w:val="Heading3"/>
      </w:pPr>
      <w:r>
        <w:t xml:space="preserve">3. Netzsegmentierung</w:t>
      </w:r>
    </w:p>
    <w:p>
      <w:pPr>
        <w:pStyle w:val="Compact"/>
        <w:numPr>
          <w:ilvl w:val="0"/>
          <w:numId w:val="1005"/>
        </w:numPr>
      </w:pPr>
      <w:r>
        <w:t xml:space="preserve">linux0/linux7 sollten, solange sie nicht aktiv als Ersatz laufen, möglichst</w:t>
      </w:r>
      <w:r>
        <w:t xml:space="preserve"> </w:t>
      </w:r>
      <w:r>
        <w:rPr>
          <w:b/>
          <w:bCs/>
        </w:rPr>
        <w:t xml:space="preserve">nicht dauerhaft im selben Netzsegment mit vollem Schreibzugriff</w:t>
      </w:r>
      <w:r>
        <w:t xml:space="preserve"> </w:t>
      </w:r>
      <w:r>
        <w:t xml:space="preserve">auf dieselben Freigaben hängen. Falls technisch/betrieblich schwierig: zumindest die Backup-Verzeichnisse (</w:t>
      </w:r>
      <w:r>
        <w:rPr>
          <w:rStyle w:val="VerbatimChar"/>
        </w:rPr>
        <w:t xml:space="preserve">/DATA/DBBack</w:t>
      </w:r>
      <w:r>
        <w:t xml:space="preserve">, CIFS-Ziele) mit restriktiven Firewall-Regeln absichern, sodass nur die nötigen Dienste/Hosts zugreifen können.</w:t>
      </w:r>
    </w:p>
    <w:bookmarkEnd w:id="23"/>
    <w:bookmarkStart w:id="24" w:name="zugänge-härten"/>
    <w:p>
      <w:pPr>
        <w:pStyle w:val="Heading3"/>
      </w:pPr>
      <w:r>
        <w:t xml:space="preserve">4. Zugänge härten</w:t>
      </w:r>
    </w:p>
    <w:p>
      <w:pPr>
        <w:pStyle w:val="Compact"/>
        <w:numPr>
          <w:ilvl w:val="0"/>
          <w:numId w:val="1006"/>
        </w:numPr>
      </w:pPr>
      <w:r>
        <w:t xml:space="preserve">SSH/root-Login: falls noch Passwort-Login aktiv, auf Key-basierte Authentifizierung umstellen,</w:t>
      </w:r>
      <w:r>
        <w:t xml:space="preserve"> </w:t>
      </w:r>
      <w:r>
        <w:rPr>
          <w:rStyle w:val="VerbatimChar"/>
        </w:rPr>
        <w:t xml:space="preserve">PermitRootLogin</w:t>
      </w:r>
      <w:r>
        <w:t xml:space="preserve"> </w:t>
      </w:r>
      <w:r>
        <w:t xml:space="preserve">einschränken (mind.</w:t>
      </w:r>
      <w:r>
        <w:t xml:space="preserve"> </w:t>
      </w:r>
      <w:r>
        <w:rPr>
          <w:rStyle w:val="VerbatimChar"/>
        </w:rPr>
        <w:t xml:space="preserve">prohibit-password</w:t>
      </w:r>
      <w:r>
        <w:t xml:space="preserve">),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 </w:t>
      </w:r>
      <w:r>
        <w:t xml:space="preserve">oder vergleichbares gegen Brute-Force.</w:t>
      </w:r>
    </w:p>
    <w:p>
      <w:pPr>
        <w:pStyle w:val="Compact"/>
        <w:numPr>
          <w:ilvl w:val="0"/>
          <w:numId w:val="1006"/>
        </w:numPr>
      </w:pPr>
      <w:r>
        <w:t xml:space="preserve">SMB/CIFS: SMBv1 deaktivieren, Freigabe-Rechte regelmäßig prüfen (wer darf wirklich schreiben?).</w:t>
      </w:r>
    </w:p>
    <w:p>
      <w:pPr>
        <w:pStyle w:val="Compact"/>
        <w:numPr>
          <w:ilvl w:val="0"/>
          <w:numId w:val="1006"/>
        </w:numPr>
      </w:pPr>
      <w:r>
        <w:t xml:space="preserve">Alle Fernzugänge (falls vorhanden: VPN, Remote-Support-Tools) mit Mehr-Faktor-Authentifizierung absichern.</w:t>
      </w:r>
    </w:p>
    <w:p>
      <w:pPr>
        <w:pStyle w:val="Compact"/>
        <w:numPr>
          <w:ilvl w:val="0"/>
          <w:numId w:val="1006"/>
        </w:numPr>
      </w:pPr>
      <w:r>
        <w:t xml:space="preserve">Windows-Arbeitsplätze in der Praxis sind der wahrscheinlichste Eintrittsweg (Phishing-Mail-Anhang, präpariertes Dokument) – dort Endpoint-Schutz/aktuelle Signaturen und eingeschränkte Benutzerrechte (kein Alltagsarbeiten mit Admin-Rechten) sind der wichtigste Hebel, den die Server-Seite nicht ersetzen kann.</w:t>
      </w:r>
    </w:p>
    <w:bookmarkEnd w:id="24"/>
    <w:bookmarkStart w:id="25" w:name="patch-management"/>
    <w:p>
      <w:pPr>
        <w:pStyle w:val="Heading3"/>
      </w:pPr>
      <w:r>
        <w:t xml:space="preserve">5. Patch-Management</w:t>
      </w:r>
    </w:p>
    <w:p>
      <w:pPr>
        <w:pStyle w:val="Compact"/>
        <w:numPr>
          <w:ilvl w:val="0"/>
          <w:numId w:val="1007"/>
        </w:numPr>
      </w:pPr>
      <w:r>
        <w:t xml:space="preserve">Betriebssystem und Dienste auf linux1/linux0/linux7 zeitnah patchen, insbesondere alles mit Netzwerk-Exposition (Samba, SSH, ggf. Webdienste). Ein fester, wiederkehrender Termin (z. B. monatlich) senkt das Risiko, dass eine bekannte Lücke offenbleibt.</w:t>
      </w:r>
    </w:p>
    <w:bookmarkEnd w:id="25"/>
    <w:bookmarkStart w:id="26" w:name="monitoringalarmierung"/>
    <w:p>
      <w:pPr>
        <w:pStyle w:val="Heading3"/>
      </w:pPr>
      <w:r>
        <w:t xml:space="preserve">6. Monitoring/Alarmierung</w:t>
      </w:r>
    </w:p>
    <w:p>
      <w:pPr>
        <w:pStyle w:val="FirstParagraph"/>
      </w:pPr>
      <w:r>
        <w:rPr>
          <w:b/>
          <w:bCs/>
        </w:rPr>
        <w:t xml:space="preserve">Stand 12.7.2026: vorhanden und getestet funktionsfähig.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Mechanismus:</w:t>
      </w:r>
      <w:r>
        <w:t xml:space="preserve"> </w:t>
      </w:r>
      <w:r>
        <w:t xml:space="preserve">Vor jedem Backup-Kopiervorgang (</w:t>
      </w:r>
      <w:r>
        <w:rPr>
          <w:rStyle w:val="VerbatimChar"/>
        </w:rPr>
        <w:t xml:space="preserve">bulinux.sh</w:t>
      </w:r>
      <w:r>
        <w:t xml:space="preserve">/</w:t>
      </w:r>
      <w:r>
        <w:rPr>
          <w:rStyle w:val="VerbatimChar"/>
        </w:rPr>
        <w:t xml:space="preserve">bumo.sh</w:t>
      </w:r>
      <w:r>
        <w:t xml:space="preserve">/</w:t>
      </w:r>
      <w:r>
        <w:rPr>
          <w:rStyle w:val="VerbatimChar"/>
        </w:rPr>
        <w:t xml:space="preserve">bunacht.sh</w:t>
      </w:r>
      <w:r>
        <w:t xml:space="preserve"> </w:t>
      </w:r>
      <w:r>
        <w:t xml:space="preserve">auf der Bash-Seite,</w:t>
      </w:r>
      <w:r>
        <w:t xml:space="preserve"> </w:t>
      </w:r>
      <w:r>
        <w:rPr>
          <w:rStyle w:val="VerbatimChar"/>
        </w:rPr>
        <w:t xml:space="preserve">mokopr.ps1</w:t>
      </w:r>
      <w:r>
        <w:t xml:space="preserve">/</w:t>
      </w:r>
      <w:r>
        <w:rPr>
          <w:rStyle w:val="VerbatimChar"/>
        </w:rPr>
        <w:t xml:space="preserve">morueck.ps1</w:t>
      </w:r>
      <w:r>
        <w:t xml:space="preserve"> </w:t>
      </w:r>
      <w:r>
        <w:t xml:space="preserve">auf der PowerShell/USB-Seite) wird eine Gruppe von drei bewusst unterschiedlich benannten und typisierten Referenzdateien (</w:t>
      </w:r>
      <w:r>
        <w:rPr>
          <w:rStyle w:val="VerbatimChar"/>
        </w:rPr>
        <w:t xml:space="preserve">Schutzdatei_bitte_belassen.doc</w:t>
      </w:r>
      <w:r>
        <w:t xml:space="preserve">,</w:t>
      </w:r>
      <w:r>
        <w:t xml:space="preserve"> </w:t>
      </w:r>
      <w:r>
        <w:rPr>
          <w:rStyle w:val="VerbatimChar"/>
        </w:rPr>
        <w:t xml:space="preserve">Auch_eine_Schutzdatei_bitte_belassen.jpg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zusätzliche_Schutzdatei_bitte_belassen.pdf</w:t>
      </w:r>
      <w:r>
        <w:t xml:space="preserve">) zwischen Quelle und Ziel per</w:t>
      </w:r>
      <w:r>
        <w:t xml:space="preserve"> </w:t>
      </w:r>
      <w:r>
        <w:rPr>
          <w:b/>
          <w:bCs/>
        </w:rPr>
        <w:t xml:space="preserve">SHA-256-Inhaltsvergleich</w:t>
      </w:r>
      <w:r>
        <w:t xml:space="preserve"> </w:t>
      </w:r>
      <w:r>
        <w:t xml:space="preserve">geprüft. Fehlt eine Datei auf der Quelle oder weicht ihr Inhalt ab, wird die Sicherung für das betroffene Verzeichnis</w:t>
      </w:r>
      <w:r>
        <w:t xml:space="preserve"> </w:t>
      </w:r>
      <w:r>
        <w:rPr>
          <w:b/>
          <w:bCs/>
        </w:rPr>
        <w:t xml:space="preserve">verweigert statt stillschweigend durchgeführt</w:t>
      </w:r>
      <w:r>
        <w:t xml:space="preserve">, und eine Warnmail geht raus.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Mailversand war bis 12.7.2026 tatsächlich defekt</w:t>
      </w:r>
      <w:r>
        <w:t xml:space="preserve"> </w:t>
      </w:r>
      <w:r>
        <w:t xml:space="preserve">(beim Test aufgefallen, nicht vorher bemerkt) – gleich drei unabhängige Ursachen: (1) SELinux-Fehllabelung zweier Postfix-Lockdateien (behoben mit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), (2) ungültige Absenderdomain (</w:t>
      </w:r>
      <w:r>
        <w:rPr>
          <w:rStyle w:val="VerbatimChar"/>
        </w:rPr>
        <w:t xml:space="preserve">root@linux1.localdomain</w:t>
      </w:r>
      <w:r>
        <w:t xml:space="preserve">) führte zu hartem Bounce bei</w:t>
      </w:r>
      <w:r>
        <w:t xml:space="preserve"> </w:t>
      </w:r>
      <w:r>
        <w:rPr>
          <w:rStyle w:val="VerbatimChar"/>
        </w:rPr>
        <w:t xml:space="preserve">diabetologie@dachau-mail.de</w:t>
      </w:r>
      <w:r>
        <w:t xml:space="preserve"> </w:t>
      </w:r>
      <w:r>
        <w:t xml:space="preserve">(behoben durch Umstellung auf Relay-Versand), (3) GMX lehnte direkten Versand wegen des dynamisch aussehenden PTR-Eintrags der IP grundsätzlich ab.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Postfix versendet jetzt authentifiziert über den M-net-Smarthost (</w:t>
      </w:r>
      <w:r>
        <w:rPr>
          <w:rStyle w:val="VerbatimChar"/>
        </w:rPr>
        <w:t xml:space="preserve">mail.mnet-online.de:587</w:t>
      </w:r>
      <w:r>
        <w:t xml:space="preserve">, SASL, STARTTLS; Zugangsdaten aus</w:t>
      </w:r>
      <w:r>
        <w:t xml:space="preserve"> </w:t>
      </w:r>
      <w:r>
        <w:rPr>
          <w:rStyle w:val="VerbatimChar"/>
        </w:rPr>
        <w:t xml:space="preserve">/root/mnetrc</w:t>
      </w:r>
      <w:r>
        <w:t xml:space="preserve">) mit per</w:t>
      </w:r>
      <w:r>
        <w:t xml:space="preserve"> </w:t>
      </w:r>
      <w:r>
        <w:rPr>
          <w:rStyle w:val="VerbatimChar"/>
        </w:rPr>
        <w:t xml:space="preserve">sender_canonical_maps</w:t>
      </w:r>
      <w:r>
        <w:t xml:space="preserve"> </w:t>
      </w:r>
      <w:r>
        <w:t xml:space="preserve">korrigiertem Absender (</w:t>
      </w:r>
      <w:r>
        <w:rPr>
          <w:rStyle w:val="VerbatimChar"/>
        </w:rPr>
        <w:t xml:space="preserve">gschade@dachau-mail.de</w:t>
      </w:r>
      <w:r>
        <w:t xml:space="preserve">). Erfolgreich getestet an alle drei konfigurierten Empfänger.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Empfänger</w:t>
      </w:r>
      <w:r>
        <w:t xml:space="preserve"> </w:t>
      </w:r>
      <w:r>
        <w:t xml:space="preserve">(</w:t>
      </w:r>
      <w:r>
        <w:rPr>
          <w:rStyle w:val="VerbatimChar"/>
        </w:rPr>
        <w:t xml:space="preserve">SDMAILEMPF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bugem.sh</w:t>
      </w:r>
      <w:r>
        <w:t xml:space="preserve">):</w:t>
      </w:r>
      <w:r>
        <w:t xml:space="preserve"> </w:t>
      </w:r>
      <w:r>
        <w:rPr>
          <w:rStyle w:val="VerbatimChar"/>
        </w:rPr>
        <w:t xml:space="preserve">diabetologie@dachau-mail.de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gerald.schade@gmx.de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geraldschade@gmx.de</w:t>
      </w:r>
      <w:r>
        <w:t xml:space="preserve"> </w:t>
      </w:r>
      <w:r>
        <w:t xml:space="preserve">– bei Bedarf dort leicht erweiterbar.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Nebenbefund beim Testen, ebenfalls behoben – größer als zunächst gedacht:</w:t>
      </w:r>
      <w:r>
        <w:t xml:space="preserve"> </w:t>
      </w:r>
      <w:r>
        <w:t xml:space="preserve">Eine andere Mailkette (HylaFAX-Faxbenachrichtigungen an</w:t>
      </w:r>
      <w:r>
        <w:t xml:space="preserve"> </w:t>
      </w:r>
      <w:r>
        <w:rPr>
          <w:rStyle w:val="VerbatimChar"/>
        </w:rPr>
        <w:t xml:space="preserve">root@linux1</w:t>
      </w:r>
      <w:r>
        <w:t xml:space="preserve">/</w:t>
      </w:r>
      <w:r>
        <w:rPr>
          <w:rStyle w:val="VerbatimChar"/>
        </w:rPr>
        <w:t xml:space="preserve">root@linux1.fritz.box</w:t>
      </w:r>
      <w:r>
        <w:t xml:space="preserve">) hing zunächst seit über 24h fest. Bei genauerem Hinsehen stellte sich heraus:</w:t>
      </w:r>
      <w:r>
        <w:t xml:space="preserve"> </w:t>
      </w:r>
      <w:r>
        <w:rPr>
          <w:b/>
          <w:bCs/>
        </w:rPr>
        <w:t xml:space="preserve">die LAN-interne Mailzustellung zwischen allen drei Servern war in beiden Richtungen kaputt</w:t>
      </w:r>
      <w:r>
        <w:t xml:space="preserve">, auf linux7 sogar seit über zwei Monaten (226 hängende Nachrichten seit 8.5.2026,</w:t>
      </w:r>
      <w:r>
        <w:t xml:space="preserve"> </w:t>
      </w:r>
      <w:r>
        <w:t xml:space="preserve">“No route to host”</w:t>
      </w:r>
      <w:r>
        <w:t xml:space="preserve">) – Ursache war die Kombination aus</w:t>
      </w:r>
      <w:r>
        <w:t xml:space="preserve"> </w:t>
      </w:r>
      <w:r>
        <w:rPr>
          <w:rStyle w:val="VerbatimChar"/>
        </w:rPr>
        <w:t xml:space="preserve">inet_interfaces = loopback-only</w:t>
      </w:r>
      <w:r>
        <w:t xml:space="preserve"> </w:t>
      </w:r>
      <w:r>
        <w:t xml:space="preserve">und einer Firewall ohne Port 25. Behoben auf linux1/linux0/linux7: Port 25 aus dem LAN (192.168.178.0/24) erlaubt,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 </w:t>
      </w:r>
      <w:r>
        <w:t xml:space="preserve">um eigenen Kurz-/FQDN-Namen ergänzt,</w:t>
      </w:r>
      <w:r>
        <w:t xml:space="preserve"> </w:t>
      </w:r>
      <w:r>
        <w:rPr>
          <w:rStyle w:val="VerbatimChar"/>
        </w:rPr>
        <w:t xml:space="preserve">transport_maps</w:t>
      </w:r>
      <w:r>
        <w:t xml:space="preserve"> </w:t>
      </w:r>
      <w:r>
        <w:t xml:space="preserve">so gesetzt, dass die jeweils anderen Server direkt per LAN-IP erreicht werden (sonst hätte alles unnötig über den externen M-net-Relay laufen wollen – lief dabei kurzzeitig sogar in eine Mail-Schleife</w:t>
      </w:r>
      <w:r>
        <w:t xml:space="preserve"> </w:t>
      </w:r>
      <w:r>
        <w:t xml:space="preserve">“loops back to myself”</w:t>
      </w:r>
      <w:r>
        <w:t xml:space="preserve">, ebenfalls behoben). Alle sechs Richtungen (linux1↔linux0, linux1↔linux7, linux0↔linux7) einzeln erfolgreich getestet.</w:t>
      </w:r>
      <w:r>
        <w:t xml:space="preserve"> </w:t>
      </w:r>
      <w:r>
        <w:rPr>
          <w:rStyle w:val="VerbatimChar"/>
          <w:b/>
          <w:bCs/>
        </w:rPr>
        <w:t xml:space="preserve">los.sh</w:t>
      </w:r>
      <w:r>
        <w:t xml:space="preserve"> </w:t>
      </w:r>
      <w:r>
        <w:t xml:space="preserve">wurde entsprechend erweitert (Funktion</w:t>
      </w:r>
      <w:r>
        <w:t xml:space="preserve"> </w:t>
      </w:r>
      <w:r>
        <w:rPr>
          <w:rStyle w:val="VerbatimChar"/>
        </w:rPr>
        <w:t xml:space="preserve">postfix()</w:t>
      </w:r>
      <w:r>
        <w:t xml:space="preserve">), sodass ein neu aufgesetzter oder ersetzter Server das automatisch korrekt mitbekommt. Keine inhaltliche Verbindung zum Ransomware-Thema selbst, aber ein gutes Beispiel dafür, wie leicht ein Alarm-Mailversand – gerade zwischen den Reserve-Servern, die im Ernstfall die Identität übernehmen sollen – monatelang unbemerkt ins Leere laufen kann, wenn er nicht aktiv getestet wird.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Restrisiko/Ergänzung, die weiterhin sinnvoll bleibt:</w:t>
      </w:r>
      <w:r>
        <w:t xml:space="preserve"> </w:t>
      </w:r>
      <w:r>
        <w:t xml:space="preserve">ein Cron-Job, der stichprobenartig prüft, ob sich in kurzer Zeit ungewöhnlich viele Dateien in den Datenverzeichnissen ändern (typisches Massenverschlüsselungsmuster), unabhängig vom Schutzdatei-Mechanismus. Noch nicht umgesetzt.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Lehre daraus:</w:t>
      </w:r>
      <w:r>
        <w:t xml:space="preserve"> </w:t>
      </w:r>
      <w:r>
        <w:t xml:space="preserve">Alarmmechanismen mindestens 1×/Jahr aktiv testen (nicht nur</w:t>
      </w:r>
      <w:r>
        <w:t xml:space="preserve"> </w:t>
      </w:r>
      <w:r>
        <w:t xml:space="preserve">“ist im Code vorhanden”</w:t>
      </w:r>
      <w:r>
        <w:t xml:space="preserve"> </w:t>
      </w:r>
      <w:r>
        <w:t xml:space="preserve">annehmen) – siehe auch Punkt 7 (Recovery Day), sinnvollerweise gemeinsam mit einem Mail-Alarmtest.</w:t>
      </w:r>
    </w:p>
    <w:bookmarkEnd w:id="26"/>
    <w:bookmarkStart w:id="27" w:name="testweise-wiederherstellung-recovery-day"/>
    <w:p>
      <w:pPr>
        <w:pStyle w:val="Heading3"/>
      </w:pPr>
      <w:r>
        <w:t xml:space="preserve">7. Testweise Wiederherstellung (</w:t>
      </w:r>
      <w:r>
        <w:t xml:space="preserve">“Recovery Day”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Ein Backup, das nie zurückgespielt wurde, ist nur eine Vermutung. Mindestens 1–2× jährlich testen: Kann aus dem Backup-Bestand tatsächlich eine Datenbank/ein Verzeichnis vollständig und korrekt wiederhergestellt werden? Zeit dafür realistisch einplanen (nicht nur</w:t>
      </w:r>
      <w:r>
        <w:t xml:space="preserve"> </w:t>
      </w:r>
      <w:r>
        <w:t xml:space="preserve">“Datei kopiert sich”</w:t>
      </w:r>
      <w:r>
        <w:t xml:space="preserve">, sondern</w:t>
      </w:r>
      <w:r>
        <w:t xml:space="preserve"> </w:t>
      </w:r>
      <w:r>
        <w:t xml:space="preserve">“Praxissoftware startet damit korrekt”</w:t>
      </w:r>
      <w:r>
        <w:t xml:space="preserve">).</w:t>
      </w:r>
    </w:p>
    <w:bookmarkEnd w:id="27"/>
    <w:bookmarkStart w:id="28" w:name="Xc061e1a067d44a1570670f9bd5dc879ea6885f1"/>
    <w:p>
      <w:pPr>
        <w:pStyle w:val="Heading3"/>
      </w:pPr>
      <w:r>
        <w:t xml:space="preserve">8. Notfallplan und -kontakte offline verfügbar halten</w:t>
      </w:r>
    </w:p>
    <w:p>
      <w:pPr>
        <w:pStyle w:val="FirstParagraph"/>
      </w:pPr>
      <w:r>
        <w:rPr>
          <w:b/>
          <w:bCs/>
        </w:rPr>
        <w:t xml:space="preserve">Stand 12.7.2026: Kontaktliste unten mit recherchierten/bestätigten Daten gefüllt, weiterhin nicht ausgedruckt/extern hinterlegt (offen).</w:t>
      </w:r>
    </w:p>
    <w:p>
      <w:pPr>
        <w:pStyle w:val="Compact"/>
        <w:numPr>
          <w:ilvl w:val="0"/>
          <w:numId w:val="1010"/>
        </w:numPr>
      </w:pPr>
      <w:r>
        <w:t xml:space="preserve">Diese Anleitung selbst,</w:t>
      </w:r>
      <w:r>
        <w:t xml:space="preserve"> </w:t>
      </w:r>
      <w:r>
        <w:rPr>
          <w:rStyle w:val="VerbatimChar"/>
        </w:rPr>
        <w:t xml:space="preserve">uebernahme.sh</w:t>
      </w:r>
      <w:r>
        <w:t xml:space="preserve">/</w:t>
      </w:r>
      <w:r>
        <w:rPr>
          <w:rStyle w:val="VerbatimChar"/>
        </w:rPr>
        <w:t xml:space="preserve">rueckgabe.sh</w:t>
      </w:r>
      <w:r>
        <w:t xml:space="preserve"> </w:t>
      </w:r>
      <w:r>
        <w:t xml:space="preserve">und die zugehörige Doku dürfen</w:t>
      </w:r>
      <w:r>
        <w:t xml:space="preserve"> </w:t>
      </w:r>
      <w:r>
        <w:rPr>
          <w:b/>
          <w:bCs/>
        </w:rPr>
        <w:t xml:space="preserve">nicht ausschließlich verschlüsselbar auf linux1/linux0/linux7 liegen</w:t>
      </w:r>
      <w:r>
        <w:t xml:space="preserve">. Empfehlung: zusätzlich eine ausgedruckte oder auf einem USB-Stick/Cloud-Notiz außerhalb der Serverinfrastruktur abgelegte Kopie dieses Dokuments plus der wichtigsten Zugangsdaten/Notfallkontakte (analog zur bereits vorhandenen</w:t>
      </w:r>
      <w:r>
        <w:t xml:space="preserve"> </w:t>
      </w:r>
      <w:r>
        <w:rPr>
          <w:rStyle w:val="VerbatimChar"/>
        </w:rPr>
        <w:t xml:space="preserve">Anleitung_MFA_Notfall_Uebernahme_Rueckgabe</w:t>
      </w:r>
      <w:r>
        <w:t xml:space="preserve">-Logik, aber für den IT-technischen Ernstfall).</w:t>
      </w:r>
      <w:r>
        <w:t xml:space="preserve"> </w:t>
      </w:r>
      <w:r>
        <w:rPr>
          <w:b/>
          <w:bCs/>
        </w:rPr>
        <w:t xml:space="preserve">Noch nicht umgesetzt</w:t>
      </w:r>
      <w:r>
        <w:t xml:space="preserve"> </w:t>
      </w:r>
      <w:r>
        <w:t xml:space="preserve">– die Liste unten steht bisher nur hier im Dokument, also selbst wieder auf verschlüsselbaren Servern.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Praxis-Notfallnummern über die eigene (Gerald Schade, s.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Anleitung_MFA_Notfall_Uebernahme_Rueckgabe.md</w:t>
      </w:r>
      <w:r>
        <w:rPr>
          <w:b/>
          <w:bCs/>
        </w:rPr>
        <w:t xml:space="preserve">) hinaus: keine vorhanden.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Praxissoftware-Hersteller (Medical Office): redomed, Inh. Helmut Holz.</w:t>
      </w:r>
    </w:p>
    <w:p>
      <w:pPr>
        <w:pStyle w:val="Compact"/>
        <w:numPr>
          <w:ilvl w:val="1"/>
          <w:numId w:val="1011"/>
        </w:numPr>
      </w:pPr>
      <w:r>
        <w:t xml:space="preserve">Offizieller Kontakt (Homepage, Stand 12.7.2026): Martinsring 13, 94339 Leiblfing. Telefon/Support:</w:t>
      </w:r>
      <w:r>
        <w:t xml:space="preserve"> </w:t>
      </w:r>
      <w:r>
        <w:rPr>
          <w:b/>
          <w:bCs/>
        </w:rPr>
        <w:t xml:space="preserve">09427 / 90 19 10 0</w:t>
      </w:r>
      <w:r>
        <w:t xml:space="preserve">, Fax: 09427 / 90 19 10 20, E-Mail:</w:t>
      </w:r>
      <w:r>
        <w:t xml:space="preserve"> </w:t>
      </w:r>
      <w:r>
        <w:rPr>
          <w:b/>
          <w:bCs/>
        </w:rPr>
        <w:t xml:space="preserve">support@redomed.de</w:t>
      </w:r>
      <w:r>
        <w:t xml:space="preserve">. Bietet Fernwartung per TeamViewer an.</w:t>
      </w:r>
    </w:p>
    <w:p>
      <w:pPr>
        <w:pStyle w:val="Compact"/>
        <w:numPr>
          <w:ilvl w:val="1"/>
          <w:numId w:val="1011"/>
        </w:numPr>
      </w:pPr>
      <w:r>
        <w:t xml:space="preserve">Geschäftsführer/Inhaber: Herr Holz, E-Mail:</w:t>
      </w:r>
      <w:r>
        <w:t xml:space="preserve"> </w:t>
      </w:r>
      <w:r>
        <w:rPr>
          <w:b/>
          <w:bCs/>
        </w:rPr>
        <w:t xml:space="preserve">helmut.holz@redomed.de</w:t>
      </w:r>
      <w:r>
        <w:t xml:space="preserve"> </w:t>
      </w:r>
      <w:r>
        <w:t xml:space="preserve">(Telefon geschäftlich identisch mit obiger Support-Nummer).</w:t>
      </w:r>
    </w:p>
    <w:p>
      <w:pPr>
        <w:pStyle w:val="Compact"/>
        <w:numPr>
          <w:ilvl w:val="1"/>
          <w:numId w:val="1011"/>
        </w:numPr>
      </w:pPr>
      <w:r>
        <w:t xml:space="preserve">Mobil/privat:</w:t>
      </w:r>
      <w:r>
        <w:t xml:space="preserve"> </w:t>
      </w:r>
      <w:r>
        <w:rPr>
          <w:b/>
          <w:bCs/>
        </w:rPr>
        <w:t xml:space="preserve">+49 1511 6511336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kein offizieller Kontaktweg</w:t>
      </w:r>
      <w:r>
        <w:t xml:space="preserve">, nur für den äußersten Notfall (z. B. wenn der reguläre Support-Kanal wegen des Vorfalls selbst nicht erreichbar ist), nicht routinemäßig nutzen.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IT-Forensik/Incident-Response-Dienstleister:</w:t>
      </w:r>
      <w:r>
        <w:t xml:space="preserve"> </w:t>
      </w:r>
      <w:r>
        <w:t xml:space="preserve">recherchiert am 12.7.2026 über die offizielle BSI-Liste qualifizierter APT-Response-Dienstleister (Stand 01.06.2026, staatlich geprüfter Qualitätsstandard).</w:t>
      </w:r>
      <w:r>
        <w:t xml:space="preserve"> </w:t>
      </w:r>
      <w:r>
        <w:rPr>
          <w:b/>
          <w:bCs/>
        </w:rPr>
        <w:t xml:space="preserve">Auswahl bewusst offen gelassen</w:t>
      </w:r>
      <w:r>
        <w:t xml:space="preserve"> </w:t>
      </w:r>
      <w:r>
        <w:t xml:space="preserve">– Empfehlung: 1–2 davon vorab unverbindlich kontaktieren, um Eindruck/Konditionen zu bekommen, bevor man sich festlegt.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Corporate Trust Business Risk &amp; Crisis Management GmbH</w:t>
      </w:r>
      <w:r>
        <w:t xml:space="preserve"> </w:t>
      </w:r>
      <w:r>
        <w:t xml:space="preserve">(München) – Tel. +49 89 599 88 75 80, info@corporate-trust.de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HvS-Consulting GmbH</w:t>
      </w:r>
      <w:r>
        <w:t xml:space="preserve"> </w:t>
      </w:r>
      <w:r>
        <w:t xml:space="preserve">(München) – Tel. +49 89 890 636 261, incidentresponse@hvs-consulting.de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msg systems ag – security advisors</w:t>
      </w:r>
      <w:r>
        <w:t xml:space="preserve"> </w:t>
      </w:r>
      <w:r>
        <w:t xml:space="preserve">(Ismaning/München) – 24/7-Hotline +49 89 413242320, dfir@msg.group (größte/etablierteste der vier, ggf. eher auf größere Mandanten ausgerichtet)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intersoft consulting services AG</w:t>
      </w:r>
      <w:r>
        <w:t xml:space="preserve"> </w:t>
      </w:r>
      <w:r>
        <w:t xml:space="preserve">(Hamburg, nicht Bayern) – 24/7-Hotline +49 180 622 124 6, it-forensik@intersoft-consulting.de – bietet zusätzlich Datenschutzrecht/DSGVO-Beratung aus einer Hand an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Cyber-Versicherung:</w:t>
      </w:r>
      <w:r>
        <w:t xml:space="preserve"> </w:t>
      </w:r>
      <w:r>
        <w:t xml:space="preserve">aktuell</w:t>
      </w:r>
      <w:r>
        <w:t xml:space="preserve"> </w:t>
      </w:r>
      <w:r>
        <w:rPr>
          <w:b/>
          <w:bCs/>
        </w:rPr>
        <w:t xml:space="preserve">bewusst nicht</w:t>
      </w:r>
      <w:r>
        <w:t xml:space="preserve"> </w:t>
      </w:r>
      <w:r>
        <w:t xml:space="preserve">abgeschlossen (s. Punkt 9).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Zentrale Ansprechstelle Cybercrime (ZAC) Bayern</w:t>
      </w:r>
      <w:r>
        <w:t xml:space="preserve"> </w:t>
      </w:r>
      <w:r>
        <w:t xml:space="preserve">beim Bayerischen Landeskriminalamt – Erstanlaufstelle der Polizei für Unternehmen/Praxen bei Cybercrime-Vorfällen, auch beratend</w:t>
      </w:r>
      <w:r>
        <w:t xml:space="preserve"> </w:t>
      </w:r>
      <w:r>
        <w:rPr>
          <w:i/>
          <w:iCs/>
        </w:rPr>
        <w:t xml:space="preserve">vor</w:t>
      </w:r>
      <w:r>
        <w:t xml:space="preserve"> </w:t>
      </w:r>
      <w:r>
        <w:t xml:space="preserve">einem Vorfall:</w:t>
      </w:r>
    </w:p>
    <w:p>
      <w:pPr>
        <w:pStyle w:val="Compact"/>
        <w:numPr>
          <w:ilvl w:val="1"/>
          <w:numId w:val="1013"/>
        </w:numPr>
      </w:pPr>
      <w:r>
        <w:t xml:space="preserve">Online-Meldung: https://www.zac-formular.polizei.bayern.de/</w:t>
      </w:r>
    </w:p>
    <w:p>
      <w:pPr>
        <w:pStyle w:val="Compact"/>
        <w:numPr>
          <w:ilvl w:val="1"/>
          <w:numId w:val="1013"/>
        </w:numPr>
      </w:pPr>
      <w:r>
        <w:t xml:space="preserve">Telefon:</w:t>
      </w:r>
      <w:r>
        <w:t xml:space="preserve"> </w:t>
      </w:r>
      <w:r>
        <w:rPr>
          <w:b/>
          <w:bCs/>
        </w:rPr>
        <w:t xml:space="preserve">+49 89 1212-3300</w:t>
      </w:r>
      <w:r>
        <w:t xml:space="preserve">, E-Mail:</w:t>
      </w:r>
      <w:r>
        <w:t xml:space="preserve"> </w:t>
      </w:r>
      <w:r>
        <w:rPr>
          <w:b/>
          <w:bCs/>
        </w:rPr>
        <w:t xml:space="preserve">zac@polizei.bayern.de</w:t>
      </w:r>
    </w:p>
    <w:p>
      <w:pPr>
        <w:pStyle w:val="Compact"/>
        <w:numPr>
          <w:ilvl w:val="1"/>
          <w:numId w:val="1013"/>
        </w:numPr>
      </w:pPr>
      <w:r>
        <w:t xml:space="preserve">Adresse: Maillingerstraße 15, 80636 München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Zuständige Datenschutzbehörde:</w:t>
      </w:r>
      <w:r>
        <w:t xml:space="preserve"> </w:t>
      </w:r>
      <w:r>
        <w:t xml:space="preserve">s. Punkt 10 (BayLDA).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Ärztekammer/KV</w:t>
      </w:r>
      <w:r>
        <w:t xml:space="preserve"> </w:t>
      </w:r>
      <w:r>
        <w:t xml:space="preserve">– zwei unterschiedliche Stellen, je nach Situation: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Ärztekammer</w:t>
      </w:r>
      <w:r>
        <w:t xml:space="preserve"> </w:t>
      </w:r>
      <w:r>
        <w:t xml:space="preserve">(Standesrecht/Schweigepflicht): vor allem relevant, wenn Hinweise auf tatsächlichen</w:t>
      </w:r>
      <w:r>
        <w:t xml:space="preserve"> </w:t>
      </w:r>
      <w:r>
        <w:rPr>
          <w:b/>
          <w:bCs/>
        </w:rPr>
        <w:t xml:space="preserve">Datenabfluss</w:t>
      </w:r>
      <w:r>
        <w:t xml:space="preserve"> </w:t>
      </w:r>
      <w:r>
        <w:t xml:space="preserve">vorliegen (nicht nur Verschlüsselung vor Ort) – berührt dann ggf. § 203 StGB. Bayerische Landesärztekammer, München, allgemeine Beratung auch präventiv möglich.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KV (Kassenärztliche Vereinigung Bayerns)</w:t>
      </w:r>
      <w:r>
        <w:t xml:space="preserve">: relevant, wenn Abrechnung/Praxisbetrieb durch den Vorfall gestört ist (Fristen, Ersatzverfahren) – kein Bezug zur Schweigepflicht.</w:t>
      </w:r>
    </w:p>
    <w:bookmarkEnd w:id="28"/>
    <w:bookmarkStart w:id="29" w:name="cyber-versicherung-prüfen"/>
    <w:p>
      <w:pPr>
        <w:pStyle w:val="Heading3"/>
      </w:pPr>
      <w:r>
        <w:t xml:space="preserve">9. Cyber-Versicherung prüfen</w:t>
      </w:r>
    </w:p>
    <w:p>
      <w:pPr>
        <w:pStyle w:val="FirstParagraph"/>
      </w:pPr>
      <w:r>
        <w:rPr>
          <w:b/>
          <w:bCs/>
        </w:rPr>
        <w:t xml:space="preserve">Entscheidung (Stand 12.7.2026): aktuell bewusst nicht abgeschlossen.</w:t>
      </w:r>
      <w:r>
        <w:t xml:space="preserve"> </w:t>
      </w:r>
      <w:r>
        <w:t xml:space="preserve">Falls sich das später ändert: für eine Arztpraxis mit Patientendaten grundsätzlich sinnvoll, deckt oft auch Forensik-Dienstleister und Betriebsunterbrechung ab – dann vorab prüfen, welche Auflagen die Police an die IT-Sicherheit stellt (sonst im Schadensfall Deckungslücke).</w:t>
      </w:r>
    </w:p>
    <w:bookmarkEnd w:id="29"/>
    <w:bookmarkStart w:id="30" w:name="rechtliche-vorbereitung-gesundheitsdaten"/>
    <w:p>
      <w:pPr>
        <w:pStyle w:val="Heading3"/>
      </w:pPr>
      <w:r>
        <w:t xml:space="preserve">10. Rechtliche Vorbereitung (Gesundheitsdaten!)</w:t>
      </w:r>
    </w:p>
    <w:p>
      <w:pPr>
        <w:pStyle w:val="Compact"/>
        <w:numPr>
          <w:ilvl w:val="0"/>
          <w:numId w:val="1015"/>
        </w:numPr>
      </w:pPr>
      <w:r>
        <w:t xml:space="preserve">Da Patientendaten betroffen sind (Art. 9 DSGVO – besondere Kategorien), ist ein Ransomware-Vorfall mit Zugriff/Verschlüsselung dieser Daten in aller Regel eine</w:t>
      </w:r>
      <w:r>
        <w:t xml:space="preserve"> </w:t>
      </w:r>
      <w:r>
        <w:rPr>
          <w:b/>
          <w:bCs/>
        </w:rPr>
        <w:t xml:space="preserve">meldepflichtige Datenschutzverletzung</w:t>
      </w:r>
      <w:r>
        <w:t xml:space="preserve"> </w:t>
      </w:r>
      <w:r>
        <w:t xml:space="preserve">(Art. 33 DSGVO, 72-Stunden-Frist ab Kenntnis) und ggf. Informationspflicht gegenüber Betroffenen (Art. 34 DSGVO).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Zuständige Behörde (Sitz Dachau, Bayern): Bayerisches Landesamt für Datenschutzaufsicht (BayLDA)</w:t>
      </w:r>
      <w:r>
        <w:t xml:space="preserve"> </w:t>
      </w:r>
      <w:r>
        <w:t xml:space="preserve">– zuständig für nicht-öffentliche Stellen (Arztpraxen, Unternehmen, Selbstständige), recherchiert und bestätigt am 12.7.2026: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Online-Meldeformular (empfohlen, da schnellere Bearbeitung):</w:t>
      </w:r>
      <w:r>
        <w:t xml:space="preserve"> </w:t>
      </w:r>
      <w:r>
        <w:t xml:space="preserve">https://www.lda.bayern.de/de/datenpanne.html – liefert nach Absenden sofort eine eigene Vorgangs-ID mit Zeitstempel als Nachweis der 72h-Frist; unterstützt auch Folgemeldungen zum selben Vorgang.</w:t>
      </w:r>
    </w:p>
    <w:p>
      <w:pPr>
        <w:pStyle w:val="Compact"/>
        <w:numPr>
          <w:ilvl w:val="1"/>
          <w:numId w:val="1016"/>
        </w:numPr>
      </w:pPr>
      <w:r>
        <w:t xml:space="preserve">Telefon:</w:t>
      </w:r>
      <w:r>
        <w:t xml:space="preserve"> </w:t>
      </w:r>
      <w:r>
        <w:rPr>
          <w:b/>
          <w:bCs/>
        </w:rPr>
        <w:t xml:space="preserve">+49 981 180093-0</w:t>
      </w:r>
      <w:r>
        <w:t xml:space="preserve"> </w:t>
      </w:r>
      <w:r>
        <w:t xml:space="preserve">(Mo–Fr 8:00–12:00 Uhr), Fax: +49 981 180093-800</w:t>
      </w:r>
    </w:p>
    <w:p>
      <w:pPr>
        <w:pStyle w:val="Compact"/>
        <w:numPr>
          <w:ilvl w:val="1"/>
          <w:numId w:val="1016"/>
        </w:numPr>
      </w:pPr>
      <w:r>
        <w:t xml:space="preserve">Adresse: Promenade 18, 91522 Ansbach; E-Mail: poststelle@lda.bayern.de (nur PDF-Anhänge)</w:t>
      </w:r>
    </w:p>
    <w:p>
      <w:pPr>
        <w:pStyle w:val="Compact"/>
        <w:numPr>
          <w:ilvl w:val="1"/>
          <w:numId w:val="1016"/>
        </w:numPr>
      </w:pPr>
      <w:r>
        <w:t xml:space="preserve">Für technische/kriminalpolizeiliche Seite parallel</w:t>
      </w:r>
      <w:r>
        <w:t xml:space="preserve"> </w:t>
      </w:r>
      <w:r>
        <w:rPr>
          <w:b/>
          <w:bCs/>
        </w:rPr>
        <w:t xml:space="preserve">ZAC Bayern</w:t>
      </w:r>
      <w:r>
        <w:t xml:space="preserve"> </w:t>
      </w:r>
      <w:r>
        <w:t xml:space="preserve">kontaktieren (s. Punkt 8) – das BayLDA selbst verweist bei Cybercrime-Fällen auch dorthin.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Xbceba91017094f63139921ac4fe727b359ec9ba"/>
    <w:p>
      <w:pPr>
        <w:pStyle w:val="Heading2"/>
      </w:pPr>
      <w:r>
        <w:t xml:space="preserve">Teil B – Vorgehen im akuten Ransomware-Fall</w:t>
      </w:r>
    </w:p>
    <w:bookmarkStart w:id="32" w:name="X22afcdedd369038e692ec00ec2250057fc3ef7c"/>
    <w:p>
      <w:pPr>
        <w:pStyle w:val="Heading3"/>
      </w:pPr>
      <w:r>
        <w:t xml:space="preserve">Schritt 1: Isolieren, bevor irgendetwas anderes passiert</w:t>
      </w:r>
    </w:p>
    <w:p>
      <w:pPr>
        <w:pStyle w:val="Compact"/>
        <w:numPr>
          <w:ilvl w:val="0"/>
          <w:numId w:val="1017"/>
        </w:numPr>
      </w:pPr>
      <w:r>
        <w:t xml:space="preserve">Betroffene(s) System(e)</w:t>
      </w:r>
      <w:r>
        <w:t xml:space="preserve"> </w:t>
      </w:r>
      <w:r>
        <w:rPr>
          <w:b/>
          <w:bCs/>
        </w:rPr>
        <w:t xml:space="preserve">sofort vom Netz trennen</w:t>
      </w:r>
      <w:r>
        <w:t xml:space="preserve"> </w:t>
      </w:r>
      <w:r>
        <w:t xml:space="preserve">(Netzwerkkabel ziehen bzw. Netzwerk-Interface deaktivieren) – nicht sofort ausschalten, wenn vermeidbar (laufende Verschlüsselung stoppt durch Netztrennung oft schon, und der Systemzustand bleibt für eine spätere forensische Einschätzung erhalten).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Alle anderen Systeme im selben Netz prüfen und vorsorglich ebenfalls trennen</w:t>
      </w:r>
      <w:r>
        <w:t xml:space="preserve">, solange unklar ist, wie weit sich der Trojaner schon ausgebreitet hat – ausdrücklich auch linux0/linux7, falls sie zu dem Zeitpunkt im Netz eingebunden waren (siehe Hinweis oben: Failover-Server sind kein automatischer Schutz).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Auf keinen Fall</w:t>
      </w:r>
      <w:r>
        <w:t xml:space="preserve"> </w:t>
      </w:r>
      <w:r>
        <w:t xml:space="preserve">jetzt ein Backup-Medium anschließen, das nicht sicher schreibgeschützt ist – sonst droht, dass auch die letzte gute Kopie überschrieben oder mitverschlüsselt wird.</w:t>
      </w:r>
    </w:p>
    <w:bookmarkEnd w:id="32"/>
    <w:bookmarkStart w:id="33" w:name="X44b0ce0f178c861f4f5a72e7168436c8fb6cb2b"/>
    <w:p>
      <w:pPr>
        <w:pStyle w:val="Heading3"/>
      </w:pPr>
      <w:r>
        <w:t xml:space="preserve">Schritt 2: Beweise sichern, bevor aufgeräumt wird</w:t>
      </w:r>
    </w:p>
    <w:p>
      <w:pPr>
        <w:pStyle w:val="Compact"/>
        <w:numPr>
          <w:ilvl w:val="0"/>
          <w:numId w:val="1018"/>
        </w:numPr>
      </w:pPr>
      <w:r>
        <w:t xml:space="preserve">Erpresserbotschaft (Screenshot/Foto), betroffene Dateiendungen, ungefähre Uhrzeit des ersten Auffallens, verdächtige E-Mails/Anhänge der letzten Tage notieren.</w:t>
      </w:r>
    </w:p>
    <w:p>
      <w:pPr>
        <w:pStyle w:val="Compact"/>
        <w:numPr>
          <w:ilvl w:val="0"/>
          <w:numId w:val="1018"/>
        </w:numPr>
      </w:pPr>
      <w:r>
        <w:t xml:space="preserve">Relevante Logs sichern, bevor sie rotiert werden (</w:t>
      </w:r>
      <w:r>
        <w:rPr>
          <w:rStyle w:val="VerbatimChar"/>
        </w:rPr>
        <w:t xml:space="preserve">/var/log/rsync.log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gsbackup.prot</w:t>
      </w:r>
      <w:r>
        <w:t xml:space="preserve">/</w:t>
      </w:r>
      <w:r>
        <w:rPr>
          <w:rStyle w:val="VerbatimChar"/>
        </w:rPr>
        <w:t xml:space="preserve">gsbackupfehler.prot</w:t>
      </w:r>
      <w:r>
        <w:t xml:space="preserve">, System-/Auth-Logs, Cron-Logs).</w:t>
      </w:r>
    </w:p>
    <w:p>
      <w:pPr>
        <w:pStyle w:val="Compact"/>
        <w:numPr>
          <w:ilvl w:val="0"/>
          <w:numId w:val="1018"/>
        </w:numPr>
      </w:pPr>
      <w:r>
        <w:t xml:space="preserve">Das alles wird für Anzeige, Versicherung und eine mögliche Forensik gebraucht.</w:t>
      </w:r>
    </w:p>
    <w:bookmarkEnd w:id="33"/>
    <w:bookmarkStart w:id="34" w:name="Xcb3e61506280b9c607e03980b4304e0319900dd"/>
    <w:p>
      <w:pPr>
        <w:pStyle w:val="Heading3"/>
      </w:pPr>
      <w:r>
        <w:t xml:space="preserve">Schritt 3: Nicht zahlen, nicht selbst experimentieren</w:t>
      </w:r>
    </w:p>
    <w:p>
      <w:pPr>
        <w:pStyle w:val="Compact"/>
        <w:numPr>
          <w:ilvl w:val="0"/>
          <w:numId w:val="1019"/>
        </w:numPr>
      </w:pPr>
      <w:r>
        <w:t xml:space="preserve">Von offizieller Seite (BSI u. a.) wird von Lösegeldzahlungen abgeraten: keine Garantie auf Entschlüsselung, finanziert weitere Kriminalität, macht als</w:t>
      </w:r>
      <w:r>
        <w:t xml:space="preserve"> </w:t>
      </w:r>
      <w:r>
        <w:t xml:space="preserve">“zahlender Kunde”</w:t>
      </w:r>
      <w:r>
        <w:t xml:space="preserve"> </w:t>
      </w:r>
      <w:r>
        <w:t xml:space="preserve">ggf. erneut zum Ziel. Die endgültige Entscheidung liegt selbstverständlich bei euch, aber sie sollte nicht spontan unter Druck getroffen werden.</w:t>
      </w:r>
    </w:p>
    <w:p>
      <w:pPr>
        <w:pStyle w:val="Compact"/>
        <w:numPr>
          <w:ilvl w:val="0"/>
          <w:numId w:val="1019"/>
        </w:numPr>
      </w:pPr>
      <w:r>
        <w:t xml:space="preserve">Vor jedem eigenen Entschlüsselungsversuch mit Tools aus dem Netz: Vorsicht vor Falsch-Tools, die zusätzlichen Schaden anrichten. Bekannte, saubere Entschlüsselungstools (falls die Ransomware-Familie bereits geknackt ist) finden sich z. B. beim Projekt</w:t>
      </w:r>
      <w:r>
        <w:t xml:space="preserve"> </w:t>
      </w:r>
      <w:r>
        <w:t xml:space="preserve">“No More Ransom”</w:t>
      </w:r>
      <w:r>
        <w:t xml:space="preserve"> </w:t>
      </w:r>
      <w:r>
        <w:t xml:space="preserve">(nomoreransom.org) – dort zuerst die erkannte Ransomware-Variante identifizieren lassen.</w:t>
      </w:r>
    </w:p>
    <w:bookmarkEnd w:id="34"/>
    <w:bookmarkStart w:id="35" w:name="schritt-4-experten-hinzuziehen"/>
    <w:p>
      <w:pPr>
        <w:pStyle w:val="Heading3"/>
      </w:pPr>
      <w:r>
        <w:t xml:space="preserve">Schritt 4: Experten hinzuziehen</w:t>
      </w:r>
    </w:p>
    <w:p>
      <w:pPr>
        <w:pStyle w:val="Compact"/>
        <w:numPr>
          <w:ilvl w:val="0"/>
          <w:numId w:val="1020"/>
        </w:numPr>
      </w:pPr>
      <w:r>
        <w:t xml:space="preserve">Spätestens jetzt IT-Forensik/Incident-Response-Dienstleister kontaktieren (idealerweise vorab schon bekannt, siehe Teil A.8) bzw. über die Cyber-Versicherung vermitteln lassen. Bei einer Arztpraxis mit Patientendaten ist</w:t>
      </w:r>
      <w:r>
        <w:t xml:space="preserve"> </w:t>
      </w:r>
      <w:r>
        <w:t xml:space="preserve">“selber schnell reparieren”</w:t>
      </w:r>
      <w:r>
        <w:t xml:space="preserve"> </w:t>
      </w:r>
      <w:r>
        <w:t xml:space="preserve">wegen der rechtlichen Lage riskanter als bei einem reinen Hobby-Server.</w:t>
      </w:r>
    </w:p>
    <w:bookmarkEnd w:id="35"/>
    <w:bookmarkStart w:id="36" w:name="Xbcba3ff69477bd69edf158e0677aae51a0ffbe5"/>
    <w:p>
      <w:pPr>
        <w:pStyle w:val="Heading3"/>
      </w:pPr>
      <w:r>
        <w:t xml:space="preserve">Schritt 5: Melden (rechtliche Pflichten nicht vergessen)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BayLDA:</w:t>
      </w:r>
      <w:r>
        <w:t xml:space="preserve"> </w:t>
      </w:r>
      <w:r>
        <w:t xml:space="preserve">binnen 72 Stunden nach Kenntnis melden (Art. 33 DSGVO), da Gesundheitsdaten wahrscheinlich betroffen sind – auch wenn zu diesem Zeitpunkt noch nicht alle Details geklärt sind (Nachmeldung ist möglich). Online-Formular: https://www.lda.bayern.de/de/datenpanne.html (liefert sofort eine Vorgangs-ID als Fristnachweis), telefonisch +49 981 180093-0 (Mo–Fr 8–12 Uhr). Details s. Teil A, Punkt 10.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Betroffene Patienten:</w:t>
      </w:r>
      <w:r>
        <w:t xml:space="preserve"> </w:t>
      </w:r>
      <w:r>
        <w:t xml:space="preserve">prüfen, ob Informationspflicht nach Art. 34 DSGVO greift (hohes Risiko für Rechte/Freiheiten der Betroffenen – bei Gesundheitsdaten im Zweifel eher ja).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ZAC Bayern (Polizei):</w:t>
      </w:r>
      <w:r>
        <w:t xml:space="preserve"> </w:t>
      </w:r>
      <w:r>
        <w:t xml:space="preserve">Zentrale Ansprechstelle Cybercrime beim Bayerischen LKA, https://www.zac-formular.polizei.bayern.de/, Tel. +49 89 1212-3300. Details s. Teil A, Punkt 8.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BSI:</w:t>
      </w:r>
      <w:r>
        <w:t xml:space="preserve"> </w:t>
      </w:r>
      <w:r>
        <w:t xml:space="preserve">freiwillige Meldung möglich und sinnvoll (Lagebild, ggf. Unterstützung).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Ärztekammer:</w:t>
      </w:r>
      <w:r>
        <w:t xml:space="preserve"> </w:t>
      </w:r>
      <w:r>
        <w:t xml:space="preserve">falls Hinweise auf tatsächlichen Datenabfluss vorliegen (nicht nur Verschlüsselung) – berührt dann ggf. die Schweigepflicht (§ 203 StGB).</w:t>
      </w:r>
      <w:r>
        <w:t xml:space="preserve"> </w:t>
      </w:r>
      <w:r>
        <w:rPr>
          <w:b/>
          <w:bCs/>
        </w:rPr>
        <w:t xml:space="preserve">KV Bayerns:</w:t>
      </w:r>
      <w:r>
        <w:t xml:space="preserve"> </w:t>
      </w:r>
      <w:r>
        <w:t xml:space="preserve">falls Abrechnung/Praxisbetrieb durch den Vorfall gestört ist (Fristen, Ersatzverfahren) – anderer Grund, andere Stelle, s. Teil A, Punkt 8.</w:t>
      </w:r>
    </w:p>
    <w:bookmarkEnd w:id="36"/>
    <w:bookmarkStart w:id="37" w:name="Xd57e91210eab764709c518378e1dfdc09599df0"/>
    <w:p>
      <w:pPr>
        <w:pStyle w:val="Heading3"/>
      </w:pPr>
      <w:r>
        <w:t xml:space="preserve">Schritt 6: Wiederherstellung – sauber statt schnell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Nicht einfach das verschlüsselte System</w:t>
      </w:r>
      <w:r>
        <w:rPr>
          <w:b/>
          <w:bCs/>
        </w:rPr>
        <w:t xml:space="preserve"> </w:t>
      </w:r>
      <w:r>
        <w:rPr>
          <w:b/>
          <w:bCs/>
        </w:rPr>
        <w:t xml:space="preserve">“bereinigen”</w:t>
      </w:r>
      <w:r>
        <w:rPr>
          <w:b/>
          <w:bCs/>
        </w:rPr>
        <w:t xml:space="preserve"> </w:t>
      </w:r>
      <w:r>
        <w:rPr>
          <w:b/>
          <w:bCs/>
        </w:rPr>
        <w:t xml:space="preserve">und weiterlaufen lassen.</w:t>
      </w:r>
      <w:r>
        <w:t xml:space="preserve"> </w:t>
      </w:r>
      <w:r>
        <w:t xml:space="preserve">Empfehlung: betroffene(s) System(e) komplett neu aufsetzen (Betriebssystem-Neuinstallation), nicht nur die sichtbare Schadsoftware entfernen – Backdoors/Persistenzmechanismen bleiben sonst oft unentdeckt zurück.</w:t>
      </w:r>
    </w:p>
    <w:p>
      <w:pPr>
        <w:pStyle w:val="Compact"/>
        <w:numPr>
          <w:ilvl w:val="0"/>
          <w:numId w:val="1022"/>
        </w:numPr>
      </w:pPr>
      <w:r>
        <w:t xml:space="preserve">Daten</w:t>
      </w:r>
      <w:r>
        <w:t xml:space="preserve"> </w:t>
      </w:r>
      <w:r>
        <w:rPr>
          <w:b/>
          <w:bCs/>
        </w:rPr>
        <w:t xml:space="preserve">nur aus einer nachweislich sauberen Kopie</w:t>
      </w:r>
      <w:r>
        <w:t xml:space="preserve"> </w:t>
      </w:r>
      <w:r>
        <w:t xml:space="preserve">wiederherstellen, die sicher</w:t>
      </w:r>
      <w:r>
        <w:t xml:space="preserve"> </w:t>
      </w:r>
      <w:r>
        <w:rPr>
          <w:b/>
          <w:bCs/>
        </w:rPr>
        <w:t xml:space="preserve">vor</w:t>
      </w:r>
      <w:r>
        <w:t xml:space="preserve"> </w:t>
      </w:r>
      <w:r>
        <w:t xml:space="preserve">dem Infektionszeitpunkt liegt. Genau hier zeigt sich, warum Teil A wichtig ist: ohne unveränderliche/versionierte Kopie lässt sich oft schwer beweisen, dass ein Backup wirklich</w:t>
      </w:r>
      <w:r>
        <w:t xml:space="preserve"> </w:t>
      </w:r>
      <w:r>
        <w:t xml:space="preserve">“sauber”</w:t>
      </w:r>
      <w:r>
        <w:t xml:space="preserve"> </w:t>
      </w:r>
      <w:r>
        <w:t xml:space="preserve">ist.</w:t>
      </w:r>
    </w:p>
    <w:p>
      <w:pPr>
        <w:pStyle w:val="Compact"/>
        <w:numPr>
          <w:ilvl w:val="0"/>
          <w:numId w:val="1022"/>
        </w:numPr>
      </w:pPr>
      <w:r>
        <w:t xml:space="preserve">Die bestehende linux0/linux7-Übernahme-Logik (</w:t>
      </w:r>
      <w:r>
        <w:rPr>
          <w:rStyle w:val="VerbatimChar"/>
        </w:rPr>
        <w:t xml:space="preserve">uebernahme.sh</w:t>
      </w:r>
      <w:r>
        <w:t xml:space="preserve">)</w:t>
      </w:r>
      <w:r>
        <w:t xml:space="preserve"> </w:t>
      </w:r>
      <w:r>
        <w:rPr>
          <w:b/>
          <w:bCs/>
        </w:rPr>
        <w:t xml:space="preserve">nicht ungeprüft</w:t>
      </w:r>
      <w:r>
        <w:t xml:space="preserve"> </w:t>
      </w:r>
      <w:r>
        <w:t xml:space="preserve">als</w:t>
      </w:r>
      <w:r>
        <w:t xml:space="preserve"> </w:t>
      </w:r>
      <w:r>
        <w:t xml:space="preserve">“sauberen Ersatz”</w:t>
      </w:r>
      <w:r>
        <w:t xml:space="preserve"> </w:t>
      </w:r>
      <w:r>
        <w:t xml:space="preserve">nutzen, wenn unklar ist, ob diese Systeme zum Infektionszeitpunkt im Netz erreichbar und damit potenziell auch betroffen waren. Erst prüfen (Neuinstallation im Zweifel auch hier), dann übernehmen.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Alle Zugangsdaten wechseln</w:t>
      </w:r>
      <w:r>
        <w:t xml:space="preserve"> </w:t>
      </w:r>
      <w:r>
        <w:t xml:space="preserve">– root-Passwörter, SSH-Keys, CIFS/Samba-Konten, WLAN, Fernzugänge, ggf. auch Konten der Praxissoftware selbst. Ein Angreifer, der einmal drin war, hat evtl. Zugangsdaten mitgelesen.</w:t>
      </w:r>
    </w:p>
    <w:p>
      <w:pPr>
        <w:pStyle w:val="Compact"/>
        <w:numPr>
          <w:ilvl w:val="0"/>
          <w:numId w:val="1022"/>
        </w:numPr>
      </w:pPr>
      <w:r>
        <w:t xml:space="preserve">Erst nach Schließen der bekannten Einfallstür (Patch, geändertes Passwort, entferntes offenes Protokoll o. Ä.) wieder ans Netz gehen.</w:t>
      </w:r>
    </w:p>
    <w:bookmarkEnd w:id="37"/>
    <w:bookmarkStart w:id="38" w:name="schritt-7-nachbereitung"/>
    <w:p>
      <w:pPr>
        <w:pStyle w:val="Heading3"/>
      </w:pPr>
      <w:r>
        <w:t xml:space="preserve">Schritt 7: Nachbereitung</w:t>
      </w:r>
    </w:p>
    <w:p>
      <w:pPr>
        <w:pStyle w:val="Compact"/>
        <w:numPr>
          <w:ilvl w:val="0"/>
          <w:numId w:val="1023"/>
        </w:numPr>
      </w:pPr>
      <w:r>
        <w:t xml:space="preserve">Kurzer, schriftlicher Rückblick: Wie kam der Trojaner rein, was hat wie lange gedauert, was hat gut/schlecht funktioniert? Diese Anleitung danach entsprechend aktualisieren.</w:t>
      </w:r>
    </w:p>
    <w:p>
      <w:pPr>
        <w:pStyle w:val="Compact"/>
        <w:numPr>
          <w:ilvl w:val="0"/>
          <w:numId w:val="1023"/>
        </w:numPr>
      </w:pPr>
      <w:r>
        <w:t xml:space="preserve">Praxisteam kurz sensibilisieren (v. a. Phishing-Erkennung), da der Eintrittsweg sehr häufig über einen Windows-Arbeitsplatz läuft, nicht über den Server direkt.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579f387d8d496a2eb18bd15cdd7199eebf624ff"/>
    <w:p>
      <w:pPr>
        <w:pStyle w:val="Heading2"/>
      </w:pPr>
      <w:r>
        <w:t xml:space="preserve">Kurz-Checkliste für den Ernstfall (zum schnellen Nachschlagen)</w:t>
      </w:r>
    </w:p>
    <w:p>
      <w:pPr>
        <w:pStyle w:val="Compact"/>
        <w:numPr>
          <w:ilvl w:val="0"/>
          <w:numId w:val="1024"/>
        </w:numPr>
      </w:pPr>
      <w:r>
        <w:t xml:space="preserve">Netz trennen (betroffenes System + vorsorglich linux0/linux7).</w:t>
      </w:r>
    </w:p>
    <w:p>
      <w:pPr>
        <w:pStyle w:val="Compact"/>
        <w:numPr>
          <w:ilvl w:val="0"/>
          <w:numId w:val="1024"/>
        </w:numPr>
      </w:pPr>
      <w:r>
        <w:t xml:space="preserve">Kein Backup-Medium anschließen, bevor Lage klar ist.</w:t>
      </w:r>
    </w:p>
    <w:p>
      <w:pPr>
        <w:pStyle w:val="Compact"/>
        <w:numPr>
          <w:ilvl w:val="0"/>
          <w:numId w:val="1024"/>
        </w:numPr>
      </w:pPr>
      <w:r>
        <w:t xml:space="preserve">Beweise sichern (Screenshots, Logs, Dateiliste).</w:t>
      </w:r>
    </w:p>
    <w:p>
      <w:pPr>
        <w:pStyle w:val="Compact"/>
        <w:numPr>
          <w:ilvl w:val="0"/>
          <w:numId w:val="1024"/>
        </w:numPr>
      </w:pPr>
      <w:r>
        <w:t xml:space="preserve">Nicht zahlen, keine Drittanbieter-Tools ungeprüft ausführen.</w:t>
      </w:r>
    </w:p>
    <w:p>
      <w:pPr>
        <w:pStyle w:val="Compact"/>
        <w:numPr>
          <w:ilvl w:val="0"/>
          <w:numId w:val="1024"/>
        </w:numPr>
      </w:pPr>
      <w:r>
        <w:t xml:space="preserve">Forensik-/IR-Dienstleister + Versicherung kontaktieren.</w:t>
      </w:r>
    </w:p>
    <w:p>
      <w:pPr>
        <w:pStyle w:val="Compact"/>
        <w:numPr>
          <w:ilvl w:val="0"/>
          <w:numId w:val="1024"/>
        </w:numPr>
      </w:pPr>
      <w:r>
        <w:t xml:space="preserve">Meldung: BayLDA (72h, lda.bayern.de/de/datenpanne.html), ggf. Patienten, ZAC Bayern (Polizei), ggf. BSI/Ärztekammer/KV.</w:t>
      </w:r>
    </w:p>
    <w:p>
      <w:pPr>
        <w:pStyle w:val="Compact"/>
        <w:numPr>
          <w:ilvl w:val="0"/>
          <w:numId w:val="1024"/>
        </w:numPr>
      </w:pPr>
      <w:r>
        <w:t xml:space="preserve">Sauber neu aufsetzen statt nur bereinigen, nur aus nachweislich sauberem Backup wiederherstellen.</w:t>
      </w:r>
    </w:p>
    <w:p>
      <w:pPr>
        <w:pStyle w:val="Compact"/>
        <w:numPr>
          <w:ilvl w:val="0"/>
          <w:numId w:val="1024"/>
        </w:numPr>
      </w:pPr>
      <w:r>
        <w:t xml:space="preserve">Alle Zugangsdaten wechseln, Einfallstor schließen, erst dann wieder ans Netz.</w:t>
      </w:r>
    </w:p>
    <w:p>
      <w:pPr>
        <w:pStyle w:val="Compact"/>
        <w:numPr>
          <w:ilvl w:val="0"/>
          <w:numId w:val="1024"/>
        </w:numPr>
      </w:pPr>
      <w:r>
        <w:t xml:space="preserve">Nachbereitung + dieses Dokument aktualisieren.</w:t>
      </w:r>
    </w:p>
    <w:bookmarkEnd w:id="40"/>
    <w:bookmarkEnd w:id="41"/>
    <w:sectPr>
      <w:head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t xml:space="preserve">Ransomware – Vorsorge und Wiederherstellung – Seite </w:t>
    </w:r>
    <w:r>
      <w:fldChar w:fldCharType="begin"/>
      <w:instrText xml:space="preserve">PAGE</w:instrText>
      <w:fldChar w:fldCharType="separate"/>
      <w:fldChar w:fldCharType="end"/>
    </w:r>
    <w:r>
      <w:t xml:space="preserve"> von </w:t>
    </w:r>
    <w: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2026-07-12T17:27:06Z</dcterms:created>
  <dcterms:modified xsi:type="dcterms:W3CDTF">2026-07-12T17:27:06Z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Inhaltsverzeichnis</vt:lpwstr>
  </property>
</Properties>
</file>