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VAD_51_广告发布流程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一、流程总则</w:t>
        </w:r>
      </w:hyperlink>
    </w:p>
    <w:p>
      <w:pPr>
        <w:numPr>
          <w:numId w:val="2"/>
        </w:numPr>
        <w:spacing w:before="120" w:after="120" w:line="288" w:lineRule="auto"/>
        <w:ind w:left="453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1.1 流程目的</w:t>
        </w:r>
      </w:hyperlink>
    </w:p>
    <w:p>
      <w:pPr>
        <w:numPr>
          <w:numId w:val="3"/>
        </w:numPr>
        <w:spacing w:before="120" w:after="120" w:line="288" w:lineRule="auto"/>
        <w:ind w:left="453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1.2 核心依据</w:t>
        </w:r>
      </w:hyperlink>
    </w:p>
    <w:p>
      <w:pPr>
        <w:numPr>
          <w:numId w:val="4"/>
        </w:numPr>
        <w:spacing w:before="120" w:after="120" w:line="288" w:lineRule="auto"/>
        <w:ind w:left="453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1.3 适用范围</w:t>
        </w:r>
      </w:hyperlink>
    </w:p>
    <w:p>
      <w:pPr>
        <w:numPr>
          <w:numId w:val="5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1.4 核心角色及权责</w:t>
        </w:r>
      </w:hyperlink>
    </w:p>
    <w:p>
      <w:pPr>
        <w:numPr>
          <w:numId w:val="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二、广告发布全流程详解</w:t>
        </w:r>
      </w:hyperlink>
    </w:p>
    <w:p>
      <w:pPr>
        <w:numPr>
          <w:numId w:val="7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步骤1：广告需求发起（广告主/广告代理商）</w:t>
        </w:r>
      </w:hyperlink>
    </w:p>
    <w:p>
      <w:pPr>
        <w:numPr>
          <w:numId w:val="8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步骤2：广告素材准备与上传</w:t>
        </w:r>
      </w:hyperlink>
    </w:p>
    <w:p>
      <w:pPr>
        <w:numPr>
          <w:numId w:val="9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步骤3：广告投放计划创建</w:t>
        </w:r>
      </w:hyperlink>
    </w:p>
    <w:p>
      <w:pPr>
        <w:numPr>
          <w:numId w:val="10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步骤4：广告素材合规审核</w:t>
        </w:r>
      </w:hyperlink>
    </w:p>
    <w:p>
      <w:pPr>
        <w:numPr>
          <w:numId w:val="11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步骤5：投放计划审核</w:t>
        </w:r>
      </w:hyperlink>
    </w:p>
    <w:p>
      <w:pPr>
        <w:numPr>
          <w:numId w:val="12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步骤6：广告排期与大屏匹配</w:t>
        </w:r>
      </w:hyperlink>
    </w:p>
    <w:p>
      <w:pPr>
        <w:numPr>
          <w:numId w:val="13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步骤7：广告上线发布</w:t>
        </w:r>
      </w:hyperlink>
    </w:p>
    <w:p>
      <w:pPr>
        <w:numPr>
          <w:numId w:val="14"/>
        </w:numPr>
        <w:spacing w:before="120" w:after="120" w:line="288" w:lineRule="auto"/>
        <w:ind w:left="453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步骤8：上线后监测与优化</w:t>
        </w:r>
      </w:hyperlink>
    </w:p>
    <w:p>
      <w:pPr>
        <w:numPr>
          <w:numId w:val="15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步骤9：广告下线与归档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三、流程管控与异常处理</w:t>
        </w:r>
      </w:hyperlink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3.1 流程管控要求</w:t>
        </w:r>
      </w:hyperlink>
    </w:p>
    <w:p>
      <w:pPr>
        <w:numPr>
          <w:numId w:val="18"/>
        </w:numPr>
        <w:spacing w:before="120" w:after="120" w:line="288" w:lineRule="auto"/>
        <w:ind w:left="453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3.2 常见异常及处理方案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四、流程衔接与注意事项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五、附则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一、流程总则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流程目的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VAD百万大屏广告系统的广告发布全流程，明确各环节操作标准、责任主体及衔接要求，确保广告发布合规、高效、精准，贴合MRD提出的“精准投放、商业闭环”核心目标，保障广告主、广告代理商、平台运营方等多方权益，同时实现广告发布全流程可追溯、可管控，支撑系统规模化、规范化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核心依据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《VAD_02_百万大屏广告系统_市场需求文档_MRD》：明确广告发布的核心目标（精准投放、互动转化、数据可量化）、目标场景（办公大楼）及商业需求，为流程设计提供市场导向；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《VAD_03_百万大屏广告系统_产品需求文档_PRD》：明确广告发布相关功能（素材管理、投放计划、审核、排期等）的操作逻辑、功能规范及非功能要求，是流程落地的核心执行依据；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《VAD_04_账号类型及管理机制》：明确广告发布相关角色（广告主、广告代理商、广告素材审核员、业务运营等）的权责，确保流程中各角色操作合规、权责清晰，无越权操作。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适用范围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适用于VAD百万大屏广告系统中所有广告的发布、审核、上线、监测、优化及下线全流程，覆盖所有广告类型（图片广告、视频广告、互动广告等），涉及广告主、广告代理商、广告素材审核员、业务运营、运维工程师、数据分析师等所有相关角色，适用于系统商业化运营后的所有广告发布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核心角色及权责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结合《VAD_04_账号类型及管理机制》，明确广告发布流程中各核心角色的权责，确保流程顺畅推进、责任到人：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广告主：发起广告需求，准备并上传广告素材，创建投放计划，确认广告审核结果及上线事宜，承担广告内容合规主体责任；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广告代理商：代理广告主发起广告需求，协助完成素材准备、投放计划创建，对接平台运营方，跟进审核及上线进度，对广告内容合规性进行初步校验；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广告素材审核员：负责广告素材的合规审核，对照PRD审核标准，检查素材格式、内容合规性，标注审核意见，留存审核日志，确保广告素材符合平台规范；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业务运营：负责审核广告投放计划的合理性、可行性，对接广告主/代理商，协调审核及排期事宜，监控广告上线后效果，协助进行优化调整；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运维工程师：负责保障大屏设备正常运行，协助完成广告排期与大屏匹配，处理广告上线过程中的设备故障，确保广告正常展示；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数据分析师：负责采集、分析广告发布后的相关数据（展示量、点击量、转化量等），生成数据报表，为广告优化提供数据支撑；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超级管理员：负责统筹广告发布流程的整体管控，处理流程中的重大异常问题，审批特殊广告的发布权限，确保流程合规有序。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二、广告发布全流程详解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广告发布全流程分为9个核心步骤，各步骤无缝衔接，严格遵循“需求发起→素材准备→计划创建→双重审核→排期匹配→上线发布→监测优化→下线归档”的逻辑，确保每环节合规、可追溯，具体如下：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步骤1：广告需求发起（广告主/广告代理商）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操作主体：广告主（通过广告主账号）、广告代理商（通过广告代理商账号），若为代理商代理，需提前完成广告主授权（按账号管理机制要求绑定代理关系）；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登录VAD百万大屏广告系统，进入“广告管理-需求发起”模块，填写广告需求信息，包括广告主题、广告类型（图片/视频/互动）、投放目标（品牌曝光/精准转化/互动引流）、目标人群（年龄、性别、职业等，贴合MRD精准投放需求）、投放区域（办公大楼及具体楼层/区域）、投放周期、预算范围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核心要求：需求信息需真实、完整，投放目标、人群、区域需符合MRD及PRD相关要求，禁止发起违规、违法广告需求；广告代理商发起需求时，需上传广告主授权文件，确保代理关系合规；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交付物：广告需求申请表（系统自动生成）、广告主授权文件（代理商发起时提供）。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步骤2：广告素材准备与上传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操作主体：广告主/广告代理商，按PRD要求准备广告素材，业务运营可提供素材格式指导；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准备：按照PRD规定的素材格式、尺寸、时长要求，准备广告素材（图片需为PNG/JPG格式，视频需为MP4格式，互动广告需符合系统兼容要求），确保素材内容清晰、无模糊、无违规内容（禁止低俗、违法、虚假宣传等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素材上传：登录系统，进入“广告管理-素材管理”模块，上传广告素材，填写素材相关信息（素材名称、素材类型、对应广告需求ID），系统自动校验素材格式及尺寸，校验通过后完成上传；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素材预览：上传完成后，可通过系统预览功能，查看素材在大屏上的展示效果，确认无误后提交至审核环节；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核心要求：素材需符合PRD素材规范及国家广告合规要求，隐私数据需脱敏处理（贴合账号管理机制隐私合规要求），素材内容需与广告需求一致，禁止上传与需求无关的素材；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交付物：合格的广告素材（图片/视频/互动文件）、素材上传确认单（系统自动生成）。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步骤3：广告投放计划创建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操作主体：广告主/广告代理商，在素材上传完成后，同步创建投放计划；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操作内容：进入“广告管理-投放计划”模块，关联已发起的广告需求及上传的广告素材，填写投放计划详情，包括：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投放时间：具体投放起止日期、每日投放时段（贴合办公大楼人群活动规律，如工作日9:00-18:00）；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投放策略：精准投放（关联人群分析模块，选择目标人群标签）、轮播投放（与其他广告轮播展示，设置轮播时长）；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大屏选择：选择投放的大屏范围（按区域、楼层、大屏ID筛选，贴合PRD大屏管理功能要求）；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预算设置：填写投放预算、计费方式（按展示量/点击量计费，贴合PRD商业转化模块要求）；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效果监测：勾选需监测的指标（展示量、点击量、互动量、转化量等），便于后续数据统计分析；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核心要求：投放计划需贴合广告需求，预算、时段、大屏选择需合理，符合MRD精准投放目标，投放策略需可落地，禁止设置超出系统能力范围的投放要求；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交付物：广告投放计划（系统自动生成，可导出）。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步骤4：广告素材合规审核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操作主体：广告素材审核员（通过广告素材审核账号），在广告主/代理商提交素材后1个工作日内完成审核；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操作内容：登录系统，进入“审核管理-素材审核”模块，查看待审核素材，对照PRD审核标准及国家广告合规要求，从以下维度进行审核：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格式审核：素材格式、尺寸、时长是否符合PRD规定；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内容审核：素材内容是否合规（无低俗、违法、虚假宣传、侵权等内容），是否与广告需求一致；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隐私审核：素材中若有人群相关内容，是否已完成隐私脱敏（贴合账号管理机制隐私合规要求）；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审核结果处理：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审核通过：标注“审核通过”，填写审核意见，素材自动流转至投放计划审核环节；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审核驳回：标注“审核驳回”，详细填写驳回原因（如素材格式不符、内容违规等），退回至广告主/代理商，告知其修改后重新提交审核；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核心要求：审核需公正、严格，所有审核操作需留存日志（贴合账号管理机制日志留存要求），审核时效不得超过1个工作日，驳回时需明确修改方向；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交付物：素材审核报告（系统自动生成）、审核日志。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步骤5：投放计划审核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操作主体：业务运营（通过业务运营账号），在素材审核通过后1个工作日内完成审核；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操作内容：进入“审核管理-投放计划审核”模块，查看待审核的投放计划，结合MRD精准投放目标、PRD功能要求及账号管理机制，从以下维度审核：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合理性审核：投放计划的时段、大屏选择、人群定向是否合理，是否贴合广告需求及办公大楼场景；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可行性审核：投放预算、计费方式是否符合平台规定，投放策略是否可落地，是否超出系统承载能力；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合规性审核：投放计划是否符合账号管理机制相关要求，广告主/代理商权限是否合规，无越权设置；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审核结果处理：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审核通过：标注“审核通过”，填写审核意见，投放计划自动流转至排期环节；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审核驳回：标注“审核驳回”，详细填写驳回原因（如投放时段不合理、预算设置异常等），退回至广告主/代理商，修改后重新提交审核；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核心要求：审核需结合市场需求及系统能力，确保投放计划可行、合规，审核操作留存日志，审核时效不得超过1个工作日；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交付物：投放计划审核报告（系统自动生成）、审核日志。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步骤6：广告排期与大屏匹配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操作主体：业务运营（主导）、运维工程师（辅助），在投放计划审核通过后2个工作日内完成；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广告排期：业务运营进入“广告管理-广告排期”模块，根据投放计划的时段、大屏选择，结合当前大屏的投放队列，制定广告排期表，明确每台大屏的广告轮播顺序、轮播时长，确保无投放冲突；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大屏匹配：运维工程师协助业务运营，核对排期表中的大屏信息，确认大屏设备正常运行（贴合运维工程师权责），完成广告排期与大屏设备的绑定，确保广告能按排期正常展示；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排期确认：排期完成后，业务运营将排期表同步给广告主/代理商，确认无误后，锁定排期，禁止随意修改；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核心要求：排期需合理分配大屏资源，避免投放冲突，贴合百万级大屏管控要求（PRD），排期表需清晰、可追溯，大屏匹配需确保设备兼容、网络通畅；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交付物：广告排期表、大屏匹配确认单。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步骤7：广告上线发布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操作主体：业务运营（主导）、运维工程师（辅助），按排期表规定的投放起止时间执行；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上线准备：投放开始前1小时，业务运营登录系统，进入“广告管理-广告上线”模块，确认广告素材、排期表、大屏匹配状态正常；运维工程师同步检查大屏设备、网络状态，确保无故障；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自动上线：到达投放开始时间，系统按排期表自动将广告推送至对应大屏，开始展示；业务运营实时监测上线状态，确认广告展示正常（无卡顿、无错位、无黑屏）；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上线通知：广告成功上线后，系统自动向广告主/代理商、业务运营、运维工程师发送上线通知，告知上线状态；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核心要求：上线过程需全程监测，确保广告展示效果符合PRD要求，大屏故障率≤0.2%，若出现上线异常，需立即处理（参考异常处理方案）；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交付物：广告上线确认报告、上线通知记录。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步骤8：上线后监测与优化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操作主体：业务运营（主导）、数据分析师（辅助）、广告主/代理商（配合），贯穿整个广告投放周期；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实时监测：业务运营每日监测广告展示状态，查看大屏设备运行情况，及时处理广告展示异常（如卡顿、黑屏、素材错位等）；运维工程师配合处理设备故障；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采集与分析：数据分析师按投放计划中设置的监测指标，采集广告发布后的相关数据（展示量、点击量、互动量、转化量等），按日/周生成数据报表，分析广告投放效果，识别优化空间（贴合MRD数据量化需求）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优化调整：根据数据报表及广告主/代理商需求，业务运营协调相关角色，对广告投放计划进行优化（如调整投放时段、大屏范围、人群定向等），优化后需重新提交审核（小范围优化可简化审核流程）；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效果反馈：数据分析师定期将数据报表、优化建议同步给业务运营、广告主/代理商，确保各方及时掌握投放效果；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核心要求：监测需实时、全面，数据统计需准确（数据更新≤12小时，PRD要求），优化调整需贴合广告需求及市场目标，所有优化操作需留存日志；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交付物：每日监测报告、数据报表、优化调整记录。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步骤9：广告下线与归档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操作主体：业务运营（主导）、广告主/代理商（配合），在广告投放周期结束后1个工作日内完成；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操作内容：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自动下线：到达投放结束时间，系统自动停止广告展示，完成广告下线；若广告主/代理商需提前下线，需提交提前下线申请，经业务运营审核通过后，手动执行下线操作；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效果复盘：业务运营联合数据分析师、广告主/代理商，对广告投放全周期效果进行复盘，总结经验及优化方向，形成复盘报告；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资料归档：业务运营将广告需求申请表、素材、投放计划、审核报告、排期表、监测数据、复盘报告等相关资料，按账号管理机制日志留存要求归档，留存期限≥3年，便于后续查询、审计；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费用结算：业务运营将广告投放数据同步给财务人员，财务人员按投放数据及计费方式，完成广告费用结算（贴合财务账号权责）；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核心要求：下线操作需及时、准确，资料归档需完整、规范，复盘报告需贴合MRD商业闭环目标，为后续广告投放提供参考；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交付物：广告下线确认报告、复盘报告、归档资料清单、费用结算凭证（同步财务）。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三、流程管控与异常处理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流程管控要求</w:t>
      </w:r>
      <w:bookmarkEnd w:id="1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时效管控：各环节审核、操作需严格遵守时效要求（素材审核、投放计划审核≤1个工作日，排期匹配≤2个工作日），逾期未完成的，需说明原因并加快推进；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权限管控：所有角色需按账号管理机制的权责执行操作，禁止越权（如广告主不可修改审核结果，审核员不可参与排期），所有操作需留存日志，可追溯；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合规管控：广告发布全流程需符合国家广告法规、PRD规范及账号管理机制要求，禁止发布违规广告，禁止违规操作；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协同管控：各角色需加强协同，业务运营做好统筹协调，及时同步流程进度，解决协同过程中的问题，确保流程顺畅推进；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质量管控：广告素材、投放计划、排期表等需经过严格校验，确保无错误、无遗漏，广告展示效果符合要求。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常见异常及处理方案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具体异常描述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处理责任人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处理时效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素材审核异常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素材多次审核驳回</w:t>
            </w:r>
            <w:r>
              <w:rPr>
                <w:rFonts w:eastAsia="等线" w:ascii="Arial" w:cs="Arial" w:hAnsi="Arial"/>
                <w:sz w:val="22"/>
              </w:rPr>
              <w:t>，广告主/代理商无法明确修改方向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广告素材审核员+业务运营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审核员详细说明驳回核心问题，业务运营对接广告</w:t>
            </w:r>
            <w:r>
              <w:rPr>
                <w:rFonts w:eastAsia="等线" w:ascii="Arial" w:cs="Arial" w:hAnsi="Arial"/>
                <w:sz w:val="22"/>
              </w:rPr>
              <w:t>主/代理商，提供素材修改指导，协助完成素材优化，重新提交审核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1个工作日内给出指导意见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广告上线后无法正常展示（卡顿、黑屏</w:t>
            </w:r>
            <w:r>
              <w:rPr>
                <w:rFonts w:eastAsia="等线" w:ascii="Arial" w:cs="Arial" w:hAnsi="Arial"/>
                <w:sz w:val="22"/>
              </w:rPr>
              <w:t>、素材错位）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运维工程师+业务运营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运维工程师立即检查大屏设备、</w:t>
            </w:r>
            <w:r>
              <w:rPr>
                <w:rFonts w:eastAsia="等线" w:ascii="Arial" w:cs="Arial" w:hAnsi="Arial"/>
                <w:sz w:val="22"/>
              </w:rPr>
              <w:t>网络及素材兼容性，业务运营检查排期及上线设置，快速定位问题并</w:t>
            </w:r>
            <w:r>
              <w:rPr>
                <w:rFonts w:eastAsia="等线" w:ascii="Arial" w:cs="Arial" w:hAnsi="Arial"/>
                <w:sz w:val="22"/>
              </w:rPr>
              <w:t>修复；若无法立即修复，临时替换为备用素材或调整排期，同步</w:t>
            </w:r>
            <w:r>
              <w:rPr>
                <w:rFonts w:eastAsia="等线" w:ascii="Arial" w:cs="Arial" w:hAnsi="Arial"/>
                <w:sz w:val="22"/>
              </w:rPr>
              <w:t>告知广告主/代理商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30分钟内响应，</w:t>
            </w:r>
            <w:r>
              <w:rPr>
                <w:rFonts w:eastAsia="等线" w:ascii="Arial" w:cs="Arial" w:hAnsi="Arial"/>
                <w:sz w:val="22"/>
              </w:rPr>
              <w:t>2小时内解决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投放冲突异常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排期后发现多支</w:t>
            </w:r>
            <w:r>
              <w:rPr>
                <w:rFonts w:eastAsia="等线" w:ascii="Arial" w:cs="Arial" w:hAnsi="Arial"/>
                <w:sz w:val="22"/>
              </w:rPr>
              <w:t>广告在同一大屏、同一时段投放冲突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业务运营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立即调整排期表</w:t>
            </w:r>
            <w:r>
              <w:rPr>
                <w:rFonts w:eastAsia="等线" w:ascii="Arial" w:cs="Arial" w:hAnsi="Arial"/>
                <w:sz w:val="22"/>
              </w:rPr>
              <w:t>，优先保障高优先级广告投放，调整后同步告知相关广告主/代理商，</w:t>
            </w:r>
            <w:r>
              <w:rPr>
                <w:rFonts w:eastAsia="等线" w:ascii="Arial" w:cs="Arial" w:hAnsi="Arial"/>
                <w:sz w:val="22"/>
              </w:rPr>
              <w:t>确认无异议后重新锁定排期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1个工作日</w:t>
            </w:r>
            <w:r>
              <w:rPr>
                <w:rFonts w:eastAsia="等线" w:ascii="Arial" w:cs="Arial" w:hAnsi="Arial"/>
                <w:sz w:val="22"/>
              </w:rPr>
              <w:t>内完成调整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广告投放</w:t>
            </w:r>
            <w:r>
              <w:rPr>
                <w:rFonts w:eastAsia="等线" w:ascii="Arial" w:cs="Arial" w:hAnsi="Arial"/>
                <w:sz w:val="22"/>
              </w:rPr>
              <w:t>数据统计异常（如展示量为0、数据更新延迟）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数据分析师+后端研发工程师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数据分析师排查数据采集逻辑，后端</w:t>
            </w:r>
            <w:r>
              <w:rPr>
                <w:rFonts w:eastAsia="等线" w:ascii="Arial" w:cs="Arial" w:hAnsi="Arial"/>
                <w:sz w:val="22"/>
              </w:rPr>
              <w:t>研发工程师检查数据传输及存储问题，快速修复，</w:t>
            </w:r>
            <w:r>
              <w:rPr>
                <w:rFonts w:eastAsia="等线" w:ascii="Arial" w:cs="Arial" w:hAnsi="Arial"/>
                <w:sz w:val="22"/>
              </w:rPr>
              <w:t>修复后补全数据，同步告知相关角色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1个工作日内解决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</w:t>
            </w:r>
            <w:r>
              <w:rPr>
                <w:rFonts w:eastAsia="等线" w:ascii="Arial" w:cs="Arial" w:hAnsi="Arial"/>
                <w:sz w:val="22"/>
              </w:rPr>
              <w:t>角色无法正常操作（如广告主无法上传素材、审核员无法查看待审核</w:t>
            </w:r>
            <w:r>
              <w:rPr>
                <w:rFonts w:eastAsia="等线" w:ascii="Arial" w:cs="Arial" w:hAnsi="Arial"/>
                <w:sz w:val="22"/>
              </w:rPr>
              <w:t>列表）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后端研发工程师+超级管理员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排查账号权限设置（对照账号管理</w:t>
            </w:r>
            <w:r>
              <w:rPr>
                <w:rFonts w:eastAsia="等线" w:ascii="Arial" w:cs="Arial" w:hAnsi="Arial"/>
                <w:sz w:val="22"/>
              </w:rPr>
              <w:t>机制），修复权限漏洞，必要时重置账号权限，确保角色可正常操作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2小时内响应，1个工作日内解决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四、流程衔接与注意事项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流程衔接要求</w:t>
      </w:r>
      <w:bookmarkEnd w:id="20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广告发布流程与账号管理机制衔接：所有角色需使用对应账号登录系统执行操作，权限严格按账号管理机制分配，操作日志留存符合要求，确保流程合规；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与系统模块衔接：广告发布流程需联动系统8大核心模块（账号管理、大屏管理、广告投放、人群分析等），确保各模块功能协同，流程顺畅；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与商业流程衔接：广告发布流程需与费用结算、合同管理等商业流程衔接，确保广告投放完成后，及时完成费用结算，支撑MRD商业闭环目标；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跨角色衔接：各角色需及时同步流程进度，遇到问题主动沟通，确保流程各环节无缝衔接，避免出现流程卡顿。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注意事项</w:t>
      </w:r>
      <w:bookmarkEnd w:id="21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广告主/代理商需对广告内容的合规性承担主体责任，若因广告内容违规导致的法律风险、平台处罚，由广告主/代理商承担；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所有审核操作、优化调整、异常处理均需留存日志，日志留存期限≥3年（敏感日志≥5年），贴合账号管理机制要求，便于后续审计、追溯；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广告排期锁定后，禁止随意修改；若确需修改，需经广告主/代理商、业务运营共同审批，修改后重新完成大屏匹配及上线准备；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广告上线后，若出现重大违规（如违法、低俗内容），业务运营需立即执行下线操作，上报超级管理员，同时追究相关角色责任；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数据分析师需确保广告投放数据的准确性、及时性，数据异常需及时处理，避免影响广告效果复盘及费用结算；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 本流程需结合MRD、PRD及账号管理机制的更新，及时调整优化，确保流程始终贴合项目需求。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五、附则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本流程自发布之日起执行，适用于VAD百万大屏广告系统所有广告发布相关场景，所有相关角色需严格遵守；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本流程基于《VAD_02_MRD》、《VAD_03_PRD》及《VAD_04_账号类型及管理机制》编制，若三大文档有更新，本流程同步修订；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本流程由业务运营团队负责解释，负责流程的落地执行、监督管控及优化调整，确保流程合规、高效；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若本流程与平台其他相关规定冲突，以平台核心规范及三大文档要求为准；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本流程可根据系统运营过程中的实际情况，经超级管理员、产品经理、业务运营团队共同审批后，进行优化修订。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（注：文档部分内容可能由 AI 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2910">
    <w:lvl>
      <w:numFmt w:val="bullet"/>
      <w:suff w:val="tab"/>
      <w:lvlText w:val="•"/>
      <w:rPr>
        <w:color w:val="3370ff"/>
      </w:rPr>
    </w:lvl>
  </w:abstractNum>
  <w:abstractNum w:abstractNumId="392911">
    <w:lvl>
      <w:numFmt w:val="bullet"/>
      <w:suff w:val="tab"/>
      <w:lvlText w:val="￮"/>
      <w:rPr>
        <w:color w:val="3370ff"/>
      </w:rPr>
    </w:lvl>
  </w:abstractNum>
  <w:abstractNum w:abstractNumId="392912">
    <w:lvl>
      <w:numFmt w:val="bullet"/>
      <w:suff w:val="tab"/>
      <w:lvlText w:val="￮"/>
      <w:rPr>
        <w:color w:val="3370ff"/>
      </w:rPr>
    </w:lvl>
  </w:abstractNum>
  <w:abstractNum w:abstractNumId="392913">
    <w:lvl>
      <w:numFmt w:val="bullet"/>
      <w:suff w:val="tab"/>
      <w:lvlText w:val="￮"/>
      <w:rPr>
        <w:color w:val="3370ff"/>
      </w:rPr>
    </w:lvl>
  </w:abstractNum>
  <w:abstractNum w:abstractNumId="392914">
    <w:lvl>
      <w:numFmt w:val="bullet"/>
      <w:suff w:val="tab"/>
      <w:lvlText w:val="￮"/>
      <w:rPr>
        <w:color w:val="3370ff"/>
      </w:rPr>
    </w:lvl>
  </w:abstractNum>
  <w:abstractNum w:abstractNumId="392915">
    <w:lvl>
      <w:numFmt w:val="bullet"/>
      <w:suff w:val="tab"/>
      <w:lvlText w:val="•"/>
      <w:rPr>
        <w:color w:val="3370ff"/>
      </w:rPr>
    </w:lvl>
  </w:abstractNum>
  <w:abstractNum w:abstractNumId="392916">
    <w:lvl>
      <w:numFmt w:val="bullet"/>
      <w:suff w:val="tab"/>
      <w:lvlText w:val="￮"/>
      <w:rPr>
        <w:color w:val="3370ff"/>
      </w:rPr>
    </w:lvl>
  </w:abstractNum>
  <w:abstractNum w:abstractNumId="392917">
    <w:lvl>
      <w:numFmt w:val="bullet"/>
      <w:suff w:val="tab"/>
      <w:lvlText w:val="￮"/>
      <w:rPr>
        <w:color w:val="3370ff"/>
      </w:rPr>
    </w:lvl>
  </w:abstractNum>
  <w:abstractNum w:abstractNumId="392918">
    <w:lvl>
      <w:numFmt w:val="bullet"/>
      <w:suff w:val="tab"/>
      <w:lvlText w:val="￮"/>
      <w:rPr>
        <w:color w:val="3370ff"/>
      </w:rPr>
    </w:lvl>
  </w:abstractNum>
  <w:abstractNum w:abstractNumId="392919">
    <w:lvl>
      <w:numFmt w:val="bullet"/>
      <w:suff w:val="tab"/>
      <w:lvlText w:val="￮"/>
      <w:rPr>
        <w:color w:val="3370ff"/>
      </w:rPr>
    </w:lvl>
  </w:abstractNum>
  <w:abstractNum w:abstractNumId="392920">
    <w:lvl>
      <w:numFmt w:val="bullet"/>
      <w:suff w:val="tab"/>
      <w:lvlText w:val="￮"/>
      <w:rPr>
        <w:color w:val="3370ff"/>
      </w:rPr>
    </w:lvl>
  </w:abstractNum>
  <w:abstractNum w:abstractNumId="392921">
    <w:lvl>
      <w:numFmt w:val="bullet"/>
      <w:suff w:val="tab"/>
      <w:lvlText w:val="￮"/>
      <w:rPr>
        <w:color w:val="3370ff"/>
      </w:rPr>
    </w:lvl>
  </w:abstractNum>
  <w:abstractNum w:abstractNumId="392922">
    <w:lvl>
      <w:numFmt w:val="bullet"/>
      <w:suff w:val="tab"/>
      <w:lvlText w:val="￮"/>
      <w:rPr>
        <w:color w:val="3370ff"/>
      </w:rPr>
    </w:lvl>
  </w:abstractNum>
  <w:abstractNum w:abstractNumId="392923">
    <w:lvl>
      <w:numFmt w:val="bullet"/>
      <w:suff w:val="tab"/>
      <w:lvlText w:val="￮"/>
      <w:rPr>
        <w:color w:val="3370ff"/>
      </w:rPr>
    </w:lvl>
  </w:abstractNum>
  <w:abstractNum w:abstractNumId="392924">
    <w:lvl>
      <w:numFmt w:val="bullet"/>
      <w:suff w:val="tab"/>
      <w:lvlText w:val="￮"/>
      <w:rPr>
        <w:color w:val="3370ff"/>
      </w:rPr>
    </w:lvl>
  </w:abstractNum>
  <w:abstractNum w:abstractNumId="392925">
    <w:lvl>
      <w:numFmt w:val="bullet"/>
      <w:suff w:val="tab"/>
      <w:lvlText w:val="•"/>
      <w:rPr>
        <w:color w:val="3370ff"/>
      </w:rPr>
    </w:lvl>
  </w:abstractNum>
  <w:abstractNum w:abstractNumId="392926">
    <w:lvl>
      <w:numFmt w:val="bullet"/>
      <w:suff w:val="tab"/>
      <w:lvlText w:val="￮"/>
      <w:rPr>
        <w:color w:val="3370ff"/>
      </w:rPr>
    </w:lvl>
  </w:abstractNum>
  <w:abstractNum w:abstractNumId="392927">
    <w:lvl>
      <w:numFmt w:val="bullet"/>
      <w:suff w:val="tab"/>
      <w:lvlText w:val="￮"/>
      <w:rPr>
        <w:color w:val="3370ff"/>
      </w:rPr>
    </w:lvl>
  </w:abstractNum>
  <w:abstractNum w:abstractNumId="392928">
    <w:lvl>
      <w:numFmt w:val="bullet"/>
      <w:suff w:val="tab"/>
      <w:lvlText w:val="•"/>
      <w:rPr>
        <w:color w:val="3370ff"/>
      </w:rPr>
    </w:lvl>
  </w:abstractNum>
  <w:abstractNum w:abstractNumId="392929">
    <w:lvl>
      <w:numFmt w:val="bullet"/>
      <w:suff w:val="tab"/>
      <w:lvlText w:val="•"/>
      <w:rPr>
        <w:color w:val="3370ff"/>
      </w:rPr>
    </w:lvl>
  </w:abstractNum>
  <w:abstractNum w:abstractNumId="392930">
    <w:lvl>
      <w:numFmt w:val="bullet"/>
      <w:suff w:val="tab"/>
      <w:lvlText w:val="•"/>
      <w:rPr>
        <w:color w:val="3370ff"/>
      </w:rPr>
    </w:lvl>
  </w:abstractNum>
  <w:abstractNum w:abstractNumId="392931">
    <w:lvl>
      <w:numFmt w:val="bullet"/>
      <w:suff w:val="tab"/>
      <w:lvlText w:val="•"/>
      <w:rPr>
        <w:color w:val="3370ff"/>
      </w:rPr>
    </w:lvl>
  </w:abstractNum>
  <w:abstractNum w:abstractNumId="392932">
    <w:lvl>
      <w:numFmt w:val="bullet"/>
      <w:suff w:val="tab"/>
      <w:lvlText w:val="•"/>
      <w:rPr>
        <w:color w:val="3370ff"/>
      </w:rPr>
    </w:lvl>
  </w:abstractNum>
  <w:abstractNum w:abstractNumId="392933">
    <w:lvl>
      <w:numFmt w:val="bullet"/>
      <w:suff w:val="tab"/>
      <w:lvlText w:val="•"/>
      <w:rPr>
        <w:color w:val="3370ff"/>
      </w:rPr>
    </w:lvl>
  </w:abstractNum>
  <w:abstractNum w:abstractNumId="392934">
    <w:lvl>
      <w:numFmt w:val="bullet"/>
      <w:suff w:val="tab"/>
      <w:lvlText w:val="•"/>
      <w:rPr>
        <w:color w:val="3370ff"/>
      </w:rPr>
    </w:lvl>
  </w:abstractNum>
  <w:abstractNum w:abstractNumId="392935">
    <w:lvl>
      <w:numFmt w:val="bullet"/>
      <w:suff w:val="tab"/>
      <w:lvlText w:val="•"/>
      <w:rPr>
        <w:color w:val="3370ff"/>
      </w:rPr>
    </w:lvl>
  </w:abstractNum>
  <w:abstractNum w:abstractNumId="392936">
    <w:lvl>
      <w:numFmt w:val="bullet"/>
      <w:suff w:val="tab"/>
      <w:lvlText w:val="•"/>
      <w:rPr>
        <w:color w:val="3370ff"/>
      </w:rPr>
    </w:lvl>
  </w:abstractNum>
  <w:abstractNum w:abstractNumId="392937">
    <w:lvl>
      <w:numFmt w:val="bullet"/>
      <w:suff w:val="tab"/>
      <w:lvlText w:val="•"/>
      <w:rPr>
        <w:color w:val="3370ff"/>
      </w:rPr>
    </w:lvl>
  </w:abstractNum>
  <w:abstractNum w:abstractNumId="392938">
    <w:lvl>
      <w:numFmt w:val="bullet"/>
      <w:suff w:val="tab"/>
      <w:lvlText w:val="•"/>
      <w:rPr>
        <w:color w:val="3370ff"/>
      </w:rPr>
    </w:lvl>
  </w:abstractNum>
  <w:abstractNum w:abstractNumId="392939">
    <w:lvl>
      <w:numFmt w:val="bullet"/>
      <w:suff w:val="tab"/>
      <w:lvlText w:val="•"/>
      <w:rPr>
        <w:color w:val="3370ff"/>
      </w:rPr>
    </w:lvl>
  </w:abstractNum>
  <w:abstractNum w:abstractNumId="392940">
    <w:lvl>
      <w:numFmt w:val="bullet"/>
      <w:suff w:val="tab"/>
      <w:lvlText w:val="•"/>
      <w:rPr>
        <w:color w:val="3370ff"/>
      </w:rPr>
    </w:lvl>
  </w:abstractNum>
  <w:abstractNum w:abstractNumId="392941">
    <w:lvl>
      <w:numFmt w:val="bullet"/>
      <w:suff w:val="tab"/>
      <w:lvlText w:val="•"/>
      <w:rPr>
        <w:color w:val="3370ff"/>
      </w:rPr>
    </w:lvl>
  </w:abstractNum>
  <w:abstractNum w:abstractNumId="392942">
    <w:lvl>
      <w:numFmt w:val="bullet"/>
      <w:suff w:val="tab"/>
      <w:lvlText w:val="•"/>
      <w:rPr>
        <w:color w:val="3370ff"/>
      </w:rPr>
    </w:lvl>
  </w:abstractNum>
  <w:abstractNum w:abstractNumId="392943">
    <w:lvl>
      <w:numFmt w:val="bullet"/>
      <w:suff w:val="tab"/>
      <w:lvlText w:val="•"/>
      <w:rPr>
        <w:color w:val="3370ff"/>
      </w:rPr>
    </w:lvl>
  </w:abstractNum>
  <w:abstractNum w:abstractNumId="392944">
    <w:lvl>
      <w:numFmt w:val="bullet"/>
      <w:suff w:val="tab"/>
      <w:lvlText w:val="•"/>
      <w:rPr>
        <w:color w:val="3370ff"/>
      </w:rPr>
    </w:lvl>
  </w:abstractNum>
  <w:abstractNum w:abstractNumId="392945">
    <w:lvl>
      <w:numFmt w:val="bullet"/>
      <w:suff w:val="tab"/>
      <w:lvlText w:val="•"/>
      <w:rPr>
        <w:color w:val="3370ff"/>
      </w:rPr>
    </w:lvl>
  </w:abstractNum>
  <w:abstractNum w:abstractNumId="392946">
    <w:lvl>
      <w:numFmt w:val="bullet"/>
      <w:suff w:val="tab"/>
      <w:lvlText w:val="•"/>
      <w:rPr>
        <w:color w:val="3370ff"/>
      </w:rPr>
    </w:lvl>
  </w:abstractNum>
  <w:abstractNum w:abstractNumId="392947">
    <w:lvl>
      <w:numFmt w:val="bullet"/>
      <w:suff w:val="tab"/>
      <w:lvlText w:val="•"/>
      <w:rPr>
        <w:color w:val="3370ff"/>
      </w:rPr>
    </w:lvl>
  </w:abstractNum>
  <w:abstractNum w:abstractNumId="392948">
    <w:lvl>
      <w:numFmt w:val="bullet"/>
      <w:suff w:val="tab"/>
      <w:lvlText w:val="•"/>
      <w:rPr>
        <w:color w:val="3370ff"/>
      </w:rPr>
    </w:lvl>
  </w:abstractNum>
  <w:abstractNum w:abstractNumId="392949">
    <w:lvl>
      <w:numFmt w:val="bullet"/>
      <w:suff w:val="tab"/>
      <w:lvlText w:val="•"/>
      <w:rPr>
        <w:color w:val="3370ff"/>
      </w:rPr>
    </w:lvl>
  </w:abstractNum>
  <w:abstractNum w:abstractNumId="392950">
    <w:lvl>
      <w:numFmt w:val="bullet"/>
      <w:suff w:val="tab"/>
      <w:lvlText w:val="•"/>
      <w:rPr>
        <w:color w:val="3370ff"/>
      </w:rPr>
    </w:lvl>
  </w:abstractNum>
  <w:abstractNum w:abstractNumId="392951">
    <w:lvl>
      <w:numFmt w:val="bullet"/>
      <w:suff w:val="tab"/>
      <w:lvlText w:val="•"/>
      <w:rPr>
        <w:color w:val="3370ff"/>
      </w:rPr>
    </w:lvl>
  </w:abstractNum>
  <w:abstractNum w:abstractNumId="392952">
    <w:lvl>
      <w:numFmt w:val="bullet"/>
      <w:suff w:val="tab"/>
      <w:lvlText w:val="•"/>
      <w:rPr>
        <w:color w:val="3370ff"/>
      </w:rPr>
    </w:lvl>
  </w:abstractNum>
  <w:abstractNum w:abstractNumId="392953">
    <w:lvl>
      <w:numFmt w:val="bullet"/>
      <w:suff w:val="tab"/>
      <w:lvlText w:val="•"/>
      <w:rPr>
        <w:color w:val="3370ff"/>
      </w:rPr>
    </w:lvl>
  </w:abstractNum>
  <w:abstractNum w:abstractNumId="392954">
    <w:lvl>
      <w:numFmt w:val="bullet"/>
      <w:suff w:val="tab"/>
      <w:lvlText w:val="•"/>
      <w:rPr>
        <w:color w:val="3370ff"/>
      </w:rPr>
    </w:lvl>
  </w:abstractNum>
  <w:abstractNum w:abstractNumId="392955">
    <w:lvl>
      <w:numFmt w:val="bullet"/>
      <w:suff w:val="tab"/>
      <w:lvlText w:val="•"/>
      <w:rPr>
        <w:color w:val="3370ff"/>
      </w:rPr>
    </w:lvl>
  </w:abstractNum>
  <w:abstractNum w:abstractNumId="392956">
    <w:lvl>
      <w:numFmt w:val="bullet"/>
      <w:suff w:val="tab"/>
      <w:lvlText w:val="•"/>
      <w:rPr>
        <w:color w:val="3370ff"/>
      </w:rPr>
    </w:lvl>
  </w:abstractNum>
  <w:abstractNum w:abstractNumId="392957">
    <w:lvl>
      <w:numFmt w:val="bullet"/>
      <w:suff w:val="tab"/>
      <w:lvlText w:val="•"/>
      <w:rPr>
        <w:color w:val="3370ff"/>
      </w:rPr>
    </w:lvl>
  </w:abstractNum>
  <w:abstractNum w:abstractNumId="392958">
    <w:lvl>
      <w:numFmt w:val="bullet"/>
      <w:suff w:val="tab"/>
      <w:lvlText w:val="•"/>
      <w:rPr>
        <w:color w:val="3370ff"/>
      </w:rPr>
    </w:lvl>
  </w:abstractNum>
  <w:abstractNum w:abstractNumId="392959">
    <w:lvl>
      <w:numFmt w:val="bullet"/>
      <w:suff w:val="tab"/>
      <w:lvlText w:val="•"/>
      <w:rPr>
        <w:color w:val="3370ff"/>
      </w:rPr>
    </w:lvl>
  </w:abstractNum>
  <w:abstractNum w:abstractNumId="392960">
    <w:lvl>
      <w:numFmt w:val="bullet"/>
      <w:suff w:val="tab"/>
      <w:lvlText w:val="•"/>
      <w:rPr>
        <w:color w:val="3370ff"/>
      </w:rPr>
    </w:lvl>
  </w:abstractNum>
  <w:abstractNum w:abstractNumId="392961">
    <w:lvl>
      <w:numFmt w:val="bullet"/>
      <w:suff w:val="tab"/>
      <w:lvlText w:val="•"/>
      <w:rPr>
        <w:color w:val="3370ff"/>
      </w:rPr>
    </w:lvl>
  </w:abstractNum>
  <w:abstractNum w:abstractNumId="392962">
    <w:lvl>
      <w:numFmt w:val="bullet"/>
      <w:suff w:val="tab"/>
      <w:lvlText w:val="•"/>
      <w:rPr>
        <w:color w:val="3370ff"/>
      </w:rPr>
    </w:lvl>
  </w:abstractNum>
  <w:abstractNum w:abstractNumId="392963">
    <w:lvl>
      <w:numFmt w:val="bullet"/>
      <w:suff w:val="tab"/>
      <w:lvlText w:val="•"/>
      <w:rPr>
        <w:color w:val="3370ff"/>
      </w:rPr>
    </w:lvl>
  </w:abstractNum>
  <w:abstractNum w:abstractNumId="392964">
    <w:lvl>
      <w:numFmt w:val="bullet"/>
      <w:suff w:val="tab"/>
      <w:lvlText w:val="•"/>
      <w:rPr>
        <w:color w:val="3370ff"/>
      </w:rPr>
    </w:lvl>
  </w:abstractNum>
  <w:abstractNum w:abstractNumId="392965">
    <w:lvl>
      <w:numFmt w:val="bullet"/>
      <w:suff w:val="tab"/>
      <w:lvlText w:val="•"/>
      <w:rPr>
        <w:color w:val="3370ff"/>
      </w:rPr>
    </w:lvl>
  </w:abstractNum>
  <w:abstractNum w:abstractNumId="392966">
    <w:lvl>
      <w:numFmt w:val="bullet"/>
      <w:suff w:val="tab"/>
      <w:lvlText w:val="•"/>
      <w:rPr>
        <w:color w:val="3370ff"/>
      </w:rPr>
    </w:lvl>
  </w:abstractNum>
  <w:abstractNum w:abstractNumId="392967">
    <w:lvl>
      <w:numFmt w:val="bullet"/>
      <w:suff w:val="tab"/>
      <w:lvlText w:val="•"/>
      <w:rPr>
        <w:color w:val="3370ff"/>
      </w:rPr>
    </w:lvl>
  </w:abstractNum>
  <w:abstractNum w:abstractNumId="392968">
    <w:lvl>
      <w:numFmt w:val="bullet"/>
      <w:suff w:val="tab"/>
      <w:lvlText w:val="•"/>
      <w:rPr>
        <w:color w:val="3370ff"/>
      </w:rPr>
    </w:lvl>
  </w:abstractNum>
  <w:abstractNum w:abstractNumId="392969">
    <w:lvl>
      <w:numFmt w:val="bullet"/>
      <w:suff w:val="tab"/>
      <w:lvlText w:val="•"/>
      <w:rPr>
        <w:color w:val="3370ff"/>
      </w:rPr>
    </w:lvl>
  </w:abstractNum>
  <w:abstractNum w:abstractNumId="392970">
    <w:lvl>
      <w:numFmt w:val="bullet"/>
      <w:suff w:val="tab"/>
      <w:lvlText w:val="•"/>
      <w:rPr>
        <w:color w:val="3370ff"/>
      </w:rPr>
    </w:lvl>
  </w:abstractNum>
  <w:abstractNum w:abstractNumId="392971">
    <w:lvl>
      <w:numFmt w:val="bullet"/>
      <w:suff w:val="tab"/>
      <w:lvlText w:val="•"/>
      <w:rPr>
        <w:color w:val="3370ff"/>
      </w:rPr>
    </w:lvl>
  </w:abstractNum>
  <w:abstractNum w:abstractNumId="392972">
    <w:lvl>
      <w:numFmt w:val="bullet"/>
      <w:suff w:val="tab"/>
      <w:lvlText w:val="•"/>
      <w:rPr>
        <w:color w:val="3370ff"/>
      </w:rPr>
    </w:lvl>
  </w:abstractNum>
  <w:abstractNum w:abstractNumId="392973">
    <w:lvl>
      <w:numFmt w:val="bullet"/>
      <w:suff w:val="tab"/>
      <w:lvlText w:val="•"/>
      <w:rPr>
        <w:color w:val="3370ff"/>
      </w:rPr>
    </w:lvl>
  </w:abstractNum>
  <w:abstractNum w:abstractNumId="392974">
    <w:lvl>
      <w:numFmt w:val="bullet"/>
      <w:suff w:val="tab"/>
      <w:lvlText w:val="•"/>
      <w:rPr>
        <w:color w:val="3370ff"/>
      </w:rPr>
    </w:lvl>
  </w:abstractNum>
  <w:abstractNum w:abstractNumId="392975">
    <w:lvl>
      <w:numFmt w:val="bullet"/>
      <w:suff w:val="tab"/>
      <w:lvlText w:val="•"/>
      <w:rPr>
        <w:color w:val="3370ff"/>
      </w:rPr>
    </w:lvl>
  </w:abstractNum>
  <w:abstractNum w:abstractNumId="392976">
    <w:lvl>
      <w:numFmt w:val="bullet"/>
      <w:suff w:val="tab"/>
      <w:lvlText w:val="•"/>
      <w:rPr>
        <w:color w:val="3370ff"/>
      </w:rPr>
    </w:lvl>
  </w:abstractNum>
  <w:abstractNum w:abstractNumId="392977">
    <w:lvl>
      <w:numFmt w:val="bullet"/>
      <w:suff w:val="tab"/>
      <w:lvlText w:val="•"/>
      <w:rPr>
        <w:color w:val="3370ff"/>
      </w:rPr>
    </w:lvl>
  </w:abstractNum>
  <w:abstractNum w:abstractNumId="392978">
    <w:lvl>
      <w:numFmt w:val="bullet"/>
      <w:suff w:val="tab"/>
      <w:lvlText w:val="•"/>
      <w:rPr>
        <w:color w:val="3370ff"/>
      </w:rPr>
    </w:lvl>
  </w:abstractNum>
  <w:abstractNum w:abstractNumId="392979">
    <w:lvl>
      <w:numFmt w:val="bullet"/>
      <w:suff w:val="tab"/>
      <w:lvlText w:val="•"/>
      <w:rPr>
        <w:color w:val="3370ff"/>
      </w:rPr>
    </w:lvl>
  </w:abstractNum>
  <w:abstractNum w:abstractNumId="392980">
    <w:lvl>
      <w:numFmt w:val="bullet"/>
      <w:suff w:val="tab"/>
      <w:lvlText w:val="•"/>
      <w:rPr>
        <w:color w:val="3370ff"/>
      </w:rPr>
    </w:lvl>
  </w:abstractNum>
  <w:abstractNum w:abstractNumId="392981">
    <w:lvl>
      <w:numFmt w:val="bullet"/>
      <w:suff w:val="tab"/>
      <w:lvlText w:val="•"/>
      <w:rPr>
        <w:color w:val="3370ff"/>
      </w:rPr>
    </w:lvl>
  </w:abstractNum>
  <w:abstractNum w:abstractNumId="392982">
    <w:lvl>
      <w:numFmt w:val="bullet"/>
      <w:suff w:val="tab"/>
      <w:lvlText w:val="•"/>
      <w:rPr>
        <w:color w:val="3370ff"/>
      </w:rPr>
    </w:lvl>
  </w:abstractNum>
  <w:abstractNum w:abstractNumId="392983">
    <w:lvl>
      <w:numFmt w:val="bullet"/>
      <w:suff w:val="tab"/>
      <w:lvlText w:val="•"/>
      <w:rPr>
        <w:color w:val="3370ff"/>
      </w:rPr>
    </w:lvl>
  </w:abstractNum>
  <w:num w:numId="1">
    <w:abstractNumId w:val="392910"/>
  </w:num>
  <w:num w:numId="2">
    <w:abstractNumId w:val="392911"/>
  </w:num>
  <w:num w:numId="3">
    <w:abstractNumId w:val="392912"/>
  </w:num>
  <w:num w:numId="4">
    <w:abstractNumId w:val="392913"/>
  </w:num>
  <w:num w:numId="5">
    <w:abstractNumId w:val="392914"/>
  </w:num>
  <w:num w:numId="6">
    <w:abstractNumId w:val="392915"/>
  </w:num>
  <w:num w:numId="7">
    <w:abstractNumId w:val="392916"/>
  </w:num>
  <w:num w:numId="8">
    <w:abstractNumId w:val="392917"/>
  </w:num>
  <w:num w:numId="9">
    <w:abstractNumId w:val="392918"/>
  </w:num>
  <w:num w:numId="10">
    <w:abstractNumId w:val="392919"/>
  </w:num>
  <w:num w:numId="11">
    <w:abstractNumId w:val="392920"/>
  </w:num>
  <w:num w:numId="12">
    <w:abstractNumId w:val="392921"/>
  </w:num>
  <w:num w:numId="13">
    <w:abstractNumId w:val="392922"/>
  </w:num>
  <w:num w:numId="14">
    <w:abstractNumId w:val="392923"/>
  </w:num>
  <w:num w:numId="15">
    <w:abstractNumId w:val="392924"/>
  </w:num>
  <w:num w:numId="16">
    <w:abstractNumId w:val="392925"/>
  </w:num>
  <w:num w:numId="17">
    <w:abstractNumId w:val="392926"/>
  </w:num>
  <w:num w:numId="18">
    <w:abstractNumId w:val="392927"/>
  </w:num>
  <w:num w:numId="19">
    <w:abstractNumId w:val="392928"/>
  </w:num>
  <w:num w:numId="20">
    <w:abstractNumId w:val="392929"/>
  </w:num>
  <w:num w:numId="21">
    <w:abstractNumId w:val="392930"/>
  </w:num>
  <w:num w:numId="22">
    <w:abstractNumId w:val="392931"/>
  </w:num>
  <w:num w:numId="23">
    <w:abstractNumId w:val="392932"/>
  </w:num>
  <w:num w:numId="24">
    <w:abstractNumId w:val="392933"/>
  </w:num>
  <w:num w:numId="25">
    <w:abstractNumId w:val="392934"/>
  </w:num>
  <w:num w:numId="26">
    <w:abstractNumId w:val="392935"/>
  </w:num>
  <w:num w:numId="27">
    <w:abstractNumId w:val="392936"/>
  </w:num>
  <w:num w:numId="28">
    <w:abstractNumId w:val="392937"/>
  </w:num>
  <w:num w:numId="29">
    <w:abstractNumId w:val="392938"/>
  </w:num>
  <w:num w:numId="30">
    <w:abstractNumId w:val="392939"/>
  </w:num>
  <w:num w:numId="31">
    <w:abstractNumId w:val="392940"/>
  </w:num>
  <w:num w:numId="32">
    <w:abstractNumId w:val="392941"/>
  </w:num>
  <w:num w:numId="33">
    <w:abstractNumId w:val="392942"/>
  </w:num>
  <w:num w:numId="34">
    <w:abstractNumId w:val="392943"/>
  </w:num>
  <w:num w:numId="35">
    <w:abstractNumId w:val="392944"/>
  </w:num>
  <w:num w:numId="36">
    <w:abstractNumId w:val="392945"/>
  </w:num>
  <w:num w:numId="37">
    <w:abstractNumId w:val="392946"/>
  </w:num>
  <w:num w:numId="38">
    <w:abstractNumId w:val="392947"/>
  </w:num>
  <w:num w:numId="39">
    <w:abstractNumId w:val="392948"/>
  </w:num>
  <w:num w:numId="40">
    <w:abstractNumId w:val="392949"/>
  </w:num>
  <w:num w:numId="41">
    <w:abstractNumId w:val="392950"/>
  </w:num>
  <w:num w:numId="42">
    <w:abstractNumId w:val="392951"/>
  </w:num>
  <w:num w:numId="43">
    <w:abstractNumId w:val="392952"/>
  </w:num>
  <w:num w:numId="44">
    <w:abstractNumId w:val="392953"/>
  </w:num>
  <w:num w:numId="45">
    <w:abstractNumId w:val="392954"/>
  </w:num>
  <w:num w:numId="46">
    <w:abstractNumId w:val="392955"/>
  </w:num>
  <w:num w:numId="47">
    <w:abstractNumId w:val="392956"/>
  </w:num>
  <w:num w:numId="48">
    <w:abstractNumId w:val="392957"/>
  </w:num>
  <w:num w:numId="49">
    <w:abstractNumId w:val="392958"/>
  </w:num>
  <w:num w:numId="50">
    <w:abstractNumId w:val="392959"/>
  </w:num>
  <w:num w:numId="51">
    <w:abstractNumId w:val="392960"/>
  </w:num>
  <w:num w:numId="52">
    <w:abstractNumId w:val="392961"/>
  </w:num>
  <w:num w:numId="53">
    <w:abstractNumId w:val="392962"/>
  </w:num>
  <w:num w:numId="54">
    <w:abstractNumId w:val="392963"/>
  </w:num>
  <w:num w:numId="55">
    <w:abstractNumId w:val="392964"/>
  </w:num>
  <w:num w:numId="56">
    <w:abstractNumId w:val="392965"/>
  </w:num>
  <w:num w:numId="57">
    <w:abstractNumId w:val="392966"/>
  </w:num>
  <w:num w:numId="58">
    <w:abstractNumId w:val="392967"/>
  </w:num>
  <w:num w:numId="59">
    <w:abstractNumId w:val="392968"/>
  </w:num>
  <w:num w:numId="60">
    <w:abstractNumId w:val="392969"/>
  </w:num>
  <w:num w:numId="61">
    <w:abstractNumId w:val="392970"/>
  </w:num>
  <w:num w:numId="62">
    <w:abstractNumId w:val="392971"/>
  </w:num>
  <w:num w:numId="63">
    <w:abstractNumId w:val="392972"/>
  </w:num>
  <w:num w:numId="64">
    <w:abstractNumId w:val="392973"/>
  </w:num>
  <w:num w:numId="65">
    <w:abstractNumId w:val="392974"/>
  </w:num>
  <w:num w:numId="66">
    <w:abstractNumId w:val="392975"/>
  </w:num>
  <w:num w:numId="67">
    <w:abstractNumId w:val="392976"/>
  </w:num>
  <w:num w:numId="68">
    <w:abstractNumId w:val="392977"/>
  </w:num>
  <w:num w:numId="69">
    <w:abstractNumId w:val="392978"/>
  </w:num>
  <w:num w:numId="70">
    <w:abstractNumId w:val="392979"/>
  </w:num>
  <w:num w:numId="71">
    <w:abstractNumId w:val="392980"/>
  </w:num>
  <w:num w:numId="72">
    <w:abstractNumId w:val="392981"/>
  </w:num>
  <w:num w:numId="73">
    <w:abstractNumId w:val="392982"/>
  </w:num>
  <w:num w:numId="74">
    <w:abstractNumId w:val="3929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doubao.cn" TargetMode="External" Type="http://schemas.openxmlformats.org/officeDocument/2006/relationships/hyperlink"/><Relationship Id="rId11" Target="https://www.doubao.cn" TargetMode="External" Type="http://schemas.openxmlformats.org/officeDocument/2006/relationships/hyperlink"/><Relationship Id="rId12" Target="https://www.doubao.cn" TargetMode="External" Type="http://schemas.openxmlformats.org/officeDocument/2006/relationships/hyperlink"/><Relationship Id="rId13" Target="https://www.doubao.cn" TargetMode="External" Type="http://schemas.openxmlformats.org/officeDocument/2006/relationships/hyperlink"/><Relationship Id="rId14" Target="https://www.doubao.cn" TargetMode="External" Type="http://schemas.openxmlformats.org/officeDocument/2006/relationships/hyperlink"/><Relationship Id="rId15" Target="https://www.doubao.cn" TargetMode="External" Type="http://schemas.openxmlformats.org/officeDocument/2006/relationships/hyperlink"/><Relationship Id="rId16" Target="https://www.doubao.cn" TargetMode="External" Type="http://schemas.openxmlformats.org/officeDocument/2006/relationships/hyperlink"/><Relationship Id="rId17" Target="https://www.doubao.cn" TargetMode="External" Type="http://schemas.openxmlformats.org/officeDocument/2006/relationships/hyperlink"/><Relationship Id="rId18" Target="https://www.doubao.cn" TargetMode="External" Type="http://schemas.openxmlformats.org/officeDocument/2006/relationships/hyperlink"/><Relationship Id="rId19" Target="https://www.doubao.cn" TargetMode="External" Type="http://schemas.openxmlformats.org/officeDocument/2006/relationships/hyperlink"/><Relationship Id="rId2" Target="styles.xml" Type="http://schemas.openxmlformats.org/officeDocument/2006/relationships/styles"/><Relationship Id="rId20" Target="https://www.doubao.cn" TargetMode="External" Type="http://schemas.openxmlformats.org/officeDocument/2006/relationships/hyperlink"/><Relationship Id="rId21" Target="https://www.doubao.cn" TargetMode="External" Type="http://schemas.openxmlformats.org/officeDocument/2006/relationships/hyperlink"/><Relationship Id="rId22" Target="https://www.doubao.cn" TargetMode="External" Type="http://schemas.openxmlformats.org/officeDocument/2006/relationships/hyperlink"/><Relationship Id="rId23" Target="https://www.doubao.cn" TargetMode="External" Type="http://schemas.openxmlformats.org/officeDocument/2006/relationships/hyperlink"/><Relationship Id="rId24" Target="https://www.doubao.cn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doubao.cn" TargetMode="External" Type="http://schemas.openxmlformats.org/officeDocument/2006/relationships/hyperlink"/><Relationship Id="rId6" Target="https://www.doubao.cn" TargetMode="External" Type="http://schemas.openxmlformats.org/officeDocument/2006/relationships/hyperlink"/><Relationship Id="rId7" Target="https://www.doubao.cn" TargetMode="External" Type="http://schemas.openxmlformats.org/officeDocument/2006/relationships/hyperlink"/><Relationship Id="rId8" Target="https://www.doubao.cn" TargetMode="External" Type="http://schemas.openxmlformats.org/officeDocument/2006/relationships/hyperlink"/><Relationship Id="rId9" Target="https://www.doubao.cn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2026-04-09T03:57:06Z</dcterms:created>
  <dc:creator>Apache POI</dc:creator>
</cp:coreProperties>
</file>