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VAD_A01_网页登录入口界面设计需求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目录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文档说明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设计核心原则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页面整体布局规划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核心功能与选项设计（含位置表格）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交互设计要求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视觉设计要求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安全设计要求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兼容性要求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附则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网页布局文字示意图（补充）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一、文档说明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1.1 文档目的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基于《VAD_01_百万大屏广告系统_全流程文档清单（定义+开发+运营）》《VAD_02_百万大屏广告系统_市场需求文档_MRD》《VAD_03_百万大屏广告系统_产品需求文档_PRD》《VAD_04_账号类型及管理机制》及《VAD_04_B_账号类型标识规范对比表》，明确VAD项目“百万大屏广告系统”网页登录入口的界面设计需求，涵盖页面功能、布局位置、交互逻辑、视觉风格、安全规范等核心内容，为前端开发、UI设计、测试工作提供清晰、统一的执行依据，确保登录入口精准适配系统13类账号登录需求，兼顾安全性、便捷性与兼容性，打造符合VAD项目定位的专业登录体验，实现与账号管理机制、系统全流程运营要求的无缝衔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1.2 适用范围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VAD项目系统前端开发工程师、UI/UX设计师、测试工程师，作为网页登录入口开发、设计、测试的核心依据；同时为产品运营、账号管理相关人员提供参考，确保登录流程与《VAD_04_账号类型及管理机制》《VAD_04_B_账号类型标识规范对比表》中的账号体系管控需求一致，贴合《VAD_01_百万大屏广告系统_全流程文档清单》的全流程管理要求，匹配《VAD_02_MRD》《VAD_03_PRD》的市场及产品核心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1.3 核心前提</w:t>
      </w:r>
      <w:bookmarkEnd w:id="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入口为VAD百万大屏广告系统唯一网页登录渠道，严格遵循《VAD_04_账号类型及管理机制》要求，适配13类账号（超级管理员、开发工程师、广告主、受众等）登录需求，不同账号登录后跳转至对应权限的后台界面，账号标识符合《VAD_04_B_账号类型标识规范对比表》要求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需符合《个人信息保护法》及VAD项目数据安全管理相关规范，保障账号登录过程的信息安全，契合《VAD_02_MRD》中隐私保护相关市场需求；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适配PC端主流浏览器及不同屏幕分辨率（最小支持1366*768px），满足《VAD_03_PRD》中兼容性相关产品需求，确保登录入口在系统全流程运营中稳定可用；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登录入口设计需与系统整体视觉风格、功能逻辑保持统一，衔接《VAD_01_全流程文档清单》中开发、运营相关要求，确保用户体验连贯。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二、设计核心原则</w:t>
      </w:r>
      <w:bookmarkEnd w:id="5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安全性优先：严格遵循VAD项目安全管理规范，强化身份校验、防暴力破解、信息加密传输，保障账号登录安全，契合《VAD_03_PRD》中安全相关产品需求；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便捷性适配：操作流程简洁，支持账号快速登录，严格匹配《VAD_04_账号类型及管理机制》中13类账号的使用场景，降低各类用户的使用门槛；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兼容性适配：兼容PC端主流浏览器与不同屏幕尺寸，无显示异常、功能失效问题，满足《VAD_03_PRD》中兼容性要求，适配系统全流程运营场景；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视觉统一性：贴合VAD百万大屏广告系统“智能化、商业化”定位，视觉风格专业、简洁，与系统后续界面保持一致，符合《VAD_02_MRD》中品牌展示相关市场需求；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合规性达标：遵循数据安全与隐私保护相关法规及VAD项目相关规范，不泄露用户登录信息，账号标识符合《VAD_04_B_账号类型标识规范对比表》要求；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联动性适配：与系统账号管理模块、全流程运营机制深度联动，确保登录入口与《VAD_01_全流程文档清单》《VAD_04_账号类型及管理机制》的要求无缝衔接。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三、页面整体布局规划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页面采用“左右分栏”布局，左侧为品牌展示区，右侧为登录功能区，整体布局对称、整洁，重点突出登录核心功能，兼顾品牌展示与操作便捷性，具体规划如下，贴合VAD项目系统定位及全流程运营需求：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左侧（占比40%）：展示系统品牌标识、核心定位标语，增强品牌认知，无功能操作元素，契合《VAD_02_MRD》中品牌推广相关市场需求；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（占比60%）：包含所有登录相关功能与选项，按“登录标题-账号类型选择-账号输入-密码输入-登录操作-辅助功能”的逻辑顺序垂直排列，符合用户登录操作习惯，严格匹配《VAD_04_账号类型及管理机制》中账号登录流程要求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顶部：系统Logo、语言切换入口，Logo设计贴合VAD项目品牌标识规范，语言切换支持多语种适配，满足系统国际化运营需求；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底部：版权信息、隐私政策链接、服务条款链接、客服咨询入口，符合《VAD_02_MRD》中合规性相关需求，衔接系统全流程运营中的用户服务要求。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四、核心功能与选项设计（含位置表格）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入口核心功能涵盖账号登录、身份校验、辅助操作、信息展示四大类，所有功能元素的具体位置通过表格明确，便于开发者精准布局，位置描述以“页面左上角为原点，按区域+相对位置”标注，严格遵循《VAD_04_账号类型及管理机制》《VAD_04_B_账号类型标识规范对比表》中的账号相关要求，贴合《VAD_03_PRD》产品功能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4.1 核心功能与选项位置总表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功能/选项名称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页面位置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关联账号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关联VAD文档依据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系统Logo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展示VAD百万大屏广告系统官方Logo，点击可返回</w:t>
            </w:r>
            <w:r>
              <w:rPr>
                <w:rFonts w:eastAsia="等线" w:ascii="Arial" w:cs="Arial" w:hAnsi="Arial"/>
                <w:sz w:val="22"/>
              </w:rPr>
              <w:t>登录入口首页（已在登录页时无跳转），Logo标识符合《V</w:t>
            </w:r>
            <w:r>
              <w:rPr>
                <w:rFonts w:eastAsia="等线" w:ascii="Arial" w:cs="Arial" w:hAnsi="Arial"/>
                <w:sz w:val="22"/>
              </w:rPr>
              <w:t>AD_04_B_账号类型标识规范对比表》中系统整体标识要求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顶部左侧区域，距离页面上边缘20px，</w:t>
            </w:r>
            <w:r>
              <w:rPr>
                <w:rFonts w:eastAsia="等线" w:ascii="Arial" w:cs="Arial" w:hAnsi="Arial"/>
                <w:sz w:val="22"/>
              </w:rPr>
              <w:t>左侧边缘30px，尺寸80*40px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所有账号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《V</w:t>
            </w:r>
            <w:r>
              <w:rPr>
                <w:rFonts w:eastAsia="等线" w:ascii="Arial" w:cs="Arial" w:hAnsi="Arial"/>
                <w:sz w:val="22"/>
              </w:rPr>
              <w:t>AD_04_B_账号类型标识规范对比表》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语言切换入口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支持中文、英文、俄文、西班牙文、法文</w:t>
            </w:r>
            <w:r>
              <w:rPr>
                <w:rFonts w:eastAsia="等线" w:ascii="Arial" w:cs="Arial" w:hAnsi="Arial"/>
                <w:sz w:val="22"/>
              </w:rPr>
              <w:t>、德文、葡萄牙文、阿拉伯文、日文、韩文切换，切换后页面文案</w:t>
            </w:r>
            <w:r>
              <w:rPr>
                <w:rFonts w:eastAsia="等线" w:ascii="Arial" w:cs="Arial" w:hAnsi="Arial"/>
                <w:sz w:val="22"/>
              </w:rPr>
              <w:t>实时同步，默认中文，适配系统国际化运营需求，</w:t>
            </w:r>
            <w:r>
              <w:rPr>
                <w:rFonts w:eastAsia="等线" w:ascii="Arial" w:cs="Arial" w:hAnsi="Arial"/>
                <w:sz w:val="22"/>
              </w:rPr>
              <w:t>契合《VAD_02_MRD》市场需求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顶部右侧区域，距离页面</w:t>
            </w:r>
            <w:r>
              <w:rPr>
                <w:rFonts w:eastAsia="等线" w:ascii="Arial" w:cs="Arial" w:hAnsi="Arial"/>
                <w:sz w:val="22"/>
              </w:rPr>
              <w:t>上边缘20px，右侧边缘30px，下拉菜单样式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所有账号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《VAD_02_百万大屏广告系统_市场需求文档_MRD》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品牌展示图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展示系统主题图片（办公大屏</w:t>
            </w:r>
            <w:r>
              <w:rPr>
                <w:rFonts w:eastAsia="等线" w:ascii="Arial" w:cs="Arial" w:hAnsi="Arial"/>
                <w:sz w:val="22"/>
              </w:rPr>
              <w:t>广告场景示意图），增强品牌辨识度，贴合《VAD_02_MRD</w:t>
            </w:r>
            <w:r>
              <w:rPr>
                <w:rFonts w:eastAsia="等线" w:ascii="Arial" w:cs="Arial" w:hAnsi="Arial"/>
                <w:sz w:val="22"/>
              </w:rPr>
              <w:t>》中品牌推广需求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左侧区域（40%宽</w:t>
            </w:r>
            <w:r>
              <w:rPr>
                <w:rFonts w:eastAsia="等线" w:ascii="Arial" w:cs="Arial" w:hAnsi="Arial"/>
                <w:sz w:val="22"/>
              </w:rPr>
              <w:t>），垂直居中，图片尺寸自适应左侧区域，比例16:9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</w:t>
            </w:r>
            <w:r>
              <w:rPr>
                <w:rFonts w:eastAsia="等线" w:ascii="Arial" w:cs="Arial" w:hAnsi="Arial"/>
                <w:sz w:val="22"/>
              </w:rPr>
              <w:t>账号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《VAD_02_百万大屏广告系统</w:t>
            </w:r>
            <w:r>
              <w:rPr>
                <w:rFonts w:eastAsia="等线" w:ascii="Arial" w:cs="Arial" w:hAnsi="Arial"/>
                <w:sz w:val="22"/>
              </w:rPr>
              <w:t>_市场需求文档_MRD》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品牌标语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</w:t>
            </w:r>
            <w:r>
              <w:rPr>
                <w:rFonts w:eastAsia="等线" w:ascii="Arial" w:cs="Arial" w:hAnsi="Arial"/>
                <w:sz w:val="22"/>
              </w:rPr>
              <w:t>系统核心定位“百万大屏广告系统 - 精准触达·商业闭环”，</w:t>
            </w:r>
            <w:r>
              <w:rPr>
                <w:rFonts w:eastAsia="等线" w:ascii="Arial" w:cs="Arial" w:hAnsi="Arial"/>
                <w:sz w:val="22"/>
              </w:rPr>
              <w:t>契合VAD项目系统定位及《VAD_02_MRD》市场定位需求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左侧区域底部，品牌展示图下方，文字居中</w:t>
            </w:r>
            <w:r>
              <w:rPr>
                <w:rFonts w:eastAsia="等线" w:ascii="Arial" w:cs="Arial" w:hAnsi="Arial"/>
                <w:sz w:val="22"/>
              </w:rPr>
              <w:t>对齐，距离底部边缘50px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所有账号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</w:t>
            </w:r>
            <w:r>
              <w:rPr>
                <w:rFonts w:eastAsia="等线" w:ascii="Arial" w:cs="Arial" w:hAnsi="Arial"/>
                <w:sz w:val="22"/>
              </w:rPr>
              <w:t>VAD_02_百万大屏广告系统_市场需求文档_MRD》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登录标题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显示“账号登录”核心标题，下方</w:t>
            </w:r>
            <w:r>
              <w:rPr>
                <w:rFonts w:eastAsia="等线" w:ascii="Arial" w:cs="Arial" w:hAnsi="Arial"/>
                <w:sz w:val="22"/>
              </w:rPr>
              <w:t>标注“请输入账号信息完成登录”辅助文案，标题样式贴合系统视觉规范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右侧区域顶部，距离上边缘80px，左侧</w:t>
            </w:r>
            <w:r>
              <w:rPr>
                <w:rFonts w:eastAsia="等线" w:ascii="Arial" w:cs="Arial" w:hAnsi="Arial"/>
                <w:sz w:val="22"/>
              </w:rPr>
              <w:t>边缘50px，文字左对齐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所有账号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</w:t>
            </w:r>
            <w:r>
              <w:rPr>
                <w:rFonts w:eastAsia="等线" w:ascii="Arial" w:cs="Arial" w:hAnsi="Arial"/>
                <w:sz w:val="22"/>
              </w:rPr>
              <w:t>VAD_03_百万大屏广告系统_产品需求文档_PRD》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账号类型选择下拉框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列出13类账号类型，严格遵循《VAD</w:t>
            </w:r>
            <w:r>
              <w:rPr>
                <w:rFonts w:eastAsia="等线" w:ascii="Arial" w:cs="Arial" w:hAnsi="Arial"/>
                <w:sz w:val="22"/>
              </w:rPr>
              <w:t>_04_账号类型及管理机制》分类要求，采用「分类提示+</w:t>
            </w:r>
            <w:r>
              <w:rPr>
                <w:rFonts w:eastAsia="等线" w:ascii="Arial" w:cs="Arial" w:hAnsi="Arial"/>
                <w:sz w:val="22"/>
              </w:rPr>
              <w:t>具体账号」的下拉展示形式，按“管理类-技术类-业务类</w:t>
            </w:r>
            <w:r>
              <w:rPr>
                <w:rFonts w:eastAsia="等线" w:ascii="Arial" w:cs="Arial" w:hAnsi="Arial"/>
                <w:sz w:val="22"/>
              </w:rPr>
              <w:t>-数据类-服务与终端类”分类排序，账号标识符合《VAD</w:t>
            </w:r>
            <w:r>
              <w:rPr>
                <w:rFonts w:eastAsia="等线" w:ascii="Arial" w:cs="Arial" w:hAnsi="Arial"/>
                <w:sz w:val="22"/>
              </w:rPr>
              <w:t>_04_B_账号类型标识规范对比表》；用户选择对应账号类型</w:t>
            </w:r>
            <w:r>
              <w:rPr>
                <w:rFonts w:eastAsia="等线" w:ascii="Arial" w:cs="Arial" w:hAnsi="Arial"/>
                <w:sz w:val="22"/>
              </w:rPr>
              <w:t>后，登录表单自动适配该账号的登录规则（如部分账号需验证码）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右侧区域，登录标题下方20px，左侧边缘</w:t>
            </w:r>
            <w:r>
              <w:rPr>
                <w:rFonts w:eastAsia="等线" w:ascii="Arial" w:cs="Arial" w:hAnsi="Arial"/>
                <w:sz w:val="22"/>
              </w:rPr>
              <w:t>50px，宽度300px，下拉框样式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所有账号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《V</w:t>
            </w:r>
            <w:r>
              <w:rPr>
                <w:rFonts w:eastAsia="等线" w:ascii="Arial" w:cs="Arial" w:hAnsi="Arial"/>
                <w:sz w:val="22"/>
              </w:rPr>
              <w:t>AD_04_账号类型及管理机制》《VAD_04_B_账号类型标识规范对比</w:t>
            </w:r>
            <w:r>
              <w:rPr>
                <w:rFonts w:eastAsia="等线" w:ascii="Arial" w:cs="Arial" w:hAnsi="Arial"/>
                <w:sz w:val="22"/>
              </w:rPr>
              <w:t>表》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账号输入</w:t>
            </w:r>
            <w:r>
              <w:rPr>
                <w:rFonts w:eastAsia="等线" w:ascii="Arial" w:cs="Arial" w:hAnsi="Arial"/>
                <w:sz w:val="22"/>
              </w:rPr>
              <w:t>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支持输入手机号/邮箱/账号ID，placeholder提示</w:t>
            </w:r>
            <w:r>
              <w:rPr>
                <w:rFonts w:eastAsia="等线" w:ascii="Arial" w:cs="Arial" w:hAnsi="Arial"/>
                <w:sz w:val="22"/>
              </w:rPr>
              <w:t>“请输入账号”，实时校验输入格式合法性，账号输入规则契合《V</w:t>
            </w:r>
            <w:r>
              <w:rPr>
                <w:rFonts w:eastAsia="等线" w:ascii="Arial" w:cs="Arial" w:hAnsi="Arial"/>
                <w:sz w:val="22"/>
              </w:rPr>
              <w:t>AD_04_账号类型及管理机制》要求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右侧区域，账号类型下拉框下方20px，左侧边缘50px，</w:t>
            </w:r>
            <w:r>
              <w:rPr>
                <w:rFonts w:eastAsia="等线" w:ascii="Arial" w:cs="Arial" w:hAnsi="Arial"/>
                <w:sz w:val="22"/>
              </w:rPr>
              <w:t>宽度300px，高度45px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所有账号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《VAD_04_账号类型</w:t>
            </w:r>
            <w:r>
              <w:rPr>
                <w:rFonts w:eastAsia="等线" w:ascii="Arial" w:cs="Arial" w:hAnsi="Arial"/>
                <w:sz w:val="22"/>
              </w:rPr>
              <w:t>及管理机制》《VAD_03_百万大屏广告系统_产品需求</w:t>
            </w:r>
            <w:r>
              <w:rPr>
                <w:rFonts w:eastAsia="等线" w:ascii="Arial" w:cs="Arial" w:hAnsi="Arial"/>
                <w:sz w:val="22"/>
              </w:rPr>
              <w:t>文档_PRD》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密码输入框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支持输入密码，显示隐藏</w:t>
            </w:r>
            <w:r>
              <w:rPr>
                <w:rFonts w:eastAsia="等线" w:ascii="Arial" w:cs="Arial" w:hAnsi="Arial"/>
                <w:sz w:val="22"/>
              </w:rPr>
              <w:t>切换按钮，placeholder提示“请输入密码”，输入时遮挡密码字符，密码</w:t>
            </w:r>
            <w:r>
              <w:rPr>
                <w:rFonts w:eastAsia="等线" w:ascii="Arial" w:cs="Arial" w:hAnsi="Arial"/>
                <w:sz w:val="22"/>
              </w:rPr>
              <w:t>规则符合《VAD_04_账号类型及管理机制》中密码安全</w:t>
            </w: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右侧区域，账号输入框下方20px</w:t>
            </w:r>
            <w:r>
              <w:rPr>
                <w:rFonts w:eastAsia="等线" w:ascii="Arial" w:cs="Arial" w:hAnsi="Arial"/>
                <w:sz w:val="22"/>
              </w:rPr>
              <w:t>，左侧边缘50px，宽度300px，高度45px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所有账号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《VAD_04_账号类型及管理机制》《VAD_03_百万大屏广告系统_</w:t>
            </w:r>
            <w:r>
              <w:rPr>
                <w:rFonts w:eastAsia="等线" w:ascii="Arial" w:cs="Arial" w:hAnsi="Arial"/>
                <w:sz w:val="22"/>
              </w:rPr>
              <w:t>产品需求文档_PRD》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验证码输入框（按需显示）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严格遵循《VAD_04_账号类型及管理机制》权限要求，</w:t>
            </w:r>
            <w:r>
              <w:rPr>
                <w:rFonts w:eastAsia="等线" w:ascii="Arial" w:cs="Arial" w:hAnsi="Arial"/>
                <w:sz w:val="22"/>
              </w:rPr>
              <w:t>超级管理员、财务、审计账号登录时强制显示，其他账号登录异常时触发</w:t>
            </w:r>
            <w:r>
              <w:rPr>
                <w:rFonts w:eastAsia="等线" w:ascii="Arial" w:cs="Arial" w:hAnsi="Arial"/>
                <w:sz w:val="22"/>
              </w:rPr>
              <w:t>显示，支持短信验证码（点击获取），placeholder提示</w:t>
            </w:r>
            <w:r>
              <w:rPr>
                <w:rFonts w:eastAsia="等线" w:ascii="Arial" w:cs="Arial" w:hAnsi="Arial"/>
                <w:sz w:val="22"/>
              </w:rPr>
              <w:t>“请输入验证码”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右侧区域，密码输入框</w:t>
            </w:r>
            <w:r>
              <w:rPr>
                <w:rFonts w:eastAsia="等线" w:ascii="Arial" w:cs="Arial" w:hAnsi="Arial"/>
                <w:sz w:val="22"/>
              </w:rPr>
              <w:t>下方20px，左侧边缘50px，宽度180px，高度45px；验证码获取</w:t>
            </w:r>
            <w:r>
              <w:rPr>
                <w:rFonts w:eastAsia="等线" w:ascii="Arial" w:cs="Arial" w:hAnsi="Arial"/>
                <w:sz w:val="22"/>
              </w:rPr>
              <w:t>按钮位于右侧，宽度110px，高度45px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超级管理员、财务、审计及</w:t>
            </w:r>
            <w:r>
              <w:rPr>
                <w:rFonts w:eastAsia="等线" w:ascii="Arial" w:cs="Arial" w:hAnsi="Arial"/>
                <w:sz w:val="22"/>
              </w:rPr>
              <w:t>登录异常账号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《VAD_04_账号类型及管理机制》《</w:t>
            </w:r>
            <w:r>
              <w:rPr>
                <w:rFonts w:eastAsia="等线" w:ascii="Arial" w:cs="Arial" w:hAnsi="Arial"/>
                <w:sz w:val="22"/>
              </w:rPr>
              <w:t>VAD_03_百万大屏广告系统_产品需求文档_PRD》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记住账号复选</w:t>
            </w:r>
            <w:r>
              <w:rPr>
                <w:rFonts w:eastAsia="等线" w:ascii="Arial" w:cs="Arial" w:hAnsi="Arial"/>
                <w:sz w:val="22"/>
              </w:rPr>
              <w:t>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勾选后下次登录自动填充账号（密码不</w:t>
            </w:r>
            <w:r>
              <w:rPr>
                <w:rFonts w:eastAsia="等线" w:ascii="Arial" w:cs="Arial" w:hAnsi="Arial"/>
                <w:sz w:val="22"/>
              </w:rPr>
              <w:t>自动填充），默认不勾选，支持Cookie存储（有效期7天），符合</w:t>
            </w:r>
            <w:r>
              <w:rPr>
                <w:rFonts w:eastAsia="等线" w:ascii="Arial" w:cs="Arial" w:hAnsi="Arial"/>
                <w:sz w:val="22"/>
              </w:rPr>
              <w:t>《VAD_03_PRD》中用户体验相关需求，保障账号安全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右侧区域，密码输入框（或验证码输入框</w:t>
            </w:r>
            <w:r>
              <w:rPr>
                <w:rFonts w:eastAsia="等线" w:ascii="Arial" w:cs="Arial" w:hAnsi="Arial"/>
                <w:sz w:val="22"/>
              </w:rPr>
              <w:t>）下方20px，左侧边缘50px，复选框尺寸16*16px，右侧紧邻</w:t>
            </w:r>
            <w:r>
              <w:rPr>
                <w:rFonts w:eastAsia="等线" w:ascii="Arial" w:cs="Arial" w:hAnsi="Arial"/>
                <w:sz w:val="22"/>
              </w:rPr>
              <w:t>“记住账号”文字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所有账号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《VAD_03_</w:t>
            </w:r>
            <w:r>
              <w:rPr>
                <w:rFonts w:eastAsia="等线" w:ascii="Arial" w:cs="Arial" w:hAnsi="Arial"/>
                <w:sz w:val="22"/>
              </w:rPr>
              <w:t>百万大屏广告系统_产品需求文档_PRD》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忘记密码链接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点击跳转至密码找回页面，支持通过手机号/</w:t>
            </w:r>
            <w:r>
              <w:rPr>
                <w:rFonts w:eastAsia="等线" w:ascii="Arial" w:cs="Arial" w:hAnsi="Arial"/>
                <w:sz w:val="22"/>
              </w:rPr>
              <w:t>邮箱找回密码，密码找回流程契合《VAD_04_账号类型及</w:t>
            </w:r>
            <w:r>
              <w:rPr>
                <w:rFonts w:eastAsia="等线" w:ascii="Arial" w:cs="Arial" w:hAnsi="Arial"/>
                <w:sz w:val="22"/>
              </w:rPr>
              <w:t>管理机制》中账号找回规则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右侧区域，记住</w:t>
            </w:r>
            <w:r>
              <w:rPr>
                <w:rFonts w:eastAsia="等线" w:ascii="Arial" w:cs="Arial" w:hAnsi="Arial"/>
                <w:sz w:val="22"/>
              </w:rPr>
              <w:t>账号复选框右侧，水平对齐，距离右侧边缘50px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所有账号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《VAD_04_账号类型及管理机制》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登录按钮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点击提交登录信息，触发账号校验</w:t>
            </w:r>
            <w:r>
              <w:rPr>
                <w:rFonts w:eastAsia="等线" w:ascii="Arial" w:cs="Arial" w:hAnsi="Arial"/>
                <w:sz w:val="22"/>
              </w:rPr>
              <w:t>（账号类型、账号密码匹配、权限有效性），校验规则严格遵循《V</w:t>
            </w:r>
            <w:r>
              <w:rPr>
                <w:rFonts w:eastAsia="等线" w:ascii="Arial" w:cs="Arial" w:hAnsi="Arial"/>
                <w:sz w:val="22"/>
              </w:rPr>
              <w:t>AD_04_账号类型及管理机制》，校验通过后跳转至对应</w:t>
            </w:r>
            <w:r>
              <w:rPr>
                <w:rFonts w:eastAsia="等线" w:ascii="Arial" w:cs="Arial" w:hAnsi="Arial"/>
                <w:sz w:val="22"/>
              </w:rPr>
              <w:t>账号后台首页；按钮状态：未填完整时禁用，填写完整后启用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右侧区域，记住账号复选框下方30px，</w:t>
            </w:r>
            <w:r>
              <w:rPr>
                <w:rFonts w:eastAsia="等线" w:ascii="Arial" w:cs="Arial" w:hAnsi="Arial"/>
                <w:sz w:val="22"/>
              </w:rPr>
              <w:t>左侧边缘50px，宽度300px，高度50px，按钮居中对齐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</w:t>
            </w:r>
            <w:r>
              <w:rPr>
                <w:rFonts w:eastAsia="等线" w:ascii="Arial" w:cs="Arial" w:hAnsi="Arial"/>
                <w:sz w:val="22"/>
              </w:rPr>
              <w:t>账号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《VAD_04_账号类型及管理机制》《VAD</w:t>
            </w:r>
            <w:r>
              <w:rPr>
                <w:rFonts w:eastAsia="等线" w:ascii="Arial" w:cs="Arial" w:hAnsi="Arial"/>
                <w:sz w:val="22"/>
              </w:rPr>
              <w:t>_03_百万大屏广告系统_产品需求文档_PRD》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账号注册入口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严格遵循《VAD_04_账号类型及管理</w:t>
            </w:r>
            <w:r>
              <w:rPr>
                <w:rFonts w:eastAsia="等线" w:ascii="Arial" w:cs="Arial" w:hAnsi="Arial"/>
                <w:sz w:val="22"/>
              </w:rPr>
              <w:t>机制》要求，仅广告主、受众账号可注册，显示“还没有账号</w:t>
            </w:r>
            <w:r>
              <w:rPr>
                <w:rFonts w:eastAsia="等线" w:ascii="Arial" w:cs="Arial" w:hAnsi="Arial"/>
                <w:sz w:val="22"/>
              </w:rPr>
              <w:t>？立即注册”文字，点击后跳转至对应账号注册页面（根据账号类型</w:t>
            </w:r>
            <w:r>
              <w:rPr>
                <w:rFonts w:eastAsia="等线" w:ascii="Arial" w:cs="Arial" w:hAnsi="Arial"/>
                <w:sz w:val="22"/>
              </w:rPr>
              <w:t>选择自动跳转）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右侧区域，登录按钮下方2</w:t>
            </w:r>
            <w:r>
              <w:rPr>
                <w:rFonts w:eastAsia="等线" w:ascii="Arial" w:cs="Arial" w:hAnsi="Arial"/>
                <w:sz w:val="22"/>
              </w:rPr>
              <w:t>0px，居中对齐，文字颜色为系统主色调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广告主、受众账号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《VAD_04_账号类型及管理机制》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客服咨询入口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显示“登录遇到问题？联系客服”文字，点击</w:t>
            </w:r>
            <w:r>
              <w:rPr>
                <w:rFonts w:eastAsia="等线" w:ascii="Arial" w:cs="Arial" w:hAnsi="Arial"/>
                <w:sz w:val="22"/>
              </w:rPr>
              <w:t>后弹出客服咨询窗口（支持文字咨询、电话联系），契合《VAD</w:t>
            </w:r>
            <w:r>
              <w:rPr>
                <w:rFonts w:eastAsia="等线" w:ascii="Arial" w:cs="Arial" w:hAnsi="Arial"/>
                <w:sz w:val="22"/>
              </w:rPr>
              <w:t>_01_全流程文档清单》中运营服务相关要求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右侧区域，账号注册入口下方20px，居中对齐，文字</w:t>
            </w:r>
            <w:r>
              <w:rPr>
                <w:rFonts w:eastAsia="等线" w:ascii="Arial" w:cs="Arial" w:hAnsi="Arial"/>
                <w:sz w:val="22"/>
              </w:rPr>
              <w:t>颜色为灰色（#666666）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所有账号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《VAD_01_百万大屏广告系统_全流程文档清单（定义</w:t>
            </w:r>
            <w:r>
              <w:rPr>
                <w:rFonts w:eastAsia="等线" w:ascii="Arial" w:cs="Arial" w:hAnsi="Arial"/>
                <w:sz w:val="22"/>
              </w:rPr>
              <w:t>+开发+运营）》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隐私政策链接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点击跳转至系统</w:t>
            </w:r>
            <w:r>
              <w:rPr>
                <w:rFonts w:eastAsia="等线" w:ascii="Arial" w:cs="Arial" w:hAnsi="Arial"/>
                <w:sz w:val="22"/>
              </w:rPr>
              <w:t>隐私政策页面，告知用户登录信息的使用规则，符合《VAD_0</w:t>
            </w:r>
            <w:r>
              <w:rPr>
                <w:rFonts w:eastAsia="等线" w:ascii="Arial" w:cs="Arial" w:hAnsi="Arial"/>
                <w:sz w:val="22"/>
              </w:rPr>
              <w:t>2_MRD》中合规性相关市场需求及数据安全要求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底部左侧区域，距离底部边缘20</w:t>
            </w:r>
            <w:r>
              <w:rPr>
                <w:rFonts w:eastAsia="等线" w:ascii="Arial" w:cs="Arial" w:hAnsi="Arial"/>
                <w:sz w:val="22"/>
              </w:rPr>
              <w:t>px，左侧边缘30px，文字左对齐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所有账号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《VAD_02_百万大屏广告系统_市场需求文档_MRD》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服务条款链接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点击跳转至系统服务条款页面，明确用户登录</w:t>
            </w:r>
            <w:r>
              <w:rPr>
                <w:rFonts w:eastAsia="等线" w:ascii="Arial" w:cs="Arial" w:hAnsi="Arial"/>
                <w:sz w:val="22"/>
              </w:rPr>
              <w:t>及使用系统的权利与义务，契合《VAD_01_全流程文档清单》中合规管理</w:t>
            </w:r>
            <w:r>
              <w:rPr>
                <w:rFonts w:eastAsia="等线" w:ascii="Arial" w:cs="Arial" w:hAnsi="Arial"/>
                <w:sz w:val="22"/>
              </w:rPr>
              <w:t>相关要求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底部中间区域，距离底部边缘20</w:t>
            </w:r>
            <w:r>
              <w:rPr>
                <w:rFonts w:eastAsia="等线" w:ascii="Arial" w:cs="Arial" w:hAnsi="Arial"/>
                <w:sz w:val="22"/>
              </w:rPr>
              <w:t>px，与隐私政策链接水平间距20px，文字居中对齐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所有账号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《VAD_01_百万大屏广告系统_全流程文档</w:t>
            </w:r>
            <w:r>
              <w:rPr>
                <w:rFonts w:eastAsia="等线" w:ascii="Arial" w:cs="Arial" w:hAnsi="Arial"/>
                <w:sz w:val="22"/>
              </w:rPr>
              <w:t>清单（定义+开发+运营）》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版权信息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显示“© 2026 VAD百万大屏广告系统 版权所有”文字，</w:t>
            </w:r>
            <w:r>
              <w:rPr>
                <w:rFonts w:eastAsia="等线" w:ascii="Arial" w:cs="Arial" w:hAnsi="Arial"/>
                <w:sz w:val="22"/>
              </w:rPr>
              <w:t>无跳转功能，贴合VAD项目品牌标识规范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底部右侧区域，距离底部边缘20px，右侧</w:t>
            </w:r>
            <w:r>
              <w:rPr>
                <w:rFonts w:eastAsia="等线" w:ascii="Arial" w:cs="Arial" w:hAnsi="Arial"/>
                <w:sz w:val="22"/>
              </w:rPr>
              <w:t>边缘30px，文字右对齐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所有账号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《VAD_</w:t>
            </w:r>
            <w:r>
              <w:rPr>
                <w:rFonts w:eastAsia="等线" w:ascii="Arial" w:cs="Arial" w:hAnsi="Arial"/>
                <w:sz w:val="22"/>
              </w:rPr>
              <w:t>04_B_账号类型标识规范对比表》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安全登录提示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显示“为保障账号安全，请勿在公共设备</w:t>
            </w:r>
            <w:r>
              <w:rPr>
                <w:rFonts w:eastAsia="等线" w:ascii="Arial" w:cs="Arial" w:hAnsi="Arial"/>
                <w:sz w:val="22"/>
              </w:rPr>
              <w:t>上登录”提示文字，增强用户安全意识，符合《VAD_03</w:t>
            </w:r>
            <w:r>
              <w:rPr>
                <w:rFonts w:eastAsia="等线" w:ascii="Arial" w:cs="Arial" w:hAnsi="Arial"/>
                <w:sz w:val="22"/>
              </w:rPr>
              <w:t>_PRD》中安全相关产品需求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底部区域，</w:t>
            </w:r>
            <w:r>
              <w:rPr>
                <w:rFonts w:eastAsia="等线" w:ascii="Arial" w:cs="Arial" w:hAnsi="Arial"/>
                <w:sz w:val="22"/>
              </w:rPr>
              <w:t>隐私政策链接上方10px，居中对齐，文字颜色为橙色（#FF</w:t>
            </w:r>
            <w:r>
              <w:rPr>
                <w:rFonts w:eastAsia="等线" w:ascii="Arial" w:cs="Arial" w:hAnsi="Arial"/>
                <w:sz w:val="22"/>
              </w:rPr>
              <w:t>7D00）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所有账号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《VAD_03_百万大屏广告系统_产品</w:t>
            </w:r>
            <w:r>
              <w:rPr>
                <w:rFonts w:eastAsia="等线" w:ascii="Arial" w:cs="Arial" w:hAnsi="Arial"/>
                <w:sz w:val="22"/>
              </w:rPr>
              <w:t>需求文档_PRD》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4.2 关键功能补充说明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4.2.1 账号类型适配规则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类型选择下拉框中，13类账号严格按照《VAD_04_账号类型及管理机制》要求，按“管理类-技术类-业务类-数据类-服务与终端类”分类排序，账号标识符合《VAD_04_B_账号类型标识规范对比表》；下拉展示时先显示分类提示（非可选择项），再列出对应具体账号（可选择项），便于用户快速查找；选择后，登录表单自动适配：超级管理员、财务、审计账号强制显示验证码输入框，其他账号默认不显示，仅在登录失败≥3次时触发验证码校验，校验规则契合《VAD_03_PRD》安全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4.2.2 密码找回功能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忘记密码链接跳转页面支持“手机号验证码找回”“邮箱验证码找回”两种方式，用户选择后输入对应信息，验证通过后可重置密码（新密码需符合《VAD_04_账号类型及管理机制》中“8-20位，含字母+数字+特殊字符”的密码规则），重置成功后返回登录入口，流程衔接系统账号管理模块，确保账号安全与便捷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4.2.3 账号注册适配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广告主、受众账号支持自主注册，严格遵循《VAD_04_账号类型及管理机制》要求，选择其他账号类型时，账号注册入口隐藏；点击广告主注册跳转至企业资质提交页面，点击受众注册跳转至个人信息注册页面（非强制注册，受众可直接使用系统部分功能），注册流程贴合《VAD_02_MRD》市场需求及《VAD_03_PRD》产品功能要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五、交互设计要求</w:t>
      </w:r>
      <w:bookmarkEnd w:id="13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校验：账号输入框实时校验格式（手机号11位、邮箱含@），非法格式时输入框边框变红并显示错误提示（如“请输入合法手机号”）；密码输入框实时校验长度（8-20位），不足或超出时显示提示，校验规则契合《VAD_04_账号类型及管理机制》要求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状态：登录按钮未填完整（账号/密码为空）时为禁用状态（灰色），填写完整且格式合法后自动变为启用状态（系统主色调）；验证码获取按钮点击后倒计时60秒，期间禁用并显示倒计时数字，交互逻辑符合《VAD_03_PRD》产品交互需求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反馈：点击登录后显示加载动画（按钮内旋转图标），校验成功后3秒内跳转至对应后台首页，跳转页面严格遵循《VAD_04_账号类型及管理机制》中权限对应规则；校验失败时（账号密码不匹配、账号冻结、权限失效），在登录按钮上方显示红色错误提示文字，明确失败原因，提升用户体验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hover效果：所有可点击元素（按钮、链接、下拉框）hover时状态变化（按钮加深颜色、链接下划线、下拉框边框变色），增强交互反馈，风格统一，贴合系统整体交互规范；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快捷键支持：支持Enter键提交登录，Tab键切换输入框（账号→密码→验证码→登录按钮），提升操作效率，契合《VAD_03_PRD》中用户体验优化需求；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异常交互：网络中断、页面加载超时等异常场景下，显示清晰提示并提供重试选项，衔接《VAD_01_全流程文档清单》中运营故障处理相关要求。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六、视觉设计要求</w:t>
      </w:r>
      <w:bookmarkEnd w:id="14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色彩方案：主色调采用深蓝色（#1E40AF），辅助色为浅灰色（#F3F4F6）、橙色（#FF7D00），文字色为深灰色（#1F2937）、浅灰色（#6B7280），确保视觉统一且符合商业系统专业调性，贴合VAD项目品牌标识规范，与《VAD_04_B_账号类型标识规范对比表》中颜色标识要求一致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字体规范：全局使用微软雅黑字体，登录标题字号24px（加粗），辅助文案14px，输入框placeholder14px，按钮文字16px（加粗），底部链接及版权信息12px，确保层级清晰、易读性强，符合《VAD_03_PRD》视觉设计需求；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输入框设计：边框颜色#D1D5DB，聚焦时边框变为主色调并加2px阴影，输入文字颜色#1F2937，placeholder颜色#9CA3AF，圆角半径4px，提升视觉舒适度，风格与系统后续界面统一；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按钮设计：登录按钮采用主色调填充，圆角半径8px，hover时颜色加深10%；验证码按钮为白色背景、主色调边框与文字，hover时背景变为浅灰色，按钮样式贴合系统整体视觉规范；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图标设计：密码显示/隐藏图标、验证码图标、加载动画等采用线性图标，颜色与文字色一致，尺寸16px，风格简洁统一，图标设计符合《VAD_04_B_账号类型标识规范对比表》中图标标识要求；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品牌一致性：左侧品牌展示区、系统Logo、品牌标语的视觉呈现，需与VAD项目品牌形象保持一致，契合《VAD_02_MRD》中品牌展示相关市场需求。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七、安全设计要求</w:t>
      </w:r>
      <w:bookmarkEnd w:id="15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数据传输：登录信息（账号、密码、验证码）采用HTTPS加密传输，防止数据泄露，符合《VAD_03_PRD》安全需求及数据安全相关法规；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密码安全：密码存储采用MD5加密，登录时不明文传输，支持密码复杂度校验（8-20位，含字母+数字+特殊字符），严格遵循《VAD_04_账号类型及管理机制》中密码安全要求；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防暴力破解：同一账号登录失败≥5次时，锁定账号1小时，同时向账号绑定手机号/邮箱发送预警信息，契合《VAD_03_PRD》安全防护需求，保障账号安全；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Cookie安全：记住账号功能的Cookie设置HttpOnly属性，防止XSS攻击窃取账号信息，符合系统安全管理规范及《VAD_03_PRD》安全要求；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验证码防护：验证码有效期5分钟，且为随机生成的6位数字，防止机器自动登录，提升登录安全性，衔接《VAD_04_账号类型及管理机制》中身份校验要求；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权限隔离：登录校验过程中，严格区分13类账号的权限，防止越权登录，契合《VAD_04_账号类型及管理机制》中权限管控要求。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八、兼容性要求</w:t>
      </w:r>
      <w:bookmarkEnd w:id="16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浏览器兼容：支持Chrome（≥88.0）、Edge（≥88.0）、Firefox（≥85.0）、Safari（≥14.0），无布局错乱、功能失效问题，符合《VAD_03_PRD》兼容性需求，适配系统全流程运营场景；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分辨率兼容：支持最小1366*768px分辨率，在1920*1080px、2560*1440px等主流分辨率下自适应布局，无元素遮挡、显示不全问题，确保不同设备上的使用体验一致；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设备兼容：适配PC端台式机、笔记本电脑，触摸板操作时交互正常（如点击、下拉选择），契合《VAD_01_全流程文档清单》中开发适配相关要求；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文案兼容：语言切换后，所有页面文案、提示信息实时同步，无错乱、缺失，适配系统国际化运营需求，贴合《VAD_02_MRD》市场需求。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九、附则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9.1 本文档为VAD项目“百万大屏广告系统”网页登录入口界面设计的核心依据，所有设计、开发工作需严格遵循，同时契合《VAD_01_全流程文档清单》《VAD_02_MRD》《VAD_03_PRD》《VAD_04_账号类型及管理机制》《VAD_04_B_账号类型标识规范对比表》的相关要求；若需调整需求，需由产品负责人牵头评审，形成变更文档后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9.2 文档维护工作由VAD项目产品团队统筹，根据系统迭代、安全需求及相关文档更新，同步更新本文档，更新后同步通知所有相关人员，确保文档与实际设计、开发、运营工作保持一致，契合《VAD_01_全流程文档清单》中文档管理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9.3 设计、开发过程中需配合系统账号管理模块的权限管控逻辑，严格遵循《VAD_04_账号类型及管理机制》《VAD_04_B_账号类型标识规范对比表》要求，确保登录入口与账号体系联动顺畅，实现“账号类型-登录校验-权限跳转”的闭环，贴合《VAD_03_PRD》产品逻辑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9.4 本文档未尽事宜，参照VAD项目相关文档规范执行，确保设计需求与项目全流程要求保持一致。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十、网页布局文字示意图（补充）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以PC端1920*1080px分辨率为基准，页面左上角为原点（0,0），所有元素位置与文档中“核心功能与选项位置总表”完全对应，采用“区域划分+元素标注”方式，清晰呈现页面布局，便于对照绘制或理解，所有元素尺寸、间距均契合VAD项目相关设计规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10.1 整体区域划分（自上而下、自左至右）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【顶部区域】（高度：80px，宽度：1920px）—— 横跨整个页面顶部，包含2个核心元素，布局贴合系统整体视觉规范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【左侧品牌区】（宽度：768px，高度：840px，顶部距页面上边缘80px）—— 页面左侧40%区域，无操作元素，仅展示品牌相关内容，契合《VAD_02_MRD》品牌展示需求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【右侧登录区】（宽度：1152px，高度：840px，顶部距页面上边缘80px）—— 页面右侧60%区域，包含所有登录操作相关元素，垂直排列，操作逻辑遵循《VAD_04_账号类型及管理机制》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【底部区域】（高度：60px，宽度：1920px，底部距页面下边缘0px）—— 横跨整个页面底部，包含合规、版权相关元素，符合《VAD_01_全流程文档清单》合规管理要求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10.2 各区域详细元素标注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10.2.1 顶部区域（0≤x≤1920，0≤y≤80）</w:t>
      </w:r>
      <w:bookmarkEnd w:id="21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系统Logo：x=30px，y=20px，尺寸80*40px（x为水平距离左边缘，y为垂直距离上边缘，下同），Logo标识符合《VAD_04_B_账号类型标识规范对比表》；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语言切换入口：x=1860px（1920-30-30），y=20px，下拉菜单样式，点击展开10种语言选项，适配国际化运营需求。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10.2.2 左侧品牌区（0≤x≤768，80≤y≤920）</w:t>
      </w:r>
      <w:bookmarkEnd w:id="22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品牌展示图：x=0，y=280px（垂直居中，80+（840-472）/2，472为16:9比例下768px宽对应的高度），宽度768px，高度472px，自适应填充左侧区域，贴合品牌定位；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品牌标语：x=0，y=870px（920-50），宽度768px，文字居中对齐，内容为“百万大屏广告系统 - 精准触达·商业闭环”，契合VAD项目系统定位。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10.2.3 右侧登录区（768≤x≤1920，80≤y≤920）</w:t>
      </w:r>
      <w:bookmarkEnd w:id="23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登录标题：x=818px（768+50），y=160px（80+80），文字左对齐，“账号登录”（24px加粗），下方辅助文案“请输入账号信息完成登录”（14px浅灰色），样式贴合系统视觉规范；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类型选择下拉框：x=818px，y=180px（160+20），宽度300px，高度40px，下拉框内默认显示“请选择账号类型”；点击展开后，按《VAD_04_账号类型及管理机制》要求，按“管理类-技术类-业务类-数据类-服务与终端类”呈现，每个分类作为非可选择的分类提示，下方依次列出对应具体可选择账号，账号标识符合《VAD_04_B_账号类型标识规范对比表》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账号输入框：x=818px，y=220px（180+40），宽度300px，高度45px，placeholder“请输入账号”，输入规则契合《VAD_04_账号类型及管理机制》；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密码输入框：x=818px，y=265px（220+45），宽度300px，高度45px，placeholder“请输入密码”，右侧带密码显示/隐藏图标（16px），密码规则符合《VAD_04_账号类型及管理机制》；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码输入框（按需显示）：x=818px，y=310px（265+45），宽度180px，高度45px，placeholder“请输入验证码”；右侧验证码获取按钮：x=1008px（818+180+10），y=310px，宽度110px，高度45px，文字“获取验证码”，显示规则遵循《VAD_04_账号类型及管理机制》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记住账号复选框：x=818px，y=355px（310+45），尺寸16*16px，右侧紧邻“记住账号”文字（14px），功能符合《VAD_03_PRD》用户体验需求；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忘记密码链接：x=1068px（1920-50-100），y=355px，文字“忘记密码”（14px，系统主色调），与复选框水平对齐，跳转流程契合《VAD_04_账号类型及管理机制》；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登录按钮：x=818px，y=385px（355+30），宽度300px，高度50px，文字“登录”（16px加粗），未禁用时为深蓝色（#1E40AF），校验规则遵循《VAD_04_账号类型及管理机制》；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账号注册入口：x=918px（818+50），y=435px（385+50），文字“还没有账号？立即注册”（14px，系统主色调），居中对齐，显示规则遵循《VAD_04_账号类型及管理机制》；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客服咨询入口：x=918px，y=459px（435+24），文字“登录遇到问题？联系客服”（14px，#666666），居中对齐，契合《VAD_01_全流程文档清单》运营服务需求。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10.2.4 底部区域（0≤x≤1920，920≤y≤980）</w:t>
      </w:r>
      <w:bookmarkEnd w:id="24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安全登录提示：x=820px，y=920px，文字“为保障账号安全，请勿在公共设备上登录”（14px，#FF7D00），居中对齐，符合《VAD_03_PRD》安全需求；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隐私政策链接：x=30px，y=960px（980-20），文字“隐私政策”（12px，#6B7280），左对齐，契合《VAD_02_MRD》合规需求；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服务条款链接：x=130px（30+80+20），y=960px，文字“服务条款”（12px，#6B7280），与隐私政策水平间距20px，符合《VAD_01_全流程文档清单》合规管理要求；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版权信息：x=1730px（1920-30-160），y=960px，文字“© 2026 VAD百万大屏广告系统 版权所有”（12px，#6B7280），右对齐，贴合VAD项目品牌标识规范。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10.3 补充说明</w:t>
      </w:r>
      <w:bookmarkEnd w:id="25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所有元素间距、尺寸均与文档中“核心功能与选项位置总表”“视觉设计要求”一致，可直接对照用于绘制，同时契合VAD项目相关设计规范；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验证码输入框仅在超级管理员、财务、审计账号登录，或其他账号登录失败≥3次时显示，默认隐藏，严格遵循《VAD_04_账号类型及管理机制》要求；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账号注册入口仅在账号类型选择“广告主”或“受众”时显示，选择其他账号类型时隐藏，符合《VAD_04_账号类型及管理机制》中账号注册规则；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分辨率低于1920*1080px时，所有元素按比例自适应缩放，确保布局不变、无元素遮挡，满足《VAD_03_PRD》兼容性需求；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所有视觉元素、功能逻辑均与《VAD_01_全流程文档清单》《VAD_02_MRD》《VAD_03_PRD》《VAD_04_账号类型及管理机制》《VAD_04_B_账号类型标识规范对比表》保持一致，确保设计需求与项目全流程要求无缝衔接。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75102">
    <w:lvl>
      <w:start w:val="1"/>
      <w:numFmt w:val="decimal"/>
      <w:suff w:val="tab"/>
      <w:lvlText w:val="%1."/>
      <w:rPr>
        <w:color w:val="3370ff"/>
      </w:rPr>
    </w:lvl>
  </w:abstractNum>
  <w:abstractNum w:abstractNumId="1075103">
    <w:lvl>
      <w:start w:val="2"/>
      <w:numFmt w:val="decimal"/>
      <w:suff w:val="tab"/>
      <w:lvlText w:val="%1."/>
      <w:rPr>
        <w:color w:val="3370ff"/>
      </w:rPr>
    </w:lvl>
  </w:abstractNum>
  <w:abstractNum w:abstractNumId="1075104">
    <w:lvl>
      <w:start w:val="3"/>
      <w:numFmt w:val="decimal"/>
      <w:suff w:val="tab"/>
      <w:lvlText w:val="%1."/>
      <w:rPr>
        <w:color w:val="3370ff"/>
      </w:rPr>
    </w:lvl>
  </w:abstractNum>
  <w:abstractNum w:abstractNumId="1075105">
    <w:lvl>
      <w:start w:val="4"/>
      <w:numFmt w:val="decimal"/>
      <w:suff w:val="tab"/>
      <w:lvlText w:val="%1."/>
      <w:rPr>
        <w:color w:val="3370ff"/>
      </w:rPr>
    </w:lvl>
  </w:abstractNum>
  <w:abstractNum w:abstractNumId="1075106">
    <w:lvl>
      <w:start w:val="5"/>
      <w:numFmt w:val="decimal"/>
      <w:suff w:val="tab"/>
      <w:lvlText w:val="%1."/>
      <w:rPr>
        <w:color w:val="3370ff"/>
      </w:rPr>
    </w:lvl>
  </w:abstractNum>
  <w:abstractNum w:abstractNumId="1075107">
    <w:lvl>
      <w:start w:val="6"/>
      <w:numFmt w:val="decimal"/>
      <w:suff w:val="tab"/>
      <w:lvlText w:val="%1."/>
      <w:rPr>
        <w:color w:val="3370ff"/>
      </w:rPr>
    </w:lvl>
  </w:abstractNum>
  <w:abstractNum w:abstractNumId="1075108">
    <w:lvl>
      <w:start w:val="7"/>
      <w:numFmt w:val="decimal"/>
      <w:suff w:val="tab"/>
      <w:lvlText w:val="%1."/>
      <w:rPr>
        <w:color w:val="3370ff"/>
      </w:rPr>
    </w:lvl>
  </w:abstractNum>
  <w:abstractNum w:abstractNumId="1075109">
    <w:lvl>
      <w:start w:val="8"/>
      <w:numFmt w:val="decimal"/>
      <w:suff w:val="tab"/>
      <w:lvlText w:val="%1."/>
      <w:rPr>
        <w:color w:val="3370ff"/>
      </w:rPr>
    </w:lvl>
  </w:abstractNum>
  <w:abstractNum w:abstractNumId="1075110">
    <w:lvl>
      <w:start w:val="9"/>
      <w:numFmt w:val="decimal"/>
      <w:suff w:val="tab"/>
      <w:lvlText w:val="%1."/>
      <w:rPr>
        <w:color w:val="3370ff"/>
      </w:rPr>
    </w:lvl>
  </w:abstractNum>
  <w:abstractNum w:abstractNumId="1075111">
    <w:lvl>
      <w:start w:val="10"/>
      <w:numFmt w:val="decimal"/>
      <w:suff w:val="tab"/>
      <w:lvlText w:val="%1."/>
      <w:rPr>
        <w:color w:val="3370ff"/>
      </w:rPr>
    </w:lvl>
  </w:abstractNum>
  <w:abstractNum w:abstractNumId="1075112">
    <w:lvl>
      <w:start w:val="1"/>
      <w:numFmt w:val="decimal"/>
      <w:suff w:val="tab"/>
      <w:lvlText w:val="%1."/>
      <w:rPr>
        <w:color w:val="3370ff"/>
      </w:rPr>
    </w:lvl>
  </w:abstractNum>
  <w:abstractNum w:abstractNumId="1075113">
    <w:lvl>
      <w:start w:val="2"/>
      <w:numFmt w:val="decimal"/>
      <w:suff w:val="tab"/>
      <w:lvlText w:val="%1."/>
      <w:rPr>
        <w:color w:val="3370ff"/>
      </w:rPr>
    </w:lvl>
  </w:abstractNum>
  <w:abstractNum w:abstractNumId="1075114">
    <w:lvl>
      <w:start w:val="3"/>
      <w:numFmt w:val="decimal"/>
      <w:suff w:val="tab"/>
      <w:lvlText w:val="%1."/>
      <w:rPr>
        <w:color w:val="3370ff"/>
      </w:rPr>
    </w:lvl>
  </w:abstractNum>
  <w:abstractNum w:abstractNumId="1075115">
    <w:lvl>
      <w:start w:val="4"/>
      <w:numFmt w:val="decimal"/>
      <w:suff w:val="tab"/>
      <w:lvlText w:val="%1."/>
      <w:rPr>
        <w:color w:val="3370ff"/>
      </w:rPr>
    </w:lvl>
  </w:abstractNum>
  <w:abstractNum w:abstractNumId="1075116">
    <w:lvl>
      <w:numFmt w:val="bullet"/>
      <w:suff w:val="tab"/>
      <w:lvlText w:val="•"/>
      <w:rPr>
        <w:color w:val="3370ff"/>
      </w:rPr>
    </w:lvl>
  </w:abstractNum>
  <w:abstractNum w:abstractNumId="1075117">
    <w:lvl>
      <w:numFmt w:val="bullet"/>
      <w:suff w:val="tab"/>
      <w:lvlText w:val="•"/>
      <w:rPr>
        <w:color w:val="3370ff"/>
      </w:rPr>
    </w:lvl>
  </w:abstractNum>
  <w:abstractNum w:abstractNumId="1075118">
    <w:lvl>
      <w:numFmt w:val="bullet"/>
      <w:suff w:val="tab"/>
      <w:lvlText w:val="•"/>
      <w:rPr>
        <w:color w:val="3370ff"/>
      </w:rPr>
    </w:lvl>
  </w:abstractNum>
  <w:abstractNum w:abstractNumId="1075119">
    <w:lvl>
      <w:numFmt w:val="bullet"/>
      <w:suff w:val="tab"/>
      <w:lvlText w:val="•"/>
      <w:rPr>
        <w:color w:val="3370ff"/>
      </w:rPr>
    </w:lvl>
  </w:abstractNum>
  <w:abstractNum w:abstractNumId="1075120">
    <w:lvl>
      <w:numFmt w:val="bullet"/>
      <w:suff w:val="tab"/>
      <w:lvlText w:val="•"/>
      <w:rPr>
        <w:color w:val="3370ff"/>
      </w:rPr>
    </w:lvl>
  </w:abstractNum>
  <w:abstractNum w:abstractNumId="1075121">
    <w:lvl>
      <w:numFmt w:val="bullet"/>
      <w:suff w:val="tab"/>
      <w:lvlText w:val="•"/>
      <w:rPr>
        <w:color w:val="3370ff"/>
      </w:rPr>
    </w:lvl>
  </w:abstractNum>
  <w:abstractNum w:abstractNumId="1075122">
    <w:lvl>
      <w:numFmt w:val="bullet"/>
      <w:suff w:val="tab"/>
      <w:lvlText w:val="•"/>
      <w:rPr>
        <w:color w:val="3370ff"/>
      </w:rPr>
    </w:lvl>
  </w:abstractNum>
  <w:abstractNum w:abstractNumId="1075123">
    <w:lvl>
      <w:numFmt w:val="bullet"/>
      <w:suff w:val="tab"/>
      <w:lvlText w:val="•"/>
      <w:rPr>
        <w:color w:val="3370ff"/>
      </w:rPr>
    </w:lvl>
  </w:abstractNum>
  <w:abstractNum w:abstractNumId="1075124">
    <w:lvl>
      <w:numFmt w:val="bullet"/>
      <w:suff w:val="tab"/>
      <w:lvlText w:val="•"/>
      <w:rPr>
        <w:color w:val="3370ff"/>
      </w:rPr>
    </w:lvl>
  </w:abstractNum>
  <w:abstractNum w:abstractNumId="1075125">
    <w:lvl>
      <w:numFmt w:val="bullet"/>
      <w:suff w:val="tab"/>
      <w:lvlText w:val="•"/>
      <w:rPr>
        <w:color w:val="3370ff"/>
      </w:rPr>
    </w:lvl>
  </w:abstractNum>
  <w:abstractNum w:abstractNumId="1075126">
    <w:lvl>
      <w:numFmt w:val="bullet"/>
      <w:suff w:val="tab"/>
      <w:lvlText w:val="•"/>
      <w:rPr>
        <w:color w:val="3370ff"/>
      </w:rPr>
    </w:lvl>
  </w:abstractNum>
  <w:abstractNum w:abstractNumId="1075127">
    <w:lvl>
      <w:numFmt w:val="bullet"/>
      <w:suff w:val="tab"/>
      <w:lvlText w:val="•"/>
      <w:rPr>
        <w:color w:val="3370ff"/>
      </w:rPr>
    </w:lvl>
  </w:abstractNum>
  <w:abstractNum w:abstractNumId="1075128">
    <w:lvl>
      <w:numFmt w:val="bullet"/>
      <w:suff w:val="tab"/>
      <w:lvlText w:val="•"/>
      <w:rPr>
        <w:color w:val="3370ff"/>
      </w:rPr>
    </w:lvl>
  </w:abstractNum>
  <w:abstractNum w:abstractNumId="1075129">
    <w:lvl>
      <w:numFmt w:val="bullet"/>
      <w:suff w:val="tab"/>
      <w:lvlText w:val="•"/>
      <w:rPr>
        <w:color w:val="3370ff"/>
      </w:rPr>
    </w:lvl>
  </w:abstractNum>
  <w:abstractNum w:abstractNumId="1075130">
    <w:lvl>
      <w:numFmt w:val="bullet"/>
      <w:suff w:val="tab"/>
      <w:lvlText w:val="•"/>
      <w:rPr>
        <w:color w:val="3370ff"/>
      </w:rPr>
    </w:lvl>
  </w:abstractNum>
  <w:abstractNum w:abstractNumId="1075131">
    <w:lvl>
      <w:numFmt w:val="bullet"/>
      <w:suff w:val="tab"/>
      <w:lvlText w:val="•"/>
      <w:rPr>
        <w:color w:val="3370ff"/>
      </w:rPr>
    </w:lvl>
  </w:abstractNum>
  <w:abstractNum w:abstractNumId="1075132">
    <w:lvl>
      <w:numFmt w:val="bullet"/>
      <w:suff w:val="tab"/>
      <w:lvlText w:val="•"/>
      <w:rPr>
        <w:color w:val="3370ff"/>
      </w:rPr>
    </w:lvl>
  </w:abstractNum>
  <w:abstractNum w:abstractNumId="1075133">
    <w:lvl>
      <w:numFmt w:val="bullet"/>
      <w:suff w:val="tab"/>
      <w:lvlText w:val="•"/>
      <w:rPr>
        <w:color w:val="3370ff"/>
      </w:rPr>
    </w:lvl>
  </w:abstractNum>
  <w:abstractNum w:abstractNumId="1075134">
    <w:lvl>
      <w:numFmt w:val="bullet"/>
      <w:suff w:val="tab"/>
      <w:lvlText w:val="•"/>
      <w:rPr>
        <w:color w:val="3370ff"/>
      </w:rPr>
    </w:lvl>
  </w:abstractNum>
  <w:abstractNum w:abstractNumId="1075135">
    <w:lvl>
      <w:numFmt w:val="bullet"/>
      <w:suff w:val="tab"/>
      <w:lvlText w:val="•"/>
      <w:rPr>
        <w:color w:val="3370ff"/>
      </w:rPr>
    </w:lvl>
  </w:abstractNum>
  <w:abstractNum w:abstractNumId="1075136">
    <w:lvl>
      <w:numFmt w:val="bullet"/>
      <w:suff w:val="tab"/>
      <w:lvlText w:val="•"/>
      <w:rPr>
        <w:color w:val="3370ff"/>
      </w:rPr>
    </w:lvl>
  </w:abstractNum>
  <w:abstractNum w:abstractNumId="1075137">
    <w:lvl>
      <w:numFmt w:val="bullet"/>
      <w:suff w:val="tab"/>
      <w:lvlText w:val="•"/>
      <w:rPr>
        <w:color w:val="3370ff"/>
      </w:rPr>
    </w:lvl>
  </w:abstractNum>
  <w:abstractNum w:abstractNumId="1075138">
    <w:lvl>
      <w:numFmt w:val="bullet"/>
      <w:suff w:val="tab"/>
      <w:lvlText w:val="•"/>
      <w:rPr>
        <w:color w:val="3370ff"/>
      </w:rPr>
    </w:lvl>
  </w:abstractNum>
  <w:abstractNum w:abstractNumId="1075139">
    <w:lvl>
      <w:numFmt w:val="bullet"/>
      <w:suff w:val="tab"/>
      <w:lvlText w:val="•"/>
      <w:rPr>
        <w:color w:val="3370ff"/>
      </w:rPr>
    </w:lvl>
  </w:abstractNum>
  <w:abstractNum w:abstractNumId="1075140">
    <w:lvl>
      <w:numFmt w:val="bullet"/>
      <w:suff w:val="tab"/>
      <w:lvlText w:val="•"/>
      <w:rPr>
        <w:color w:val="3370ff"/>
      </w:rPr>
    </w:lvl>
  </w:abstractNum>
  <w:abstractNum w:abstractNumId="1075141">
    <w:lvl>
      <w:numFmt w:val="bullet"/>
      <w:suff w:val="tab"/>
      <w:lvlText w:val="•"/>
      <w:rPr>
        <w:color w:val="3370ff"/>
      </w:rPr>
    </w:lvl>
  </w:abstractNum>
  <w:abstractNum w:abstractNumId="1075142">
    <w:lvl>
      <w:numFmt w:val="bullet"/>
      <w:suff w:val="tab"/>
      <w:lvlText w:val="•"/>
      <w:rPr>
        <w:color w:val="3370ff"/>
      </w:rPr>
    </w:lvl>
  </w:abstractNum>
  <w:abstractNum w:abstractNumId="1075143">
    <w:lvl>
      <w:numFmt w:val="bullet"/>
      <w:suff w:val="tab"/>
      <w:lvlText w:val="•"/>
      <w:rPr>
        <w:color w:val="3370ff"/>
      </w:rPr>
    </w:lvl>
  </w:abstractNum>
  <w:abstractNum w:abstractNumId="1075144">
    <w:lvl>
      <w:numFmt w:val="bullet"/>
      <w:suff w:val="tab"/>
      <w:lvlText w:val="•"/>
      <w:rPr>
        <w:color w:val="3370ff"/>
      </w:rPr>
    </w:lvl>
  </w:abstractNum>
  <w:abstractNum w:abstractNumId="1075145">
    <w:lvl>
      <w:numFmt w:val="bullet"/>
      <w:suff w:val="tab"/>
      <w:lvlText w:val="•"/>
      <w:rPr>
        <w:color w:val="3370ff"/>
      </w:rPr>
    </w:lvl>
  </w:abstractNum>
  <w:abstractNum w:abstractNumId="1075146">
    <w:lvl>
      <w:numFmt w:val="bullet"/>
      <w:suff w:val="tab"/>
      <w:lvlText w:val="•"/>
      <w:rPr>
        <w:color w:val="3370ff"/>
      </w:rPr>
    </w:lvl>
  </w:abstractNum>
  <w:abstractNum w:abstractNumId="1075147">
    <w:lvl>
      <w:numFmt w:val="bullet"/>
      <w:suff w:val="tab"/>
      <w:lvlText w:val="•"/>
      <w:rPr>
        <w:color w:val="3370ff"/>
      </w:rPr>
    </w:lvl>
  </w:abstractNum>
  <w:abstractNum w:abstractNumId="1075148">
    <w:lvl>
      <w:numFmt w:val="bullet"/>
      <w:suff w:val="tab"/>
      <w:lvlText w:val="•"/>
      <w:rPr>
        <w:color w:val="3370ff"/>
      </w:rPr>
    </w:lvl>
  </w:abstractNum>
  <w:abstractNum w:abstractNumId="1075149">
    <w:lvl>
      <w:numFmt w:val="bullet"/>
      <w:suff w:val="tab"/>
      <w:lvlText w:val="•"/>
      <w:rPr>
        <w:color w:val="3370ff"/>
      </w:rPr>
    </w:lvl>
  </w:abstractNum>
  <w:abstractNum w:abstractNumId="1075150">
    <w:lvl>
      <w:numFmt w:val="bullet"/>
      <w:suff w:val="tab"/>
      <w:lvlText w:val="•"/>
      <w:rPr>
        <w:color w:val="3370ff"/>
      </w:rPr>
    </w:lvl>
  </w:abstractNum>
  <w:abstractNum w:abstractNumId="1075151">
    <w:lvl>
      <w:numFmt w:val="bullet"/>
      <w:suff w:val="tab"/>
      <w:lvlText w:val="•"/>
      <w:rPr>
        <w:color w:val="3370ff"/>
      </w:rPr>
    </w:lvl>
  </w:abstractNum>
  <w:abstractNum w:abstractNumId="1075152">
    <w:lvl>
      <w:numFmt w:val="bullet"/>
      <w:suff w:val="tab"/>
      <w:lvlText w:val="•"/>
      <w:rPr>
        <w:color w:val="3370ff"/>
      </w:rPr>
    </w:lvl>
  </w:abstractNum>
  <w:abstractNum w:abstractNumId="1075153">
    <w:lvl>
      <w:numFmt w:val="bullet"/>
      <w:suff w:val="tab"/>
      <w:lvlText w:val="•"/>
      <w:rPr>
        <w:color w:val="3370ff"/>
      </w:rPr>
    </w:lvl>
  </w:abstractNum>
  <w:abstractNum w:abstractNumId="1075154">
    <w:lvl>
      <w:numFmt w:val="bullet"/>
      <w:suff w:val="tab"/>
      <w:lvlText w:val="•"/>
      <w:rPr>
        <w:color w:val="3370ff"/>
      </w:rPr>
    </w:lvl>
  </w:abstractNum>
  <w:abstractNum w:abstractNumId="1075155">
    <w:lvl>
      <w:numFmt w:val="bullet"/>
      <w:suff w:val="tab"/>
      <w:lvlText w:val="•"/>
      <w:rPr>
        <w:color w:val="3370ff"/>
      </w:rPr>
    </w:lvl>
  </w:abstractNum>
  <w:abstractNum w:abstractNumId="1075156">
    <w:lvl>
      <w:numFmt w:val="bullet"/>
      <w:suff w:val="tab"/>
      <w:lvlText w:val="•"/>
      <w:rPr>
        <w:color w:val="3370ff"/>
      </w:rPr>
    </w:lvl>
  </w:abstractNum>
  <w:abstractNum w:abstractNumId="1075157">
    <w:lvl>
      <w:numFmt w:val="bullet"/>
      <w:suff w:val="tab"/>
      <w:lvlText w:val="•"/>
      <w:rPr>
        <w:color w:val="3370ff"/>
      </w:rPr>
    </w:lvl>
  </w:abstractNum>
  <w:abstractNum w:abstractNumId="1075158">
    <w:lvl>
      <w:numFmt w:val="bullet"/>
      <w:suff w:val="tab"/>
      <w:lvlText w:val="•"/>
      <w:rPr>
        <w:color w:val="3370ff"/>
      </w:rPr>
    </w:lvl>
  </w:abstractNum>
  <w:abstractNum w:abstractNumId="1075159">
    <w:lvl>
      <w:numFmt w:val="bullet"/>
      <w:suff w:val="tab"/>
      <w:lvlText w:val="•"/>
      <w:rPr>
        <w:color w:val="3370ff"/>
      </w:rPr>
    </w:lvl>
  </w:abstractNum>
  <w:abstractNum w:abstractNumId="1075160">
    <w:lvl>
      <w:numFmt w:val="bullet"/>
      <w:suff w:val="tab"/>
      <w:lvlText w:val="•"/>
      <w:rPr>
        <w:color w:val="3370ff"/>
      </w:rPr>
    </w:lvl>
  </w:abstractNum>
  <w:abstractNum w:abstractNumId="1075161">
    <w:lvl>
      <w:numFmt w:val="bullet"/>
      <w:suff w:val="tab"/>
      <w:lvlText w:val="•"/>
      <w:rPr>
        <w:color w:val="3370ff"/>
      </w:rPr>
    </w:lvl>
  </w:abstractNum>
  <w:abstractNum w:abstractNumId="1075162">
    <w:lvl>
      <w:numFmt w:val="bullet"/>
      <w:suff w:val="tab"/>
      <w:lvlText w:val="•"/>
      <w:rPr>
        <w:color w:val="3370ff"/>
      </w:rPr>
    </w:lvl>
  </w:abstractNum>
  <w:abstractNum w:abstractNumId="1075163">
    <w:lvl>
      <w:numFmt w:val="bullet"/>
      <w:suff w:val="tab"/>
      <w:lvlText w:val="•"/>
      <w:rPr>
        <w:color w:val="3370ff"/>
      </w:rPr>
    </w:lvl>
  </w:abstractNum>
  <w:abstractNum w:abstractNumId="1075164">
    <w:lvl>
      <w:numFmt w:val="bullet"/>
      <w:suff w:val="tab"/>
      <w:lvlText w:val="•"/>
      <w:rPr>
        <w:color w:val="3370ff"/>
      </w:rPr>
    </w:lvl>
  </w:abstractNum>
  <w:abstractNum w:abstractNumId="1075165">
    <w:lvl>
      <w:numFmt w:val="bullet"/>
      <w:suff w:val="tab"/>
      <w:lvlText w:val="•"/>
      <w:rPr>
        <w:color w:val="3370ff"/>
      </w:rPr>
    </w:lvl>
  </w:abstractNum>
  <w:abstractNum w:abstractNumId="1075166">
    <w:lvl>
      <w:start w:val="1"/>
      <w:numFmt w:val="decimal"/>
      <w:suff w:val="tab"/>
      <w:lvlText w:val="%1."/>
      <w:rPr>
        <w:color w:val="3370ff"/>
      </w:rPr>
    </w:lvl>
  </w:abstractNum>
  <w:abstractNum w:abstractNumId="1075167">
    <w:lvl>
      <w:start w:val="2"/>
      <w:numFmt w:val="decimal"/>
      <w:suff w:val="tab"/>
      <w:lvlText w:val="%1."/>
      <w:rPr>
        <w:color w:val="3370ff"/>
      </w:rPr>
    </w:lvl>
  </w:abstractNum>
  <w:abstractNum w:abstractNumId="1075168">
    <w:lvl>
      <w:start w:val="3"/>
      <w:numFmt w:val="decimal"/>
      <w:suff w:val="tab"/>
      <w:lvlText w:val="%1."/>
      <w:rPr>
        <w:color w:val="3370ff"/>
      </w:rPr>
    </w:lvl>
  </w:abstractNum>
  <w:abstractNum w:abstractNumId="1075169">
    <w:lvl>
      <w:start w:val="4"/>
      <w:numFmt w:val="decimal"/>
      <w:suff w:val="tab"/>
      <w:lvlText w:val="%1."/>
      <w:rPr>
        <w:color w:val="3370ff"/>
      </w:rPr>
    </w:lvl>
  </w:abstractNum>
  <w:abstractNum w:abstractNumId="1075170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075102"/>
  </w:num>
  <w:num w:numId="2">
    <w:abstractNumId w:val="1075103"/>
  </w:num>
  <w:num w:numId="3">
    <w:abstractNumId w:val="1075104"/>
  </w:num>
  <w:num w:numId="4">
    <w:abstractNumId w:val="1075105"/>
  </w:num>
  <w:num w:numId="5">
    <w:abstractNumId w:val="1075106"/>
  </w:num>
  <w:num w:numId="6">
    <w:abstractNumId w:val="1075107"/>
  </w:num>
  <w:num w:numId="7">
    <w:abstractNumId w:val="1075108"/>
  </w:num>
  <w:num w:numId="8">
    <w:abstractNumId w:val="1075109"/>
  </w:num>
  <w:num w:numId="9">
    <w:abstractNumId w:val="1075110"/>
  </w:num>
  <w:num w:numId="10">
    <w:abstractNumId w:val="1075111"/>
  </w:num>
  <w:num w:numId="11">
    <w:abstractNumId w:val="1075112"/>
  </w:num>
  <w:num w:numId="12">
    <w:abstractNumId w:val="1075113"/>
  </w:num>
  <w:num w:numId="13">
    <w:abstractNumId w:val="1075114"/>
  </w:num>
  <w:num w:numId="14">
    <w:abstractNumId w:val="1075115"/>
  </w:num>
  <w:num w:numId="15">
    <w:abstractNumId w:val="1075116"/>
  </w:num>
  <w:num w:numId="16">
    <w:abstractNumId w:val="1075117"/>
  </w:num>
  <w:num w:numId="17">
    <w:abstractNumId w:val="1075118"/>
  </w:num>
  <w:num w:numId="18">
    <w:abstractNumId w:val="1075119"/>
  </w:num>
  <w:num w:numId="19">
    <w:abstractNumId w:val="1075120"/>
  </w:num>
  <w:num w:numId="20">
    <w:abstractNumId w:val="1075121"/>
  </w:num>
  <w:num w:numId="21">
    <w:abstractNumId w:val="1075122"/>
  </w:num>
  <w:num w:numId="22">
    <w:abstractNumId w:val="1075123"/>
  </w:num>
  <w:num w:numId="23">
    <w:abstractNumId w:val="1075124"/>
  </w:num>
  <w:num w:numId="24">
    <w:abstractNumId w:val="1075125"/>
  </w:num>
  <w:num w:numId="25">
    <w:abstractNumId w:val="1075126"/>
  </w:num>
  <w:num w:numId="26">
    <w:abstractNumId w:val="1075127"/>
  </w:num>
  <w:num w:numId="27">
    <w:abstractNumId w:val="1075128"/>
  </w:num>
  <w:num w:numId="28">
    <w:abstractNumId w:val="1075129"/>
  </w:num>
  <w:num w:numId="29">
    <w:abstractNumId w:val="1075130"/>
  </w:num>
  <w:num w:numId="30">
    <w:abstractNumId w:val="1075131"/>
  </w:num>
  <w:num w:numId="31">
    <w:abstractNumId w:val="1075132"/>
  </w:num>
  <w:num w:numId="32">
    <w:abstractNumId w:val="1075133"/>
  </w:num>
  <w:num w:numId="33">
    <w:abstractNumId w:val="1075134"/>
  </w:num>
  <w:num w:numId="34">
    <w:abstractNumId w:val="1075135"/>
  </w:num>
  <w:num w:numId="35">
    <w:abstractNumId w:val="1075136"/>
  </w:num>
  <w:num w:numId="36">
    <w:abstractNumId w:val="1075137"/>
  </w:num>
  <w:num w:numId="37">
    <w:abstractNumId w:val="1075138"/>
  </w:num>
  <w:num w:numId="38">
    <w:abstractNumId w:val="1075139"/>
  </w:num>
  <w:num w:numId="39">
    <w:abstractNumId w:val="1075140"/>
  </w:num>
  <w:num w:numId="40">
    <w:abstractNumId w:val="1075141"/>
  </w:num>
  <w:num w:numId="41">
    <w:abstractNumId w:val="1075142"/>
  </w:num>
  <w:num w:numId="42">
    <w:abstractNumId w:val="1075143"/>
  </w:num>
  <w:num w:numId="43">
    <w:abstractNumId w:val="1075144"/>
  </w:num>
  <w:num w:numId="44">
    <w:abstractNumId w:val="1075145"/>
  </w:num>
  <w:num w:numId="45">
    <w:abstractNumId w:val="1075146"/>
  </w:num>
  <w:num w:numId="46">
    <w:abstractNumId w:val="1075147"/>
  </w:num>
  <w:num w:numId="47">
    <w:abstractNumId w:val="1075148"/>
  </w:num>
  <w:num w:numId="48">
    <w:abstractNumId w:val="1075149"/>
  </w:num>
  <w:num w:numId="49">
    <w:abstractNumId w:val="1075150"/>
  </w:num>
  <w:num w:numId="50">
    <w:abstractNumId w:val="1075151"/>
  </w:num>
  <w:num w:numId="51">
    <w:abstractNumId w:val="1075152"/>
  </w:num>
  <w:num w:numId="52">
    <w:abstractNumId w:val="1075153"/>
  </w:num>
  <w:num w:numId="53">
    <w:abstractNumId w:val="1075154"/>
  </w:num>
  <w:num w:numId="54">
    <w:abstractNumId w:val="1075155"/>
  </w:num>
  <w:num w:numId="55">
    <w:abstractNumId w:val="1075156"/>
  </w:num>
  <w:num w:numId="56">
    <w:abstractNumId w:val="1075157"/>
  </w:num>
  <w:num w:numId="57">
    <w:abstractNumId w:val="1075158"/>
  </w:num>
  <w:num w:numId="58">
    <w:abstractNumId w:val="1075159"/>
  </w:num>
  <w:num w:numId="59">
    <w:abstractNumId w:val="1075160"/>
  </w:num>
  <w:num w:numId="60">
    <w:abstractNumId w:val="1075161"/>
  </w:num>
  <w:num w:numId="61">
    <w:abstractNumId w:val="1075162"/>
  </w:num>
  <w:num w:numId="62">
    <w:abstractNumId w:val="1075163"/>
  </w:num>
  <w:num w:numId="63">
    <w:abstractNumId w:val="1075164"/>
  </w:num>
  <w:num w:numId="64">
    <w:abstractNumId w:val="1075165"/>
  </w:num>
  <w:num w:numId="65">
    <w:abstractNumId w:val="1075166"/>
  </w:num>
  <w:num w:numId="66">
    <w:abstractNumId w:val="1075167"/>
  </w:num>
  <w:num w:numId="67">
    <w:abstractNumId w:val="1075168"/>
  </w:num>
  <w:num w:numId="68">
    <w:abstractNumId w:val="1075169"/>
  </w:num>
  <w:num w:numId="69">
    <w:abstractNumId w:val="10751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2026-04-09T06:57:50Z</dcterms:created>
  <dc:creator>Apache POI</dc:creator>
</cp:coreProperties>
</file>