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b/>
          <w:bCs/>
          <w:color w:val="808080"/>
          <w:sz w:val="20"/>
          <w:szCs w:val="20"/>
        </w:rPr>
        <w:t xml:space="preserve">MANDANTENAKTE — VORBEREITUNG DES ERSTGESPRÄCHS</w:t>
      </w:r>
    </w:p>
    <w:p>
      <w:pPr>
        <w:spacing w:after="100"/>
      </w:pPr>
      <w:r>
        <w:rPr>
          <w:b/>
          <w:bCs/>
          <w:color w:val="1F3A5F"/>
          <w:sz w:val="64"/>
          <w:szCs w:val="64"/>
        </w:rPr>
        <w:t xml:space="preserve">Cruizy</w:t>
      </w:r>
    </w:p>
    <w:p>
      <w:pPr>
        <w:spacing w:after="320"/>
      </w:pPr>
      <w:r>
        <w:rPr>
          <w:color w:val="404040"/>
          <w:sz w:val="26"/>
          <w:szCs w:val="26"/>
        </w:rPr>
        <w:t xml:space="preserve">Rechtsfragen zu einer geplanten Cruising- und Verbindungs-App für schwule Männer</w:t>
      </w:r>
    </w:p>
    <w:p>
      <w:pPr>
        <w:pBdr>
          <w:bottom w:val="single" w:color="BFBFBF" w:sz="6"/>
        </w:pBd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DF2F8" w:val="clear"/>
            <w:tcMar>
              <w:top w:type="dxa" w:w="70"/>
              <w:left w:type="dxa" w:w="120"/>
              <w:bottom w:type="dxa" w:w="70"/>
              <w:right w:type="dxa" w:w="120"/>
            </w:tcMar>
          </w:tcPr>
          <w:p>
            <w:pPr>
              <w:spacing w:after="0"/>
            </w:pPr>
            <w:r>
              <w:rPr>
                <w:sz w:val="19"/>
                <w:szCs w:val="19"/>
              </w:rPr>
              <w:t xml:space="preserve">Mandanten</w:t>
            </w:r>
          </w:p>
        </w:tc>
        <w:tc>
          <w:tcPr>
            <w:tcW w:type="dxa" w:w="6960"/>
            <w:shd w:fill="FFFFFF" w:val="clear"/>
            <w:tcMar>
              <w:top w:type="dxa" w:w="70"/>
              <w:left w:type="dxa" w:w="120"/>
              <w:bottom w:type="dxa" w:w="70"/>
              <w:right w:type="dxa" w:w="120"/>
            </w:tcMar>
          </w:tcPr>
          <w:p>
            <w:pPr>
              <w:spacing w:after="0"/>
            </w:pPr>
            <w:r>
              <w:rPr>
                <w:b/>
                <w:bCs/>
                <w:sz w:val="19"/>
                <w:szCs w:val="19"/>
              </w:rPr>
              <w:t xml:space="preserve">Henry Luca Kurz</w:t>
            </w:r>
            <w:r>
              <w:rPr>
                <w:sz w:val="19"/>
                <w:szCs w:val="19"/>
              </w:rPr>
              <w:t xml:space="preserve"> — wohnhaft in Niedersachsen</w:t>
            </w:r>
          </w:p>
          <w:p>
            <w:pPr>
              <w:spacing w:after="0"/>
            </w:pPr>
            <w:r>
              <w:rPr>
                <w:b/>
                <w:bCs/>
                <w:sz w:val="19"/>
                <w:szCs w:val="19"/>
              </w:rPr>
              <w:t xml:space="preserve">Nicolas Greulich</w:t>
            </w:r>
            <w:r>
              <w:rPr>
                <w:sz w:val="19"/>
                <w:szCs w:val="19"/>
              </w:rPr>
              <w:t xml:space="preserve"> — wohnhaft in Hessen</w:t>
            </w:r>
          </w:p>
        </w:tc>
      </w:tr>
      <w:tr>
        <w:tc>
          <w:tcPr>
            <w:tcW w:type="dxa" w:w="2400"/>
            <w:shd w:fill="EDF2F8" w:val="clear"/>
            <w:tcMar>
              <w:top w:type="dxa" w:w="70"/>
              <w:left w:type="dxa" w:w="120"/>
              <w:bottom w:type="dxa" w:w="70"/>
              <w:right w:type="dxa" w:w="120"/>
            </w:tcMar>
          </w:tcPr>
          <w:p>
            <w:pPr>
              <w:spacing w:after="0"/>
            </w:pPr>
            <w:r>
              <w:rPr>
                <w:sz w:val="19"/>
                <w:szCs w:val="19"/>
              </w:rPr>
              <w:t xml:space="preserve">Vorhaben</w:t>
            </w:r>
          </w:p>
        </w:tc>
        <w:tc>
          <w:tcPr>
            <w:tcW w:type="dxa" w:w="6960"/>
            <w:shd w:fill="F2F2F2" w:val="clear"/>
            <w:tcMar>
              <w:top w:type="dxa" w:w="70"/>
              <w:left w:type="dxa" w:w="120"/>
              <w:bottom w:type="dxa" w:w="70"/>
              <w:right w:type="dxa" w:w="120"/>
            </w:tcMar>
          </w:tcPr>
          <w:p>
            <w:pPr>
              <w:spacing w:after="0"/>
            </w:pPr>
            <w:r>
              <w:rPr>
                <w:sz w:val="19"/>
                <w:szCs w:val="19"/>
              </w:rPr>
              <w:t xml:space="preserve">Gründung einer GmbH; Entwicklung und Betrieb einer Dating- und Cruising-App für den deutschsprachigen Raum</w:t>
            </w:r>
          </w:p>
        </w:tc>
      </w:tr>
      <w:tr>
        <w:tc>
          <w:tcPr>
            <w:tcW w:type="dxa" w:w="2400"/>
            <w:shd w:fill="EDF2F8" w:val="clear"/>
            <w:tcMar>
              <w:top w:type="dxa" w:w="70"/>
              <w:left w:type="dxa" w:w="120"/>
              <w:bottom w:type="dxa" w:w="70"/>
              <w:right w:type="dxa" w:w="120"/>
            </w:tcMar>
          </w:tcPr>
          <w:p>
            <w:pPr>
              <w:spacing w:after="0"/>
            </w:pPr>
            <w:r>
              <w:rPr>
                <w:sz w:val="19"/>
                <w:szCs w:val="19"/>
              </w:rPr>
              <w:t xml:space="preserve">Stand des Vorhabens</w:t>
            </w:r>
          </w:p>
        </w:tc>
        <w:tc>
          <w:tcPr>
            <w:tcW w:type="dxa" w:w="6960"/>
            <w:shd w:fill="FFFFFF" w:val="clear"/>
            <w:tcMar>
              <w:top w:type="dxa" w:w="70"/>
              <w:left w:type="dxa" w:w="120"/>
              <w:bottom w:type="dxa" w:w="70"/>
              <w:right w:type="dxa" w:w="120"/>
            </w:tcMar>
          </w:tcPr>
          <w:p>
            <w:pPr>
              <w:spacing w:after="0"/>
            </w:pPr>
            <w:r>
              <w:rPr>
                <w:sz w:val="19"/>
                <w:szCs w:val="19"/>
              </w:rPr>
              <w:t xml:space="preserve">Vorbereitungsphase. Kein Produktivcode, keine Gesellschaft, keine Verträge, keine veröffentlichte Website.</w:t>
            </w:r>
          </w:p>
        </w:tc>
      </w:tr>
      <w:tr>
        <w:tc>
          <w:tcPr>
            <w:tcW w:type="dxa" w:w="2400"/>
            <w:shd w:fill="EDF2F8" w:val="clear"/>
            <w:tcMar>
              <w:top w:type="dxa" w:w="70"/>
              <w:left w:type="dxa" w:w="120"/>
              <w:bottom w:type="dxa" w:w="70"/>
              <w:right w:type="dxa" w:w="120"/>
            </w:tcMar>
          </w:tcPr>
          <w:p>
            <w:pPr>
              <w:spacing w:after="0"/>
            </w:pPr>
            <w:r>
              <w:rPr>
                <w:sz w:val="19"/>
                <w:szCs w:val="19"/>
              </w:rPr>
              <w:t xml:space="preserve">Geplanter realer Start</w:t>
            </w:r>
          </w:p>
        </w:tc>
        <w:tc>
          <w:tcPr>
            <w:tcW w:type="dxa" w:w="6960"/>
            <w:shd w:fill="F2F2F2" w:val="clear"/>
            <w:tcMar>
              <w:top w:type="dxa" w:w="70"/>
              <w:left w:type="dxa" w:w="120"/>
              <w:bottom w:type="dxa" w:w="70"/>
              <w:right w:type="dxa" w:w="120"/>
            </w:tcMar>
          </w:tcPr>
          <w:p>
            <w:pPr>
              <w:spacing w:after="0"/>
            </w:pPr>
            <w:r>
              <w:rPr>
                <w:sz w:val="19"/>
                <w:szCs w:val="19"/>
              </w:rPr>
              <w:t xml:space="preserve">nach dem Abitur beider Gründer, planmäßig </w:t>
            </w:r>
            <w:r>
              <w:rPr>
                <w:b/>
                <w:bCs/>
                <w:sz w:val="19"/>
                <w:szCs w:val="19"/>
              </w:rPr>
              <w:t xml:space="preserve">Sommer 2028</w:t>
            </w:r>
          </w:p>
        </w:tc>
      </w:tr>
      <w:tr>
        <w:tc>
          <w:tcPr>
            <w:tcW w:type="dxa" w:w="2400"/>
            <w:shd w:fill="EDF2F8" w:val="clear"/>
            <w:tcMar>
              <w:top w:type="dxa" w:w="70"/>
              <w:left w:type="dxa" w:w="120"/>
              <w:bottom w:type="dxa" w:w="70"/>
              <w:right w:type="dxa" w:w="120"/>
            </w:tcMar>
          </w:tcPr>
          <w:p>
            <w:pPr>
              <w:spacing w:after="0"/>
            </w:pPr>
            <w:r>
              <w:rPr>
                <w:sz w:val="19"/>
                <w:szCs w:val="19"/>
              </w:rPr>
              <w:t xml:space="preserve">Dokumentstand</w:t>
            </w:r>
          </w:p>
        </w:tc>
        <w:tc>
          <w:tcPr>
            <w:tcW w:type="dxa" w:w="6960"/>
            <w:shd w:fill="FFFFFF" w:val="clear"/>
            <w:tcMar>
              <w:top w:type="dxa" w:w="70"/>
              <w:left w:type="dxa" w:w="120"/>
              <w:bottom w:type="dxa" w:w="70"/>
              <w:right w:type="dxa" w:w="120"/>
            </w:tcMar>
          </w:tcPr>
          <w:p>
            <w:pPr>
              <w:spacing w:after="0"/>
            </w:pPr>
            <w:r>
              <w:rPr>
                <w:sz w:val="19"/>
                <w:szCs w:val="19"/>
              </w:rPr>
              <w:t xml:space="preserve">26.07.2026</w:t>
            </w:r>
          </w:p>
        </w:tc>
      </w:tr>
      <w:tr>
        <w:tc>
          <w:tcPr>
            <w:tcW w:type="dxa" w:w="2400"/>
            <w:shd w:fill="EDF2F8" w:val="clear"/>
            <w:tcMar>
              <w:top w:type="dxa" w:w="70"/>
              <w:left w:type="dxa" w:w="120"/>
              <w:bottom w:type="dxa" w:w="70"/>
              <w:right w:type="dxa" w:w="120"/>
            </w:tcMar>
          </w:tcPr>
          <w:p>
            <w:pPr>
              <w:spacing w:after="0"/>
            </w:pPr>
            <w:r>
              <w:rPr>
                <w:sz w:val="19"/>
                <w:szCs w:val="19"/>
              </w:rPr>
              <w:t xml:space="preserve">Erstellt von</w:t>
            </w:r>
          </w:p>
        </w:tc>
        <w:tc>
          <w:tcPr>
            <w:tcW w:type="dxa" w:w="6960"/>
            <w:shd w:fill="F2F2F2" w:val="clear"/>
            <w:tcMar>
              <w:top w:type="dxa" w:w="70"/>
              <w:left w:type="dxa" w:w="120"/>
              <w:bottom w:type="dxa" w:w="70"/>
              <w:right w:type="dxa" w:w="120"/>
            </w:tcMar>
          </w:tcPr>
          <w:p>
            <w:pPr>
              <w:spacing w:after="0"/>
            </w:pPr>
            <w:r>
              <w:rPr>
                <w:sz w:val="19"/>
                <w:szCs w:val="19"/>
              </w:rPr>
              <w:t xml:space="preserve">den Mandanten selbst, unter Zuhilfenahme strukturierter Recherche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DF2F8" w:val="clear"/>
            <w:tcMar>
              <w:top w:type="dxa" w:w="120"/>
              <w:left w:type="dxa" w:w="160"/>
              <w:bottom w:type="dxa" w:w="120"/>
              <w:right w:type="dxa" w:w="160"/>
            </w:tcMar>
          </w:tcPr>
          <w:p>
            <w:pPr>
              <w:spacing w:after="60"/>
            </w:pPr>
            <w:r>
              <w:rPr>
                <w:b/>
                <w:bCs/>
                <w:color w:val="1F3A5F"/>
              </w:rPr>
              <w:t xml:space="preserve">Zweck dieses Dokuments</w:t>
            </w:r>
          </w:p>
          <w:p>
            <w:pPr>
              <w:spacing w:after="40"/>
            </w:pPr>
            <w:r>
              <w:t xml:space="preserve">Wir haben unsere Rechtsfragen vorab sortiert, den Sachverhalt aufgeschrieben und zu jedem Punkt eine eigene Einschätzung formuliert. Nicht, um Ihnen die Prüfung abzunehmen, sondern um Gesprächszeit zu sparen.</w:t>
            </w:r>
          </w:p>
          <w:p>
            <w:pPr>
              <w:spacing w:after="40"/>
            </w:pPr>
            <w:r>
              <w:rPr>
                <w:b/>
                <w:bCs/>
              </w:rPr>
              <w:t xml:space="preserve">Alle Einschätzungen in Teil B sind ausdrücklich unsere und ungeprüft.</w:t>
            </w:r>
            <w:r>
              <w:t xml:space="preserve"> Wir bitten Sie, sie zu bestätigen oder zu korrigieren. Wo wir falsch liegen, ist uns die Korrektur mehr wert als die Bestätigung.</w:t>
            </w:r>
          </w:p>
          <w:p>
            <w:pPr>
              <w:spacing w:after="40"/>
            </w:pPr>
            <w:r>
              <w:t xml:space="preserve">Die für uns entscheidenden Fragen stehen gebündelt in </w:t>
            </w:r>
            <w:r>
              <w:rPr>
                <w:b/>
                <w:bCs/>
              </w:rPr>
              <w:t xml:space="preserve">Teil C</w:t>
            </w:r>
            <w:r>
              <w:t xml:space="preserve">. Wenn die Zeit knapp wird, ist Abschnitt C1 der Teil, den wir brauchen.</w:t>
            </w:r>
          </w:p>
        </w:tc>
      </w:tr>
    </w:tbl>
    <w:p>
      <w:pPr>
        <w:spacing w:after="80"/>
      </w:pPr>
    </w:p>
    <w:p>
      <w:pPr>
        <w:spacing w:after="120"/>
      </w:pPr>
      <w:r>
        <w:rPr>
          <w:color w:val="595959"/>
          <w:sz w:val="18"/>
          <w:szCs w:val="18"/>
        </w:rPr>
        <w:t xml:space="preserve">Dieses Dokument enthält keine Rechtsberatung. Es ist eine Sachverhaltsdarstellung mit Laieneinschätzungen und dient allein der Vorbereitung des Mandats.</w:t>
      </w:r>
    </w:p>
    <w:p>
      <w:r>
        <w:br w:type="page"/>
      </w:r>
    </w:p>
    <w:p>
      <w:pPr>
        <w:pStyle w:val="Heading1"/>
        <w:spacing w:after="160" w:before="360"/>
      </w:pPr>
      <w:r>
        <w:rPr>
          <w:color w:val="1F3A5F"/>
        </w:rPr>
        <w:t xml:space="preserve">Inhalt</w:t>
      </w:r>
    </w:p>
    <w:p>
      <w:pPr>
        <w:spacing w:after="120" w:before="0"/>
      </w:pPr>
      <w:r>
        <w:rPr>
          <w:b/>
          <w:bCs/>
        </w:rPr>
        <w:t xml:space="preserve">Teil A — Sachverhalt.</w:t>
      </w:r>
      <w:r>
        <w:t xml:space="preserve"> Was wir bauen, wer wir sind, wie der Zeitplan aussieht, was wir bereits entschieden haben.</w:t>
      </w:r>
    </w:p>
    <w:p>
      <w:pPr>
        <w:spacing w:after="120" w:before="0"/>
      </w:pPr>
      <w:r>
        <w:rPr>
          <w:b/>
          <w:bCs/>
        </w:rPr>
        <w:t xml:space="preserve">Teil B — Rechtliche Vorprüfung.</w:t>
      </w:r>
      <w:r>
        <w:t xml:space="preserve"> Fünfzehn Rechtsgebiete. Je Gebiet: Ausgangslage, unsere Einschätzung, unsere Frage an Sie.</w:t>
      </w:r>
    </w:p>
    <w:p>
      <w:pPr>
        <w:spacing w:after="120" w:before="0"/>
      </w:pPr>
      <w:r>
        <w:rPr>
          <w:b/>
          <w:bCs/>
        </w:rPr>
        <w:t xml:space="preserve">Teil C — Fragenkatalog, priorisiert.</w:t>
      </w:r>
      <w:r>
        <w:t xml:space="preserve"> K.-o.-Fragen, wichtige Fragen, Fragen für später.</w:t>
      </w:r>
    </w:p>
    <w:p>
      <w:pPr>
        <w:spacing w:after="120" w:before="0"/>
      </w:pPr>
      <w:r>
        <w:rPr>
          <w:b/>
          <w:bCs/>
        </w:rPr>
        <w:t xml:space="preserve">Teil D — Was wir als Ergebnis brauchen.</w:t>
      </w:r>
      <w:r>
        <w:t xml:space="preserve"> Konkrete Arbeitsergebnisse, nicht nur Auskünfte.</w:t>
      </w:r>
    </w:p>
    <w:p>
      <w:pPr>
        <w:spacing w:after="120" w:before="0"/>
      </w:pPr>
      <w:r>
        <w:rPr>
          <w:b/>
          <w:bCs/>
        </w:rPr>
        <w:t xml:space="preserve">Teil E — Unterlagen, die wir mitbringen.</w:t>
      </w:r>
    </w:p>
    <w:p>
      <w:pPr>
        <w:spacing w:after="120" w:before="0"/>
      </w:pPr>
      <w:r>
        <w:rPr>
          <w:b/>
          <w:bCs/>
        </w:rPr>
        <w:t xml:space="preserve">Teil F — Honorar und Mandatsrahmen.</w:t>
      </w:r>
    </w:p>
    <w:p>
      <w:pPr>
        <w:spacing w:after="120" w:before="0"/>
      </w:pPr>
      <w:r>
        <w:rPr>
          <w:b/>
          <w:bCs/>
        </w:rPr>
        <w:t xml:space="preserve">Teil G — Anlagenverzeichnis.</w:t>
      </w:r>
    </w:p>
    <w:p>
      <w:r>
        <w:br w:type="page"/>
      </w:r>
    </w:p>
    <w:p>
      <w:pPr>
        <w:pStyle w:val="Heading1"/>
        <w:spacing w:after="160" w:before="360"/>
      </w:pPr>
      <w:r>
        <w:rPr>
          <w:color w:val="1F3A5F"/>
        </w:rPr>
        <w:t xml:space="preserve">Teil A — Sachverhalt</w:t>
      </w:r>
    </w:p>
    <w:p>
      <w:pPr>
        <w:pStyle w:val="Heading2"/>
        <w:spacing w:after="120" w:before="280"/>
      </w:pPr>
      <w:r>
        <w:rPr>
          <w:color w:val="1F3A5F"/>
        </w:rPr>
        <w:t xml:space="preserve">A1 · Das Vorhaben</w:t>
      </w:r>
    </w:p>
    <w:p>
      <w:pPr>
        <w:spacing w:after="120" w:before="0"/>
      </w:pPr>
      <w:r>
        <w:t xml:space="preserve">Cruizy soll eine Dating- und Cruising-App für schwule, bisexuelle und queere Männer im deutschsprachigen Raum werden. Der Markt wird von drei ausländischen Anbietern beherrscht (Grindr, ROMEO, Sniffies). Unsere Abgrenzung ist nicht funktional, sondern strukturell: </w:t>
      </w:r>
      <w:r>
        <w:rPr>
          <w:b/>
          <w:bCs/>
        </w:rPr>
        <w:t xml:space="preserve">deutsches Hosting, kein Auftragsverarbeiter außerhalb der EU, kein Werbe-Tracking, keine Weitergabe von Standortdaten an Dritte.</w:t>
      </w:r>
    </w:p>
    <w:p>
      <w:pPr>
        <w:spacing w:after="120" w:before="0"/>
      </w:pPr>
      <w:r>
        <w:t xml:space="preserve">Der Markteintritt erfolgt stadtweise, beginnend mit Köln. Grund ist die Liquidität des Netzwerks: Eine Dating-App ohne lokale Dichte ist wertlos. Parallel bauen wir Beziehungen zu Bars, Clubs und Veranstaltern auf, aus denen sowohl Produktfunktionen als auch der Vertriebskanal entstehen sollen.</w:t>
      </w:r>
    </w:p>
    <w:p>
      <w:pPr>
        <w:spacing w:after="120" w:before="0"/>
      </w:pPr>
      <w:r>
        <w:t xml:space="preserve">Finanziert werden soll das Vorhaben über Landesförderung, Gründungswettbewerbe, gegebenenfalls Crowdfunding und später über Abonnements. Der geplante Kapitalbedarf liegt bei rund 130.000 € über 24 Monate; der Break-even ist für Monat 21 bis 23 nach Launch modelliert.</w:t>
      </w:r>
    </w:p>
    <w:p>
      <w:pPr>
        <w:pStyle w:val="Heading2"/>
        <w:spacing w:after="120" w:before="280"/>
      </w:pPr>
      <w:r>
        <w:rPr>
          <w:color w:val="1F3A5F"/>
        </w:rPr>
        <w:t xml:space="preserve">A2 · Die Gründer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shd w:fill="EDF2F8" w:val="clear"/>
            <w:tcMar>
              <w:top w:type="dxa" w:w="70"/>
              <w:left w:type="dxa" w:w="120"/>
              <w:bottom w:type="dxa" w:w="70"/>
              <w:right w:type="dxa" w:w="120"/>
            </w:tcMar>
          </w:tcPr>
          <w:p>
            <w:pPr>
              <w:spacing w:after="0"/>
            </w:pPr>
            <w:r>
              <w:rPr>
                <w:sz w:val="19"/>
                <w:szCs w:val="19"/>
              </w:rPr>
              <w:t xml:space="preserve">Henry Luca Kurz</w:t>
            </w:r>
          </w:p>
        </w:tc>
        <w:tc>
          <w:tcPr>
            <w:tcW w:type="dxa" w:w="7160"/>
            <w:shd w:fill="FFFFFF" w:val="clear"/>
            <w:tcMar>
              <w:top w:type="dxa" w:w="70"/>
              <w:left w:type="dxa" w:w="120"/>
              <w:bottom w:type="dxa" w:w="70"/>
              <w:right w:type="dxa" w:w="120"/>
            </w:tcMar>
          </w:tcPr>
          <w:p>
            <w:pPr>
              <w:spacing w:after="0"/>
            </w:pPr>
            <w:r>
              <w:rPr>
                <w:sz w:val="19"/>
                <w:szCs w:val="19"/>
              </w:rPr>
              <w:t xml:space="preserve">Wohnsitz Niedersachsen. Technischer Gründer: Architektur, Entwicklung, Sicherheitsentscheidungen.</w:t>
            </w:r>
          </w:p>
        </w:tc>
      </w:tr>
      <w:tr>
        <w:tc>
          <w:tcPr>
            <w:tcW w:type="dxa" w:w="2200"/>
            <w:shd w:fill="EDF2F8" w:val="clear"/>
            <w:tcMar>
              <w:top w:type="dxa" w:w="70"/>
              <w:left w:type="dxa" w:w="120"/>
              <w:bottom w:type="dxa" w:w="70"/>
              <w:right w:type="dxa" w:w="120"/>
            </w:tcMar>
          </w:tcPr>
          <w:p>
            <w:pPr>
              <w:spacing w:after="0"/>
            </w:pPr>
            <w:r>
              <w:rPr>
                <w:sz w:val="19"/>
                <w:szCs w:val="19"/>
              </w:rPr>
              <w:t xml:space="preserve">Nicolas Greulich</w:t>
            </w:r>
          </w:p>
        </w:tc>
        <w:tc>
          <w:tcPr>
            <w:tcW w:type="dxa" w:w="7160"/>
            <w:shd w:fill="F2F2F2" w:val="clear"/>
            <w:tcMar>
              <w:top w:type="dxa" w:w="70"/>
              <w:left w:type="dxa" w:w="120"/>
              <w:bottom w:type="dxa" w:w="70"/>
              <w:right w:type="dxa" w:w="120"/>
            </w:tcMar>
          </w:tcPr>
          <w:p>
            <w:pPr>
              <w:spacing w:after="0"/>
            </w:pPr>
            <w:r>
              <w:rPr>
                <w:sz w:val="19"/>
                <w:szCs w:val="19"/>
              </w:rPr>
              <w:t xml:space="preserve">Wohnsitz Hessen. Marketing, Community, Ortsakquise.</w:t>
            </w:r>
          </w:p>
        </w:tc>
      </w:tr>
      <w:tr>
        <w:tc>
          <w:tcPr>
            <w:tcW w:type="dxa" w:w="2200"/>
            <w:shd w:fill="EDF2F8" w:val="clear"/>
            <w:tcMar>
              <w:top w:type="dxa" w:w="70"/>
              <w:left w:type="dxa" w:w="120"/>
              <w:bottom w:type="dxa" w:w="70"/>
              <w:right w:type="dxa" w:w="120"/>
            </w:tcMar>
          </w:tcPr>
          <w:p>
            <w:pPr>
              <w:spacing w:after="0"/>
            </w:pPr>
            <w:r>
              <w:rPr>
                <w:sz w:val="19"/>
                <w:szCs w:val="19"/>
              </w:rPr>
              <w:t xml:space="preserve">Alter</w:t>
            </w:r>
          </w:p>
        </w:tc>
        <w:tc>
          <w:tcPr>
            <w:tcW w:type="dxa" w:w="7160"/>
            <w:shd w:fill="FFFFFF" w:val="clear"/>
            <w:tcMar>
              <w:top w:type="dxa" w:w="70"/>
              <w:left w:type="dxa" w:w="120"/>
              <w:bottom w:type="dxa" w:w="70"/>
              <w:right w:type="dxa" w:w="120"/>
            </w:tcMar>
          </w:tcPr>
          <w:p>
            <w:pPr>
              <w:spacing w:after="0"/>
            </w:pPr>
            <w:r>
              <w:rPr>
                <w:sz w:val="19"/>
                <w:szCs w:val="19"/>
              </w:rPr>
              <w:t xml:space="preserve">Beide volljährig.</w:t>
            </w:r>
          </w:p>
        </w:tc>
      </w:tr>
      <w:tr>
        <w:tc>
          <w:tcPr>
            <w:tcW w:type="dxa" w:w="2200"/>
            <w:shd w:fill="EDF2F8" w:val="clear"/>
            <w:tcMar>
              <w:top w:type="dxa" w:w="70"/>
              <w:left w:type="dxa" w:w="120"/>
              <w:bottom w:type="dxa" w:w="70"/>
              <w:right w:type="dxa" w:w="120"/>
            </w:tcMar>
          </w:tcPr>
          <w:p>
            <w:pPr>
              <w:spacing w:after="0"/>
            </w:pPr>
            <w:r>
              <w:rPr>
                <w:sz w:val="19"/>
                <w:szCs w:val="19"/>
              </w:rPr>
              <w:t xml:space="preserve">Aktuelle Situation</w:t>
            </w:r>
          </w:p>
        </w:tc>
        <w:tc>
          <w:tcPr>
            <w:tcW w:type="dxa" w:w="7160"/>
            <w:shd w:fill="F2F2F2" w:val="clear"/>
            <w:tcMar>
              <w:top w:type="dxa" w:w="70"/>
              <w:left w:type="dxa" w:w="120"/>
              <w:bottom w:type="dxa" w:w="70"/>
              <w:right w:type="dxa" w:w="120"/>
            </w:tcMar>
          </w:tcPr>
          <w:p>
            <w:pPr>
              <w:spacing w:after="0"/>
            </w:pPr>
            <w:r>
              <w:rPr>
                <w:sz w:val="19"/>
                <w:szCs w:val="19"/>
              </w:rPr>
              <w:t xml:space="preserve">Beide besuchen die Schule. </w:t>
            </w:r>
            <w:r>
              <w:rPr>
                <w:b/>
                <w:bCs/>
                <w:sz w:val="19"/>
                <w:szCs w:val="19"/>
              </w:rPr>
              <w:t xml:space="preserve">Abitur planmäßig Sommer 2028.</w:t>
            </w:r>
          </w:p>
        </w:tc>
      </w:tr>
      <w:tr>
        <w:tc>
          <w:tcPr>
            <w:tcW w:type="dxa" w:w="2200"/>
            <w:shd w:fill="EDF2F8" w:val="clear"/>
            <w:tcMar>
              <w:top w:type="dxa" w:w="70"/>
              <w:left w:type="dxa" w:w="120"/>
              <w:bottom w:type="dxa" w:w="70"/>
              <w:right w:type="dxa" w:w="120"/>
            </w:tcMar>
          </w:tcPr>
          <w:p>
            <w:pPr>
              <w:spacing w:after="0"/>
            </w:pPr>
            <w:r>
              <w:rPr>
                <w:sz w:val="19"/>
                <w:szCs w:val="19"/>
              </w:rPr>
              <w:t xml:space="preserve">Beteiligung</w:t>
            </w:r>
          </w:p>
        </w:tc>
        <w:tc>
          <w:tcPr>
            <w:tcW w:type="dxa" w:w="7160"/>
            <w:shd w:fill="FFFFFF" w:val="clear"/>
            <w:tcMar>
              <w:top w:type="dxa" w:w="70"/>
              <w:left w:type="dxa" w:w="120"/>
              <w:bottom w:type="dxa" w:w="70"/>
              <w:right w:type="dxa" w:w="120"/>
            </w:tcMar>
          </w:tcPr>
          <w:p>
            <w:pPr>
              <w:spacing w:after="0"/>
            </w:pPr>
            <w:r>
              <w:rPr>
                <w:sz w:val="19"/>
                <w:szCs w:val="19"/>
              </w:rPr>
              <w:t xml:space="preserve">Vorgesehen 50/50. Wir wissen, dass das eine Deadlock-Konstellation ist, und wollen sie geregelt haben — siehe B4.</w:t>
            </w:r>
          </w:p>
        </w:tc>
      </w:tr>
      <w:tr>
        <w:tc>
          <w:tcPr>
            <w:tcW w:type="dxa" w:w="2200"/>
            <w:shd w:fill="EDF2F8" w:val="clear"/>
            <w:tcMar>
              <w:top w:type="dxa" w:w="70"/>
              <w:left w:type="dxa" w:w="120"/>
              <w:bottom w:type="dxa" w:w="70"/>
              <w:right w:type="dxa" w:w="120"/>
            </w:tcMar>
          </w:tcPr>
          <w:p>
            <w:pPr>
              <w:spacing w:after="0"/>
            </w:pPr>
            <w:r>
              <w:rPr>
                <w:sz w:val="19"/>
                <w:szCs w:val="19"/>
              </w:rPr>
              <w:t xml:space="preserve">Künftiger Wohnsitz</w:t>
            </w:r>
          </w:p>
        </w:tc>
        <w:tc>
          <w:tcPr>
            <w:tcW w:type="dxa" w:w="7160"/>
            <w:shd w:fill="F2F2F2" w:val="clear"/>
            <w:tcMar>
              <w:top w:type="dxa" w:w="70"/>
              <w:left w:type="dxa" w:w="120"/>
              <w:bottom w:type="dxa" w:w="70"/>
              <w:right w:type="dxa" w:w="120"/>
            </w:tcMar>
          </w:tcPr>
          <w:p>
            <w:pPr>
              <w:spacing w:after="0"/>
            </w:pPr>
            <w:r>
              <w:rPr>
                <w:sz w:val="19"/>
                <w:szCs w:val="19"/>
              </w:rPr>
              <w:t xml:space="preserve">Noch offen. Tendenz Niedersachsen. Ein Zusammenziehen ist möglich, aber nicht entschieden.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DF3E7" w:val="clear"/>
            <w:tcMar>
              <w:top w:type="dxa" w:w="120"/>
              <w:left w:type="dxa" w:w="160"/>
              <w:bottom w:type="dxa" w:w="120"/>
              <w:right w:type="dxa" w:w="160"/>
            </w:tcMar>
          </w:tcPr>
          <w:p>
            <w:pPr>
              <w:spacing w:after="60"/>
            </w:pPr>
            <w:r>
              <w:rPr>
                <w:b/>
                <w:bCs/>
                <w:color w:val="1F3A5F"/>
              </w:rPr>
              <w:t xml:space="preserve">Der Punkt, der die meisten Fragen erzeugt</w:t>
            </w:r>
          </w:p>
          <w:p>
            <w:pPr>
              <w:spacing w:after="40"/>
            </w:pPr>
            <w:r>
              <w:t xml:space="preserve">Die Gründer wohnen derzeit in </w:t>
            </w:r>
            <w:r>
              <w:rPr>
                <w:b/>
                <w:bCs/>
              </w:rPr>
              <w:t xml:space="preserve">zwei verschiedenen Bundesländern</w:t>
            </w:r>
            <w:r>
              <w:t xml:space="preserve"> — Niedersachsen und Hessen. Solange keine Gesellschaft besteht, sind wir beide </w:t>
            </w:r>
            <w:r>
              <w:rPr>
                <w:b/>
                <w:bCs/>
              </w:rPr>
              <w:t xml:space="preserve">persönlich</w:t>
            </w:r>
            <w:r>
              <w:t xml:space="preserve"> datenschutzrechtlich verantwortlich, und zwar jeder an seinem Wohnsitz.</w:t>
            </w:r>
          </w:p>
          <w:p>
            <w:pPr>
              <w:spacing w:after="40"/>
            </w:pPr>
            <w:r>
              <w:t xml:space="preserve">Daraus folgt nach unserem Verständnis eine </w:t>
            </w:r>
            <w:r>
              <w:rPr>
                <w:b/>
                <w:bCs/>
              </w:rPr>
              <w:t xml:space="preserve">doppelte Aufsichtszuständigkeit</w:t>
            </w:r>
            <w:r>
              <w:t xml:space="preserve"> in der Vorbereitungsphase: die Landesbeauftragte für den Datenschutz Niedersachsen und der Hessische Beauftragte für Datenschutz und Informationsfreiheit. Ob das zutrifft und wie damit praktisch umzugehen ist, ist Frage C1-6.</w:t>
            </w:r>
          </w:p>
        </w:tc>
      </w:tr>
    </w:tbl>
    <w:p>
      <w:pPr>
        <w:pStyle w:val="Heading2"/>
        <w:spacing w:after="120" w:before="280"/>
      </w:pPr>
      <w:r>
        <w:rPr>
          <w:color w:val="1F3A5F"/>
        </w:rPr>
        <w:t xml:space="preserve">A3 · Zeitachse</w:t>
      </w:r>
    </w:p>
    <w:p>
      <w:pPr>
        <w:spacing w:after="120" w:before="0"/>
      </w:pPr>
      <w:r>
        <w:t xml:space="preserve">Wir bereiten derzeit alles so vor, als würden wir sofort starten. Der reale Start ist es nicht. Das ist bewusst so und für die Beratung wichtig, weil es die Reihenfolge der Entscheidungen verschiebt.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rPr>
          <w:tblHeader/>
        </w:trPr>
        <w:tc>
          <w:tcPr>
            <w:tcW w:type="dxa" w:w="2000"/>
            <w:shd w:fill="1F3A5F" w:val="clear"/>
            <w:tcMar>
              <w:top w:type="dxa" w:w="80"/>
              <w:left w:type="dxa" w:w="120"/>
              <w:bottom w:type="dxa" w:w="80"/>
              <w:right w:type="dxa" w:w="120"/>
            </w:tcMar>
          </w:tcPr>
          <w:p>
            <w:r>
              <w:rPr>
                <w:b/>
                <w:bCs/>
                <w:color w:val="FFFFFF"/>
                <w:sz w:val="19"/>
                <w:szCs w:val="19"/>
              </w:rPr>
              <w:t xml:space="preserve">Zeitraum</w:t>
            </w:r>
          </w:p>
        </w:tc>
        <w:tc>
          <w:tcPr>
            <w:tcW w:type="dxa" w:w="3400"/>
            <w:shd w:fill="1F3A5F" w:val="clear"/>
            <w:tcMar>
              <w:top w:type="dxa" w:w="80"/>
              <w:left w:type="dxa" w:w="120"/>
              <w:bottom w:type="dxa" w:w="80"/>
              <w:right w:type="dxa" w:w="120"/>
            </w:tcMar>
          </w:tcPr>
          <w:p>
            <w:r>
              <w:rPr>
                <w:b/>
                <w:bCs/>
                <w:color w:val="FFFFFF"/>
                <w:sz w:val="19"/>
                <w:szCs w:val="19"/>
              </w:rPr>
              <w:t xml:space="preserve">Was passiert</w:t>
            </w:r>
          </w:p>
        </w:tc>
        <w:tc>
          <w:tcPr>
            <w:tcW w:type="dxa" w:w="3960"/>
            <w:shd w:fill="1F3A5F" w:val="clear"/>
            <w:tcMar>
              <w:top w:type="dxa" w:w="80"/>
              <w:left w:type="dxa" w:w="120"/>
              <w:bottom w:type="dxa" w:w="80"/>
              <w:right w:type="dxa" w:w="120"/>
            </w:tcMar>
          </w:tcPr>
          <w:p>
            <w:r>
              <w:rPr>
                <w:b/>
                <w:bCs/>
                <w:color w:val="FFFFFF"/>
                <w:sz w:val="19"/>
                <w:szCs w:val="19"/>
              </w:rPr>
              <w:t xml:space="preserve">Rechtlich relevant</w:t>
            </w:r>
          </w:p>
        </w:tc>
      </w:tr>
      <w:tr>
        <w:tc>
          <w:tcPr>
            <w:tcW w:type="dxa" w:w="2000"/>
            <w:shd w:fill="FFFFFF" w:val="clear"/>
            <w:tcMar>
              <w:top w:type="dxa" w:w="70"/>
              <w:left w:type="dxa" w:w="120"/>
              <w:bottom w:type="dxa" w:w="70"/>
              <w:right w:type="dxa" w:w="120"/>
            </w:tcMar>
          </w:tcPr>
          <w:p>
            <w:pPr>
              <w:spacing w:after="0"/>
            </w:pPr>
            <w:r>
              <w:rPr>
                <w:sz w:val="19"/>
                <w:szCs w:val="19"/>
              </w:rPr>
              <w:t xml:space="preserve">Jetzt bis Sommer 2028</w:t>
            </w:r>
          </w:p>
        </w:tc>
        <w:tc>
          <w:tcPr>
            <w:tcW w:type="dxa" w:w="3400"/>
            <w:shd w:fill="FFFFFF" w:val="clear"/>
            <w:tcMar>
              <w:top w:type="dxa" w:w="70"/>
              <w:left w:type="dxa" w:w="120"/>
              <w:bottom w:type="dxa" w:w="70"/>
              <w:right w:type="dxa" w:w="120"/>
            </w:tcMar>
          </w:tcPr>
          <w:p>
            <w:pPr>
              <w:spacing w:after="0"/>
            </w:pPr>
            <w:r>
              <w:rPr>
                <w:sz w:val="19"/>
                <w:szCs w:val="19"/>
              </w:rPr>
              <w:t xml:space="preserve">Recherche, Interviews, Ortsakquise, Aufbau der eigenen Kanäle, Prototyp. Kein Produktivcode.</w:t>
            </w:r>
          </w:p>
        </w:tc>
        <w:tc>
          <w:tcPr>
            <w:tcW w:type="dxa" w:w="3960"/>
            <w:shd w:fill="FFFFFF" w:val="clear"/>
            <w:tcMar>
              <w:top w:type="dxa" w:w="70"/>
              <w:left w:type="dxa" w:w="120"/>
              <w:bottom w:type="dxa" w:w="70"/>
              <w:right w:type="dxa" w:w="120"/>
            </w:tcMar>
          </w:tcPr>
          <w:p>
            <w:pPr>
              <w:spacing w:after="0"/>
            </w:pPr>
            <w:r>
              <w:rPr>
                <w:sz w:val="19"/>
                <w:szCs w:val="19"/>
              </w:rPr>
              <w:t xml:space="preserve">Persönliche Verantwortlichkeit beider Gründer für alle erhobenen Daten. Keine Gesellschaft.</w:t>
            </w:r>
          </w:p>
        </w:tc>
      </w:tr>
      <w:tr>
        <w:tc>
          <w:tcPr>
            <w:tcW w:type="dxa" w:w="2000"/>
            <w:shd w:fill="F2F2F2" w:val="clear"/>
            <w:tcMar>
              <w:top w:type="dxa" w:w="70"/>
              <w:left w:type="dxa" w:w="120"/>
              <w:bottom w:type="dxa" w:w="70"/>
              <w:right w:type="dxa" w:w="120"/>
            </w:tcMar>
          </w:tcPr>
          <w:p>
            <w:pPr>
              <w:spacing w:after="0"/>
            </w:pPr>
            <w:r>
              <w:rPr>
                <w:sz w:val="19"/>
                <w:szCs w:val="19"/>
              </w:rPr>
              <w:t xml:space="preserve">Sommer 2028</w:t>
            </w:r>
          </w:p>
        </w:tc>
        <w:tc>
          <w:tcPr>
            <w:tcW w:type="dxa" w:w="3400"/>
            <w:shd w:fill="F2F2F2" w:val="clear"/>
            <w:tcMar>
              <w:top w:type="dxa" w:w="70"/>
              <w:left w:type="dxa" w:w="120"/>
              <w:bottom w:type="dxa" w:w="70"/>
              <w:right w:type="dxa" w:w="120"/>
            </w:tcMar>
          </w:tcPr>
          <w:p>
            <w:pPr>
              <w:spacing w:after="0"/>
            </w:pPr>
            <w:r>
              <w:rPr>
                <w:sz w:val="19"/>
                <w:szCs w:val="19"/>
              </w:rPr>
              <w:t xml:space="preserve">Abitur. Ab hier Vollzeit.</w:t>
            </w:r>
          </w:p>
        </w:tc>
        <w:tc>
          <w:tcPr>
            <w:tcW w:type="dxa" w:w="3960"/>
            <w:shd w:fill="F2F2F2" w:val="clear"/>
            <w:tcMar>
              <w:top w:type="dxa" w:w="70"/>
              <w:left w:type="dxa" w:w="120"/>
              <w:bottom w:type="dxa" w:w="70"/>
              <w:right w:type="dxa" w:w="120"/>
            </w:tcMar>
          </w:tcPr>
          <w:p>
            <w:pPr>
              <w:spacing w:after="0"/>
            </w:pPr>
            <w:r>
              <w:rPr>
                <w:sz w:val="19"/>
                <w:szCs w:val="19"/>
              </w:rPr>
              <w:t xml:space="preserve">Übergang in die Gründung. Sozialversicherungsstatus ändert sich.</w:t>
            </w:r>
          </w:p>
        </w:tc>
      </w:tr>
      <w:tr>
        <w:tc>
          <w:tcPr>
            <w:tcW w:type="dxa" w:w="2000"/>
            <w:shd w:fill="FFFFFF" w:val="clear"/>
            <w:tcMar>
              <w:top w:type="dxa" w:w="70"/>
              <w:left w:type="dxa" w:w="120"/>
              <w:bottom w:type="dxa" w:w="70"/>
              <w:right w:type="dxa" w:w="120"/>
            </w:tcMar>
          </w:tcPr>
          <w:p>
            <w:pPr>
              <w:spacing w:after="0"/>
            </w:pPr>
            <w:r>
              <w:rPr>
                <w:sz w:val="19"/>
                <w:szCs w:val="19"/>
              </w:rPr>
              <w:t xml:space="preserve">Gründung</w:t>
            </w:r>
          </w:p>
        </w:tc>
        <w:tc>
          <w:tcPr>
            <w:tcW w:type="dxa" w:w="3400"/>
            <w:shd w:fill="FFFFFF" w:val="clear"/>
            <w:tcMar>
              <w:top w:type="dxa" w:w="70"/>
              <w:left w:type="dxa" w:w="120"/>
              <w:bottom w:type="dxa" w:w="70"/>
              <w:right w:type="dxa" w:w="120"/>
            </w:tcMar>
          </w:tcPr>
          <w:p>
            <w:pPr>
              <w:spacing w:after="0"/>
            </w:pPr>
            <w:r>
              <w:rPr>
                <w:sz w:val="19"/>
                <w:szCs w:val="19"/>
              </w:rPr>
              <w:t xml:space="preserve">Zeitpunkt noch offen — eine der Kernfragen an Sie (C1-3).</w:t>
            </w:r>
          </w:p>
        </w:tc>
        <w:tc>
          <w:tcPr>
            <w:tcW w:type="dxa" w:w="3960"/>
            <w:shd w:fill="FFFFFF" w:val="clear"/>
            <w:tcMar>
              <w:top w:type="dxa" w:w="70"/>
              <w:left w:type="dxa" w:w="120"/>
              <w:bottom w:type="dxa" w:w="70"/>
              <w:right w:type="dxa" w:w="120"/>
            </w:tcMar>
          </w:tcPr>
          <w:p>
            <w:pPr>
              <w:spacing w:after="0"/>
            </w:pPr>
            <w:r>
              <w:rPr>
                <w:sz w:val="19"/>
                <w:szCs w:val="19"/>
              </w:rPr>
              <w:t xml:space="preserve">Notartermin, Handelsregister, Sitzwahl, Stammkapital.</w:t>
            </w:r>
          </w:p>
        </w:tc>
      </w:tr>
      <w:tr>
        <w:tc>
          <w:tcPr>
            <w:tcW w:type="dxa" w:w="2000"/>
            <w:shd w:fill="F2F2F2" w:val="clear"/>
            <w:tcMar>
              <w:top w:type="dxa" w:w="70"/>
              <w:left w:type="dxa" w:w="120"/>
              <w:bottom w:type="dxa" w:w="70"/>
              <w:right w:type="dxa" w:w="120"/>
            </w:tcMar>
          </w:tcPr>
          <w:p>
            <w:pPr>
              <w:spacing w:after="0"/>
            </w:pPr>
            <w:r>
              <w:rPr>
                <w:sz w:val="19"/>
                <w:szCs w:val="19"/>
              </w:rPr>
              <w:t xml:space="preserve">Gründung + 4 bis 9 Monate</w:t>
            </w:r>
          </w:p>
        </w:tc>
        <w:tc>
          <w:tcPr>
            <w:tcW w:type="dxa" w:w="3400"/>
            <w:shd w:fill="F2F2F2" w:val="clear"/>
            <w:tcMar>
              <w:top w:type="dxa" w:w="70"/>
              <w:left w:type="dxa" w:w="120"/>
              <w:bottom w:type="dxa" w:w="70"/>
              <w:right w:type="dxa" w:w="120"/>
            </w:tcMar>
          </w:tcPr>
          <w:p>
            <w:pPr>
              <w:spacing w:after="0"/>
            </w:pPr>
            <w:r>
              <w:rPr>
                <w:sz w:val="19"/>
                <w:szCs w:val="19"/>
              </w:rPr>
              <w:t xml:space="preserve">Entwicklung des MVP, geschlossene Beta.</w:t>
            </w:r>
          </w:p>
        </w:tc>
        <w:tc>
          <w:tcPr>
            <w:tcW w:type="dxa" w:w="3960"/>
            <w:shd w:fill="F2F2F2" w:val="clear"/>
            <w:tcMar>
              <w:top w:type="dxa" w:w="70"/>
              <w:left w:type="dxa" w:w="120"/>
              <w:bottom w:type="dxa" w:w="70"/>
              <w:right w:type="dxa" w:w="120"/>
            </w:tcMar>
          </w:tcPr>
          <w:p>
            <w:pPr>
              <w:spacing w:after="0"/>
            </w:pPr>
            <w:r>
              <w:rPr>
                <w:sz w:val="19"/>
                <w:szCs w:val="19"/>
              </w:rPr>
              <w:t xml:space="preserve">Folgenabschätzung, Auftragsverarbeitungsverträge, Verifizierungsanbieter, Hash-Abgleich.</w:t>
            </w:r>
          </w:p>
        </w:tc>
      </w:tr>
      <w:tr>
        <w:tc>
          <w:tcPr>
            <w:tcW w:type="dxa" w:w="2000"/>
            <w:shd w:fill="FFFFFF" w:val="clear"/>
            <w:tcMar>
              <w:top w:type="dxa" w:w="70"/>
              <w:left w:type="dxa" w:w="120"/>
              <w:bottom w:type="dxa" w:w="70"/>
              <w:right w:type="dxa" w:w="120"/>
            </w:tcMar>
          </w:tcPr>
          <w:p>
            <w:pPr>
              <w:spacing w:after="0"/>
            </w:pPr>
            <w:r>
              <w:rPr>
                <w:sz w:val="19"/>
                <w:szCs w:val="19"/>
              </w:rPr>
              <w:t xml:space="preserve">Danach</w:t>
            </w:r>
          </w:p>
        </w:tc>
        <w:tc>
          <w:tcPr>
            <w:tcW w:type="dxa" w:w="3400"/>
            <w:shd w:fill="FFFFFF" w:val="clear"/>
            <w:tcMar>
              <w:top w:type="dxa" w:w="70"/>
              <w:left w:type="dxa" w:w="120"/>
              <w:bottom w:type="dxa" w:w="70"/>
              <w:right w:type="dxa" w:w="120"/>
            </w:tcMar>
          </w:tcPr>
          <w:p>
            <w:pPr>
              <w:spacing w:after="0"/>
            </w:pPr>
            <w:r>
              <w:rPr>
                <w:sz w:val="19"/>
                <w:szCs w:val="19"/>
              </w:rPr>
              <w:t xml:space="preserve">Öffentlicher Start, zunächst eine Stadt.</w:t>
            </w:r>
          </w:p>
        </w:tc>
        <w:tc>
          <w:tcPr>
            <w:tcW w:type="dxa" w:w="3960"/>
            <w:shd w:fill="FFFFFF" w:val="clear"/>
            <w:tcMar>
              <w:top w:type="dxa" w:w="70"/>
              <w:left w:type="dxa" w:w="120"/>
              <w:bottom w:type="dxa" w:w="70"/>
              <w:right w:type="dxa" w:w="120"/>
            </w:tcMar>
          </w:tcPr>
          <w:p>
            <w:pPr>
              <w:spacing w:after="0"/>
            </w:pPr>
            <w:r>
              <w:rPr>
                <w:sz w:val="19"/>
                <w:szCs w:val="19"/>
              </w:rPr>
              <w:t xml:space="preserve">Volle Anbieterpflichten: JMStV, DSA, Verbraucherrecht, AGB.</w:t>
            </w:r>
          </w:p>
        </w:tc>
      </w:tr>
    </w:tbl>
    <w:p>
      <w:pPr>
        <w:spacing w:after="80"/>
      </w:pPr>
    </w:p>
    <w:p>
      <w:pPr>
        <w:spacing w:after="120" w:before="0"/>
      </w:pPr>
      <w:r>
        <w:rPr>
          <w:b/>
          <w:bCs/>
        </w:rPr>
        <w:t xml:space="preserve">Die Frage, die daraus folgt, ist keine juristische Feinheit, sondern die teuerste Einzelentscheidung dieses Termins:</w:t>
      </w:r>
      <w:r>
        <w:t xml:space="preserve"> Wann gründen wir? Zwei Jahre GmbH ohne Produkt bedeuten zwei Jahre laufende Kosten und Pflichten. Keine Gesellschaft bedeutet zwei Jahre persönliche Haftung und einen Datenbestand, der nicht automatisch übergeht. Siehe B3 und B4.</w:t>
      </w:r>
    </w:p>
    <w:p>
      <w:pPr>
        <w:pStyle w:val="Heading2"/>
        <w:spacing w:after="120" w:before="280"/>
      </w:pPr>
      <w:r>
        <w:rPr>
          <w:color w:val="1F3A5F"/>
        </w:rPr>
        <w:t xml:space="preserve">A4 · Produktarchitektur, soweit rechtlich relevant</w:t>
      </w:r>
    </w:p>
    <w:p>
      <w:pPr>
        <w:spacing w:after="120" w:before="0"/>
      </w:pPr>
      <w:r>
        <w:t xml:space="preserve">Wir beschreiben hier nur, was rechtliche Folgen hat. Der vollständige Funktionskatalog liegt als Anlage bei.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1F3A5F" w:val="clear"/>
            <w:tcMar>
              <w:top w:type="dxa" w:w="80"/>
              <w:left w:type="dxa" w:w="120"/>
              <w:bottom w:type="dxa" w:w="80"/>
              <w:right w:type="dxa" w:w="120"/>
            </w:tcMar>
          </w:tcPr>
          <w:p>
            <w:r>
              <w:rPr>
                <w:b/>
                <w:bCs/>
                <w:color w:val="FFFFFF"/>
                <w:sz w:val="19"/>
                <w:szCs w:val="19"/>
              </w:rPr>
              <w:t xml:space="preserve">Bereich</w:t>
            </w:r>
          </w:p>
        </w:tc>
        <w:tc>
          <w:tcPr>
            <w:tcW w:type="dxa" w:w="7160"/>
            <w:shd w:fill="1F3A5F" w:val="clear"/>
            <w:tcMar>
              <w:top w:type="dxa" w:w="80"/>
              <w:left w:type="dxa" w:w="120"/>
              <w:bottom w:type="dxa" w:w="80"/>
              <w:right w:type="dxa" w:w="120"/>
            </w:tcMar>
          </w:tcPr>
          <w:p>
            <w:r>
              <w:rPr>
                <w:b/>
                <w:bCs/>
                <w:color w:val="FFFFFF"/>
                <w:sz w:val="19"/>
                <w:szCs w:val="19"/>
              </w:rPr>
              <w:t xml:space="preserve">Geplante Umsetzung</w:t>
            </w:r>
          </w:p>
        </w:tc>
      </w:tr>
      <w:tr>
        <w:tc>
          <w:tcPr>
            <w:tcW w:type="dxa" w:w="2200"/>
            <w:shd w:fill="FFFFFF" w:val="clear"/>
            <w:tcMar>
              <w:top w:type="dxa" w:w="70"/>
              <w:left w:type="dxa" w:w="120"/>
              <w:bottom w:type="dxa" w:w="70"/>
              <w:right w:type="dxa" w:w="120"/>
            </w:tcMar>
          </w:tcPr>
          <w:p>
            <w:pPr>
              <w:spacing w:after="0"/>
            </w:pPr>
            <w:r>
              <w:rPr>
                <w:b/>
                <w:bCs/>
                <w:sz w:val="19"/>
                <w:szCs w:val="19"/>
              </w:rPr>
              <w:t xml:space="preserve">Standortdaten</w:t>
            </w:r>
          </w:p>
        </w:tc>
        <w:tc>
          <w:tcPr>
            <w:tcW w:type="dxa" w:w="7160"/>
            <w:shd w:fill="FFFFFF" w:val="clear"/>
            <w:tcMar>
              <w:top w:type="dxa" w:w="70"/>
              <w:left w:type="dxa" w:w="120"/>
              <w:bottom w:type="dxa" w:w="70"/>
              <w:right w:type="dxa" w:w="120"/>
            </w:tcMar>
          </w:tcPr>
          <w:p>
            <w:pPr>
              <w:spacing w:after="0"/>
            </w:pPr>
            <w:r>
              <w:rPr>
                <w:sz w:val="19"/>
                <w:szCs w:val="19"/>
              </w:rPr>
              <w:t xml:space="preserve">Keine exakten Koordinaten an Endgeräte. Entfernungen ausschließlich in vier Bändern (unter 1 km / 1–3 km / 3–10 km / über 10 km). Unschärfe wird serverseitig erzeugt, nicht clientseitig. Genauigkeitsstufe für den Nutzer dauerhaft sichtbar und einstellbar. Keine Personen-Pins auf Karten.</w:t>
            </w:r>
          </w:p>
        </w:tc>
      </w:tr>
      <w:tr>
        <w:tc>
          <w:tcPr>
            <w:tcW w:type="dxa" w:w="2200"/>
            <w:shd w:fill="F2F2F2" w:val="clear"/>
            <w:tcMar>
              <w:top w:type="dxa" w:w="70"/>
              <w:left w:type="dxa" w:w="120"/>
              <w:bottom w:type="dxa" w:w="70"/>
              <w:right w:type="dxa" w:w="120"/>
            </w:tcMar>
          </w:tcPr>
          <w:p>
            <w:pPr>
              <w:spacing w:after="0"/>
            </w:pPr>
            <w:r>
              <w:rPr>
                <w:sz w:val="19"/>
                <w:szCs w:val="19"/>
              </w:rPr>
              <w:t xml:space="preserve">Profilbilder</w:t>
            </w:r>
          </w:p>
        </w:tc>
        <w:tc>
          <w:tcPr>
            <w:tcW w:type="dxa" w:w="7160"/>
            <w:shd w:fill="F2F2F2" w:val="clear"/>
            <w:tcMar>
              <w:top w:type="dxa" w:w="70"/>
              <w:left w:type="dxa" w:w="120"/>
              <w:bottom w:type="dxa" w:w="70"/>
              <w:right w:type="dxa" w:w="120"/>
            </w:tcMar>
          </w:tcPr>
          <w:p>
            <w:pPr>
              <w:spacing w:after="0"/>
            </w:pPr>
            <w:r>
              <w:rPr>
                <w:sz w:val="19"/>
                <w:szCs w:val="19"/>
              </w:rPr>
              <w:t xml:space="preserve">Öffentliche Bilder werden vor Freischaltung geprüft. Optional dauerhaft und unumkehrbar weichgezeichnetes Profilbild mit Prüfabzeichen. EXIF-Daten werden beim Upload entfernt.</w:t>
            </w:r>
          </w:p>
        </w:tc>
      </w:tr>
      <w:tr>
        <w:tc>
          <w:tcPr>
            <w:tcW w:type="dxa" w:w="2200"/>
            <w:shd w:fill="FFFFFF" w:val="clear"/>
            <w:tcMar>
              <w:top w:type="dxa" w:w="70"/>
              <w:left w:type="dxa" w:w="120"/>
              <w:bottom w:type="dxa" w:w="70"/>
              <w:right w:type="dxa" w:w="120"/>
            </w:tcMar>
          </w:tcPr>
          <w:p>
            <w:pPr>
              <w:spacing w:after="0"/>
            </w:pPr>
            <w:r>
              <w:rPr>
                <w:sz w:val="19"/>
                <w:szCs w:val="19"/>
              </w:rPr>
              <w:t xml:space="preserve">Explizite Inhalte</w:t>
            </w:r>
          </w:p>
        </w:tc>
        <w:tc>
          <w:tcPr>
            <w:tcW w:type="dxa" w:w="7160"/>
            <w:shd w:fill="FFFFFF" w:val="clear"/>
            <w:tcMar>
              <w:top w:type="dxa" w:w="70"/>
              <w:left w:type="dxa" w:w="120"/>
              <w:bottom w:type="dxa" w:w="70"/>
              <w:right w:type="dxa" w:w="120"/>
            </w:tcMar>
          </w:tcPr>
          <w:p>
            <w:pPr>
              <w:spacing w:after="0"/>
            </w:pPr>
            <w:r>
              <w:rPr>
                <w:sz w:val="19"/>
                <w:szCs w:val="19"/>
              </w:rPr>
              <w:t xml:space="preserve">Im öffentlich zugänglichen Bereich </w:t>
            </w:r>
            <w:r>
              <w:rPr>
                <w:b/>
                <w:bCs/>
                <w:sz w:val="19"/>
                <w:szCs w:val="19"/>
              </w:rPr>
              <w:t xml:space="preserve">ausgeschlossen</w:t>
            </w:r>
            <w:r>
              <w:rPr>
                <w:sz w:val="19"/>
                <w:szCs w:val="19"/>
              </w:rPr>
              <w:t xml:space="preserve"> und durch Vorabprüfung durchgesetzt. Zulässig ausschließlich in privaten, beidseitig freigegebenen Alben zwischen altersgeprüften Erwachsenen.</w:t>
            </w:r>
          </w:p>
        </w:tc>
      </w:tr>
      <w:tr>
        <w:tc>
          <w:tcPr>
            <w:tcW w:type="dxa" w:w="2200"/>
            <w:shd w:fill="F2F2F2" w:val="clear"/>
            <w:tcMar>
              <w:top w:type="dxa" w:w="70"/>
              <w:left w:type="dxa" w:w="120"/>
              <w:bottom w:type="dxa" w:w="70"/>
              <w:right w:type="dxa" w:w="120"/>
            </w:tcMar>
          </w:tcPr>
          <w:p>
            <w:pPr>
              <w:spacing w:after="0"/>
            </w:pPr>
            <w:r>
              <w:rPr>
                <w:sz w:val="19"/>
                <w:szCs w:val="19"/>
              </w:rPr>
              <w:t xml:space="preserve">Erstkontakt</w:t>
            </w:r>
          </w:p>
        </w:tc>
        <w:tc>
          <w:tcPr>
            <w:tcW w:type="dxa" w:w="7160"/>
            <w:shd w:fill="F2F2F2" w:val="clear"/>
            <w:tcMar>
              <w:top w:type="dxa" w:w="70"/>
              <w:left w:type="dxa" w:w="120"/>
              <w:bottom w:type="dxa" w:w="70"/>
              <w:right w:type="dxa" w:w="120"/>
            </w:tcMar>
          </w:tcPr>
          <w:p>
            <w:pPr>
              <w:spacing w:after="0"/>
            </w:pPr>
            <w:r>
              <w:rPr>
                <w:sz w:val="19"/>
                <w:szCs w:val="19"/>
              </w:rPr>
              <w:t xml:space="preserve">Die erste Nachricht kann technisch nur Text sein. Bildversand erst nach beidseitiger Freigabe.</w:t>
            </w:r>
          </w:p>
        </w:tc>
      </w:tr>
      <w:tr>
        <w:tc>
          <w:tcPr>
            <w:tcW w:type="dxa" w:w="2200"/>
            <w:shd w:fill="FFFFFF" w:val="clear"/>
            <w:tcMar>
              <w:top w:type="dxa" w:w="70"/>
              <w:left w:type="dxa" w:w="120"/>
              <w:bottom w:type="dxa" w:w="70"/>
              <w:right w:type="dxa" w:w="120"/>
            </w:tcMar>
          </w:tcPr>
          <w:p>
            <w:pPr>
              <w:spacing w:after="0"/>
            </w:pPr>
            <w:r>
              <w:rPr>
                <w:sz w:val="19"/>
                <w:szCs w:val="19"/>
              </w:rPr>
              <w:t xml:space="preserve">Altersprüfung</w:t>
            </w:r>
          </w:p>
        </w:tc>
        <w:tc>
          <w:tcPr>
            <w:tcW w:type="dxa" w:w="7160"/>
            <w:shd w:fill="FFFFFF" w:val="clear"/>
            <w:tcMar>
              <w:top w:type="dxa" w:w="70"/>
              <w:left w:type="dxa" w:w="120"/>
              <w:bottom w:type="dxa" w:w="70"/>
              <w:right w:type="dxa" w:w="120"/>
            </w:tcMar>
          </w:tcPr>
          <w:p>
            <w:pPr>
              <w:spacing w:after="0"/>
            </w:pPr>
            <w:r>
              <w:rPr>
                <w:sz w:val="19"/>
                <w:szCs w:val="19"/>
              </w:rPr>
              <w:t xml:space="preserve">Stufenmodell. Basis: Selbstauskunft plus Selfie-Altersschätzung durch einen EU-Dienstleister mit vertraglich zugesicherter Sofortlöschung; wir selbst erhalten nur ja oder nein. Härtere Stufe (eID, Bank-Ident) als Konfigurationsoption vorbereitet, insbesondere für den Album-Bereich.</w:t>
            </w:r>
          </w:p>
        </w:tc>
      </w:tr>
      <w:tr>
        <w:tc>
          <w:tcPr>
            <w:tcW w:type="dxa" w:w="2200"/>
            <w:shd w:fill="F2F2F2" w:val="clear"/>
            <w:tcMar>
              <w:top w:type="dxa" w:w="70"/>
              <w:left w:type="dxa" w:w="120"/>
              <w:bottom w:type="dxa" w:w="70"/>
              <w:right w:type="dxa" w:w="120"/>
            </w:tcMar>
          </w:tcPr>
          <w:p>
            <w:pPr>
              <w:spacing w:after="0"/>
            </w:pPr>
            <w:r>
              <w:rPr>
                <w:sz w:val="19"/>
                <w:szCs w:val="19"/>
              </w:rPr>
              <w:t xml:space="preserve">Moderation</w:t>
            </w:r>
          </w:p>
        </w:tc>
        <w:tc>
          <w:tcPr>
            <w:tcW w:type="dxa" w:w="7160"/>
            <w:shd w:fill="F2F2F2" w:val="clear"/>
            <w:tcMar>
              <w:top w:type="dxa" w:w="70"/>
              <w:left w:type="dxa" w:w="120"/>
              <w:bottom w:type="dxa" w:w="70"/>
              <w:right w:type="dxa" w:w="120"/>
            </w:tcMar>
          </w:tcPr>
          <w:p>
            <w:pPr>
              <w:spacing w:after="0"/>
            </w:pPr>
            <w:r>
              <w:rPr>
                <w:sz w:val="19"/>
                <w:szCs w:val="19"/>
              </w:rPr>
              <w:t xml:space="preserve">Menschliche Prüfung jeder Sperrentscheidung. Selbst gehosteter Vorfilter, nie als endgültige Entscheidung. Hash-Abgleich gegen bekannte Missbrauchsdarstellungen ist geplant, der Zugangsweg ist noch nicht geklärt.</w:t>
            </w:r>
          </w:p>
        </w:tc>
      </w:tr>
      <w:tr>
        <w:tc>
          <w:tcPr>
            <w:tcW w:type="dxa" w:w="2200"/>
            <w:shd w:fill="FFFFFF" w:val="clear"/>
            <w:tcMar>
              <w:top w:type="dxa" w:w="70"/>
              <w:left w:type="dxa" w:w="120"/>
              <w:bottom w:type="dxa" w:w="70"/>
              <w:right w:type="dxa" w:w="120"/>
            </w:tcMar>
          </w:tcPr>
          <w:p>
            <w:pPr>
              <w:spacing w:after="0"/>
            </w:pPr>
            <w:r>
              <w:rPr>
                <w:sz w:val="19"/>
                <w:szCs w:val="19"/>
              </w:rPr>
              <w:t xml:space="preserve">Nachrichten</w:t>
            </w:r>
          </w:p>
        </w:tc>
        <w:tc>
          <w:tcPr>
            <w:tcW w:type="dxa" w:w="7160"/>
            <w:shd w:fill="FFFFFF" w:val="clear"/>
            <w:tcMar>
              <w:top w:type="dxa" w:w="70"/>
              <w:left w:type="dxa" w:w="120"/>
              <w:bottom w:type="dxa" w:w="70"/>
              <w:right w:type="dxa" w:w="120"/>
            </w:tcMar>
          </w:tcPr>
          <w:p>
            <w:pPr>
              <w:spacing w:after="0"/>
            </w:pPr>
            <w:r>
              <w:rPr>
                <w:sz w:val="19"/>
                <w:szCs w:val="19"/>
              </w:rPr>
              <w:t xml:space="preserve">Kein generativer Chatbot, keine KI-generierten Profiltexte oder Nachrichten. Eisbrecher stammen aus festen, redaktionell erstellten Vorlagen.</w:t>
            </w:r>
          </w:p>
        </w:tc>
      </w:tr>
      <w:tr>
        <w:tc>
          <w:tcPr>
            <w:tcW w:type="dxa" w:w="2200"/>
            <w:shd w:fill="F2F2F2" w:val="clear"/>
            <w:tcMar>
              <w:top w:type="dxa" w:w="70"/>
              <w:left w:type="dxa" w:w="120"/>
              <w:bottom w:type="dxa" w:w="70"/>
              <w:right w:type="dxa" w:w="120"/>
            </w:tcMar>
          </w:tcPr>
          <w:p>
            <w:pPr>
              <w:spacing w:after="0"/>
            </w:pPr>
            <w:r>
              <w:rPr>
                <w:sz w:val="19"/>
                <w:szCs w:val="19"/>
              </w:rPr>
              <w:t xml:space="preserve">Hosting</w:t>
            </w:r>
          </w:p>
        </w:tc>
        <w:tc>
          <w:tcPr>
            <w:tcW w:type="dxa" w:w="7160"/>
            <w:shd w:fill="F2F2F2" w:val="clear"/>
            <w:tcMar>
              <w:top w:type="dxa" w:w="70"/>
              <w:left w:type="dxa" w:w="120"/>
              <w:bottom w:type="dxa" w:w="70"/>
              <w:right w:type="dxa" w:w="120"/>
            </w:tcMar>
          </w:tcPr>
          <w:p>
            <w:pPr>
              <w:spacing w:after="0"/>
            </w:pPr>
            <w:r>
              <w:rPr>
                <w:sz w:val="19"/>
                <w:szCs w:val="19"/>
              </w:rPr>
              <w:t xml:space="preserve">Deutschland. Kein US-Auftragsverarbeiter. Kein Anmelden über Google- oder Meta-Konten.</w:t>
            </w:r>
          </w:p>
        </w:tc>
      </w:tr>
      <w:tr>
        <w:tc>
          <w:tcPr>
            <w:tcW w:type="dxa" w:w="2200"/>
            <w:shd w:fill="FFFFFF" w:val="clear"/>
            <w:tcMar>
              <w:top w:type="dxa" w:w="70"/>
              <w:left w:type="dxa" w:w="120"/>
              <w:bottom w:type="dxa" w:w="70"/>
              <w:right w:type="dxa" w:w="120"/>
            </w:tcMar>
          </w:tcPr>
          <w:p>
            <w:pPr>
              <w:spacing w:after="0"/>
            </w:pPr>
            <w:r>
              <w:rPr>
                <w:sz w:val="19"/>
                <w:szCs w:val="19"/>
              </w:rPr>
              <w:t xml:space="preserve">Erlöse</w:t>
            </w:r>
          </w:p>
        </w:tc>
        <w:tc>
          <w:tcPr>
            <w:tcW w:type="dxa" w:w="7160"/>
            <w:shd w:fill="FFFFFF" w:val="clear"/>
            <w:tcMar>
              <w:top w:type="dxa" w:w="70"/>
              <w:left w:type="dxa" w:w="120"/>
              <w:bottom w:type="dxa" w:w="70"/>
              <w:right w:type="dxa" w:w="120"/>
            </w:tcMar>
          </w:tcPr>
          <w:p>
            <w:pPr>
              <w:spacing w:after="0"/>
            </w:pPr>
            <w:r>
              <w:rPr>
                <w:sz w:val="19"/>
                <w:szCs w:val="19"/>
              </w:rPr>
              <w:t xml:space="preserve">Abonnement (Web und App-Stores), Ortspartnerschaften, Ticketing, Unterstützerbeiträge. </w:t>
            </w:r>
            <w:r>
              <w:rPr>
                <w:b/>
                <w:bCs/>
                <w:sz w:val="19"/>
                <w:szCs w:val="19"/>
              </w:rPr>
              <w:t xml:space="preserve">Was der Sicherheit dient, bleibt dauerhaft kostenlos</w:t>
            </w:r>
            <w:r>
              <w:rPr>
                <w:sz w:val="19"/>
                <w:szCs w:val="19"/>
              </w:rPr>
              <w:t xml:space="preserve"> — das ist als bindende Zusage vorgesehen, nicht als Aktion.</w:t>
            </w:r>
          </w:p>
        </w:tc>
      </w:tr>
    </w:tbl>
    <w:p>
      <w:pPr>
        <w:pStyle w:val="Heading2"/>
        <w:spacing w:after="120" w:before="280"/>
      </w:pPr>
      <w:r>
        <w:rPr>
          <w:color w:val="1F3A5F"/>
        </w:rPr>
        <w:t xml:space="preserve">A5 · Was wir bereits entschieden haben</w:t>
      </w:r>
    </w:p>
    <w:p>
      <w:pPr>
        <w:spacing w:after="120" w:before="0"/>
      </w:pPr>
      <w:r>
        <w:t xml:space="preserve">Damit Sie nicht Zeit auf Optionen verwenden, die für uns geschlossen sind:</w:t>
      </w:r>
    </w:p>
    <w:p>
      <w:pPr>
        <w:pStyle w:val="ListParagraph"/>
        <w:numPr>
          <w:ilvl w:val="0"/>
          <w:numId w:val="2"/>
        </w:numPr>
        <w:spacing w:after="60"/>
      </w:pPr>
      <w:r>
        <w:rPr>
          <w:b/>
          <w:bCs/>
        </w:rPr>
        <w:t xml:space="preserve">Rechtsform: GmbH.</w:t>
      </w:r>
      <w:r>
        <w:t xml:space="preserve"> Nicht UG. Die Gründe und die offene Frage zum Stammkapital stehen in B4.</w:t>
      </w:r>
    </w:p>
    <w:p>
      <w:pPr>
        <w:pStyle w:val="ListParagraph"/>
        <w:numPr>
          <w:ilvl w:val="0"/>
          <w:numId w:val="2"/>
        </w:numPr>
        <w:spacing w:after="60"/>
      </w:pPr>
      <w:r>
        <w:rPr>
          <w:b/>
          <w:bCs/>
        </w:rPr>
        <w:t xml:space="preserve">Unsere vollständigen Namen werden öffentlich.</w:t>
      </w:r>
      <w:r>
        <w:t xml:space="preserve"> Wir wissen, dass § 5 DDG Name und ladungsfähige Anschrift verlangt und dass beides mit einer App für schwule Männer verknüpft sichtbar wird. Wir sind damit einverstanden. Diese Frage ist entschieden und muss nicht mehr diskutiert werden.</w:t>
      </w:r>
    </w:p>
    <w:p>
      <w:pPr>
        <w:pStyle w:val="ListParagraph"/>
        <w:numPr>
          <w:ilvl w:val="0"/>
          <w:numId w:val="2"/>
        </w:numPr>
        <w:spacing w:after="60"/>
      </w:pPr>
      <w:r>
        <w:rPr>
          <w:b/>
          <w:bCs/>
        </w:rPr>
        <w:t xml:space="preserve">Kein Auftragsverarbeiter außerhalb der EU.</w:t>
      </w:r>
      <w:r>
        <w:t xml:space="preserve"> Auch nicht, wenn es billiger oder technisch bequemer wäre. Das ist zugleich unser Alleinstellungsmerkmal.</w:t>
      </w:r>
    </w:p>
    <w:p>
      <w:pPr>
        <w:pStyle w:val="ListParagraph"/>
        <w:numPr>
          <w:ilvl w:val="0"/>
          <w:numId w:val="2"/>
        </w:numPr>
        <w:spacing w:after="60"/>
      </w:pPr>
      <w:r>
        <w:rPr>
          <w:b/>
          <w:bCs/>
        </w:rPr>
        <w:t xml:space="preserve">Keine Nutzerdaten an externe KI-Anbieter.</w:t>
      </w:r>
    </w:p>
    <w:p>
      <w:pPr>
        <w:pStyle w:val="ListParagraph"/>
        <w:numPr>
          <w:ilvl w:val="0"/>
          <w:numId w:val="2"/>
        </w:numPr>
        <w:spacing w:after="60"/>
      </w:pPr>
      <w:r>
        <w:rPr>
          <w:b/>
          <w:bCs/>
        </w:rPr>
        <w:t xml:space="preserve">Keine automatisierte Sperrentscheidung ohne menschliche Prüfmöglichkeit.</w:t>
      </w:r>
    </w:p>
    <w:p>
      <w:pPr>
        <w:pStyle w:val="ListParagraph"/>
        <w:numPr>
          <w:ilvl w:val="0"/>
          <w:numId w:val="2"/>
        </w:numPr>
        <w:spacing w:after="60"/>
      </w:pPr>
      <w:r>
        <w:rPr>
          <w:b/>
          <w:bCs/>
        </w:rPr>
        <w:t xml:space="preserve">Der Produktname ist noch nicht endgültig.</w:t>
      </w:r>
      <w:r>
        <w:t xml:space="preserve"> „Cruizy" ist Arbeitstitel; die Entscheidung fällt nach Nutzerbefragungen. Zur Markenlage siehe B7.</w:t>
      </w:r>
    </w:p>
    <w:p>
      <w:pPr>
        <w:spacing w:after="80"/>
      </w:pPr>
    </w:p>
    <w:p>
      <w:pPr>
        <w:spacing w:after="120" w:before="0"/>
      </w:pPr>
      <w:r>
        <w:rPr>
          <w:b/>
          <w:bCs/>
        </w:rPr>
        <w:t xml:space="preserve">Noch offen und für diesen Termin relevant:</w:t>
      </w:r>
      <w:r>
        <w:t xml:space="preserve"> Zeitpunkt der Gründung, Sitz der Gesellschaft, Stammkapitalmodell, Holding ja oder nein, Impressumslösung für die Vorbereitungsphase.</w:t>
      </w:r>
    </w:p>
    <w:p>
      <w:r>
        <w:br w:type="page"/>
      </w:r>
    </w:p>
    <w:p>
      <w:pPr>
        <w:pStyle w:val="Heading1"/>
        <w:spacing w:after="160" w:before="360"/>
      </w:pPr>
      <w:r>
        <w:rPr>
          <w:color w:val="1F3A5F"/>
        </w:rPr>
        <w:t xml:space="preserve">Teil B — Rechtliche Vorprüfung</w:t>
      </w:r>
    </w:p>
    <w:p>
      <w:pPr>
        <w:spacing w:after="120" w:before="0"/>
      </w:pPr>
      <w:r>
        <w:t xml:space="preserve">Fünfzehn Rechtsgebiete, sortiert nach dem Gewicht, das sie für unsere Planung haben. Je Abschnitt: Ausgangslage, unsere Einschätzung, unsere Frage.</w:t>
      </w:r>
    </w:p>
    <w:p>
      <w:pPr>
        <w:pBdr>
          <w:bottom w:val="single" w:color="BFBFBF" w:sz="6"/>
        </w:pBdr>
        <w:spacing w:after="160"/>
      </w:pPr>
    </w:p>
    <w:p>
      <w:pPr>
        <w:pStyle w:val="Heading2"/>
        <w:spacing w:after="120" w:before="280"/>
      </w:pPr>
      <w:r>
        <w:rPr>
          <w:color w:val="1F3A5F"/>
        </w:rPr>
        <w:t xml:space="preserve">B1 · Jugendmedienschutz (JMStV) — die Frage, die alles andere bestimmt</w:t>
      </w:r>
    </w:p>
    <w:p>
      <w:pPr>
        <w:spacing w:after="120" w:before="0"/>
      </w:pPr>
      <w:r>
        <w:rPr>
          <w:b/>
          <w:bCs/>
        </w:rPr>
        <w:t xml:space="preserve">Ausgangslage.</w:t>
      </w:r>
      <w:r>
        <w:t xml:space="preserve"> § 4 Abs. 2 JMStV erlaubt pornografische Inhalte in Telemedien nur innerhalb einer geschlossenen Benutzergruppe. Nach den Kriterien der KJM verlangt das zwei Stufen: eine einmalige </w:t>
      </w:r>
      <w:r>
        <w:rPr>
          <w:b/>
          <w:bCs/>
        </w:rPr>
        <w:t xml:space="preserve">Identifizierung</w:t>
      </w:r>
      <w:r>
        <w:t xml:space="preserve"> (persönlicher Kontakt oder Gleichwertiges wie eID, Bank-Ident, PostIdent) und eine </w:t>
      </w:r>
      <w:r>
        <w:rPr>
          <w:b/>
          <w:bCs/>
        </w:rPr>
        <w:t xml:space="preserve">Authentifizierung</w:t>
      </w:r>
      <w:r>
        <w:t xml:space="preserve"> bei jeder Nutzung. Eine Selfie-Altersschätzung wurde von der KJM bislang nur als Teillösung auf der Identifizierungsebene positiv bewertet; allein genügt sie ausdrücklich nicht.</w:t>
      </w:r>
    </w:p>
    <w:p>
      <w:pPr>
        <w:spacing w:after="120" w:before="0"/>
      </w:pPr>
      <w:r>
        <w:t xml:space="preserve">Eine Cruising-App wird absehbar pornografische Nutzerinhalte enthalten. Unsere Architektur trennt deshalb: </w:t>
      </w:r>
      <w:r>
        <w:rPr>
          <w:b/>
          <w:bCs/>
        </w:rPr>
        <w:t xml:space="preserve">öffentlicher Bereich strikt pornografiefrei mit Vorabprüfung aller Bilder; explizite Inhalte ausschließlich in privaten, beidseitig freigegebenen Alben zwischen altersgeprüften Erwachsenen.</w:t>
      </w:r>
    </w:p>
    <w:p>
      <w:pPr>
        <w:spacing w:after="80"/>
      </w:pPr>
    </w:p>
    <w:p>
      <w:pPr>
        <w:spacing w:after="120" w:before="0"/>
      </w:pPr>
      <w:r>
        <w:rPr>
          <w:b/>
          <w:bCs/>
        </w:rPr>
        <w:t xml:space="preserve">Warum das die Geschäftsgrundlage berührt.</w:t>
      </w:r>
      <w:r>
        <w:t xml:space="preserve"> Eine KJM-konforme Identifizierung kostet mehrere Euro je Nutzer statt etwa 0,40 € für eine Altersschätzung. Bei einem modellierten Nettoerlös von 7,38 € je Zahler und Monat und tragbaren Akquisekosten von 2,04 € kippt die Rechnung. Hinzu kommt: Jede Hürde vor der Nutzung kostet einen Großteil der Registrierungen, und eine Identifizierung erzeugt genau den Datenbestand — Klarname verknüpft mit einer schwulen Cruising-App —, den unsere gesamte Architektur vermeiden soll.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120"/>
              <w:left w:type="dxa" w:w="160"/>
              <w:bottom w:type="dxa" w:w="120"/>
              <w:right w:type="dxa" w:w="160"/>
            </w:tcMar>
          </w:tcPr>
          <w:p>
            <w:pPr>
              <w:spacing w:after="60"/>
            </w:pPr>
            <w:r>
              <w:rPr>
                <w:b/>
                <w:bCs/>
                <w:color w:val="1F3A5F"/>
              </w:rPr>
              <w:t xml:space="preserve">Unsere Einschätzung — bitte bestätigen oder korrigieren</w:t>
            </w:r>
          </w:p>
          <w:p>
            <w:pPr>
              <w:spacing w:after="40"/>
            </w:pPr>
            <w:r>
              <w:t xml:space="preserve">Der öffentliche Bereich ist mit lückenloser Vorabprüfung und Protokollierung gut verteidigbar. Das liegt vollständig in unserer Hand.</w:t>
            </w:r>
          </w:p>
          <w:p>
            <w:pPr>
              <w:spacing w:after="40"/>
            </w:pPr>
            <w:r>
              <w:t xml:space="preserve">Die privaten Alben sind das Restrisiko. Die Einordnung als Individualkommunikation außerhalb der Anbieterpflicht halten wir für vertretbar, aber nicht für gesichert. Uns ist keine gefestigte Rechtsprechung dazu bekannt.</w:t>
            </w:r>
          </w:p>
          <w:p>
            <w:pPr>
              <w:spacing w:after="40"/>
            </w:pPr>
            <w:r>
              <w:t xml:space="preserve">Wir bauen die Altersprüfung deshalb modular, sodass eine strengere Stufe eine Konfigurationsänderung ist und kein Umbau — konkret als Rückfallposition: Basisfunktionen mit einfacher 18+-Prüfung, privater Bildversand erst nach härterer Stufe.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DF3E7" w:val="clear"/>
            <w:tcMar>
              <w:top w:type="dxa" w:w="120"/>
              <w:left w:type="dxa" w:w="160"/>
              <w:bottom w:type="dxa" w:w="120"/>
              <w:right w:type="dxa" w:w="160"/>
            </w:tcMar>
          </w:tcPr>
          <w:p>
            <w:pPr>
              <w:spacing w:after="60"/>
            </w:pPr>
            <w:r>
              <w:rPr>
                <w:b/>
                <w:bCs/>
                <w:color w:val="1F3A5F"/>
              </w:rPr>
              <w:t xml:space="preserve">Der Standortnachteil, den wir bewusst eingehen</w:t>
            </w:r>
          </w:p>
          <w:p>
            <w:pPr>
              <w:spacing w:after="40"/>
            </w:pPr>
            <w:r>
              <w:t xml:space="preserve">Grindr, ROMEO und Sniffies betreiben faktisch keine KJM-konforme geschlossene Benutzergruppe — sie sitzen aber im Ausland, und Verfahren gegen EU-ausländische Anbieter dauern wegen des Herkunftslandprinzips Jahre.</w:t>
            </w:r>
          </w:p>
          <w:p>
            <w:pPr>
              <w:spacing w:after="40"/>
            </w:pPr>
            <w:r>
              <w:rPr>
                <w:b/>
                <w:bCs/>
              </w:rPr>
              <w:t xml:space="preserve">Eine deutsche GmbH hat diesen Puffer nicht.</w:t>
            </w:r>
            <w:r>
              <w:t xml:space="preserve"> Wir wären der am leichtesten greifbare Anbieter der Kategorie. Der deutsche Sitz ist unser Alleinstellungsmerkmal und zugleich unser Aufsichtsrisiko. Wir sehen das und wollen es nicht wegdiskutieren, sondern beherrschen.</w:t>
            </w:r>
          </w:p>
        </w:tc>
      </w:tr>
    </w:tbl>
    <w:p>
      <w:pPr>
        <w:spacing w:after="80"/>
      </w:pPr>
    </w:p>
    <w:p>
      <w:pPr>
        <w:spacing w:after="120" w:before="0"/>
      </w:pPr>
      <w:r>
        <w:rPr>
          <w:b/>
          <w:bCs/>
        </w:rPr>
        <w:t xml:space="preserve">Was sich seit 2025 verschärft hat, soweit wir es überblicken:</w:t>
      </w:r>
      <w:r>
        <w:t xml:space="preserve"> Der 6. Medienänderungsstaatsvertrag ist seit dem 01.12.2025 in Kraft (unter anderem „Follow the Money" — Unterbindung von Zahlungsströmen; schnellere Sperrverfügungen; verpflichtender Betriebssystemansatz spätestens ab 01.12.2027). Verwaltungsgerichte haben Sperrverfügungen gegen Pornoplattformen bestätigt. Anerkannte Selbstkontrolleinrichtungen können seit Dezember 2025 die Eignung von Altersverifikationssystemen bestätigen. Auf EU-Ebene empfehlen die Leitlinien zu Art. 28 DSA Altersverifikation; die datensparsame EU-Altersverifikationsanwendung ist seit April 2026 technisch fertig, EUDI-Wallets sollen bis 24.12.2026 bereitstehen.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DF2F8" w:val="clear"/>
            <w:tcMar>
              <w:top w:type="dxa" w:w="120"/>
              <w:left w:type="dxa" w:w="160"/>
              <w:bottom w:type="dxa" w:w="120"/>
              <w:right w:type="dxa" w:w="160"/>
            </w:tcMar>
          </w:tcPr>
          <w:p>
            <w:pPr>
              <w:spacing w:after="60"/>
            </w:pPr>
            <w:r>
              <w:rPr>
                <w:b/>
                <w:bCs/>
                <w:color w:val="1F3A5F"/>
              </w:rPr>
              <w:t xml:space="preserve">Unsere Frage an Sie</w:t>
            </w:r>
          </w:p>
          <w:p>
            <w:pPr>
              <w:spacing w:after="40"/>
            </w:pPr>
            <w:r>
              <w:rPr>
                <w:b/>
                <w:bCs/>
              </w:rPr>
              <w:t xml:space="preserve">Löst unser Konzept die Pflicht zur geschlossenen Benutzergruppe aus — für die gesamte App, für den Album-Bereich, oder gar nicht?</w:t>
            </w:r>
          </w:p>
          <w:p>
            <w:pPr>
              <w:spacing w:after="40"/>
            </w:pPr>
            <w:r>
              <w:t xml:space="preserve">Ist beidseitig freigegebener 1:1-Austausch ein „Zugänglichmachen" durch uns als Anbieter oder Individualkommunikation?</w:t>
            </w:r>
          </w:p>
          <w:p>
            <w:pPr>
              <w:spacing w:after="40"/>
            </w:pPr>
            <w:r>
              <w:t xml:space="preserve">Lohnt sich der Weg über eine anerkannte Selbstkontrolleinrichtung, um das Konzept </w:t>
            </w:r>
            <w:r>
              <w:rPr>
                <w:b/>
                <w:bCs/>
              </w:rPr>
              <w:t xml:space="preserve">vorab</w:t>
            </w:r>
            <w:r>
              <w:t xml:space="preserve"> bestätigen zu lassen, statt auf eine Beanstandung zu warten? Was kostet das ungefähr und wie lange dauert es?</w:t>
            </w:r>
          </w:p>
          <w:p>
            <w:pPr>
              <w:spacing w:after="40"/>
            </w:pPr>
            <w:r>
              <w:t xml:space="preserve">Welche Dokumentation müssen wir von Tag eins an führen, damit wir die Pornografiefreiheit des öffentlichen Bereichs im Streitfall </w:t>
            </w:r>
            <w:r>
              <w:rPr>
                <w:b/>
                <w:bCs/>
              </w:rPr>
              <w:t xml:space="preserve">belegen</w:t>
            </w:r>
            <w:r>
              <w:t xml:space="preserve"> können?</w:t>
            </w:r>
          </w:p>
          <w:p>
            <w:pPr>
              <w:spacing w:after="40"/>
            </w:pPr>
            <w:r>
              <w:t xml:space="preserve">Wie realistisch ist es, die EUDI-Wallet als Prüfweg einzuplanen — und was tun wir in der Zeit davor?</w:t>
            </w:r>
          </w:p>
        </w:tc>
      </w:tr>
    </w:tbl>
    <w:p>
      <w:r>
        <w:br w:type="page"/>
      </w:r>
    </w:p>
    <w:p>
      <w:pPr>
        <w:pStyle w:val="Heading2"/>
        <w:spacing w:after="120" w:before="280"/>
      </w:pPr>
      <w:r>
        <w:rPr>
          <w:color w:val="1F3A5F"/>
        </w:rPr>
        <w:t xml:space="preserve">B2 · Datenschutz — Artikel 9 als Konstruktionsprinzip</w:t>
      </w:r>
    </w:p>
    <w:p>
      <w:pPr>
        <w:spacing w:after="120" w:before="0"/>
      </w:pPr>
      <w:r>
        <w:rPr>
          <w:b/>
          <w:bCs/>
        </w:rPr>
        <w:t xml:space="preserve">Ausgangslage.</w:t>
      </w:r>
      <w:r>
        <w:t xml:space="preserve"> Die bloße Registrierung bei unserer App offenbart die sexuelle Orientierung. Wir gehen davon aus, dass damit </w:t>
      </w:r>
      <w:r>
        <w:rPr>
          <w:b/>
          <w:bCs/>
        </w:rPr>
        <w:t xml:space="preserve">jede</w:t>
      </w:r>
      <w:r>
        <w:t xml:space="preserve"> Verarbeitung Art. 9 DSGVO unterfällt und allein die ausdrückliche Einwilligung nach Art. 9 Abs. 2 lit. a trägt — berechtigtes Interesse und Vertragserfüllung scheiden aus. Dasselbe nehmen wir für Angaben zur Geschlechtsidentität an.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F3A5F" w:val="clear"/>
            <w:tcMar>
              <w:top w:type="dxa" w:w="80"/>
              <w:left w:type="dxa" w:w="120"/>
              <w:bottom w:type="dxa" w:w="80"/>
              <w:right w:type="dxa" w:w="120"/>
            </w:tcMar>
          </w:tcPr>
          <w:p>
            <w:r>
              <w:rPr>
                <w:b/>
                <w:bCs/>
                <w:color w:val="FFFFFF"/>
                <w:sz w:val="19"/>
                <w:szCs w:val="19"/>
              </w:rPr>
              <w:t xml:space="preserve">Pflicht</w:t>
            </w:r>
          </w:p>
        </w:tc>
        <w:tc>
          <w:tcPr>
            <w:tcW w:type="dxa" w:w="6760"/>
            <w:shd w:fill="1F3A5F" w:val="clear"/>
            <w:tcMar>
              <w:top w:type="dxa" w:w="80"/>
              <w:left w:type="dxa" w:w="120"/>
              <w:bottom w:type="dxa" w:w="80"/>
              <w:right w:type="dxa" w:w="120"/>
            </w:tcMar>
          </w:tcPr>
          <w:p>
            <w:r>
              <w:rPr>
                <w:b/>
                <w:bCs/>
                <w:color w:val="FFFFFF"/>
                <w:sz w:val="19"/>
                <w:szCs w:val="19"/>
              </w:rPr>
              <w:t xml:space="preserve">Wie wir sie einordnen</w:t>
            </w:r>
          </w:p>
        </w:tc>
      </w:tr>
      <w:tr>
        <w:tc>
          <w:tcPr>
            <w:tcW w:type="dxa" w:w="2600"/>
            <w:shd w:fill="FFFFFF" w:val="clear"/>
            <w:tcMar>
              <w:top w:type="dxa" w:w="70"/>
              <w:left w:type="dxa" w:w="120"/>
              <w:bottom w:type="dxa" w:w="70"/>
              <w:right w:type="dxa" w:w="120"/>
            </w:tcMar>
          </w:tcPr>
          <w:p>
            <w:pPr>
              <w:spacing w:after="0"/>
            </w:pPr>
            <w:r>
              <w:rPr>
                <w:sz w:val="19"/>
                <w:szCs w:val="19"/>
              </w:rPr>
              <w:t xml:space="preserve">Rechtsgrundlage</w:t>
            </w:r>
          </w:p>
        </w:tc>
        <w:tc>
          <w:tcPr>
            <w:tcW w:type="dxa" w:w="6760"/>
            <w:shd w:fill="FFFFFF" w:val="clear"/>
            <w:tcMar>
              <w:top w:type="dxa" w:w="70"/>
              <w:left w:type="dxa" w:w="120"/>
              <w:bottom w:type="dxa" w:w="70"/>
              <w:right w:type="dxa" w:w="120"/>
            </w:tcMar>
          </w:tcPr>
          <w:p>
            <w:pPr>
              <w:spacing w:after="0"/>
            </w:pPr>
            <w:r>
              <w:rPr>
                <w:sz w:val="19"/>
                <w:szCs w:val="19"/>
              </w:rPr>
              <w:t xml:space="preserve">Ausschließlich ausdrückliche Einwilligung, Art. 9 Abs. 2 lit. a. Getrennt einholbar, granular, jederzeit widerrufbar.</w:t>
            </w:r>
          </w:p>
        </w:tc>
      </w:tr>
      <w:tr>
        <w:tc>
          <w:tcPr>
            <w:tcW w:type="dxa" w:w="2600"/>
            <w:shd w:fill="F2F2F2" w:val="clear"/>
            <w:tcMar>
              <w:top w:type="dxa" w:w="70"/>
              <w:left w:type="dxa" w:w="120"/>
              <w:bottom w:type="dxa" w:w="70"/>
              <w:right w:type="dxa" w:w="120"/>
            </w:tcMar>
          </w:tcPr>
          <w:p>
            <w:pPr>
              <w:spacing w:after="0"/>
            </w:pPr>
            <w:r>
              <w:rPr>
                <w:sz w:val="19"/>
                <w:szCs w:val="19"/>
              </w:rPr>
              <w:t xml:space="preserve">Folgenabschätzung (Art. 35)</w:t>
            </w:r>
          </w:p>
        </w:tc>
        <w:tc>
          <w:tcPr>
            <w:tcW w:type="dxa" w:w="6760"/>
            <w:shd w:fill="F2F2F2" w:val="clear"/>
            <w:tcMar>
              <w:top w:type="dxa" w:w="70"/>
              <w:left w:type="dxa" w:w="120"/>
              <w:bottom w:type="dxa" w:w="70"/>
              <w:right w:type="dxa" w:w="120"/>
            </w:tcMar>
          </w:tcPr>
          <w:p>
            <w:pPr>
              <w:spacing w:after="0"/>
            </w:pPr>
            <w:r>
              <w:rPr>
                <w:sz w:val="19"/>
                <w:szCs w:val="19"/>
              </w:rPr>
              <w:t xml:space="preserve">Aus unserer Sicht zwingend: umfangreiche Verarbeitung besonderer Kategorien </w:t>
            </w:r>
            <w:r>
              <w:rPr>
                <w:b/>
                <w:bCs/>
                <w:sz w:val="19"/>
                <w:szCs w:val="19"/>
              </w:rPr>
              <w:t xml:space="preserve">und</w:t>
            </w:r>
            <w:r>
              <w:rPr>
                <w:sz w:val="19"/>
                <w:szCs w:val="19"/>
              </w:rPr>
              <w:t xml:space="preserve"> systematische Standortverarbeitung. Muss vor Verarbeitungsbeginn vorliegen und fortgeschrieben werden. Die biometrische Altersschätzung nehmen wir ausdrücklich auf.</w:t>
            </w:r>
          </w:p>
        </w:tc>
      </w:tr>
      <w:tr>
        <w:tc>
          <w:tcPr>
            <w:tcW w:type="dxa" w:w="2600"/>
            <w:shd w:fill="FFFFFF" w:val="clear"/>
            <w:tcMar>
              <w:top w:type="dxa" w:w="70"/>
              <w:left w:type="dxa" w:w="120"/>
              <w:bottom w:type="dxa" w:w="70"/>
              <w:right w:type="dxa" w:w="120"/>
            </w:tcMar>
          </w:tcPr>
          <w:p>
            <w:pPr>
              <w:spacing w:after="0"/>
            </w:pPr>
            <w:r>
              <w:rPr>
                <w:sz w:val="19"/>
                <w:szCs w:val="19"/>
              </w:rPr>
              <w:t xml:space="preserve">Datenschutzbeauftragter (Art. 37 Abs. 1 lit. c)</w:t>
            </w:r>
          </w:p>
        </w:tc>
        <w:tc>
          <w:tcPr>
            <w:tcW w:type="dxa" w:w="6760"/>
            <w:shd w:fill="FFFFFF" w:val="clear"/>
            <w:tcMar>
              <w:top w:type="dxa" w:w="70"/>
              <w:left w:type="dxa" w:w="120"/>
              <w:bottom w:type="dxa" w:w="70"/>
              <w:right w:type="dxa" w:w="120"/>
            </w:tcMar>
          </w:tcPr>
          <w:p>
            <w:pPr>
              <w:spacing w:after="0"/>
            </w:pPr>
            <w:r>
              <w:rPr>
                <w:sz w:val="19"/>
                <w:szCs w:val="19"/>
              </w:rPr>
              <w:t xml:space="preserve">Wir gehen von einer Pflicht ab dem ersten Tag aus, unabhängig von der Mitarbeiterzahl, weil die Kerntätigkeit in umfangreicher Art.-9-Verarbeitung besteht. Extern zu beauftragen, kalkuliert mit etwa 250 € im Monat.</w:t>
            </w:r>
          </w:p>
        </w:tc>
      </w:tr>
      <w:tr>
        <w:tc>
          <w:tcPr>
            <w:tcW w:type="dxa" w:w="2600"/>
            <w:shd w:fill="F2F2F2" w:val="clear"/>
            <w:tcMar>
              <w:top w:type="dxa" w:w="70"/>
              <w:left w:type="dxa" w:w="120"/>
              <w:bottom w:type="dxa" w:w="70"/>
              <w:right w:type="dxa" w:w="120"/>
            </w:tcMar>
          </w:tcPr>
          <w:p>
            <w:pPr>
              <w:spacing w:after="0"/>
            </w:pPr>
            <w:r>
              <w:rPr>
                <w:sz w:val="19"/>
                <w:szCs w:val="19"/>
              </w:rPr>
              <w:t xml:space="preserve">Verarbeitungsverzeichnis (Art. 30)</w:t>
            </w:r>
          </w:p>
        </w:tc>
        <w:tc>
          <w:tcPr>
            <w:tcW w:type="dxa" w:w="6760"/>
            <w:shd w:fill="F2F2F2" w:val="clear"/>
            <w:tcMar>
              <w:top w:type="dxa" w:w="70"/>
              <w:left w:type="dxa" w:w="120"/>
              <w:bottom w:type="dxa" w:w="70"/>
              <w:right w:type="dxa" w:w="120"/>
            </w:tcMar>
          </w:tcPr>
          <w:p>
            <w:pPr>
              <w:spacing w:after="0"/>
            </w:pPr>
            <w:r>
              <w:rPr>
                <w:sz w:val="19"/>
                <w:szCs w:val="19"/>
              </w:rPr>
              <w:t xml:space="preserve">Die KMU-Erleichterung greift bei Art.-9-Daten nach unserem Verständnis nicht. Vollständiges Verzeichnis erforderlich.</w:t>
            </w:r>
          </w:p>
        </w:tc>
      </w:tr>
      <w:tr>
        <w:tc>
          <w:tcPr>
            <w:tcW w:type="dxa" w:w="2600"/>
            <w:shd w:fill="FFFFFF" w:val="clear"/>
            <w:tcMar>
              <w:top w:type="dxa" w:w="70"/>
              <w:left w:type="dxa" w:w="120"/>
              <w:bottom w:type="dxa" w:w="70"/>
              <w:right w:type="dxa" w:w="120"/>
            </w:tcMar>
          </w:tcPr>
          <w:p>
            <w:pPr>
              <w:spacing w:after="0"/>
            </w:pPr>
            <w:r>
              <w:rPr>
                <w:sz w:val="19"/>
                <w:szCs w:val="19"/>
              </w:rPr>
              <w:t xml:space="preserve">Technische Maßnahmen (Art. 32)</w:t>
            </w:r>
          </w:p>
        </w:tc>
        <w:tc>
          <w:tcPr>
            <w:tcW w:type="dxa" w:w="6760"/>
            <w:shd w:fill="FFFFFF" w:val="clear"/>
            <w:tcMar>
              <w:top w:type="dxa" w:w="70"/>
              <w:left w:type="dxa" w:w="120"/>
              <w:bottom w:type="dxa" w:w="70"/>
              <w:right w:type="dxa" w:w="120"/>
            </w:tcMar>
          </w:tcPr>
          <w:p>
            <w:pPr>
              <w:spacing w:after="0"/>
            </w:pPr>
            <w:r>
              <w:rPr>
                <w:sz w:val="19"/>
                <w:szCs w:val="19"/>
              </w:rPr>
              <w:t xml:space="preserve">Verschlüsselung ruhend und in Übertragung, serverseitige Standortrundung, strenges Berechtigungskonzept, automatisches Löschkonzept, geprüftes Backup.</w:t>
            </w:r>
          </w:p>
        </w:tc>
      </w:tr>
      <w:tr>
        <w:tc>
          <w:tcPr>
            <w:tcW w:type="dxa" w:w="2600"/>
            <w:shd w:fill="F2F2F2" w:val="clear"/>
            <w:tcMar>
              <w:top w:type="dxa" w:w="70"/>
              <w:left w:type="dxa" w:w="120"/>
              <w:bottom w:type="dxa" w:w="70"/>
              <w:right w:type="dxa" w:w="120"/>
            </w:tcMar>
          </w:tcPr>
          <w:p>
            <w:pPr>
              <w:spacing w:after="0"/>
            </w:pPr>
            <w:r>
              <w:rPr>
                <w:sz w:val="19"/>
                <w:szCs w:val="19"/>
              </w:rPr>
              <w:t xml:space="preserve">Meldeprozess (Art. 33, 34)</w:t>
            </w:r>
          </w:p>
        </w:tc>
        <w:tc>
          <w:tcPr>
            <w:tcW w:type="dxa" w:w="6760"/>
            <w:shd w:fill="F2F2F2" w:val="clear"/>
            <w:tcMar>
              <w:top w:type="dxa" w:w="70"/>
              <w:left w:type="dxa" w:w="120"/>
              <w:bottom w:type="dxa" w:w="70"/>
              <w:right w:type="dxa" w:w="120"/>
            </w:tcMar>
          </w:tcPr>
          <w:p>
            <w:pPr>
              <w:spacing w:after="0"/>
            </w:pPr>
            <w:r>
              <w:rPr>
                <w:sz w:val="19"/>
                <w:szCs w:val="19"/>
              </w:rPr>
              <w:t xml:space="preserve">72-Stunden-Frist. Ablauf vorab festlegen, einmal proben.</w:t>
            </w:r>
          </w:p>
        </w:tc>
      </w:tr>
      <w:tr>
        <w:tc>
          <w:tcPr>
            <w:tcW w:type="dxa" w:w="2600"/>
            <w:shd w:fill="FFFFFF" w:val="clear"/>
            <w:tcMar>
              <w:top w:type="dxa" w:w="70"/>
              <w:left w:type="dxa" w:w="120"/>
              <w:bottom w:type="dxa" w:w="70"/>
              <w:right w:type="dxa" w:w="120"/>
            </w:tcMar>
          </w:tcPr>
          <w:p>
            <w:pPr>
              <w:spacing w:after="0"/>
            </w:pPr>
            <w:r>
              <w:rPr>
                <w:sz w:val="19"/>
                <w:szCs w:val="19"/>
              </w:rPr>
              <w:t xml:space="preserve">Auftragsverarbeitung (Art. 28, 44 ff.)</w:t>
            </w:r>
          </w:p>
        </w:tc>
        <w:tc>
          <w:tcPr>
            <w:tcW w:type="dxa" w:w="6760"/>
            <w:shd w:fill="FFFFFF" w:val="clear"/>
            <w:tcMar>
              <w:top w:type="dxa" w:w="70"/>
              <w:left w:type="dxa" w:w="120"/>
              <w:bottom w:type="dxa" w:w="70"/>
              <w:right w:type="dxa" w:w="120"/>
            </w:tcMar>
          </w:tcPr>
          <w:p>
            <w:pPr>
              <w:spacing w:after="0"/>
            </w:pPr>
            <w:r>
              <w:rPr>
                <w:sz w:val="19"/>
                <w:szCs w:val="19"/>
              </w:rPr>
              <w:t xml:space="preserve">Vertrag mit jedem Dienstleister. Keine Auftragsverarbeiter außerhalb der EU.</w:t>
            </w:r>
          </w:p>
        </w:tc>
      </w:tr>
      <w:tr>
        <w:tc>
          <w:tcPr>
            <w:tcW w:type="dxa" w:w="2600"/>
            <w:shd w:fill="F2F2F2" w:val="clear"/>
            <w:tcMar>
              <w:top w:type="dxa" w:w="70"/>
              <w:left w:type="dxa" w:w="120"/>
              <w:bottom w:type="dxa" w:w="70"/>
              <w:right w:type="dxa" w:w="120"/>
            </w:tcMar>
          </w:tcPr>
          <w:p>
            <w:pPr>
              <w:spacing w:after="0"/>
            </w:pPr>
            <w:r>
              <w:rPr>
                <w:sz w:val="19"/>
                <w:szCs w:val="19"/>
              </w:rPr>
              <w:t xml:space="preserve">Rechtsnachfolge (Art. 13, 14)</w:t>
            </w:r>
          </w:p>
        </w:tc>
        <w:tc>
          <w:tcPr>
            <w:tcW w:type="dxa" w:w="6760"/>
            <w:shd w:fill="F2F2F2" w:val="clear"/>
            <w:tcMar>
              <w:top w:type="dxa" w:w="70"/>
              <w:left w:type="dxa" w:w="120"/>
              <w:bottom w:type="dxa" w:w="70"/>
              <w:right w:type="dxa" w:w="120"/>
            </w:tcMar>
          </w:tcPr>
          <w:p>
            <w:pPr>
              <w:spacing w:after="0"/>
            </w:pPr>
            <w:r>
              <w:rPr>
                <w:sz w:val="19"/>
                <w:szCs w:val="19"/>
              </w:rPr>
              <w:t xml:space="preserve">Die Datenschutzerklärung muss einen Eigentümerwechsel </w:t>
            </w:r>
            <w:r>
              <w:rPr>
                <w:b/>
                <w:bCs/>
                <w:sz w:val="19"/>
                <w:szCs w:val="19"/>
              </w:rPr>
              <w:t xml:space="preserve">ausdrücklich</w:t>
            </w:r>
            <w:r>
              <w:rPr>
                <w:sz w:val="19"/>
                <w:szCs w:val="19"/>
              </w:rPr>
              <w:t xml:space="preserve"> vorsehen. Fehlt das, kann ein späterer Verkauf eine erneute Einwilligung erfordern — bei Art.-9-Daten ein realistischer Massenverlust, der nachträglich kaum zu heilen ist.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DF3E7" w:val="clear"/>
            <w:tcMar>
              <w:top w:type="dxa" w:w="120"/>
              <w:left w:type="dxa" w:w="160"/>
              <w:bottom w:type="dxa" w:w="120"/>
              <w:right w:type="dxa" w:w="160"/>
            </w:tcMar>
          </w:tcPr>
          <w:p>
            <w:pPr>
              <w:spacing w:after="60"/>
            </w:pPr>
            <w:r>
              <w:rPr>
                <w:b/>
                <w:bCs/>
                <w:color w:val="1F3A5F"/>
              </w:rPr>
              <w:t xml:space="preserve">Standortdaten — unsere schärfste Selbstverpflichtung</w:t>
            </w:r>
          </w:p>
          <w:p>
            <w:pPr>
              <w:spacing w:after="40"/>
            </w:pPr>
            <w:r>
              <w:t xml:space="preserve">Wir wollen erreichen, dass an kein Endgerät jemals eine Zahl mit höherer Präzision als ein Entfernungsband gelangt. Die Unschärfe entsteht auf dem Server, nicht in der App.</w:t>
            </w:r>
          </w:p>
          <w:p>
            <w:pPr>
              <w:spacing w:after="40"/>
            </w:pPr>
            <w:r>
              <w:t xml:space="preserve">Die Prüffrage, die wir an jeden Codeabschnitt stellen: </w:t>
            </w:r>
            <w:r>
              <w:rPr>
                <w:i/>
                <w:iCs/>
              </w:rPr>
              <w:t xml:space="preserve">Verlässt hier irgendwo ein Wert mit mehr Präzision als ein Entfernungsband den Server?</w:t>
            </w:r>
          </w:p>
          <w:p>
            <w:pPr>
              <w:spacing w:after="40"/>
            </w:pPr>
            <w:r>
              <w:t xml:space="preserve">Wir bitten Sie um eine Einschätzung, ob diese Architektur haftungsrechtlich etwas bewirkt — insbesondere, ob sie uns im Fall eines Vorfalls zwischen Nutzern entlastet.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DF2F8" w:val="clear"/>
            <w:tcMar>
              <w:top w:type="dxa" w:w="120"/>
              <w:left w:type="dxa" w:w="160"/>
              <w:bottom w:type="dxa" w:w="120"/>
              <w:right w:type="dxa" w:w="160"/>
            </w:tcMar>
          </w:tcPr>
          <w:p>
            <w:pPr>
              <w:spacing w:after="60"/>
            </w:pPr>
            <w:r>
              <w:rPr>
                <w:b/>
                <w:bCs/>
                <w:color w:val="1F3A5F"/>
              </w:rPr>
              <w:t xml:space="preserve">Unsere Frage an Sie</w:t>
            </w:r>
          </w:p>
          <w:p>
            <w:pPr>
              <w:spacing w:after="40"/>
            </w:pPr>
            <w:r>
              <w:t xml:space="preserve">Greift Art. 9 bereits bei der </w:t>
            </w:r>
            <w:r>
              <w:rPr>
                <w:b/>
                <w:bCs/>
              </w:rPr>
              <w:t xml:space="preserve">Warteliste</w:t>
            </w:r>
            <w:r>
              <w:t xml:space="preserve"> (Postleitzahl plus E-Mail-Adresse), oder erst bei der App-Registrierung? Der Entwurf unseres Datenschutzhinweises geht vom strengeren Fall aus.</w:t>
            </w:r>
          </w:p>
          <w:p>
            <w:pPr>
              <w:spacing w:after="40"/>
            </w:pPr>
            <w:r>
              <w:t xml:space="preserve">Gilt die DSB-Pflicht schon in der Vorbereitungsphase oder erst ab Produktivbetrieb? Das verschiebt Budget und Zeitplan erheblich.</w:t>
            </w:r>
          </w:p>
          <w:p>
            <w:pPr>
              <w:spacing w:after="40"/>
            </w:pPr>
            <w:r>
              <w:t xml:space="preserve">Ab wann brauchen wir Verarbeitungsverzeichnis und Folgenabschätzung — ab der ersten gespeicherten E-Mail-Adresse oder ab Launch?</w:t>
            </w:r>
          </w:p>
          <w:p>
            <w:pPr>
              <w:spacing w:after="40"/>
            </w:pPr>
            <w:r>
              <w:t xml:space="preserve">Welche Formulierung zur Rechtsnachfolge ist belastbar, damit ein späterer Anteilsverkauf die Einwilligungen nicht entwertet?</w:t>
            </w:r>
          </w:p>
          <w:p>
            <w:pPr>
              <w:spacing w:after="40"/>
            </w:pPr>
            <w:r>
              <w:t xml:space="preserve">Reicht die Zusage eines Verifizierungsdienstleisters zur Sofortlöschung vertraglich aus, oder brauchen wir zusätzliche Absicherungen? Wie ist die Altersschätzung aus einem Selfie datenschutzrechtlich einzuordnen — als biometrische Verarbeitung im Sinne von Art. 9?</w:t>
            </w:r>
          </w:p>
          <w:p>
            <w:pPr>
              <w:spacing w:after="40"/>
            </w:pPr>
            <w:r>
              <w:rPr>
                <w:b/>
                <w:bCs/>
              </w:rPr>
              <w:t xml:space="preserve">Zuständige Aufsichtsbehörde</w:t>
            </w:r>
            <w:r>
              <w:t xml:space="preserve"> in der Vorbereitungsphase bei Wohnsitzen in zwei Bundesländern — und nach der Gründung?</w:t>
            </w:r>
          </w:p>
        </w:tc>
      </w:tr>
    </w:tbl>
    <w:p>
      <w:r>
        <w:br w:type="page"/>
      </w:r>
    </w:p>
    <w:p>
      <w:pPr>
        <w:pStyle w:val="Heading2"/>
        <w:spacing w:after="120" w:before="280"/>
      </w:pPr>
      <w:r>
        <w:rPr>
          <w:color w:val="1F3A5F"/>
        </w:rPr>
        <w:t xml:space="preserve">B3 · Die Vorbereitungsphase — persönliche Haftung und der Datenübergang</w:t>
      </w:r>
    </w:p>
    <w:p>
      <w:pPr>
        <w:spacing w:after="120" w:before="0"/>
      </w:pPr>
      <w:r>
        <w:rPr>
          <w:b/>
          <w:bCs/>
        </w:rPr>
        <w:t xml:space="preserve">Ausgangslage.</w:t>
      </w:r>
      <w:r>
        <w:t xml:space="preserve"> Wir sammeln ab sofort Daten: anonyme Interviewnotizen, später Wartelisten-Eintragungen mit Postleitzahl und E-Mail-Adresse. Die Gesellschaft existiert dann noch nicht. Uns ist bewusst, dass die Haushaltsausnahme der DSGVO nicht greift, weil es sich um vorbereitende geschäftliche Tätigkeit handelt, und dass wir persönlich haften.</w:t>
      </w:r>
    </w:p>
    <w:p>
      <w:pPr>
        <w:spacing w:after="80"/>
      </w:pPr>
    </w:p>
    <w:p>
      <w:pPr>
        <w:spacing w:after="120" w:before="0"/>
      </w:pPr>
      <w:r>
        <w:rPr>
          <w:b/>
          <w:bCs/>
        </w:rPr>
        <w:t xml:space="preserve">Unser Verständnis der drei Stufen</w:t>
      </w:r>
      <w:r>
        <w:t xml:space="preserve"> — bitte korrigieren Sie uns, wenn wir es falsch einordnen: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F3A5F" w:val="clear"/>
            <w:tcMar>
              <w:top w:type="dxa" w:w="80"/>
              <w:left w:type="dxa" w:w="120"/>
              <w:bottom w:type="dxa" w:w="80"/>
              <w:right w:type="dxa" w:w="120"/>
            </w:tcMar>
          </w:tcPr>
          <w:p>
            <w:r>
              <w:rPr>
                <w:b/>
                <w:bCs/>
                <w:color w:val="FFFFFF"/>
                <w:sz w:val="19"/>
                <w:szCs w:val="19"/>
              </w:rPr>
              <w:t xml:space="preserve">Phase</w:t>
            </w:r>
          </w:p>
        </w:tc>
        <w:tc>
          <w:tcPr>
            <w:tcW w:type="dxa" w:w="6760"/>
            <w:shd w:fill="1F3A5F" w:val="clear"/>
            <w:tcMar>
              <w:top w:type="dxa" w:w="80"/>
              <w:left w:type="dxa" w:w="120"/>
              <w:bottom w:type="dxa" w:w="80"/>
              <w:right w:type="dxa" w:w="120"/>
            </w:tcMar>
          </w:tcPr>
          <w:p>
            <w:r>
              <w:rPr>
                <w:b/>
                <w:bCs/>
                <w:color w:val="FFFFFF"/>
                <w:sz w:val="19"/>
                <w:szCs w:val="19"/>
              </w:rPr>
              <w:t xml:space="preserve">Was wir annehmen</w:t>
            </w:r>
          </w:p>
        </w:tc>
      </w:tr>
      <w:tr>
        <w:tc>
          <w:tcPr>
            <w:tcW w:type="dxa" w:w="2600"/>
            <w:shd w:fill="FFFFFF" w:val="clear"/>
            <w:tcMar>
              <w:top w:type="dxa" w:w="70"/>
              <w:left w:type="dxa" w:w="120"/>
              <w:bottom w:type="dxa" w:w="70"/>
              <w:right w:type="dxa" w:w="120"/>
            </w:tcMar>
          </w:tcPr>
          <w:p>
            <w:pPr>
              <w:spacing w:after="0"/>
            </w:pPr>
            <w:r>
              <w:rPr>
                <w:sz w:val="19"/>
                <w:szCs w:val="19"/>
              </w:rPr>
              <w:t xml:space="preserve">Vor der Beurkundung</w:t>
            </w:r>
          </w:p>
        </w:tc>
        <w:tc>
          <w:tcPr>
            <w:tcW w:type="dxa" w:w="6760"/>
            <w:shd w:fill="FFFFFF" w:val="clear"/>
            <w:tcMar>
              <w:top w:type="dxa" w:w="70"/>
              <w:left w:type="dxa" w:w="120"/>
              <w:bottom w:type="dxa" w:w="70"/>
              <w:right w:type="dxa" w:w="120"/>
            </w:tcMar>
          </w:tcPr>
          <w:p>
            <w:pPr>
              <w:spacing w:after="0"/>
            </w:pPr>
            <w:r>
              <w:rPr>
                <w:sz w:val="19"/>
                <w:szCs w:val="19"/>
              </w:rPr>
              <w:t xml:space="preserve">Wir bilden eine </w:t>
            </w:r>
            <w:r>
              <w:rPr>
                <w:b/>
                <w:bCs/>
                <w:sz w:val="19"/>
                <w:szCs w:val="19"/>
              </w:rPr>
              <w:t xml:space="preserve">Vorgründungsgesellschaft</w:t>
            </w:r>
            <w:r>
              <w:rPr>
                <w:sz w:val="19"/>
                <w:szCs w:val="19"/>
              </w:rPr>
              <w:t xml:space="preserve">, rechtlich vermutlich eine GbR. Persönliche, unbeschränkte, gesamtschuldnerische Haftung beider. </w:t>
            </w:r>
            <w:r>
              <w:rPr>
                <w:b/>
                <w:bCs/>
                <w:sz w:val="19"/>
                <w:szCs w:val="19"/>
              </w:rPr>
              <w:t xml:space="preserve">Rechte und Pflichten gehen nicht automatisch auf die spätere GmbH über</w:t>
            </w:r>
            <w:r>
              <w:rPr>
                <w:sz w:val="19"/>
                <w:szCs w:val="19"/>
              </w:rPr>
              <w:t xml:space="preserve"> — es braucht eine Einzelübertragung.</w:t>
            </w:r>
          </w:p>
        </w:tc>
      </w:tr>
      <w:tr>
        <w:tc>
          <w:tcPr>
            <w:tcW w:type="dxa" w:w="2600"/>
            <w:shd w:fill="F2F2F2" w:val="clear"/>
            <w:tcMar>
              <w:top w:type="dxa" w:w="70"/>
              <w:left w:type="dxa" w:w="120"/>
              <w:bottom w:type="dxa" w:w="70"/>
              <w:right w:type="dxa" w:w="120"/>
            </w:tcMar>
          </w:tcPr>
          <w:p>
            <w:pPr>
              <w:spacing w:after="0"/>
            </w:pPr>
            <w:r>
              <w:rPr>
                <w:sz w:val="19"/>
                <w:szCs w:val="19"/>
              </w:rPr>
              <w:t xml:space="preserve">Nach Beurkundung, vor Eintragung</w:t>
            </w:r>
          </w:p>
        </w:tc>
        <w:tc>
          <w:tcPr>
            <w:tcW w:type="dxa" w:w="6760"/>
            <w:shd w:fill="F2F2F2" w:val="clear"/>
            <w:tcMar>
              <w:top w:type="dxa" w:w="70"/>
              <w:left w:type="dxa" w:w="120"/>
              <w:bottom w:type="dxa" w:w="70"/>
              <w:right w:type="dxa" w:w="120"/>
            </w:tcMar>
          </w:tcPr>
          <w:p>
            <w:pPr>
              <w:spacing w:after="0"/>
            </w:pPr>
            <w:r>
              <w:rPr>
                <w:b/>
                <w:bCs/>
                <w:sz w:val="19"/>
                <w:szCs w:val="19"/>
              </w:rPr>
              <w:t xml:space="preserve">Vor-GmbH.</w:t>
            </w:r>
            <w:r>
              <w:rPr>
                <w:sz w:val="19"/>
                <w:szCs w:val="19"/>
              </w:rPr>
              <w:t xml:space="preserve"> Mit der späteren GmbH identisch; Vermögen geht automatisch über. Handelndenhaftung nach § 11 Abs. 2 GmbHG.</w:t>
            </w:r>
          </w:p>
        </w:tc>
      </w:tr>
      <w:tr>
        <w:tc>
          <w:tcPr>
            <w:tcW w:type="dxa" w:w="2600"/>
            <w:shd w:fill="FFFFFF" w:val="clear"/>
            <w:tcMar>
              <w:top w:type="dxa" w:w="70"/>
              <w:left w:type="dxa" w:w="120"/>
              <w:bottom w:type="dxa" w:w="70"/>
              <w:right w:type="dxa" w:w="120"/>
            </w:tcMar>
          </w:tcPr>
          <w:p>
            <w:pPr>
              <w:spacing w:after="0"/>
            </w:pPr>
            <w:r>
              <w:rPr>
                <w:sz w:val="19"/>
                <w:szCs w:val="19"/>
              </w:rPr>
              <w:t xml:space="preserve">Nach Eintragung</w:t>
            </w:r>
          </w:p>
        </w:tc>
        <w:tc>
          <w:tcPr>
            <w:tcW w:type="dxa" w:w="6760"/>
            <w:shd w:fill="FFFFFF" w:val="clear"/>
            <w:tcMar>
              <w:top w:type="dxa" w:w="70"/>
              <w:left w:type="dxa" w:w="120"/>
              <w:bottom w:type="dxa" w:w="70"/>
              <w:right w:type="dxa" w:w="120"/>
            </w:tcMar>
          </w:tcPr>
          <w:p>
            <w:pPr>
              <w:spacing w:after="0"/>
            </w:pPr>
            <w:r>
              <w:rPr>
                <w:sz w:val="19"/>
                <w:szCs w:val="19"/>
              </w:rPr>
              <w:t xml:space="preserve">GmbH. Haftungsbeschränkung greift.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DF3E7" w:val="clear"/>
            <w:tcMar>
              <w:top w:type="dxa" w:w="120"/>
              <w:left w:type="dxa" w:w="160"/>
              <w:bottom w:type="dxa" w:w="120"/>
              <w:right w:type="dxa" w:w="160"/>
            </w:tcMar>
          </w:tcPr>
          <w:p>
            <w:pPr>
              <w:spacing w:after="60"/>
            </w:pPr>
            <w:r>
              <w:rPr>
                <w:b/>
                <w:bCs/>
                <w:color w:val="1F3A5F"/>
              </w:rPr>
              <w:t xml:space="preserve">Der Punkt, den wir für den gefährlichsten halten</w:t>
            </w:r>
          </w:p>
          <w:p>
            <w:pPr>
              <w:spacing w:after="40"/>
            </w:pPr>
            <w:r>
              <w:t xml:space="preserve">Wenn wir als Privatpersonen eine Warteliste aufbauen und diese später der GmbH übergeben, ist das ein </w:t>
            </w:r>
            <w:r>
              <w:rPr>
                <w:b/>
                <w:bCs/>
              </w:rPr>
              <w:t xml:space="preserve">Wechsel des Verantwortlichen</w:t>
            </w:r>
            <w:r>
              <w:t xml:space="preserve"> im Sinne der DSGVO — nicht bloß eine interne Umbuchung.</w:t>
            </w:r>
          </w:p>
          <w:p>
            <w:pPr>
              <w:spacing w:after="40"/>
            </w:pPr>
            <w:r>
              <w:t xml:space="preserve">Unser Datenschutzhinweis sieht das von Anfang an ausdrücklich vor: „Verantwortlich sind derzeit [Namen]; die Daten gehen nach der Gründung an die Gesellschaft über." Wir wissen nicht, ob das genügt.</w:t>
            </w:r>
          </w:p>
          <w:p>
            <w:pPr>
              <w:spacing w:after="40"/>
            </w:pPr>
            <w:r>
              <w:rPr>
                <w:b/>
                <w:bCs/>
              </w:rPr>
              <w:t xml:space="preserve">Wenn es nicht genügt, müssen wir die gesamte Liste erneut einwilligen lassen und verlieren einen erheblichen Teil.</w:t>
            </w:r>
            <w:r>
              <w:t xml:space="preserve"> Das ist nachträglich nicht heilbar und wäre bei einem Wartelistenbestand von mehr als tausend Personen ein realer Schaden.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DF2F8" w:val="clear"/>
            <w:tcMar>
              <w:top w:type="dxa" w:w="120"/>
              <w:left w:type="dxa" w:w="160"/>
              <w:bottom w:type="dxa" w:w="120"/>
              <w:right w:type="dxa" w:w="160"/>
            </w:tcMar>
          </w:tcPr>
          <w:p>
            <w:pPr>
              <w:spacing w:after="60"/>
            </w:pPr>
            <w:r>
              <w:rPr>
                <w:b/>
                <w:bCs/>
                <w:color w:val="1F3A5F"/>
              </w:rPr>
              <w:t xml:space="preserve">Unsere Frage an Sie</w:t>
            </w:r>
          </w:p>
          <w:p>
            <w:pPr>
              <w:spacing w:after="40"/>
            </w:pPr>
            <w:r>
              <w:t xml:space="preserve">Trägt die Einwilligungsformulierung den Wechsel des Verantwortlichen — oder ist bei Art.-9-Daten eine erneute Einwilligung unvermeidbar? Falls unvermeidbar: Welche Formulierung minimiert den Verlust?</w:t>
            </w:r>
          </w:p>
          <w:p>
            <w:pPr>
              <w:spacing w:after="40"/>
            </w:pPr>
            <w:r>
              <w:t xml:space="preserve">Sind wir in der Vorbereitungsphase </w:t>
            </w:r>
            <w:r>
              <w:rPr>
                <w:b/>
                <w:bCs/>
              </w:rPr>
              <w:t xml:space="preserve">gemeinsam Verantwortliche</w:t>
            </w:r>
            <w:r>
              <w:t xml:space="preserve"> im Sinne von Art. 26 DSGVO? Brauchen wir dann eine schriftliche Vereinbarung zwischen uns beiden?</w:t>
            </w:r>
          </w:p>
          <w:p>
            <w:pPr>
              <w:spacing w:after="40"/>
            </w:pPr>
            <w:r>
              <w:t xml:space="preserve">Was genau muss einzeln übertragen werden, wenn die GmbH entsteht — Verträge, Domains, Konten, Datenbestände? Gibt es dafür eine Übertragungsvereinbarung, die Sie uns entwerfen können?</w:t>
            </w:r>
          </w:p>
          <w:p>
            <w:pPr>
              <w:spacing w:after="40"/>
            </w:pPr>
            <w:r>
              <w:t xml:space="preserve">Wie sichern wir uns gegeneinander ab, falls einer von uns vor der Gründung ausscheidet? Brauchen wir jetzt schon eine schriftliche Vereinbarung über Beiträge, Rechte an Vorarbeiten und Ausstieg?</w:t>
            </w:r>
          </w:p>
          <w:p>
            <w:pPr>
              <w:spacing w:after="40"/>
            </w:pPr>
            <w:r>
              <w:t xml:space="preserve">Bis zu welchem Punkt können wir die Vorbereitung betreiben, </w:t>
            </w:r>
            <w:r>
              <w:rPr>
                <w:b/>
                <w:bCs/>
              </w:rPr>
              <w:t xml:space="preserve">ohne</w:t>
            </w:r>
            <w:r>
              <w:t xml:space="preserve"> ein Gewerbe anzumelden?</w:t>
            </w:r>
          </w:p>
        </w:tc>
      </w:tr>
    </w:tbl>
    <w:p>
      <w:r>
        <w:br w:type="page"/>
      </w:r>
    </w:p>
    <w:p>
      <w:pPr>
        <w:pStyle w:val="Heading2"/>
        <w:spacing w:after="120" w:before="280"/>
      </w:pPr>
      <w:r>
        <w:rPr>
          <w:color w:val="1F3A5F"/>
        </w:rPr>
        <w:t xml:space="preserve">B4 · Gesellschaftsrecht — die GmbH</w:t>
      </w:r>
    </w:p>
    <w:p>
      <w:pPr>
        <w:spacing w:after="120" w:before="0"/>
      </w:pPr>
      <w:r>
        <w:t xml:space="preserve">Wir haben uns für die GmbH entschieden und nicht für die UG. Ausschlaggebend war die Außenwirkung gegenüber Förderstellen und Vertragspartnern sowie der Umstand, dass die UG bis zum Erreichen von 25.000 € ein Viertel des Gewinns thesaurieren muss.</w:t>
      </w:r>
    </w:p>
    <w:p>
      <w:pPr>
        <w:pStyle w:val="Heading3"/>
        <w:spacing w:after="100" w:before="200"/>
      </w:pPr>
      <w:r>
        <w:t xml:space="preserve">B4.1 · Stammkapital — die Modelle, zwischen denen wir wählen</w:t>
      </w:r>
    </w:p>
    <w:p>
      <w:pPr>
        <w:spacing w:after="120" w:before="0"/>
      </w:pPr>
      <w:r>
        <w:t xml:space="preserve">Wir möchten diese Entscheidung informiert treffen und bitten um Ihre Einschätzung zur letzten Spalte.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500"/>
        <w:gridCol w:w="2500"/>
        <w:gridCol w:w="2460"/>
      </w:tblGrid>
      <w:tr>
        <w:trPr>
          <w:tblHeader/>
        </w:trPr>
        <w:tc>
          <w:tcPr>
            <w:tcW w:type="dxa" w:w="1900"/>
            <w:shd w:fill="1F3A5F" w:val="clear"/>
            <w:tcMar>
              <w:top w:type="dxa" w:w="80"/>
              <w:left w:type="dxa" w:w="120"/>
              <w:bottom w:type="dxa" w:w="80"/>
              <w:right w:type="dxa" w:w="120"/>
            </w:tcMar>
          </w:tcPr>
          <w:p>
            <w:r>
              <w:rPr>
                <w:b/>
                <w:bCs/>
                <w:color w:val="FFFFFF"/>
                <w:sz w:val="19"/>
                <w:szCs w:val="19"/>
              </w:rPr>
              <w:t xml:space="preserve">Modell</w:t>
            </w:r>
          </w:p>
        </w:tc>
        <w:tc>
          <w:tcPr>
            <w:tcW w:type="dxa" w:w="2500"/>
            <w:shd w:fill="1F3A5F" w:val="clear"/>
            <w:tcMar>
              <w:top w:type="dxa" w:w="80"/>
              <w:left w:type="dxa" w:w="120"/>
              <w:bottom w:type="dxa" w:w="80"/>
              <w:right w:type="dxa" w:w="120"/>
            </w:tcMar>
          </w:tcPr>
          <w:p>
            <w:r>
              <w:rPr>
                <w:b/>
                <w:bCs/>
                <w:color w:val="FFFFFF"/>
                <w:sz w:val="19"/>
                <w:szCs w:val="19"/>
              </w:rPr>
              <w:t xml:space="preserve">Vorteil</w:t>
            </w:r>
          </w:p>
        </w:tc>
        <w:tc>
          <w:tcPr>
            <w:tcW w:type="dxa" w:w="2500"/>
            <w:shd w:fill="1F3A5F" w:val="clear"/>
            <w:tcMar>
              <w:top w:type="dxa" w:w="80"/>
              <w:left w:type="dxa" w:w="120"/>
              <w:bottom w:type="dxa" w:w="80"/>
              <w:right w:type="dxa" w:w="120"/>
            </w:tcMar>
          </w:tcPr>
          <w:p>
            <w:r>
              <w:rPr>
                <w:b/>
                <w:bCs/>
                <w:color w:val="FFFFFF"/>
                <w:sz w:val="19"/>
                <w:szCs w:val="19"/>
              </w:rPr>
              <w:t xml:space="preserve">Nachteil</w:t>
            </w:r>
          </w:p>
        </w:tc>
        <w:tc>
          <w:tcPr>
            <w:tcW w:type="dxa" w:w="2460"/>
            <w:shd w:fill="1F3A5F" w:val="clear"/>
            <w:tcMar>
              <w:top w:type="dxa" w:w="80"/>
              <w:left w:type="dxa" w:w="120"/>
              <w:bottom w:type="dxa" w:w="80"/>
              <w:right w:type="dxa" w:w="120"/>
            </w:tcMar>
          </w:tcPr>
          <w:p>
            <w:r>
              <w:rPr>
                <w:b/>
                <w:bCs/>
                <w:color w:val="FFFFFF"/>
                <w:sz w:val="19"/>
                <w:szCs w:val="19"/>
              </w:rPr>
              <w:t xml:space="preserve">Für uns bedeutsam</w:t>
            </w:r>
          </w:p>
        </w:tc>
      </w:tr>
      <w:tr>
        <w:tc>
          <w:tcPr>
            <w:tcW w:type="dxa" w:w="1900"/>
            <w:shd w:fill="FFFFFF" w:val="clear"/>
            <w:tcMar>
              <w:top w:type="dxa" w:w="70"/>
              <w:left w:type="dxa" w:w="120"/>
              <w:bottom w:type="dxa" w:w="70"/>
              <w:right w:type="dxa" w:w="120"/>
            </w:tcMar>
          </w:tcPr>
          <w:p>
            <w:pPr>
              <w:spacing w:after="0"/>
            </w:pPr>
            <w:r>
              <w:rPr>
                <w:b/>
                <w:bCs/>
                <w:sz w:val="19"/>
                <w:szCs w:val="19"/>
              </w:rPr>
              <w:t xml:space="preserve">A</w:t>
            </w:r>
            <w:r>
              <w:rPr>
                <w:sz w:val="19"/>
                <w:szCs w:val="19"/>
              </w:rPr>
              <w:t xml:space="preserve"> — 25.000 €, davon 12.500 € eingezahlt</w:t>
            </w:r>
          </w:p>
        </w:tc>
        <w:tc>
          <w:tcPr>
            <w:tcW w:type="dxa" w:w="2500"/>
            <w:shd w:fill="FFFFFF" w:val="clear"/>
            <w:tcMar>
              <w:top w:type="dxa" w:w="70"/>
              <w:left w:type="dxa" w:w="120"/>
              <w:bottom w:type="dxa" w:w="70"/>
              <w:right w:type="dxa" w:w="120"/>
            </w:tcMar>
          </w:tcPr>
          <w:p>
            <w:pPr>
              <w:spacing w:after="0"/>
            </w:pPr>
            <w:r>
              <w:rPr>
                <w:sz w:val="19"/>
                <w:szCs w:val="19"/>
              </w:rPr>
              <w:t xml:space="preserve">Gesetzliches Minimum bei Bargründung. Hälfte des Kapitals bleibt privat verfügbar.</w:t>
            </w:r>
          </w:p>
        </w:tc>
        <w:tc>
          <w:tcPr>
            <w:tcW w:type="dxa" w:w="2500"/>
            <w:shd w:fill="FFFFFF" w:val="clear"/>
            <w:tcMar>
              <w:top w:type="dxa" w:w="70"/>
              <w:left w:type="dxa" w:w="120"/>
              <w:bottom w:type="dxa" w:w="70"/>
              <w:right w:type="dxa" w:w="120"/>
            </w:tcMar>
          </w:tcPr>
          <w:p>
            <w:pPr>
              <w:spacing w:after="0"/>
            </w:pPr>
            <w:r>
              <w:rPr>
                <w:sz w:val="19"/>
                <w:szCs w:val="19"/>
              </w:rPr>
              <w:t xml:space="preserve">Bis zur vollständigen Einzahlung bleibt eine </w:t>
            </w:r>
            <w:r>
              <w:rPr>
                <w:b/>
                <w:bCs/>
                <w:sz w:val="19"/>
                <w:szCs w:val="19"/>
              </w:rPr>
              <w:t xml:space="preserve">persönliche, gesamtschuldnerische Haftung beider Gesellschafter über die offenen 12.500 €</w:t>
            </w:r>
            <w:r>
              <w:rPr>
                <w:sz w:val="19"/>
                <w:szCs w:val="19"/>
              </w:rPr>
              <w:t xml:space="preserve">. In der Insolvenz wird sie mit Privatvermögen bedient.</w:t>
            </w:r>
          </w:p>
        </w:tc>
        <w:tc>
          <w:tcPr>
            <w:tcW w:type="dxa" w:w="2460"/>
            <w:shd w:fill="FFFFFF" w:val="clear"/>
            <w:tcMar>
              <w:top w:type="dxa" w:w="70"/>
              <w:left w:type="dxa" w:w="120"/>
              <w:bottom w:type="dxa" w:w="70"/>
              <w:right w:type="dxa" w:w="120"/>
            </w:tcMar>
          </w:tcPr>
          <w:p>
            <w:pPr>
              <w:spacing w:after="0"/>
            </w:pPr>
            <w:r>
              <w:rPr>
                <w:sz w:val="19"/>
                <w:szCs w:val="19"/>
              </w:rPr>
              <w:t xml:space="preserve">Wir sind Berufsanfänger ohne Rücklagen. Eine offene Einlageforderung, die in der Krise fällig wird, ist genau dann fällig, wenn wir sie am wenigsten bedienen können.</w:t>
            </w:r>
          </w:p>
        </w:tc>
      </w:tr>
      <w:tr>
        <w:tc>
          <w:tcPr>
            <w:tcW w:type="dxa" w:w="1900"/>
            <w:shd w:fill="F2F2F2" w:val="clear"/>
            <w:tcMar>
              <w:top w:type="dxa" w:w="70"/>
              <w:left w:type="dxa" w:w="120"/>
              <w:bottom w:type="dxa" w:w="70"/>
              <w:right w:type="dxa" w:w="120"/>
            </w:tcMar>
          </w:tcPr>
          <w:p>
            <w:pPr>
              <w:spacing w:after="0"/>
            </w:pPr>
            <w:r>
              <w:rPr>
                <w:b/>
                <w:bCs/>
                <w:sz w:val="19"/>
                <w:szCs w:val="19"/>
              </w:rPr>
              <w:t xml:space="preserve">B</w:t>
            </w:r>
            <w:r>
              <w:rPr>
                <w:sz w:val="19"/>
                <w:szCs w:val="19"/>
              </w:rPr>
              <w:t xml:space="preserve"> — 25.000 € voll eingezahlt</w:t>
            </w:r>
          </w:p>
        </w:tc>
        <w:tc>
          <w:tcPr>
            <w:tcW w:type="dxa" w:w="2500"/>
            <w:shd w:fill="F2F2F2" w:val="clear"/>
            <w:tcMar>
              <w:top w:type="dxa" w:w="70"/>
              <w:left w:type="dxa" w:w="120"/>
              <w:bottom w:type="dxa" w:w="70"/>
              <w:right w:type="dxa" w:w="120"/>
            </w:tcMar>
          </w:tcPr>
          <w:p>
            <w:pPr>
              <w:spacing w:after="0"/>
            </w:pPr>
            <w:r>
              <w:rPr>
                <w:sz w:val="19"/>
                <w:szCs w:val="19"/>
              </w:rPr>
              <w:t xml:space="preserve">Keine offene Einlageforderung, keine Differenzhaftung. Sauberste Ausgangslage, beste Wirkung bei Förderprüfern und Banken.</w:t>
            </w:r>
          </w:p>
        </w:tc>
        <w:tc>
          <w:tcPr>
            <w:tcW w:type="dxa" w:w="2500"/>
            <w:shd w:fill="F2F2F2" w:val="clear"/>
            <w:tcMar>
              <w:top w:type="dxa" w:w="70"/>
              <w:left w:type="dxa" w:w="120"/>
              <w:bottom w:type="dxa" w:w="70"/>
              <w:right w:type="dxa" w:w="120"/>
            </w:tcMar>
          </w:tcPr>
          <w:p>
            <w:pPr>
              <w:spacing w:after="0"/>
            </w:pPr>
            <w:r>
              <w:rPr>
                <w:sz w:val="19"/>
                <w:szCs w:val="19"/>
              </w:rPr>
              <w:t xml:space="preserve">Das Geld ist gebunden. Es ist Vermögen der GmbH, kein Kostenposten — aber privat nicht mehr greifbar.</w:t>
            </w:r>
          </w:p>
        </w:tc>
        <w:tc>
          <w:tcPr>
            <w:tcW w:type="dxa" w:w="2460"/>
            <w:shd w:fill="F2F2F2" w:val="clear"/>
            <w:tcMar>
              <w:top w:type="dxa" w:w="70"/>
              <w:left w:type="dxa" w:w="120"/>
              <w:bottom w:type="dxa" w:w="70"/>
              <w:right w:type="dxa" w:w="120"/>
            </w:tcMar>
          </w:tcPr>
          <w:p>
            <w:pPr>
              <w:spacing w:after="0"/>
            </w:pPr>
            <w:r>
              <w:rPr>
                <w:sz w:val="19"/>
                <w:szCs w:val="19"/>
              </w:rPr>
              <w:t xml:space="preserve">Setzt voraus, dass 25.000 € tatsächlich verfügbar sind. Sie sind es aktuell nicht.</w:t>
            </w:r>
          </w:p>
        </w:tc>
      </w:tr>
      <w:tr>
        <w:tc>
          <w:tcPr>
            <w:tcW w:type="dxa" w:w="1900"/>
            <w:shd w:fill="FFFFFF" w:val="clear"/>
            <w:tcMar>
              <w:top w:type="dxa" w:w="70"/>
              <w:left w:type="dxa" w:w="120"/>
              <w:bottom w:type="dxa" w:w="70"/>
              <w:right w:type="dxa" w:w="120"/>
            </w:tcMar>
          </w:tcPr>
          <w:p>
            <w:pPr>
              <w:spacing w:after="0"/>
            </w:pPr>
            <w:r>
              <w:rPr>
                <w:b/>
                <w:bCs/>
                <w:sz w:val="19"/>
                <w:szCs w:val="19"/>
              </w:rPr>
              <w:t xml:space="preserve">C</w:t>
            </w:r>
            <w:r>
              <w:rPr>
                <w:sz w:val="19"/>
                <w:szCs w:val="19"/>
              </w:rPr>
              <w:t xml:space="preserve"> — Sachgründung</w:t>
            </w:r>
          </w:p>
        </w:tc>
        <w:tc>
          <w:tcPr>
            <w:tcW w:type="dxa" w:w="2500"/>
            <w:shd w:fill="FFFFFF" w:val="clear"/>
            <w:tcMar>
              <w:top w:type="dxa" w:w="70"/>
              <w:left w:type="dxa" w:w="120"/>
              <w:bottom w:type="dxa" w:w="70"/>
              <w:right w:type="dxa" w:w="120"/>
            </w:tcMar>
          </w:tcPr>
          <w:p>
            <w:pPr>
              <w:spacing w:after="0"/>
            </w:pPr>
            <w:r>
              <w:rPr>
                <w:sz w:val="19"/>
                <w:szCs w:val="19"/>
              </w:rPr>
              <w:t xml:space="preserve">Vorarbeiten (Software, Marke, Konzept) könnten als Sacheinlage eingebracht werden.</w:t>
            </w:r>
          </w:p>
        </w:tc>
        <w:tc>
          <w:tcPr>
            <w:tcW w:type="dxa" w:w="2500"/>
            <w:shd w:fill="FFFFFF" w:val="clear"/>
            <w:tcMar>
              <w:top w:type="dxa" w:w="70"/>
              <w:left w:type="dxa" w:w="120"/>
              <w:bottom w:type="dxa" w:w="70"/>
              <w:right w:type="dxa" w:w="120"/>
            </w:tcMar>
          </w:tcPr>
          <w:p>
            <w:pPr>
              <w:spacing w:after="0"/>
            </w:pPr>
            <w:r>
              <w:rPr>
                <w:sz w:val="19"/>
                <w:szCs w:val="19"/>
              </w:rPr>
              <w:t xml:space="preserve">Sachgründungsbericht, Werthaltigkeitsprüfung durch das Registergericht, höhere Notarkosten. </w:t>
            </w:r>
            <w:r>
              <w:rPr>
                <w:b/>
                <w:bCs/>
                <w:sz w:val="19"/>
                <w:szCs w:val="19"/>
              </w:rPr>
              <w:t xml:space="preserve">Differenzhaftung bei Überbewertung.</w:t>
            </w:r>
            <w:r>
              <w:rPr>
                <w:sz w:val="19"/>
                <w:szCs w:val="19"/>
              </w:rPr>
              <w:t xml:space="preserve"> Mit dem Musterprotokoll nicht möglich.</w:t>
            </w:r>
          </w:p>
        </w:tc>
        <w:tc>
          <w:tcPr>
            <w:tcW w:type="dxa" w:w="2460"/>
            <w:shd w:fill="FFFFFF" w:val="clear"/>
            <w:tcMar>
              <w:top w:type="dxa" w:w="70"/>
              <w:left w:type="dxa" w:w="120"/>
              <w:bottom w:type="dxa" w:w="70"/>
              <w:right w:type="dxa" w:w="120"/>
            </w:tcMar>
          </w:tcPr>
          <w:p>
            <w:pPr>
              <w:spacing w:after="0"/>
            </w:pPr>
            <w:r>
              <w:rPr>
                <w:sz w:val="19"/>
                <w:szCs w:val="19"/>
              </w:rPr>
              <w:t xml:space="preserve">Reizvoll, weil wir zwei Jahre Vorarbeit einbringen. Aber die Bewertung von selbst geschaffener Software halten wir für angreifbar. Bitte um Ihre Einschätzung.</w:t>
            </w:r>
          </w:p>
        </w:tc>
      </w:tr>
      <w:tr>
        <w:tc>
          <w:tcPr>
            <w:tcW w:type="dxa" w:w="1900"/>
            <w:shd w:fill="F2F2F2" w:val="clear"/>
            <w:tcMar>
              <w:top w:type="dxa" w:w="70"/>
              <w:left w:type="dxa" w:w="120"/>
              <w:bottom w:type="dxa" w:w="70"/>
              <w:right w:type="dxa" w:w="120"/>
            </w:tcMar>
          </w:tcPr>
          <w:p>
            <w:pPr>
              <w:spacing w:after="0"/>
            </w:pPr>
            <w:r>
              <w:rPr>
                <w:b/>
                <w:bCs/>
                <w:sz w:val="19"/>
                <w:szCs w:val="19"/>
              </w:rPr>
              <w:t xml:space="preserve">D</w:t>
            </w:r>
            <w:r>
              <w:rPr>
                <w:sz w:val="19"/>
                <w:szCs w:val="19"/>
              </w:rPr>
              <w:t xml:space="preserve"> — UG mit späterer Umwandlung</w:t>
            </w:r>
          </w:p>
        </w:tc>
        <w:tc>
          <w:tcPr>
            <w:tcW w:type="dxa" w:w="2500"/>
            <w:shd w:fill="F2F2F2" w:val="clear"/>
            <w:tcMar>
              <w:top w:type="dxa" w:w="70"/>
              <w:left w:type="dxa" w:w="120"/>
              <w:bottom w:type="dxa" w:w="70"/>
              <w:right w:type="dxa" w:w="120"/>
            </w:tcMar>
          </w:tcPr>
          <w:p>
            <w:pPr>
              <w:spacing w:after="0"/>
            </w:pPr>
            <w:r>
              <w:rPr>
                <w:sz w:val="19"/>
                <w:szCs w:val="19"/>
              </w:rPr>
              <w:t xml:space="preserve">Start ab 1 € möglich. Umwandlung in eine GmbH später möglich.</w:t>
            </w:r>
          </w:p>
        </w:tc>
        <w:tc>
          <w:tcPr>
            <w:tcW w:type="dxa" w:w="2500"/>
            <w:shd w:fill="F2F2F2" w:val="clear"/>
            <w:tcMar>
              <w:top w:type="dxa" w:w="70"/>
              <w:left w:type="dxa" w:w="120"/>
              <w:bottom w:type="dxa" w:w="70"/>
              <w:right w:type="dxa" w:w="120"/>
            </w:tcMar>
          </w:tcPr>
          <w:p>
            <w:pPr>
              <w:spacing w:after="0"/>
            </w:pPr>
            <w:r>
              <w:rPr>
                <w:sz w:val="19"/>
                <w:szCs w:val="19"/>
              </w:rPr>
              <w:t xml:space="preserve">Thesaurierungspflicht, schwächere Außenwirkung, zweiter Notargang bei der Umwandlung.</w:t>
            </w:r>
          </w:p>
        </w:tc>
        <w:tc>
          <w:tcPr>
            <w:tcW w:type="dxa" w:w="2460"/>
            <w:shd w:fill="F2F2F2" w:val="clear"/>
            <w:tcMar>
              <w:top w:type="dxa" w:w="70"/>
              <w:left w:type="dxa" w:w="120"/>
              <w:bottom w:type="dxa" w:w="70"/>
              <w:right w:type="dxa" w:w="120"/>
            </w:tcMar>
          </w:tcPr>
          <w:p>
            <w:pPr>
              <w:spacing w:after="0"/>
            </w:pPr>
            <w:r>
              <w:rPr>
                <w:sz w:val="19"/>
                <w:szCs w:val="19"/>
              </w:rPr>
              <w:t xml:space="preserve">Von uns verworfen — aber wir hören uns ein Gegenargument an, falls Sie eines sehen.</w:t>
            </w:r>
          </w:p>
        </w:tc>
      </w:tr>
    </w:tbl>
    <w:p>
      <w:pPr>
        <w:spacing w:after="80"/>
      </w:pPr>
    </w:p>
    <w:p>
      <w:pPr>
        <w:spacing w:after="120" w:before="0"/>
      </w:pPr>
      <w:r>
        <w:rPr>
          <w:b/>
          <w:bCs/>
        </w:rPr>
        <w:t xml:space="preserve">Weiterer Punkt, den wir geregelt haben wollen:</w:t>
      </w:r>
      <w:r>
        <w:t xml:space="preserve"> Der </w:t>
      </w:r>
      <w:r>
        <w:rPr>
          <w:b/>
          <w:bCs/>
        </w:rPr>
        <w:t xml:space="preserve">Gründungsaufwand</w:t>
      </w:r>
      <w:r>
        <w:t xml:space="preserve"> soll im Gesellschaftsvertrag ausdrücklich genannt und der Höhe nach begrenzt werden, damit die Gesellschaft ihn tragen darf, ohne dass es eine verdeckte Einlagenrückgewähr wird. Uns ist ein üblicher Rahmen von etwa zehn Prozent des Stammkapitals bekannt. Bitte bestätigen Sie die Höhe und die Formulierung.</w:t>
      </w:r>
    </w:p>
    <w:p>
      <w:pPr>
        <w:pStyle w:val="Heading3"/>
        <w:spacing w:after="100" w:before="200"/>
      </w:pPr>
      <w:r>
        <w:t xml:space="preserve">B4.2 · Der Gesellschaftsvertrag — was wir geregelt haben wollen</w:t>
      </w:r>
    </w:p>
    <w:p>
      <w:pPr>
        <w:spacing w:after="120" w:before="0"/>
      </w:pPr>
      <w:r>
        <w:t xml:space="preserve">Uns ist bewusst, dass das </w:t>
      </w:r>
      <w:r>
        <w:rPr>
          <w:b/>
          <w:bCs/>
        </w:rPr>
        <w:t xml:space="preserve">Musterprotokoll</w:t>
      </w:r>
      <w:r>
        <w:t xml:space="preserve"> hier ausscheidet: Es erlaubt keine Sacheinlagen, keine abweichenden Stimmrechte, kein Vesting und keine Deadlock-Regelung. Wir brauchen einen individuellen Gesellschaftsvertrag und rechnen mit entsprechenden Notarkosten.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1F3A5F" w:val="clear"/>
            <w:tcMar>
              <w:top w:type="dxa" w:w="80"/>
              <w:left w:type="dxa" w:w="120"/>
              <w:bottom w:type="dxa" w:w="80"/>
              <w:right w:type="dxa" w:w="120"/>
            </w:tcMar>
          </w:tcPr>
          <w:p>
            <w:r>
              <w:rPr>
                <w:b/>
                <w:bCs/>
                <w:color w:val="FFFFFF"/>
                <w:sz w:val="19"/>
                <w:szCs w:val="19"/>
              </w:rPr>
              <w:t xml:space="preserve">Regelungsgegenstand</w:t>
            </w:r>
          </w:p>
        </w:tc>
        <w:tc>
          <w:tcPr>
            <w:tcW w:type="dxa" w:w="6960"/>
            <w:shd w:fill="1F3A5F" w:val="clear"/>
            <w:tcMar>
              <w:top w:type="dxa" w:w="80"/>
              <w:left w:type="dxa" w:w="120"/>
              <w:bottom w:type="dxa" w:w="80"/>
              <w:right w:type="dxa" w:w="120"/>
            </w:tcMar>
          </w:tcPr>
          <w:p>
            <w:r>
              <w:rPr>
                <w:b/>
                <w:bCs/>
                <w:color w:val="FFFFFF"/>
                <w:sz w:val="19"/>
                <w:szCs w:val="19"/>
              </w:rPr>
              <w:t xml:space="preserve">Was wir wollen und was wir nicht wissen</w:t>
            </w:r>
          </w:p>
        </w:tc>
      </w:tr>
      <w:tr>
        <w:tc>
          <w:tcPr>
            <w:tcW w:type="dxa" w:w="2400"/>
            <w:shd w:fill="FFFFFF" w:val="clear"/>
            <w:tcMar>
              <w:top w:type="dxa" w:w="70"/>
              <w:left w:type="dxa" w:w="120"/>
              <w:bottom w:type="dxa" w:w="70"/>
              <w:right w:type="dxa" w:w="120"/>
            </w:tcMar>
          </w:tcPr>
          <w:p>
            <w:pPr>
              <w:spacing w:after="0"/>
            </w:pPr>
            <w:r>
              <w:rPr>
                <w:b/>
                <w:bCs/>
                <w:sz w:val="19"/>
                <w:szCs w:val="19"/>
              </w:rPr>
              <w:t xml:space="preserve">Deadlock bei 50/50</w:t>
            </w:r>
          </w:p>
        </w:tc>
        <w:tc>
          <w:tcPr>
            <w:tcW w:type="dxa" w:w="6960"/>
            <w:shd w:fill="FFFFFF" w:val="clear"/>
            <w:tcMar>
              <w:top w:type="dxa" w:w="70"/>
              <w:left w:type="dxa" w:w="120"/>
              <w:bottom w:type="dxa" w:w="70"/>
              <w:right w:type="dxa" w:w="120"/>
            </w:tcMar>
          </w:tcPr>
          <w:p>
            <w:pPr>
              <w:spacing w:after="0"/>
            </w:pPr>
            <w:r>
              <w:rPr>
                <w:sz w:val="19"/>
                <w:szCs w:val="19"/>
              </w:rPr>
              <w:t xml:space="preserve">Wir wollen eine Regelung, bevor der erste Streit entsteht. Bekannt sind uns Stichentscheid, Beirat mit ausschlaggebender Stimme, Mediationsklausel und Shoot-out-Verfahren. Wir wissen nicht, welche davon für ein Zweierteam ohne Kapital praktisch funktioniert.</w:t>
            </w:r>
          </w:p>
        </w:tc>
      </w:tr>
      <w:tr>
        <w:tc>
          <w:tcPr>
            <w:tcW w:type="dxa" w:w="2400"/>
            <w:shd w:fill="F2F2F2" w:val="clear"/>
            <w:tcMar>
              <w:top w:type="dxa" w:w="70"/>
              <w:left w:type="dxa" w:w="120"/>
              <w:bottom w:type="dxa" w:w="70"/>
              <w:right w:type="dxa" w:w="120"/>
            </w:tcMar>
          </w:tcPr>
          <w:p>
            <w:pPr>
              <w:spacing w:after="0"/>
            </w:pPr>
            <w:r>
              <w:rPr>
                <w:b/>
                <w:bCs/>
                <w:sz w:val="19"/>
                <w:szCs w:val="19"/>
              </w:rPr>
              <w:t xml:space="preserve">Vesting</w:t>
            </w:r>
          </w:p>
        </w:tc>
        <w:tc>
          <w:tcPr>
            <w:tcW w:type="dxa" w:w="6960"/>
            <w:shd w:fill="F2F2F2" w:val="clear"/>
            <w:tcMar>
              <w:top w:type="dxa" w:w="70"/>
              <w:left w:type="dxa" w:w="120"/>
              <w:bottom w:type="dxa" w:w="70"/>
              <w:right w:type="dxa" w:w="120"/>
            </w:tcMar>
          </w:tcPr>
          <w:p>
            <w:pPr>
              <w:spacing w:after="0"/>
            </w:pPr>
            <w:r>
              <w:rPr>
                <w:sz w:val="19"/>
                <w:szCs w:val="19"/>
              </w:rPr>
              <w:t xml:space="preserve">Vier Jahre, zwölf Monate Cliff. Uns ist bekannt, dass Abtretungsverpflichtungen über GmbH-Anteile nach § 15 Abs. 4 GmbHG notariell zu beurkunden sind. Wir brauchen eine Unterscheidung zwischen Good Leaver und Bad Leaver mit unterschiedlicher Abfindung.</w:t>
            </w:r>
          </w:p>
        </w:tc>
      </w:tr>
      <w:tr>
        <w:tc>
          <w:tcPr>
            <w:tcW w:type="dxa" w:w="2400"/>
            <w:shd w:fill="FFFFFF" w:val="clear"/>
            <w:tcMar>
              <w:top w:type="dxa" w:w="70"/>
              <w:left w:type="dxa" w:w="120"/>
              <w:bottom w:type="dxa" w:w="70"/>
              <w:right w:type="dxa" w:w="120"/>
            </w:tcMar>
          </w:tcPr>
          <w:p>
            <w:pPr>
              <w:spacing w:after="0"/>
            </w:pPr>
            <w:r>
              <w:rPr>
                <w:b/>
                <w:bCs/>
                <w:sz w:val="19"/>
                <w:szCs w:val="19"/>
              </w:rPr>
              <w:t xml:space="preserve">Reduzierte Mitarbeit</w:t>
            </w:r>
          </w:p>
        </w:tc>
        <w:tc>
          <w:tcPr>
            <w:tcW w:type="dxa" w:w="6960"/>
            <w:shd w:fill="FFFFFF" w:val="clear"/>
            <w:tcMar>
              <w:top w:type="dxa" w:w="70"/>
              <w:left w:type="dxa" w:w="120"/>
              <w:bottom w:type="dxa" w:w="70"/>
              <w:right w:type="dxa" w:w="120"/>
            </w:tcMar>
          </w:tcPr>
          <w:p>
            <w:pPr>
              <w:spacing w:after="0"/>
            </w:pPr>
            <w:r>
              <w:rPr>
                <w:sz w:val="19"/>
                <w:szCs w:val="19"/>
              </w:rPr>
              <w:t xml:space="preserve">Realistischer Fall: Einer von uns nimmt ein Studium auf oder fällt längere Zeit aus. Wir wollen, dass sich das auf den Anteilserwerb auswirkt und nicht auf das Verhältnis zueinander.</w:t>
            </w:r>
          </w:p>
        </w:tc>
      </w:tr>
      <w:tr>
        <w:tc>
          <w:tcPr>
            <w:tcW w:type="dxa" w:w="2400"/>
            <w:shd w:fill="F2F2F2" w:val="clear"/>
            <w:tcMar>
              <w:top w:type="dxa" w:w="70"/>
              <w:left w:type="dxa" w:w="120"/>
              <w:bottom w:type="dxa" w:w="70"/>
              <w:right w:type="dxa" w:w="120"/>
            </w:tcMar>
          </w:tcPr>
          <w:p>
            <w:pPr>
              <w:spacing w:after="0"/>
            </w:pPr>
            <w:r>
              <w:rPr>
                <w:b/>
                <w:bCs/>
                <w:sz w:val="19"/>
                <w:szCs w:val="19"/>
              </w:rPr>
              <w:t xml:space="preserve">Wettbewerbsverbot</w:t>
            </w:r>
          </w:p>
        </w:tc>
        <w:tc>
          <w:tcPr>
            <w:tcW w:type="dxa" w:w="6960"/>
            <w:shd w:fill="F2F2F2" w:val="clear"/>
            <w:tcMar>
              <w:top w:type="dxa" w:w="70"/>
              <w:left w:type="dxa" w:w="120"/>
              <w:bottom w:type="dxa" w:w="70"/>
              <w:right w:type="dxa" w:w="120"/>
            </w:tcMar>
          </w:tcPr>
          <w:p>
            <w:pPr>
              <w:spacing w:after="0"/>
            </w:pPr>
            <w:r>
              <w:rPr>
                <w:sz w:val="19"/>
                <w:szCs w:val="19"/>
              </w:rPr>
              <w:t xml:space="preserve">Während der Beteiligung und danach. Uns ist bekannt, dass nachvertragliche Verbote sachlich, räumlich und zeitlich begrenzt sein müssen und sonst unwirksam sind. Welche Grenze halten Sie hier für tragfähig?</w:t>
            </w:r>
          </w:p>
        </w:tc>
      </w:tr>
      <w:tr>
        <w:tc>
          <w:tcPr>
            <w:tcW w:type="dxa" w:w="2400"/>
            <w:shd w:fill="FFFFFF" w:val="clear"/>
            <w:tcMar>
              <w:top w:type="dxa" w:w="70"/>
              <w:left w:type="dxa" w:w="120"/>
              <w:bottom w:type="dxa" w:w="70"/>
              <w:right w:type="dxa" w:w="120"/>
            </w:tcMar>
          </w:tcPr>
          <w:p>
            <w:pPr>
              <w:spacing w:after="0"/>
            </w:pPr>
            <w:r>
              <w:rPr>
                <w:b/>
                <w:bCs/>
                <w:sz w:val="19"/>
                <w:szCs w:val="19"/>
              </w:rPr>
              <w:t xml:space="preserve">Mitverkaufsrecht und -pflicht</w:t>
            </w:r>
          </w:p>
        </w:tc>
        <w:tc>
          <w:tcPr>
            <w:tcW w:type="dxa" w:w="6960"/>
            <w:shd w:fill="FFFFFF" w:val="clear"/>
            <w:tcMar>
              <w:top w:type="dxa" w:w="70"/>
              <w:left w:type="dxa" w:w="120"/>
              <w:bottom w:type="dxa" w:w="70"/>
              <w:right w:type="dxa" w:w="120"/>
            </w:tcMar>
          </w:tcPr>
          <w:p>
            <w:pPr>
              <w:spacing w:after="0"/>
            </w:pPr>
            <w:r>
              <w:rPr>
                <w:sz w:val="19"/>
                <w:szCs w:val="19"/>
              </w:rPr>
              <w:t xml:space="preserve">Tag along, drag along. Für einen späteren Verkauf oder Investoreneinstieg.</w:t>
            </w:r>
          </w:p>
        </w:tc>
      </w:tr>
      <w:tr>
        <w:tc>
          <w:tcPr>
            <w:tcW w:type="dxa" w:w="2400"/>
            <w:shd w:fill="F2F2F2" w:val="clear"/>
            <w:tcMar>
              <w:top w:type="dxa" w:w="70"/>
              <w:left w:type="dxa" w:w="120"/>
              <w:bottom w:type="dxa" w:w="70"/>
              <w:right w:type="dxa" w:w="120"/>
            </w:tcMar>
          </w:tcPr>
          <w:p>
            <w:pPr>
              <w:spacing w:after="0"/>
            </w:pPr>
            <w:r>
              <w:rPr>
                <w:b/>
                <w:bCs/>
                <w:sz w:val="19"/>
                <w:szCs w:val="19"/>
              </w:rPr>
              <w:t xml:space="preserve">Geschäftsführung</w:t>
            </w:r>
          </w:p>
        </w:tc>
        <w:tc>
          <w:tcPr>
            <w:tcW w:type="dxa" w:w="6960"/>
            <w:shd w:fill="F2F2F2" w:val="clear"/>
            <w:tcMar>
              <w:top w:type="dxa" w:w="70"/>
              <w:left w:type="dxa" w:w="120"/>
              <w:bottom w:type="dxa" w:w="70"/>
              <w:right w:type="dxa" w:w="120"/>
            </w:tcMar>
          </w:tcPr>
          <w:p>
            <w:pPr>
              <w:spacing w:after="0"/>
            </w:pPr>
            <w:r>
              <w:rPr>
                <w:sz w:val="19"/>
                <w:szCs w:val="19"/>
              </w:rPr>
              <w:t xml:space="preserve">Beide als Geschäftsführer, oder einer? Einzel- oder Gesamtvertretungsbefugnis? Befreiung von § 181 BGB?</w:t>
            </w:r>
          </w:p>
        </w:tc>
      </w:tr>
      <w:tr>
        <w:tc>
          <w:tcPr>
            <w:tcW w:type="dxa" w:w="2400"/>
            <w:shd w:fill="FFFFFF" w:val="clear"/>
            <w:tcMar>
              <w:top w:type="dxa" w:w="70"/>
              <w:left w:type="dxa" w:w="120"/>
              <w:bottom w:type="dxa" w:w="70"/>
              <w:right w:type="dxa" w:w="120"/>
            </w:tcMar>
          </w:tcPr>
          <w:p>
            <w:pPr>
              <w:spacing w:after="0"/>
            </w:pPr>
            <w:r>
              <w:rPr>
                <w:b/>
                <w:bCs/>
                <w:sz w:val="19"/>
                <w:szCs w:val="19"/>
              </w:rPr>
              <w:t xml:space="preserve">Zustimmungspflichtige Geschäfte</w:t>
            </w:r>
          </w:p>
        </w:tc>
        <w:tc>
          <w:tcPr>
            <w:tcW w:type="dxa" w:w="6960"/>
            <w:shd w:fill="FFFFFF" w:val="clear"/>
            <w:tcMar>
              <w:top w:type="dxa" w:w="70"/>
              <w:left w:type="dxa" w:w="120"/>
              <w:bottom w:type="dxa" w:w="70"/>
              <w:right w:type="dxa" w:w="120"/>
            </w:tcMar>
          </w:tcPr>
          <w:p>
            <w:pPr>
              <w:spacing w:after="0"/>
            </w:pPr>
            <w:r>
              <w:rPr>
                <w:sz w:val="19"/>
                <w:szCs w:val="19"/>
              </w:rPr>
              <w:t xml:space="preserve">Ab welcher Größenordnung braucht eine Entscheidung beide? Wir wollen einen Katalog.</w:t>
            </w:r>
          </w:p>
        </w:tc>
      </w:tr>
      <w:tr>
        <w:tc>
          <w:tcPr>
            <w:tcW w:type="dxa" w:w="2400"/>
            <w:shd w:fill="F2F2F2" w:val="clear"/>
            <w:tcMar>
              <w:top w:type="dxa" w:w="70"/>
              <w:left w:type="dxa" w:w="120"/>
              <w:bottom w:type="dxa" w:w="70"/>
              <w:right w:type="dxa" w:w="120"/>
            </w:tcMar>
          </w:tcPr>
          <w:p>
            <w:pPr>
              <w:spacing w:after="0"/>
            </w:pPr>
            <w:r>
              <w:rPr>
                <w:b/>
                <w:bCs/>
                <w:sz w:val="19"/>
                <w:szCs w:val="19"/>
              </w:rPr>
              <w:t xml:space="preserve">Vorkaufsrecht und Einziehung</w:t>
            </w:r>
          </w:p>
        </w:tc>
        <w:tc>
          <w:tcPr>
            <w:tcW w:type="dxa" w:w="6960"/>
            <w:shd w:fill="F2F2F2" w:val="clear"/>
            <w:tcMar>
              <w:top w:type="dxa" w:w="70"/>
              <w:left w:type="dxa" w:w="120"/>
              <w:bottom w:type="dxa" w:w="70"/>
              <w:right w:type="dxa" w:w="120"/>
            </w:tcMar>
          </w:tcPr>
          <w:p>
            <w:pPr>
              <w:spacing w:after="0"/>
            </w:pPr>
            <w:r>
              <w:rPr>
                <w:sz w:val="19"/>
                <w:szCs w:val="19"/>
              </w:rPr>
              <w:t xml:space="preserve">Für den Fall von Insolvenz, Tod oder Pfändung eines Gesellschafters.</w:t>
            </w:r>
          </w:p>
        </w:tc>
      </w:tr>
    </w:tbl>
    <w:p>
      <w:pPr>
        <w:spacing w:after="80"/>
      </w:pPr>
    </w:p>
    <w:p>
      <w:pPr>
        <w:pStyle w:val="Heading3"/>
        <w:spacing w:after="100" w:before="200"/>
      </w:pPr>
      <w:r>
        <w:t xml:space="preserve">B4.3 · Sitz der Gesellschaft — Niedersachsen oder Hessen</w:t>
      </w:r>
    </w:p>
    <w:p>
      <w:pPr>
        <w:spacing w:after="120" w:before="0"/>
      </w:pPr>
      <w:r>
        <w:t xml:space="preserve">Wir wohnen in zwei Bundesländern. Der Sitz ist frei wählbar und hat Folgen, die wir nur teilweise überblicken.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shd w:fill="1F3A5F" w:val="clear"/>
            <w:tcMar>
              <w:top w:type="dxa" w:w="80"/>
              <w:left w:type="dxa" w:w="120"/>
              <w:bottom w:type="dxa" w:w="80"/>
              <w:right w:type="dxa" w:w="120"/>
            </w:tcMar>
          </w:tcPr>
          <w:p>
            <w:r>
              <w:rPr>
                <w:b/>
                <w:bCs/>
                <w:color w:val="FFFFFF"/>
                <w:sz w:val="19"/>
                <w:szCs w:val="19"/>
              </w:rPr>
              <w:t xml:space="preserve">Folge</w:t>
            </w:r>
          </w:p>
        </w:tc>
        <w:tc>
          <w:tcPr>
            <w:tcW w:type="dxa" w:w="3480"/>
            <w:shd w:fill="1F3A5F" w:val="clear"/>
            <w:tcMar>
              <w:top w:type="dxa" w:w="80"/>
              <w:left w:type="dxa" w:w="120"/>
              <w:bottom w:type="dxa" w:w="80"/>
              <w:right w:type="dxa" w:w="120"/>
            </w:tcMar>
          </w:tcPr>
          <w:p>
            <w:r>
              <w:rPr>
                <w:b/>
                <w:bCs/>
                <w:color w:val="FFFFFF"/>
                <w:sz w:val="19"/>
                <w:szCs w:val="19"/>
              </w:rPr>
              <w:t xml:space="preserve">Sitz Niedersachsen</w:t>
            </w:r>
          </w:p>
        </w:tc>
        <w:tc>
          <w:tcPr>
            <w:tcW w:type="dxa" w:w="3480"/>
            <w:shd w:fill="1F3A5F" w:val="clear"/>
            <w:tcMar>
              <w:top w:type="dxa" w:w="80"/>
              <w:left w:type="dxa" w:w="120"/>
              <w:bottom w:type="dxa" w:w="80"/>
              <w:right w:type="dxa" w:w="120"/>
            </w:tcMar>
          </w:tcPr>
          <w:p>
            <w:r>
              <w:rPr>
                <w:b/>
                <w:bCs/>
                <w:color w:val="FFFFFF"/>
                <w:sz w:val="19"/>
                <w:szCs w:val="19"/>
              </w:rPr>
              <w:t xml:space="preserve">Sitz Hessen</w:t>
            </w:r>
          </w:p>
        </w:tc>
      </w:tr>
      <w:tr>
        <w:tc>
          <w:tcPr>
            <w:tcW w:type="dxa" w:w="2400"/>
            <w:shd w:fill="FFFFFF" w:val="clear"/>
            <w:tcMar>
              <w:top w:type="dxa" w:w="70"/>
              <w:left w:type="dxa" w:w="120"/>
              <w:bottom w:type="dxa" w:w="70"/>
              <w:right w:type="dxa" w:w="120"/>
            </w:tcMar>
          </w:tcPr>
          <w:p>
            <w:pPr>
              <w:spacing w:after="0"/>
            </w:pPr>
            <w:r>
              <w:rPr>
                <w:sz w:val="19"/>
                <w:szCs w:val="19"/>
              </w:rPr>
              <w:t xml:space="preserve">Registergericht</w:t>
            </w:r>
          </w:p>
        </w:tc>
        <w:tc>
          <w:tcPr>
            <w:tcW w:type="dxa" w:w="3480"/>
            <w:shd w:fill="FFFFFF" w:val="clear"/>
            <w:tcMar>
              <w:top w:type="dxa" w:w="70"/>
              <w:left w:type="dxa" w:w="120"/>
              <w:bottom w:type="dxa" w:w="70"/>
              <w:right w:type="dxa" w:w="120"/>
            </w:tcMar>
          </w:tcPr>
          <w:p>
            <w:pPr>
              <w:spacing w:after="0"/>
            </w:pPr>
            <w:r>
              <w:rPr>
                <w:sz w:val="19"/>
                <w:szCs w:val="19"/>
              </w:rPr>
              <w:t xml:space="preserve">Amtsgericht am Sitz</w:t>
            </w:r>
          </w:p>
        </w:tc>
        <w:tc>
          <w:tcPr>
            <w:tcW w:type="dxa" w:w="3480"/>
            <w:shd w:fill="FFFFFF" w:val="clear"/>
            <w:tcMar>
              <w:top w:type="dxa" w:w="70"/>
              <w:left w:type="dxa" w:w="120"/>
              <w:bottom w:type="dxa" w:w="70"/>
              <w:right w:type="dxa" w:w="120"/>
            </w:tcMar>
          </w:tcPr>
          <w:p>
            <w:pPr>
              <w:spacing w:after="0"/>
            </w:pPr>
            <w:r>
              <w:rPr>
                <w:sz w:val="19"/>
                <w:szCs w:val="19"/>
              </w:rPr>
              <w:t xml:space="preserve">Amtsgericht am Sitz</w:t>
            </w:r>
          </w:p>
        </w:tc>
      </w:tr>
      <w:tr>
        <w:tc>
          <w:tcPr>
            <w:tcW w:type="dxa" w:w="2400"/>
            <w:shd w:fill="F2F2F2" w:val="clear"/>
            <w:tcMar>
              <w:top w:type="dxa" w:w="70"/>
              <w:left w:type="dxa" w:w="120"/>
              <w:bottom w:type="dxa" w:w="70"/>
              <w:right w:type="dxa" w:w="120"/>
            </w:tcMar>
          </w:tcPr>
          <w:p>
            <w:pPr>
              <w:spacing w:after="0"/>
            </w:pPr>
            <w:r>
              <w:rPr>
                <w:sz w:val="19"/>
                <w:szCs w:val="19"/>
              </w:rPr>
              <w:t xml:space="preserve">Datenschutzaufsicht</w:t>
            </w:r>
          </w:p>
        </w:tc>
        <w:tc>
          <w:tcPr>
            <w:tcW w:type="dxa" w:w="3480"/>
            <w:shd w:fill="F2F2F2" w:val="clear"/>
            <w:tcMar>
              <w:top w:type="dxa" w:w="70"/>
              <w:left w:type="dxa" w:w="120"/>
              <w:bottom w:type="dxa" w:w="70"/>
              <w:right w:type="dxa" w:w="120"/>
            </w:tcMar>
          </w:tcPr>
          <w:p>
            <w:pPr>
              <w:spacing w:after="0"/>
            </w:pPr>
            <w:r>
              <w:rPr>
                <w:sz w:val="19"/>
                <w:szCs w:val="19"/>
              </w:rPr>
              <w:t xml:space="preserve">Landesbeauftragte für den Datenschutz Niedersachsen</w:t>
            </w:r>
          </w:p>
        </w:tc>
        <w:tc>
          <w:tcPr>
            <w:tcW w:type="dxa" w:w="3480"/>
            <w:shd w:fill="F2F2F2" w:val="clear"/>
            <w:tcMar>
              <w:top w:type="dxa" w:w="70"/>
              <w:left w:type="dxa" w:w="120"/>
              <w:bottom w:type="dxa" w:w="70"/>
              <w:right w:type="dxa" w:w="120"/>
            </w:tcMar>
          </w:tcPr>
          <w:p>
            <w:pPr>
              <w:spacing w:after="0"/>
            </w:pPr>
            <w:r>
              <w:rPr>
                <w:sz w:val="19"/>
                <w:szCs w:val="19"/>
              </w:rPr>
              <w:t xml:space="preserve">Hessischer Beauftragter für Datenschutz und Informationsfreiheit</w:t>
            </w:r>
          </w:p>
        </w:tc>
      </w:tr>
      <w:tr>
        <w:tc>
          <w:tcPr>
            <w:tcW w:type="dxa" w:w="2400"/>
            <w:shd w:fill="FFFFFF" w:val="clear"/>
            <w:tcMar>
              <w:top w:type="dxa" w:w="70"/>
              <w:left w:type="dxa" w:w="120"/>
              <w:bottom w:type="dxa" w:w="70"/>
              <w:right w:type="dxa" w:w="120"/>
            </w:tcMar>
          </w:tcPr>
          <w:p>
            <w:pPr>
              <w:spacing w:after="0"/>
            </w:pPr>
            <w:r>
              <w:rPr>
                <w:sz w:val="19"/>
                <w:szCs w:val="19"/>
              </w:rPr>
              <w:t xml:space="preserve">Landesförderung</w:t>
            </w:r>
          </w:p>
        </w:tc>
        <w:tc>
          <w:tcPr>
            <w:tcW w:type="dxa" w:w="3480"/>
            <w:shd w:fill="FFFFFF" w:val="clear"/>
            <w:tcMar>
              <w:top w:type="dxa" w:w="70"/>
              <w:left w:type="dxa" w:w="120"/>
              <w:bottom w:type="dxa" w:w="70"/>
              <w:right w:type="dxa" w:w="120"/>
            </w:tcMar>
          </w:tcPr>
          <w:p>
            <w:pPr>
              <w:spacing w:after="0"/>
            </w:pPr>
            <w:r>
              <w:rPr>
                <w:sz w:val="19"/>
                <w:szCs w:val="19"/>
              </w:rPr>
              <w:t xml:space="preserve">NBank, Gründungsstipendium Niedersachsen — bereits in unserer Planung</w:t>
            </w:r>
          </w:p>
        </w:tc>
        <w:tc>
          <w:tcPr>
            <w:tcW w:type="dxa" w:w="3480"/>
            <w:shd w:fill="FFFFFF" w:val="clear"/>
            <w:tcMar>
              <w:top w:type="dxa" w:w="70"/>
              <w:left w:type="dxa" w:w="120"/>
              <w:bottom w:type="dxa" w:w="70"/>
              <w:right w:type="dxa" w:w="120"/>
            </w:tcMar>
          </w:tcPr>
          <w:p>
            <w:pPr>
              <w:spacing w:after="0"/>
            </w:pPr>
            <w:r>
              <w:rPr>
                <w:sz w:val="19"/>
                <w:szCs w:val="19"/>
              </w:rPr>
              <w:t xml:space="preserve">Hessische Programme, uns bislang nicht recherchiert</w:t>
            </w:r>
          </w:p>
        </w:tc>
      </w:tr>
      <w:tr>
        <w:tc>
          <w:tcPr>
            <w:tcW w:type="dxa" w:w="2400"/>
            <w:shd w:fill="F2F2F2" w:val="clear"/>
            <w:tcMar>
              <w:top w:type="dxa" w:w="70"/>
              <w:left w:type="dxa" w:w="120"/>
              <w:bottom w:type="dxa" w:w="70"/>
              <w:right w:type="dxa" w:w="120"/>
            </w:tcMar>
          </w:tcPr>
          <w:p>
            <w:pPr>
              <w:spacing w:after="0"/>
            </w:pPr>
            <w:r>
              <w:rPr>
                <w:sz w:val="19"/>
                <w:szCs w:val="19"/>
              </w:rPr>
              <w:t xml:space="preserve">Gewerbesteuer</w:t>
            </w:r>
          </w:p>
        </w:tc>
        <w:tc>
          <w:tcPr>
            <w:tcW w:type="dxa" w:w="3480"/>
            <w:shd w:fill="F2F2F2" w:val="clear"/>
            <w:tcMar>
              <w:top w:type="dxa" w:w="70"/>
              <w:left w:type="dxa" w:w="120"/>
              <w:bottom w:type="dxa" w:w="70"/>
              <w:right w:type="dxa" w:w="120"/>
            </w:tcMar>
          </w:tcPr>
          <w:p>
            <w:pPr>
              <w:spacing w:after="0"/>
            </w:pPr>
            <w:r>
              <w:rPr>
                <w:sz w:val="19"/>
                <w:szCs w:val="19"/>
              </w:rPr>
              <w:t xml:space="preserve">Hebesatz der Sitzgemeinde — variiert erheblich</w:t>
            </w:r>
          </w:p>
        </w:tc>
        <w:tc>
          <w:tcPr>
            <w:tcW w:type="dxa" w:w="3480"/>
            <w:shd w:fill="F2F2F2" w:val="clear"/>
            <w:tcMar>
              <w:top w:type="dxa" w:w="70"/>
              <w:left w:type="dxa" w:w="120"/>
              <w:bottom w:type="dxa" w:w="70"/>
              <w:right w:type="dxa" w:w="120"/>
            </w:tcMar>
          </w:tcPr>
          <w:p>
            <w:pPr>
              <w:spacing w:after="0"/>
            </w:pPr>
            <w:r>
              <w:rPr>
                <w:sz w:val="19"/>
                <w:szCs w:val="19"/>
              </w:rPr>
              <w:t xml:space="preserve">dito</w:t>
            </w:r>
          </w:p>
        </w:tc>
      </w:tr>
      <w:tr>
        <w:tc>
          <w:tcPr>
            <w:tcW w:type="dxa" w:w="2400"/>
            <w:shd w:fill="FFFFFF" w:val="clear"/>
            <w:tcMar>
              <w:top w:type="dxa" w:w="70"/>
              <w:left w:type="dxa" w:w="120"/>
              <w:bottom w:type="dxa" w:w="70"/>
              <w:right w:type="dxa" w:w="120"/>
            </w:tcMar>
          </w:tcPr>
          <w:p>
            <w:pPr>
              <w:spacing w:after="0"/>
            </w:pPr>
            <w:r>
              <w:rPr>
                <w:sz w:val="19"/>
                <w:szCs w:val="19"/>
              </w:rPr>
              <w:t xml:space="preserve">IHK</w:t>
            </w:r>
          </w:p>
        </w:tc>
        <w:tc>
          <w:tcPr>
            <w:tcW w:type="dxa" w:w="3480"/>
            <w:shd w:fill="FFFFFF" w:val="clear"/>
            <w:tcMar>
              <w:top w:type="dxa" w:w="70"/>
              <w:left w:type="dxa" w:w="120"/>
              <w:bottom w:type="dxa" w:w="70"/>
              <w:right w:type="dxa" w:w="120"/>
            </w:tcMar>
          </w:tcPr>
          <w:p>
            <w:pPr>
              <w:spacing w:after="0"/>
            </w:pPr>
            <w:r>
              <w:rPr>
                <w:sz w:val="19"/>
                <w:szCs w:val="19"/>
              </w:rPr>
              <w:t xml:space="preserve">Kammer am Sitz</w:t>
            </w:r>
          </w:p>
        </w:tc>
        <w:tc>
          <w:tcPr>
            <w:tcW w:type="dxa" w:w="3480"/>
            <w:shd w:fill="FFFFFF" w:val="clear"/>
            <w:tcMar>
              <w:top w:type="dxa" w:w="70"/>
              <w:left w:type="dxa" w:w="120"/>
              <w:bottom w:type="dxa" w:w="70"/>
              <w:right w:type="dxa" w:w="120"/>
            </w:tcMar>
          </w:tcPr>
          <w:p>
            <w:pPr>
              <w:spacing w:after="0"/>
            </w:pPr>
            <w:r>
              <w:rPr>
                <w:sz w:val="19"/>
                <w:szCs w:val="19"/>
              </w:rPr>
              <w:t xml:space="preserve">dito</w:t>
            </w:r>
          </w:p>
        </w:tc>
      </w:tr>
      <w:tr>
        <w:tc>
          <w:tcPr>
            <w:tcW w:type="dxa" w:w="2400"/>
            <w:shd w:fill="F2F2F2" w:val="clear"/>
            <w:tcMar>
              <w:top w:type="dxa" w:w="70"/>
              <w:left w:type="dxa" w:w="120"/>
              <w:bottom w:type="dxa" w:w="70"/>
              <w:right w:type="dxa" w:w="120"/>
            </w:tcMar>
          </w:tcPr>
          <w:p>
            <w:pPr>
              <w:spacing w:after="0"/>
            </w:pPr>
            <w:r>
              <w:rPr>
                <w:sz w:val="19"/>
                <w:szCs w:val="19"/>
              </w:rPr>
              <w:t xml:space="preserve">Praktisch</w:t>
            </w:r>
          </w:p>
        </w:tc>
        <w:tc>
          <w:tcPr>
            <w:tcW w:type="dxa" w:w="3480"/>
            <w:shd w:fill="F2F2F2" w:val="clear"/>
            <w:tcMar>
              <w:top w:type="dxa" w:w="70"/>
              <w:left w:type="dxa" w:w="120"/>
              <w:bottom w:type="dxa" w:w="70"/>
              <w:right w:type="dxa" w:w="120"/>
            </w:tcMar>
          </w:tcPr>
          <w:p>
            <w:pPr>
              <w:spacing w:after="0"/>
            </w:pPr>
            <w:r>
              <w:rPr>
                <w:sz w:val="19"/>
                <w:szCs w:val="19"/>
              </w:rPr>
              <w:t xml:space="preserve">Näher an Henry Luca Kurz</w:t>
            </w:r>
          </w:p>
        </w:tc>
        <w:tc>
          <w:tcPr>
            <w:tcW w:type="dxa" w:w="3480"/>
            <w:shd w:fill="F2F2F2" w:val="clear"/>
            <w:tcMar>
              <w:top w:type="dxa" w:w="70"/>
              <w:left w:type="dxa" w:w="120"/>
              <w:bottom w:type="dxa" w:w="70"/>
              <w:right w:type="dxa" w:w="120"/>
            </w:tcMar>
          </w:tcPr>
          <w:p>
            <w:pPr>
              <w:spacing w:after="0"/>
            </w:pPr>
            <w:r>
              <w:rPr>
                <w:sz w:val="19"/>
                <w:szCs w:val="19"/>
              </w:rPr>
              <w:t xml:space="preserve">Näher an Nicolas Greulich</w:t>
            </w:r>
          </w:p>
        </w:tc>
      </w:tr>
    </w:tbl>
    <w:p>
      <w:pPr>
        <w:spacing w:after="80"/>
      </w:pPr>
    </w:p>
    <w:p>
      <w:pPr>
        <w:spacing w:after="120" w:before="0"/>
      </w:pPr>
      <w:r>
        <w:rPr>
          <w:b/>
          <w:bCs/>
        </w:rPr>
        <w:t xml:space="preserve">Unsere Tendenz ist Niedersachsen</w:t>
      </w:r>
      <w:r>
        <w:t xml:space="preserve">, weil die Förderplanung darauf aufbaut. Wir hätten aber gern gehört, ob dagegen etwas spricht, das wir nicht sehen.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AF3EA" w:val="clear"/>
            <w:tcMar>
              <w:top w:type="dxa" w:w="120"/>
              <w:left w:type="dxa" w:w="160"/>
              <w:bottom w:type="dxa" w:w="120"/>
              <w:right w:type="dxa" w:w="160"/>
            </w:tcMar>
          </w:tcPr>
          <w:p>
            <w:pPr>
              <w:spacing w:after="60"/>
            </w:pPr>
            <w:r>
              <w:rPr>
                <w:b/>
                <w:bCs/>
                <w:color w:val="1F3A5F"/>
              </w:rPr>
              <w:t xml:space="preserve">Ausblick: Was einfacher würde, wenn wir im selben Bundesland wohnten</w:t>
            </w:r>
          </w:p>
          <w:p>
            <w:pPr>
              <w:spacing w:after="40"/>
            </w:pPr>
            <w:r>
              <w:rPr>
                <w:b/>
                <w:bCs/>
              </w:rPr>
              <w:t xml:space="preserve">Eine</w:t>
            </w:r>
            <w:r>
              <w:t xml:space="preserve"> Datenschutzaufsicht statt zwei in der Vorbereitungsphase — die doppelte Zuständigkeit aus A2 entfiele.</w:t>
            </w:r>
          </w:p>
          <w:p>
            <w:pPr>
              <w:spacing w:after="40"/>
            </w:pPr>
            <w:r>
              <w:rPr>
                <w:b/>
                <w:bCs/>
              </w:rPr>
              <w:t xml:space="preserve">Ein</w:t>
            </w:r>
            <w:r>
              <w:t xml:space="preserve"> Landesförderprogramm, auf das beide Anträge zulaufen, statt einer Zuordnungsfrage bei jedem Antrag.</w:t>
            </w:r>
          </w:p>
          <w:p>
            <w:pPr>
              <w:spacing w:after="40"/>
            </w:pPr>
            <w:r>
              <w:t xml:space="preserve">Eine </w:t>
            </w:r>
            <w:r>
              <w:rPr>
                <w:b/>
                <w:bCs/>
              </w:rPr>
              <w:t xml:space="preserve">gemeinsame Wohnadresse</w:t>
            </w:r>
            <w:r>
              <w:t xml:space="preserve"> könnte zugleich Geschäftsanschrift sein — das würde die Impressumsfrage aus B5 in einem Schritt lösen und laufende Kosten sparen. Ob eine private Wohnadresse als Geschäftsanschrift einer GmbH tauglich ist, ist Frage C2-4.</w:t>
            </w:r>
          </w:p>
          <w:p>
            <w:pPr>
              <w:spacing w:after="40"/>
            </w:pPr>
            <w:r>
              <w:t xml:space="preserve">Ein Notar, ein Registergericht, eine IHK, ein Steuerberater in erreichbarer Nähe.</w:t>
            </w:r>
          </w:p>
          <w:p>
            <w:pPr>
              <w:spacing w:after="40"/>
            </w:pPr>
            <w:r>
              <w:rPr>
                <w:b/>
                <w:bCs/>
              </w:rPr>
              <w:t xml:space="preserve">Kein</w:t>
            </w:r>
            <w:r>
              <w:t xml:space="preserve"> Vorteil entsteht beim Stammkapital, bei der Rechtsform oder bei den JMStV-Fragen — die sind wohnortunabhängig.</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DF2F8" w:val="clear"/>
            <w:tcMar>
              <w:top w:type="dxa" w:w="120"/>
              <w:left w:type="dxa" w:w="160"/>
              <w:bottom w:type="dxa" w:w="120"/>
              <w:right w:type="dxa" w:w="160"/>
            </w:tcMar>
          </w:tcPr>
          <w:p>
            <w:pPr>
              <w:spacing w:after="60"/>
            </w:pPr>
            <w:r>
              <w:rPr>
                <w:b/>
                <w:bCs/>
                <w:color w:val="1F3A5F"/>
              </w:rPr>
              <w:t xml:space="preserve">Unsere Frage an Sie</w:t>
            </w:r>
          </w:p>
          <w:p>
            <w:pPr>
              <w:spacing w:after="40"/>
            </w:pPr>
            <w:r>
              <w:t xml:space="preserve">Welches Stammkapitalmodell empfehlen Sie zwei Gründern ohne Rücklagen, und wie gewichten Sie die Differenzhaftung praktisch?</w:t>
            </w:r>
          </w:p>
          <w:p>
            <w:pPr>
              <w:spacing w:after="40"/>
            </w:pPr>
            <w:r>
              <w:rPr>
                <w:b/>
                <w:bCs/>
              </w:rPr>
              <w:t xml:space="preserve">Wann sollten wir gründen?</w:t>
            </w:r>
            <w:r>
              <w:t xml:space="preserve"> Zwei Jahre GmbH vor dem Launch bedeuten laufende Kosten und Pflichten ohne Erlöse. Was spricht dafür, was dagegen?</w:t>
            </w:r>
          </w:p>
          <w:p>
            <w:pPr>
              <w:spacing w:after="40"/>
            </w:pPr>
            <w:r>
              <w:t xml:space="preserve">Ist eine </w:t>
            </w:r>
            <w:r>
              <w:rPr>
                <w:b/>
                <w:bCs/>
              </w:rPr>
              <w:t xml:space="preserve">Holding-Struktur</w:t>
            </w:r>
            <w:r>
              <w:t xml:space="preserve"> für uns sinnvoll, und muss sie vor der Wertentstehung stehen? Uns ist eine Gegenrechnung von 2.000 bis 3.500 € jährlich bekannt.</w:t>
            </w:r>
          </w:p>
          <w:p>
            <w:pPr>
              <w:spacing w:after="40"/>
            </w:pPr>
            <w:r>
              <w:t xml:space="preserve">Welche Deadlock-Regelung funktioniert bei 50/50 in der Praxis?</w:t>
            </w:r>
          </w:p>
          <w:p>
            <w:pPr>
              <w:spacing w:after="40"/>
            </w:pPr>
            <w:r>
              <w:t xml:space="preserve">Was kostet ein individueller Gesellschaftsvertrag mit Vesting bei Ihnen, und was kostet die Beurkundung?</w:t>
            </w:r>
          </w:p>
        </w:tc>
      </w:tr>
    </w:tbl>
    <w:p>
      <w:r>
        <w:br w:type="page"/>
      </w:r>
    </w:p>
    <w:p>
      <w:pPr>
        <w:pStyle w:val="Heading2"/>
        <w:spacing w:after="120" w:before="280"/>
      </w:pPr>
      <w:r>
        <w:rPr>
          <w:color w:val="1F3A5F"/>
        </w:rPr>
        <w:t xml:space="preserve">B5 · Impressum und ladungsfähige Anschrift (§ 5 DDG)</w:t>
      </w:r>
    </w:p>
    <w:p>
      <w:pPr>
        <w:spacing w:after="120" w:before="0"/>
      </w:pPr>
      <w:r>
        <w:rPr>
          <w:b/>
          <w:bCs/>
        </w:rPr>
        <w:t xml:space="preserve">Ausgangslage.</w:t>
      </w:r>
      <w:r>
        <w:t xml:space="preserve"> Wir wollen vor der Gründung eine Wartelistenseite betreiben. § 5 DDG gilt für geschäftsmäßige Telemedien; eine Wartelistenseite für eine geplante kommerzielle App halten wir für geschäftsmäßig. Damit werden </w:t>
      </w:r>
      <w:r>
        <w:rPr>
          <w:b/>
          <w:bCs/>
        </w:rPr>
        <w:t xml:space="preserve">Namen und ladungsfähige Anschrift</w:t>
      </w:r>
      <w:r>
        <w:t xml:space="preserve"> öffentlich sichtbar, verknüpft mit einer App für schwule Männer.</w:t>
      </w:r>
    </w:p>
    <w:p>
      <w:pPr>
        <w:spacing w:after="120" w:before="0"/>
      </w:pPr>
      <w:r>
        <w:rPr>
          <w:b/>
          <w:bCs/>
        </w:rPr>
        <w:t xml:space="preserve">Dass unsere Namen öffentlich werden, haben wir entschieden und akzeptiert.</w:t>
      </w:r>
      <w:r>
        <w:t xml:space="preserve"> Offen ist allein die Anschrift.</w:t>
      </w:r>
    </w:p>
    <w:p>
      <w:pPr>
        <w:spacing w:after="80"/>
      </w:pPr>
    </w:p>
    <w:p>
      <w:pPr>
        <w:spacing w:after="120" w:before="0"/>
      </w:pPr>
      <w:r>
        <w:rPr>
          <w:b/>
          <w:bCs/>
        </w:rPr>
        <w:t xml:space="preserve">Was wir recherchiert haben:</w:t>
      </w:r>
      <w:r>
        <w:t xml:space="preserve"> Ein Postfach genügt nicht. Eine reine Postweiterleitung genügt ebenfalls nicht — der Bundesgerichtshof hat am 07.07.2023 (V ZR 210/22) entschieden, dass eine ausdrücklich erteilte </w:t>
      </w:r>
      <w:r>
        <w:rPr>
          <w:b/>
          <w:bCs/>
        </w:rPr>
        <w:t xml:space="preserve">Zustellungsvollmacht nach § 171 ZPO</w:t>
      </w:r>
      <w:r>
        <w:t xml:space="preserve"> trägt, das bloße Nachsenden von Briefen aber nicht. Virtuelle Büros gelten überwiegend als nicht ladungsfähig, Coworking-Adressen dagegen als tauglich, weil man dort tatsächlich angetroffen werden kann.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DF3E7" w:val="clear"/>
            <w:tcMar>
              <w:top w:type="dxa" w:w="120"/>
              <w:left w:type="dxa" w:w="160"/>
              <w:bottom w:type="dxa" w:w="120"/>
              <w:right w:type="dxa" w:w="160"/>
            </w:tcMar>
          </w:tcPr>
          <w:p>
            <w:pPr>
              <w:spacing w:after="60"/>
            </w:pPr>
            <w:r>
              <w:rPr>
                <w:b/>
                <w:bCs/>
                <w:color w:val="1F3A5F"/>
              </w:rPr>
              <w:t xml:space="preserve">Der Punkt, an dem wir hängen</w:t>
            </w:r>
          </w:p>
          <w:p>
            <w:pPr>
              <w:spacing w:after="40"/>
            </w:pPr>
            <w:r>
              <w:t xml:space="preserve">Das Vollmachtsmodell ist </w:t>
            </w:r>
            <w:r>
              <w:rPr>
                <w:b/>
                <w:bCs/>
              </w:rPr>
              <w:t xml:space="preserve">für Unternehmen und eingetragene Kaufleute</w:t>
            </w:r>
            <w:r>
              <w:t xml:space="preserve"> etabliert. </w:t>
            </w:r>
            <w:r>
              <w:rPr>
                <w:b/>
                <w:bCs/>
              </w:rPr>
              <w:t xml:space="preserve">Für natürliche Personen hat der BGH ausdrücklich offengelassen</w:t>
            </w:r>
            <w:r>
              <w:t xml:space="preserve">, ob dieselben Grundsätze gelten.</w:t>
            </w:r>
          </w:p>
          <w:p>
            <w:pPr>
              <w:spacing w:after="40"/>
            </w:pPr>
            <w:r>
              <w:t xml:space="preserve">Genau das sind wir in der Vorbereitungsphase: zwei natürliche Personen ohne Gesellschaft. Anbieter dieser Dienste weisen selbst darauf hin, dass die höchstrichterliche Klärung aussteht.</w:t>
            </w:r>
          </w:p>
          <w:p>
            <w:pPr>
              <w:spacing w:after="40"/>
            </w:pPr>
            <w:r>
              <w:t xml:space="preserve">Hinzu kommt: Die günstigen Anbieter (3 bis 10 € im Monat) schließen die Nutzung für Gewerbeanmeldung, Handelsregister und Finanzamt </w:t>
            </w:r>
            <w:r>
              <w:rPr>
                <w:b/>
                <w:bCs/>
              </w:rPr>
              <w:t xml:space="preserve">ausdrücklich aus</w:t>
            </w:r>
            <w:r>
              <w:t xml:space="preserve">. Sie lösen also nur das Impressum, nicht die Gründung.</w:t>
            </w:r>
          </w:p>
        </w:tc>
      </w:tr>
    </w:tbl>
    <w:p>
      <w:pPr>
        <w:spacing w:after="80"/>
      </w:pPr>
    </w:p>
    <w:p>
      <w:pPr>
        <w:spacing w:after="120" w:before="0"/>
      </w:pPr>
      <w:r>
        <w:rPr>
          <w:b/>
          <w:bCs/>
        </w:rPr>
        <w:t xml:space="preserve">Unsere möglichen Wege.</w:t>
      </w:r>
      <w:r>
        <w:t xml:space="preserve"> Erstens: ein Impressumsdienst mit echter Empfangsvollmacht und physischem Standort, rund 80 € im Jahr. Zweitens: die Wohnanschrift eines von uns. Drittens: eine gemeinsame Anschrift, falls wir zusammenziehen. Viertens: erst gründen und die Geschäftsanschrift nutzen — was aber die Gründung nach vorn zieht.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DF2F8" w:val="clear"/>
            <w:tcMar>
              <w:top w:type="dxa" w:w="120"/>
              <w:left w:type="dxa" w:w="160"/>
              <w:bottom w:type="dxa" w:w="120"/>
              <w:right w:type="dxa" w:w="160"/>
            </w:tcMar>
          </w:tcPr>
          <w:p>
            <w:pPr>
              <w:spacing w:after="60"/>
            </w:pPr>
            <w:r>
              <w:rPr>
                <w:b/>
                <w:bCs/>
                <w:color w:val="1F3A5F"/>
              </w:rPr>
              <w:t xml:space="preserve">Unsere Frage an Sie</w:t>
            </w:r>
          </w:p>
          <w:p>
            <w:pPr>
              <w:spacing w:after="40"/>
            </w:pPr>
            <w:r>
              <w:t xml:space="preserve">Trägt das Vollmachtsmodell für </w:t>
            </w:r>
            <w:r>
              <w:rPr>
                <w:b/>
                <w:bCs/>
              </w:rPr>
              <w:t xml:space="preserve">zwei natürliche Personen vor der Gründung</w:t>
            </w:r>
            <w:r>
              <w:t xml:space="preserve">? Wie schätzen Sie das Abmahnrisiko in diesem konkreten Umfeld ein?</w:t>
            </w:r>
          </w:p>
          <w:p>
            <w:pPr>
              <w:spacing w:after="40"/>
            </w:pPr>
            <w:r>
              <w:t xml:space="preserve">Falls wir eine private Wohnanschrift nutzen: Genügt die Anschrift </w:t>
            </w:r>
            <w:r>
              <w:rPr>
                <w:b/>
                <w:bCs/>
              </w:rPr>
              <w:t xml:space="preserve">eines</w:t>
            </w:r>
            <w:r>
              <w:t xml:space="preserve"> Gründers, oder müssen beide Anschriften erscheinen?</w:t>
            </w:r>
          </w:p>
          <w:p>
            <w:pPr>
              <w:spacing w:after="40"/>
            </w:pPr>
            <w:r>
              <w:t xml:space="preserve">Muss die Anschrift zusätzlich im Datenschutzhinweis stehen, oder genügt der Verweis auf das Impressum?</w:t>
            </w:r>
          </w:p>
          <w:p>
            <w:pPr>
              <w:spacing w:after="40"/>
            </w:pPr>
            <w:r>
              <w:t xml:space="preserve">Gibt es eine Gestaltung, mit der die Seite live gehen kann, </w:t>
            </w:r>
            <w:r>
              <w:rPr>
                <w:b/>
                <w:bCs/>
              </w:rPr>
              <w:t xml:space="preserve">ohne</w:t>
            </w:r>
            <w:r>
              <w:t xml:space="preserve"> dass wir vorher gründen und ohne dass wir ein Restrisiko tragen, das Sie für unvertretbar halten?</w:t>
            </w:r>
          </w:p>
        </w:tc>
      </w:tr>
    </w:tbl>
    <w:p>
      <w:r>
        <w:br w:type="page"/>
      </w:r>
    </w:p>
    <w:p>
      <w:pPr>
        <w:pStyle w:val="Heading2"/>
        <w:spacing w:after="120" w:before="280"/>
      </w:pPr>
      <w:r>
        <w:rPr>
          <w:color w:val="1F3A5F"/>
        </w:rPr>
        <w:t xml:space="preserve">B6 · Digital Services Act</w:t>
      </w:r>
    </w:p>
    <w:p>
      <w:pPr>
        <w:spacing w:after="120" w:before="0"/>
      </w:pPr>
      <w:r>
        <w:rPr>
          <w:b/>
          <w:bCs/>
        </w:rPr>
        <w:t xml:space="preserve">Ausgangslage.</w:t>
      </w:r>
      <w:r>
        <w:t xml:space="preserve"> Wir betreiben künftig einen Hostingdienst und eine Online-Plattform im Sinne des DSA. In Deutschland ist das Digitale-Dienste-Gesetz die Umsetzungsgrundlage; Koordinator für digitale Dienste ist die Bundesnetzagentur.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120"/>
              <w:left w:type="dxa" w:w="160"/>
              <w:bottom w:type="dxa" w:w="120"/>
              <w:right w:type="dxa" w:w="160"/>
            </w:tcMar>
          </w:tcPr>
          <w:p>
            <w:pPr>
              <w:spacing w:after="60"/>
            </w:pPr>
            <w:r>
              <w:rPr>
                <w:b/>
                <w:bCs/>
                <w:color w:val="1F3A5F"/>
              </w:rPr>
              <w:t xml:space="preserve">Unsere Einschätzung — bitte bestätigen oder korrigieren</w:t>
            </w:r>
          </w:p>
          <w:p>
            <w:pPr>
              <w:spacing w:after="40"/>
            </w:pPr>
            <w:r>
              <w:t xml:space="preserve">Nach Art. 19 DSA gelten die zusätzlichen Pflichten für Online-Plattformen (Abschnitt 3) </w:t>
            </w:r>
            <w:r>
              <w:rPr>
                <w:b/>
                <w:bCs/>
              </w:rPr>
              <w:t xml:space="preserve">nicht</w:t>
            </w:r>
            <w:r>
              <w:t xml:space="preserve"> für Kleinst- und Kleinunternehmen — mit Ausnahme von Art. 24 Abs. 3. Kleinstunternehmen sind bis neun Beschäftigte und höchstens zwei Millionen Euro Umsatz; Kleinunternehmen bis 49 Beschäftigte und zehn Millionen Euro. Nach Verlust des Status gilt eine Übergangsfrist von zwölf Monaten.</w:t>
            </w:r>
          </w:p>
          <w:p>
            <w:pPr>
              <w:spacing w:after="40"/>
            </w:pPr>
            <w:r>
              <w:t xml:space="preserve">Wir fallen also auf absehbare Zeit unter die Ausnahme. </w:t>
            </w:r>
            <w:r>
              <w:rPr>
                <w:b/>
                <w:bCs/>
              </w:rPr>
              <w:t xml:space="preserve">Uns ist aber wichtig, nicht auf die Ausnahme zu bauen</w:t>
            </w:r>
            <w:r>
              <w:t xml:space="preserve">, weil sie an Wachstum gebunden ist und weil ein Verzicht auf Meldewege bei einer App dieser Art auch ohne Pflicht falsch wäre.</w:t>
            </w:r>
          </w:p>
          <w:p>
            <w:pPr>
              <w:spacing w:after="40"/>
            </w:pPr>
            <w:r>
              <w:t xml:space="preserve">Unabhängig von der Größe gelten nach unserem Verständnis weiterhin: Kontaktstelle für Behörden und für Nutzer, Anforderungen an die Allgemeinen Geschäftsbedingungen einschließlich Transparenz über Moderationspraxis, das Melde- und Abhilfeverfahren, die Begründungspflicht bei Beschränkungen und die Meldung bei Verdacht auf Straftaten.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DF2F8" w:val="clear"/>
            <w:tcMar>
              <w:top w:type="dxa" w:w="120"/>
              <w:left w:type="dxa" w:w="160"/>
              <w:bottom w:type="dxa" w:w="120"/>
              <w:right w:type="dxa" w:w="160"/>
            </w:tcMar>
          </w:tcPr>
          <w:p>
            <w:pPr>
              <w:spacing w:after="60"/>
            </w:pPr>
            <w:r>
              <w:rPr>
                <w:b/>
                <w:bCs/>
                <w:color w:val="1F3A5F"/>
              </w:rPr>
              <w:t xml:space="preserve">Unsere Frage an Sie</w:t>
            </w:r>
          </w:p>
          <w:p>
            <w:pPr>
              <w:spacing w:after="40"/>
            </w:pPr>
            <w:r>
              <w:t xml:space="preserve">Ist unsere Einordnung der Größenausnahme richtig — und welche Pflichten treffen uns </w:t>
            </w:r>
            <w:r>
              <w:rPr>
                <w:b/>
                <w:bCs/>
              </w:rPr>
              <w:t xml:space="preserve">unabhängig</w:t>
            </w:r>
            <w:r>
              <w:t xml:space="preserve"> davon?</w:t>
            </w:r>
          </w:p>
          <w:p>
            <w:pPr>
              <w:spacing w:after="40"/>
            </w:pPr>
            <w:r>
              <w:t xml:space="preserve">Wie ist Art. 28 DSA (Schutz Minderjähriger) einzuordnen, wenn er formal unter die Ausnahme fällt, unsere Plattform aber ausdrücklich Erwachseneninhalte ermöglicht? Verhält sich das zum JMStV widerspruchsfrei?</w:t>
            </w:r>
          </w:p>
          <w:p>
            <w:pPr>
              <w:spacing w:after="40"/>
            </w:pPr>
            <w:r>
              <w:t xml:space="preserve">Wie muss das Melde- und Abhilfeverfahren gestaltet sein, damit es trägt — Fristen, Begründungstiefe, Rechtsbehelf?</w:t>
            </w:r>
          </w:p>
          <w:p>
            <w:pPr>
              <w:spacing w:after="40"/>
            </w:pPr>
            <w:r>
              <w:t xml:space="preserve">Wann müssen wir eine Straftat an Behörden melden, und an welche? Wir wollen den Prozess vorab schriftlich haben, nicht im Ernstfall improvisieren.</w:t>
            </w:r>
          </w:p>
          <w:p>
            <w:pPr>
              <w:spacing w:after="40"/>
            </w:pPr>
            <w:r>
              <w:t xml:space="preserve">Brauchen wir bereits einen Transparenzbericht, oder greift auch dort die Ausnahme?</w:t>
            </w:r>
          </w:p>
        </w:tc>
      </w:tr>
    </w:tbl>
    <w:p>
      <w:r>
        <w:br w:type="page"/>
      </w:r>
    </w:p>
    <w:p>
      <w:pPr>
        <w:pStyle w:val="Heading2"/>
        <w:spacing w:after="120" w:before="280"/>
      </w:pPr>
      <w:r>
        <w:rPr>
          <w:color w:val="1F3A5F"/>
        </w:rPr>
        <w:t xml:space="preserve">B7 · Marken- und Namensrecht</w:t>
      </w:r>
    </w:p>
    <w:p>
      <w:pPr>
        <w:spacing w:after="120" w:before="0"/>
      </w:pPr>
      <w:r>
        <w:rPr>
          <w:b/>
          <w:bCs/>
        </w:rPr>
        <w:t xml:space="preserve">Ausgangslage.</w:t>
      </w:r>
      <w:r>
        <w:t xml:space="preserve"> Arbeitstitel ist „Cruizy". Der endgültige Name wird erst nach Nutzerbefragungen festgelegt. Unsere Vorrecherche hat ergeben:</w:t>
      </w:r>
    </w:p>
    <w:p>
      <w:pPr>
        <w:pStyle w:val="ListParagraph"/>
        <w:numPr>
          <w:ilvl w:val="0"/>
          <w:numId w:val="2"/>
        </w:numPr>
        <w:spacing w:after="60"/>
      </w:pPr>
      <w:r>
        <w:rPr>
          <w:b/>
          <w:bCs/>
        </w:rPr>
        <w:t xml:space="preserve">cruizy.eu</w:t>
      </w:r>
      <w:r>
        <w:t xml:space="preserve"> wird von einer aktiven Kreuzfahrt-Suchplattform in der EU genutzt, dazu ein zugehöriger Facebook-Auftritt. Identischer Name, kommerziell, EU.</w:t>
      </w:r>
    </w:p>
    <w:p>
      <w:pPr>
        <w:pStyle w:val="ListParagraph"/>
        <w:numPr>
          <w:ilvl w:val="0"/>
          <w:numId w:val="2"/>
        </w:numPr>
        <w:spacing w:after="60"/>
      </w:pPr>
      <w:r>
        <w:rPr>
          <w:b/>
          <w:bCs/>
        </w:rPr>
        <w:t xml:space="preserve">cruizy.de, cruizy.app und cruizy.pro</w:t>
      </w:r>
      <w:r>
        <w:t xml:space="preserve"> antworten, liefern aber leere Seiten — vermutlich registriert und geparkt. Verbindlich klärt das nur eine WHOIS-Abfrage.</w:t>
      </w:r>
    </w:p>
    <w:p>
      <w:pPr>
        <w:pStyle w:val="ListParagraph"/>
        <w:numPr>
          <w:ilvl w:val="0"/>
          <w:numId w:val="2"/>
        </w:numPr>
        <w:spacing w:after="60"/>
      </w:pPr>
      <w:r>
        <w:rPr>
          <w:b/>
          <w:bCs/>
        </w:rPr>
        <w:t xml:space="preserve">Keine App</w:t>
      </w:r>
      <w:r>
        <w:t xml:space="preserve"> dieses Namens in den Stores auffindbar.</w:t>
      </w:r>
    </w:p>
    <w:p>
      <w:pPr>
        <w:pStyle w:val="ListParagraph"/>
        <w:numPr>
          <w:ilvl w:val="0"/>
          <w:numId w:val="2"/>
        </w:numPr>
        <w:spacing w:after="60"/>
      </w:pPr>
      <w:r>
        <w:rPr>
          <w:b/>
          <w:bCs/>
        </w:rPr>
        <w:t xml:space="preserve">Keine eingetragene Marke</w:t>
      </w:r>
      <w:r>
        <w:t xml:space="preserve"> in unseren Websuchen zu DPMA und EUIPO auffindbar — was aber nichts beweist, weil eine Websuche keine Registerauskunft ist.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120"/>
              <w:left w:type="dxa" w:w="160"/>
              <w:bottom w:type="dxa" w:w="120"/>
              <w:right w:type="dxa" w:w="160"/>
            </w:tcMar>
          </w:tcPr>
          <w:p>
            <w:pPr>
              <w:spacing w:after="60"/>
            </w:pPr>
            <w:r>
              <w:rPr>
                <w:b/>
                <w:bCs/>
                <w:color w:val="1F3A5F"/>
              </w:rPr>
              <w:t xml:space="preserve">Unsere Einschätzung — bitte bestätigen oder korrigieren</w:t>
            </w:r>
          </w:p>
          <w:p>
            <w:pPr>
              <w:spacing w:after="40"/>
            </w:pPr>
            <w:r>
              <w:t xml:space="preserve">Die Waren- und Dienstleistungsklassen unterscheiden sich deutlich: Reisevermittlung gegen Software und soziale Netzwerke. Verwechslungsgefahr zwischen einer Kreuzfahrtsuche und einer Dating-App halten wir für schwach; eine Koexistenz für plausibel.</w:t>
            </w:r>
          </w:p>
          <w:p>
            <w:pPr>
              <w:spacing w:after="40"/>
            </w:pPr>
            <w:r>
              <w:t xml:space="preserve">Das Restrisiko liegt darin, dass der Betreiber von cruizy.eu eine eingetragene Unionsmarke mit breit gefassten Klassen halten könnte.</w:t>
            </w:r>
          </w:p>
          <w:p>
            <w:pPr>
              <w:spacing w:after="40"/>
            </w:pPr>
            <w:r>
              <w:t xml:space="preserve">Wir halten „Cruizy" für nutzbar, aber für keinen guten Namen — nicht aus rechtlichen, sondern aus praktischen Gründen: Keine der drei Wunschdomains ist frei.</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DF2F8" w:val="clear"/>
            <w:tcMar>
              <w:top w:type="dxa" w:w="120"/>
              <w:left w:type="dxa" w:w="160"/>
              <w:bottom w:type="dxa" w:w="120"/>
              <w:right w:type="dxa" w:w="160"/>
            </w:tcMar>
          </w:tcPr>
          <w:p>
            <w:pPr>
              <w:spacing w:after="60"/>
            </w:pPr>
            <w:r>
              <w:rPr>
                <w:b/>
                <w:bCs/>
                <w:color w:val="1F3A5F"/>
              </w:rPr>
              <w:t xml:space="preserve">Unsere Frage an Sie</w:t>
            </w:r>
          </w:p>
          <w:p>
            <w:pPr>
              <w:spacing w:after="40"/>
            </w:pPr>
            <w:r>
              <w:t xml:space="preserve">Führen Sie bitte die </w:t>
            </w:r>
            <w:r>
              <w:rPr>
                <w:b/>
                <w:bCs/>
              </w:rPr>
              <w:t xml:space="preserve">Ähnlichkeitsrecherche</w:t>
            </w:r>
            <w:r>
              <w:t xml:space="preserve"> bei DPMA und EUIPO durch — nicht nur Identität, sondern auch klanglich und schriftbildlich ähnliche Zeichen. Vorgesehene Klassen: 9, 38, 42, 45. Bitte nennen Sie uns den Preis vorab.</w:t>
            </w:r>
          </w:p>
          <w:p>
            <w:pPr>
              <w:spacing w:after="40"/>
            </w:pPr>
            <w:r>
              <w:t xml:space="preserve">In welcher Reihenfolge melden wir an — DPMA, EUIPO, oder beides? Und </w:t>
            </w:r>
            <w:r>
              <w:rPr>
                <w:b/>
                <w:bCs/>
              </w:rPr>
              <w:t xml:space="preserve">wann</w:t>
            </w:r>
            <w:r>
              <w:t xml:space="preserve">, wenn der reale Start erst 2028 ist? Uns ist bekannt, dass eine Marke innerhalb von fünf Jahren ernsthaft benutzt werden muss.</w:t>
            </w:r>
          </w:p>
          <w:p>
            <w:pPr>
              <w:spacing w:after="40"/>
            </w:pPr>
            <w:r>
              <w:t xml:space="preserve">Was tun wir, wenn die Recherche eine ältere Marke zutage fördert — Koexistenzvereinbarung, Ausweichname, Anmeldung mit engeren Klassen?</w:t>
            </w:r>
          </w:p>
          <w:p>
            <w:pPr>
              <w:spacing w:after="40"/>
            </w:pPr>
            <w:r>
              <w:t xml:space="preserve">Entsteht ein Unternehmenskennzeichenrecht schon durch die Benutzung im Vorfeld, oder erst mit dem Geschäftsbetrieb?</w:t>
            </w:r>
          </w:p>
          <w:p>
            <w:pPr>
              <w:spacing w:after="40"/>
            </w:pPr>
            <w:r>
              <w:t xml:space="preserve">Wie sichern wir den Namen ab, </w:t>
            </w:r>
            <w:r>
              <w:rPr>
                <w:b/>
                <w:bCs/>
              </w:rPr>
              <w:t xml:space="preserve">bevor</w:t>
            </w:r>
            <w:r>
              <w:t xml:space="preserve"> die erste Pressemitteilung erscheint?</w:t>
            </w:r>
          </w:p>
        </w:tc>
      </w:tr>
    </w:tbl>
    <w:p>
      <w:r>
        <w:br w:type="page"/>
      </w:r>
    </w:p>
    <w:p>
      <w:pPr>
        <w:pStyle w:val="Heading2"/>
        <w:spacing w:after="120" w:before="280"/>
      </w:pPr>
      <w:r>
        <w:rPr>
          <w:color w:val="1F3A5F"/>
        </w:rPr>
        <w:t xml:space="preserve">B8 · Wettbewerbsrecht (UWG)</w:t>
      </w:r>
    </w:p>
    <w:p>
      <w:pPr>
        <w:spacing w:after="120" w:before="0"/>
      </w:pPr>
      <w:r>
        <w:rPr>
          <w:b/>
          <w:bCs/>
        </w:rPr>
        <w:t xml:space="preserve">Ausgangslage.</w:t>
      </w:r>
      <w:r>
        <w:t xml:space="preserve"> Unsere gesamte Positionierung beruht auf Sicherheits- und Datenschutzaussagen. Genau dort liegt das Irreführungsrisiko nach § 5 UWG.</w:t>
      </w:r>
    </w:p>
    <w:p>
      <w:pPr>
        <w:spacing w:after="80"/>
      </w:pPr>
    </w:p>
    <w:p>
      <w:pPr>
        <w:spacing w:after="120" w:before="0"/>
      </w:pPr>
      <w:r>
        <w:t xml:space="preserve">Wir haben uns deshalb schriftlich verboten, jemals absolute Aussagen zu treffen. Keine Formulierung wie „100 % sicher". Auch „verifiziert" wird nie mit „sicher" gleichgesetzt. Unser Standardsatz gegenüber Nutzern lautet: </w:t>
      </w:r>
      <w:r>
        <w:rPr>
          <w:i/>
          <w:iCs/>
        </w:rPr>
        <w:t xml:space="preserve">„Wir bauen den sichersten Raum, den wir technisch bauen können — und sagen dir offen, wo seine Grenzen liegen."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DF2F8" w:val="clear"/>
            <w:tcMar>
              <w:top w:type="dxa" w:w="120"/>
              <w:left w:type="dxa" w:w="160"/>
              <w:bottom w:type="dxa" w:w="120"/>
              <w:right w:type="dxa" w:w="160"/>
            </w:tcMar>
          </w:tcPr>
          <w:p>
            <w:pPr>
              <w:spacing w:after="60"/>
            </w:pPr>
            <w:r>
              <w:rPr>
                <w:b/>
                <w:bCs/>
                <w:color w:val="1F3A5F"/>
              </w:rPr>
              <w:t xml:space="preserve">Unsere Frage an Sie</w:t>
            </w:r>
          </w:p>
          <w:p>
            <w:pPr>
              <w:spacing w:after="40"/>
            </w:pPr>
            <w:r>
              <w:t xml:space="preserve">Ist unsere Standardformulierung aus Ihrer Sicht angreifbar? Wo genau verläuft die Grenze zwischen zulässiger Positionierung und irreführender Werbung, wenn das Produkt Sicherheit verspricht?</w:t>
            </w:r>
          </w:p>
          <w:p>
            <w:pPr>
              <w:spacing w:after="40"/>
            </w:pPr>
            <w:r>
              <w:t xml:space="preserve">Dürfen wir mit „deutsches Hosting" und „kein US-Dienstleister" werben — und was müssen wir dafür belegen können?</w:t>
            </w:r>
          </w:p>
          <w:p>
            <w:pPr>
              <w:spacing w:after="40"/>
            </w:pPr>
            <w:r>
              <w:rPr>
                <w:b/>
                <w:bCs/>
              </w:rPr>
              <w:t xml:space="preserve">E-Mail-Werbung nach § 7 UWG:</w:t>
            </w:r>
            <w:r>
              <w:t xml:space="preserve"> Unsere Wartelisten-Einwilligung deckt die Benachrichtigung zum Start ab. Deckt sie auch einen monatlichen Fortschrittsbericht, oder braucht der eine getrennte Einwilligung? Falls getrennt: Verstößt eine zweite Checkbox gegen das Kopplungsverbot, wenn sie freiwillig ist?</w:t>
            </w:r>
          </w:p>
          <w:p>
            <w:pPr>
              <w:spacing w:after="40"/>
            </w:pPr>
            <w:r>
              <w:t xml:space="preserve">Wenn wir mit Creators zusammenarbeiten und ihnen frühen Zugang statt Geld geben — wie ist zu kennzeichnen?</w:t>
            </w:r>
          </w:p>
          <w:p>
            <w:pPr>
              <w:spacing w:after="40"/>
            </w:pPr>
            <w:r>
              <w:t xml:space="preserve">Dürfen wir sagen, was Wettbewerber mit Standortdaten tun, wenn es zutrifft und belegbar ist?</w:t>
            </w:r>
          </w:p>
        </w:tc>
      </w:tr>
    </w:tbl>
    <w:p>
      <w:r>
        <w:br w:type="page"/>
      </w:r>
    </w:p>
    <w:p>
      <w:pPr>
        <w:pStyle w:val="Heading2"/>
        <w:spacing w:after="120" w:before="280"/>
      </w:pPr>
      <w:r>
        <w:rPr>
          <w:color w:val="1F3A5F"/>
        </w:rPr>
        <w:t xml:space="preserve">B9 · Verbraucherrecht, AGB und Abonnements</w:t>
      </w:r>
    </w:p>
    <w:p>
      <w:pPr>
        <w:spacing w:after="120" w:before="0"/>
      </w:pPr>
      <w:r>
        <w:rPr>
          <w:b/>
          <w:bCs/>
        </w:rPr>
        <w:t xml:space="preserve">Ausgangslage.</w:t>
      </w:r>
      <w:r>
        <w:t xml:space="preserve"> Erlöse sollen über ein Abonnement kommen, verkauft sowohl über die eigene Website als auch über die App-Stores. Wir wollen ausdrücklich </w:t>
      </w:r>
      <w:r>
        <w:rPr>
          <w:b/>
          <w:bCs/>
        </w:rPr>
        <w:t xml:space="preserve">keine</w:t>
      </w:r>
      <w:r>
        <w:t xml:space="preserve"> dunklen Muster: Kündigung in zwei Schritten aus dem Konto heraus, ohne Rückhaltefragen; Bezahlaufforderungen nie blockierend und nie im Chat.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F3A5F" w:val="clear"/>
            <w:tcMar>
              <w:top w:type="dxa" w:w="80"/>
              <w:left w:type="dxa" w:w="120"/>
              <w:bottom w:type="dxa" w:w="80"/>
              <w:right w:type="dxa" w:w="120"/>
            </w:tcMar>
          </w:tcPr>
          <w:p>
            <w:r>
              <w:rPr>
                <w:b/>
                <w:bCs/>
                <w:color w:val="FFFFFF"/>
                <w:sz w:val="19"/>
                <w:szCs w:val="19"/>
              </w:rPr>
              <w:t xml:space="preserve">Thema</w:t>
            </w:r>
          </w:p>
        </w:tc>
        <w:tc>
          <w:tcPr>
            <w:tcW w:type="dxa" w:w="6760"/>
            <w:shd w:fill="1F3A5F" w:val="clear"/>
            <w:tcMar>
              <w:top w:type="dxa" w:w="80"/>
              <w:left w:type="dxa" w:w="120"/>
              <w:bottom w:type="dxa" w:w="80"/>
              <w:right w:type="dxa" w:w="120"/>
            </w:tcMar>
          </w:tcPr>
          <w:p>
            <w:r>
              <w:rPr>
                <w:b/>
                <w:bCs/>
                <w:color w:val="FFFFFF"/>
                <w:sz w:val="19"/>
                <w:szCs w:val="19"/>
              </w:rPr>
              <w:t xml:space="preserve">Was wir annehmen</w:t>
            </w:r>
          </w:p>
        </w:tc>
      </w:tr>
      <w:tr>
        <w:tc>
          <w:tcPr>
            <w:tcW w:type="dxa" w:w="2600"/>
            <w:shd w:fill="FFFFFF" w:val="clear"/>
            <w:tcMar>
              <w:top w:type="dxa" w:w="70"/>
              <w:left w:type="dxa" w:w="120"/>
              <w:bottom w:type="dxa" w:w="70"/>
              <w:right w:type="dxa" w:w="120"/>
            </w:tcMar>
          </w:tcPr>
          <w:p>
            <w:pPr>
              <w:spacing w:after="0"/>
            </w:pPr>
            <w:r>
              <w:rPr>
                <w:sz w:val="19"/>
                <w:szCs w:val="19"/>
              </w:rPr>
              <w:t xml:space="preserve">Kündigungsschaltfläche</w:t>
            </w:r>
          </w:p>
        </w:tc>
        <w:tc>
          <w:tcPr>
            <w:tcW w:type="dxa" w:w="6760"/>
            <w:shd w:fill="FFFFFF" w:val="clear"/>
            <w:tcMar>
              <w:top w:type="dxa" w:w="70"/>
              <w:left w:type="dxa" w:w="120"/>
              <w:bottom w:type="dxa" w:w="70"/>
              <w:right w:type="dxa" w:w="120"/>
            </w:tcMar>
          </w:tcPr>
          <w:p>
            <w:pPr>
              <w:spacing w:after="0"/>
            </w:pPr>
            <w:r>
              <w:rPr>
                <w:sz w:val="19"/>
                <w:szCs w:val="19"/>
              </w:rPr>
              <w:t xml:space="preserve">§ 312k BGB verlangt eine Kündigungsmöglichkeit über eine gut sichtbare Schaltfläche. Wir gehen davon aus, dass das für unser Web-Abo gilt.</w:t>
            </w:r>
          </w:p>
        </w:tc>
      </w:tr>
      <w:tr>
        <w:tc>
          <w:tcPr>
            <w:tcW w:type="dxa" w:w="2600"/>
            <w:shd w:fill="F2F2F2" w:val="clear"/>
            <w:tcMar>
              <w:top w:type="dxa" w:w="70"/>
              <w:left w:type="dxa" w:w="120"/>
              <w:bottom w:type="dxa" w:w="70"/>
              <w:right w:type="dxa" w:w="120"/>
            </w:tcMar>
          </w:tcPr>
          <w:p>
            <w:pPr>
              <w:spacing w:after="0"/>
            </w:pPr>
            <w:r>
              <w:rPr>
                <w:sz w:val="19"/>
                <w:szCs w:val="19"/>
              </w:rPr>
              <w:t xml:space="preserve">Bestellschaltfläche</w:t>
            </w:r>
          </w:p>
        </w:tc>
        <w:tc>
          <w:tcPr>
            <w:tcW w:type="dxa" w:w="6760"/>
            <w:shd w:fill="F2F2F2" w:val="clear"/>
            <w:tcMar>
              <w:top w:type="dxa" w:w="70"/>
              <w:left w:type="dxa" w:w="120"/>
              <w:bottom w:type="dxa" w:w="70"/>
              <w:right w:type="dxa" w:w="120"/>
            </w:tcMar>
          </w:tcPr>
          <w:p>
            <w:pPr>
              <w:spacing w:after="0"/>
            </w:pPr>
            <w:r>
              <w:rPr>
                <w:sz w:val="19"/>
                <w:szCs w:val="19"/>
              </w:rPr>
              <w:t xml:space="preserve">§ 312j BGB — eindeutige Beschriftung, etwa „zahlungspflichtig bestellen".</w:t>
            </w:r>
          </w:p>
        </w:tc>
      </w:tr>
      <w:tr>
        <w:tc>
          <w:tcPr>
            <w:tcW w:type="dxa" w:w="2600"/>
            <w:shd w:fill="FFFFFF" w:val="clear"/>
            <w:tcMar>
              <w:top w:type="dxa" w:w="70"/>
              <w:left w:type="dxa" w:w="120"/>
              <w:bottom w:type="dxa" w:w="70"/>
              <w:right w:type="dxa" w:w="120"/>
            </w:tcMar>
          </w:tcPr>
          <w:p>
            <w:pPr>
              <w:spacing w:after="0"/>
            </w:pPr>
            <w:r>
              <w:rPr>
                <w:sz w:val="19"/>
                <w:szCs w:val="19"/>
              </w:rPr>
              <w:t xml:space="preserve">Widerrufsrecht</w:t>
            </w:r>
          </w:p>
        </w:tc>
        <w:tc>
          <w:tcPr>
            <w:tcW w:type="dxa" w:w="6760"/>
            <w:shd w:fill="FFFFFF" w:val="clear"/>
            <w:tcMar>
              <w:top w:type="dxa" w:w="70"/>
              <w:left w:type="dxa" w:w="120"/>
              <w:bottom w:type="dxa" w:w="70"/>
              <w:right w:type="dxa" w:w="120"/>
            </w:tcMar>
          </w:tcPr>
          <w:p>
            <w:pPr>
              <w:spacing w:after="0"/>
            </w:pPr>
            <w:r>
              <w:rPr>
                <w:sz w:val="19"/>
                <w:szCs w:val="19"/>
              </w:rPr>
              <w:t xml:space="preserve">14 Tage. Bei digitalen Inhalten erlischt es nach unserem Verständnis nur bei ausdrücklicher Zustimmung, Kenntnisnahme des Verlusts und Bestätigung.</w:t>
            </w:r>
          </w:p>
        </w:tc>
      </w:tr>
      <w:tr>
        <w:tc>
          <w:tcPr>
            <w:tcW w:type="dxa" w:w="2600"/>
            <w:shd w:fill="F2F2F2" w:val="clear"/>
            <w:tcMar>
              <w:top w:type="dxa" w:w="70"/>
              <w:left w:type="dxa" w:w="120"/>
              <w:bottom w:type="dxa" w:w="70"/>
              <w:right w:type="dxa" w:w="120"/>
            </w:tcMar>
          </w:tcPr>
          <w:p>
            <w:pPr>
              <w:spacing w:after="0"/>
            </w:pPr>
            <w:r>
              <w:rPr>
                <w:sz w:val="19"/>
                <w:szCs w:val="19"/>
              </w:rPr>
              <w:t xml:space="preserve">Vertragslaufzeit</w:t>
            </w:r>
          </w:p>
        </w:tc>
        <w:tc>
          <w:tcPr>
            <w:tcW w:type="dxa" w:w="6760"/>
            <w:shd w:fill="F2F2F2" w:val="clear"/>
            <w:tcMar>
              <w:top w:type="dxa" w:w="70"/>
              <w:left w:type="dxa" w:w="120"/>
              <w:bottom w:type="dxa" w:w="70"/>
              <w:right w:type="dxa" w:w="120"/>
            </w:tcMar>
          </w:tcPr>
          <w:p>
            <w:pPr>
              <w:spacing w:after="0"/>
            </w:pPr>
            <w:r>
              <w:rPr>
                <w:sz w:val="19"/>
                <w:szCs w:val="19"/>
              </w:rPr>
              <w:t xml:space="preserve">§ 309 Nr. 9 BGB. Stillschweigende Verlängerung nur in eine unbefristete Laufzeit mit Monatsfrist.</w:t>
            </w:r>
          </w:p>
        </w:tc>
      </w:tr>
      <w:tr>
        <w:tc>
          <w:tcPr>
            <w:tcW w:type="dxa" w:w="2600"/>
            <w:shd w:fill="FFFFFF" w:val="clear"/>
            <w:tcMar>
              <w:top w:type="dxa" w:w="70"/>
              <w:left w:type="dxa" w:w="120"/>
              <w:bottom w:type="dxa" w:w="70"/>
              <w:right w:type="dxa" w:w="120"/>
            </w:tcMar>
          </w:tcPr>
          <w:p>
            <w:pPr>
              <w:spacing w:after="0"/>
            </w:pPr>
            <w:r>
              <w:rPr>
                <w:sz w:val="19"/>
                <w:szCs w:val="19"/>
              </w:rPr>
              <w:t xml:space="preserve">App-Store-Verkäufe</w:t>
            </w:r>
          </w:p>
        </w:tc>
        <w:tc>
          <w:tcPr>
            <w:tcW w:type="dxa" w:w="6760"/>
            <w:shd w:fill="FFFFFF" w:val="clear"/>
            <w:tcMar>
              <w:top w:type="dxa" w:w="70"/>
              <w:left w:type="dxa" w:w="120"/>
              <w:bottom w:type="dxa" w:w="70"/>
              <w:right w:type="dxa" w:w="120"/>
            </w:tcMar>
          </w:tcPr>
          <w:p>
            <w:pPr>
              <w:spacing w:after="0"/>
            </w:pPr>
            <w:r>
              <w:rPr>
                <w:sz w:val="19"/>
                <w:szCs w:val="19"/>
              </w:rPr>
              <w:t xml:space="preserve">Bei Käufen über Apple und Google tritt der Store nach unserem Verständnis als Vermittler oder Kommissionär auf. Wer ist dann unser Vertragspartner, und wen trifft die Kündigungs- und Widerrufspflicht?</w:t>
            </w:r>
          </w:p>
        </w:tc>
      </w:tr>
      <w:tr>
        <w:tc>
          <w:tcPr>
            <w:tcW w:type="dxa" w:w="2600"/>
            <w:shd w:fill="F2F2F2" w:val="clear"/>
            <w:tcMar>
              <w:top w:type="dxa" w:w="70"/>
              <w:left w:type="dxa" w:w="120"/>
              <w:bottom w:type="dxa" w:w="70"/>
              <w:right w:type="dxa" w:w="120"/>
            </w:tcMar>
          </w:tcPr>
          <w:p>
            <w:pPr>
              <w:spacing w:after="0"/>
            </w:pPr>
            <w:r>
              <w:rPr>
                <w:sz w:val="19"/>
                <w:szCs w:val="19"/>
              </w:rPr>
              <w:t xml:space="preserve">Verbraucherschlichtung</w:t>
            </w:r>
          </w:p>
        </w:tc>
        <w:tc>
          <w:tcPr>
            <w:tcW w:type="dxa" w:w="6760"/>
            <w:shd w:fill="F2F2F2" w:val="clear"/>
            <w:tcMar>
              <w:top w:type="dxa" w:w="70"/>
              <w:left w:type="dxa" w:w="120"/>
              <w:bottom w:type="dxa" w:w="70"/>
              <w:right w:type="dxa" w:w="120"/>
            </w:tcMar>
          </w:tcPr>
          <w:p>
            <w:pPr>
              <w:spacing w:after="0"/>
            </w:pPr>
            <w:r>
              <w:rPr>
                <w:sz w:val="19"/>
                <w:szCs w:val="19"/>
              </w:rPr>
              <w:t xml:space="preserve">§ 36 VSBG — Hinweispflicht in AGB und auf der Website.</w:t>
            </w:r>
          </w:p>
        </w:tc>
      </w:tr>
      <w:tr>
        <w:tc>
          <w:tcPr>
            <w:tcW w:type="dxa" w:w="2600"/>
            <w:shd w:fill="FFFFFF" w:val="clear"/>
            <w:tcMar>
              <w:top w:type="dxa" w:w="70"/>
              <w:left w:type="dxa" w:w="120"/>
              <w:bottom w:type="dxa" w:w="70"/>
              <w:right w:type="dxa" w:w="120"/>
            </w:tcMar>
          </w:tcPr>
          <w:p>
            <w:pPr>
              <w:spacing w:after="0"/>
            </w:pPr>
            <w:r>
              <w:rPr>
                <w:sz w:val="19"/>
                <w:szCs w:val="19"/>
              </w:rPr>
              <w:t xml:space="preserve">Preisangaben</w:t>
            </w:r>
          </w:p>
        </w:tc>
        <w:tc>
          <w:tcPr>
            <w:tcW w:type="dxa" w:w="6760"/>
            <w:shd w:fill="FFFFFF" w:val="clear"/>
            <w:tcMar>
              <w:top w:type="dxa" w:w="70"/>
              <w:left w:type="dxa" w:w="120"/>
              <w:bottom w:type="dxa" w:w="70"/>
              <w:right w:type="dxa" w:w="120"/>
            </w:tcMar>
          </w:tcPr>
          <w:p>
            <w:pPr>
              <w:spacing w:after="0"/>
            </w:pPr>
            <w:r>
              <w:rPr>
                <w:sz w:val="19"/>
                <w:szCs w:val="19"/>
              </w:rPr>
              <w:t xml:space="preserve">Bruttopreise, klare Angabe der Laufzeit und des Folgepreises.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DF2F8" w:val="clear"/>
            <w:tcMar>
              <w:top w:type="dxa" w:w="120"/>
              <w:left w:type="dxa" w:w="160"/>
              <w:bottom w:type="dxa" w:w="120"/>
              <w:right w:type="dxa" w:w="160"/>
            </w:tcMar>
          </w:tcPr>
          <w:p>
            <w:pPr>
              <w:spacing w:after="60"/>
            </w:pPr>
            <w:r>
              <w:rPr>
                <w:b/>
                <w:bCs/>
                <w:color w:val="1F3A5F"/>
              </w:rPr>
              <w:t xml:space="preserve">Unsere Frage an Sie</w:t>
            </w:r>
          </w:p>
          <w:p>
            <w:pPr>
              <w:spacing w:after="40"/>
            </w:pPr>
            <w:r>
              <w:t xml:space="preserve">Bitte prüfen Sie, ob unser Abo-Modell die Anforderungen erfüllt, </w:t>
            </w:r>
            <w:r>
              <w:rPr>
                <w:b/>
                <w:bCs/>
              </w:rPr>
              <w:t xml:space="preserve">bevor</w:t>
            </w:r>
            <w:r>
              <w:t xml:space="preserve"> wir es bauen — Nachbesserung im Code ist teurer als im Konzept.</w:t>
            </w:r>
          </w:p>
          <w:p>
            <w:pPr>
              <w:spacing w:after="40"/>
            </w:pPr>
            <w:r>
              <w:t xml:space="preserve">Wie verteilen sich Pflichten zwischen uns und den App-Stores? Brauchen wir zwei Vertragswerke?</w:t>
            </w:r>
          </w:p>
          <w:p>
            <w:pPr>
              <w:spacing w:after="40"/>
            </w:pPr>
            <w:r>
              <w:t xml:space="preserve">Wir wollen ein </w:t>
            </w:r>
            <w:r>
              <w:rPr>
                <w:b/>
                <w:bCs/>
              </w:rPr>
              <w:t xml:space="preserve">Schutzversprechen</w:t>
            </w:r>
            <w:r>
              <w:t xml:space="preserve"> in die AGB aufnehmen: „Was der Sicherheit dient, bleibt dauerhaft kostenlos." Ist eine solche Selbstbindung wirksam, und bindet sie auch einen Erwerber der Gesellschaft?</w:t>
            </w:r>
          </w:p>
          <w:p>
            <w:pPr>
              <w:spacing w:after="40"/>
            </w:pPr>
            <w:r>
              <w:t xml:space="preserve">Welche Lizenz an nutzergenerierten Inhalten brauchen wir in den AGB — und wie eng können wir sie fassen, ohne den Betrieb zu gefährden? Uns ist wichtig, dass sie so eng wie möglich ist.</w:t>
            </w:r>
          </w:p>
          <w:p>
            <w:pPr>
              <w:spacing w:after="40"/>
            </w:pPr>
            <w:r>
              <w:t xml:space="preserve">Erstellen Sie AGB und Datenschutzerklärung, oder arbeiten Sie mit einem Muster, das wir befüllen?</w:t>
            </w:r>
          </w:p>
        </w:tc>
      </w:tr>
    </w:tbl>
    <w:p>
      <w:r>
        <w:br w:type="page"/>
      </w:r>
    </w:p>
    <w:p>
      <w:pPr>
        <w:pStyle w:val="Heading2"/>
        <w:spacing w:after="120" w:before="280"/>
      </w:pPr>
      <w:r>
        <w:rPr>
          <w:color w:val="1F3A5F"/>
        </w:rPr>
        <w:t xml:space="preserve">B10 · KI-Verordnung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DF3E7" w:val="clear"/>
            <w:tcMar>
              <w:top w:type="dxa" w:w="120"/>
              <w:left w:type="dxa" w:w="160"/>
              <w:bottom w:type="dxa" w:w="120"/>
              <w:right w:type="dxa" w:w="160"/>
            </w:tcMar>
          </w:tcPr>
          <w:p>
            <w:pPr>
              <w:spacing w:after="60"/>
            </w:pPr>
            <w:r>
              <w:rPr>
                <w:b/>
                <w:bCs/>
                <w:color w:val="1F3A5F"/>
              </w:rPr>
              <w:t xml:space="preserve">Der Punkt, den wir für den unangenehmsten dieses Dokuments halten</w:t>
            </w:r>
          </w:p>
          <w:p>
            <w:pPr>
              <w:spacing w:after="40"/>
            </w:pPr>
            <w:r>
              <w:t xml:space="preserve">Art. 5 Abs. 1 lit. g KI-VO </w:t>
            </w:r>
            <w:r>
              <w:rPr>
                <w:b/>
                <w:bCs/>
              </w:rPr>
              <w:t xml:space="preserve">verbietet</w:t>
            </w:r>
            <w:r>
              <w:t xml:space="preserve"> biometrische Kategorisierungssysteme, die natürliche Personen anhand ihrer biometrischen Daten einordnen, um unter anderem auf </w:t>
            </w:r>
            <w:r>
              <w:rPr>
                <w:b/>
                <w:bCs/>
              </w:rPr>
              <w:t xml:space="preserve">das Sexualleben oder die sexuelle Ausrichtung</w:t>
            </w:r>
            <w:r>
              <w:t xml:space="preserve"> zu schließen. Dieses Verbot gilt seit dem 02.02.2025.</w:t>
            </w:r>
          </w:p>
          <w:p>
            <w:pPr>
              <w:spacing w:after="40"/>
            </w:pPr>
            <w:r>
              <w:t xml:space="preserve">Wir betreiben eine App, deren Nutzerkreis sich über die sexuelle Orientierung definiert, und wollen Selfies zur Altersschätzung verarbeiten. Wir leiten aus Biometrie </w:t>
            </w:r>
            <w:r>
              <w:rPr>
                <w:b/>
                <w:bCs/>
              </w:rPr>
              <w:t xml:space="preserve">nichts</w:t>
            </w:r>
            <w:r>
              <w:t xml:space="preserve"> über die Orientierung ab — die Orientierung ergibt sich aus der Anmeldung, nicht aus dem Gesicht. Aber die Nähe der Sachverhalte ist uns bewusst und wir wollen sie geprüft haben, statt sie zu übersehen.</w:t>
            </w:r>
          </w:p>
        </w:tc>
      </w:tr>
    </w:tbl>
    <w:p>
      <w:pPr>
        <w:spacing w:after="80"/>
      </w:pPr>
    </w:p>
    <w:p>
      <w:pPr>
        <w:spacing w:after="120" w:before="0"/>
      </w:pPr>
      <w:r>
        <w:rPr>
          <w:b/>
          <w:bCs/>
        </w:rPr>
        <w:t xml:space="preserve">Weitere Berührungspunkte, die wir sehen:</w:t>
      </w:r>
    </w:p>
    <w:p>
      <w:pPr>
        <w:pStyle w:val="ListParagraph"/>
        <w:numPr>
          <w:ilvl w:val="0"/>
          <w:numId w:val="2"/>
        </w:numPr>
        <w:spacing w:after="60"/>
      </w:pPr>
      <w:r>
        <w:rPr>
          <w:b/>
          <w:bCs/>
        </w:rPr>
        <w:t xml:space="preserve">Altersschätzung aus einem Selfie.</w:t>
      </w:r>
      <w:r>
        <w:t xml:space="preserve"> Verarbeitung biometrischer Daten. Wie ist sie einzuordnen — zulässige Alterserkennung, biometrische Kategorisierung, Hochrisikoanwendung? Der Dienstleister sitzt in der EU und löscht sofort; wir erhalten nur ja oder nein.</w:t>
      </w:r>
    </w:p>
    <w:p>
      <w:pPr>
        <w:pStyle w:val="ListParagraph"/>
        <w:numPr>
          <w:ilvl w:val="0"/>
          <w:numId w:val="2"/>
        </w:numPr>
        <w:spacing w:after="60"/>
      </w:pPr>
      <w:r>
        <w:rPr>
          <w:b/>
          <w:bCs/>
        </w:rPr>
        <w:t xml:space="preserve">Moderations-Vorfilter für Bilder und Text.</w:t>
      </w:r>
      <w:r>
        <w:t xml:space="preserve"> Selbst gehostet, immer nur als Vorschlag, nie als endgültige Entscheidung. Wir gehen davon aus, dass die menschliche Letztentscheidung uns aus der Hochrisikoeinstufung heraushält, sind uns aber nicht sicher.</w:t>
      </w:r>
    </w:p>
    <w:p>
      <w:pPr>
        <w:pStyle w:val="ListParagraph"/>
        <w:numPr>
          <w:ilvl w:val="0"/>
          <w:numId w:val="2"/>
        </w:numPr>
        <w:spacing w:after="60"/>
      </w:pPr>
      <w:r>
        <w:rPr>
          <w:b/>
          <w:bCs/>
        </w:rPr>
        <w:t xml:space="preserve">Keine generative KI im Produkt.</w:t>
      </w:r>
      <w:r>
        <w:t xml:space="preserve"> Kein Chatbot, keine erzeugten Profiltexte, keine erzeugten Nachrichten. Damit dürften die Transparenzpflichten für Systeme, die mit Menschen interagieren, für uns leerlaufen.</w:t>
      </w:r>
    </w:p>
    <w:p>
      <w:pPr>
        <w:pStyle w:val="ListParagraph"/>
        <w:numPr>
          <w:ilvl w:val="0"/>
          <w:numId w:val="2"/>
        </w:numPr>
        <w:spacing w:after="60"/>
      </w:pPr>
      <w:r>
        <w:rPr>
          <w:b/>
          <w:bCs/>
        </w:rPr>
        <w:t xml:space="preserve">KI-Werkzeuge in der Entwicklung.</w:t>
      </w:r>
      <w:r>
        <w:t xml:space="preserve"> Wir nutzen sie beim Programmieren. Das betrifft aus unserer Sicht nicht die KI-VO, sondern das Urheberrecht — siehe B15.</w:t>
      </w:r>
    </w:p>
    <w:p>
      <w:pPr>
        <w:spacing w:after="80"/>
      </w:pPr>
    </w:p>
    <w:p>
      <w:pPr>
        <w:spacing w:after="120" w:before="0"/>
      </w:pPr>
      <w:r>
        <w:rPr>
          <w:b/>
          <w:bCs/>
        </w:rPr>
        <w:t xml:space="preserve">Zum Zeitplan, soweit wir ihn nachvollziehen:</w:t>
      </w:r>
      <w:r>
        <w:t xml:space="preserve"> Die Verbote nach Art. 5 gelten seit Februar 2025. Der allgemeine Anwendungsbeginn bleibt der 02.08.2026, doch der sogenannte Digitale Omnibus verschiebt die Anforderungen an Hochrisikosysteme nach Anhang III auf den 02.12.2027 und für in Produkte eingebettete Systeme auf den 02.08.2028. Der Rat hat die Parlamentsposition Ende Juni 2026 angenommen; Unterzeichnung und Veröffentlichung standen zu unserem Rechercheschluss noch aus. </w:t>
      </w:r>
      <w:r>
        <w:rPr>
          <w:b/>
          <w:bCs/>
        </w:rPr>
        <w:t xml:space="preserve">Bitte prüfen Sie den aktuellen Stand — wir konnten ihn nicht abschließend verifizieren.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DF2F8" w:val="clear"/>
            <w:tcMar>
              <w:top w:type="dxa" w:w="120"/>
              <w:left w:type="dxa" w:w="160"/>
              <w:bottom w:type="dxa" w:w="120"/>
              <w:right w:type="dxa" w:w="160"/>
            </w:tcMar>
          </w:tcPr>
          <w:p>
            <w:pPr>
              <w:spacing w:after="60"/>
            </w:pPr>
            <w:r>
              <w:rPr>
                <w:b/>
                <w:bCs/>
                <w:color w:val="1F3A5F"/>
              </w:rPr>
              <w:t xml:space="preserve">Unsere Frage an Sie</w:t>
            </w:r>
          </w:p>
          <w:p>
            <w:pPr>
              <w:spacing w:after="40"/>
            </w:pPr>
            <w:r>
              <w:t xml:space="preserve">Berührt unser Konzept Art. 5 Abs. 1 lit. g in irgendeiner Ausgestaltung? Was müssen wir dokumentieren, um belegen zu können, dass wir </w:t>
            </w:r>
            <w:r>
              <w:rPr>
                <w:b/>
                <w:bCs/>
              </w:rPr>
              <w:t xml:space="preserve">nicht</w:t>
            </w:r>
            <w:r>
              <w:t xml:space="preserve"> auf die Orientierung schließen?</w:t>
            </w:r>
          </w:p>
          <w:p>
            <w:pPr>
              <w:spacing w:after="40"/>
            </w:pPr>
            <w:r>
              <w:t xml:space="preserve">Wie ist die Selfie-Altersschätzung einzuordnen, und ändert sich die Einordnung dadurch, dass ein Dienstleister sie durchführt und wir nur das Ergebnis erhalten?</w:t>
            </w:r>
          </w:p>
          <w:p>
            <w:pPr>
              <w:spacing w:after="40"/>
            </w:pPr>
            <w:r>
              <w:t xml:space="preserve">Reicht die menschliche Letztentscheidung, um den Moderationsfilter aus der Hochrisikoeinstufung herauszuhalten?</w:t>
            </w:r>
          </w:p>
          <w:p>
            <w:pPr>
              <w:spacing w:after="40"/>
            </w:pPr>
            <w:r>
              <w:t xml:space="preserve">Welche Fristen gelten nach dem aktuellen Stand des Digitalen Omnibus für uns konkret?</w:t>
            </w:r>
          </w:p>
          <w:p>
            <w:pPr>
              <w:spacing w:after="40"/>
            </w:pPr>
            <w:r>
              <w:t xml:space="preserve">Wie verhält sich Art. 22 DSGVO — Verbot rein automatisierter Entscheidungen mit erheblicher Wirkung — zu unserer Moderation? Wir wollen ohnehin jede Sperrentscheidung menschlich prüfen lassen.</w:t>
            </w:r>
          </w:p>
        </w:tc>
      </w:tr>
    </w:tbl>
    <w:p>
      <w:r>
        <w:br w:type="page"/>
      </w:r>
    </w:p>
    <w:p>
      <w:pPr>
        <w:pStyle w:val="Heading2"/>
        <w:spacing w:after="120" w:before="280"/>
      </w:pPr>
      <w:r>
        <w:rPr>
          <w:color w:val="1F3A5F"/>
        </w:rPr>
        <w:t xml:space="preserve">B11 · Barrierefreiheit (BFSG)</w:t>
      </w:r>
    </w:p>
    <w:p>
      <w:pPr>
        <w:spacing w:after="120" w:before="0"/>
      </w:pPr>
      <w:r>
        <w:rPr>
          <w:b/>
          <w:bCs/>
        </w:rPr>
        <w:t xml:space="preserve">Ausgangslage.</w:t>
      </w:r>
      <w:r>
        <w:t xml:space="preserve"> Das Barrierefreiheitsstärkungsgesetz gilt seit dem 28.06.2025 und erfasst Dienstleistungen im elektronischen Geschäftsverkehr, ausdrücklich auch mobile Anwendungen. Ein Abonnement, das über eine App verkauft wird, dürfte darunterfallen.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120"/>
              <w:left w:type="dxa" w:w="160"/>
              <w:bottom w:type="dxa" w:w="120"/>
              <w:right w:type="dxa" w:w="160"/>
            </w:tcMar>
          </w:tcPr>
          <w:p>
            <w:pPr>
              <w:spacing w:after="60"/>
            </w:pPr>
            <w:r>
              <w:rPr>
                <w:b/>
                <w:bCs/>
                <w:color w:val="1F3A5F"/>
              </w:rPr>
              <w:t xml:space="preserve">Unsere Einschätzung — bitte bestätigen oder korrigieren</w:t>
            </w:r>
          </w:p>
          <w:p>
            <w:pPr>
              <w:spacing w:after="40"/>
            </w:pPr>
            <w:r>
              <w:rPr>
                <w:b/>
                <w:bCs/>
              </w:rPr>
              <w:t xml:space="preserve">Kleinstunternehmen</w:t>
            </w:r>
            <w:r>
              <w:t xml:space="preserve"> — weniger als zehn Beschäftigte und höchstens zwei Millionen Euro Jahresumsatz — sind ausgenommen, </w:t>
            </w:r>
            <w:r>
              <w:rPr>
                <w:b/>
                <w:bCs/>
              </w:rPr>
              <w:t xml:space="preserve">wenn sie ausschließlich Dienstleistungen anbieten</w:t>
            </w:r>
            <w:r>
              <w:t xml:space="preserve">. Für Produkte gilt die Ausnahme nicht. Wir bieten nur eine Dienstleistung an und fallen damit zunächst unter die Ausnahme.</w:t>
            </w:r>
          </w:p>
          <w:p>
            <w:pPr>
              <w:spacing w:after="40"/>
            </w:pPr>
            <w:r>
              <w:t xml:space="preserve">Wir wollen uns darauf trotzdem nicht stützen. Erstens fällt die Ausnahme mit dem Wachstum weg, und eine barrierefreie Oberfläche nachzurüsten ist teurer als sie zu bauen. Zweitens gehört ein erheblicher Teil unserer zahlungsbereiten Zielgruppe in eine Altersgruppe, die typografisch von allen Wettbewerbern ignoriert wird.</w:t>
            </w:r>
          </w:p>
          <w:p>
            <w:pPr>
              <w:spacing w:after="40"/>
            </w:pPr>
            <w:r>
              <w:t xml:space="preserve">Wir planen deshalb von Anfang an mit WCAG AA, dynamischen Schriftgrößen, vollständigen Beschriftungen für Screenreader und Berührflächen von mindestens 44 mal 44 Punkten.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DF2F8" w:val="clear"/>
            <w:tcMar>
              <w:top w:type="dxa" w:w="120"/>
              <w:left w:type="dxa" w:w="160"/>
              <w:bottom w:type="dxa" w:w="120"/>
              <w:right w:type="dxa" w:w="160"/>
            </w:tcMar>
          </w:tcPr>
          <w:p>
            <w:pPr>
              <w:spacing w:after="60"/>
            </w:pPr>
            <w:r>
              <w:rPr>
                <w:b/>
                <w:bCs/>
                <w:color w:val="1F3A5F"/>
              </w:rPr>
              <w:t xml:space="preserve">Unsere Frage an Sie</w:t>
            </w:r>
          </w:p>
          <w:p>
            <w:pPr>
              <w:spacing w:after="40"/>
            </w:pPr>
            <w:r>
              <w:t xml:space="preserve">Ist unsere Einordnung als ausgenommenes Kleinstunternehmen richtig?</w:t>
            </w:r>
          </w:p>
          <w:p>
            <w:pPr>
              <w:spacing w:after="40"/>
            </w:pPr>
            <w:r>
              <w:t xml:space="preserve">Ab welchem Zeitpunkt genau greift die Pflicht, wenn wir wachsen — gibt es eine Übergangsfrist?</w:t>
            </w:r>
          </w:p>
          <w:p>
            <w:pPr>
              <w:spacing w:after="40"/>
            </w:pPr>
            <w:r>
              <w:t xml:space="preserve">Brauchen wir eine </w:t>
            </w:r>
            <w:r>
              <w:rPr>
                <w:b/>
                <w:bCs/>
              </w:rPr>
              <w:t xml:space="preserve">Barrierefreiheitserklärung</w:t>
            </w:r>
            <w:r>
              <w:t xml:space="preserve">, auch solange die Ausnahme greift?</w:t>
            </w:r>
          </w:p>
          <w:p>
            <w:pPr>
              <w:spacing w:after="40"/>
            </w:pPr>
            <w:r>
              <w:t xml:space="preserve">Wer haftet, wenn eine Prüfung Mängel feststellt, und wie wird das durchgesetzt?</w:t>
            </w:r>
          </w:p>
        </w:tc>
      </w:tr>
    </w:tbl>
    <w:p>
      <w:pPr>
        <w:spacing w:after="80"/>
      </w:pPr>
    </w:p>
    <w:p>
      <w:pPr>
        <w:pStyle w:val="Heading2"/>
        <w:spacing w:after="120" w:before="280"/>
      </w:pPr>
      <w:r>
        <w:rPr>
          <w:color w:val="1F3A5F"/>
        </w:rPr>
        <w:t xml:space="preserve">B12 · Strafrechtliche Risiken, Auskunftsersuchen, Geschäftsführerhaftung</w:t>
      </w:r>
    </w:p>
    <w:p>
      <w:pPr>
        <w:spacing w:after="120" w:before="0"/>
      </w:pPr>
      <w:r>
        <w:rPr>
          <w:b/>
          <w:bCs/>
        </w:rPr>
        <w:t xml:space="preserve">Ausgangslage.</w:t>
      </w:r>
      <w:r>
        <w:t xml:space="preserve"> Eine App, über die Erwachsene Bilder austauschen und sich verabreden, erzeugt drei Risikofelder: Missbrauchsdarstellungen, Straftaten zwischen Nutzern, und behördliche Auskunftsersuchen.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F3A5F" w:val="clear"/>
            <w:tcMar>
              <w:top w:type="dxa" w:w="80"/>
              <w:left w:type="dxa" w:w="120"/>
              <w:bottom w:type="dxa" w:w="80"/>
              <w:right w:type="dxa" w:w="120"/>
            </w:tcMar>
          </w:tcPr>
          <w:p>
            <w:r>
              <w:rPr>
                <w:b/>
                <w:bCs/>
                <w:color w:val="FFFFFF"/>
                <w:sz w:val="19"/>
                <w:szCs w:val="19"/>
              </w:rPr>
              <w:t xml:space="preserve">Feld</w:t>
            </w:r>
          </w:p>
        </w:tc>
        <w:tc>
          <w:tcPr>
            <w:tcW w:type="dxa" w:w="6760"/>
            <w:shd w:fill="1F3A5F" w:val="clear"/>
            <w:tcMar>
              <w:top w:type="dxa" w:w="80"/>
              <w:left w:type="dxa" w:w="120"/>
              <w:bottom w:type="dxa" w:w="80"/>
              <w:right w:type="dxa" w:w="120"/>
            </w:tcMar>
          </w:tcPr>
          <w:p>
            <w:r>
              <w:rPr>
                <w:b/>
                <w:bCs/>
                <w:color w:val="FFFFFF"/>
                <w:sz w:val="19"/>
                <w:szCs w:val="19"/>
              </w:rPr>
              <w:t xml:space="preserve">Was wir vorhaben</w:t>
            </w:r>
          </w:p>
        </w:tc>
      </w:tr>
      <w:tr>
        <w:tc>
          <w:tcPr>
            <w:tcW w:type="dxa" w:w="2600"/>
            <w:shd w:fill="FFFFFF" w:val="clear"/>
            <w:tcMar>
              <w:top w:type="dxa" w:w="70"/>
              <w:left w:type="dxa" w:w="120"/>
              <w:bottom w:type="dxa" w:w="70"/>
              <w:right w:type="dxa" w:w="120"/>
            </w:tcMar>
          </w:tcPr>
          <w:p>
            <w:pPr>
              <w:spacing w:after="0"/>
            </w:pPr>
            <w:r>
              <w:rPr>
                <w:b/>
                <w:bCs/>
                <w:sz w:val="19"/>
                <w:szCs w:val="19"/>
              </w:rPr>
              <w:t xml:space="preserve">Missbrauchsdarstellungen</w:t>
            </w:r>
          </w:p>
        </w:tc>
        <w:tc>
          <w:tcPr>
            <w:tcW w:type="dxa" w:w="6760"/>
            <w:shd w:fill="FFFFFF" w:val="clear"/>
            <w:tcMar>
              <w:top w:type="dxa" w:w="70"/>
              <w:left w:type="dxa" w:w="120"/>
              <w:bottom w:type="dxa" w:w="70"/>
              <w:right w:type="dxa" w:w="120"/>
            </w:tcMar>
          </w:tcPr>
          <w:p>
            <w:pPr>
              <w:spacing w:after="0"/>
            </w:pPr>
            <w:r>
              <w:rPr>
                <w:sz w:val="19"/>
                <w:szCs w:val="19"/>
              </w:rPr>
              <w:t xml:space="preserve">Hash-Abgleich gegen bekannte Bestände. Der Zugangsweg zu einem Abgleichdienst ist noch nicht geklärt; Zulassungsverfahren dauern nach unserer Kenntnis Monate, weshalb wir früh anfangen wollen. </w:t>
            </w:r>
            <w:r>
              <w:rPr>
                <w:b/>
                <w:bCs/>
                <w:sz w:val="19"/>
                <w:szCs w:val="19"/>
              </w:rPr>
              <w:t xml:space="preserve">Kritisch für uns: Ob das Bild dabei die EU verlässt.</w:t>
            </w:r>
          </w:p>
        </w:tc>
      </w:tr>
      <w:tr>
        <w:tc>
          <w:tcPr>
            <w:tcW w:type="dxa" w:w="2600"/>
            <w:shd w:fill="F2F2F2" w:val="clear"/>
            <w:tcMar>
              <w:top w:type="dxa" w:w="70"/>
              <w:left w:type="dxa" w:w="120"/>
              <w:bottom w:type="dxa" w:w="70"/>
              <w:right w:type="dxa" w:w="120"/>
            </w:tcMar>
          </w:tcPr>
          <w:p>
            <w:pPr>
              <w:spacing w:after="0"/>
            </w:pPr>
            <w:r>
              <w:rPr>
                <w:b/>
                <w:bCs/>
                <w:sz w:val="19"/>
                <w:szCs w:val="19"/>
              </w:rPr>
              <w:t xml:space="preserve">Vorfälle zwischen Nutzern</w:t>
            </w:r>
          </w:p>
        </w:tc>
        <w:tc>
          <w:tcPr>
            <w:tcW w:type="dxa" w:w="6760"/>
            <w:shd w:fill="F2F2F2" w:val="clear"/>
            <w:tcMar>
              <w:top w:type="dxa" w:w="70"/>
              <w:left w:type="dxa" w:w="120"/>
              <w:bottom w:type="dxa" w:w="70"/>
              <w:right w:type="dxa" w:w="120"/>
            </w:tcMar>
          </w:tcPr>
          <w:p>
            <w:pPr>
              <w:spacing w:after="0"/>
            </w:pPr>
            <w:r>
              <w:rPr>
                <w:sz w:val="19"/>
                <w:szCs w:val="19"/>
              </w:rPr>
              <w:t xml:space="preserve">Wir rechnen damit, dass es irgendwann einen Fall gibt, der Presse und Ermittler auf den Plan ruft. Wir wollen den Prozess vorher schriftlich haben.</w:t>
            </w:r>
          </w:p>
        </w:tc>
      </w:tr>
      <w:tr>
        <w:tc>
          <w:tcPr>
            <w:tcW w:type="dxa" w:w="2600"/>
            <w:shd w:fill="FFFFFF" w:val="clear"/>
            <w:tcMar>
              <w:top w:type="dxa" w:w="70"/>
              <w:left w:type="dxa" w:w="120"/>
              <w:bottom w:type="dxa" w:w="70"/>
              <w:right w:type="dxa" w:w="120"/>
            </w:tcMar>
          </w:tcPr>
          <w:p>
            <w:pPr>
              <w:spacing w:after="0"/>
            </w:pPr>
            <w:r>
              <w:rPr>
                <w:b/>
                <w:bCs/>
                <w:sz w:val="19"/>
                <w:szCs w:val="19"/>
              </w:rPr>
              <w:t xml:space="preserve">Auskunftsersuchen</w:t>
            </w:r>
          </w:p>
        </w:tc>
        <w:tc>
          <w:tcPr>
            <w:tcW w:type="dxa" w:w="6760"/>
            <w:shd w:fill="FFFFFF" w:val="clear"/>
            <w:tcMar>
              <w:top w:type="dxa" w:w="70"/>
              <w:left w:type="dxa" w:w="120"/>
              <w:bottom w:type="dxa" w:w="70"/>
              <w:right w:type="dxa" w:w="120"/>
            </w:tcMar>
          </w:tcPr>
          <w:p>
            <w:pPr>
              <w:spacing w:after="0"/>
            </w:pPr>
            <w:r>
              <w:rPr>
                <w:sz w:val="19"/>
                <w:szCs w:val="19"/>
              </w:rPr>
              <w:t xml:space="preserve">Unsere Architektur ist bewusst datenarm. Wir wollen wissen, was wir herausgeben müssen, was wir herausgeben dürfen und was wir gar nicht erst haben sollten.</w:t>
            </w:r>
          </w:p>
        </w:tc>
      </w:tr>
      <w:tr>
        <w:tc>
          <w:tcPr>
            <w:tcW w:type="dxa" w:w="2600"/>
            <w:shd w:fill="F2F2F2" w:val="clear"/>
            <w:tcMar>
              <w:top w:type="dxa" w:w="70"/>
              <w:left w:type="dxa" w:w="120"/>
              <w:bottom w:type="dxa" w:w="70"/>
              <w:right w:type="dxa" w:w="120"/>
            </w:tcMar>
          </w:tcPr>
          <w:p>
            <w:pPr>
              <w:spacing w:after="0"/>
            </w:pPr>
            <w:r>
              <w:rPr>
                <w:b/>
                <w:bCs/>
                <w:sz w:val="19"/>
                <w:szCs w:val="19"/>
              </w:rPr>
              <w:t xml:space="preserve">Geschäftsführerhaftung</w:t>
            </w:r>
          </w:p>
        </w:tc>
        <w:tc>
          <w:tcPr>
            <w:tcW w:type="dxa" w:w="6760"/>
            <w:shd w:fill="F2F2F2" w:val="clear"/>
            <w:tcMar>
              <w:top w:type="dxa" w:w="70"/>
              <w:left w:type="dxa" w:w="120"/>
              <w:bottom w:type="dxa" w:w="70"/>
              <w:right w:type="dxa" w:w="120"/>
            </w:tcMar>
          </w:tcPr>
          <w:p>
            <w:pPr>
              <w:spacing w:after="0"/>
            </w:pPr>
            <w:r>
              <w:rPr>
                <w:sz w:val="19"/>
                <w:szCs w:val="19"/>
              </w:rPr>
              <w:t xml:space="preserve">Uns interessiert, wofür wir persönlich einstehen — auch bei sorgfältiger Organisation.</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DF3E7" w:val="clear"/>
            <w:tcMar>
              <w:top w:type="dxa" w:w="120"/>
              <w:left w:type="dxa" w:w="160"/>
              <w:bottom w:type="dxa" w:w="120"/>
              <w:right w:type="dxa" w:w="160"/>
            </w:tcMar>
          </w:tcPr>
          <w:p>
            <w:pPr>
              <w:spacing w:after="60"/>
            </w:pPr>
            <w:r>
              <w:rPr>
                <w:b/>
                <w:bCs/>
                <w:color w:val="1F3A5F"/>
              </w:rPr>
              <w:t xml:space="preserve">Unsere Grundannahme, die wir bestätigt haben wollen</w:t>
            </w:r>
          </w:p>
          <w:p>
            <w:pPr>
              <w:spacing w:after="40"/>
            </w:pPr>
            <w:r>
              <w:rPr>
                <w:b/>
                <w:bCs/>
              </w:rPr>
              <w:t xml:space="preserve">Datenminimierung ist unsere beste Verteidigung.</w:t>
            </w:r>
            <w:r>
              <w:t xml:space="preserve"> Was nicht gespeichert wird, kann nicht herausgegeben, nicht beschlagnahmt und nicht geleakt werden.</w:t>
            </w:r>
          </w:p>
          <w:p>
            <w:pPr>
              <w:spacing w:after="40"/>
            </w:pPr>
            <w:r>
              <w:t xml:space="preserve">Zugleich sagen wir Nutzern offen: </w:t>
            </w:r>
            <w:r>
              <w:rPr>
                <w:i/>
                <w:iCs/>
              </w:rPr>
              <w:t xml:space="preserve">„Wir können dich nicht identifizieren. Ein Gericht kann es über unseren Prüfpartner. Genau deshalb ist diese App für Täter uninteressant."</w:t>
            </w:r>
            <w:r>
              <w:t xml:space="preserve"> Wir wollen wissen, ob dieser Satz zutrifft — und ob er uns schadet oder hilft.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DF2F8" w:val="clear"/>
            <w:tcMar>
              <w:top w:type="dxa" w:w="120"/>
              <w:left w:type="dxa" w:w="160"/>
              <w:bottom w:type="dxa" w:w="120"/>
              <w:right w:type="dxa" w:w="160"/>
            </w:tcMar>
          </w:tcPr>
          <w:p>
            <w:pPr>
              <w:spacing w:after="60"/>
            </w:pPr>
            <w:r>
              <w:rPr>
                <w:b/>
                <w:bCs/>
                <w:color w:val="1F3A5F"/>
              </w:rPr>
              <w:t xml:space="preserve">Unsere Frage an Sie</w:t>
            </w:r>
          </w:p>
          <w:p>
            <w:pPr>
              <w:spacing w:after="40"/>
            </w:pPr>
            <w:r>
              <w:t xml:space="preserve">Welche Daten </w:t>
            </w:r>
            <w:r>
              <w:rPr>
                <w:b/>
                <w:bCs/>
              </w:rPr>
              <w:t xml:space="preserve">müssen</w:t>
            </w:r>
            <w:r>
              <w:t xml:space="preserve"> wir vorhalten, und wie lange? Gibt es Aufbewahrungspflichten, die unserer Datensparsamkeit entgegenstehen?</w:t>
            </w:r>
          </w:p>
          <w:p>
            <w:pPr>
              <w:spacing w:after="40"/>
            </w:pPr>
            <w:r>
              <w:t xml:space="preserve">Wie läuft ein Auskunftsersuchen ab, wer darf es stellen, und wann dürfen wir es zurückweisen? Wir hätten gern eine Ablaufbeschreibung für den Ernstfall.</w:t>
            </w:r>
          </w:p>
          <w:p>
            <w:pPr>
              <w:spacing w:after="40"/>
            </w:pPr>
            <w:r>
              <w:t xml:space="preserve">Wann sind wir </w:t>
            </w:r>
            <w:r>
              <w:rPr>
                <w:b/>
                <w:bCs/>
              </w:rPr>
              <w:t xml:space="preserve">verpflichtet</w:t>
            </w:r>
            <w:r>
              <w:t xml:space="preserve">, eine Straftat zu melden, und wann machen wir uns durch eine Meldung angreifbar?</w:t>
            </w:r>
          </w:p>
          <w:p>
            <w:pPr>
              <w:spacing w:after="40"/>
            </w:pPr>
            <w:r>
              <w:t xml:space="preserve">Trifft unsere Aussage zur Nichtidentifizierbarkeit zu, oder ist sie zu weitgehend?</w:t>
            </w:r>
          </w:p>
          <w:p>
            <w:pPr>
              <w:spacing w:after="40"/>
            </w:pPr>
            <w:r>
              <w:t xml:space="preserve">Wofür haften wir als Geschäftsführer persönlich, wenn ein Nutzer einem anderen schadet — und was verlangt eine ordentliche Organisation von uns?</w:t>
            </w:r>
          </w:p>
          <w:p>
            <w:pPr>
              <w:spacing w:after="40"/>
            </w:pPr>
            <w:r>
              <w:t xml:space="preserve">Ist eine </w:t>
            </w:r>
            <w:r>
              <w:rPr>
                <w:b/>
                <w:bCs/>
              </w:rPr>
              <w:t xml:space="preserve">Versicherung</w:t>
            </w:r>
            <w:r>
              <w:t xml:space="preserve"> sinnvoll, und welche? Cyber, D&amp;O, Betriebshaftpflicht?</w:t>
            </w:r>
          </w:p>
          <w:p>
            <w:pPr>
              <w:spacing w:after="40"/>
            </w:pPr>
            <w:r>
              <w:t xml:space="preserve">Zum Hash-Abgleich: Welche Anbieter sind aus Ihrer Sicht datenschutzrechtlich gangbar, wenn das Bild die EU nicht verlassen soll?</w:t>
            </w:r>
          </w:p>
        </w:tc>
      </w:tr>
    </w:tbl>
    <w:p>
      <w:r>
        <w:br w:type="page"/>
      </w:r>
    </w:p>
    <w:p>
      <w:pPr>
        <w:pStyle w:val="Heading2"/>
        <w:spacing w:after="120" w:before="280"/>
      </w:pPr>
      <w:r>
        <w:rPr>
          <w:color w:val="1F3A5F"/>
        </w:rPr>
        <w:t xml:space="preserve">B13 · Sozialversicherung und Krankenversicherung</w:t>
      </w:r>
    </w:p>
    <w:p>
      <w:pPr>
        <w:spacing w:after="120" w:before="0"/>
      </w:pPr>
      <w:r>
        <w:rPr>
          <w:b/>
          <w:bCs/>
        </w:rPr>
        <w:t xml:space="preserve">Ausgangslage.</w:t>
      </w:r>
      <w:r>
        <w:t xml:space="preserve"> Wir werden voraussichtlich beide Gesellschafter-Geschäftsführer mit je 50 Prozent, zunächst ohne Gehalt. Beide sind jung und derzeit über die Familie versichert.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DF3E7" w:val="clear"/>
            <w:tcMar>
              <w:top w:type="dxa" w:w="120"/>
              <w:left w:type="dxa" w:w="160"/>
              <w:bottom w:type="dxa" w:w="120"/>
              <w:right w:type="dxa" w:w="160"/>
            </w:tcMar>
          </w:tcPr>
          <w:p>
            <w:pPr>
              <w:spacing w:after="60"/>
            </w:pPr>
            <w:r>
              <w:rPr>
                <w:b/>
                <w:bCs/>
                <w:color w:val="1F3A5F"/>
              </w:rPr>
              <w:t xml:space="preserve">Der Punkt, der uns am meisten Sorge macht</w:t>
            </w:r>
          </w:p>
          <w:p>
            <w:pPr>
              <w:spacing w:after="40"/>
            </w:pPr>
            <w:r>
              <w:t xml:space="preserve">Nach unserem Verständnis ist eine </w:t>
            </w:r>
            <w:r>
              <w:rPr>
                <w:b/>
                <w:bCs/>
              </w:rPr>
              <w:t xml:space="preserve">hauptberuflich selbständige Tätigkeit von der Familienversicherung ausgeschlossen.</w:t>
            </w:r>
            <w:r>
              <w:t xml:space="preserve"> Wenn wir also nach dem Abitur Vollzeit für die eigene GmbH arbeiten, entfällt die Mitversicherung — auch ohne Gehalt.</w:t>
            </w:r>
          </w:p>
          <w:p>
            <w:pPr>
              <w:spacing w:after="40"/>
            </w:pPr>
            <w:r>
              <w:t xml:space="preserve">Damit entstünde ab Gründung ein monatlicher Fixkostenblock, den unser Finanzmodell mit etwa 200 € je Person ansetzt. </w:t>
            </w:r>
            <w:r>
              <w:rPr>
                <w:b/>
                <w:bCs/>
              </w:rPr>
              <w:t xml:space="preserve">Bei zwei Personen über zwei Jahre sind das rund 9.600 €</w:t>
            </w:r>
            <w:r>
              <w:t xml:space="preserve">, die niemand plant und die niemandem auffallen, bis der erste Bescheid kommt.</w:t>
            </w:r>
          </w:p>
          <w:p>
            <w:pPr>
              <w:spacing w:after="40"/>
            </w:pPr>
            <w:r>
              <w:t xml:space="preserve">Wir wollen wissen, ob das zutrifft, ab welchem Zeitpunkt es greift und ob es eine Gestaltung gibt, die den Übergang abfedert.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DF2F8" w:val="clear"/>
            <w:tcMar>
              <w:top w:type="dxa" w:w="120"/>
              <w:left w:type="dxa" w:w="160"/>
              <w:bottom w:type="dxa" w:w="120"/>
              <w:right w:type="dxa" w:w="160"/>
            </w:tcMar>
          </w:tcPr>
          <w:p>
            <w:pPr>
              <w:spacing w:after="60"/>
            </w:pPr>
            <w:r>
              <w:rPr>
                <w:b/>
                <w:bCs/>
                <w:color w:val="1F3A5F"/>
              </w:rPr>
              <w:t xml:space="preserve">Unsere Frage an Sie</w:t>
            </w:r>
          </w:p>
          <w:p>
            <w:pPr>
              <w:spacing w:after="40"/>
            </w:pPr>
            <w:r>
              <w:t xml:space="preserve">Sind wir als 50/50-Gesellschafter-Geschäftsführer sozialversicherungspflichtig oder selbständig? Ist ein </w:t>
            </w:r>
            <w:r>
              <w:rPr>
                <w:b/>
                <w:bCs/>
              </w:rPr>
              <w:t xml:space="preserve">Statusfeststellungsverfahren</w:t>
            </w:r>
            <w:r>
              <w:t xml:space="preserve"> bei der Deutschen Rentenversicherung sinnvoll, und wann sollten wir es einleiten?</w:t>
            </w:r>
          </w:p>
          <w:p>
            <w:pPr>
              <w:spacing w:after="40"/>
            </w:pPr>
            <w:r>
              <w:t xml:space="preserve">Ab wann entfällt die Familienversicherung — mit der Gründung, mit dem Abitur, mit dem ersten Gehalt?</w:t>
            </w:r>
          </w:p>
          <w:p>
            <w:pPr>
              <w:spacing w:after="40"/>
            </w:pPr>
            <w:r>
              <w:t xml:space="preserve">Was kostet die freiwillige gesetzliche Versicherung ohne Einkommen, und gibt es einen Mindestbeitrag?</w:t>
            </w:r>
          </w:p>
          <w:p>
            <w:pPr>
              <w:spacing w:after="40"/>
            </w:pPr>
            <w:r>
              <w:t xml:space="preserve">Wenn wir während der Vorbereitung noch zur Schule gehen: Ändert die bloße Gesellschafterstellung ohne Tätigkeit etwas?</w:t>
            </w:r>
          </w:p>
          <w:p>
            <w:pPr>
              <w:spacing w:after="40"/>
            </w:pPr>
            <w:r>
              <w:t xml:space="preserve">Wie wirkt ein Gründungsstipendium auf den Versicherungsstatus?</w:t>
            </w:r>
          </w:p>
          <w:p>
            <w:pPr>
              <w:spacing w:after="40"/>
            </w:pPr>
            <w:r>
              <w:t xml:space="preserve">Falls wir später jemanden beschäftigen — Minijob, Werkstudent oder freie Mitarbeit: Wo liegt die Grenze zur Scheinselbständigkeit? Uns ist bewusst, dass Moderationskräfte typische Grenzfälle sind.</w:t>
            </w:r>
          </w:p>
        </w:tc>
      </w:tr>
    </w:tbl>
    <w:p>
      <w:r>
        <w:br w:type="page"/>
      </w:r>
    </w:p>
    <w:p>
      <w:pPr>
        <w:pStyle w:val="Heading2"/>
        <w:spacing w:after="120" w:before="280"/>
      </w:pPr>
      <w:r>
        <w:rPr>
          <w:color w:val="1F3A5F"/>
        </w:rPr>
        <w:t xml:space="preserve">B14 · Steuerrecht — nur die Schnittstellen</w:t>
      </w:r>
    </w:p>
    <w:p>
      <w:pPr>
        <w:spacing w:after="120" w:before="0"/>
      </w:pPr>
      <w:r>
        <w:t xml:space="preserve">Uns ist bewusst, dass Steuerberatung nicht Ihre Aufgabe ist. Wir listen die Punkte auf, damit Sie uns sagen können, </w:t>
      </w:r>
      <w:r>
        <w:rPr>
          <w:b/>
          <w:bCs/>
        </w:rPr>
        <w:t xml:space="preserve">welche davon zwingend vor der Gründung geklärt sein müssen</w:t>
      </w:r>
      <w:r>
        <w:t xml:space="preserve"> — dann suchen wir dafür einen Steuerberater, statt es später zu reparieren.</w:t>
      </w:r>
    </w:p>
    <w:p>
      <w:pPr>
        <w:pStyle w:val="ListParagraph"/>
        <w:numPr>
          <w:ilvl w:val="0"/>
          <w:numId w:val="2"/>
        </w:numPr>
        <w:spacing w:after="60"/>
      </w:pPr>
      <w:r>
        <w:rPr>
          <w:b/>
          <w:bCs/>
        </w:rPr>
        <w:t xml:space="preserve">Gründungsaufwand</w:t>
      </w:r>
      <w:r>
        <w:t xml:space="preserve"> im Gesellschaftsvertrag benennen und begrenzen, damit die GmbH ihn tragen darf.</w:t>
      </w:r>
    </w:p>
    <w:p>
      <w:pPr>
        <w:pStyle w:val="ListParagraph"/>
        <w:numPr>
          <w:ilvl w:val="0"/>
          <w:numId w:val="2"/>
        </w:numPr>
        <w:spacing w:after="60"/>
      </w:pPr>
      <w:r>
        <w:rPr>
          <w:b/>
          <w:bCs/>
        </w:rPr>
        <w:t xml:space="preserve">Holding-Struktur</w:t>
      </w:r>
      <w:r>
        <w:t xml:space="preserve">: Uns ist bekannt, dass eine Holding beim späteren Anteilsverkauf steuerlich vorteilhaft sein kann und dass sie </w:t>
      </w:r>
      <w:r>
        <w:rPr>
          <w:b/>
          <w:bCs/>
        </w:rPr>
        <w:t xml:space="preserve">vor</w:t>
      </w:r>
      <w:r>
        <w:t xml:space="preserve"> der Wertentstehung stehen muss. Gegenrechnung: 2.000 bis 3.500 € jährlich.</w:t>
      </w:r>
    </w:p>
    <w:p>
      <w:pPr>
        <w:pStyle w:val="ListParagraph"/>
        <w:numPr>
          <w:ilvl w:val="0"/>
          <w:numId w:val="2"/>
        </w:numPr>
        <w:spacing w:after="60"/>
      </w:pPr>
      <w:r>
        <w:rPr>
          <w:b/>
          <w:bCs/>
        </w:rPr>
        <w:t xml:space="preserve">Umsatzsteuer bei App-Store-Verkäufen</w:t>
      </w:r>
      <w:r>
        <w:t xml:space="preserve"> gegenüber dem Direktverkauf über die eigene Website — nach unserem Verständnis zwei unterschiedliche Behandlungen.</w:t>
      </w:r>
    </w:p>
    <w:p>
      <w:pPr>
        <w:pStyle w:val="ListParagraph"/>
        <w:numPr>
          <w:ilvl w:val="0"/>
          <w:numId w:val="2"/>
        </w:numPr>
        <w:spacing w:after="60"/>
      </w:pPr>
      <w:r>
        <w:rPr>
          <w:b/>
          <w:bCs/>
        </w:rPr>
        <w:t xml:space="preserve">OSS-Verfahren</w:t>
      </w:r>
      <w:r>
        <w:t xml:space="preserve">, sobald wir Nutzer in Österreich haben; Schweizer Umsatzsteuer vor einem Marktstart in der Schweiz.</w:t>
      </w:r>
    </w:p>
    <w:p>
      <w:pPr>
        <w:pStyle w:val="ListParagraph"/>
        <w:numPr>
          <w:ilvl w:val="0"/>
          <w:numId w:val="2"/>
        </w:numPr>
        <w:spacing w:after="60"/>
      </w:pPr>
      <w:r>
        <w:rPr>
          <w:b/>
          <w:bCs/>
        </w:rPr>
        <w:t xml:space="preserve">Gewerbesteuer-Hebesatz</w:t>
      </w:r>
      <w:r>
        <w:t xml:space="preserve"> der Sitzgemeinde — ein Kriterium der Sitzwahl.</w:t>
      </w:r>
    </w:p>
    <w:p>
      <w:pPr>
        <w:pStyle w:val="ListParagraph"/>
        <w:numPr>
          <w:ilvl w:val="0"/>
          <w:numId w:val="2"/>
        </w:numPr>
        <w:spacing w:after="60"/>
      </w:pPr>
      <w:r>
        <w:rPr>
          <w:b/>
          <w:bCs/>
        </w:rPr>
        <w:t xml:space="preserve">Verdeckte Gewinnausschüttung</w:t>
      </w:r>
      <w:r>
        <w:t xml:space="preserve"> bei Geschäftsführervergütung ohne Vertrag oder in unangemessener Höhe.</w:t>
      </w:r>
    </w:p>
    <w:p>
      <w:pPr>
        <w:pStyle w:val="ListParagraph"/>
        <w:numPr>
          <w:ilvl w:val="0"/>
          <w:numId w:val="2"/>
        </w:numPr>
        <w:spacing w:after="60"/>
      </w:pPr>
      <w:r>
        <w:rPr>
          <w:b/>
          <w:bCs/>
        </w:rPr>
        <w:t xml:space="preserve">Verlustvorträge</w:t>
      </w:r>
      <w:r>
        <w:t xml:space="preserve"> aus den Anlaufjahren und ihre Gefährdung bei einem späteren Gesellschafterwechsel.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DF2F8" w:val="clear"/>
            <w:tcMar>
              <w:top w:type="dxa" w:w="120"/>
              <w:left w:type="dxa" w:w="160"/>
              <w:bottom w:type="dxa" w:w="120"/>
              <w:right w:type="dxa" w:w="160"/>
            </w:tcMar>
          </w:tcPr>
          <w:p>
            <w:pPr>
              <w:spacing w:after="60"/>
            </w:pPr>
            <w:r>
              <w:rPr>
                <w:b/>
                <w:bCs/>
                <w:color w:val="1F3A5F"/>
              </w:rPr>
              <w:t xml:space="preserve">Unsere Frage an Sie</w:t>
            </w:r>
          </w:p>
          <w:p>
            <w:pPr>
              <w:spacing w:after="40"/>
            </w:pPr>
            <w:r>
              <w:t xml:space="preserve">Welche dieser Punkte müssen </w:t>
            </w:r>
            <w:r>
              <w:rPr>
                <w:b/>
                <w:bCs/>
              </w:rPr>
              <w:t xml:space="preserve">vor</w:t>
            </w:r>
            <w:r>
              <w:t xml:space="preserve"> der Beurkundung stehen, weil sie danach nicht mehr oder nur teuer zu ändern sind?</w:t>
            </w:r>
          </w:p>
          <w:p>
            <w:pPr>
              <w:spacing w:after="40"/>
            </w:pPr>
            <w:r>
              <w:t xml:space="preserve">Arbeiten Sie mit einem Steuerberater zusammen, den Sie uns empfehlen können — idealerweise mit Erfahrung bei Software und Plattformmodellen?</w:t>
            </w:r>
          </w:p>
          <w:p>
            <w:pPr>
              <w:spacing w:after="40"/>
            </w:pPr>
            <w:r>
              <w:t xml:space="preserve">Sollten Notar-, Anwalts- und Steuerberatertermin in einer bestimmten Reihenfolge stattfinden?</w:t>
            </w:r>
          </w:p>
        </w:tc>
      </w:tr>
    </w:tbl>
    <w:p>
      <w:pPr>
        <w:spacing w:after="80"/>
      </w:pPr>
    </w:p>
    <w:p>
      <w:pPr>
        <w:pStyle w:val="Heading2"/>
        <w:spacing w:after="120" w:before="280"/>
      </w:pPr>
      <w:r>
        <w:rPr>
          <w:color w:val="1F3A5F"/>
        </w:rPr>
        <w:t xml:space="preserve">B15 · Urheberrecht, Lizenzen und Vorarbeiten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F3A5F" w:val="clear"/>
            <w:tcMar>
              <w:top w:type="dxa" w:w="80"/>
              <w:left w:type="dxa" w:w="120"/>
              <w:bottom w:type="dxa" w:w="80"/>
              <w:right w:type="dxa" w:w="120"/>
            </w:tcMar>
          </w:tcPr>
          <w:p>
            <w:r>
              <w:rPr>
                <w:b/>
                <w:bCs/>
                <w:color w:val="FFFFFF"/>
                <w:sz w:val="19"/>
                <w:szCs w:val="19"/>
              </w:rPr>
              <w:t xml:space="preserve">Thema</w:t>
            </w:r>
          </w:p>
        </w:tc>
        <w:tc>
          <w:tcPr>
            <w:tcW w:type="dxa" w:w="6760"/>
            <w:shd w:fill="1F3A5F" w:val="clear"/>
            <w:tcMar>
              <w:top w:type="dxa" w:w="80"/>
              <w:left w:type="dxa" w:w="120"/>
              <w:bottom w:type="dxa" w:w="80"/>
              <w:right w:type="dxa" w:w="120"/>
            </w:tcMar>
          </w:tcPr>
          <w:p>
            <w:r>
              <w:rPr>
                <w:b/>
                <w:bCs/>
                <w:color w:val="FFFFFF"/>
                <w:sz w:val="19"/>
                <w:szCs w:val="19"/>
              </w:rPr>
              <w:t xml:space="preserve">Unsere Lage</w:t>
            </w:r>
          </w:p>
        </w:tc>
      </w:tr>
      <w:tr>
        <w:tc>
          <w:tcPr>
            <w:tcW w:type="dxa" w:w="2600"/>
            <w:shd w:fill="FFFFFF" w:val="clear"/>
            <w:tcMar>
              <w:top w:type="dxa" w:w="70"/>
              <w:left w:type="dxa" w:w="120"/>
              <w:bottom w:type="dxa" w:w="70"/>
              <w:right w:type="dxa" w:w="120"/>
            </w:tcMar>
          </w:tcPr>
          <w:p>
            <w:pPr>
              <w:spacing w:after="0"/>
            </w:pPr>
            <w:r>
              <w:rPr>
                <w:b/>
                <w:bCs/>
                <w:sz w:val="19"/>
                <w:szCs w:val="19"/>
              </w:rPr>
              <w:t xml:space="preserve">Open-Source-Lizenzen</w:t>
            </w:r>
          </w:p>
        </w:tc>
        <w:tc>
          <w:tcPr>
            <w:tcW w:type="dxa" w:w="6760"/>
            <w:shd w:fill="FFFFFF" w:val="clear"/>
            <w:tcMar>
              <w:top w:type="dxa" w:w="70"/>
              <w:left w:type="dxa" w:w="120"/>
              <w:bottom w:type="dxa" w:w="70"/>
              <w:right w:type="dxa" w:w="120"/>
            </w:tcMar>
          </w:tcPr>
          <w:p>
            <w:pPr>
              <w:spacing w:after="0"/>
            </w:pPr>
            <w:r>
              <w:rPr>
                <w:sz w:val="19"/>
                <w:szCs w:val="19"/>
              </w:rPr>
              <w:t xml:space="preserve">Wir bauen auf Open Source. Uns ist bekannt, dass starke Copyleft-Lizenzen bei einem netzwerkbasierten Dienst weitreichende Folgen haben können. Wir planen eine automatisierte Lizenzprüfung als festen Teil der Bauumgebung.</w:t>
            </w:r>
          </w:p>
        </w:tc>
      </w:tr>
      <w:tr>
        <w:tc>
          <w:tcPr>
            <w:tcW w:type="dxa" w:w="2600"/>
            <w:shd w:fill="F2F2F2" w:val="clear"/>
            <w:tcMar>
              <w:top w:type="dxa" w:w="70"/>
              <w:left w:type="dxa" w:w="120"/>
              <w:bottom w:type="dxa" w:w="70"/>
              <w:right w:type="dxa" w:w="120"/>
            </w:tcMar>
          </w:tcPr>
          <w:p>
            <w:pPr>
              <w:spacing w:after="0"/>
            </w:pPr>
            <w:r>
              <w:rPr>
                <w:b/>
                <w:bCs/>
                <w:sz w:val="19"/>
                <w:szCs w:val="19"/>
              </w:rPr>
              <w:t xml:space="preserve">KI-gestützte Entwicklung</w:t>
            </w:r>
          </w:p>
        </w:tc>
        <w:tc>
          <w:tcPr>
            <w:tcW w:type="dxa" w:w="6760"/>
            <w:shd w:fill="F2F2F2" w:val="clear"/>
            <w:tcMar>
              <w:top w:type="dxa" w:w="70"/>
              <w:left w:type="dxa" w:w="120"/>
              <w:bottom w:type="dxa" w:w="70"/>
              <w:right w:type="dxa" w:w="120"/>
            </w:tcMar>
          </w:tcPr>
          <w:p>
            <w:pPr>
              <w:spacing w:after="0"/>
            </w:pPr>
            <w:r>
              <w:rPr>
                <w:sz w:val="19"/>
                <w:szCs w:val="19"/>
              </w:rPr>
              <w:t xml:space="preserve">Wir setzen KI-Werkzeuge beim Programmieren ein. Unser Verständnis: Die kommerziellen Nutzungsrechte liegen bei uns; rein maschinelle Ausgaben genießen nach überwiegender Auffassung keinen Urheberrechtsschutz nach § 2 UrhG. Geschützt sind Architektur, Auswahl und Integration.</w:t>
            </w:r>
          </w:p>
        </w:tc>
      </w:tr>
      <w:tr>
        <w:tc>
          <w:tcPr>
            <w:tcW w:type="dxa" w:w="2600"/>
            <w:shd w:fill="FFFFFF" w:val="clear"/>
            <w:tcMar>
              <w:top w:type="dxa" w:w="70"/>
              <w:left w:type="dxa" w:w="120"/>
              <w:bottom w:type="dxa" w:w="70"/>
              <w:right w:type="dxa" w:w="120"/>
            </w:tcMar>
          </w:tcPr>
          <w:p>
            <w:pPr>
              <w:spacing w:after="0"/>
            </w:pPr>
            <w:r>
              <w:rPr>
                <w:b/>
                <w:bCs/>
                <w:sz w:val="19"/>
                <w:szCs w:val="19"/>
              </w:rPr>
              <w:t xml:space="preserve">Formulierung für Förderanträge</w:t>
            </w:r>
          </w:p>
        </w:tc>
        <w:tc>
          <w:tcPr>
            <w:tcW w:type="dxa" w:w="6760"/>
            <w:shd w:fill="FFFFFF" w:val="clear"/>
            <w:tcMar>
              <w:top w:type="dxa" w:w="70"/>
              <w:left w:type="dxa" w:w="120"/>
              <w:bottom w:type="dxa" w:w="70"/>
              <w:right w:type="dxa" w:w="120"/>
            </w:tcMar>
          </w:tcPr>
          <w:p>
            <w:pPr>
              <w:spacing w:after="0"/>
            </w:pPr>
            <w:r>
              <w:rPr>
                <w:sz w:val="19"/>
                <w:szCs w:val="19"/>
              </w:rPr>
              <w:t xml:space="preserve">Wir wollen im Businessplan schreiben: </w:t>
            </w:r>
            <w:r>
              <w:rPr>
                <w:i/>
                <w:iCs/>
                <w:sz w:val="19"/>
                <w:szCs w:val="19"/>
              </w:rPr>
              <w:t xml:space="preserve">„Die Entwicklung erfolgt inhouse. Architektur, Logik, Sicherheitsentscheidungen und Tests verantwortet der technische Gründer; KI-Werkzeuge beschleunigen die Umsetzung. Die kommerziellen Nutzungsrechte liegen vollständig bei der Gesellschaft."</w:t>
            </w:r>
            <w:r>
              <w:rPr>
                <w:sz w:val="19"/>
                <w:szCs w:val="19"/>
              </w:rPr>
              <w:t xml:space="preserve"> Bitte prüfen Sie diesen Satz — er steht in Förderanträgen und muss halten.</w:t>
            </w:r>
          </w:p>
        </w:tc>
      </w:tr>
      <w:tr>
        <w:tc>
          <w:tcPr>
            <w:tcW w:type="dxa" w:w="2600"/>
            <w:shd w:fill="F2F2F2" w:val="clear"/>
            <w:tcMar>
              <w:top w:type="dxa" w:w="70"/>
              <w:left w:type="dxa" w:w="120"/>
              <w:bottom w:type="dxa" w:w="70"/>
              <w:right w:type="dxa" w:w="120"/>
            </w:tcMar>
          </w:tcPr>
          <w:p>
            <w:pPr>
              <w:spacing w:after="0"/>
            </w:pPr>
            <w:r>
              <w:rPr>
                <w:b/>
                <w:bCs/>
                <w:sz w:val="19"/>
                <w:szCs w:val="19"/>
              </w:rPr>
              <w:t xml:space="preserve">Bilder von Orten</w:t>
            </w:r>
          </w:p>
        </w:tc>
        <w:tc>
          <w:tcPr>
            <w:tcW w:type="dxa" w:w="6760"/>
            <w:shd w:fill="F2F2F2" w:val="clear"/>
            <w:tcMar>
              <w:top w:type="dxa" w:w="70"/>
              <w:left w:type="dxa" w:w="120"/>
              <w:bottom w:type="dxa" w:w="70"/>
              <w:right w:type="dxa" w:w="120"/>
            </w:tcMar>
          </w:tcPr>
          <w:p>
            <w:pPr>
              <w:spacing w:after="0"/>
            </w:pPr>
            <w:r>
              <w:rPr>
                <w:sz w:val="19"/>
                <w:szCs w:val="19"/>
              </w:rPr>
              <w:t xml:space="preserve">Für Ortsporträts fotografieren wir Bars und Clubs. Hausrecht, Recht am eigenen Bild, Panoramafreiheit.</w:t>
            </w:r>
          </w:p>
        </w:tc>
      </w:tr>
      <w:tr>
        <w:tc>
          <w:tcPr>
            <w:tcW w:type="dxa" w:w="2600"/>
            <w:shd w:fill="FFFFFF" w:val="clear"/>
            <w:tcMar>
              <w:top w:type="dxa" w:w="70"/>
              <w:left w:type="dxa" w:w="120"/>
              <w:bottom w:type="dxa" w:w="70"/>
              <w:right w:type="dxa" w:w="120"/>
            </w:tcMar>
          </w:tcPr>
          <w:p>
            <w:pPr>
              <w:spacing w:after="0"/>
            </w:pPr>
            <w:r>
              <w:rPr>
                <w:b/>
                <w:bCs/>
                <w:sz w:val="19"/>
                <w:szCs w:val="19"/>
              </w:rPr>
              <w:t xml:space="preserve">Nutzerinhalte</w:t>
            </w:r>
          </w:p>
        </w:tc>
        <w:tc>
          <w:tcPr>
            <w:tcW w:type="dxa" w:w="6760"/>
            <w:shd w:fill="FFFFFF" w:val="clear"/>
            <w:tcMar>
              <w:top w:type="dxa" w:w="70"/>
              <w:left w:type="dxa" w:w="120"/>
              <w:bottom w:type="dxa" w:w="70"/>
              <w:right w:type="dxa" w:w="120"/>
            </w:tcMar>
          </w:tcPr>
          <w:p>
            <w:pPr>
              <w:spacing w:after="0"/>
            </w:pPr>
            <w:r>
              <w:rPr>
                <w:sz w:val="19"/>
                <w:szCs w:val="19"/>
              </w:rPr>
              <w:t xml:space="preserve">Wir brauchen eine Lizenz, um Bilder speichern, verkleinern und ausliefern zu dürfen — aber so eng wie möglich.</w:t>
            </w:r>
          </w:p>
        </w:tc>
      </w:tr>
      <w:tr>
        <w:tc>
          <w:tcPr>
            <w:tcW w:type="dxa" w:w="2600"/>
            <w:shd w:fill="F2F2F2" w:val="clear"/>
            <w:tcMar>
              <w:top w:type="dxa" w:w="70"/>
              <w:left w:type="dxa" w:w="120"/>
              <w:bottom w:type="dxa" w:w="70"/>
              <w:right w:type="dxa" w:w="120"/>
            </w:tcMar>
          </w:tcPr>
          <w:p>
            <w:pPr>
              <w:spacing w:after="0"/>
            </w:pPr>
            <w:r>
              <w:rPr>
                <w:b/>
                <w:bCs/>
                <w:sz w:val="19"/>
                <w:szCs w:val="19"/>
              </w:rPr>
              <w:t xml:space="preserve">Vorarbeiten</w:t>
            </w:r>
          </w:p>
        </w:tc>
        <w:tc>
          <w:tcPr>
            <w:tcW w:type="dxa" w:w="6760"/>
            <w:shd w:fill="F2F2F2" w:val="clear"/>
            <w:tcMar>
              <w:top w:type="dxa" w:w="70"/>
              <w:left w:type="dxa" w:w="120"/>
              <w:bottom w:type="dxa" w:w="70"/>
              <w:right w:type="dxa" w:w="120"/>
            </w:tcMar>
          </w:tcPr>
          <w:p>
            <w:pPr>
              <w:spacing w:after="0"/>
            </w:pPr>
            <w:r>
              <w:rPr>
                <w:sz w:val="19"/>
                <w:szCs w:val="19"/>
              </w:rPr>
              <w:t xml:space="preserve">Alles, was wir bis zur Gründung erstellen, entsteht bei uns persönlich und muss auf die GmbH übertragen werden. Siehe B3.</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DF2F8" w:val="clear"/>
            <w:tcMar>
              <w:top w:type="dxa" w:w="120"/>
              <w:left w:type="dxa" w:w="160"/>
              <w:bottom w:type="dxa" w:w="120"/>
              <w:right w:type="dxa" w:w="160"/>
            </w:tcMar>
          </w:tcPr>
          <w:p>
            <w:pPr>
              <w:spacing w:after="60"/>
            </w:pPr>
            <w:r>
              <w:rPr>
                <w:b/>
                <w:bCs/>
                <w:color w:val="1F3A5F"/>
              </w:rPr>
              <w:t xml:space="preserve">Unsere Frage an Sie</w:t>
            </w:r>
          </w:p>
          <w:p>
            <w:pPr>
              <w:spacing w:after="40"/>
            </w:pPr>
            <w:r>
              <w:t xml:space="preserve">Hält unsere Eigenleistungs-Formulierung einer Prüfung durch einen Förderprüfer stand?</w:t>
            </w:r>
          </w:p>
          <w:p>
            <w:pPr>
              <w:spacing w:after="40"/>
            </w:pPr>
            <w:r>
              <w:t xml:space="preserve">Welche Open-Source-Lizenzen sollten wir bei einem netzwerkbasierten Dienst grundsätzlich meiden?</w:t>
            </w:r>
          </w:p>
          <w:p>
            <w:pPr>
              <w:spacing w:after="40"/>
            </w:pPr>
            <w:r>
              <w:t xml:space="preserve">Wie eng dürfen wir die Lizenz an Nutzerinhalten fassen, ohne den Betrieb zu gefährden?</w:t>
            </w:r>
          </w:p>
          <w:p>
            <w:pPr>
              <w:spacing w:after="40"/>
            </w:pPr>
            <w:r>
              <w:t xml:space="preserve">Welche Form braucht die Übertragung unserer Vorarbeiten auf die GmbH, damit sie unangreifbar ist?</w:t>
            </w:r>
          </w:p>
        </w:tc>
      </w:tr>
    </w:tbl>
    <w:p>
      <w:r>
        <w:br w:type="page"/>
      </w:r>
    </w:p>
    <w:p>
      <w:pPr>
        <w:pStyle w:val="Heading1"/>
        <w:spacing w:after="160" w:before="360"/>
      </w:pPr>
      <w:r>
        <w:rPr>
          <w:color w:val="1F3A5F"/>
        </w:rPr>
        <w:t xml:space="preserve">Teil C — Fragenkatalog, priorisiert</w:t>
      </w:r>
    </w:p>
    <w:p>
      <w:pPr>
        <w:spacing w:after="120" w:before="0"/>
      </w:pPr>
      <w:r>
        <w:t xml:space="preserve">Wenn die Zeit knapp wird: </w:t>
      </w:r>
      <w:r>
        <w:rPr>
          <w:b/>
          <w:bCs/>
        </w:rPr>
        <w:t xml:space="preserve">C1 ist der Teil, den wir brauchen.</w:t>
      </w:r>
      <w:r>
        <w:t xml:space="preserve"> C2 und C3 können wir schriftlich nachreichen oder in einem zweiten Termin klären.</w:t>
      </w:r>
    </w:p>
    <w:p>
      <w:pPr>
        <w:spacing w:after="80"/>
      </w:pPr>
    </w:p>
    <w:p>
      <w:pPr>
        <w:pStyle w:val="Heading2"/>
        <w:spacing w:after="120" w:before="280"/>
      </w:pPr>
      <w:r>
        <w:rPr>
          <w:color w:val="1F3A5F"/>
        </w:rPr>
        <w:t xml:space="preserve">C1 · K.-o.-Fragen — ohne Antwort können wir nicht weiterplanen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3100"/>
      </w:tblGrid>
      <w:tr>
        <w:trPr>
          <w:tblHeader/>
        </w:trPr>
        <w:tc>
          <w:tcPr>
            <w:tcW w:type="dxa" w:w="700"/>
            <w:shd w:fill="1F3A5F" w:val="clear"/>
            <w:tcMar>
              <w:top w:type="dxa" w:w="80"/>
              <w:left w:type="dxa" w:w="120"/>
              <w:bottom w:type="dxa" w:w="80"/>
              <w:right w:type="dxa" w:w="120"/>
            </w:tcMar>
          </w:tcPr>
          <w:p>
            <w:r>
              <w:rPr>
                <w:b/>
                <w:bCs/>
                <w:color w:val="FFFFFF"/>
                <w:sz w:val="19"/>
                <w:szCs w:val="19"/>
              </w:rPr>
              <w:t xml:space="preserve">#</w:t>
            </w:r>
          </w:p>
        </w:tc>
        <w:tc>
          <w:tcPr>
            <w:tcW w:type="dxa" w:w="5560"/>
            <w:shd w:fill="1F3A5F" w:val="clear"/>
            <w:tcMar>
              <w:top w:type="dxa" w:w="80"/>
              <w:left w:type="dxa" w:w="120"/>
              <w:bottom w:type="dxa" w:w="80"/>
              <w:right w:type="dxa" w:w="120"/>
            </w:tcMar>
          </w:tcPr>
          <w:p>
            <w:r>
              <w:rPr>
                <w:b/>
                <w:bCs/>
                <w:color w:val="FFFFFF"/>
                <w:sz w:val="19"/>
                <w:szCs w:val="19"/>
              </w:rPr>
              <w:t xml:space="preserve">Frage</w:t>
            </w:r>
          </w:p>
        </w:tc>
        <w:tc>
          <w:tcPr>
            <w:tcW w:type="dxa" w:w="3100"/>
            <w:shd w:fill="1F3A5F" w:val="clear"/>
            <w:tcMar>
              <w:top w:type="dxa" w:w="80"/>
              <w:left w:type="dxa" w:w="120"/>
              <w:bottom w:type="dxa" w:w="80"/>
              <w:right w:type="dxa" w:w="120"/>
            </w:tcMar>
          </w:tcPr>
          <w:p>
            <w:r>
              <w:rPr>
                <w:b/>
                <w:bCs/>
                <w:color w:val="FFFFFF"/>
                <w:sz w:val="19"/>
                <w:szCs w:val="19"/>
              </w:rPr>
              <w:t xml:space="preserve">Was davon abhängt</w:t>
            </w:r>
          </w:p>
        </w:tc>
      </w:tr>
      <w:tr>
        <w:tc>
          <w:tcPr>
            <w:tcW w:type="dxa" w:w="700"/>
            <w:shd w:fill="FFFFFF" w:val="clear"/>
            <w:tcMar>
              <w:top w:type="dxa" w:w="70"/>
              <w:left w:type="dxa" w:w="120"/>
              <w:bottom w:type="dxa" w:w="70"/>
              <w:right w:type="dxa" w:w="120"/>
            </w:tcMar>
          </w:tcPr>
          <w:p>
            <w:pPr>
              <w:spacing w:after="0"/>
            </w:pPr>
            <w:r>
              <w:rPr>
                <w:sz w:val="19"/>
                <w:szCs w:val="19"/>
              </w:rPr>
              <w:t xml:space="preserve">1</w:t>
            </w:r>
          </w:p>
        </w:tc>
        <w:tc>
          <w:tcPr>
            <w:tcW w:type="dxa" w:w="5560"/>
            <w:shd w:fill="FFFFFF" w:val="clear"/>
            <w:tcMar>
              <w:top w:type="dxa" w:w="70"/>
              <w:left w:type="dxa" w:w="120"/>
              <w:bottom w:type="dxa" w:w="70"/>
              <w:right w:type="dxa" w:w="120"/>
            </w:tcMar>
          </w:tcPr>
          <w:p>
            <w:pPr>
              <w:spacing w:after="0"/>
            </w:pPr>
            <w:r>
              <w:rPr>
                <w:sz w:val="19"/>
                <w:szCs w:val="19"/>
              </w:rPr>
              <w:t xml:space="preserve">Löst unser Konzept die Pflicht zur geschlossenen Benutzergruppe nach § 4 Abs. 2 JMStV aus — vollständig, nur für den Album-Bereich, oder gar nicht?</w:t>
            </w:r>
          </w:p>
        </w:tc>
        <w:tc>
          <w:tcPr>
            <w:tcW w:type="dxa" w:w="3100"/>
            <w:shd w:fill="FFFFFF" w:val="clear"/>
            <w:tcMar>
              <w:top w:type="dxa" w:w="70"/>
              <w:left w:type="dxa" w:w="120"/>
              <w:bottom w:type="dxa" w:w="70"/>
              <w:right w:type="dxa" w:w="120"/>
            </w:tcMar>
          </w:tcPr>
          <w:p>
            <w:pPr>
              <w:spacing w:after="0"/>
            </w:pPr>
            <w:r>
              <w:rPr>
                <w:sz w:val="19"/>
                <w:szCs w:val="19"/>
              </w:rPr>
              <w:t xml:space="preserve">Verifizierungskosten, Trichter, gesamtes Geschäftsmodell. Muss vor dem ersten Produktivcode stehen.</w:t>
            </w:r>
          </w:p>
        </w:tc>
      </w:tr>
      <w:tr>
        <w:tc>
          <w:tcPr>
            <w:tcW w:type="dxa" w:w="700"/>
            <w:shd w:fill="F2F2F2" w:val="clear"/>
            <w:tcMar>
              <w:top w:type="dxa" w:w="70"/>
              <w:left w:type="dxa" w:w="120"/>
              <w:bottom w:type="dxa" w:w="70"/>
              <w:right w:type="dxa" w:w="120"/>
            </w:tcMar>
          </w:tcPr>
          <w:p>
            <w:pPr>
              <w:spacing w:after="0"/>
            </w:pPr>
            <w:r>
              <w:rPr>
                <w:sz w:val="19"/>
                <w:szCs w:val="19"/>
              </w:rPr>
              <w:t xml:space="preserve">2</w:t>
            </w:r>
          </w:p>
        </w:tc>
        <w:tc>
          <w:tcPr>
            <w:tcW w:type="dxa" w:w="5560"/>
            <w:shd w:fill="F2F2F2" w:val="clear"/>
            <w:tcMar>
              <w:top w:type="dxa" w:w="70"/>
              <w:left w:type="dxa" w:w="120"/>
              <w:bottom w:type="dxa" w:w="70"/>
              <w:right w:type="dxa" w:w="120"/>
            </w:tcMar>
          </w:tcPr>
          <w:p>
            <w:pPr>
              <w:spacing w:after="0"/>
            </w:pPr>
            <w:r>
              <w:rPr>
                <w:sz w:val="19"/>
                <w:szCs w:val="19"/>
              </w:rPr>
              <w:t xml:space="preserve">Ist beidseitig freigegebener 1:1-Bildaustausch Individualkommunikation oder ein Zugänglichmachen durch uns?</w:t>
            </w:r>
          </w:p>
        </w:tc>
        <w:tc>
          <w:tcPr>
            <w:tcW w:type="dxa" w:w="3100"/>
            <w:shd w:fill="F2F2F2" w:val="clear"/>
            <w:tcMar>
              <w:top w:type="dxa" w:w="70"/>
              <w:left w:type="dxa" w:w="120"/>
              <w:bottom w:type="dxa" w:w="70"/>
              <w:right w:type="dxa" w:w="120"/>
            </w:tcMar>
          </w:tcPr>
          <w:p>
            <w:pPr>
              <w:spacing w:after="0"/>
            </w:pPr>
            <w:r>
              <w:rPr>
                <w:sz w:val="19"/>
                <w:szCs w:val="19"/>
              </w:rPr>
              <w:t xml:space="preserve">Ob wir private Alben überhaupt bauen.</w:t>
            </w:r>
          </w:p>
        </w:tc>
      </w:tr>
      <w:tr>
        <w:tc>
          <w:tcPr>
            <w:tcW w:type="dxa" w:w="700"/>
            <w:shd w:fill="FFFFFF" w:val="clear"/>
            <w:tcMar>
              <w:top w:type="dxa" w:w="70"/>
              <w:left w:type="dxa" w:w="120"/>
              <w:bottom w:type="dxa" w:w="70"/>
              <w:right w:type="dxa" w:w="120"/>
            </w:tcMar>
          </w:tcPr>
          <w:p>
            <w:pPr>
              <w:spacing w:after="0"/>
            </w:pPr>
            <w:r>
              <w:rPr>
                <w:sz w:val="19"/>
                <w:szCs w:val="19"/>
              </w:rPr>
              <w:t xml:space="preserve">3</w:t>
            </w:r>
          </w:p>
        </w:tc>
        <w:tc>
          <w:tcPr>
            <w:tcW w:type="dxa" w:w="5560"/>
            <w:shd w:fill="FFFFFF" w:val="clear"/>
            <w:tcMar>
              <w:top w:type="dxa" w:w="70"/>
              <w:left w:type="dxa" w:w="120"/>
              <w:bottom w:type="dxa" w:w="70"/>
              <w:right w:type="dxa" w:w="120"/>
            </w:tcMar>
          </w:tcPr>
          <w:p>
            <w:pPr>
              <w:spacing w:after="0"/>
            </w:pPr>
            <w:r>
              <w:rPr>
                <w:b/>
                <w:bCs/>
                <w:sz w:val="19"/>
                <w:szCs w:val="19"/>
              </w:rPr>
              <w:t xml:space="preserve">Wann sollten wir gründen</w:t>
            </w:r>
            <w:r>
              <w:rPr>
                <w:sz w:val="19"/>
                <w:szCs w:val="19"/>
              </w:rPr>
              <w:t xml:space="preserve">, wenn der reale Start Sommer 2028 ist?</w:t>
            </w:r>
          </w:p>
        </w:tc>
        <w:tc>
          <w:tcPr>
            <w:tcW w:type="dxa" w:w="3100"/>
            <w:shd w:fill="FFFFFF" w:val="clear"/>
            <w:tcMar>
              <w:top w:type="dxa" w:w="70"/>
              <w:left w:type="dxa" w:w="120"/>
              <w:bottom w:type="dxa" w:w="70"/>
              <w:right w:type="dxa" w:w="120"/>
            </w:tcMar>
          </w:tcPr>
          <w:p>
            <w:pPr>
              <w:spacing w:after="0"/>
            </w:pPr>
            <w:r>
              <w:rPr>
                <w:sz w:val="19"/>
                <w:szCs w:val="19"/>
              </w:rPr>
              <w:t xml:space="preserve">Zwei Jahre laufende Kosten und Pflichten gegen zwei Jahre persönliche Haftung.</w:t>
            </w:r>
          </w:p>
        </w:tc>
      </w:tr>
      <w:tr>
        <w:tc>
          <w:tcPr>
            <w:tcW w:type="dxa" w:w="700"/>
            <w:shd w:fill="F2F2F2" w:val="clear"/>
            <w:tcMar>
              <w:top w:type="dxa" w:w="70"/>
              <w:left w:type="dxa" w:w="120"/>
              <w:bottom w:type="dxa" w:w="70"/>
              <w:right w:type="dxa" w:w="120"/>
            </w:tcMar>
          </w:tcPr>
          <w:p>
            <w:pPr>
              <w:spacing w:after="0"/>
            </w:pPr>
            <w:r>
              <w:rPr>
                <w:sz w:val="19"/>
                <w:szCs w:val="19"/>
              </w:rPr>
              <w:t xml:space="preserve">4</w:t>
            </w:r>
          </w:p>
        </w:tc>
        <w:tc>
          <w:tcPr>
            <w:tcW w:type="dxa" w:w="5560"/>
            <w:shd w:fill="F2F2F2" w:val="clear"/>
            <w:tcMar>
              <w:top w:type="dxa" w:w="70"/>
              <w:left w:type="dxa" w:w="120"/>
              <w:bottom w:type="dxa" w:w="70"/>
              <w:right w:type="dxa" w:w="120"/>
            </w:tcMar>
          </w:tcPr>
          <w:p>
            <w:pPr>
              <w:spacing w:after="0"/>
            </w:pPr>
            <w:r>
              <w:rPr>
                <w:sz w:val="19"/>
                <w:szCs w:val="19"/>
              </w:rPr>
              <w:t xml:space="preserve">Trägt unsere Einwilligungsformulierung den Wechsel des Verantwortlichen von uns auf die GmbH, oder brauchen wir eine erneute Einwilligung?</w:t>
            </w:r>
          </w:p>
        </w:tc>
        <w:tc>
          <w:tcPr>
            <w:tcW w:type="dxa" w:w="3100"/>
            <w:shd w:fill="F2F2F2" w:val="clear"/>
            <w:tcMar>
              <w:top w:type="dxa" w:w="70"/>
              <w:left w:type="dxa" w:w="120"/>
              <w:bottom w:type="dxa" w:w="70"/>
              <w:right w:type="dxa" w:w="120"/>
            </w:tcMar>
          </w:tcPr>
          <w:p>
            <w:pPr>
              <w:spacing w:after="0"/>
            </w:pPr>
            <w:r>
              <w:rPr>
                <w:sz w:val="19"/>
                <w:szCs w:val="19"/>
              </w:rPr>
              <w:t xml:space="preserve">Ob die gesamte Warteliste die Gründung überlebt. Nachträglich nicht heilbar.</w:t>
            </w:r>
          </w:p>
        </w:tc>
      </w:tr>
      <w:tr>
        <w:tc>
          <w:tcPr>
            <w:tcW w:type="dxa" w:w="700"/>
            <w:shd w:fill="FFFFFF" w:val="clear"/>
            <w:tcMar>
              <w:top w:type="dxa" w:w="70"/>
              <w:left w:type="dxa" w:w="120"/>
              <w:bottom w:type="dxa" w:w="70"/>
              <w:right w:type="dxa" w:w="120"/>
            </w:tcMar>
          </w:tcPr>
          <w:p>
            <w:pPr>
              <w:spacing w:after="0"/>
            </w:pPr>
            <w:r>
              <w:rPr>
                <w:sz w:val="19"/>
                <w:szCs w:val="19"/>
              </w:rPr>
              <w:t xml:space="preserve">5</w:t>
            </w:r>
          </w:p>
        </w:tc>
        <w:tc>
          <w:tcPr>
            <w:tcW w:type="dxa" w:w="5560"/>
            <w:shd w:fill="FFFFFF" w:val="clear"/>
            <w:tcMar>
              <w:top w:type="dxa" w:w="70"/>
              <w:left w:type="dxa" w:w="120"/>
              <w:bottom w:type="dxa" w:w="70"/>
              <w:right w:type="dxa" w:w="120"/>
            </w:tcMar>
          </w:tcPr>
          <w:p>
            <w:pPr>
              <w:spacing w:after="0"/>
            </w:pPr>
            <w:r>
              <w:rPr>
                <w:sz w:val="19"/>
                <w:szCs w:val="19"/>
              </w:rPr>
              <w:t xml:space="preserve">Greift Art. 9 DSGVO schon bei Postleitzahl und E-Mail-Adresse auf der Wartelistenseite?</w:t>
            </w:r>
          </w:p>
        </w:tc>
        <w:tc>
          <w:tcPr>
            <w:tcW w:type="dxa" w:w="3100"/>
            <w:shd w:fill="FFFFFF" w:val="clear"/>
            <w:tcMar>
              <w:top w:type="dxa" w:w="70"/>
              <w:left w:type="dxa" w:w="120"/>
              <w:bottom w:type="dxa" w:w="70"/>
              <w:right w:type="dxa" w:w="120"/>
            </w:tcMar>
          </w:tcPr>
          <w:p>
            <w:pPr>
              <w:spacing w:after="0"/>
            </w:pPr>
            <w:r>
              <w:rPr>
                <w:sz w:val="19"/>
                <w:szCs w:val="19"/>
              </w:rPr>
              <w:t xml:space="preserve">Formulierung der Einwilligung, Verzeichnis, Folgenabschätzung.</w:t>
            </w:r>
          </w:p>
        </w:tc>
      </w:tr>
      <w:tr>
        <w:tc>
          <w:tcPr>
            <w:tcW w:type="dxa" w:w="700"/>
            <w:shd w:fill="F2F2F2" w:val="clear"/>
            <w:tcMar>
              <w:top w:type="dxa" w:w="70"/>
              <w:left w:type="dxa" w:w="120"/>
              <w:bottom w:type="dxa" w:w="70"/>
              <w:right w:type="dxa" w:w="120"/>
            </w:tcMar>
          </w:tcPr>
          <w:p>
            <w:pPr>
              <w:spacing w:after="0"/>
            </w:pPr>
            <w:r>
              <w:rPr>
                <w:sz w:val="19"/>
                <w:szCs w:val="19"/>
              </w:rPr>
              <w:t xml:space="preserve">6</w:t>
            </w:r>
          </w:p>
        </w:tc>
        <w:tc>
          <w:tcPr>
            <w:tcW w:type="dxa" w:w="5560"/>
            <w:shd w:fill="F2F2F2" w:val="clear"/>
            <w:tcMar>
              <w:top w:type="dxa" w:w="70"/>
              <w:left w:type="dxa" w:w="120"/>
              <w:bottom w:type="dxa" w:w="70"/>
              <w:right w:type="dxa" w:w="120"/>
            </w:tcMar>
          </w:tcPr>
          <w:p>
            <w:pPr>
              <w:spacing w:after="0"/>
            </w:pPr>
            <w:r>
              <w:rPr>
                <w:sz w:val="19"/>
                <w:szCs w:val="19"/>
              </w:rPr>
              <w:t xml:space="preserve">Welche Datenschutz-Aufsichtsbehörde ist zuständig, solange wir in zwei Bundesländern wohnen und keine Gesellschaft besteht?</w:t>
            </w:r>
          </w:p>
        </w:tc>
        <w:tc>
          <w:tcPr>
            <w:tcW w:type="dxa" w:w="3100"/>
            <w:shd w:fill="F2F2F2" w:val="clear"/>
            <w:tcMar>
              <w:top w:type="dxa" w:w="70"/>
              <w:left w:type="dxa" w:w="120"/>
              <w:bottom w:type="dxa" w:w="70"/>
              <w:right w:type="dxa" w:w="120"/>
            </w:tcMar>
          </w:tcPr>
          <w:p>
            <w:pPr>
              <w:spacing w:after="0"/>
            </w:pPr>
            <w:r>
              <w:rPr>
                <w:sz w:val="19"/>
                <w:szCs w:val="19"/>
              </w:rPr>
              <w:t xml:space="preserve">Wen wir im Ernstfall binnen 72 Stunden erreichen müssen.</w:t>
            </w:r>
          </w:p>
        </w:tc>
      </w:tr>
      <w:tr>
        <w:tc>
          <w:tcPr>
            <w:tcW w:type="dxa" w:w="700"/>
            <w:shd w:fill="FFFFFF" w:val="clear"/>
            <w:tcMar>
              <w:top w:type="dxa" w:w="70"/>
              <w:left w:type="dxa" w:w="120"/>
              <w:bottom w:type="dxa" w:w="70"/>
              <w:right w:type="dxa" w:w="120"/>
            </w:tcMar>
          </w:tcPr>
          <w:p>
            <w:pPr>
              <w:spacing w:after="0"/>
            </w:pPr>
            <w:r>
              <w:rPr>
                <w:sz w:val="19"/>
                <w:szCs w:val="19"/>
              </w:rPr>
              <w:t xml:space="preserve">7</w:t>
            </w:r>
          </w:p>
        </w:tc>
        <w:tc>
          <w:tcPr>
            <w:tcW w:type="dxa" w:w="5560"/>
            <w:shd w:fill="FFFFFF" w:val="clear"/>
            <w:tcMar>
              <w:top w:type="dxa" w:w="70"/>
              <w:left w:type="dxa" w:w="120"/>
              <w:bottom w:type="dxa" w:w="70"/>
              <w:right w:type="dxa" w:w="120"/>
            </w:tcMar>
          </w:tcPr>
          <w:p>
            <w:pPr>
              <w:spacing w:after="0"/>
            </w:pPr>
            <w:r>
              <w:rPr>
                <w:sz w:val="19"/>
                <w:szCs w:val="19"/>
              </w:rPr>
              <w:t xml:space="preserve">Trägt eine gemietete ladungsfähige Anschrift mit Empfangsvollmacht für </w:t>
            </w:r>
            <w:r>
              <w:rPr>
                <w:b/>
                <w:bCs/>
                <w:sz w:val="19"/>
                <w:szCs w:val="19"/>
              </w:rPr>
              <w:t xml:space="preserve">zwei natürliche Personen</w:t>
            </w:r>
            <w:r>
              <w:rPr>
                <w:sz w:val="19"/>
                <w:szCs w:val="19"/>
              </w:rPr>
              <w:t xml:space="preserve"> vor der Gründung?</w:t>
            </w:r>
          </w:p>
        </w:tc>
        <w:tc>
          <w:tcPr>
            <w:tcW w:type="dxa" w:w="3100"/>
            <w:shd w:fill="FFFFFF" w:val="clear"/>
            <w:tcMar>
              <w:top w:type="dxa" w:w="70"/>
              <w:left w:type="dxa" w:w="120"/>
              <w:bottom w:type="dxa" w:w="70"/>
              <w:right w:type="dxa" w:w="120"/>
            </w:tcMar>
          </w:tcPr>
          <w:p>
            <w:pPr>
              <w:spacing w:after="0"/>
            </w:pPr>
            <w:r>
              <w:rPr>
                <w:sz w:val="19"/>
                <w:szCs w:val="19"/>
              </w:rPr>
              <w:t xml:space="preserve">Ob die Wartelistenseite live gehen kann, ohne dass wir vorher gründen.</w:t>
            </w:r>
          </w:p>
        </w:tc>
      </w:tr>
      <w:tr>
        <w:tc>
          <w:tcPr>
            <w:tcW w:type="dxa" w:w="700"/>
            <w:shd w:fill="F2F2F2" w:val="clear"/>
            <w:tcMar>
              <w:top w:type="dxa" w:w="70"/>
              <w:left w:type="dxa" w:w="120"/>
              <w:bottom w:type="dxa" w:w="70"/>
              <w:right w:type="dxa" w:w="120"/>
            </w:tcMar>
          </w:tcPr>
          <w:p>
            <w:pPr>
              <w:spacing w:after="0"/>
            </w:pPr>
            <w:r>
              <w:rPr>
                <w:sz w:val="19"/>
                <w:szCs w:val="19"/>
              </w:rPr>
              <w:t xml:space="preserve">8</w:t>
            </w:r>
          </w:p>
        </w:tc>
        <w:tc>
          <w:tcPr>
            <w:tcW w:type="dxa" w:w="5560"/>
            <w:shd w:fill="F2F2F2" w:val="clear"/>
            <w:tcMar>
              <w:top w:type="dxa" w:w="70"/>
              <w:left w:type="dxa" w:w="120"/>
              <w:bottom w:type="dxa" w:w="70"/>
              <w:right w:type="dxa" w:w="120"/>
            </w:tcMar>
          </w:tcPr>
          <w:p>
            <w:pPr>
              <w:spacing w:after="0"/>
            </w:pPr>
            <w:r>
              <w:rPr>
                <w:sz w:val="19"/>
                <w:szCs w:val="19"/>
              </w:rPr>
              <w:t xml:space="preserve">Welches Stammkapitalmodell empfehlen Sie uns — und wie schwer wiegt die Differenzhaftung praktisch?</w:t>
            </w:r>
          </w:p>
        </w:tc>
        <w:tc>
          <w:tcPr>
            <w:tcW w:type="dxa" w:w="3100"/>
            <w:shd w:fill="F2F2F2" w:val="clear"/>
            <w:tcMar>
              <w:top w:type="dxa" w:w="70"/>
              <w:left w:type="dxa" w:w="120"/>
              <w:bottom w:type="dxa" w:w="70"/>
              <w:right w:type="dxa" w:w="120"/>
            </w:tcMar>
          </w:tcPr>
          <w:p>
            <w:pPr>
              <w:spacing w:after="0"/>
            </w:pPr>
            <w:r>
              <w:rPr>
                <w:sz w:val="19"/>
                <w:szCs w:val="19"/>
              </w:rPr>
              <w:t xml:space="preserve">Kapitalbedarf, persönliches Risiko.</w:t>
            </w:r>
          </w:p>
        </w:tc>
      </w:tr>
      <w:tr>
        <w:tc>
          <w:tcPr>
            <w:tcW w:type="dxa" w:w="700"/>
            <w:shd w:fill="FFFFFF" w:val="clear"/>
            <w:tcMar>
              <w:top w:type="dxa" w:w="70"/>
              <w:left w:type="dxa" w:w="120"/>
              <w:bottom w:type="dxa" w:w="70"/>
              <w:right w:type="dxa" w:w="120"/>
            </w:tcMar>
          </w:tcPr>
          <w:p>
            <w:pPr>
              <w:spacing w:after="0"/>
            </w:pPr>
            <w:r>
              <w:rPr>
                <w:sz w:val="19"/>
                <w:szCs w:val="19"/>
              </w:rPr>
              <w:t xml:space="preserve">9</w:t>
            </w:r>
          </w:p>
        </w:tc>
        <w:tc>
          <w:tcPr>
            <w:tcW w:type="dxa" w:w="5560"/>
            <w:shd w:fill="FFFFFF" w:val="clear"/>
            <w:tcMar>
              <w:top w:type="dxa" w:w="70"/>
              <w:left w:type="dxa" w:w="120"/>
              <w:bottom w:type="dxa" w:w="70"/>
              <w:right w:type="dxa" w:w="120"/>
            </w:tcMar>
          </w:tcPr>
          <w:p>
            <w:pPr>
              <w:spacing w:after="0"/>
            </w:pPr>
            <w:r>
              <w:rPr>
                <w:sz w:val="19"/>
                <w:szCs w:val="19"/>
              </w:rPr>
              <w:t xml:space="preserve">Berührt unser Konzept das Verbot biometrischer Kategorisierung nach Art. 5 Abs. 1 lit. g KI-VO in irgendeiner Ausgestaltung?</w:t>
            </w:r>
          </w:p>
        </w:tc>
        <w:tc>
          <w:tcPr>
            <w:tcW w:type="dxa" w:w="3100"/>
            <w:shd w:fill="FFFFFF" w:val="clear"/>
            <w:tcMar>
              <w:top w:type="dxa" w:w="70"/>
              <w:left w:type="dxa" w:w="120"/>
              <w:bottom w:type="dxa" w:w="70"/>
              <w:right w:type="dxa" w:w="120"/>
            </w:tcMar>
          </w:tcPr>
          <w:p>
            <w:pPr>
              <w:spacing w:after="0"/>
            </w:pPr>
            <w:r>
              <w:rPr>
                <w:sz w:val="19"/>
                <w:szCs w:val="19"/>
              </w:rPr>
              <w:t xml:space="preserve">Ob die Altersprüfung so gebaut werden darf.</w:t>
            </w:r>
          </w:p>
        </w:tc>
      </w:tr>
      <w:tr>
        <w:tc>
          <w:tcPr>
            <w:tcW w:type="dxa" w:w="700"/>
            <w:shd w:fill="F2F2F2" w:val="clear"/>
            <w:tcMar>
              <w:top w:type="dxa" w:w="70"/>
              <w:left w:type="dxa" w:w="120"/>
              <w:bottom w:type="dxa" w:w="70"/>
              <w:right w:type="dxa" w:w="120"/>
            </w:tcMar>
          </w:tcPr>
          <w:p>
            <w:pPr>
              <w:spacing w:after="0"/>
            </w:pPr>
            <w:r>
              <w:rPr>
                <w:sz w:val="19"/>
                <w:szCs w:val="19"/>
              </w:rPr>
              <w:t xml:space="preserve">10</w:t>
            </w:r>
          </w:p>
        </w:tc>
        <w:tc>
          <w:tcPr>
            <w:tcW w:type="dxa" w:w="5560"/>
            <w:shd w:fill="F2F2F2" w:val="clear"/>
            <w:tcMar>
              <w:top w:type="dxa" w:w="70"/>
              <w:left w:type="dxa" w:w="120"/>
              <w:bottom w:type="dxa" w:w="70"/>
              <w:right w:type="dxa" w:w="120"/>
            </w:tcMar>
          </w:tcPr>
          <w:p>
            <w:pPr>
              <w:spacing w:after="0"/>
            </w:pPr>
            <w:r>
              <w:rPr>
                <w:sz w:val="19"/>
                <w:szCs w:val="19"/>
              </w:rPr>
              <w:t xml:space="preserve">Ab wann brauchen wir einen externen Datenschutzbeauftragten — ab der ersten E-Mail-Adresse oder ab Launch?</w:t>
            </w:r>
          </w:p>
        </w:tc>
        <w:tc>
          <w:tcPr>
            <w:tcW w:type="dxa" w:w="3100"/>
            <w:shd w:fill="F2F2F2" w:val="clear"/>
            <w:tcMar>
              <w:top w:type="dxa" w:w="70"/>
              <w:left w:type="dxa" w:w="120"/>
              <w:bottom w:type="dxa" w:w="70"/>
              <w:right w:type="dxa" w:w="120"/>
            </w:tcMar>
          </w:tcPr>
          <w:p>
            <w:pPr>
              <w:spacing w:after="0"/>
            </w:pPr>
            <w:r>
              <w:rPr>
                <w:sz w:val="19"/>
                <w:szCs w:val="19"/>
              </w:rPr>
              <w:t xml:space="preserve">Rund 250 € im Monat, ab einem Zeitpunkt, den wir kennen müssen.</w:t>
            </w:r>
          </w:p>
        </w:tc>
      </w:tr>
    </w:tbl>
    <w:p>
      <w:r>
        <w:br w:type="page"/>
      </w:r>
    </w:p>
    <w:p>
      <w:pPr>
        <w:pStyle w:val="Heading2"/>
        <w:spacing w:after="120" w:before="280"/>
      </w:pPr>
      <w:r>
        <w:rPr>
          <w:color w:val="1F3A5F"/>
        </w:rPr>
        <w:t xml:space="preserve">C2 · Wichtig, aber nicht sofort blockierend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rPr>
          <w:tblHeader/>
        </w:trPr>
        <w:tc>
          <w:tcPr>
            <w:tcW w:type="dxa" w:w="700"/>
            <w:shd w:fill="1F3A5F" w:val="clear"/>
            <w:tcMar>
              <w:top w:type="dxa" w:w="80"/>
              <w:left w:type="dxa" w:w="120"/>
              <w:bottom w:type="dxa" w:w="80"/>
              <w:right w:type="dxa" w:w="120"/>
            </w:tcMar>
          </w:tcPr>
          <w:p>
            <w:r>
              <w:rPr>
                <w:b/>
                <w:bCs/>
                <w:color w:val="FFFFFF"/>
                <w:sz w:val="19"/>
                <w:szCs w:val="19"/>
              </w:rPr>
              <w:t xml:space="preserve">#</w:t>
            </w:r>
          </w:p>
        </w:tc>
        <w:tc>
          <w:tcPr>
            <w:tcW w:type="dxa" w:w="8660"/>
            <w:shd w:fill="1F3A5F" w:val="clear"/>
            <w:tcMar>
              <w:top w:type="dxa" w:w="80"/>
              <w:left w:type="dxa" w:w="120"/>
              <w:bottom w:type="dxa" w:w="80"/>
              <w:right w:type="dxa" w:w="120"/>
            </w:tcMar>
          </w:tcPr>
          <w:p>
            <w:r>
              <w:rPr>
                <w:b/>
                <w:bCs/>
                <w:color w:val="FFFFFF"/>
                <w:sz w:val="19"/>
                <w:szCs w:val="19"/>
              </w:rPr>
              <w:t xml:space="preserve">Frage</w:t>
            </w:r>
          </w:p>
        </w:tc>
      </w:tr>
      <w:tr>
        <w:tc>
          <w:tcPr>
            <w:tcW w:type="dxa" w:w="700"/>
            <w:shd w:fill="FFFFFF" w:val="clear"/>
            <w:tcMar>
              <w:top w:type="dxa" w:w="70"/>
              <w:left w:type="dxa" w:w="120"/>
              <w:bottom w:type="dxa" w:w="70"/>
              <w:right w:type="dxa" w:w="120"/>
            </w:tcMar>
          </w:tcPr>
          <w:p>
            <w:pPr>
              <w:spacing w:after="0"/>
            </w:pPr>
            <w:r>
              <w:rPr>
                <w:sz w:val="19"/>
                <w:szCs w:val="19"/>
              </w:rPr>
              <w:t xml:space="preserve">1</w:t>
            </w:r>
          </w:p>
        </w:tc>
        <w:tc>
          <w:tcPr>
            <w:tcW w:type="dxa" w:w="8660"/>
            <w:shd w:fill="FFFFFF" w:val="clear"/>
            <w:tcMar>
              <w:top w:type="dxa" w:w="70"/>
              <w:left w:type="dxa" w:w="120"/>
              <w:bottom w:type="dxa" w:w="70"/>
              <w:right w:type="dxa" w:w="120"/>
            </w:tcMar>
          </w:tcPr>
          <w:p>
            <w:pPr>
              <w:spacing w:after="0"/>
            </w:pPr>
            <w:r>
              <w:rPr>
                <w:sz w:val="19"/>
                <w:szCs w:val="19"/>
              </w:rPr>
              <w:t xml:space="preserve">Welche Deadlock-Regelung funktioniert bei 50/50 in der Praxis — und welche würden Sie uns entwerfen?</w:t>
            </w:r>
          </w:p>
        </w:tc>
      </w:tr>
      <w:tr>
        <w:tc>
          <w:tcPr>
            <w:tcW w:type="dxa" w:w="700"/>
            <w:shd w:fill="F2F2F2" w:val="clear"/>
            <w:tcMar>
              <w:top w:type="dxa" w:w="70"/>
              <w:left w:type="dxa" w:w="120"/>
              <w:bottom w:type="dxa" w:w="70"/>
              <w:right w:type="dxa" w:w="120"/>
            </w:tcMar>
          </w:tcPr>
          <w:p>
            <w:pPr>
              <w:spacing w:after="0"/>
            </w:pPr>
            <w:r>
              <w:rPr>
                <w:sz w:val="19"/>
                <w:szCs w:val="19"/>
              </w:rPr>
              <w:t xml:space="preserve">2</w:t>
            </w:r>
          </w:p>
        </w:tc>
        <w:tc>
          <w:tcPr>
            <w:tcW w:type="dxa" w:w="8660"/>
            <w:shd w:fill="F2F2F2" w:val="clear"/>
            <w:tcMar>
              <w:top w:type="dxa" w:w="70"/>
              <w:left w:type="dxa" w:w="120"/>
              <w:bottom w:type="dxa" w:w="70"/>
              <w:right w:type="dxa" w:w="120"/>
            </w:tcMar>
          </w:tcPr>
          <w:p>
            <w:pPr>
              <w:spacing w:after="0"/>
            </w:pPr>
            <w:r>
              <w:rPr>
                <w:sz w:val="19"/>
                <w:szCs w:val="19"/>
              </w:rPr>
              <w:t xml:space="preserve">Wie gestalten wir Vesting bei einer GmbH rechtssicher, und was kostet die Beurkundung?</w:t>
            </w:r>
          </w:p>
        </w:tc>
      </w:tr>
      <w:tr>
        <w:tc>
          <w:tcPr>
            <w:tcW w:type="dxa" w:w="700"/>
            <w:shd w:fill="FFFFFF" w:val="clear"/>
            <w:tcMar>
              <w:top w:type="dxa" w:w="70"/>
              <w:left w:type="dxa" w:w="120"/>
              <w:bottom w:type="dxa" w:w="70"/>
              <w:right w:type="dxa" w:w="120"/>
            </w:tcMar>
          </w:tcPr>
          <w:p>
            <w:pPr>
              <w:spacing w:after="0"/>
            </w:pPr>
            <w:r>
              <w:rPr>
                <w:sz w:val="19"/>
                <w:szCs w:val="19"/>
              </w:rPr>
              <w:t xml:space="preserve">3</w:t>
            </w:r>
          </w:p>
        </w:tc>
        <w:tc>
          <w:tcPr>
            <w:tcW w:type="dxa" w:w="8660"/>
            <w:shd w:fill="FFFFFF" w:val="clear"/>
            <w:tcMar>
              <w:top w:type="dxa" w:w="70"/>
              <w:left w:type="dxa" w:w="120"/>
              <w:bottom w:type="dxa" w:w="70"/>
              <w:right w:type="dxa" w:w="120"/>
            </w:tcMar>
          </w:tcPr>
          <w:p>
            <w:pPr>
              <w:spacing w:after="0"/>
            </w:pPr>
            <w:r>
              <w:rPr>
                <w:sz w:val="19"/>
                <w:szCs w:val="19"/>
              </w:rPr>
              <w:t xml:space="preserve">Ist eine Holding-Struktur für uns sinnvoll, und wann muss sie stehen?</w:t>
            </w:r>
          </w:p>
        </w:tc>
      </w:tr>
      <w:tr>
        <w:tc>
          <w:tcPr>
            <w:tcW w:type="dxa" w:w="700"/>
            <w:shd w:fill="F2F2F2" w:val="clear"/>
            <w:tcMar>
              <w:top w:type="dxa" w:w="70"/>
              <w:left w:type="dxa" w:w="120"/>
              <w:bottom w:type="dxa" w:w="70"/>
              <w:right w:type="dxa" w:w="120"/>
            </w:tcMar>
          </w:tcPr>
          <w:p>
            <w:pPr>
              <w:spacing w:after="0"/>
            </w:pPr>
            <w:r>
              <w:rPr>
                <w:sz w:val="19"/>
                <w:szCs w:val="19"/>
              </w:rPr>
              <w:t xml:space="preserve">4</w:t>
            </w:r>
          </w:p>
        </w:tc>
        <w:tc>
          <w:tcPr>
            <w:tcW w:type="dxa" w:w="8660"/>
            <w:shd w:fill="F2F2F2" w:val="clear"/>
            <w:tcMar>
              <w:top w:type="dxa" w:w="70"/>
              <w:left w:type="dxa" w:w="120"/>
              <w:bottom w:type="dxa" w:w="70"/>
              <w:right w:type="dxa" w:w="120"/>
            </w:tcMar>
          </w:tcPr>
          <w:p>
            <w:pPr>
              <w:spacing w:after="0"/>
            </w:pPr>
            <w:r>
              <w:rPr>
                <w:sz w:val="19"/>
                <w:szCs w:val="19"/>
              </w:rPr>
              <w:t xml:space="preserve">Kann eine private Wohnadresse als Geschäftsanschrift einer GmbH dienen — und wenn wir zusammenziehen, eine gemeinsame?</w:t>
            </w:r>
          </w:p>
        </w:tc>
      </w:tr>
      <w:tr>
        <w:tc>
          <w:tcPr>
            <w:tcW w:type="dxa" w:w="700"/>
            <w:shd w:fill="FFFFFF" w:val="clear"/>
            <w:tcMar>
              <w:top w:type="dxa" w:w="70"/>
              <w:left w:type="dxa" w:w="120"/>
              <w:bottom w:type="dxa" w:w="70"/>
              <w:right w:type="dxa" w:w="120"/>
            </w:tcMar>
          </w:tcPr>
          <w:p>
            <w:pPr>
              <w:spacing w:after="0"/>
            </w:pPr>
            <w:r>
              <w:rPr>
                <w:sz w:val="19"/>
                <w:szCs w:val="19"/>
              </w:rPr>
              <w:t xml:space="preserve">5</w:t>
            </w:r>
          </w:p>
        </w:tc>
        <w:tc>
          <w:tcPr>
            <w:tcW w:type="dxa" w:w="8660"/>
            <w:shd w:fill="FFFFFF" w:val="clear"/>
            <w:tcMar>
              <w:top w:type="dxa" w:w="70"/>
              <w:left w:type="dxa" w:w="120"/>
              <w:bottom w:type="dxa" w:w="70"/>
              <w:right w:type="dxa" w:w="120"/>
            </w:tcMar>
          </w:tcPr>
          <w:p>
            <w:pPr>
              <w:spacing w:after="0"/>
            </w:pPr>
            <w:r>
              <w:rPr>
                <w:sz w:val="19"/>
                <w:szCs w:val="19"/>
              </w:rPr>
              <w:t xml:space="preserve">Sind wir in der Vorbereitungsphase gemeinsam Verantwortliche nach Art. 26 DSGVO, und brauchen wir eine Vereinbarung untereinander?</w:t>
            </w:r>
          </w:p>
        </w:tc>
      </w:tr>
      <w:tr>
        <w:tc>
          <w:tcPr>
            <w:tcW w:type="dxa" w:w="700"/>
            <w:shd w:fill="F2F2F2" w:val="clear"/>
            <w:tcMar>
              <w:top w:type="dxa" w:w="70"/>
              <w:left w:type="dxa" w:w="120"/>
              <w:bottom w:type="dxa" w:w="70"/>
              <w:right w:type="dxa" w:w="120"/>
            </w:tcMar>
          </w:tcPr>
          <w:p>
            <w:pPr>
              <w:spacing w:after="0"/>
            </w:pPr>
            <w:r>
              <w:rPr>
                <w:sz w:val="19"/>
                <w:szCs w:val="19"/>
              </w:rPr>
              <w:t xml:space="preserve">6</w:t>
            </w:r>
          </w:p>
        </w:tc>
        <w:tc>
          <w:tcPr>
            <w:tcW w:type="dxa" w:w="8660"/>
            <w:shd w:fill="F2F2F2" w:val="clear"/>
            <w:tcMar>
              <w:top w:type="dxa" w:w="70"/>
              <w:left w:type="dxa" w:w="120"/>
              <w:bottom w:type="dxa" w:w="70"/>
              <w:right w:type="dxa" w:w="120"/>
            </w:tcMar>
          </w:tcPr>
          <w:p>
            <w:pPr>
              <w:spacing w:after="0"/>
            </w:pPr>
            <w:r>
              <w:rPr>
                <w:sz w:val="19"/>
                <w:szCs w:val="19"/>
              </w:rPr>
              <w:t xml:space="preserve">Brauchen wir jetzt schon eine schriftliche Vereinbarung zwischen uns beiden für den Fall, dass einer vor der Gründung ausscheidet?</w:t>
            </w:r>
          </w:p>
        </w:tc>
      </w:tr>
      <w:tr>
        <w:tc>
          <w:tcPr>
            <w:tcW w:type="dxa" w:w="700"/>
            <w:shd w:fill="FFFFFF" w:val="clear"/>
            <w:tcMar>
              <w:top w:type="dxa" w:w="70"/>
              <w:left w:type="dxa" w:w="120"/>
              <w:bottom w:type="dxa" w:w="70"/>
              <w:right w:type="dxa" w:w="120"/>
            </w:tcMar>
          </w:tcPr>
          <w:p>
            <w:pPr>
              <w:spacing w:after="0"/>
            </w:pPr>
            <w:r>
              <w:rPr>
                <w:sz w:val="19"/>
                <w:szCs w:val="19"/>
              </w:rPr>
              <w:t xml:space="preserve">7</w:t>
            </w:r>
          </w:p>
        </w:tc>
        <w:tc>
          <w:tcPr>
            <w:tcW w:type="dxa" w:w="8660"/>
            <w:shd w:fill="FFFFFF" w:val="clear"/>
            <w:tcMar>
              <w:top w:type="dxa" w:w="70"/>
              <w:left w:type="dxa" w:w="120"/>
              <w:bottom w:type="dxa" w:w="70"/>
              <w:right w:type="dxa" w:w="120"/>
            </w:tcMar>
          </w:tcPr>
          <w:p>
            <w:pPr>
              <w:spacing w:after="0"/>
            </w:pPr>
            <w:r>
              <w:rPr>
                <w:sz w:val="19"/>
                <w:szCs w:val="19"/>
              </w:rPr>
              <w:t xml:space="preserve">Sind wir als 50/50-Gesellschafter-Geschäftsführer sozialversicherungspflichtig, und wann entfällt die Familienversicherung?</w:t>
            </w:r>
          </w:p>
        </w:tc>
      </w:tr>
      <w:tr>
        <w:tc>
          <w:tcPr>
            <w:tcW w:type="dxa" w:w="700"/>
            <w:shd w:fill="F2F2F2" w:val="clear"/>
            <w:tcMar>
              <w:top w:type="dxa" w:w="70"/>
              <w:left w:type="dxa" w:w="120"/>
              <w:bottom w:type="dxa" w:w="70"/>
              <w:right w:type="dxa" w:w="120"/>
            </w:tcMar>
          </w:tcPr>
          <w:p>
            <w:pPr>
              <w:spacing w:after="0"/>
            </w:pPr>
            <w:r>
              <w:rPr>
                <w:sz w:val="19"/>
                <w:szCs w:val="19"/>
              </w:rPr>
              <w:t xml:space="preserve">8</w:t>
            </w:r>
          </w:p>
        </w:tc>
        <w:tc>
          <w:tcPr>
            <w:tcW w:type="dxa" w:w="8660"/>
            <w:shd w:fill="F2F2F2" w:val="clear"/>
            <w:tcMar>
              <w:top w:type="dxa" w:w="70"/>
              <w:left w:type="dxa" w:w="120"/>
              <w:bottom w:type="dxa" w:w="70"/>
              <w:right w:type="dxa" w:w="120"/>
            </w:tcMar>
          </w:tcPr>
          <w:p>
            <w:pPr>
              <w:spacing w:after="0"/>
            </w:pPr>
            <w:r>
              <w:rPr>
                <w:sz w:val="19"/>
                <w:szCs w:val="19"/>
              </w:rPr>
              <w:t xml:space="preserve">Welche DSA-Pflichten treffen uns unabhängig von der Größenausnahme?</w:t>
            </w:r>
          </w:p>
        </w:tc>
      </w:tr>
      <w:tr>
        <w:tc>
          <w:tcPr>
            <w:tcW w:type="dxa" w:w="700"/>
            <w:shd w:fill="FFFFFF" w:val="clear"/>
            <w:tcMar>
              <w:top w:type="dxa" w:w="70"/>
              <w:left w:type="dxa" w:w="120"/>
              <w:bottom w:type="dxa" w:w="70"/>
              <w:right w:type="dxa" w:w="120"/>
            </w:tcMar>
          </w:tcPr>
          <w:p>
            <w:pPr>
              <w:spacing w:after="0"/>
            </w:pPr>
            <w:r>
              <w:rPr>
                <w:sz w:val="19"/>
                <w:szCs w:val="19"/>
              </w:rPr>
              <w:t xml:space="preserve">9</w:t>
            </w:r>
          </w:p>
        </w:tc>
        <w:tc>
          <w:tcPr>
            <w:tcW w:type="dxa" w:w="8660"/>
            <w:shd w:fill="FFFFFF" w:val="clear"/>
            <w:tcMar>
              <w:top w:type="dxa" w:w="70"/>
              <w:left w:type="dxa" w:w="120"/>
              <w:bottom w:type="dxa" w:w="70"/>
              <w:right w:type="dxa" w:w="120"/>
            </w:tcMar>
          </w:tcPr>
          <w:p>
            <w:pPr>
              <w:spacing w:after="0"/>
            </w:pPr>
            <w:r>
              <w:rPr>
                <w:sz w:val="19"/>
                <w:szCs w:val="19"/>
              </w:rPr>
              <w:t xml:space="preserve">Deckt die Wartelisten-Einwilligung einen monatlichen Fortschrittsbericht, oder braucht der eine eigene Einwilligung nach § 7 UWG?</w:t>
            </w:r>
          </w:p>
        </w:tc>
      </w:tr>
      <w:tr>
        <w:tc>
          <w:tcPr>
            <w:tcW w:type="dxa" w:w="700"/>
            <w:shd w:fill="F2F2F2" w:val="clear"/>
            <w:tcMar>
              <w:top w:type="dxa" w:w="70"/>
              <w:left w:type="dxa" w:w="120"/>
              <w:bottom w:type="dxa" w:w="70"/>
              <w:right w:type="dxa" w:w="120"/>
            </w:tcMar>
          </w:tcPr>
          <w:p>
            <w:pPr>
              <w:spacing w:after="0"/>
            </w:pPr>
            <w:r>
              <w:rPr>
                <w:sz w:val="19"/>
                <w:szCs w:val="19"/>
              </w:rPr>
              <w:t xml:space="preserve">10</w:t>
            </w:r>
          </w:p>
        </w:tc>
        <w:tc>
          <w:tcPr>
            <w:tcW w:type="dxa" w:w="8660"/>
            <w:shd w:fill="F2F2F2" w:val="clear"/>
            <w:tcMar>
              <w:top w:type="dxa" w:w="70"/>
              <w:left w:type="dxa" w:w="120"/>
              <w:bottom w:type="dxa" w:w="70"/>
              <w:right w:type="dxa" w:w="120"/>
            </w:tcMar>
          </w:tcPr>
          <w:p>
            <w:pPr>
              <w:spacing w:after="0"/>
            </w:pPr>
            <w:r>
              <w:rPr>
                <w:sz w:val="19"/>
                <w:szCs w:val="19"/>
              </w:rPr>
              <w:t xml:space="preserve">Welche Lizenz an Nutzerinhalten brauchen wir mindestens, und wie eng dürfen wir sie fassen?</w:t>
            </w:r>
          </w:p>
        </w:tc>
      </w:tr>
      <w:tr>
        <w:tc>
          <w:tcPr>
            <w:tcW w:type="dxa" w:w="700"/>
            <w:shd w:fill="FFFFFF" w:val="clear"/>
            <w:tcMar>
              <w:top w:type="dxa" w:w="70"/>
              <w:left w:type="dxa" w:w="120"/>
              <w:bottom w:type="dxa" w:w="70"/>
              <w:right w:type="dxa" w:w="120"/>
            </w:tcMar>
          </w:tcPr>
          <w:p>
            <w:pPr>
              <w:spacing w:after="0"/>
            </w:pPr>
            <w:r>
              <w:rPr>
                <w:sz w:val="19"/>
                <w:szCs w:val="19"/>
              </w:rPr>
              <w:t xml:space="preserve">11</w:t>
            </w:r>
          </w:p>
        </w:tc>
        <w:tc>
          <w:tcPr>
            <w:tcW w:type="dxa" w:w="8660"/>
            <w:shd w:fill="FFFFFF" w:val="clear"/>
            <w:tcMar>
              <w:top w:type="dxa" w:w="70"/>
              <w:left w:type="dxa" w:w="120"/>
              <w:bottom w:type="dxa" w:w="70"/>
              <w:right w:type="dxa" w:w="120"/>
            </w:tcMar>
          </w:tcPr>
          <w:p>
            <w:pPr>
              <w:spacing w:after="0"/>
            </w:pPr>
            <w:r>
              <w:rPr>
                <w:sz w:val="19"/>
                <w:szCs w:val="19"/>
              </w:rPr>
              <w:t xml:space="preserve">Ist ein vertraglich zugesichertes Schutzversprechen in den AGB („Was der Sicherheit dient, bleibt kostenlos") wirksam und bindet es einen Erwerber?</w:t>
            </w:r>
          </w:p>
        </w:tc>
      </w:tr>
      <w:tr>
        <w:tc>
          <w:tcPr>
            <w:tcW w:type="dxa" w:w="700"/>
            <w:shd w:fill="F2F2F2" w:val="clear"/>
            <w:tcMar>
              <w:top w:type="dxa" w:w="70"/>
              <w:left w:type="dxa" w:w="120"/>
              <w:bottom w:type="dxa" w:w="70"/>
              <w:right w:type="dxa" w:w="120"/>
            </w:tcMar>
          </w:tcPr>
          <w:p>
            <w:pPr>
              <w:spacing w:after="0"/>
            </w:pPr>
            <w:r>
              <w:rPr>
                <w:sz w:val="19"/>
                <w:szCs w:val="19"/>
              </w:rPr>
              <w:t xml:space="preserve">12</w:t>
            </w:r>
          </w:p>
        </w:tc>
        <w:tc>
          <w:tcPr>
            <w:tcW w:type="dxa" w:w="8660"/>
            <w:shd w:fill="F2F2F2" w:val="clear"/>
            <w:tcMar>
              <w:top w:type="dxa" w:w="70"/>
              <w:left w:type="dxa" w:w="120"/>
              <w:bottom w:type="dxa" w:w="70"/>
              <w:right w:type="dxa" w:w="120"/>
            </w:tcMar>
          </w:tcPr>
          <w:p>
            <w:pPr>
              <w:spacing w:after="0"/>
            </w:pPr>
            <w:r>
              <w:rPr>
                <w:sz w:val="19"/>
                <w:szCs w:val="19"/>
              </w:rPr>
              <w:t xml:space="preserve">Welche Versicherungen brauchen wir, und ab wann?</w:t>
            </w:r>
          </w:p>
        </w:tc>
      </w:tr>
      <w:tr>
        <w:tc>
          <w:tcPr>
            <w:tcW w:type="dxa" w:w="700"/>
            <w:shd w:fill="FFFFFF" w:val="clear"/>
            <w:tcMar>
              <w:top w:type="dxa" w:w="70"/>
              <w:left w:type="dxa" w:w="120"/>
              <w:bottom w:type="dxa" w:w="70"/>
              <w:right w:type="dxa" w:w="120"/>
            </w:tcMar>
          </w:tcPr>
          <w:p>
            <w:pPr>
              <w:spacing w:after="0"/>
            </w:pPr>
            <w:r>
              <w:rPr>
                <w:sz w:val="19"/>
                <w:szCs w:val="19"/>
              </w:rPr>
              <w:t xml:space="preserve">13</w:t>
            </w:r>
          </w:p>
        </w:tc>
        <w:tc>
          <w:tcPr>
            <w:tcW w:type="dxa" w:w="8660"/>
            <w:shd w:fill="FFFFFF" w:val="clear"/>
            <w:tcMar>
              <w:top w:type="dxa" w:w="70"/>
              <w:left w:type="dxa" w:w="120"/>
              <w:bottom w:type="dxa" w:w="70"/>
              <w:right w:type="dxa" w:w="120"/>
            </w:tcMar>
          </w:tcPr>
          <w:p>
            <w:pPr>
              <w:spacing w:after="0"/>
            </w:pPr>
            <w:r>
              <w:rPr>
                <w:sz w:val="19"/>
                <w:szCs w:val="19"/>
              </w:rPr>
              <w:t xml:space="preserve">Lohnt der Weg über eine anerkannte Selbstkontrolleinrichtung zur Vorabbestätigung unseres Jugendschutzkonzepts?</w:t>
            </w:r>
          </w:p>
        </w:tc>
      </w:tr>
      <w:tr>
        <w:tc>
          <w:tcPr>
            <w:tcW w:type="dxa" w:w="700"/>
            <w:shd w:fill="F2F2F2" w:val="clear"/>
            <w:tcMar>
              <w:top w:type="dxa" w:w="70"/>
              <w:left w:type="dxa" w:w="120"/>
              <w:bottom w:type="dxa" w:w="70"/>
              <w:right w:type="dxa" w:w="120"/>
            </w:tcMar>
          </w:tcPr>
          <w:p>
            <w:pPr>
              <w:spacing w:after="0"/>
            </w:pPr>
            <w:r>
              <w:rPr>
                <w:sz w:val="19"/>
                <w:szCs w:val="19"/>
              </w:rPr>
              <w:t xml:space="preserve">14</w:t>
            </w:r>
          </w:p>
        </w:tc>
        <w:tc>
          <w:tcPr>
            <w:tcW w:type="dxa" w:w="8660"/>
            <w:shd w:fill="F2F2F2" w:val="clear"/>
            <w:tcMar>
              <w:top w:type="dxa" w:w="70"/>
              <w:left w:type="dxa" w:w="120"/>
              <w:bottom w:type="dxa" w:w="70"/>
              <w:right w:type="dxa" w:w="120"/>
            </w:tcMar>
          </w:tcPr>
          <w:p>
            <w:pPr>
              <w:spacing w:after="0"/>
            </w:pPr>
            <w:r>
              <w:rPr>
                <w:sz w:val="19"/>
                <w:szCs w:val="19"/>
              </w:rPr>
              <w:t xml:space="preserve">Wie läuft ein behördliches Auskunftsersuchen ab, und was dürfen wir zurückweisen?</w:t>
            </w:r>
          </w:p>
        </w:tc>
      </w:tr>
      <w:tr>
        <w:tc>
          <w:tcPr>
            <w:tcW w:type="dxa" w:w="700"/>
            <w:shd w:fill="FFFFFF" w:val="clear"/>
            <w:tcMar>
              <w:top w:type="dxa" w:w="70"/>
              <w:left w:type="dxa" w:w="120"/>
              <w:bottom w:type="dxa" w:w="70"/>
              <w:right w:type="dxa" w:w="120"/>
            </w:tcMar>
          </w:tcPr>
          <w:p>
            <w:pPr>
              <w:spacing w:after="0"/>
            </w:pPr>
            <w:r>
              <w:rPr>
                <w:sz w:val="19"/>
                <w:szCs w:val="19"/>
              </w:rPr>
              <w:t xml:space="preserve">15</w:t>
            </w:r>
          </w:p>
        </w:tc>
        <w:tc>
          <w:tcPr>
            <w:tcW w:type="dxa" w:w="8660"/>
            <w:shd w:fill="FFFFFF" w:val="clear"/>
            <w:tcMar>
              <w:top w:type="dxa" w:w="70"/>
              <w:left w:type="dxa" w:w="120"/>
              <w:bottom w:type="dxa" w:w="70"/>
              <w:right w:type="dxa" w:w="120"/>
            </w:tcMar>
          </w:tcPr>
          <w:p>
            <w:pPr>
              <w:spacing w:after="0"/>
            </w:pPr>
            <w:r>
              <w:rPr>
                <w:sz w:val="19"/>
                <w:szCs w:val="19"/>
              </w:rPr>
              <w:t xml:space="preserve">Hält unsere Eigenleistungs-Formulierung für Förderanträge einer Prüfung stand?</w:t>
            </w:r>
          </w:p>
        </w:tc>
      </w:tr>
    </w:tbl>
    <w:p>
      <w:pPr>
        <w:spacing w:after="80"/>
      </w:pPr>
    </w:p>
    <w:p>
      <w:pPr>
        <w:pStyle w:val="Heading2"/>
        <w:spacing w:after="120" w:before="280"/>
      </w:pPr>
      <w:r>
        <w:rPr>
          <w:color w:val="1F3A5F"/>
        </w:rPr>
        <w:t xml:space="preserve">C3 · Später oder zweiter Termin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rPr>
          <w:tblHeader/>
        </w:trPr>
        <w:tc>
          <w:tcPr>
            <w:tcW w:type="dxa" w:w="700"/>
            <w:shd w:fill="1F3A5F" w:val="clear"/>
            <w:tcMar>
              <w:top w:type="dxa" w:w="80"/>
              <w:left w:type="dxa" w:w="120"/>
              <w:bottom w:type="dxa" w:w="80"/>
              <w:right w:type="dxa" w:w="120"/>
            </w:tcMar>
          </w:tcPr>
          <w:p>
            <w:r>
              <w:rPr>
                <w:b/>
                <w:bCs/>
                <w:color w:val="FFFFFF"/>
                <w:sz w:val="19"/>
                <w:szCs w:val="19"/>
              </w:rPr>
              <w:t xml:space="preserve">#</w:t>
            </w:r>
          </w:p>
        </w:tc>
        <w:tc>
          <w:tcPr>
            <w:tcW w:type="dxa" w:w="8660"/>
            <w:shd w:fill="1F3A5F" w:val="clear"/>
            <w:tcMar>
              <w:top w:type="dxa" w:w="80"/>
              <w:left w:type="dxa" w:w="120"/>
              <w:bottom w:type="dxa" w:w="80"/>
              <w:right w:type="dxa" w:w="120"/>
            </w:tcMar>
          </w:tcPr>
          <w:p>
            <w:r>
              <w:rPr>
                <w:b/>
                <w:bCs/>
                <w:color w:val="FFFFFF"/>
                <w:sz w:val="19"/>
                <w:szCs w:val="19"/>
              </w:rPr>
              <w:t xml:space="preserve">Frage</w:t>
            </w:r>
          </w:p>
        </w:tc>
      </w:tr>
      <w:tr>
        <w:tc>
          <w:tcPr>
            <w:tcW w:type="dxa" w:w="700"/>
            <w:shd w:fill="FFFFFF" w:val="clear"/>
            <w:tcMar>
              <w:top w:type="dxa" w:w="70"/>
              <w:left w:type="dxa" w:w="120"/>
              <w:bottom w:type="dxa" w:w="70"/>
              <w:right w:type="dxa" w:w="120"/>
            </w:tcMar>
          </w:tcPr>
          <w:p>
            <w:pPr>
              <w:spacing w:after="0"/>
            </w:pPr>
            <w:r>
              <w:rPr>
                <w:sz w:val="19"/>
                <w:szCs w:val="19"/>
              </w:rPr>
              <w:t xml:space="preserve">1</w:t>
            </w:r>
          </w:p>
        </w:tc>
        <w:tc>
          <w:tcPr>
            <w:tcW w:type="dxa" w:w="8660"/>
            <w:shd w:fill="FFFFFF" w:val="clear"/>
            <w:tcMar>
              <w:top w:type="dxa" w:w="70"/>
              <w:left w:type="dxa" w:w="120"/>
              <w:bottom w:type="dxa" w:w="70"/>
              <w:right w:type="dxa" w:w="120"/>
            </w:tcMar>
          </w:tcPr>
          <w:p>
            <w:pPr>
              <w:spacing w:after="0"/>
            </w:pPr>
            <w:r>
              <w:rPr>
                <w:sz w:val="19"/>
                <w:szCs w:val="19"/>
              </w:rPr>
              <w:t xml:space="preserve">Ähnlichkeitsrecherche und Markenanmeldung — Zeitpunkt, Klassen, Reihenfolge DPMA und EUIPO.</w:t>
            </w:r>
          </w:p>
        </w:tc>
      </w:tr>
      <w:tr>
        <w:tc>
          <w:tcPr>
            <w:tcW w:type="dxa" w:w="700"/>
            <w:shd w:fill="F2F2F2" w:val="clear"/>
            <w:tcMar>
              <w:top w:type="dxa" w:w="70"/>
              <w:left w:type="dxa" w:w="120"/>
              <w:bottom w:type="dxa" w:w="70"/>
              <w:right w:type="dxa" w:w="120"/>
            </w:tcMar>
          </w:tcPr>
          <w:p>
            <w:pPr>
              <w:spacing w:after="0"/>
            </w:pPr>
            <w:r>
              <w:rPr>
                <w:sz w:val="19"/>
                <w:szCs w:val="19"/>
              </w:rPr>
              <w:t xml:space="preserve">2</w:t>
            </w:r>
          </w:p>
        </w:tc>
        <w:tc>
          <w:tcPr>
            <w:tcW w:type="dxa" w:w="8660"/>
            <w:shd w:fill="F2F2F2" w:val="clear"/>
            <w:tcMar>
              <w:top w:type="dxa" w:w="70"/>
              <w:left w:type="dxa" w:w="120"/>
              <w:bottom w:type="dxa" w:w="70"/>
              <w:right w:type="dxa" w:w="120"/>
            </w:tcMar>
          </w:tcPr>
          <w:p>
            <w:pPr>
              <w:spacing w:after="0"/>
            </w:pPr>
            <w:r>
              <w:rPr>
                <w:sz w:val="19"/>
                <w:szCs w:val="19"/>
              </w:rPr>
              <w:t xml:space="preserve">Prüfung von AGB, Datenschutzerklärung und Widerrufsbelehrung, sobald das Produkt steht.</w:t>
            </w:r>
          </w:p>
        </w:tc>
      </w:tr>
      <w:tr>
        <w:tc>
          <w:tcPr>
            <w:tcW w:type="dxa" w:w="700"/>
            <w:shd w:fill="FFFFFF" w:val="clear"/>
            <w:tcMar>
              <w:top w:type="dxa" w:w="70"/>
              <w:left w:type="dxa" w:w="120"/>
              <w:bottom w:type="dxa" w:w="70"/>
              <w:right w:type="dxa" w:w="120"/>
            </w:tcMar>
          </w:tcPr>
          <w:p>
            <w:pPr>
              <w:spacing w:after="0"/>
            </w:pPr>
            <w:r>
              <w:rPr>
                <w:sz w:val="19"/>
                <w:szCs w:val="19"/>
              </w:rPr>
              <w:t xml:space="preserve">3</w:t>
            </w:r>
          </w:p>
        </w:tc>
        <w:tc>
          <w:tcPr>
            <w:tcW w:type="dxa" w:w="8660"/>
            <w:shd w:fill="FFFFFF" w:val="clear"/>
            <w:tcMar>
              <w:top w:type="dxa" w:w="70"/>
              <w:left w:type="dxa" w:w="120"/>
              <w:bottom w:type="dxa" w:w="70"/>
              <w:right w:type="dxa" w:w="120"/>
            </w:tcMar>
          </w:tcPr>
          <w:p>
            <w:pPr>
              <w:spacing w:after="0"/>
            </w:pPr>
            <w:r>
              <w:rPr>
                <w:sz w:val="19"/>
                <w:szCs w:val="19"/>
              </w:rPr>
              <w:t xml:space="preserve">Verteilung der Verbraucherpflichten zwischen uns und den App-Stores.</w:t>
            </w:r>
          </w:p>
        </w:tc>
      </w:tr>
      <w:tr>
        <w:tc>
          <w:tcPr>
            <w:tcW w:type="dxa" w:w="700"/>
            <w:shd w:fill="F2F2F2" w:val="clear"/>
            <w:tcMar>
              <w:top w:type="dxa" w:w="70"/>
              <w:left w:type="dxa" w:w="120"/>
              <w:bottom w:type="dxa" w:w="70"/>
              <w:right w:type="dxa" w:w="120"/>
            </w:tcMar>
          </w:tcPr>
          <w:p>
            <w:pPr>
              <w:spacing w:after="0"/>
            </w:pPr>
            <w:r>
              <w:rPr>
                <w:sz w:val="19"/>
                <w:szCs w:val="19"/>
              </w:rPr>
              <w:t xml:space="preserve">4</w:t>
            </w:r>
          </w:p>
        </w:tc>
        <w:tc>
          <w:tcPr>
            <w:tcW w:type="dxa" w:w="8660"/>
            <w:shd w:fill="F2F2F2" w:val="clear"/>
            <w:tcMar>
              <w:top w:type="dxa" w:w="70"/>
              <w:left w:type="dxa" w:w="120"/>
              <w:bottom w:type="dxa" w:w="70"/>
              <w:right w:type="dxa" w:w="120"/>
            </w:tcMar>
          </w:tcPr>
          <w:p>
            <w:pPr>
              <w:spacing w:after="0"/>
            </w:pPr>
            <w:r>
              <w:rPr>
                <w:sz w:val="19"/>
                <w:szCs w:val="19"/>
              </w:rPr>
              <w:t xml:space="preserve">Auftragsverarbeitungsverträge mit Hoster, Mailversand und Verifizierungsdienstleister.</w:t>
            </w:r>
          </w:p>
        </w:tc>
      </w:tr>
      <w:tr>
        <w:tc>
          <w:tcPr>
            <w:tcW w:type="dxa" w:w="700"/>
            <w:shd w:fill="FFFFFF" w:val="clear"/>
            <w:tcMar>
              <w:top w:type="dxa" w:w="70"/>
              <w:left w:type="dxa" w:w="120"/>
              <w:bottom w:type="dxa" w:w="70"/>
              <w:right w:type="dxa" w:w="120"/>
            </w:tcMar>
          </w:tcPr>
          <w:p>
            <w:pPr>
              <w:spacing w:after="0"/>
            </w:pPr>
            <w:r>
              <w:rPr>
                <w:sz w:val="19"/>
                <w:szCs w:val="19"/>
              </w:rPr>
              <w:t xml:space="preserve">5</w:t>
            </w:r>
          </w:p>
        </w:tc>
        <w:tc>
          <w:tcPr>
            <w:tcW w:type="dxa" w:w="8660"/>
            <w:shd w:fill="FFFFFF" w:val="clear"/>
            <w:tcMar>
              <w:top w:type="dxa" w:w="70"/>
              <w:left w:type="dxa" w:w="120"/>
              <w:bottom w:type="dxa" w:w="70"/>
              <w:right w:type="dxa" w:w="120"/>
            </w:tcMar>
          </w:tcPr>
          <w:p>
            <w:pPr>
              <w:spacing w:after="0"/>
            </w:pPr>
            <w:r>
              <w:rPr>
                <w:sz w:val="19"/>
                <w:szCs w:val="19"/>
              </w:rPr>
              <w:t xml:space="preserve">Vertragsgestaltung mit Ortspartnern und Veranstaltern.</w:t>
            </w:r>
          </w:p>
        </w:tc>
      </w:tr>
      <w:tr>
        <w:tc>
          <w:tcPr>
            <w:tcW w:type="dxa" w:w="700"/>
            <w:shd w:fill="F2F2F2" w:val="clear"/>
            <w:tcMar>
              <w:top w:type="dxa" w:w="70"/>
              <w:left w:type="dxa" w:w="120"/>
              <w:bottom w:type="dxa" w:w="70"/>
              <w:right w:type="dxa" w:w="120"/>
            </w:tcMar>
          </w:tcPr>
          <w:p>
            <w:pPr>
              <w:spacing w:after="0"/>
            </w:pPr>
            <w:r>
              <w:rPr>
                <w:sz w:val="19"/>
                <w:szCs w:val="19"/>
              </w:rPr>
              <w:t xml:space="preserve">6</w:t>
            </w:r>
          </w:p>
        </w:tc>
        <w:tc>
          <w:tcPr>
            <w:tcW w:type="dxa" w:w="8660"/>
            <w:shd w:fill="F2F2F2" w:val="clear"/>
            <w:tcMar>
              <w:top w:type="dxa" w:w="70"/>
              <w:left w:type="dxa" w:w="120"/>
              <w:bottom w:type="dxa" w:w="70"/>
              <w:right w:type="dxa" w:w="120"/>
            </w:tcMar>
          </w:tcPr>
          <w:p>
            <w:pPr>
              <w:spacing w:after="0"/>
            </w:pPr>
            <w:r>
              <w:rPr>
                <w:sz w:val="19"/>
                <w:szCs w:val="19"/>
              </w:rPr>
              <w:t xml:space="preserve">Barrierefreiheitserklärung und Zeitpunkt der BFSG-Pflicht.</w:t>
            </w:r>
          </w:p>
        </w:tc>
      </w:tr>
      <w:tr>
        <w:tc>
          <w:tcPr>
            <w:tcW w:type="dxa" w:w="700"/>
            <w:shd w:fill="FFFFFF" w:val="clear"/>
            <w:tcMar>
              <w:top w:type="dxa" w:w="70"/>
              <w:left w:type="dxa" w:w="120"/>
              <w:bottom w:type="dxa" w:w="70"/>
              <w:right w:type="dxa" w:w="120"/>
            </w:tcMar>
          </w:tcPr>
          <w:p>
            <w:pPr>
              <w:spacing w:after="0"/>
            </w:pPr>
            <w:r>
              <w:rPr>
                <w:sz w:val="19"/>
                <w:szCs w:val="19"/>
              </w:rPr>
              <w:t xml:space="preserve">7</w:t>
            </w:r>
          </w:p>
        </w:tc>
        <w:tc>
          <w:tcPr>
            <w:tcW w:type="dxa" w:w="8660"/>
            <w:shd w:fill="FFFFFF" w:val="clear"/>
            <w:tcMar>
              <w:top w:type="dxa" w:w="70"/>
              <w:left w:type="dxa" w:w="120"/>
              <w:bottom w:type="dxa" w:w="70"/>
              <w:right w:type="dxa" w:w="120"/>
            </w:tcMar>
          </w:tcPr>
          <w:p>
            <w:pPr>
              <w:spacing w:after="0"/>
            </w:pPr>
            <w:r>
              <w:rPr>
                <w:sz w:val="19"/>
                <w:szCs w:val="19"/>
              </w:rPr>
              <w:t xml:space="preserve">Transparenzbericht nach DSA, sobald die Ausnahme entfällt.</w:t>
            </w:r>
          </w:p>
        </w:tc>
      </w:tr>
      <w:tr>
        <w:tc>
          <w:tcPr>
            <w:tcW w:type="dxa" w:w="700"/>
            <w:shd w:fill="F2F2F2" w:val="clear"/>
            <w:tcMar>
              <w:top w:type="dxa" w:w="70"/>
              <w:left w:type="dxa" w:w="120"/>
              <w:bottom w:type="dxa" w:w="70"/>
              <w:right w:type="dxa" w:w="120"/>
            </w:tcMar>
          </w:tcPr>
          <w:p>
            <w:pPr>
              <w:spacing w:after="0"/>
            </w:pPr>
            <w:r>
              <w:rPr>
                <w:sz w:val="19"/>
                <w:szCs w:val="19"/>
              </w:rPr>
              <w:t xml:space="preserve">8</w:t>
            </w:r>
          </w:p>
        </w:tc>
        <w:tc>
          <w:tcPr>
            <w:tcW w:type="dxa" w:w="8660"/>
            <w:shd w:fill="F2F2F2" w:val="clear"/>
            <w:tcMar>
              <w:top w:type="dxa" w:w="70"/>
              <w:left w:type="dxa" w:w="120"/>
              <w:bottom w:type="dxa" w:w="70"/>
              <w:right w:type="dxa" w:w="120"/>
            </w:tcMar>
          </w:tcPr>
          <w:p>
            <w:pPr>
              <w:spacing w:after="0"/>
            </w:pPr>
            <w:r>
              <w:rPr>
                <w:sz w:val="19"/>
                <w:szCs w:val="19"/>
              </w:rPr>
              <w:t xml:space="preserve">Vorbereitung auf einen Investoreneinstieg — Beteiligungsvertrag, Gesellschaftervereinbarung.</w:t>
            </w:r>
          </w:p>
        </w:tc>
      </w:tr>
      <w:tr>
        <w:tc>
          <w:tcPr>
            <w:tcW w:type="dxa" w:w="700"/>
            <w:shd w:fill="FFFFFF" w:val="clear"/>
            <w:tcMar>
              <w:top w:type="dxa" w:w="70"/>
              <w:left w:type="dxa" w:w="120"/>
              <w:bottom w:type="dxa" w:w="70"/>
              <w:right w:type="dxa" w:w="120"/>
            </w:tcMar>
          </w:tcPr>
          <w:p>
            <w:pPr>
              <w:spacing w:after="0"/>
            </w:pPr>
            <w:r>
              <w:rPr>
                <w:sz w:val="19"/>
                <w:szCs w:val="19"/>
              </w:rPr>
              <w:t xml:space="preserve">9</w:t>
            </w:r>
          </w:p>
        </w:tc>
        <w:tc>
          <w:tcPr>
            <w:tcW w:type="dxa" w:w="8660"/>
            <w:shd w:fill="FFFFFF" w:val="clear"/>
            <w:tcMar>
              <w:top w:type="dxa" w:w="70"/>
              <w:left w:type="dxa" w:w="120"/>
              <w:bottom w:type="dxa" w:w="70"/>
              <w:right w:type="dxa" w:w="120"/>
            </w:tcMar>
          </w:tcPr>
          <w:p>
            <w:pPr>
              <w:spacing w:after="0"/>
            </w:pPr>
            <w:r>
              <w:rPr>
                <w:sz w:val="19"/>
                <w:szCs w:val="19"/>
              </w:rPr>
              <w:t xml:space="preserve">Rechtliche Prüfpunkte einer Crowdfunding-Kampagne: Prospektpflicht, Umsatzsteuer auf Gegenleistungen, Plattform-AGB.</w:t>
            </w:r>
          </w:p>
        </w:tc>
      </w:tr>
      <w:tr>
        <w:tc>
          <w:tcPr>
            <w:tcW w:type="dxa" w:w="700"/>
            <w:shd w:fill="F2F2F2" w:val="clear"/>
            <w:tcMar>
              <w:top w:type="dxa" w:w="70"/>
              <w:left w:type="dxa" w:w="120"/>
              <w:bottom w:type="dxa" w:w="70"/>
              <w:right w:type="dxa" w:w="120"/>
            </w:tcMar>
          </w:tcPr>
          <w:p>
            <w:pPr>
              <w:spacing w:after="0"/>
            </w:pPr>
            <w:r>
              <w:rPr>
                <w:sz w:val="19"/>
                <w:szCs w:val="19"/>
              </w:rPr>
              <w:t xml:space="preserve">10</w:t>
            </w:r>
          </w:p>
        </w:tc>
        <w:tc>
          <w:tcPr>
            <w:tcW w:type="dxa" w:w="8660"/>
            <w:shd w:fill="F2F2F2" w:val="clear"/>
            <w:tcMar>
              <w:top w:type="dxa" w:w="70"/>
              <w:left w:type="dxa" w:w="120"/>
              <w:bottom w:type="dxa" w:w="70"/>
              <w:right w:type="dxa" w:w="120"/>
            </w:tcMar>
          </w:tcPr>
          <w:p>
            <w:pPr>
              <w:spacing w:after="0"/>
            </w:pPr>
            <w:r>
              <w:rPr>
                <w:sz w:val="19"/>
                <w:szCs w:val="19"/>
              </w:rPr>
              <w:t xml:space="preserve">Expansion nach Österreich und in die Schweiz — was ändert sich rechtlich?</w:t>
            </w:r>
          </w:p>
        </w:tc>
      </w:tr>
    </w:tbl>
    <w:p>
      <w:r>
        <w:br w:type="page"/>
      </w:r>
    </w:p>
    <w:p>
      <w:pPr>
        <w:pStyle w:val="Heading1"/>
        <w:spacing w:after="160" w:before="360"/>
      </w:pPr>
      <w:r>
        <w:rPr>
          <w:color w:val="1F3A5F"/>
        </w:rPr>
        <w:t xml:space="preserve">Teil D — Was wir als Ergebnis brauchen</w:t>
      </w:r>
    </w:p>
    <w:p>
      <w:pPr>
        <w:spacing w:after="120" w:before="0"/>
      </w:pPr>
      <w:r>
        <w:t xml:space="preserve">Auskünfte helfen uns; Arbeitsergebnisse helfen uns mehr. Wir hätten gern, in dieser Reihenfolge: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4560"/>
      </w:tblGrid>
      <w:tr>
        <w:trPr>
          <w:tblHeader/>
        </w:trPr>
        <w:tc>
          <w:tcPr>
            <w:tcW w:type="dxa" w:w="600"/>
            <w:shd w:fill="1F3A5F" w:val="clear"/>
            <w:tcMar>
              <w:top w:type="dxa" w:w="80"/>
              <w:left w:type="dxa" w:w="120"/>
              <w:bottom w:type="dxa" w:w="80"/>
              <w:right w:type="dxa" w:w="120"/>
            </w:tcMar>
          </w:tcPr>
          <w:p>
            <w:r>
              <w:rPr>
                <w:b/>
                <w:bCs/>
                <w:color w:val="FFFFFF"/>
                <w:sz w:val="19"/>
                <w:szCs w:val="19"/>
              </w:rPr>
              <w:t xml:space="preserve">#</w:t>
            </w:r>
          </w:p>
        </w:tc>
        <w:tc>
          <w:tcPr>
            <w:tcW w:type="dxa" w:w="4200"/>
            <w:shd w:fill="1F3A5F" w:val="clear"/>
            <w:tcMar>
              <w:top w:type="dxa" w:w="80"/>
              <w:left w:type="dxa" w:w="120"/>
              <w:bottom w:type="dxa" w:w="80"/>
              <w:right w:type="dxa" w:w="120"/>
            </w:tcMar>
          </w:tcPr>
          <w:p>
            <w:r>
              <w:rPr>
                <w:b/>
                <w:bCs/>
                <w:color w:val="FFFFFF"/>
                <w:sz w:val="19"/>
                <w:szCs w:val="19"/>
              </w:rPr>
              <w:t xml:space="preserve">Ergebnis</w:t>
            </w:r>
          </w:p>
        </w:tc>
        <w:tc>
          <w:tcPr>
            <w:tcW w:type="dxa" w:w="4560"/>
            <w:shd w:fill="1F3A5F" w:val="clear"/>
            <w:tcMar>
              <w:top w:type="dxa" w:w="80"/>
              <w:left w:type="dxa" w:w="120"/>
              <w:bottom w:type="dxa" w:w="80"/>
              <w:right w:type="dxa" w:w="120"/>
            </w:tcMar>
          </w:tcPr>
          <w:p>
            <w:r>
              <w:rPr>
                <w:b/>
                <w:bCs/>
                <w:color w:val="FFFFFF"/>
                <w:sz w:val="19"/>
                <w:szCs w:val="19"/>
              </w:rPr>
              <w:t xml:space="preserve">Wozu</w:t>
            </w:r>
          </w:p>
        </w:tc>
      </w:tr>
      <w:tr>
        <w:tc>
          <w:tcPr>
            <w:tcW w:type="dxa" w:w="600"/>
            <w:shd w:fill="FFFFFF" w:val="clear"/>
            <w:tcMar>
              <w:top w:type="dxa" w:w="70"/>
              <w:left w:type="dxa" w:w="120"/>
              <w:bottom w:type="dxa" w:w="70"/>
              <w:right w:type="dxa" w:w="120"/>
            </w:tcMar>
          </w:tcPr>
          <w:p>
            <w:pPr>
              <w:spacing w:after="0"/>
            </w:pPr>
            <w:r>
              <w:rPr>
                <w:sz w:val="19"/>
                <w:szCs w:val="19"/>
              </w:rPr>
              <w:t xml:space="preserve">1</w:t>
            </w:r>
          </w:p>
        </w:tc>
        <w:tc>
          <w:tcPr>
            <w:tcW w:type="dxa" w:w="4200"/>
            <w:shd w:fill="FFFFFF" w:val="clear"/>
            <w:tcMar>
              <w:top w:type="dxa" w:w="70"/>
              <w:left w:type="dxa" w:w="120"/>
              <w:bottom w:type="dxa" w:w="70"/>
              <w:right w:type="dxa" w:w="120"/>
            </w:tcMar>
          </w:tcPr>
          <w:p>
            <w:pPr>
              <w:spacing w:after="0"/>
            </w:pPr>
            <w:r>
              <w:rPr>
                <w:b/>
                <w:bCs/>
                <w:sz w:val="19"/>
                <w:szCs w:val="19"/>
              </w:rPr>
              <w:t xml:space="preserve">Schriftlicher Prüfvermerk zum JMStV</w:t>
            </w:r>
            <w:r>
              <w:rPr>
                <w:sz w:val="19"/>
                <w:szCs w:val="19"/>
              </w:rPr>
              <w:t xml:space="preserve"> — Einordnung unseres Konzepts, Restrisiken, empfohlene Architektur der Altersprüfung.</w:t>
            </w:r>
          </w:p>
        </w:tc>
        <w:tc>
          <w:tcPr>
            <w:tcW w:type="dxa" w:w="4560"/>
            <w:shd w:fill="FFFFFF" w:val="clear"/>
            <w:tcMar>
              <w:top w:type="dxa" w:w="70"/>
              <w:left w:type="dxa" w:w="120"/>
              <w:bottom w:type="dxa" w:w="70"/>
              <w:right w:type="dxa" w:w="120"/>
            </w:tcMar>
          </w:tcPr>
          <w:p>
            <w:pPr>
              <w:spacing w:after="0"/>
            </w:pPr>
            <w:r>
              <w:rPr>
                <w:sz w:val="19"/>
                <w:szCs w:val="19"/>
              </w:rPr>
              <w:t xml:space="preserve">Entscheidungsgrundlage für das gesamte Produktdesign. Ohne ihn beginnen wir nicht mit dem Code.</w:t>
            </w:r>
          </w:p>
        </w:tc>
      </w:tr>
      <w:tr>
        <w:tc>
          <w:tcPr>
            <w:tcW w:type="dxa" w:w="600"/>
            <w:shd w:fill="F2F2F2" w:val="clear"/>
            <w:tcMar>
              <w:top w:type="dxa" w:w="70"/>
              <w:left w:type="dxa" w:w="120"/>
              <w:bottom w:type="dxa" w:w="70"/>
              <w:right w:type="dxa" w:w="120"/>
            </w:tcMar>
          </w:tcPr>
          <w:p>
            <w:pPr>
              <w:spacing w:after="0"/>
            </w:pPr>
            <w:r>
              <w:rPr>
                <w:sz w:val="19"/>
                <w:szCs w:val="19"/>
              </w:rPr>
              <w:t xml:space="preserve">2</w:t>
            </w:r>
          </w:p>
        </w:tc>
        <w:tc>
          <w:tcPr>
            <w:tcW w:type="dxa" w:w="4200"/>
            <w:shd w:fill="F2F2F2" w:val="clear"/>
            <w:tcMar>
              <w:top w:type="dxa" w:w="70"/>
              <w:left w:type="dxa" w:w="120"/>
              <w:bottom w:type="dxa" w:w="70"/>
              <w:right w:type="dxa" w:w="120"/>
            </w:tcMar>
          </w:tcPr>
          <w:p>
            <w:pPr>
              <w:spacing w:after="0"/>
            </w:pPr>
            <w:r>
              <w:rPr>
                <w:b/>
                <w:bCs/>
                <w:sz w:val="19"/>
                <w:szCs w:val="19"/>
              </w:rPr>
              <w:t xml:space="preserve">Freigabe oder Korrektur unseres Datenschutzhinweises</w:t>
            </w:r>
            <w:r>
              <w:rPr>
                <w:sz w:val="19"/>
                <w:szCs w:val="19"/>
              </w:rPr>
              <w:t xml:space="preserve"> für die Warteliste, inklusive der Einwilligungsformulierung mit Übergang auf die Gesellschaft.</w:t>
            </w:r>
          </w:p>
        </w:tc>
        <w:tc>
          <w:tcPr>
            <w:tcW w:type="dxa" w:w="4560"/>
            <w:shd w:fill="F2F2F2" w:val="clear"/>
            <w:tcMar>
              <w:top w:type="dxa" w:w="70"/>
              <w:left w:type="dxa" w:w="120"/>
              <w:bottom w:type="dxa" w:w="70"/>
              <w:right w:type="dxa" w:w="120"/>
            </w:tcMar>
          </w:tcPr>
          <w:p>
            <w:pPr>
              <w:spacing w:after="0"/>
            </w:pPr>
            <w:r>
              <w:rPr>
                <w:sz w:val="19"/>
                <w:szCs w:val="19"/>
              </w:rPr>
              <w:t xml:space="preserve">Ohne sie geht die Wartelistenseite nicht online.</w:t>
            </w:r>
          </w:p>
        </w:tc>
      </w:tr>
      <w:tr>
        <w:tc>
          <w:tcPr>
            <w:tcW w:type="dxa" w:w="600"/>
            <w:shd w:fill="FFFFFF" w:val="clear"/>
            <w:tcMar>
              <w:top w:type="dxa" w:w="70"/>
              <w:left w:type="dxa" w:w="120"/>
              <w:bottom w:type="dxa" w:w="70"/>
              <w:right w:type="dxa" w:w="120"/>
            </w:tcMar>
          </w:tcPr>
          <w:p>
            <w:pPr>
              <w:spacing w:after="0"/>
            </w:pPr>
            <w:r>
              <w:rPr>
                <w:sz w:val="19"/>
                <w:szCs w:val="19"/>
              </w:rPr>
              <w:t xml:space="preserve">3</w:t>
            </w:r>
          </w:p>
        </w:tc>
        <w:tc>
          <w:tcPr>
            <w:tcW w:type="dxa" w:w="4200"/>
            <w:shd w:fill="FFFFFF" w:val="clear"/>
            <w:tcMar>
              <w:top w:type="dxa" w:w="70"/>
              <w:left w:type="dxa" w:w="120"/>
              <w:bottom w:type="dxa" w:w="70"/>
              <w:right w:type="dxa" w:w="120"/>
            </w:tcMar>
          </w:tcPr>
          <w:p>
            <w:pPr>
              <w:spacing w:after="0"/>
            </w:pPr>
            <w:r>
              <w:rPr>
                <w:b/>
                <w:bCs/>
                <w:sz w:val="19"/>
                <w:szCs w:val="19"/>
              </w:rPr>
              <w:t xml:space="preserve">Kurze schriftliche Aussage zur Impressumslösung</w:t>
            </w:r>
            <w:r>
              <w:rPr>
                <w:sz w:val="19"/>
                <w:szCs w:val="19"/>
              </w:rPr>
              <w:t xml:space="preserve"> — welchen Weg wir gehen können und welchen nicht.</w:t>
            </w:r>
          </w:p>
        </w:tc>
        <w:tc>
          <w:tcPr>
            <w:tcW w:type="dxa" w:w="4560"/>
            <w:shd w:fill="FFFFFF" w:val="clear"/>
            <w:tcMar>
              <w:top w:type="dxa" w:w="70"/>
              <w:left w:type="dxa" w:w="120"/>
              <w:bottom w:type="dxa" w:w="70"/>
              <w:right w:type="dxa" w:w="120"/>
            </w:tcMar>
          </w:tcPr>
          <w:p>
            <w:pPr>
              <w:spacing w:after="0"/>
            </w:pPr>
            <w:r>
              <w:rPr>
                <w:sz w:val="19"/>
                <w:szCs w:val="19"/>
              </w:rPr>
              <w:t xml:space="preserve">Zweiter Blocker der Wartelistenseite.</w:t>
            </w:r>
          </w:p>
        </w:tc>
      </w:tr>
      <w:tr>
        <w:tc>
          <w:tcPr>
            <w:tcW w:type="dxa" w:w="600"/>
            <w:shd w:fill="F2F2F2" w:val="clear"/>
            <w:tcMar>
              <w:top w:type="dxa" w:w="70"/>
              <w:left w:type="dxa" w:w="120"/>
              <w:bottom w:type="dxa" w:w="70"/>
              <w:right w:type="dxa" w:w="120"/>
            </w:tcMar>
          </w:tcPr>
          <w:p>
            <w:pPr>
              <w:spacing w:after="0"/>
            </w:pPr>
            <w:r>
              <w:rPr>
                <w:sz w:val="19"/>
                <w:szCs w:val="19"/>
              </w:rPr>
              <w:t xml:space="preserve">4</w:t>
            </w:r>
          </w:p>
        </w:tc>
        <w:tc>
          <w:tcPr>
            <w:tcW w:type="dxa" w:w="4200"/>
            <w:shd w:fill="F2F2F2" w:val="clear"/>
            <w:tcMar>
              <w:top w:type="dxa" w:w="70"/>
              <w:left w:type="dxa" w:w="120"/>
              <w:bottom w:type="dxa" w:w="70"/>
              <w:right w:type="dxa" w:w="120"/>
            </w:tcMar>
          </w:tcPr>
          <w:p>
            <w:pPr>
              <w:spacing w:after="0"/>
            </w:pPr>
            <w:r>
              <w:rPr>
                <w:b/>
                <w:bCs/>
                <w:sz w:val="19"/>
                <w:szCs w:val="19"/>
              </w:rPr>
              <w:t xml:space="preserve">Entwurf des Gesellschaftsvertrags</w:t>
            </w:r>
            <w:r>
              <w:rPr>
                <w:sz w:val="19"/>
                <w:szCs w:val="19"/>
              </w:rPr>
              <w:t xml:space="preserve"> mit Vesting, Deadlock-Regelung, Wettbewerbsverbot, reduzierter Mitarbeit und begrenztem Gründungsaufwand.</w:t>
            </w:r>
          </w:p>
        </w:tc>
        <w:tc>
          <w:tcPr>
            <w:tcW w:type="dxa" w:w="4560"/>
            <w:shd w:fill="F2F2F2" w:val="clear"/>
            <w:tcMar>
              <w:top w:type="dxa" w:w="70"/>
              <w:left w:type="dxa" w:w="120"/>
              <w:bottom w:type="dxa" w:w="70"/>
              <w:right w:type="dxa" w:w="120"/>
            </w:tcMar>
          </w:tcPr>
          <w:p>
            <w:pPr>
              <w:spacing w:after="0"/>
            </w:pPr>
            <w:r>
              <w:rPr>
                <w:sz w:val="19"/>
                <w:szCs w:val="19"/>
              </w:rPr>
              <w:t xml:space="preserve">Grundlage des Notartermins.</w:t>
            </w:r>
          </w:p>
        </w:tc>
      </w:tr>
      <w:tr>
        <w:tc>
          <w:tcPr>
            <w:tcW w:type="dxa" w:w="600"/>
            <w:shd w:fill="FFFFFF" w:val="clear"/>
            <w:tcMar>
              <w:top w:type="dxa" w:w="70"/>
              <w:left w:type="dxa" w:w="120"/>
              <w:bottom w:type="dxa" w:w="70"/>
              <w:right w:type="dxa" w:w="120"/>
            </w:tcMar>
          </w:tcPr>
          <w:p>
            <w:pPr>
              <w:spacing w:after="0"/>
            </w:pPr>
            <w:r>
              <w:rPr>
                <w:sz w:val="19"/>
                <w:szCs w:val="19"/>
              </w:rPr>
              <w:t xml:space="preserve">5</w:t>
            </w:r>
          </w:p>
        </w:tc>
        <w:tc>
          <w:tcPr>
            <w:tcW w:type="dxa" w:w="4200"/>
            <w:shd w:fill="FFFFFF" w:val="clear"/>
            <w:tcMar>
              <w:top w:type="dxa" w:w="70"/>
              <w:left w:type="dxa" w:w="120"/>
              <w:bottom w:type="dxa" w:w="70"/>
              <w:right w:type="dxa" w:w="120"/>
            </w:tcMar>
          </w:tcPr>
          <w:p>
            <w:pPr>
              <w:spacing w:after="0"/>
            </w:pPr>
            <w:r>
              <w:rPr>
                <w:b/>
                <w:bCs/>
                <w:sz w:val="19"/>
                <w:szCs w:val="19"/>
              </w:rPr>
              <w:t xml:space="preserve">Vereinbarung zwischen uns beiden für die Vorbereitungsphase</w:t>
            </w:r>
            <w:r>
              <w:rPr>
                <w:sz w:val="19"/>
                <w:szCs w:val="19"/>
              </w:rPr>
              <w:t xml:space="preserve"> — Beiträge, Rechte an Vorarbeiten, Ausstieg, Übertragung auf die künftige GmbH.</w:t>
            </w:r>
          </w:p>
        </w:tc>
        <w:tc>
          <w:tcPr>
            <w:tcW w:type="dxa" w:w="4560"/>
            <w:shd w:fill="FFFFFF" w:val="clear"/>
            <w:tcMar>
              <w:top w:type="dxa" w:w="70"/>
              <w:left w:type="dxa" w:w="120"/>
              <w:bottom w:type="dxa" w:w="70"/>
              <w:right w:type="dxa" w:w="120"/>
            </w:tcMar>
          </w:tcPr>
          <w:p>
            <w:pPr>
              <w:spacing w:after="0"/>
            </w:pPr>
            <w:r>
              <w:rPr>
                <w:sz w:val="19"/>
                <w:szCs w:val="19"/>
              </w:rPr>
              <w:t xml:space="preserve">Schließt die Lücke zwischen heute und der Gründung.</w:t>
            </w:r>
          </w:p>
        </w:tc>
      </w:tr>
      <w:tr>
        <w:tc>
          <w:tcPr>
            <w:tcW w:type="dxa" w:w="600"/>
            <w:shd w:fill="F2F2F2" w:val="clear"/>
            <w:tcMar>
              <w:top w:type="dxa" w:w="70"/>
              <w:left w:type="dxa" w:w="120"/>
              <w:bottom w:type="dxa" w:w="70"/>
              <w:right w:type="dxa" w:w="120"/>
            </w:tcMar>
          </w:tcPr>
          <w:p>
            <w:pPr>
              <w:spacing w:after="0"/>
            </w:pPr>
            <w:r>
              <w:rPr>
                <w:sz w:val="19"/>
                <w:szCs w:val="19"/>
              </w:rPr>
              <w:t xml:space="preserve">6</w:t>
            </w:r>
          </w:p>
        </w:tc>
        <w:tc>
          <w:tcPr>
            <w:tcW w:type="dxa" w:w="4200"/>
            <w:shd w:fill="F2F2F2" w:val="clear"/>
            <w:tcMar>
              <w:top w:type="dxa" w:w="70"/>
              <w:left w:type="dxa" w:w="120"/>
              <w:bottom w:type="dxa" w:w="70"/>
              <w:right w:type="dxa" w:w="120"/>
            </w:tcMar>
          </w:tcPr>
          <w:p>
            <w:pPr>
              <w:spacing w:after="0"/>
            </w:pPr>
            <w:r>
              <w:rPr>
                <w:b/>
                <w:bCs/>
                <w:sz w:val="19"/>
                <w:szCs w:val="19"/>
              </w:rPr>
              <w:t xml:space="preserve">Checkliste: Was muss vor der ersten Zeile Produktivcode stehen?</w:t>
            </w:r>
          </w:p>
        </w:tc>
        <w:tc>
          <w:tcPr>
            <w:tcW w:type="dxa" w:w="4560"/>
            <w:shd w:fill="F2F2F2" w:val="clear"/>
            <w:tcMar>
              <w:top w:type="dxa" w:w="70"/>
              <w:left w:type="dxa" w:w="120"/>
              <w:bottom w:type="dxa" w:w="70"/>
              <w:right w:type="dxa" w:w="120"/>
            </w:tcMar>
          </w:tcPr>
          <w:p>
            <w:pPr>
              <w:spacing w:after="0"/>
            </w:pPr>
            <w:r>
              <w:rPr>
                <w:sz w:val="19"/>
                <w:szCs w:val="19"/>
              </w:rPr>
              <w:t xml:space="preserve">Damit wir nicht bauen, was wir wieder abreißen müssen.</w:t>
            </w:r>
          </w:p>
        </w:tc>
      </w:tr>
      <w:tr>
        <w:tc>
          <w:tcPr>
            <w:tcW w:type="dxa" w:w="600"/>
            <w:shd w:fill="FFFFFF" w:val="clear"/>
            <w:tcMar>
              <w:top w:type="dxa" w:w="70"/>
              <w:left w:type="dxa" w:w="120"/>
              <w:bottom w:type="dxa" w:w="70"/>
              <w:right w:type="dxa" w:w="120"/>
            </w:tcMar>
          </w:tcPr>
          <w:p>
            <w:pPr>
              <w:spacing w:after="0"/>
            </w:pPr>
            <w:r>
              <w:rPr>
                <w:sz w:val="19"/>
                <w:szCs w:val="19"/>
              </w:rPr>
              <w:t xml:space="preserve">7</w:t>
            </w:r>
          </w:p>
        </w:tc>
        <w:tc>
          <w:tcPr>
            <w:tcW w:type="dxa" w:w="4200"/>
            <w:shd w:fill="FFFFFF" w:val="clear"/>
            <w:tcMar>
              <w:top w:type="dxa" w:w="70"/>
              <w:left w:type="dxa" w:w="120"/>
              <w:bottom w:type="dxa" w:w="70"/>
              <w:right w:type="dxa" w:w="120"/>
            </w:tcMar>
          </w:tcPr>
          <w:p>
            <w:pPr>
              <w:spacing w:after="0"/>
            </w:pPr>
            <w:r>
              <w:rPr>
                <w:b/>
                <w:bCs/>
                <w:sz w:val="19"/>
                <w:szCs w:val="19"/>
              </w:rPr>
              <w:t xml:space="preserve">Ähnlichkeitsrecherche</w:t>
            </w:r>
            <w:r>
              <w:rPr>
                <w:sz w:val="19"/>
                <w:szCs w:val="19"/>
              </w:rPr>
              <w:t xml:space="preserve"> zum endgültigen Namen, sobald er feststeht.</w:t>
            </w:r>
          </w:p>
        </w:tc>
        <w:tc>
          <w:tcPr>
            <w:tcW w:type="dxa" w:w="4560"/>
            <w:shd w:fill="FFFFFF" w:val="clear"/>
            <w:tcMar>
              <w:top w:type="dxa" w:w="70"/>
              <w:left w:type="dxa" w:w="120"/>
              <w:bottom w:type="dxa" w:w="70"/>
              <w:right w:type="dxa" w:w="120"/>
            </w:tcMar>
          </w:tcPr>
          <w:p>
            <w:pPr>
              <w:spacing w:after="0"/>
            </w:pPr>
            <w:r>
              <w:rPr>
                <w:sz w:val="19"/>
                <w:szCs w:val="19"/>
              </w:rPr>
              <w:t xml:space="preserve">Vor der ersten Pressemitteilung.</w:t>
            </w:r>
          </w:p>
        </w:tc>
      </w:tr>
    </w:tbl>
    <w:p>
      <w:pPr>
        <w:spacing w:after="80"/>
      </w:pPr>
    </w:p>
    <w:p>
      <w:pPr>
        <w:pStyle w:val="Heading1"/>
        <w:spacing w:after="160" w:before="360"/>
      </w:pPr>
      <w:r>
        <w:rPr>
          <w:color w:val="1F3A5F"/>
        </w:rPr>
        <w:t xml:space="preserve">Teil E — Unterlagen, die wir mitbringen</w:t>
      </w:r>
    </w:p>
    <w:p>
      <w:pPr>
        <w:pStyle w:val="ListParagraph"/>
        <w:numPr>
          <w:ilvl w:val="0"/>
          <w:numId w:val="2"/>
        </w:numPr>
        <w:spacing w:after="60"/>
      </w:pPr>
      <w:r>
        <w:t xml:space="preserve">Diese Akte, ausgedruckt, in zweifacher Ausfertigung.</w:t>
      </w:r>
    </w:p>
    <w:p>
      <w:pPr>
        <w:pStyle w:val="ListParagraph"/>
        <w:numPr>
          <w:ilvl w:val="0"/>
          <w:numId w:val="2"/>
        </w:numPr>
        <w:spacing w:after="60"/>
      </w:pPr>
      <w:r>
        <w:rPr>
          <w:b/>
          <w:bCs/>
        </w:rPr>
        <w:t xml:space="preserve">Produkthandbuch</w:t>
      </w:r>
      <w:r>
        <w:t xml:space="preserve"> — vollständiger Funktionskatalog, Streichliste, Architekturentscheidungen, Rechtsübersicht.</w:t>
      </w:r>
    </w:p>
    <w:p>
      <w:pPr>
        <w:pStyle w:val="ListParagraph"/>
        <w:numPr>
          <w:ilvl w:val="0"/>
          <w:numId w:val="2"/>
        </w:numPr>
        <w:spacing w:after="60"/>
      </w:pPr>
      <w:r>
        <w:rPr>
          <w:b/>
          <w:bCs/>
        </w:rPr>
        <w:t xml:space="preserve">Wirtschaftshandbuch</w:t>
      </w:r>
      <w:r>
        <w:t xml:space="preserve"> — Kostenmodell, Szenarien, Marketing, Risikoanalyse.</w:t>
      </w:r>
    </w:p>
    <w:p>
      <w:pPr>
        <w:pStyle w:val="ListParagraph"/>
        <w:numPr>
          <w:ilvl w:val="0"/>
          <w:numId w:val="2"/>
        </w:numPr>
        <w:spacing w:after="60"/>
      </w:pPr>
      <w:r>
        <w:rPr>
          <w:b/>
          <w:bCs/>
        </w:rPr>
        <w:t xml:space="preserve">Entwurf des Datenschutzhinweises</w:t>
      </w:r>
      <w:r>
        <w:t xml:space="preserve"> für die Warteliste, mit Einwilligungstext.</w:t>
      </w:r>
    </w:p>
    <w:p>
      <w:pPr>
        <w:pStyle w:val="ListParagraph"/>
        <w:numPr>
          <w:ilvl w:val="0"/>
          <w:numId w:val="2"/>
        </w:numPr>
        <w:spacing w:after="60"/>
      </w:pPr>
      <w:r>
        <w:rPr>
          <w:b/>
          <w:bCs/>
        </w:rPr>
        <w:t xml:space="preserve">Entwurf der Wartelistenseite</w:t>
      </w:r>
      <w:r>
        <w:t xml:space="preserve"> — vollständige Texte, damit Sie sehen, was wir öffentlich behaupten wollen.</w:t>
      </w:r>
    </w:p>
    <w:p>
      <w:pPr>
        <w:pStyle w:val="ListParagraph"/>
        <w:numPr>
          <w:ilvl w:val="0"/>
          <w:numId w:val="2"/>
        </w:numPr>
        <w:spacing w:after="60"/>
      </w:pPr>
      <w:r>
        <w:rPr>
          <w:b/>
          <w:bCs/>
        </w:rPr>
        <w:t xml:space="preserve">Vergleich der Impressumslösungen</w:t>
      </w:r>
      <w:r>
        <w:t xml:space="preserve"> mit Anbietern und Preisen.</w:t>
      </w:r>
    </w:p>
    <w:p>
      <w:pPr>
        <w:pStyle w:val="ListParagraph"/>
        <w:numPr>
          <w:ilvl w:val="0"/>
          <w:numId w:val="2"/>
        </w:numPr>
        <w:spacing w:after="60"/>
      </w:pPr>
      <w:r>
        <w:rPr>
          <w:b/>
          <w:bCs/>
        </w:rPr>
        <w:t xml:space="preserve">Vorrecherche zum Namen</w:t>
      </w:r>
      <w:r>
        <w:t xml:space="preserve"> — Domains, Registerlage, Kollisionsbefunde.</w:t>
      </w:r>
    </w:p>
    <w:p>
      <w:pPr>
        <w:pStyle w:val="ListParagraph"/>
        <w:numPr>
          <w:ilvl w:val="0"/>
          <w:numId w:val="2"/>
        </w:numPr>
        <w:spacing w:after="60"/>
      </w:pPr>
      <w:r>
        <w:rPr>
          <w:b/>
          <w:bCs/>
        </w:rPr>
        <w:t xml:space="preserve">Vorabmemo zum JMStV</w:t>
      </w:r>
      <w:r>
        <w:t xml:space="preserve"> mit unserer Einschätzung und Quellen.</w:t>
      </w:r>
    </w:p>
    <w:p>
      <w:pPr>
        <w:pStyle w:val="ListParagraph"/>
        <w:numPr>
          <w:ilvl w:val="0"/>
          <w:numId w:val="2"/>
        </w:numPr>
        <w:spacing w:after="60"/>
      </w:pPr>
      <w:r>
        <w:t xml:space="preserve">Personalausweise beider Gründer.</w:t>
      </w:r>
    </w:p>
    <w:p>
      <w:pPr>
        <w:spacing w:after="80"/>
      </w:pPr>
    </w:p>
    <w:p>
      <w:pPr>
        <w:spacing w:after="120" w:before="0"/>
      </w:pPr>
      <w:r>
        <w:t xml:space="preserve">Alle Unterlagen können wir vorab digital zusenden. Sagen Sie uns bitte, was Sie </w:t>
      </w:r>
      <w:r>
        <w:rPr>
          <w:b/>
          <w:bCs/>
        </w:rPr>
        <w:t xml:space="preserve">vor</w:t>
      </w:r>
      <w:r>
        <w:t xml:space="preserve"> dem Termin brauchen — es ist uns lieber, Sie lesen vorher, als dass wir im Termin vorlesen.</w:t>
      </w:r>
    </w:p>
    <w:p>
      <w:pPr>
        <w:spacing w:after="80"/>
      </w:pPr>
    </w:p>
    <w:p>
      <w:pPr>
        <w:pStyle w:val="Heading1"/>
        <w:spacing w:after="160" w:before="360"/>
      </w:pPr>
      <w:r>
        <w:rPr>
          <w:color w:val="1F3A5F"/>
        </w:rPr>
        <w:t xml:space="preserve">Teil F — Honorar und Mandatsrahmen</w:t>
      </w:r>
    </w:p>
    <w:p>
      <w:pPr>
        <w:spacing w:after="120" w:before="0"/>
      </w:pPr>
      <w:r>
        <w:t xml:space="preserve">Wir sind zwei Schüler ohne Einkommen und planen mit einem Budget von etwa </w:t>
      </w:r>
      <w:r>
        <w:rPr>
          <w:b/>
          <w:bCs/>
        </w:rPr>
        <w:t xml:space="preserve">1.800 € für die erste Mandatsphase einschließlich Markenrecherche</w:t>
      </w:r>
      <w:r>
        <w:t xml:space="preserve">. Wir sagen das offen, weil wir lieber vorher wissen, was möglich ist, als hinterher eine Rechnung zu bekommen, die wir nicht bedienen können.</w:t>
      </w:r>
    </w:p>
    <w:p>
      <w:pPr>
        <w:spacing w:after="80"/>
      </w:pPr>
    </w:p>
    <w:p>
      <w:pPr>
        <w:pStyle w:val="ListParagraph"/>
        <w:numPr>
          <w:ilvl w:val="0"/>
          <w:numId w:val="2"/>
        </w:numPr>
        <w:spacing w:after="60"/>
      </w:pPr>
      <w:r>
        <w:t xml:space="preserve">Rechnen Sie nach Stundensatz, Pauschale oder RVG? Wie hoch ist der Satz?</w:t>
      </w:r>
    </w:p>
    <w:p>
      <w:pPr>
        <w:pStyle w:val="ListParagraph"/>
        <w:numPr>
          <w:ilvl w:val="0"/>
          <w:numId w:val="2"/>
        </w:numPr>
        <w:spacing w:after="60"/>
      </w:pPr>
      <w:r>
        <w:t xml:space="preserve">Was kostet eine schriftliche Einschätzung zum JMStV ungefähr?</w:t>
      </w:r>
    </w:p>
    <w:p>
      <w:pPr>
        <w:pStyle w:val="ListParagraph"/>
        <w:numPr>
          <w:ilvl w:val="0"/>
          <w:numId w:val="2"/>
        </w:numPr>
        <w:spacing w:after="60"/>
      </w:pPr>
      <w:r>
        <w:t xml:space="preserve">Was kostet ein individueller Gesellschaftsvertrag mit Vesting?</w:t>
      </w:r>
    </w:p>
    <w:p>
      <w:pPr>
        <w:pStyle w:val="ListParagraph"/>
        <w:numPr>
          <w:ilvl w:val="0"/>
          <w:numId w:val="2"/>
        </w:numPr>
        <w:spacing w:after="60"/>
      </w:pPr>
      <w:r>
        <w:t xml:space="preserve">Was kostet die Ähnlichkeitsrecherche, und rechnen Sie Amtsgebühren durch?</w:t>
      </w:r>
    </w:p>
    <w:p>
      <w:pPr>
        <w:pStyle w:val="ListParagraph"/>
        <w:numPr>
          <w:ilvl w:val="0"/>
          <w:numId w:val="2"/>
        </w:numPr>
        <w:spacing w:after="60"/>
      </w:pPr>
      <w:r>
        <w:t xml:space="preserve">Ist eine gestufte Beauftragung möglich — erst JMStV und Datenschutz, später Gesellschaftsvertrag?</w:t>
      </w:r>
    </w:p>
    <w:p>
      <w:pPr>
        <w:pStyle w:val="ListParagraph"/>
        <w:numPr>
          <w:ilvl w:val="0"/>
          <w:numId w:val="2"/>
        </w:numPr>
        <w:spacing w:after="60"/>
      </w:pPr>
      <w:r>
        <w:t xml:space="preserve">Gibt es für Gründer ein anderes Modell — Festpreispaket, gestundetes Honorar?</w:t>
      </w:r>
    </w:p>
    <w:p>
      <w:pPr>
        <w:pStyle w:val="ListParagraph"/>
        <w:numPr>
          <w:ilvl w:val="0"/>
          <w:numId w:val="2"/>
        </w:numPr>
        <w:spacing w:after="60"/>
      </w:pPr>
      <w:r>
        <w:t xml:space="preserve">Können wir Fragen zwischen den Terminen schriftlich stellen, und wie wird das abgerechnet?</w:t>
      </w:r>
    </w:p>
    <w:p>
      <w:pPr>
        <w:spacing w:after="80"/>
      </w:pPr>
    </w:p>
    <w:p>
      <w:pPr>
        <w:spacing w:after="120" w:before="0"/>
      </w:pPr>
      <w:r>
        <w:rPr>
          <w:b/>
          <w:bCs/>
        </w:rPr>
        <w:t xml:space="preserve">Wenn unser Budget für Ihre Kanzlei zu klein ist, sagen Sie es uns bitte im Erstgespräch.</w:t>
      </w:r>
      <w:r>
        <w:t xml:space="preserve"> Wir suchen dann jemand anderen, ohne dass jemandem Zeit verloren geht.</w:t>
      </w:r>
    </w:p>
    <w:p>
      <w:pPr>
        <w:spacing w:after="80"/>
      </w:pPr>
    </w:p>
    <w:p>
      <w:pPr>
        <w:pStyle w:val="Heading1"/>
        <w:spacing w:after="160" w:before="360"/>
      </w:pPr>
      <w:r>
        <w:rPr>
          <w:color w:val="1F3A5F"/>
        </w:rPr>
        <w:t xml:space="preserve">Teil G — Anlagenverzeichnis</w:t>
      </w:r>
    </w:p>
    <w:p>
      <w:pPr>
        <w:spacing w:after="120" w:before="0"/>
      </w:pPr>
      <w:r>
        <w:t xml:space="preserve">Alle genannten Dokumente liegen bei uns strukturiert vor und können digital übermittelt werden.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400"/>
        <w:gridCol w:w="5360"/>
      </w:tblGrid>
      <w:tr>
        <w:trPr>
          <w:tblHeader/>
        </w:trPr>
        <w:tc>
          <w:tcPr>
            <w:tcW w:type="dxa" w:w="600"/>
            <w:shd w:fill="1F3A5F" w:val="clear"/>
            <w:tcMar>
              <w:top w:type="dxa" w:w="80"/>
              <w:left w:type="dxa" w:w="120"/>
              <w:bottom w:type="dxa" w:w="80"/>
              <w:right w:type="dxa" w:w="120"/>
            </w:tcMar>
          </w:tcPr>
          <w:p>
            <w:r>
              <w:rPr>
                <w:b/>
                <w:bCs/>
                <w:color w:val="FFFFFF"/>
                <w:sz w:val="19"/>
                <w:szCs w:val="19"/>
              </w:rPr>
              <w:t xml:space="preserve">#</w:t>
            </w:r>
          </w:p>
        </w:tc>
        <w:tc>
          <w:tcPr>
            <w:tcW w:type="dxa" w:w="3400"/>
            <w:shd w:fill="1F3A5F" w:val="clear"/>
            <w:tcMar>
              <w:top w:type="dxa" w:w="80"/>
              <w:left w:type="dxa" w:w="120"/>
              <w:bottom w:type="dxa" w:w="80"/>
              <w:right w:type="dxa" w:w="120"/>
            </w:tcMar>
          </w:tcPr>
          <w:p>
            <w:r>
              <w:rPr>
                <w:b/>
                <w:bCs/>
                <w:color w:val="FFFFFF"/>
                <w:sz w:val="19"/>
                <w:szCs w:val="19"/>
              </w:rPr>
              <w:t xml:space="preserve">Dokument</w:t>
            </w:r>
          </w:p>
        </w:tc>
        <w:tc>
          <w:tcPr>
            <w:tcW w:type="dxa" w:w="5360"/>
            <w:shd w:fill="1F3A5F" w:val="clear"/>
            <w:tcMar>
              <w:top w:type="dxa" w:w="80"/>
              <w:left w:type="dxa" w:w="120"/>
              <w:bottom w:type="dxa" w:w="80"/>
              <w:right w:type="dxa" w:w="120"/>
            </w:tcMar>
          </w:tcPr>
          <w:p>
            <w:r>
              <w:rPr>
                <w:b/>
                <w:bCs/>
                <w:color w:val="FFFFFF"/>
                <w:sz w:val="19"/>
                <w:szCs w:val="19"/>
              </w:rPr>
              <w:t xml:space="preserve">Inhalt</w:t>
            </w:r>
          </w:p>
        </w:tc>
      </w:tr>
      <w:tr>
        <w:tc>
          <w:tcPr>
            <w:tcW w:type="dxa" w:w="600"/>
            <w:shd w:fill="FFFFFF" w:val="clear"/>
            <w:tcMar>
              <w:top w:type="dxa" w:w="70"/>
              <w:left w:type="dxa" w:w="120"/>
              <w:bottom w:type="dxa" w:w="70"/>
              <w:right w:type="dxa" w:w="120"/>
            </w:tcMar>
          </w:tcPr>
          <w:p>
            <w:pPr>
              <w:spacing w:after="0"/>
            </w:pPr>
            <w:r>
              <w:rPr>
                <w:sz w:val="19"/>
                <w:szCs w:val="19"/>
              </w:rPr>
              <w:t xml:space="preserve">A1</w:t>
            </w:r>
          </w:p>
        </w:tc>
        <w:tc>
          <w:tcPr>
            <w:tcW w:type="dxa" w:w="3400"/>
            <w:shd w:fill="FFFFFF" w:val="clear"/>
            <w:tcMar>
              <w:top w:type="dxa" w:w="70"/>
              <w:left w:type="dxa" w:w="120"/>
              <w:bottom w:type="dxa" w:w="70"/>
              <w:right w:type="dxa" w:w="120"/>
            </w:tcMar>
          </w:tcPr>
          <w:p>
            <w:pPr>
              <w:spacing w:after="0"/>
            </w:pPr>
            <w:r>
              <w:rPr>
                <w:sz w:val="19"/>
                <w:szCs w:val="19"/>
              </w:rPr>
              <w:t xml:space="preserve">Handbuch A — Produkt, Technik, Recht</w:t>
            </w:r>
          </w:p>
        </w:tc>
        <w:tc>
          <w:tcPr>
            <w:tcW w:type="dxa" w:w="5360"/>
            <w:shd w:fill="FFFFFF" w:val="clear"/>
            <w:tcMar>
              <w:top w:type="dxa" w:w="70"/>
              <w:left w:type="dxa" w:w="120"/>
              <w:bottom w:type="dxa" w:w="70"/>
              <w:right w:type="dxa" w:w="120"/>
            </w:tcMar>
          </w:tcPr>
          <w:p>
            <w:pPr>
              <w:spacing w:after="0"/>
            </w:pPr>
            <w:r>
              <w:rPr>
                <w:sz w:val="19"/>
                <w:szCs w:val="19"/>
              </w:rPr>
              <w:t xml:space="preserve">Funktionskatalog, Streichliste, Mikro-UX, Gestaltungssystem, produktbezogener Rechtsteil</w:t>
            </w:r>
          </w:p>
        </w:tc>
      </w:tr>
      <w:tr>
        <w:tc>
          <w:tcPr>
            <w:tcW w:type="dxa" w:w="600"/>
            <w:shd w:fill="F2F2F2" w:val="clear"/>
            <w:tcMar>
              <w:top w:type="dxa" w:w="70"/>
              <w:left w:type="dxa" w:w="120"/>
              <w:bottom w:type="dxa" w:w="70"/>
              <w:right w:type="dxa" w:w="120"/>
            </w:tcMar>
          </w:tcPr>
          <w:p>
            <w:pPr>
              <w:spacing w:after="0"/>
            </w:pPr>
            <w:r>
              <w:rPr>
                <w:sz w:val="19"/>
                <w:szCs w:val="19"/>
              </w:rPr>
              <w:t xml:space="preserve">A2</w:t>
            </w:r>
          </w:p>
        </w:tc>
        <w:tc>
          <w:tcPr>
            <w:tcW w:type="dxa" w:w="3400"/>
            <w:shd w:fill="F2F2F2" w:val="clear"/>
            <w:tcMar>
              <w:top w:type="dxa" w:w="70"/>
              <w:left w:type="dxa" w:w="120"/>
              <w:bottom w:type="dxa" w:w="70"/>
              <w:right w:type="dxa" w:w="120"/>
            </w:tcMar>
          </w:tcPr>
          <w:p>
            <w:pPr>
              <w:spacing w:after="0"/>
            </w:pPr>
            <w:r>
              <w:rPr>
                <w:sz w:val="19"/>
                <w:szCs w:val="19"/>
              </w:rPr>
              <w:t xml:space="preserve">Handbuch B — Wirtschaft, Kosten, Marketing</w:t>
            </w:r>
          </w:p>
        </w:tc>
        <w:tc>
          <w:tcPr>
            <w:tcW w:type="dxa" w:w="5360"/>
            <w:shd w:fill="F2F2F2" w:val="clear"/>
            <w:tcMar>
              <w:top w:type="dxa" w:w="70"/>
              <w:left w:type="dxa" w:w="120"/>
              <w:bottom w:type="dxa" w:w="70"/>
              <w:right w:type="dxa" w:w="120"/>
            </w:tcMar>
          </w:tcPr>
          <w:p>
            <w:pPr>
              <w:spacing w:after="0"/>
            </w:pPr>
            <w:r>
              <w:rPr>
                <w:sz w:val="19"/>
                <w:szCs w:val="19"/>
              </w:rPr>
              <w:t xml:space="preserve">Kostenmodell, drei Szenarien, Akquiseökonomie, Rechtsrahmen vor der Gründung</w:t>
            </w:r>
          </w:p>
        </w:tc>
      </w:tr>
      <w:tr>
        <w:tc>
          <w:tcPr>
            <w:tcW w:type="dxa" w:w="600"/>
            <w:shd w:fill="FFFFFF" w:val="clear"/>
            <w:tcMar>
              <w:top w:type="dxa" w:w="70"/>
              <w:left w:type="dxa" w:w="120"/>
              <w:bottom w:type="dxa" w:w="70"/>
              <w:right w:type="dxa" w:w="120"/>
            </w:tcMar>
          </w:tcPr>
          <w:p>
            <w:pPr>
              <w:spacing w:after="0"/>
            </w:pPr>
            <w:r>
              <w:rPr>
                <w:sz w:val="19"/>
                <w:szCs w:val="19"/>
              </w:rPr>
              <w:t xml:space="preserve">A3</w:t>
            </w:r>
          </w:p>
        </w:tc>
        <w:tc>
          <w:tcPr>
            <w:tcW w:type="dxa" w:w="3400"/>
            <w:shd w:fill="FFFFFF" w:val="clear"/>
            <w:tcMar>
              <w:top w:type="dxa" w:w="70"/>
              <w:left w:type="dxa" w:w="120"/>
              <w:bottom w:type="dxa" w:w="70"/>
              <w:right w:type="dxa" w:w="120"/>
            </w:tcMar>
          </w:tcPr>
          <w:p>
            <w:pPr>
              <w:spacing w:after="0"/>
            </w:pPr>
            <w:r>
              <w:rPr>
                <w:sz w:val="19"/>
                <w:szCs w:val="19"/>
              </w:rPr>
              <w:t xml:space="preserve">JMStV — Problem und Einschätzung</w:t>
            </w:r>
          </w:p>
        </w:tc>
        <w:tc>
          <w:tcPr>
            <w:tcW w:type="dxa" w:w="5360"/>
            <w:shd w:fill="FFFFFF" w:val="clear"/>
            <w:tcMar>
              <w:top w:type="dxa" w:w="70"/>
              <w:left w:type="dxa" w:w="120"/>
              <w:bottom w:type="dxa" w:w="70"/>
              <w:right w:type="dxa" w:w="120"/>
            </w:tcMar>
          </w:tcPr>
          <w:p>
            <w:pPr>
              <w:spacing w:after="0"/>
            </w:pPr>
            <w:r>
              <w:rPr>
                <w:sz w:val="19"/>
                <w:szCs w:val="19"/>
              </w:rPr>
              <w:t xml:space="preserve">Ausführliche Analyse mit Quellen, Stand Juli 2026</w:t>
            </w:r>
          </w:p>
        </w:tc>
      </w:tr>
      <w:tr>
        <w:tc>
          <w:tcPr>
            <w:tcW w:type="dxa" w:w="600"/>
            <w:shd w:fill="F2F2F2" w:val="clear"/>
            <w:tcMar>
              <w:top w:type="dxa" w:w="70"/>
              <w:left w:type="dxa" w:w="120"/>
              <w:bottom w:type="dxa" w:w="70"/>
              <w:right w:type="dxa" w:w="120"/>
            </w:tcMar>
          </w:tcPr>
          <w:p>
            <w:pPr>
              <w:spacing w:after="0"/>
            </w:pPr>
            <w:r>
              <w:rPr>
                <w:sz w:val="19"/>
                <w:szCs w:val="19"/>
              </w:rPr>
              <w:t xml:space="preserve">A4</w:t>
            </w:r>
          </w:p>
        </w:tc>
        <w:tc>
          <w:tcPr>
            <w:tcW w:type="dxa" w:w="3400"/>
            <w:shd w:fill="F2F2F2" w:val="clear"/>
            <w:tcMar>
              <w:top w:type="dxa" w:w="70"/>
              <w:left w:type="dxa" w:w="120"/>
              <w:bottom w:type="dxa" w:w="70"/>
              <w:right w:type="dxa" w:w="120"/>
            </w:tcMar>
          </w:tcPr>
          <w:p>
            <w:pPr>
              <w:spacing w:after="0"/>
            </w:pPr>
            <w:r>
              <w:rPr>
                <w:sz w:val="19"/>
                <w:szCs w:val="19"/>
              </w:rPr>
              <w:t xml:space="preserve">Datenschutzhinweis Warteliste (Entwurf)</w:t>
            </w:r>
          </w:p>
        </w:tc>
        <w:tc>
          <w:tcPr>
            <w:tcW w:type="dxa" w:w="5360"/>
            <w:shd w:fill="F2F2F2" w:val="clear"/>
            <w:tcMar>
              <w:top w:type="dxa" w:w="70"/>
              <w:left w:type="dxa" w:w="120"/>
              <w:bottom w:type="dxa" w:w="70"/>
              <w:right w:type="dxa" w:w="120"/>
            </w:tcMar>
          </w:tcPr>
          <w:p>
            <w:pPr>
              <w:spacing w:after="0"/>
            </w:pPr>
            <w:r>
              <w:rPr>
                <w:sz w:val="19"/>
                <w:szCs w:val="19"/>
              </w:rPr>
              <w:t xml:space="preserve">Volltext plus Checkliste mit acht Punkten für Sie</w:t>
            </w:r>
          </w:p>
        </w:tc>
      </w:tr>
      <w:tr>
        <w:tc>
          <w:tcPr>
            <w:tcW w:type="dxa" w:w="600"/>
            <w:shd w:fill="FFFFFF" w:val="clear"/>
            <w:tcMar>
              <w:top w:type="dxa" w:w="70"/>
              <w:left w:type="dxa" w:w="120"/>
              <w:bottom w:type="dxa" w:w="70"/>
              <w:right w:type="dxa" w:w="120"/>
            </w:tcMar>
          </w:tcPr>
          <w:p>
            <w:pPr>
              <w:spacing w:after="0"/>
            </w:pPr>
            <w:r>
              <w:rPr>
                <w:sz w:val="19"/>
                <w:szCs w:val="19"/>
              </w:rPr>
              <w:t xml:space="preserve">A5</w:t>
            </w:r>
          </w:p>
        </w:tc>
        <w:tc>
          <w:tcPr>
            <w:tcW w:type="dxa" w:w="3400"/>
            <w:shd w:fill="FFFFFF" w:val="clear"/>
            <w:tcMar>
              <w:top w:type="dxa" w:w="70"/>
              <w:left w:type="dxa" w:w="120"/>
              <w:bottom w:type="dxa" w:w="70"/>
              <w:right w:type="dxa" w:w="120"/>
            </w:tcMar>
          </w:tcPr>
          <w:p>
            <w:pPr>
              <w:spacing w:after="0"/>
            </w:pPr>
            <w:r>
              <w:rPr>
                <w:sz w:val="19"/>
                <w:szCs w:val="19"/>
              </w:rPr>
              <w:t xml:space="preserve">Landingpage-Texte Warteliste (Entwurf)</w:t>
            </w:r>
          </w:p>
        </w:tc>
        <w:tc>
          <w:tcPr>
            <w:tcW w:type="dxa" w:w="5360"/>
            <w:shd w:fill="FFFFFF" w:val="clear"/>
            <w:tcMar>
              <w:top w:type="dxa" w:w="70"/>
              <w:left w:type="dxa" w:w="120"/>
              <w:bottom w:type="dxa" w:w="70"/>
              <w:right w:type="dxa" w:w="120"/>
            </w:tcMar>
          </w:tcPr>
          <w:p>
            <w:pPr>
              <w:spacing w:after="0"/>
            </w:pPr>
            <w:r>
              <w:rPr>
                <w:sz w:val="19"/>
                <w:szCs w:val="19"/>
              </w:rPr>
              <w:t xml:space="preserve">Zwei Tonvarianten, Einwilligungstext, Double-Opt-in-Mail</w:t>
            </w:r>
          </w:p>
        </w:tc>
      </w:tr>
      <w:tr>
        <w:tc>
          <w:tcPr>
            <w:tcW w:type="dxa" w:w="600"/>
            <w:shd w:fill="F2F2F2" w:val="clear"/>
            <w:tcMar>
              <w:top w:type="dxa" w:w="70"/>
              <w:left w:type="dxa" w:w="120"/>
              <w:bottom w:type="dxa" w:w="70"/>
              <w:right w:type="dxa" w:w="120"/>
            </w:tcMar>
          </w:tcPr>
          <w:p>
            <w:pPr>
              <w:spacing w:after="0"/>
            </w:pPr>
            <w:r>
              <w:rPr>
                <w:sz w:val="19"/>
                <w:szCs w:val="19"/>
              </w:rPr>
              <w:t xml:space="preserve">A6</w:t>
            </w:r>
          </w:p>
        </w:tc>
        <w:tc>
          <w:tcPr>
            <w:tcW w:type="dxa" w:w="3400"/>
            <w:shd w:fill="F2F2F2" w:val="clear"/>
            <w:tcMar>
              <w:top w:type="dxa" w:w="70"/>
              <w:left w:type="dxa" w:w="120"/>
              <w:bottom w:type="dxa" w:w="70"/>
              <w:right w:type="dxa" w:w="120"/>
            </w:tcMar>
          </w:tcPr>
          <w:p>
            <w:pPr>
              <w:spacing w:after="0"/>
            </w:pPr>
            <w:r>
              <w:rPr>
                <w:sz w:val="19"/>
                <w:szCs w:val="19"/>
              </w:rPr>
              <w:t xml:space="preserve">Impressumslösung — Vergleich</w:t>
            </w:r>
          </w:p>
        </w:tc>
        <w:tc>
          <w:tcPr>
            <w:tcW w:type="dxa" w:w="5360"/>
            <w:shd w:fill="F2F2F2" w:val="clear"/>
            <w:tcMar>
              <w:top w:type="dxa" w:w="70"/>
              <w:left w:type="dxa" w:w="120"/>
              <w:bottom w:type="dxa" w:w="70"/>
              <w:right w:type="dxa" w:w="120"/>
            </w:tcMar>
          </w:tcPr>
          <w:p>
            <w:pPr>
              <w:spacing w:after="0"/>
            </w:pPr>
            <w:r>
              <w:rPr>
                <w:sz w:val="19"/>
                <w:szCs w:val="19"/>
              </w:rPr>
              <w:t xml:space="preserve">Drei Wege, vier Anbieter mit Preisen, BGH-Fundstelle</w:t>
            </w:r>
          </w:p>
        </w:tc>
      </w:tr>
      <w:tr>
        <w:tc>
          <w:tcPr>
            <w:tcW w:type="dxa" w:w="600"/>
            <w:shd w:fill="FFFFFF" w:val="clear"/>
            <w:tcMar>
              <w:top w:type="dxa" w:w="70"/>
              <w:left w:type="dxa" w:w="120"/>
              <w:bottom w:type="dxa" w:w="70"/>
              <w:right w:type="dxa" w:w="120"/>
            </w:tcMar>
          </w:tcPr>
          <w:p>
            <w:pPr>
              <w:spacing w:after="0"/>
            </w:pPr>
            <w:r>
              <w:rPr>
                <w:sz w:val="19"/>
                <w:szCs w:val="19"/>
              </w:rPr>
              <w:t xml:space="preserve">A7</w:t>
            </w:r>
          </w:p>
        </w:tc>
        <w:tc>
          <w:tcPr>
            <w:tcW w:type="dxa" w:w="3400"/>
            <w:shd w:fill="FFFFFF" w:val="clear"/>
            <w:tcMar>
              <w:top w:type="dxa" w:w="70"/>
              <w:left w:type="dxa" w:w="120"/>
              <w:bottom w:type="dxa" w:w="70"/>
              <w:right w:type="dxa" w:w="120"/>
            </w:tcMar>
          </w:tcPr>
          <w:p>
            <w:pPr>
              <w:spacing w:after="0"/>
            </w:pPr>
            <w:r>
              <w:rPr>
                <w:sz w:val="19"/>
                <w:szCs w:val="19"/>
              </w:rPr>
              <w:t xml:space="preserve">Markenrecherche und Namensvarianten-Check</w:t>
            </w:r>
          </w:p>
        </w:tc>
        <w:tc>
          <w:tcPr>
            <w:tcW w:type="dxa" w:w="5360"/>
            <w:shd w:fill="FFFFFF" w:val="clear"/>
            <w:tcMar>
              <w:top w:type="dxa" w:w="70"/>
              <w:left w:type="dxa" w:w="120"/>
              <w:bottom w:type="dxa" w:w="70"/>
              <w:right w:type="dxa" w:w="120"/>
            </w:tcMar>
          </w:tcPr>
          <w:p>
            <w:pPr>
              <w:spacing w:after="0"/>
            </w:pPr>
            <w:r>
              <w:rPr>
                <w:sz w:val="19"/>
                <w:szCs w:val="19"/>
              </w:rPr>
              <w:t xml:space="preserve">Kollisionsbefunde, Domains, Register, offene Punkte</w:t>
            </w:r>
          </w:p>
        </w:tc>
      </w:tr>
      <w:tr>
        <w:tc>
          <w:tcPr>
            <w:tcW w:type="dxa" w:w="600"/>
            <w:shd w:fill="F2F2F2" w:val="clear"/>
            <w:tcMar>
              <w:top w:type="dxa" w:w="70"/>
              <w:left w:type="dxa" w:w="120"/>
              <w:bottom w:type="dxa" w:w="70"/>
              <w:right w:type="dxa" w:w="120"/>
            </w:tcMar>
          </w:tcPr>
          <w:p>
            <w:pPr>
              <w:spacing w:after="0"/>
            </w:pPr>
            <w:r>
              <w:rPr>
                <w:sz w:val="19"/>
                <w:szCs w:val="19"/>
              </w:rPr>
              <w:t xml:space="preserve">A8</w:t>
            </w:r>
          </w:p>
        </w:tc>
        <w:tc>
          <w:tcPr>
            <w:tcW w:type="dxa" w:w="3400"/>
            <w:shd w:fill="F2F2F2" w:val="clear"/>
            <w:tcMar>
              <w:top w:type="dxa" w:w="70"/>
              <w:left w:type="dxa" w:w="120"/>
              <w:bottom w:type="dxa" w:w="70"/>
              <w:right w:type="dxa" w:w="120"/>
            </w:tcMar>
          </w:tcPr>
          <w:p>
            <w:pPr>
              <w:spacing w:after="0"/>
            </w:pPr>
            <w:r>
              <w:rPr>
                <w:sz w:val="19"/>
                <w:szCs w:val="19"/>
              </w:rPr>
              <w:t xml:space="preserve">Entscheidungsvorlage GmbH gegen UG</w:t>
            </w:r>
          </w:p>
        </w:tc>
        <w:tc>
          <w:tcPr>
            <w:tcW w:type="dxa" w:w="5360"/>
            <w:shd w:fill="F2F2F2" w:val="clear"/>
            <w:tcMar>
              <w:top w:type="dxa" w:w="70"/>
              <w:left w:type="dxa" w:w="120"/>
              <w:bottom w:type="dxa" w:w="70"/>
              <w:right w:type="dxa" w:w="120"/>
            </w:tcMar>
          </w:tcPr>
          <w:p>
            <w:pPr>
              <w:spacing w:after="0"/>
            </w:pPr>
            <w:r>
              <w:rPr>
                <w:sz w:val="19"/>
                <w:szCs w:val="19"/>
              </w:rPr>
              <w:t xml:space="preserve">Bereits erstellt; die Entscheidung ist zugunsten der GmbH gefallen</w:t>
            </w:r>
          </w:p>
        </w:tc>
      </w:tr>
      <w:tr>
        <w:tc>
          <w:tcPr>
            <w:tcW w:type="dxa" w:w="600"/>
            <w:shd w:fill="FFFFFF" w:val="clear"/>
            <w:tcMar>
              <w:top w:type="dxa" w:w="70"/>
              <w:left w:type="dxa" w:w="120"/>
              <w:bottom w:type="dxa" w:w="70"/>
              <w:right w:type="dxa" w:w="120"/>
            </w:tcMar>
          </w:tcPr>
          <w:p>
            <w:pPr>
              <w:spacing w:after="0"/>
            </w:pPr>
            <w:r>
              <w:rPr>
                <w:sz w:val="19"/>
                <w:szCs w:val="19"/>
              </w:rPr>
              <w:t xml:space="preserve">A9</w:t>
            </w:r>
          </w:p>
        </w:tc>
        <w:tc>
          <w:tcPr>
            <w:tcW w:type="dxa" w:w="3400"/>
            <w:shd w:fill="FFFFFF" w:val="clear"/>
            <w:tcMar>
              <w:top w:type="dxa" w:w="70"/>
              <w:left w:type="dxa" w:w="120"/>
              <w:bottom w:type="dxa" w:w="70"/>
              <w:right w:type="dxa" w:w="120"/>
            </w:tcMar>
          </w:tcPr>
          <w:p>
            <w:pPr>
              <w:spacing w:after="0"/>
            </w:pPr>
            <w:r>
              <w:rPr>
                <w:sz w:val="19"/>
                <w:szCs w:val="19"/>
              </w:rPr>
              <w:t xml:space="preserve">Checkliste Notartermin</w:t>
            </w:r>
          </w:p>
        </w:tc>
        <w:tc>
          <w:tcPr>
            <w:tcW w:type="dxa" w:w="5360"/>
            <w:shd w:fill="FFFFFF" w:val="clear"/>
            <w:tcMar>
              <w:top w:type="dxa" w:w="70"/>
              <w:left w:type="dxa" w:w="120"/>
              <w:bottom w:type="dxa" w:w="70"/>
              <w:right w:type="dxa" w:w="120"/>
            </w:tcMar>
          </w:tcPr>
          <w:p>
            <w:pPr>
              <w:spacing w:after="0"/>
            </w:pPr>
            <w:r>
              <w:rPr>
                <w:sz w:val="19"/>
                <w:szCs w:val="19"/>
              </w:rPr>
              <w:t xml:space="preserve">Vorbereitung des Beurkundungstermins</w:t>
            </w:r>
          </w:p>
        </w:tc>
      </w:tr>
      <w:tr>
        <w:tc>
          <w:tcPr>
            <w:tcW w:type="dxa" w:w="600"/>
            <w:shd w:fill="F2F2F2" w:val="clear"/>
            <w:tcMar>
              <w:top w:type="dxa" w:w="70"/>
              <w:left w:type="dxa" w:w="120"/>
              <w:bottom w:type="dxa" w:w="70"/>
              <w:right w:type="dxa" w:w="120"/>
            </w:tcMar>
          </w:tcPr>
          <w:p>
            <w:pPr>
              <w:spacing w:after="0"/>
            </w:pPr>
            <w:r>
              <w:rPr>
                <w:sz w:val="19"/>
                <w:szCs w:val="19"/>
              </w:rPr>
              <w:t xml:space="preserve">A10</w:t>
            </w:r>
          </w:p>
        </w:tc>
        <w:tc>
          <w:tcPr>
            <w:tcW w:type="dxa" w:w="3400"/>
            <w:shd w:fill="F2F2F2" w:val="clear"/>
            <w:tcMar>
              <w:top w:type="dxa" w:w="70"/>
              <w:left w:type="dxa" w:w="120"/>
              <w:bottom w:type="dxa" w:w="70"/>
              <w:right w:type="dxa" w:w="120"/>
            </w:tcMar>
          </w:tcPr>
          <w:p>
            <w:pPr>
              <w:spacing w:after="0"/>
            </w:pPr>
            <w:r>
              <w:rPr>
                <w:sz w:val="19"/>
                <w:szCs w:val="19"/>
              </w:rPr>
              <w:t xml:space="preserve">Offene Entscheidungen</w:t>
            </w:r>
          </w:p>
        </w:tc>
        <w:tc>
          <w:tcPr>
            <w:tcW w:type="dxa" w:w="5360"/>
            <w:shd w:fill="F2F2F2" w:val="clear"/>
            <w:tcMar>
              <w:top w:type="dxa" w:w="70"/>
              <w:left w:type="dxa" w:w="120"/>
              <w:bottom w:type="dxa" w:w="70"/>
              <w:right w:type="dxa" w:w="120"/>
            </w:tcMar>
          </w:tcPr>
          <w:p>
            <w:pPr>
              <w:spacing w:after="0"/>
            </w:pPr>
            <w:r>
              <w:rPr>
                <w:sz w:val="19"/>
                <w:szCs w:val="19"/>
              </w:rPr>
              <w:t xml:space="preserve">Laufend gepflegte Liste aller ungeklärten Punkte mit Zuständigkeit</w:t>
            </w:r>
          </w:p>
        </w:tc>
      </w:tr>
    </w:tbl>
    <w:p>
      <w:pPr>
        <w:spacing w:after="80"/>
      </w:pPr>
    </w:p>
    <w:p>
      <w:pPr>
        <w:pBdr>
          <w:bottom w:val="single" w:color="BFBFBF" w:sz="6"/>
        </w:pBdr>
        <w:spacing w:after="160"/>
      </w:pPr>
    </w:p>
    <w:p>
      <w:pPr>
        <w:spacing w:after="120"/>
      </w:pPr>
      <w:r>
        <w:rPr>
          <w:color w:val="595959"/>
          <w:sz w:val="18"/>
          <w:szCs w:val="18"/>
        </w:rPr>
        <w:t xml:space="preserve">Erstellt am 26.07.2026 von Henry Luca Kurz und Nicolas Greulich. Dieses Dokument enthält keine Rechtsberatung. Alle Einschätzungen sind Laieneinschätzungen und ausdrücklich zur Prüfung gestellt. Rechtsstände wurden am 26.07.2026 recherchiert; wo wir Angaben nicht verifizieren konnten, haben wir es kenntlich gemacht.</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Seite </w:t>
    </w:r>
    <w:r>
      <w:rPr>
        <w:color w:val="808080"/>
        <w:sz w:val="16"/>
        <w:szCs w:val="16"/>
      </w:rPr>
      <w:fldChar w:fldCharType="begin"/>
      <w:instrText xml:space="preserve">PAGE</w:instrText>
      <w:fldChar w:fldCharType="separate"/>
      <w:fldChar w:fldCharType="end"/>
    </w:r>
    <w:r>
      <w:rPr>
        <w:color w:val="808080"/>
        <w:sz w:val="16"/>
        <w:szCs w:val="16"/>
      </w:rPr>
      <w:t xml:space="preserve"> von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808080"/>
        <w:sz w:val="16"/>
        <w:szCs w:val="16"/>
      </w:rPr>
      <w:t xml:space="preserve">Cruizy · Mandantenakte · Kurz / Greulich · 26.07.2026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A5F" w:sz="8" w:space="6"/>
      </w:pBdr>
      <w:spacing w:after="160" w:before="360"/>
    </w:pPr>
    <w:rPr>
      <w:rFonts w:ascii="Calibri" w:cs="Calibri" w:eastAsia="Calibri" w:hAnsi="Calibri"/>
      <w:b/>
      <w:bCs/>
      <w:color w:val="1F3A5F"/>
      <w:sz w:val="32"/>
      <w:szCs w:val="32"/>
    </w:rPr>
  </w:style>
  <w:style w:type="paragraph" w:styleId="Heading2">
    <w:name w:val="Heading 2"/>
    <w:basedOn w:val="Normal"/>
    <w:next w:val="Normal"/>
    <w:qFormat/>
    <w:pPr>
      <w:spacing w:after="120" w:before="280"/>
    </w:pPr>
    <w:rPr>
      <w:rFonts w:ascii="Calibri" w:cs="Calibri" w:eastAsia="Calibri" w:hAnsi="Calibri"/>
      <w:b/>
      <w:bCs/>
      <w:color w:val="1F3A5F"/>
      <w:sz w:val="26"/>
      <w:szCs w:val="26"/>
    </w:rPr>
  </w:style>
  <w:style w:type="paragraph" w:styleId="Heading3">
    <w:name w:val="Heading 3"/>
    <w:basedOn w:val="Normal"/>
    <w:next w:val="Normal"/>
    <w:qFormat/>
    <w:pPr>
      <w:spacing w:after="80" w:before="200"/>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2026-07-26T09:44:40.013Z</dcterms:created>
  <dcterms:modified xsi:type="dcterms:W3CDTF">2026-07-26T09:44:40.014Z</dcterms:modified>
</cp:coreProperties>
</file>

<file path=docProps/custom.xml><?xml version="1.0" encoding="utf-8"?>
<Properties xmlns="http://schemas.openxmlformats.org/officeDocument/2006/custom-properties" xmlns:vt="http://schemas.openxmlformats.org/officeDocument/2006/docPropsVTypes"/>
</file>