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 w:val="false"/>
          <w:bCs w:val="false"/>
          <w:i w:val="false"/>
          <w:iCs w:val="false"/>
          <w:color w:val="6B7280"/>
          <w:sz w:val="18"/>
          <w:szCs w:val="18"/>
        </w:rPr>
        <w:t xml:space="preserve">CRUIZY (Arbeitstitel)</w:t>
      </w:r>
    </w:p>
    <w:p>
      <w:pPr>
        <w:spacing w:after="60" w:before="0"/>
      </w:pPr>
      <w:r>
        <w:rPr>
          <w:b/>
          <w:bCs/>
          <w:i w:val="false"/>
          <w:iCs w:val="false"/>
          <w:color w:val="1F2937"/>
          <w:sz w:val="34"/>
          <w:szCs w:val="34"/>
        </w:rPr>
        <w:t xml:space="preserve">Checkliste: Vorbereitung Notartermin (Gründung)</w:t>
      </w:r>
    </w:p>
    <w:p>
      <w:pPr>
        <w:spacing w:after="60" w:before="0"/>
      </w:pPr>
      <w:r>
        <w:rPr>
          <w:b w:val="false"/>
          <w:bCs w:val="false"/>
          <w:i w:val="false"/>
          <w:iCs w:val="false"/>
          <w:color w:val="6B7280"/>
          <w:sz w:val="19"/>
          <w:szCs w:val="19"/>
        </w:rPr>
        <w:t xml:space="preserve">Abhaken in dieser Reihenfolge. Der Termin wird erst vereinbart, wenn Block 1 vollständig ist.</w:t>
      </w:r>
    </w:p>
    <w:p>
      <w:pPr>
        <w:pBdr>
          <w:bottom w:val="single" w:color="0E7490" w:sz="8"/>
        </w:pBdr>
        <w:spacing w:after="24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1  Entscheidungen, die vorher stehen müssen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Rechtsform entschieden (Entscheidungsvorlage GmbH/UG in diesem Ordner ausgefüllt und unterschrieben)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Holding-Frage mit Steuerberater geklärt — muss vor Wertentstehung entschieden sein, nicht nachholbar ohne Steuernachteil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Förderfähigkeit geprüft: Schließt die Gründung ein Landesstipendium oder EXIST aus? (Manche Programme fordern Antrag vor Gründung)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Beteiligungsverhältnis und Stichentscheid-Mechanik zwischen den Gründern besprochen und schriftlich fixiert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Krankenkassen-Status als Geschäftsführer ohne Gehalt geklärt (Einzelfallauskunft der Krankenkasse einholen)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2  Name und Gegenstand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Firmenname: Handelsregister-Ähnlichkeitscheck und IHK-Vorabprüfung der Firmierung eingeholt (kostenlos, vermeidet Beanstandung durchs Registergericht)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Markenrecherche DPMA/EUIPO liegt vor (separater Auftrag, siehe Roadmap) — Firma nicht auf einen kollidierenden Namen gründen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Unternehmensgegenstand formuliert — weit genug für App-Betrieb, Vermittlungsdienste, B2B-Leistungen und Ticketing-Beteiligung, ohne erlaubnispflichtige Tätigkeiten hineinzuschreiben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Geschäftsadresse geklärt (zustellfähige Anschrift; löst zugleich das Impressumsproblem der Wartelistenseite)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3  Satzung — kein Musterprotokoll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Individueller Satzungsentwurf liegt vor (Anwalt oder Notar), enthält: Stichentscheid-Regelung, Vesting mit Cliff und Bewertungsformel, Regelung reduzierter Mitarbeit (Studium), Mitverkaufsrecht und -pflicht, Wettbewerbsverbot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Geklärt, was in die (öffentliche) Satzung gehört und was in die (private) Gesellschaftervereinbarung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Geschäftsführung: beide Gründer? Einzel- oder Gesamtvertretung? Befreiung von § 181 BGB?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Entwurf mindestens drei Tage vor dem Termin gelesen — Fragen notiert (Rückseite dieses Blatts)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4  Zum Termin mitbringen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Gültige Ausweisdokumente beider Gründer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Nachweis über verfügbares Stammkapital (Einzahlung erfolgt nach Beurkundung auf das dann eröffnete Geschäftskonto)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Liste der Gesellschafter mit Beteiligungsquoten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Offene Fragen an den Notar: Kosten der Beurkundung, Ablauf bis Handelsregistereintrag, Haftung im Stadium der „GmbH i. G.“, was bei Beanstandungen durch das Registergericht passiert</w:t>
      </w:r>
    </w:p>
    <w:p>
      <w:pPr>
        <w:pStyle w:val="Heading1"/>
        <w:spacing w:after="120" w:before="280"/>
      </w:pPr>
      <w:r>
        <w:rPr>
          <w:b/>
          <w:bCs/>
          <w:color w:val="0E7490"/>
          <w:sz w:val="26"/>
          <w:szCs w:val="26"/>
        </w:rPr>
        <w:t xml:space="preserve">5  Unmittelbar nach der Beurkundung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Geschäftskonto eröffnen, Stammkapital einzahlen, Einzahlungsbeleg an den Notar (erst dann erfolgt die Registeranmeldung)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Handelsregistereintrag abwarten — vorher keine Verträge im Namen der GmbH ohne Hinweis „i. G.“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Gewerbeanmeldung bei der Gemeinde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Fragebogen zur steuerlichen Erfassung über ELSTER (Frist: ein Monat nach Gründung), Steuerberater einbinden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Transparenzregister: wirtschaftlich Berechtigte eintragen (bußgeldbewehrt, wird oft vergessen)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Cyber- und Betriebshaftpflicht abschließen — laut Handbuch B Pflichtposition ab Tag 1, wird nie gestrichen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Externen Datenschutzbeauftragten beauftragen (ab Tag 1 Pflicht wegen Art.-9-Kerntätigkeit)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Buchhaltung aufsetzen (doppelte Buchführung ab Tag 1 — Rückstände kosten bei jedem späteren Verkauf Kaufpreis)</w:t>
      </w:r>
    </w:p>
    <w:p>
      <w:pPr>
        <w:spacing w:after="90"/>
        <w:ind w:left="240"/>
      </w:pPr>
      <w:r>
        <w:rPr>
          <w:color w:val="0E7490"/>
          <w:sz w:val="22"/>
          <w:szCs w:val="22"/>
        </w:rPr>
        <w:t xml:space="preserve">☐  </w:t>
      </w:r>
      <w:r>
        <w:rPr>
          <w:color w:val="1F2937"/>
          <w:sz w:val="21"/>
          <w:szCs w:val="21"/>
        </w:rPr>
        <w:t xml:space="preserve">Wartelistenseite mit Firmen-Impressum und Datenschutzhinweis freischalten (erst jetzt)</w:t>
      </w:r>
    </w:p>
    <w:p>
      <w:pPr>
        <w:shd w:fill="ECFEFF" w:val="clear"/>
        <w:spacing w:after="160" w:before="60"/>
        <w:ind w:left="120" w:right="120"/>
      </w:pPr>
      <w:r>
        <w:rPr>
          <w:i/>
          <w:iCs/>
          <w:color w:val="155E75"/>
          <w:sz w:val="19"/>
          <w:szCs w:val="19"/>
        </w:rPr>
        <w:t xml:space="preserve">Reihenfolge-Logik: Erst Rechtsform + Satzungsinhalte, dann Name, dann Termin. Ein Notartermin mit ungeklärtem Stichentscheid ist der teuerste Weg, ihn zweimal zu machen — und ein Musterprotokoll ist bei 50/50 keine Option.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ENTWURF · Stand 24.07.2026 · interne Arbeitsunterlage — keine Rechts- oder Steuerberatung · Seite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2026-07-24T13:23:37.709Z</dcterms:created>
  <dcterms:modified xsi:type="dcterms:W3CDTF">2026-07-24T13:23:37.709Z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