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 w:val="false"/>
          <w:bCs w:val="false"/>
          <w:i w:val="false"/>
          <w:iCs w:val="false"/>
          <w:color w:val="6B7280"/>
          <w:sz w:val="18"/>
          <w:szCs w:val="18"/>
        </w:rPr>
        <w:t xml:space="preserve">CRUIZY (Arbeitstitel)</w:t>
      </w:r>
    </w:p>
    <w:p>
      <w:pPr>
        <w:spacing w:after="60" w:before="0"/>
      </w:pPr>
      <w:r>
        <w:rPr>
          <w:b/>
          <w:bCs/>
          <w:i w:val="false"/>
          <w:iCs w:val="false"/>
          <w:color w:val="1F2937"/>
          <w:sz w:val="34"/>
          <w:szCs w:val="34"/>
        </w:rPr>
        <w:t xml:space="preserve">Entscheidungsvorlage: GmbH oder UG (haftungsbeschränkt)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color w:val="6B7280"/>
          <w:sz w:val="19"/>
          <w:szCs w:val="19"/>
        </w:rPr>
        <w:t xml:space="preserve">Zur Entscheidung durch die Gründer · Grundlage: Handbuch B, Teil VI · Die Entscheidung selbst trifft dieses Dokument nicht.</w:t>
      </w:r>
    </w:p>
    <w:p>
      <w:pPr>
        <w:pBdr>
          <w:bottom w:val="single" w:color="0E7490" w:sz="8"/>
        </w:pBdr>
        <w:spacing w:after="24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1  Worum es geht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Vor dem Notartermin muss die Rechtsform feststehen. Beide Varianten sind Kapitalgesellschaften mit beschränkter Haftung; sie unterscheiden sich in Kapitalbedarf, Kosten, Außenwirkung und Anschlussfähigkeit. Handbuch B empfiehlt die GmbH, falls die 12.500 € Mindesteinzahlung verfügbar sind — diese Vorlage stellt beide Wege nebeneinander, damit die Entscheidung bewusst fällt.</w:t>
      </w:r>
    </w:p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2  Vergleich auf einen Blick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700"/>
        <w:gridCol w:w="3400"/>
        <w:gridCol w:w="3400"/>
      </w:tblGrid>
      <w:tr>
        <w:trPr>
          <w:tblHeader/>
        </w:trPr>
        <w:tc>
          <w:tcPr>
            <w:tcW w:type="dxa" w:w="27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Kriterium</w:t>
            </w:r>
          </w:p>
        </w:tc>
        <w:tc>
          <w:tcPr>
            <w:tcW w:type="dxa" w:w="34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UG (haftungsbeschränkt)</w:t>
            </w:r>
          </w:p>
        </w:tc>
        <w:tc>
          <w:tcPr>
            <w:tcW w:type="dxa" w:w="34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GmbH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Stammkapital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 1 € (praktisch: einige hundert €)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25.000 €, davon mind. 12.500 € zur Eintragung einzuzahlen</w:t>
            </w:r>
          </w:p>
        </w:tc>
      </w:tr>
      <w:tr>
        <w:tc>
          <w:tcPr>
            <w:tcW w:type="dxa" w:w="27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Gründungskosten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 ca. 1.000 € (individueller Vertrag)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ca. 2.600 € mit individuellem Vertrag inkl. Notar und Handelsregister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Rücklagenpflicht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25 % des Jahresüberschusses, bis 25.000 € erreicht sind; dann Umwandlung möglich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7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Außenwirkung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bei Förderbanken, Vermietern und größeren B2B-Partnern spürbar geringer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voller Kaufmannsstatus; ernst genommen bei Förderbank, Investoren, B2B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Holding-Anschluss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möglich, aber spätere Umwandlung erzeugt Aufwand und Kosten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saubere Basis für eine Holding-Struktur</w:t>
            </w:r>
          </w:p>
        </w:tc>
      </w:tr>
      <w:tr>
        <w:tc>
          <w:tcPr>
            <w:tcW w:type="dxa" w:w="27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Späterer Aufwand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Umwandlung in GmbH = zweiter Notar- und Registerdurchlauf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keiner — Zielform von Anfang an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Wichtig zu wissen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Stammkapital wirkt niedrig — das sehen auch Geschäftspartner im Register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Stammkapital ist nicht verloren: Es wird Gesellschaftsvermögen und ist voll einsetzbar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3  Die Kostenwahrheit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700"/>
        <w:gridCol w:w="2300"/>
        <w:gridCol w:w="2500"/>
      </w:tblGrid>
      <w:tr>
        <w:trPr>
          <w:tblHeader/>
        </w:trPr>
        <w:tc>
          <w:tcPr>
            <w:tcW w:type="dxa" w:w="47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23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UG</w:t>
            </w:r>
          </w:p>
        </w:tc>
        <w:tc>
          <w:tcPr>
            <w:tcW w:type="dxa" w:w="25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GmbH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Notar, Beurkundung, Handelsregister (individueller Vertrag)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ca. 800–1.200 €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ca. 2.600 €</w:t>
            </w:r>
          </w:p>
        </w:tc>
      </w:tr>
      <w:tr>
        <w:tc>
          <w:tcPr>
            <w:tcW w:type="dxa" w:w="47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Gebundenes Kapital zur Eintragung</w:t>
            </w:r>
          </w:p>
        </w:tc>
        <w:tc>
          <w:tcPr>
            <w:tcW w:type="dxa" w:w="23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symbolisch</w:t>
            </w:r>
          </w:p>
        </w:tc>
        <w:tc>
          <w:tcPr>
            <w:tcW w:type="dxa" w:w="25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12.500 € (bleibt einsetzbar)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Folgekosten Umwandlung UG → GmbH (später)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ca. 1.500–2.500 € zusätzlich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entfällt</w:t>
            </w:r>
          </w:p>
        </w:tc>
      </w:tr>
    </w:tbl>
    <w:p>
      <w:pPr>
        <w:shd w:fill="ECFEFF" w:val="clear"/>
        <w:spacing w:after="160" w:before="60"/>
        <w:ind w:left="120" w:right="120"/>
      </w:pPr>
      <w:r>
        <w:rPr>
          <w:i/>
          <w:iCs/>
          <w:color w:val="155E75"/>
          <w:sz w:val="19"/>
          <w:szCs w:val="19"/>
        </w:rPr>
        <w:t xml:space="preserve">Warnung aus Handbuch B: Das Musterprotokoll spart rund 1.400 € und ist der teuerste Sparbetrag im ganzen Plan. Es kennt weder Stichentscheid noch Vesting noch Ausscheidensregeln — bei zwei Gründern mit 50/50 ist der individuelle Vertrag nicht verhandelbar.</w:t>
      </w:r>
    </w:p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4  Argumente im Überblick</w:t>
      </w:r>
    </w:p>
    <w:p>
      <w:pPr>
        <w:spacing w:after="60" w:before="0"/>
      </w:pPr>
      <w:r>
        <w:rPr>
          <w:b/>
          <w:bCs/>
          <w:i w:val="false"/>
          <w:iCs w:val="false"/>
          <w:color w:val="1F2937"/>
          <w:sz w:val="21"/>
          <w:szCs w:val="21"/>
        </w:rPr>
        <w:t xml:space="preserve">Für die GmbH spricht: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F2937"/>
          <w:sz w:val="21"/>
          <w:szCs w:val="21"/>
        </w:rPr>
        <w:t xml:space="preserve">Außenwirkung genau dort, wo dieses Projekt sie braucht: Förderbank, Bürgschaftsbank, spätere B2B-Verträge mit Locations, Verhandlungen mit Verifizierungsanbietern.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F2937"/>
          <w:sz w:val="21"/>
          <w:szCs w:val="21"/>
        </w:rPr>
        <w:t xml:space="preserve">Saubere Basis für die Holding-Frage, die vor Wertentstehung entschieden werden muss (siehe Abschnitt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F2937"/>
          <w:sz w:val="21"/>
          <w:szCs w:val="21"/>
        </w:rPr>
        <w:t xml:space="preserve">Kein zweiter Gründungsdurchlauf: Die UG müsste bei Erfolg ohnehin umgewandelt werden.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F2937"/>
          <w:sz w:val="21"/>
          <w:szCs w:val="21"/>
        </w:rPr>
        <w:t xml:space="preserve">Das eingezahlte Kapital ist Betriebsvermögen — es finanziert die ersten Monate mit.</w:t>
      </w:r>
    </w:p>
    <w:p>
      <w:pPr>
        <w:spacing w:after="60" w:before="120"/>
      </w:pPr>
      <w:r>
        <w:rPr>
          <w:b/>
          <w:bCs/>
          <w:i w:val="false"/>
          <w:iCs w:val="false"/>
          <w:color w:val="1F2937"/>
          <w:sz w:val="21"/>
          <w:szCs w:val="21"/>
        </w:rPr>
        <w:t xml:space="preserve">Für die UG spricht: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F2937"/>
          <w:sz w:val="21"/>
          <w:szCs w:val="21"/>
        </w:rPr>
        <w:t xml:space="preserve">12.500 € weniger gebundenes Kapital zum Start — relevant, falls die Mittel schlicht nicht vorhanden sind.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F2937"/>
          <w:sz w:val="21"/>
          <w:szCs w:val="21"/>
        </w:rPr>
        <w:t xml:space="preserve">Gleiche Haftungsbeschränkung, gleiche steuerliche Behandlung.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F2937"/>
          <w:sz w:val="21"/>
          <w:szCs w:val="21"/>
        </w:rPr>
        <w:t xml:space="preserve">Falls das 90-Tage-Tor scheitert, war die Gründung günstiger.</w:t>
      </w:r>
    </w:p>
    <w:p>
      <w:pPr>
        <w:spacing w:after="120" w:before="0"/>
      </w:pPr>
      <w:r>
        <w:rPr>
          <w:b w:val="false"/>
          <w:bCs w:val="false"/>
          <w:i/>
          <w:iCs/>
          <w:color w:val="1F2937"/>
          <w:sz w:val="21"/>
          <w:szCs w:val="21"/>
        </w:rPr>
        <w:t xml:space="preserve">Gegenrechnung: Wer die UG wählt und Erfolg hat, zahlt die GmbH-Gründung später ein zweites Mal — plus Rücklagenpflicht dazwischen. Wer die GmbH wählt und scheitert, hat ca. 1.600 € Mehrkosten. Die Asymmetrie spricht für die GmbH, wenn die Mittel da sind.</w:t>
      </w:r>
    </w:p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5  Wechselwirkungen — vor dem Notartermin klären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F2937"/>
          <w:sz w:val="21"/>
          <w:szCs w:val="21"/>
        </w:rPr>
        <w:t xml:space="preserve">Holding-Struktur: Muss stehen, bevor nennenswerter Wert entstanden ist — eine spätere Umstrukturierung löst Sperrfristen und Steuertatbestände aus. Gegenrechnung: 2.000–3.500 € Mehrkosten je Jahr für zwei zusätzliche Gesellschaften. Das ist eine Steuerberater-Rechnung, keine Bauchentscheidung.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F2937"/>
          <w:sz w:val="21"/>
          <w:szCs w:val="21"/>
        </w:rPr>
        <w:t xml:space="preserve">Förderprogramme: Manche Gründungsstipendien schließen bereits gegründete Unternehmen aus. Vor der Beurkundung die Antragslage bei Landesstipendium und EXIST prüfen — sonst schließt die Gründung versehentlich eine Tür.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F2937"/>
          <w:sz w:val="21"/>
          <w:szCs w:val="21"/>
        </w:rPr>
        <w:t xml:space="preserve">Impressum der Wartelistenseite: Die Gründung löst das Anschriftenproblem (Firmenadresse statt Privatadresse zweier 18-Jähriger auf einer Seite für eine schwule Cruising-App).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F2937"/>
          <w:sz w:val="21"/>
          <w:szCs w:val="21"/>
        </w:rPr>
        <w:t xml:space="preserve">Krankenversicherung: Als Gesellschafter-Geschäftsführer ohne Gehalt weder pflichtversichert noch dauerhaft familienversichert — vor der Gründung mit der Krankenkasse klären (ca. 200 €/Person/Monat, privat zu tragen).</w:t>
      </w:r>
    </w:p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6  Was zwingend in den Gesellschaftsvertrag gehört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700"/>
        <w:gridCol w:w="6800"/>
      </w:tblGrid>
      <w:tr>
        <w:trPr>
          <w:tblHeader/>
        </w:trPr>
        <w:tc>
          <w:tcPr>
            <w:tcW w:type="dxa" w:w="27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Regelung</w:t>
            </w:r>
          </w:p>
        </w:tc>
        <w:tc>
          <w:tcPr>
            <w:tcW w:type="dxa" w:w="68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Warum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Stichentscheid bei 50/50</w:t>
            </w:r>
          </w:p>
        </w:tc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Bei exakt hälftiger Beteiligung gibt es bei Uneinigkeit keine Entscheidung — die Gesellschaft ist handlungsunfähig. Wege: 50,1/49,9 mit Ausgleich, Beirat mit Stichentscheid, Ressortzuständigkeit mit Letztentscheid, Auskaufklausel als Notausgang.</w:t>
            </w:r>
          </w:p>
        </w:tc>
      </w:tr>
      <w:tr>
        <w:tc>
          <w:tcPr>
            <w:tcW w:type="dxa" w:w="27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Vesting</w:t>
            </w:r>
          </w:p>
        </w:tc>
        <w:tc>
          <w:tcPr>
            <w:tcW w:type="dxa" w:w="68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Vier Jahre, zwölf Monate Wartezeit vor dem ersten Anteilserwerb. Unterscheidung einvernehmliches/schuldhaftes Ausscheiden, Bewertungsformel für die Abfindung.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Reduzierte Mitarbeit</w:t>
            </w:r>
          </w:p>
        </w:tc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Was gilt, wenn einer ein Studium aufnimmt und halbiert? Bei einem Zehnjahresvorhaben, begonnen mit 18, der wahrscheinlichste Verlauf — regeln, solange Einigkeit besteht.</w:t>
            </w:r>
          </w:p>
        </w:tc>
      </w:tr>
      <w:tr>
        <w:tc>
          <w:tcPr>
            <w:tcW w:type="dxa" w:w="27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Mitverkaufsrecht und -pflicht</w:t>
            </w:r>
          </w:p>
        </w:tc>
        <w:tc>
          <w:tcPr>
            <w:tcW w:type="dxa" w:w="68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Damit ein Verkauf später nicht an einer Person scheitert und niemand zurückgelassen wird.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Wettbewerbsverbot</w:t>
            </w:r>
          </w:p>
        </w:tc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Für die Dauer der Beteiligung und eine angemessene Zeit danach.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7  Entscheidung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700"/>
        <w:gridCol w:w="4800"/>
      </w:tblGrid>
      <w:tr>
        <w:trPr>
          <w:tblHeader/>
        </w:trPr>
        <w:tc>
          <w:tcPr>
            <w:tcW w:type="dxa" w:w="47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48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Eintrag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Entscheidung der Gründer</w:t>
            </w:r>
          </w:p>
        </w:tc>
        <w:tc>
          <w:tcPr>
            <w:tcW w:type="dxa" w:w="4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☐  GmbH        ☐  UG (haftungsbeschränkt)</w:t>
            </w:r>
          </w:p>
        </w:tc>
      </w:tr>
      <w:tr>
        <w:tc>
          <w:tcPr>
            <w:tcW w:type="dxa" w:w="47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Holding-Struktur</w:t>
            </w:r>
          </w:p>
        </w:tc>
        <w:tc>
          <w:tcPr>
            <w:tcW w:type="dxa" w:w="48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☐  ja  ☐  nein  ☐  Steuerberater-Termin am: ____________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Datum der Entscheidung</w:t>
            </w:r>
          </w:p>
        </w:tc>
        <w:tc>
          <w:tcPr>
            <w:tcW w:type="dxa" w:w="4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7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Gründer 1 (Unterschrift)</w:t>
            </w:r>
          </w:p>
        </w:tc>
        <w:tc>
          <w:tcPr>
            <w:tcW w:type="dxa" w:w="48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Gründer 2 (Unterschrift)</w:t>
            </w:r>
          </w:p>
        </w:tc>
        <w:tc>
          <w:tcPr>
            <w:tcW w:type="dxa" w:w="4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b w:val="false"/>
          <w:bCs w:val="false"/>
          <w:i w:val="false"/>
          <w:iCs w:val="false"/>
          <w:color w:val="6B7280"/>
          <w:sz w:val="19"/>
          <w:szCs w:val="19"/>
        </w:rPr>
        <w:t xml:space="preserve">Nächste Schritte nach der Entscheidung: Steuerberater-Termin (Holding, OSS, Hebesatz) → Satzungsentwurf durch Anwalt/Notar → Notartermin (siehe Checkliste in diesem Ordner).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ENTWURF · Stand 24.07.2026 · interne Arbeitsunterlage — keine Rechts- oder Steuerberatung · Seite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2026-07-24T13:23:37.680Z</dcterms:created>
  <dcterms:modified xsi:type="dcterms:W3CDTF">2026-07-24T13:23:37.680Z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