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 w:val="false"/>
          <w:bCs w:val="false"/>
          <w:i w:val="false"/>
          <w:iCs w:val="false"/>
          <w:color w:val="6B7280"/>
          <w:sz w:val="18"/>
          <w:szCs w:val="18"/>
        </w:rPr>
        <w:t xml:space="preserve">CRUIZY (Arbeitstitel)</w:t>
      </w:r>
    </w:p>
    <w:p>
      <w:pPr>
        <w:spacing w:after="60" w:before="0"/>
      </w:pPr>
      <w:r>
        <w:rPr>
          <w:b/>
          <w:bCs/>
          <w:i w:val="false"/>
          <w:iCs w:val="false"/>
          <w:color w:val="1F2937"/>
          <w:sz w:val="34"/>
          <w:szCs w:val="34"/>
        </w:rPr>
        <w:t xml:space="preserve">Fragenkatalog: Erstes Gespräch mit dem Fachanwalt (IT- und Medienrecht)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Priorität A zuerst — die JMStV-Antwort bestimmt Produktdesign und Geschäftsmodell. Notizspalte im Termin ausfüllen.</w:t>
      </w:r>
    </w:p>
    <w:p>
      <w:pPr>
        <w:pBdr>
          <w:bottom w:val="single" w:color="0E7490" w:sz="8"/>
        </w:pBdr>
        <w:spacing w:after="240"/>
      </w:pPr>
      <w:r>
        <w:rPr>
          <w:sz w:val="2"/>
          <w:szCs w:val="2"/>
        </w:rPr>
        <w:t xml:space="preserve"/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1F2937"/>
          <w:sz w:val="21"/>
          <w:szCs w:val="21"/>
        </w:rPr>
        <w:t xml:space="preserve">Gesprächsziel: Keine fertigen Rechtstexte, sondern verbindliche Einordnung der drei Weichenfragen (JMStV, Gesellschaftsvertrag, Vorgründungs-Datenschutz) und ein Fahrplan, was der Anwalt bis wann liefert. Budgetrahmen laut Handbuch B: AGB/Datenschutzerklärung/Einwilligungsarchitektur ca. 5.500 € (Monat 2–4), JMStV-Gutachten/Jugendschutzkonzept ca. 2.500 € (Monat 1–2).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Priorität A — JMStV und Altersverifikation (zuerst)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Kontext für den Anwalt: App für schwule Männer 18+, deutsche Gesellschaft, PWA. Geplant: keine pornografischen Inhalte im öffentlichen Bereich (Vorabprüfung aller öffentlichen Fotos), pornografische Inhalte nur in privaten, beidseitig freigegebenen Alben zwischen altersgeprüften Nutzern, 18+-Prüfung vor der ersten Nachricht.</w:t>
      </w:r>
    </w:p>
    <w:tbl>
      <w:tblPr>
        <w:tblW w:type="dxa" w:w="96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400"/>
        <w:gridCol w:w="3200"/>
      </w:tblGrid>
      <w:tr>
        <w:trPr>
          <w:tblHeader/>
        </w:trPr>
        <w:tc>
          <w:tcPr>
            <w:tcW w:type="dxa" w:w="64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32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Notizen / Antwort</w:t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1. Löst dieses Konzept die Pflicht zur geschlossenen Benutzergruppe nach § 4 Abs. 2 JMStV aus — für die App insgesamt, nur für den Album-Bereich, oder gar nicht?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2. Ist beidseitig freigegebener 1:1-Austausch (Chat, private Alben) ein „Zugänglichmachen“ von Pornografie durch uns als Anbieter — oder Individualkommunikation außerhalb der Anbieterverantwortung? Wie belastbar ist diese Abgrenzung nach der Novelle vom 01.12.2025?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3. Welche Prüfstufe genügt wofür: Selfie-Altersschätzung (KJM bisher nur als Teillösung bewertet) vs. KJM-konforme Identifizierung + Authentifizierung? Welche Rolle können EU-Mini-Wallet und EUDI-Wallet ab Ende 2026 spielen?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4. Empfiehlt sich eine Vorab-Bestätigung unseres Konzepts über FSM oder KJM (neuer Bestätigungsweg seit 12/2025)? Aufwand, Dauer, Kosten, Bindungswirkung?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5. Wie groß ist unser Standortnachteil als deutsche Gesellschaft gegenüber Grindr/ROMEO/Sniffies (Herkunftslandprinzip)? Welche legalen Gestaltungen gibt es — und wo beginnt die Scheinlösung?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6. Follow-the-Money seit 12/2025: Wie schützen wir die Zahlungsbeziehung (Stripe, Apple, Google) vor einer Unterbindungsanordnung? Was muss die Inhaltsrichtlinie dafür leisten?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7. Wie gestalten wir AGB und Moderationsregeln so, dass die Pornografiefreiheit des öffentlichen Bereichs beweisbar ist (Vorabprüfung, Protokollierung, Löschfristen)?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8. Gestufter Fallback: Wäre eine geschlossene Benutzergruppe nur für private Alben (Basisfunktionen mit einfacher 18+-Prüfung) rechtlich tragfähig und regulatorisch anschlussfähig?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9. Jugendschutzbeauftragter nach § 7 JMStV: extern kombinierbar mit dem Datenschutzbeauftragten? Ab wann zu bestellen?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10. DSA Art. 28 / Leitlinien 07/2025: Was gilt für uns als Kleinstunternehmen konkret — und was müssen wir jetzt architektonisch vorsehen, um spätere Auflagen als Konfigurationsänderung statt Umbau umzusetzen?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Priorität B — Gesellschaftsvertrag (Vorbereitung Notartermin)</w:t>
      </w:r>
    </w:p>
    <w:tbl>
      <w:tblPr>
        <w:tblW w:type="dxa" w:w="96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400"/>
        <w:gridCol w:w="3200"/>
      </w:tblGrid>
      <w:tr>
        <w:trPr>
          <w:tblHeader/>
        </w:trPr>
        <w:tc>
          <w:tcPr>
            <w:tcW w:type="dxa" w:w="64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32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Notizen / Antwort</w:t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11. Stichentscheid bei 50/50: Welche Variante empfiehlt sich für uns — 50,1/49,9 mit Ausgleich, Beirat, Ressort-Letztentscheid oder Auskaufklausel? Was sind die Fallstricke der jeweiligen Variante?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12. Vesting: marktübliche Ausgestaltung (4 Jahre / 12 Monate Cliff), Unterscheidung good/bad leaver, Bewertungsformel für die Abfindung?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13. Reduzierte Mitarbeit (Studium eines Gründers): Wie regeln, ohne Vesting und Stimmrechte zu zerschießen?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14. Wettbewerbsverbot: zulässiger Umfang während und nach der Beteiligung?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15. Was davon gehört in die Satzung, was in eine Gesellschaftervereinbarung (Publizität des Handelsregisters!)?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Priorität C — Datenschutz der Vorgründungsphase</w:t>
      </w:r>
    </w:p>
    <w:tbl>
      <w:tblPr>
        <w:tblW w:type="dxa" w:w="96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400"/>
        <w:gridCol w:w="3200"/>
      </w:tblGrid>
      <w:tr>
        <w:trPr>
          <w:tblHeader/>
        </w:trPr>
        <w:tc>
          <w:tcPr>
            <w:tcW w:type="dxa" w:w="64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32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Notizen / Antwort</w:t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16. Warteliste vor Gründung: Wir haften als Privatpersonen. Genügt unser geplanter Datenschutzhinweis (Verantwortliche, Zweck, Einwilligung, Widerruf, ausdrücklicher Übergang auf die Gesellschaft i. G.)?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17. Impressum der Wartelistenseite (§ 5 DDG): Bestätigt der Anwalt die Einschätzung, dass die Gründung mit Firmenadresse die beste Lösung ist? Übergangslösung bis dahin?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18. Registrierung = Offenbarung der sexuellen Orientierung: Trägt unsere geplante Einwilligungsarchitektur (Art. 9 Abs. 2 lit. a DSGVO) — und muss die Rechtsnachfolge-Klausel schon in den Wartelisten-Hinweis?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19. Anonyme Interviews (keine Namen, nur Antworten + Stadtteil): Bestätigung, dass keine DSGVO-Pflichten entstehen — worauf beim Protokollieren achten?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Priorität D — Fahrplan und Mandat</w:t>
      </w:r>
    </w:p>
    <w:tbl>
      <w:tblPr>
        <w:tblW w:type="dxa" w:w="96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6400"/>
        <w:gridCol w:w="3200"/>
      </w:tblGrid>
      <w:tr>
        <w:trPr>
          <w:tblHeader/>
        </w:trPr>
        <w:tc>
          <w:tcPr>
            <w:tcW w:type="dxa" w:w="64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3200"/>
            <w:shd w:fill="0E749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Notizen / Antwort</w:t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20. Reihenfolge und Fristen: Was liefert der Anwalt bis wann (JMStV-Einordnung → Gutachten → später AGB/DSE)? Was können wir vorbereiten, um Kosten zu senken?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21. Honorarmodell: Pauschale je Paket vs. Stundensatz? Rückstellung von 300 €/Monat für laufende Fragen sinnvoll?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22. Kennt der Anwalt die Aufsichtspraxis der Landesmedienanstalten in unserer Kategorie aus eigener Mandatserfahrung? (Falls nein: Empfehlung für spezialisierte Zweitmeinung nur zur JMStV-Frage.)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6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Mitzubringen: Handbuch A (Teil III Recht, Abschnitt 6–7), JMStV-Memo aus diesem Ordner, Funktionsliste privater Alben, Zeitplan Phase 0–1.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ENTWURF · Stand 24.07.2026 · interne Arbeitsunterlage — keine Rechts- oder Steuerberatung · Seite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2026-07-24T13:23:37.696Z</dcterms:created>
  <dcterms:modified xsi:type="dcterms:W3CDTF">2026-07-24T13:23:37.696Z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