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val="false"/>
          <w:bCs w:val="false"/>
          <w:i w:val="false"/>
          <w:iCs w:val="false"/>
          <w:color w:val="6B7280"/>
          <w:sz w:val="18"/>
          <w:szCs w:val="18"/>
        </w:rPr>
        <w:t xml:space="preserve">CRUIZY (Arbeitstitel) · Phase 0 · Interviews</w:t>
      </w:r>
    </w:p>
    <w:p>
      <w:pPr>
        <w:spacing w:after="60" w:before="0"/>
      </w:pPr>
      <w:r>
        <w:rPr>
          <w:b/>
          <w:bCs/>
          <w:i w:val="false"/>
          <w:iCs w:val="false"/>
          <w:color w:val="1F2937"/>
          <w:sz w:val="32"/>
          <w:szCs w:val="32"/>
        </w:rPr>
        <w:t xml:space="preserve">Interviewleitfaden — 60 bis 80 Gespräche</w:t>
      </w:r>
    </w:p>
    <w:p>
      <w:pPr>
        <w:spacing w:after="60" w:before="0"/>
      </w:pPr>
      <w:r>
        <w:rPr>
          <w:b w:val="false"/>
          <w:bCs w:val="false"/>
          <w:i w:val="false"/>
          <w:iCs w:val="false"/>
          <w:color w:val="6B7280"/>
          <w:sz w:val="19"/>
          <w:szCs w:val="19"/>
        </w:rPr>
        <w:t xml:space="preserve">Für den mündlichen Gebrauch. Ziel: Thesen testen, nicht die App erklären. Grundlage: Handbuch B, Teil VIII.</w:t>
      </w:r>
    </w:p>
    <w:p>
      <w:pPr>
        <w:pBdr>
          <w:bottom w:val="single" w:color="0E7490" w:sz="8"/>
        </w:pBdr>
        <w:spacing w:after="220"/>
      </w:pPr>
      <w:r>
        <w:rPr>
          <w:sz w:val="2"/>
          <w:szCs w:val="2"/>
        </w:rPr>
        <w:t xml:space="preserve"/>
      </w:r>
    </w:p>
    <w:p>
      <w:pPr>
        <w:pStyle w:val="Heading1"/>
        <w:spacing w:after="100" w:before="260"/>
      </w:pPr>
      <w:r>
        <w:rPr>
          <w:b/>
          <w:bCs/>
          <w:color w:val="0E7490"/>
          <w:sz w:val="25"/>
          <w:szCs w:val="25"/>
        </w:rPr>
        <w:t xml:space="preserve">Grundhaltung</w:t>
      </w:r>
    </w:p>
    <w:p>
      <w:pPr>
        <w:spacing w:after="120" w:before="0"/>
      </w:pPr>
      <w:r>
        <w:rPr>
          <w:b w:val="false"/>
          <w:bCs w:val="false"/>
          <w:i w:val="false"/>
          <w:iCs w:val="false"/>
          <w:color w:val="1F2937"/>
          <w:sz w:val="21"/>
          <w:szCs w:val="21"/>
        </w:rPr>
        <w:t xml:space="preserve">Wir befragen die Vergangenheit, nicht die Zukunft. Menschen sagen zuverlässig, was sie zu wollen glauben, und tun dann etwas anderes — vergangenes Verhalten ist die einzige verlässliche Auskunft. Deshalb: keine einzige „Würdest du…“-Frage. Und: Die App wird nicht gepitcht. Wer nach ihr fragt, bekommt einen Satz („Wir bauen was Lokales für die Szene hier — heute geht’s aber um deine Erfahrungen.“) und die Frage zurück.</w:t>
      </w:r>
    </w:p>
    <w:p>
      <w:pPr>
        <w:pStyle w:val="Heading1"/>
        <w:spacing w:after="100" w:before="260"/>
      </w:pPr>
      <w:r>
        <w:rPr>
          <w:b/>
          <w:bCs/>
          <w:color w:val="0E7490"/>
          <w:sz w:val="25"/>
          <w:szCs w:val="25"/>
        </w:rPr>
        <w:t xml:space="preserve">Setting</w:t>
      </w:r>
    </w:p>
    <w:p>
      <w:pPr>
        <w:pStyle w:val="ListParagraph"/>
        <w:numPr>
          <w:ilvl w:val="0"/>
          <w:numId w:val="2"/>
        </w:numPr>
        <w:spacing w:after="70"/>
      </w:pPr>
      <w:r>
        <w:rPr>
          <w:b w:val="false"/>
          <w:bCs w:val="false"/>
          <w:color w:val="1F2937"/>
          <w:sz w:val="21"/>
          <w:szCs w:val="21"/>
        </w:rPr>
        <w:t xml:space="preserve">Vor Ort, nicht online: Bars, Sportvereine, lokale Gruppen. 10–15 Minuten, im Stehen ist gut.</w:t>
      </w:r>
    </w:p>
    <w:p>
      <w:pPr>
        <w:pStyle w:val="ListParagraph"/>
        <w:numPr>
          <w:ilvl w:val="0"/>
          <w:numId w:val="2"/>
        </w:numPr>
        <w:spacing w:after="70"/>
      </w:pPr>
      <w:r>
        <w:rPr>
          <w:b w:val="false"/>
          <w:bCs w:val="false"/>
          <w:color w:val="1F2937"/>
          <w:sz w:val="21"/>
          <w:szCs w:val="21"/>
        </w:rPr>
        <w:t xml:space="preserve">Anonymität aktiv zusagen — und einhalten: keine Namen, keine Kontaktdaten, nichts Identifizierendes. Protokoll erst nach dem Gespräch ausfüllen, nie währenddessen.</w:t>
      </w:r>
    </w:p>
    <w:p>
      <w:pPr>
        <w:pStyle w:val="ListParagraph"/>
        <w:numPr>
          <w:ilvl w:val="0"/>
          <w:numId w:val="2"/>
        </w:numPr>
        <w:spacing w:after="70"/>
      </w:pPr>
      <w:r>
        <w:rPr>
          <w:b w:val="false"/>
          <w:bCs w:val="false"/>
          <w:color w:val="1F2937"/>
          <w:sz w:val="21"/>
          <w:szCs w:val="21"/>
        </w:rPr>
        <w:t xml:space="preserve">Quoten: 60–80 Gespräche gesamt · mindestens 8 mit trans und nichtbinären Personen (bezahlt — Betrag vorab festlegen) · Altersmischung 18–60 · bewusst auch Leute, die aktuell keine App nutzen.</w:t>
      </w:r>
    </w:p>
    <w:p>
      <w:pPr>
        <w:pStyle w:val="ListParagraph"/>
        <w:numPr>
          <w:ilvl w:val="0"/>
          <w:numId w:val="2"/>
        </w:numPr>
        <w:spacing w:after="70"/>
      </w:pPr>
      <w:r>
        <w:rPr>
          <w:b w:val="false"/>
          <w:bCs w:val="false"/>
          <w:color w:val="1F2937"/>
          <w:sz w:val="21"/>
          <w:szCs w:val="21"/>
        </w:rPr>
        <w:t>Beta-Interesse: In V1 nichts überreichen — keine Karte, keinen Code. Die Warteliste geht erst in V4 live (Beschluss vom 26.07.2026), der Kanal erst in V3. Wer fragt, wie es weitergeht, bekommt den Satz aus dem Abschluss. Niemals im Protokoll vermerken, wer Interesse gezeigt hat. (Angepasst am 16.09.2026, A-28.)</w:t>
      </w:r>
    </w:p>
    <w:p>
      <w:pPr>
        <w:pStyle w:val="Heading1"/>
        <w:spacing w:after="100" w:before="260"/>
      </w:pPr>
      <w:r>
        <w:rPr>
          <w:b/>
          <w:bCs/>
          <w:color w:val="0E7490"/>
          <w:sz w:val="25"/>
          <w:szCs w:val="25"/>
        </w:rPr>
        <w:t xml:space="preserve">Einstieg (wörtlich)</w:t>
      </w:r>
    </w:p>
    <w:p>
      <w:pPr>
        <w:spacing w:after="120" w:before="0"/>
      </w:pPr>
      <w:r>
        <w:rPr>
          <w:b w:val="false"/>
          <w:bCs w:val="false"/>
          <w:i/>
          <w:iCs/>
          <w:color w:val="1F2937"/>
          <w:sz w:val="22"/>
          <w:szCs w:val="22"/>
        </w:rPr>
        <w:t xml:space="preserve">„Wir arbeiten an etwas für die Szene hier und versuchen gerade ehrlich zu verstehen, was Leute an den bestehenden Apps stört. Magst du mir drei Fragen beantworten? Dauert keine zehn Minuten und ist komplett anonym.“</w:t>
      </w:r>
    </w:p>
    <w:p>
      <w:pPr>
        <w:pStyle w:val="Heading1"/>
        <w:spacing w:after="100" w:before="260"/>
      </w:pPr>
      <w:r>
        <w:rPr>
          <w:b/>
          <w:bCs/>
          <w:color w:val="0E7490"/>
          <w:sz w:val="25"/>
          <w:szCs w:val="25"/>
        </w:rPr>
        <w:t xml:space="preserve">Die drei Hauptfragen</w:t>
      </w:r>
    </w:p>
    <w:p>
      <w:pPr>
        <w:shd w:fill="ECFEFF" w:val="clear"/>
        <w:spacing w:after="140" w:before="60"/>
        <w:ind w:left="120" w:right="120"/>
      </w:pPr>
      <w:r>
        <w:rPr>
          <w:b/>
          <w:bCs/>
          <w:color w:val="0E7490"/>
          <w:sz w:val="26"/>
          <w:szCs w:val="26"/>
        </w:rPr>
        <w:t xml:space="preserve">F1  </w:t>
      </w:r>
      <w:r>
        <w:rPr>
          <w:b/>
          <w:bCs/>
          <w:color w:val="1F2937"/>
          <w:sz w:val="26"/>
          <w:szCs w:val="26"/>
        </w:rPr>
        <w:t xml:space="preserve">„Was hat dich zuletzt an deiner Haupt-App geärgert — ganz konkret, beim letzten Öffnen?“</w:t>
      </w:r>
    </w:p>
    <w:p>
      <w:pPr>
        <w:shd w:fill="ECFEFF" w:val="clear"/>
        <w:spacing w:after="140" w:before="60"/>
        <w:ind w:left="120" w:right="120"/>
      </w:pPr>
      <w:r>
        <w:rPr>
          <w:b/>
          <w:bCs/>
          <w:color w:val="0E7490"/>
          <w:sz w:val="26"/>
          <w:szCs w:val="26"/>
        </w:rPr>
        <w:t xml:space="preserve">F2  </w:t>
      </w:r>
      <w:r>
        <w:rPr>
          <w:b/>
          <w:bCs/>
          <w:color w:val="1F2937"/>
          <w:sz w:val="26"/>
          <w:szCs w:val="26"/>
        </w:rPr>
        <w:t xml:space="preserve">„Was würde dich davon abhalten, eine neue App überhaupt zu installieren?“</w:t>
      </w:r>
    </w:p>
    <w:p>
      <w:pPr>
        <w:shd w:fill="ECFEFF" w:val="clear"/>
        <w:spacing w:after="140" w:before="60"/>
        <w:ind w:left="120" w:right="120"/>
      </w:pPr>
      <w:r>
        <w:rPr>
          <w:b/>
          <w:bCs/>
          <w:color w:val="0E7490"/>
          <w:sz w:val="26"/>
          <w:szCs w:val="26"/>
        </w:rPr>
        <w:t xml:space="preserve">F3  </w:t>
      </w:r>
      <w:r>
        <w:rPr>
          <w:b/>
          <w:bCs/>
          <w:color w:val="1F2937"/>
          <w:sz w:val="26"/>
          <w:szCs w:val="26"/>
        </w:rPr>
        <w:t xml:space="preserve">„Was müsste passieren, damit du eine neue App einem Freund zeigst?“</w:t>
      </w:r>
    </w:p>
    <w:p>
      <w:pPr>
        <w:pStyle w:val="Heading1"/>
        <w:spacing w:after="100" w:before="260"/>
      </w:pPr>
      <w:r>
        <w:rPr>
          <w:b/>
          <w:bCs/>
          <w:color w:val="0E7490"/>
          <w:sz w:val="25"/>
          <w:szCs w:val="25"/>
        </w:rPr>
        <w:t xml:space="preserve">Nachfrageoptionen (fünf bis sechs, je nach Gesprächsverlauf)</w:t>
      </w:r>
    </w:p>
    <w:p>
      <w:pPr>
        <w:pStyle w:val="ListParagraph"/>
        <w:numPr>
          <w:ilvl w:val="0"/>
          <w:numId w:val="2"/>
        </w:numPr>
        <w:spacing w:after="70"/>
      </w:pPr>
      <w:r>
        <w:rPr>
          <w:b w:val="false"/>
          <w:bCs w:val="false"/>
          <w:color w:val="1F2937"/>
          <w:sz w:val="21"/>
          <w:szCs w:val="21"/>
        </w:rPr>
        <w:t xml:space="preserve">N1 — „Wann hast du zuletzt eine Dating-App gelöscht? Was war da los?“</w:t>
      </w:r>
    </w:p>
    <w:p>
      <w:pPr>
        <w:pStyle w:val="ListParagraph"/>
        <w:numPr>
          <w:ilvl w:val="0"/>
          <w:numId w:val="2"/>
        </w:numPr>
        <w:spacing w:after="70"/>
      </w:pPr>
      <w:r>
        <w:rPr>
          <w:b w:val="false"/>
          <w:bCs w:val="false"/>
          <w:color w:val="1F2937"/>
          <w:sz w:val="21"/>
          <w:szCs w:val="21"/>
        </w:rPr>
        <w:t xml:space="preserve">N2 — „Erzähl mal vom letzten Treffen, das über eine App zustande kam — wie lief der Weg dahin?“</w:t>
      </w:r>
    </w:p>
    <w:p>
      <w:pPr>
        <w:pStyle w:val="ListParagraph"/>
        <w:numPr>
          <w:ilvl w:val="0"/>
          <w:numId w:val="2"/>
        </w:numPr>
        <w:spacing w:after="70"/>
      </w:pPr>
      <w:r>
        <w:rPr>
          <w:b w:val="false"/>
          <w:bCs w:val="false"/>
          <w:color w:val="1F2937"/>
          <w:sz w:val="21"/>
          <w:szCs w:val="21"/>
        </w:rPr>
        <w:t xml:space="preserve">N3 — „Zeigst du dein Gesicht im Profil? Warum — oder warum nicht?“</w:t>
      </w:r>
    </w:p>
    <w:p>
      <w:pPr>
        <w:pStyle w:val="ListParagraph"/>
        <w:numPr>
          <w:ilvl w:val="0"/>
          <w:numId w:val="2"/>
        </w:numPr>
        <w:spacing w:after="70"/>
      </w:pPr>
      <w:r>
        <w:rPr>
          <w:b w:val="false"/>
          <w:bCs w:val="false"/>
          <w:color w:val="1F2937"/>
          <w:sz w:val="21"/>
          <w:szCs w:val="21"/>
        </w:rPr>
        <w:t xml:space="preserve">N4 — „Wie entscheidest du eigentlich, wo du samstagabends hingehst?“ (testet den ‚Heute‘-Reiter, ohne ihn zu nennen)</w:t>
      </w:r>
    </w:p>
    <w:p>
      <w:pPr>
        <w:pStyle w:val="ListParagraph"/>
        <w:numPr>
          <w:ilvl w:val="0"/>
          <w:numId w:val="2"/>
        </w:numPr>
        <w:spacing w:after="70"/>
      </w:pPr>
      <w:r>
        <w:rPr>
          <w:b w:val="false"/>
          <w:bCs w:val="false"/>
          <w:color w:val="1F2937"/>
          <w:sz w:val="21"/>
          <w:szCs w:val="21"/>
        </w:rPr>
        <w:t xml:space="preserve">N5 — „Hast du je für eine App bezahlt? Wofür genau — und war es das wert?“</w:t>
      </w:r>
    </w:p>
    <w:p>
      <w:pPr>
        <w:pStyle w:val="ListParagraph"/>
        <w:numPr>
          <w:ilvl w:val="0"/>
          <w:numId w:val="2"/>
        </w:numPr>
        <w:spacing w:after="70"/>
      </w:pPr>
      <w:r>
        <w:rPr>
          <w:b w:val="false"/>
          <w:bCs w:val="false"/>
          <w:color w:val="1F2937"/>
          <w:sz w:val="21"/>
          <w:szCs w:val="21"/>
        </w:rPr>
        <w:t xml:space="preserve">N6 — „Was machst du, wenn dir jemand schreibt, den du nicht willst?“ (testet höflichen Ausstieg / Ablehnungskosten)</w:t>
      </w:r>
    </w:p>
    <w:p>
      <w:pPr>
        <w:pStyle w:val="Heading1"/>
        <w:spacing w:after="100" w:before="260"/>
      </w:pPr>
      <w:r>
        <w:rPr>
          <w:b/>
          <w:bCs/>
          <w:color w:val="0E7490"/>
          <w:sz w:val="25"/>
          <w:szCs w:val="25"/>
        </w:rPr>
        <w:t xml:space="preserve">Regeln während des Gesprächs</w:t>
      </w:r>
    </w:p>
    <w:tbl>
      <w:tblPr>
        <w:tblW w:type="dxa" w:w="9400"/>
        <w:tblBorders>
          <w:top w:val="single" w:color="D1D5DB" w:sz="4"/>
          <w:left w:val="single" w:color="D1D5DB" w:sz="4"/>
          <w:bottom w:val="single" w:color="D1D5DB" w:sz="4"/>
          <w:right w:val="single" w:color="D1D5DB" w:sz="4"/>
          <w:insideH w:val="single" w:color="D1D5DB" w:sz="4"/>
          <w:insideV w:val="single" w:color="D1D5DB" w:sz="4"/>
        </w:tblBorders>
      </w:tblPr>
      <w:tblGrid>
        <w:gridCol w:w="4700"/>
        <w:gridCol w:w="4700"/>
      </w:tblGrid>
      <w:tr>
        <w:trPr>
          <w:cantSplit/>
          <w:tblHeader/>
        </w:trPr>
        <w:tc>
          <w:tcPr>
            <w:tcW w:type="dxa" w:w="4700"/>
            <w:shd w:fill="0E7490" w:val="clear"/>
            <w:tcMar>
              <w:top w:type="dxa" w:w="55"/>
              <w:left w:type="dxa" w:w="110"/>
              <w:bottom w:type="dxa" w:w="55"/>
              <w:right w:type="dxa" w:w="110"/>
            </w:tcMar>
          </w:tcPr>
          <w:p>
            <w:pPr>
              <w:spacing w:after="30" w:before="30"/>
            </w:pPr>
            <w:r>
              <w:rPr>
                <w:b/>
                <w:bCs/>
                <w:color w:val="FFFFFF"/>
                <w:sz w:val="19"/>
                <w:szCs w:val="19"/>
              </w:rPr>
              <w:t xml:space="preserve">Tun</w:t>
            </w:r>
          </w:p>
        </w:tc>
        <w:tc>
          <w:tcPr>
            <w:tcW w:type="dxa" w:w="4700"/>
            <w:shd w:fill="0E7490" w:val="clear"/>
            <w:tcMar>
              <w:top w:type="dxa" w:w="55"/>
              <w:left w:type="dxa" w:w="110"/>
              <w:bottom w:type="dxa" w:w="55"/>
              <w:right w:type="dxa" w:w="110"/>
            </w:tcMar>
          </w:tcPr>
          <w:p>
            <w:pPr>
              <w:spacing w:after="30" w:before="30"/>
            </w:pPr>
            <w:r>
              <w:rPr>
                <w:b/>
                <w:bCs/>
                <w:color w:val="FFFFFF"/>
                <w:sz w:val="19"/>
                <w:szCs w:val="19"/>
              </w:rPr>
              <w:t xml:space="preserve">Lassen</w:t>
            </w:r>
          </w:p>
        </w:tc>
      </w:tr>
      <w:tr>
        <w:trPr>
          <w:cantSplit/>
        </w:trPr>
        <w:tc>
          <w:tcPr>
            <w:tcW w:type="dxa" w:w="4700"/>
            <w:tcMar>
              <w:top w:type="dxa" w:w="55"/>
              <w:left w:type="dxa" w:w="110"/>
              <w:bottom w:type="dxa" w:w="55"/>
              <w:right w:type="dxa" w:w="110"/>
            </w:tcMar>
          </w:tcPr>
          <w:p>
            <w:pPr>
              <w:spacing w:after="30" w:before="30"/>
            </w:pPr>
            <w:r>
              <w:rPr>
                <w:b w:val="false"/>
                <w:bCs w:val="false"/>
                <w:color w:val="1F2937"/>
                <w:sz w:val="19"/>
                <w:szCs w:val="19"/>
              </w:rPr>
              <w:t xml:space="preserve">Schweigen aushalten. „Erzähl mehr davon“ statt nächster Frage.</w:t>
            </w:r>
          </w:p>
        </w:tc>
        <w:tc>
          <w:tcPr>
            <w:tcW w:type="dxa" w:w="4700"/>
            <w:tcMar>
              <w:top w:type="dxa" w:w="55"/>
              <w:left w:type="dxa" w:w="110"/>
              <w:bottom w:type="dxa" w:w="55"/>
              <w:right w:type="dxa" w:w="110"/>
            </w:tcMar>
          </w:tcPr>
          <w:p>
            <w:pPr>
              <w:spacing w:after="30" w:before="30"/>
            </w:pPr>
            <w:r>
              <w:rPr>
                <w:b w:val="false"/>
                <w:bCs w:val="false"/>
                <w:color w:val="1F2937"/>
                <w:sz w:val="19"/>
                <w:szCs w:val="19"/>
              </w:rPr>
              <w:t xml:space="preserve">Datenschutz von sich aus ansprechen. Er ist unser Kernthesen-Test: Wir zählen nur, ob er ungefragt fällt.</w:t>
            </w:r>
          </w:p>
        </w:tc>
      </w:tr>
      <w:tr>
        <w:trPr>
          <w:cantSplit/>
        </w:trPr>
        <w:tc>
          <w:tcPr>
            <w:tcW w:type="dxa" w:w="4700"/>
            <w:shd w:fill="F3F4F6" w:val="clear"/>
            <w:tcMar>
              <w:top w:type="dxa" w:w="55"/>
              <w:left w:type="dxa" w:w="110"/>
              <w:bottom w:type="dxa" w:w="55"/>
              <w:right w:type="dxa" w:w="110"/>
            </w:tcMar>
          </w:tcPr>
          <w:p>
            <w:pPr>
              <w:spacing w:after="30" w:before="30"/>
            </w:pPr>
            <w:r>
              <w:rPr>
                <w:b w:val="false"/>
                <w:bCs w:val="false"/>
                <w:color w:val="1F2937"/>
                <w:sz w:val="19"/>
                <w:szCs w:val="19"/>
              </w:rPr>
              <w:t xml:space="preserve">Konkrete Situationen erfragen: wann, wo, was genau passiert ist.</w:t>
            </w:r>
          </w:p>
        </w:tc>
        <w:tc>
          <w:tcPr>
            <w:tcW w:type="dxa" w:w="4700"/>
            <w:shd w:fill="F3F4F6" w:val="clear"/>
            <w:tcMar>
              <w:top w:type="dxa" w:w="55"/>
              <w:left w:type="dxa" w:w="110"/>
              <w:bottom w:type="dxa" w:w="55"/>
              <w:right w:type="dxa" w:w="110"/>
            </w:tcMar>
          </w:tcPr>
          <w:p>
            <w:pPr>
              <w:spacing w:after="30" w:before="30"/>
            </w:pPr>
            <w:r>
              <w:rPr>
                <w:b w:val="false"/>
                <w:bCs w:val="false"/>
                <w:color w:val="1F2937"/>
                <w:sz w:val="19"/>
                <w:szCs w:val="19"/>
              </w:rPr>
              <w:t xml:space="preserve">„Würdest du…“-Fragen. Zukunftsantworten sind wertlos.</w:t>
            </w:r>
          </w:p>
        </w:tc>
      </w:tr>
      <w:tr>
        <w:trPr>
          <w:cantSplit/>
        </w:trPr>
        <w:tc>
          <w:tcPr>
            <w:tcW w:type="dxa" w:w="4700"/>
            <w:tcMar>
              <w:top w:type="dxa" w:w="55"/>
              <w:left w:type="dxa" w:w="110"/>
              <w:bottom w:type="dxa" w:w="55"/>
              <w:right w:type="dxa" w:w="110"/>
            </w:tcMar>
          </w:tcPr>
          <w:p>
            <w:pPr>
              <w:spacing w:after="30" w:before="30"/>
            </w:pPr>
            <w:r>
              <w:rPr>
                <w:b w:val="false"/>
                <w:bCs w:val="false"/>
                <w:color w:val="1F2937"/>
                <w:sz w:val="19"/>
                <w:szCs w:val="19"/>
              </w:rPr>
              <w:t xml:space="preserve">Kritik an anderen Apps neutral aufnehmen und weiterfragen.</w:t>
            </w:r>
          </w:p>
        </w:tc>
        <w:tc>
          <w:tcPr>
            <w:tcW w:type="dxa" w:w="4700"/>
            <w:tcMar>
              <w:top w:type="dxa" w:w="55"/>
              <w:left w:type="dxa" w:w="110"/>
              <w:bottom w:type="dxa" w:w="55"/>
              <w:right w:type="dxa" w:w="110"/>
            </w:tcMar>
          </w:tcPr>
          <w:p>
            <w:pPr>
              <w:spacing w:after="30" w:before="30"/>
            </w:pPr>
            <w:r>
              <w:rPr>
                <w:b w:val="false"/>
                <w:bCs w:val="false"/>
                <w:color w:val="1F2937"/>
                <w:sz w:val="19"/>
                <w:szCs w:val="19"/>
              </w:rPr>
              <w:t xml:space="preserve">Verteidigen, erklären, pitchen — auch nicht am Ende.</w:t>
            </w:r>
          </w:p>
        </w:tc>
      </w:tr>
      <w:tr>
        <w:trPr>
          <w:cantSplit/>
        </w:trPr>
        <w:tc>
          <w:tcPr>
            <w:tcW w:type="dxa" w:w="4700"/>
            <w:shd w:fill="F3F4F6" w:val="clear"/>
            <w:tcMar>
              <w:top w:type="dxa" w:w="55"/>
              <w:left w:type="dxa" w:w="110"/>
              <w:bottom w:type="dxa" w:w="55"/>
              <w:right w:type="dxa" w:w="110"/>
            </w:tcMar>
          </w:tcPr>
          <w:p>
            <w:pPr>
              <w:spacing w:after="30" w:before="30"/>
            </w:pPr>
            <w:r>
              <w:rPr>
                <w:b w:val="false"/>
                <w:bCs w:val="false"/>
                <w:color w:val="1F2937"/>
                <w:sz w:val="19"/>
                <w:szCs w:val="19"/>
              </w:rPr>
              <w:t xml:space="preserve">Wörtliche Zitate merken (nach dem Gespräch notieren).</w:t>
            </w:r>
          </w:p>
        </w:tc>
        <w:tc>
          <w:tcPr>
            <w:tcW w:type="dxa" w:w="4700"/>
            <w:shd w:fill="F3F4F6" w:val="clear"/>
            <w:tcMar>
              <w:top w:type="dxa" w:w="55"/>
              <w:left w:type="dxa" w:w="110"/>
              <w:bottom w:type="dxa" w:w="55"/>
              <w:right w:type="dxa" w:w="110"/>
            </w:tcMar>
          </w:tcPr>
          <w:p>
            <w:pPr>
              <w:spacing w:after="30" w:before="30"/>
            </w:pPr>
            <w:r>
              <w:rPr>
                <w:b w:val="false"/>
                <w:bCs w:val="false"/>
                <w:color w:val="1F2937"/>
                <w:sz w:val="19"/>
                <w:szCs w:val="19"/>
              </w:rPr>
              <w:t xml:space="preserve">Suggestivfragen („Findest du nicht auch, dass…“).</w:t>
            </w:r>
          </w:p>
        </w:tc>
      </w:tr>
      <w:tr>
        <w:trPr>
          <w:cantSplit/>
        </w:trPr>
        <w:tc>
          <w:tcPr>
            <w:tcW w:type="dxa" w:w="4700"/>
            <w:tcMar>
              <w:top w:type="dxa" w:w="55"/>
              <w:left w:type="dxa" w:w="110"/>
              <w:bottom w:type="dxa" w:w="55"/>
              <w:right w:type="dxa" w:w="110"/>
            </w:tcMar>
          </w:tcPr>
          <w:p>
            <w:pPr>
              <w:spacing w:after="30" w:before="30"/>
            </w:pPr>
            <w:r>
              <w:rPr>
                <w:b w:val="false"/>
                <w:bCs w:val="false"/>
                <w:color w:val="1F2937"/>
                <w:sz w:val="19"/>
                <w:szCs w:val="19"/>
              </w:rPr>
              <w:t xml:space="preserve">Bei trans/nichtbinären Personen: Bezahlung anbieten, Zeit lassen.</w:t>
            </w:r>
          </w:p>
        </w:tc>
        <w:tc>
          <w:tcPr>
            <w:tcW w:type="dxa" w:w="4700"/>
            <w:tcMar>
              <w:top w:type="dxa" w:w="55"/>
              <w:left w:type="dxa" w:w="110"/>
              <w:bottom w:type="dxa" w:w="55"/>
              <w:right w:type="dxa" w:w="110"/>
            </w:tcMar>
          </w:tcPr>
          <w:p>
            <w:pPr>
              <w:spacing w:after="30" w:before="30"/>
            </w:pPr>
            <w:r>
              <w:rPr>
                <w:b w:val="false"/>
                <w:bCs w:val="false"/>
                <w:color w:val="1F2937"/>
                <w:sz w:val="19"/>
                <w:szCs w:val="19"/>
              </w:rPr>
              <w:t xml:space="preserve">Namen, Berufe, identifizierende Kombinationen notieren.</w:t>
            </w:r>
          </w:p>
        </w:tc>
      </w:tr>
    </w:tbl>
    <w:p>
      <w:pPr>
        <w:pStyle w:val="Heading1"/>
        <w:spacing w:after="100" w:before="260"/>
      </w:pPr>
      <w:r>
        <w:rPr>
          <w:b/>
          <w:bCs/>
          <w:color w:val="0E7490"/>
          <w:sz w:val="25"/>
          <w:szCs w:val="25"/>
        </w:rPr>
        <w:t xml:space="preserve">Abschluss (wörtlich)</w:t>
      </w:r>
    </w:p>
    <w:p>
      <w:pPr>
        <w:spacing w:after="120" w:before="0"/>
      </w:pPr>
      <w:r>
        <w:rPr>
          <w:b w:val="false"/>
          <w:bCs w:val="false"/>
          <w:i/>
          <w:iCs/>
          <w:color w:val="1F2937"/>
          <w:sz w:val="22"/>
          <w:szCs w:val="22"/>
        </w:rPr>
        <w:t>„Danke dir — das hilft uns wirklich. Was daraus wird, erzählen wir, sobald es etwas zu zeigen gibt.“</w:t>
      </w:r>
    </w:p>
    <w:p>
      <w:pPr>
        <w:spacing w:after="120" w:before="0"/>
      </w:pPr>
      <w:r>
        <w:rPr>
          <w:b w:val="false"/>
          <w:bCs w:val="false"/>
          <w:i w:val="false"/>
          <w:iCs w:val="false"/>
          <w:color w:val="6B7280"/>
          <w:sz w:val="19"/>
          <w:szCs w:val="19"/>
        </w:rPr>
        <w:t xml:space="preserve">Danach: maximal fünf Minuten später das Protokoll ausfüllen — die Erinnerung verfälscht schnell. Der Datenschutz-Zähler (ungefragt erwähnt: ja/nein) ist das wichtigste Einzelfeld: Kommt Datenschutz in unter einem Drittel der Gespräche ungefragt vor, ist die Kernthese unter Druck — und wir wissen es nach 30 Tagen statt nach 30 Monaten.</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Interne Arbeitsunterlage · Stand 16.09.2026 · anonym erheben — keine Namen, keine Kontaktdaten · Seite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2026-07-24T13:50:48.123Z</dcterms:created>
  <dcterms:modified xsi:type="dcterms:W3CDTF">2026-07-24T13:50:48.126Z</dcterms:modified>
</cp:coreProperties>
</file>

<file path=docProps/custom.xml><?xml version="1.0" encoding="utf-8"?>
<Properties xmlns="http://schemas.openxmlformats.org/officeDocument/2006/custom-properties" xmlns:vt="http://schemas.openxmlformats.org/officeDocument/2006/docPropsVTypes"/>
</file>