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808080"/>
          <w:sz w:val="20"/>
          <w:szCs w:val="20"/>
        </w:rPr>
        <w:t xml:space="preserve">BUSINESSPLAN · ROHFASSUNG</w:t>
      </w:r>
    </w:p>
    <w:p>
      <w:pPr>
        <w:spacing w:after="60"/>
      </w:pPr>
      <w:r>
        <w:rPr>
          <w:b/>
          <w:bCs/>
          <w:color w:val="2E74B5"/>
          <w:sz w:val="72"/>
          <w:szCs w:val="72"/>
        </w:rPr>
        <w:t xml:space="preserve">Cruizy</w:t>
      </w:r>
    </w:p>
    <w:p>
      <w:pPr>
        <w:spacing w:after="360"/>
      </w:pPr>
      <w:r>
        <w:rPr>
          <w:color w:val="1F4D78"/>
          <w:sz w:val="28"/>
          <w:szCs w:val="28"/>
        </w:rPr>
        <w:t xml:space="preserve">Dating- und Verbindungs-App für schwule, bisexuelle und queere Männer im deutschsprachigen Raum — lokal verankert, datensparsam, ohne Werbung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20"/>
                <w:szCs w:val="20"/>
              </w:rPr>
              <w:t xml:space="preserve">Gründer</w:t>
            </w:r>
          </w:p>
        </w:tc>
        <w:tc>
          <w:tcPr>
            <w:tcW w:type="dxa" w:w="72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20"/>
                <w:szCs w:val="20"/>
              </w:rPr>
              <w:t xml:space="preserve">Henry Luca Kurz · Nicolas Greulich</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20"/>
                <w:szCs w:val="20"/>
              </w:rPr>
              <w:t xml:space="preserve">Vorhaben</w:t>
            </w:r>
          </w:p>
        </w:tc>
        <w:tc>
          <w:tcPr>
            <w:tcW w:type="dxa" w:w="72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20"/>
                <w:szCs w:val="20"/>
              </w:rPr>
              <w:t xml:space="preserve">Web-App zuerst, native Apps als Hülle um dieselbe App, sobald die Store-Prüfung es zulässt; Start in Köln</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20"/>
                <w:szCs w:val="20"/>
              </w:rPr>
              <w:t xml:space="preserve">Start</w:t>
            </w:r>
          </w:p>
        </w:tc>
        <w:tc>
          <w:tcPr>
            <w:tcW w:type="dxa" w:w="72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20"/>
                <w:szCs w:val="20"/>
              </w:rPr>
              <w:t xml:space="preserve">in der Pride- und CSD-Saison — frühestens 2028, geplant wird mit einem Jahr später</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20"/>
                <w:szCs w:val="20"/>
              </w:rPr>
              <w:t xml:space="preserve">Rechtsform</w:t>
            </w:r>
          </w:p>
        </w:tc>
        <w:tc>
          <w:tcPr>
            <w:tcW w:type="dxa" w:w="72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20"/>
                <w:szCs w:val="20"/>
              </w:rPr>
              <w:t xml:space="preserve">GmbH mit 25.000 € Stammkapital, voll eingezahlt, je zur Hälfte — gegründet wird zum Start</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20"/>
                <w:szCs w:val="20"/>
              </w:rPr>
              <w:t xml:space="preserve">Sitz</w:t>
            </w:r>
          </w:p>
        </w:tc>
        <w:tc>
          <w:tcPr>
            <w:tcW w:type="dxa" w:w="72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20"/>
                <w:szCs w:val="20"/>
              </w:rPr>
              <w:t xml:space="preserve">Niedersachsen oder Nordrhein-Westfalen, je nach Förderlage; beide Gründer ziehen an den Sitz</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20"/>
                <w:szCs w:val="20"/>
              </w:rPr>
              <w:t xml:space="preserve">Kapitalbedarf</w:t>
            </w:r>
          </w:p>
        </w:tc>
        <w:tc>
          <w:tcPr>
            <w:tcW w:type="dxa" w:w="72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20"/>
                <w:szCs w:val="20"/>
              </w:rPr>
              <w:t xml:space="preserve">160.253 € für die Firma, 233.053 € mit Lebenshaltung und Krankenversicherung beider Gründer (realistisches Szenario, ohne Gehälter)</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20"/>
                <w:szCs w:val="20"/>
              </w:rPr>
              <w:t xml:space="preserve">Break-even</w:t>
            </w:r>
          </w:p>
        </w:tc>
        <w:tc>
          <w:tcPr>
            <w:tcW w:type="dxa" w:w="72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20"/>
                <w:szCs w:val="20"/>
              </w:rPr>
              <w:t xml:space="preserve">Monat 28 im realistischen Szenario (optimistisch Monat 21, pessimistisch nicht innerhalb von 36 Monaten)</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20"/>
                <w:szCs w:val="20"/>
              </w:rPr>
              <w:t xml:space="preserve">Stand</w:t>
            </w:r>
          </w:p>
        </w:tc>
        <w:tc>
          <w:tcPr>
            <w:tcW w:type="dxa" w:w="72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20"/>
                <w:szCs w:val="20"/>
              </w:rPr>
              <w:t xml:space="preserve">Rohfassung vom 15.09.2026, fortgeschrieben am 22.09.2026 · Zahlen aus dem Finanzmodell vom 21.09.2026 · „Cruizy“ ist ein Arbeitstitel</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Zu dieser Fassung</w:t>
            </w:r>
          </w:p>
          <w:p>
            <w:pPr>
              <w:pStyle w:val="ListParagraph"/>
              <w:numPr>
                <w:ilvl w:val="0"/>
                <w:numId w:val="2"/>
              </w:numPr>
              <w:spacing w:after="40" w:line="252"/>
            </w:pPr>
            <w:r>
              <w:rPr>
                <w:b/>
                <w:bCs/>
                <w:sz w:val="19"/>
                <w:szCs w:val="19"/>
              </w:rPr>
              <w:t xml:space="preserve">Rohfassung für die Gründer. Nicht versenden, nicht einreichen.</w:t>
            </w:r>
          </w:p>
          <w:p>
            <w:pPr>
              <w:pStyle w:val="ListParagraph"/>
              <w:numPr>
                <w:ilvl w:val="0"/>
                <w:numId w:val="2"/>
              </w:numPr>
              <w:spacing w:after="40" w:line="252"/>
            </w:pPr>
            <w:r>
              <w:rPr>
                <w:sz w:val="19"/>
                <w:szCs w:val="19"/>
              </w:rPr>
              <w:t xml:space="preserve">Alle Zahlen zu Kosten, Erlösen und Kapital stammen aus dem eigenen Finanzmodell (Stand 21.09.2026). Es baut auf Handbuch B auf und enthält die Beschlüsse der Gründer vom September 2026; wo es von Handbuch B abweicht, steht das im Anhang B. Alle übrigen Angaben stammen aus den beiden Projekthandbüchern (Stand Juli 2026) oder tragen Datum und Quelle.</w:t>
            </w:r>
          </w:p>
          <w:p>
            <w:pPr>
              <w:pStyle w:val="ListParagraph"/>
              <w:numPr>
                <w:ilvl w:val="0"/>
                <w:numId w:val="2"/>
              </w:numPr>
              <w:spacing w:after="40" w:line="252"/>
            </w:pPr>
            <w:r>
              <w:rPr>
                <w:sz w:val="19"/>
                <w:szCs w:val="19"/>
              </w:rPr>
              <w:t xml:space="preserve">Förderbedingungen sind die Form der Frage, nicht die Antwort: Vor jedem Antrag werden sie beim Träger bestätigt.</w:t>
            </w:r>
          </w:p>
          <w:p>
            <w:pPr>
              <w:pStyle w:val="ListParagraph"/>
              <w:numPr>
                <w:ilvl w:val="0"/>
                <w:numId w:val="2"/>
              </w:numPr>
              <w:spacing w:after="40" w:line="252"/>
            </w:pPr>
            <w:r>
              <w:rPr>
                <w:sz w:val="19"/>
                <w:szCs w:val="19"/>
              </w:rPr>
              <w:t xml:space="preserve">Platzhalter in eckigen Klammern füllen die Gründer. Offene Punkte und Widersprüche stehen im Anhang B.</w:t>
            </w:r>
          </w:p>
        </w:tc>
      </w:tr>
    </w:tbl>
    <w:p>
      <w:r>
        <w:br w:type="page"/>
      </w:r>
    </w:p>
    <w:p>
      <w:pPr>
        <w:pStyle w:val="Heading1"/>
        <w:keepNext/>
        <w:pBdr>
          <w:bottom w:val="single" w:color="2E74B5" w:sz="6" w:space="2"/>
        </w:pBdr>
        <w:spacing w:after="120" w:before="240"/>
      </w:pPr>
      <w:r>
        <w:t xml:space="preserve">Inhalt</w:t>
      </w:r>
    </w:p>
    <w:p>
      <w:pPr>
        <w:keepNext w:val="false"/>
        <w:spacing w:after="60" w:before="0" w:line="276"/>
        <w:jc w:val="left"/>
      </w:pPr>
      <w:r>
        <w:rPr>
          <w:b/>
          <w:bCs/>
        </w:rPr>
        <w:t xml:space="preserve">1</w:t>
      </w:r>
      <w:r>
        <w:t xml:space="preserve"> · Zusammenfassung</w:t>
      </w:r>
    </w:p>
    <w:p>
      <w:pPr>
        <w:keepNext w:val="false"/>
        <w:spacing w:after="60" w:before="0" w:line="276"/>
        <w:jc w:val="left"/>
      </w:pPr>
      <w:r>
        <w:rPr>
          <w:b/>
          <w:bCs/>
        </w:rPr>
        <w:t xml:space="preserve">2</w:t>
      </w:r>
      <w:r>
        <w:t xml:space="preserve"> · Problem und Lösung</w:t>
      </w:r>
    </w:p>
    <w:p>
      <w:pPr>
        <w:keepNext w:val="false"/>
        <w:spacing w:after="60" w:before="0" w:line="276"/>
        <w:jc w:val="left"/>
      </w:pPr>
      <w:r>
        <w:rPr>
          <w:b/>
          <w:bCs/>
        </w:rPr>
        <w:t xml:space="preserve">3</w:t>
      </w:r>
      <w:r>
        <w:t xml:space="preserve"> · Markt und Wettbewerb</w:t>
      </w:r>
    </w:p>
    <w:p>
      <w:pPr>
        <w:keepNext w:val="false"/>
        <w:spacing w:after="60" w:before="0" w:line="276"/>
        <w:jc w:val="left"/>
      </w:pPr>
      <w:r>
        <w:rPr>
          <w:b/>
          <w:bCs/>
        </w:rPr>
        <w:t xml:space="preserve">4</w:t>
      </w:r>
      <w:r>
        <w:t xml:space="preserve"> · Produkt und Technik</w:t>
      </w:r>
    </w:p>
    <w:p>
      <w:pPr>
        <w:keepNext w:val="false"/>
        <w:spacing w:after="60" w:before="0" w:line="276"/>
        <w:jc w:val="left"/>
      </w:pPr>
      <w:r>
        <w:rPr>
          <w:b/>
          <w:bCs/>
        </w:rPr>
        <w:t xml:space="preserve">5</w:t>
      </w:r>
      <w:r>
        <w:t xml:space="preserve"> · Geschäftsmodell</w:t>
      </w:r>
    </w:p>
    <w:p>
      <w:pPr>
        <w:keepNext w:val="false"/>
        <w:spacing w:after="60" w:before="0" w:line="276"/>
        <w:jc w:val="left"/>
      </w:pPr>
      <w:r>
        <w:rPr>
          <w:b/>
          <w:bCs/>
        </w:rPr>
        <w:t xml:space="preserve">6</w:t>
      </w:r>
      <w:r>
        <w:t xml:space="preserve"> · Marketing und Vertrieb</w:t>
      </w:r>
    </w:p>
    <w:p>
      <w:pPr>
        <w:keepNext w:val="false"/>
        <w:spacing w:after="60" w:before="0" w:line="276"/>
        <w:jc w:val="left"/>
      </w:pPr>
      <w:r>
        <w:rPr>
          <w:b/>
          <w:bCs/>
        </w:rPr>
        <w:t xml:space="preserve">7</w:t>
      </w:r>
      <w:r>
        <w:t xml:space="preserve"> · Team und Organisation</w:t>
      </w:r>
    </w:p>
    <w:p>
      <w:pPr>
        <w:keepNext w:val="false"/>
        <w:spacing w:after="60" w:before="0" w:line="276"/>
        <w:jc w:val="left"/>
      </w:pPr>
      <w:r>
        <w:rPr>
          <w:b/>
          <w:bCs/>
        </w:rPr>
        <w:t xml:space="preserve">8</w:t>
      </w:r>
      <w:r>
        <w:t xml:space="preserve"> · Rechtsrahmen</w:t>
      </w:r>
    </w:p>
    <w:p>
      <w:pPr>
        <w:keepNext w:val="false"/>
        <w:spacing w:after="60" w:before="0" w:line="276"/>
        <w:jc w:val="left"/>
      </w:pPr>
      <w:r>
        <w:rPr>
          <w:b/>
          <w:bCs/>
        </w:rPr>
        <w:t xml:space="preserve">9</w:t>
      </w:r>
      <w:r>
        <w:t xml:space="preserve"> · Finanzplanung</w:t>
      </w:r>
    </w:p>
    <w:p>
      <w:pPr>
        <w:keepNext w:val="false"/>
        <w:spacing w:after="60" w:before="0" w:line="276"/>
        <w:jc w:val="left"/>
      </w:pPr>
      <w:r>
        <w:rPr>
          <w:b/>
          <w:bCs/>
        </w:rPr>
        <w:t xml:space="preserve">10</w:t>
      </w:r>
      <w:r>
        <w:t xml:space="preserve"> · Finanzierung</w:t>
      </w:r>
    </w:p>
    <w:p>
      <w:pPr>
        <w:keepNext w:val="false"/>
        <w:spacing w:after="60" w:before="0" w:line="276"/>
        <w:jc w:val="left"/>
      </w:pPr>
      <w:r>
        <w:rPr>
          <w:b/>
          <w:bCs/>
        </w:rPr>
        <w:t xml:space="preserve">11</w:t>
      </w:r>
      <w:r>
        <w:t xml:space="preserve"> · Risiken und Gegenmaßnahmen</w:t>
      </w:r>
    </w:p>
    <w:p>
      <w:pPr>
        <w:keepNext w:val="false"/>
        <w:spacing w:after="60" w:before="0" w:line="276"/>
        <w:jc w:val="left"/>
      </w:pPr>
      <w:r>
        <w:rPr>
          <w:b/>
          <w:bCs/>
        </w:rPr>
        <w:t xml:space="preserve">12</w:t>
      </w:r>
      <w:r>
        <w:t xml:space="preserve"> · Meilensteine und Prüftore</w:t>
      </w:r>
    </w:p>
    <w:p>
      <w:pPr>
        <w:keepNext w:val="false"/>
        <w:spacing w:after="60" w:before="0" w:line="276"/>
        <w:jc w:val="left"/>
      </w:pPr>
      <w:r>
        <w:rPr>
          <w:b/>
          <w:bCs/>
        </w:rPr>
        <w:t xml:space="preserve">Anhang A</w:t>
      </w:r>
      <w:r>
        <w:t xml:space="preserve"> · Quellen</w:t>
      </w:r>
    </w:p>
    <w:p>
      <w:pPr>
        <w:keepNext w:val="false"/>
        <w:spacing w:after="60" w:before="0" w:line="276"/>
        <w:jc w:val="left"/>
      </w:pPr>
      <w:r>
        <w:rPr>
          <w:b/>
          <w:bCs/>
        </w:rPr>
        <w:t xml:space="preserve">Anhang B</w:t>
      </w:r>
      <w:r>
        <w:t xml:space="preserve"> · Vor der Verwendung zu klären</w:t>
      </w:r>
    </w:p>
    <w:p>
      <w:pPr>
        <w:spacing w:after="200"/>
      </w:pPr>
    </w:p>
    <w:p>
      <w:pPr>
        <w:pStyle w:val="Heading1"/>
        <w:keepNext/>
        <w:pBdr>
          <w:bottom w:val="single" w:color="2E74B5" w:sz="6" w:space="2"/>
        </w:pBdr>
        <w:spacing w:after="120" w:before="240"/>
      </w:pPr>
      <w:r>
        <w:t xml:space="preserve">1 · Zusammenfassung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rPr>
        <w:tc>
          <w:tcPr>
            <w:tcW w:type="dxa" w:w="3212"/>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600.000–850.000</w:t>
            </w:r>
          </w:p>
          <w:p>
            <w:pPr>
              <w:spacing w:after="0" w:line="240"/>
            </w:pPr>
            <w:r>
              <w:rPr>
                <w:color w:val="595959"/>
                <w:sz w:val="17"/>
                <w:szCs w:val="17"/>
              </w:rPr>
              <w:t xml:space="preserve">aktive Männer auf solchen Apps im DACH-Raum (Schätzung)</w:t>
            </w:r>
          </w:p>
        </w:tc>
        <w:tc>
          <w:tcPr>
            <w:tcW w:type="dxa" w:w="3212"/>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7,56 €</w:t>
            </w:r>
          </w:p>
          <w:p>
            <w:pPr>
              <w:spacing w:after="0" w:line="240"/>
            </w:pPr>
            <w:r>
              <w:rPr>
                <w:color w:val="595959"/>
                <w:sz w:val="17"/>
                <w:szCs w:val="17"/>
              </w:rPr>
              <w:t xml:space="preserve">Nettoerlös je zahlendem Nutzer im Monat</w:t>
            </w:r>
          </w:p>
        </w:tc>
        <w:tc>
          <w:tcPr>
            <w:tcW w:type="dxa" w:w="3214"/>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1,97 €</w:t>
            </w:r>
          </w:p>
          <w:p>
            <w:pPr>
              <w:spacing w:after="0" w:line="240"/>
            </w:pPr>
            <w:r>
              <w:rPr>
                <w:color w:val="595959"/>
                <w:sz w:val="17"/>
                <w:szCs w:val="17"/>
              </w:rPr>
              <w:t xml:space="preserve">höchstens tragbare Akquisekosten je Nutzer</w:t>
            </w:r>
          </w:p>
        </w:tc>
      </w:tr>
      <w:tr>
        <w:trPr>
          <w:cantSplit/>
        </w:trPr>
        <w:tc>
          <w:tcPr>
            <w:tcW w:type="dxa" w:w="3212"/>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233.053 €</w:t>
            </w:r>
          </w:p>
          <w:p>
            <w:pPr>
              <w:spacing w:after="0" w:line="240"/>
            </w:pPr>
            <w:r>
              <w:rPr>
                <w:color w:val="595959"/>
                <w:sz w:val="17"/>
                <w:szCs w:val="17"/>
              </w:rPr>
              <w:t xml:space="preserve">Gesamtbedarf, gegen den geplant wird — Firma, Lebenshaltung, Krankenversicherung</w:t>
            </w:r>
          </w:p>
        </w:tc>
        <w:tc>
          <w:tcPr>
            <w:tcW w:type="dxa" w:w="3212"/>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Monat 28</w:t>
            </w:r>
          </w:p>
          <w:p>
            <w:pPr>
              <w:spacing w:after="0" w:line="240"/>
            </w:pPr>
            <w:r>
              <w:rPr>
                <w:color w:val="595959"/>
                <w:sz w:val="17"/>
                <w:szCs w:val="17"/>
              </w:rPr>
              <w:t xml:space="preserve">erster Monat mit Überschuss im realistischen Szenario</w:t>
            </w:r>
          </w:p>
        </w:tc>
        <w:tc>
          <w:tcPr>
            <w:tcW w:type="dxa" w:w="3214"/>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299</w:t>
            </w:r>
          </w:p>
          <w:p>
            <w:pPr>
              <w:spacing w:after="0" w:line="240"/>
            </w:pPr>
            <w:r>
              <w:rPr>
                <w:color w:val="595959"/>
                <w:sz w:val="17"/>
                <w:szCs w:val="17"/>
              </w:rPr>
              <w:t xml:space="preserve">Zahler decken die laufenden Kosten bei 5.000 aktiven Nutzern</w:t>
            </w:r>
          </w:p>
        </w:tc>
      </w:tr>
    </w:tbl>
    <w:p>
      <w:pPr>
        <w:spacing w:after="160"/>
      </w:pPr>
    </w:p>
    <w:p>
      <w:pPr>
        <w:keepNext w:val="false"/>
        <w:spacing w:after="120" w:before="0" w:line="276"/>
        <w:jc w:val="left"/>
      </w:pPr>
      <w:r>
        <w:rPr>
          <w:b/>
          <w:bCs/>
        </w:rPr>
        <w:t xml:space="preserve">Das Vorhaben.</w:t>
      </w:r>
      <w:r>
        <w:t xml:space="preserve"> Cruizy ist eine App für schwule, bisexuelle und queere Männer, die eine andere Frage beantwortet als der Marktführer. Grindr fragt: Wer ist in meiner Nähe? Cruizy fragt: Was passiert hier gerade, und wo bin ich willkommen? Neben den Profilen in der Nähe stehen die Orte der Szene — die Bar, die heute Abend läuft, die Laufgruppe am Donnerstag, die Party mit zwölf Zusagen. Die spontane Begegnung wird dabei vollständig bedient, ohne Beschönigung.</w:t>
      </w:r>
    </w:p>
    <w:p>
      <w:pPr>
        <w:keepNext w:val="false"/>
        <w:spacing w:after="120" w:before="0" w:line="276"/>
        <w:jc w:val="left"/>
      </w:pPr>
      <w:r>
        <w:rPr>
          <w:b/>
          <w:bCs/>
        </w:rPr>
        <w:t xml:space="preserve">Das Problem.</w:t>
      </w:r>
      <w:r>
        <w:t xml:space="preserve"> Wer eine solche App nutzt, gibt damit seine sexuelle Orientierung preis. Die großen Anbieter verdienen einen wachsenden Teil ihres Umsatzes mit Werbung und optimieren auf Verweildauer. Für Menschen, für die ein Datenleck ein Outing bedeuten kann, ist das kein Detail, sondern das Kernproblem.</w:t>
      </w:r>
    </w:p>
    <w:p>
      <w:pPr>
        <w:keepNext w:val="false"/>
        <w:spacing w:after="120" w:before="0" w:line="276"/>
        <w:jc w:val="left"/>
      </w:pPr>
      <w:r>
        <w:rPr>
          <w:b/>
          <w:bCs/>
        </w:rPr>
        <w:t xml:space="preserve">Die Antwort.</w:t>
      </w:r>
      <w:r>
        <w:t xml:space="preserve"> Drei Vorteile, die ein Konzern nicht einfach kopieren kann: Beziehungen zu rund vierzig Orten je Stadt, Datensouveränität mit deutschem Hosting ohne Werbung und Werbe-Tracking und eine Mechanik, die auch außerhalb der Großstädte funktioniert. Dazu sieben Prinzipien, die jede Produktentscheidung vorwegnehmen — etwa: Was schützt, kostet nie etwas.</w:t>
      </w:r>
    </w:p>
    <w:p>
      <w:pPr>
        <w:keepNext w:val="false"/>
        <w:spacing w:after="120" w:before="0" w:line="276"/>
        <w:jc w:val="left"/>
      </w:pPr>
      <w:r>
        <w:rPr>
          <w:b/>
          <w:bCs/>
        </w:rPr>
        <w:t xml:space="preserve">Das Geschäft.</w:t>
      </w:r>
      <w:r>
        <w:t xml:space="preserve"> Fünf Erlösquellen: Abonnements (PLUS 9 € und PRO 17 € im Monat, im Jahresabo 5,83 € und 11 € je Monat), ein Werkzeugabo für Orte und Veranstalter, ein Anteil an Tickets für Veranstaltungen, freiwillige Unterstützerbeiträge und eine Gesundheitspartnerschaft. Nicht verkauft werden Werbung, Daten und Sichtbarkeit — auch nicht an Orte. Am Ende des dritten Jahres kommen im realistischen Szenario 83 % der Erlöse aus Abonnements; die übrigen vier Quellen sind Reserve, nicht Grundlage.</w:t>
      </w:r>
    </w:p>
    <w:p>
      <w:pPr>
        <w:keepNext w:val="false"/>
        <w:spacing w:after="120" w:before="0" w:line="276"/>
        <w:jc w:val="left"/>
      </w:pPr>
      <w:r>
        <w:rPr>
          <w:b/>
          <w:bCs/>
        </w:rPr>
        <w:t xml:space="preserve">Der Weg in den Markt.</w:t>
      </w:r>
      <w:r>
        <w:t xml:space="preserve"> Organisch, weil sich bezahlte Werbung rechnerisch nicht trägt: Ein aktiver Nutzer bringt am Ende des dritten Jahres 0,33 € im Monat, tragbar sind deshalb höchstens 1,97 € Akquisekosten — bezahlte Anzeigen kosten 25 bis 150 € je aktivem Nutzer. Gestartet wird in Köln, zur CSD-Saison, und dort zuerst in einem einzigen Viertel.</w:t>
      </w:r>
    </w:p>
    <w:p>
      <w:pPr>
        <w:keepNext w:val="false"/>
        <w:spacing w:after="120" w:before="0" w:line="276"/>
        <w:jc w:val="left"/>
      </w:pPr>
      <w:r>
        <w:rPr>
          <w:b/>
          <w:bCs/>
        </w:rPr>
        <w:t xml:space="preserve">Die Zahlen.</w:t>
      </w:r>
      <w:r>
        <w:t xml:space="preserve"> Einmalkosten 55.900 €, Gesamtkosten über 36 Monate 313.819 € ohne Gehälter (realistisches Szenario). Der Kapitalbedarf der Firma liegt bei 160.253 €, je nach Prüfweg beim Jugendschutz zwischen 143.397 € und 245.841 €. Mit Lebenshaltung und Krankenversicherung beider Gründer bis zum Break-even sind es 233.053 € — die Zahl, gegen die geplant wird. Der Tiefpunkt der Kasse liegt in Monat 27, der erste Monat mit Überschuss ist Monat 28 (Handbuch B nennt Monat 21 bis 23; maßgeblich ist das eigene Modell, das die Beschlüsse vom September 2026 enthält).</w:t>
      </w:r>
    </w:p>
    <w:p>
      <w:pPr>
        <w:keepNext w:val="false"/>
        <w:spacing w:after="120" w:before="0" w:line="276"/>
        <w:jc w:val="left"/>
      </w:pPr>
      <w:r>
        <w:rPr>
          <w:b/>
          <w:bCs/>
        </w:rPr>
        <w:t xml:space="preserve">Team und Zeitplan.</w:t>
      </w:r>
      <w:r>
        <w:t xml:space="preserve"> Zwei Gründer mit getrennten Bereichen — Technik und Produktentwicklung, Marketing, Veranstaltungen und Partnerschaften —, die bis zum Start alles vorbereiten, was sich ohne Gesellschaft vorbereiten lässt: Rechtsfragen, Gespräche mit der Zielgruppe, Beziehungen zu Orten, eine vollständige Produktbeschreibung. Gegründet wird zum Start in der CSD-Saison, frühestens 2028; geplant wird mit einem Jahr später. Drei vorab festgelegte Prüftore entscheiden, ob weitergebaut wird.</w:t>
      </w:r>
    </w:p>
    <w:p>
      <w:pPr>
        <w:keepNext w:val="false"/>
        <w:spacing w:after="120" w:before="0" w:line="276"/>
        <w:jc w:val="left"/>
      </w:pPr>
      <w:r>
        <w:rPr>
          <w:b/>
          <w:bCs/>
        </w:rPr>
        <w:t xml:space="preserve">Was wir suchen.</w:t>
      </w:r>
      <w:r>
        <w:t xml:space="preserve"> [OFFEN: Förderart, Betrag und Verwendungszweck — je nach Antrag.]</w:t>
      </w:r>
    </w:p>
    <w:p>
      <w:pPr>
        <w:pStyle w:val="Heading1"/>
        <w:keepNext/>
        <w:pBdr>
          <w:bottom w:val="single" w:color="2E74B5" w:sz="6" w:space="2"/>
        </w:pBdr>
        <w:spacing w:after="120" w:before="240"/>
      </w:pPr>
      <w:r>
        <w:t xml:space="preserve">2 · Problem und Lösung</w:t>
      </w:r>
    </w:p>
    <w:p>
      <w:pPr>
        <w:pStyle w:val="Heading2"/>
        <w:keepNext/>
        <w:spacing w:after="80" w:before="200"/>
      </w:pPr>
      <w:r>
        <w:t xml:space="preserve">Das Problem</w:t>
      </w:r>
    </w:p>
    <w:p>
      <w:pPr>
        <w:pStyle w:val="ListParagraph"/>
        <w:numPr>
          <w:ilvl w:val="0"/>
          <w:numId w:val="3"/>
        </w:numPr>
        <w:spacing w:after="60" w:line="264"/>
      </w:pPr>
      <w:r>
        <w:rPr>
          <w:b/>
          <w:bCs/>
        </w:rPr>
        <w:t xml:space="preserve">Nutzung ist Offenbarung.</w:t>
      </w:r>
      <w:r>
        <w:t xml:space="preserve"> Schon die Registrierung lässt auf die sexuelle Orientierung schließen. Rechtlich sind das besondere Kategorien personenbezogener Daten (Art. 9 DSGVO). Praktisch heißt das: Ein Datenleck oder eine Vorschau auf dem Sperrbildschirm kann einen Menschen outen; eine zu genaue Entfernungsangabe verrät, wo er ist.</w:t>
      </w:r>
    </w:p>
    <w:p>
      <w:pPr>
        <w:pStyle w:val="ListParagraph"/>
        <w:numPr>
          <w:ilvl w:val="0"/>
          <w:numId w:val="3"/>
        </w:numPr>
        <w:spacing w:after="60" w:line="264"/>
      </w:pPr>
      <w:r>
        <w:rPr>
          <w:b/>
          <w:bCs/>
        </w:rPr>
        <w:t xml:space="preserve">Anreize gegen die Nutzer.</w:t>
      </w:r>
      <w:r>
        <w:t xml:space="preserve"> Werbung im Raster oder im Chat ist die meistgenannte Einzelbeschwerde. Zähler wie „Wer hat mich angesehen“ zeigen eine Zahl und verkaufen die Auflösung. Wer auf Verweildauer optimiert, verdient an Unruhe.</w:t>
      </w:r>
    </w:p>
    <w:p>
      <w:pPr>
        <w:pStyle w:val="ListParagraph"/>
        <w:numPr>
          <w:ilvl w:val="0"/>
          <w:numId w:val="3"/>
        </w:numPr>
        <w:spacing w:after="60" w:line="264"/>
      </w:pPr>
      <w:r>
        <w:rPr>
          <w:b/>
          <w:bCs/>
        </w:rPr>
        <w:t xml:space="preserve">Leere außerhalb der Großstädte.</w:t>
      </w:r>
      <w:r>
        <w:t xml:space="preserve"> Ein Echtzeit-Raster funktioniert nur dort, wo viele Menschen gleichzeitig online sind. Wer anderswo wohnt, sieht ein leeres Raster.</w:t>
      </w:r>
    </w:p>
    <w:p>
      <w:pPr>
        <w:pStyle w:val="ListParagraph"/>
        <w:numPr>
          <w:ilvl w:val="0"/>
          <w:numId w:val="3"/>
        </w:numPr>
        <w:spacing w:after="60" w:line="264"/>
      </w:pPr>
      <w:r>
        <w:rPr>
          <w:b/>
          <w:bCs/>
        </w:rPr>
        <w:t xml:space="preserve">Verschwinden statt Absagen.</w:t>
      </w:r>
      <w:r>
        <w:t xml:space="preserve"> Den meisten fehlt die Formulierung, nicht der Anstand. Wer nicht antwortet, hinterlässt Unsicherheit — ein Gestaltungsproblem, kein Charakterfehler.</w:t>
      </w:r>
    </w:p>
    <w:p>
      <w:pPr>
        <w:pStyle w:val="Heading2"/>
        <w:keepNext/>
        <w:spacing w:after="80" w:before="200"/>
      </w:pPr>
      <w:r>
        <w:t xml:space="preserve">Die Lösung</w:t>
      </w:r>
    </w:p>
    <w:p>
      <w:pPr>
        <w:keepNext w:val="false"/>
        <w:spacing w:after="120" w:before="0" w:line="276"/>
        <w:jc w:val="left"/>
      </w:pPr>
      <w:r>
        <w:t xml:space="preserve">Cruizy verbindet Menschen und Orte. Die App hat vier Bereiche: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3"/>
        <w:gridCol w:w="4590"/>
        <w:gridCol w:w="3365"/>
      </w:tblGrid>
      <w:tr>
        <w:trPr>
          <w:cantSplit/>
          <w:tblHeader/>
        </w:trPr>
        <w:tc>
          <w:tcPr>
            <w:tcW w:type="dxa" w:w="1683"/>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Bereich</w:t>
            </w:r>
          </w:p>
        </w:tc>
        <w:tc>
          <w:tcPr>
            <w:tcW w:type="dxa" w:w="459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Beantwortet</w:t>
            </w:r>
          </w:p>
        </w:tc>
        <w:tc>
          <w:tcPr>
            <w:tcW w:type="dxa" w:w="336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Enthält bewusst nicht</w:t>
            </w:r>
          </w:p>
        </w:tc>
      </w:tr>
      <w:tr>
        <w:trPr>
          <w:cantSplit/>
        </w:trPr>
        <w:tc>
          <w:tcPr>
            <w:tcW w:type="dxa" w:w="16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Nähe</w:t>
            </w:r>
            <w:r>
              <w:rPr>
                <w:sz w:val="17"/>
                <w:szCs w:val="17"/>
              </w:rPr>
              <w:t xml:space="preserve"> (Start)</w:t>
            </w:r>
          </w:p>
        </w:tc>
        <w:tc>
          <w:tcPr>
            <w:tcW w:type="dxa" w:w="45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Wer ist in meiner Umgebung und passt zu meiner Absicht?</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Werbung, Wischmechanik</w:t>
            </w:r>
          </w:p>
        </w:tc>
      </w:tr>
      <w:tr>
        <w:trPr>
          <w:cantSplit/>
        </w:trPr>
        <w:tc>
          <w:tcPr>
            <w:tcW w:type="dxa" w:w="16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7"/>
                <w:szCs w:val="17"/>
              </w:rPr>
              <w:t xml:space="preserve">Heute</w:t>
            </w:r>
          </w:p>
        </w:tc>
        <w:tc>
          <w:tcPr>
            <w:tcW w:type="dxa" w:w="45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Was passiert hier gerade — und wo lohnt es sich hinzugehen?</w:t>
            </w:r>
          </w:p>
        </w:tc>
        <w:tc>
          <w:tcPr>
            <w:tcW w:type="dxa" w:w="33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Einzelpins von Personen, Feed, Beiträge</w:t>
            </w:r>
          </w:p>
        </w:tc>
      </w:tr>
      <w:tr>
        <w:trPr>
          <w:cantSplit/>
        </w:trPr>
        <w:tc>
          <w:tcPr>
            <w:tcW w:type="dxa" w:w="16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Chats</w:t>
            </w:r>
          </w:p>
        </w:tc>
        <w:tc>
          <w:tcPr>
            <w:tcW w:type="dxa" w:w="45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Mit wem spreche ich gerade?</w:t>
            </w:r>
          </w:p>
        </w:tc>
        <w:tc>
          <w:tcPr>
            <w:tcW w:type="dxa" w:w="33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Werbung, Nachrichtenlimits, Lesebestätigung</w:t>
            </w:r>
          </w:p>
        </w:tc>
      </w:tr>
      <w:tr>
        <w:trPr>
          <w:cantSplit/>
        </w:trPr>
        <w:tc>
          <w:tcPr>
            <w:tcW w:type="dxa" w:w="168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7"/>
                <w:szCs w:val="17"/>
              </w:rPr>
              <w:t xml:space="preserve">Ich</w:t>
            </w:r>
          </w:p>
        </w:tc>
        <w:tc>
          <w:tcPr>
            <w:tcW w:type="dxa" w:w="459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Wer bin ich hier, was ist gespeichert, wie schütze ich mich?</w:t>
            </w:r>
          </w:p>
        </w:tc>
        <w:tc>
          <w:tcPr>
            <w:tcW w:type="dxa" w:w="33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Profilaufruf-Statistiken als Bezahlköder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Die fünf Sätze, die die App erklären</w:t>
            </w:r>
          </w:p>
          <w:p>
            <w:pPr>
              <w:pStyle w:val="ListParagraph"/>
              <w:numPr>
                <w:ilvl w:val="0"/>
                <w:numId w:val="2"/>
              </w:numPr>
              <w:spacing w:after="40" w:line="252"/>
            </w:pPr>
            <w:r>
              <w:rPr>
                <w:sz w:val="19"/>
                <w:szCs w:val="19"/>
              </w:rPr>
              <w:t xml:space="preserve">Dein Standort gehört dir, und du siehst jederzeit, wie genau er ist.</w:t>
            </w:r>
          </w:p>
          <w:p>
            <w:pPr>
              <w:pStyle w:val="ListParagraph"/>
              <w:numPr>
                <w:ilvl w:val="0"/>
                <w:numId w:val="2"/>
              </w:numPr>
              <w:spacing w:after="40" w:line="252"/>
            </w:pPr>
            <w:r>
              <w:rPr>
                <w:sz w:val="19"/>
                <w:szCs w:val="19"/>
              </w:rPr>
              <w:t xml:space="preserve">Dein Gesicht zeigst du, wem du willst — und bist trotzdem sichtbar.</w:t>
            </w:r>
          </w:p>
          <w:p>
            <w:pPr>
              <w:pStyle w:val="ListParagraph"/>
              <w:numPr>
                <w:ilvl w:val="0"/>
                <w:numId w:val="2"/>
              </w:numPr>
              <w:spacing w:after="40" w:line="252"/>
            </w:pPr>
            <w:r>
              <w:rPr>
                <w:sz w:val="19"/>
                <w:szCs w:val="19"/>
              </w:rPr>
              <w:t xml:space="preserve">Erste Nachricht: nur Text — und wir helfen dir dabei.</w:t>
            </w:r>
          </w:p>
          <w:p>
            <w:pPr>
              <w:pStyle w:val="ListParagraph"/>
              <w:numPr>
                <w:ilvl w:val="0"/>
                <w:numId w:val="2"/>
              </w:numPr>
              <w:spacing w:after="40" w:line="252"/>
            </w:pPr>
            <w:r>
              <w:rPr>
                <w:sz w:val="19"/>
                <w:szCs w:val="19"/>
              </w:rPr>
              <w:t xml:space="preserve">Absagen dauert einen Tipp und schadet dir nicht.</w:t>
            </w:r>
          </w:p>
          <w:p>
            <w:pPr>
              <w:pStyle w:val="ListParagraph"/>
              <w:numPr>
                <w:ilvl w:val="0"/>
                <w:numId w:val="2"/>
              </w:numPr>
              <w:spacing w:after="40" w:line="252"/>
            </w:pPr>
            <w:r>
              <w:rPr>
                <w:sz w:val="19"/>
                <w:szCs w:val="19"/>
              </w:rPr>
              <w:t xml:space="preserve">Was dich schützt, kostet nie etwas.</w:t>
            </w:r>
          </w:p>
        </w:tc>
      </w:tr>
    </w:tbl>
    <w:p>
      <w:pPr>
        <w:pStyle w:val="Heading3"/>
        <w:keepNext/>
        <w:spacing w:after="60" w:before="160"/>
      </w:pPr>
      <w:r>
        <w:t xml:space="preserve">Sieben Prinzipien — und was jedes kostet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4819"/>
        <w:gridCol w:w="2409"/>
      </w:tblGrid>
      <w:tr>
        <w:trPr>
          <w:cantSplit/>
          <w:tblHeader/>
        </w:trPr>
        <w:tc>
          <w:tcPr>
            <w:tcW w:type="dxa" w:w="241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Prinzip</w:t>
            </w:r>
          </w:p>
        </w:tc>
        <w:tc>
          <w:tcPr>
            <w:tcW w:type="dxa" w:w="481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Im Alltag</w:t>
            </w:r>
          </w:p>
        </w:tc>
        <w:tc>
          <w:tcPr>
            <w:tcW w:type="dxa" w:w="240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Preis</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1 · Keine dunklen Muster</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Kein künstlicher Mangel, keine Geisterprofile, nie ein blockierendes Fenster. Bezahlaufforderungen sind wegwischbar und kommen frühestens nach 30 Tagen wieder.</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niedrigere Konversion im ersten Jahr</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2 · Der Standort gehört dem Nutzer</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Ungenauigkeit ist Voreinstellung. Das Gerät erhält nie die genaue Position eines anderen.</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schwächeres Nähe-Gefühl als beim Marktführer</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3 · Ablehnung ohne Verletzung</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Freundlich absagen ist leichter als verschwinden.</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weniger offene Gespräche, weniger Nutzungszeit</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4 · Erfolg heißt Treffen</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Leitkennzahl ist die Zahl zustande gekommener Kontakte je Nutzer und Monat.</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strukturell kleiner Werbeumsatz</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5 · Alles Sichtbare ist erklärbar</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Sortierung benannt und umschaltbar, keine verdeckte Gewichtung.</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kein Optimieren über verdeckte Rangfolgen</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6 · Sicherheit ist Kernfunktion</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Nichts, was schützt, liegt hinter einer Bezahlschranke.</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ein naheliegender Umsatzhebel fällt weg</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7 · Eine Handlung, ein Ort</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Keine Funktion hat zwei Einstiegspunkte.</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langsamere Funktionsentwicklung</w:t>
            </w:r>
          </w:p>
        </w:tc>
      </w:tr>
    </w:tbl>
    <w:p>
      <w:pPr>
        <w:spacing w:after="80"/>
      </w:pPr>
    </w:p>
    <w:p>
      <w:pPr>
        <w:keepNext w:val="false"/>
        <w:spacing w:after="120" w:before="0" w:line="276"/>
        <w:jc w:val="left"/>
      </w:pPr>
      <w:r>
        <w:rPr>
          <w:b/>
          <w:bCs/>
        </w:rPr>
        <w:t xml:space="preserve">Prüffrage für jede neue Funktion:</w:t>
      </w:r>
      <w:r>
        <w:t xml:space="preserve"> Bringt sie mehr zustande gekommene Kontakte — oder nur mehr Zeit in der App? Führt sie nur zu mehr Zeit, wird sie nicht gebaut.</w:t>
      </w:r>
    </w:p>
    <w:p>
      <w:pPr>
        <w:pStyle w:val="Heading1"/>
        <w:keepNext/>
        <w:pBdr>
          <w:bottom w:val="single" w:color="2E74B5" w:sz="6" w:space="2"/>
        </w:pBdr>
        <w:spacing w:after="120" w:before="240"/>
      </w:pPr>
      <w:r>
        <w:t xml:space="preserve">3 · Markt und Wettbewerb</w:t>
      </w:r>
    </w:p>
    <w:p>
      <w:pPr>
        <w:keepNext w:val="false"/>
        <w:spacing w:after="120" w:before="0" w:line="276"/>
        <w:jc w:val="left"/>
      </w:pPr>
      <w:r>
        <w:t xml:space="preserve">Im deutschsprachigen Raum sind nach Schätzung </w:t>
      </w:r>
      <w:r>
        <w:rPr>
          <w:b/>
          <w:bCs/>
        </w:rPr>
        <w:t xml:space="preserve">600.000 bis 850.000 Männer</w:t>
      </w:r>
      <w:r>
        <w:t xml:space="preserve"> auf solchen Apps aktiv. Die meisten haben zwei bis vier Apps installiert; die Nutzerzahlen der Anbieter lassen sich deshalb nicht addieren.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8"/>
        <w:gridCol w:w="3076"/>
        <w:gridCol w:w="1128"/>
        <w:gridCol w:w="1641"/>
        <w:gridCol w:w="2665"/>
      </w:tblGrid>
      <w:tr>
        <w:trPr>
          <w:cantSplit/>
          <w:tblHeader/>
        </w:trPr>
        <w:tc>
          <w:tcPr>
            <w:tcW w:type="dxa" w:w="112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Anbieter</w:t>
            </w:r>
          </w:p>
        </w:tc>
        <w:tc>
          <w:tcPr>
            <w:tcW w:type="dxa" w:w="307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Positionierung</w:t>
            </w:r>
          </w:p>
        </w:tc>
        <w:tc>
          <w:tcPr>
            <w:tcW w:type="dxa" w:w="112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Preis DACH</w:t>
            </w:r>
          </w:p>
        </w:tc>
        <w:tc>
          <w:tcPr>
            <w:tcW w:type="dxa" w:w="164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Aktive Nutzer DACH (Schätzung)</w:t>
            </w:r>
          </w:p>
        </w:tc>
        <w:tc>
          <w:tcPr>
            <w:tcW w:type="dxa" w:w="266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Schwäche</w:t>
            </w:r>
          </w:p>
        </w:tc>
      </w:tr>
      <w:tr>
        <w:trPr>
          <w:cantSplit/>
        </w:trPr>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Grindr</w:t>
            </w:r>
          </w:p>
        </w:tc>
        <w:tc>
          <w:tcPr>
            <w:tcW w:type="dxa" w:w="30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Standortbasiertes Raster, Richtung Karte, Absichten, Gesundheit; börsennotiert</w:t>
            </w:r>
          </w:p>
        </w:tc>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12–40 €</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300.000–450.000</w:t>
            </w:r>
          </w:p>
        </w:tc>
        <w:tc>
          <w:tcPr>
            <w:tcW w:type="dxa" w:w="26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Preiserhöhungen, Datenschutz-Vorgeschichte, US-Konzern</w:t>
            </w:r>
          </w:p>
        </w:tc>
      </w:tr>
      <w:tr>
        <w:trPr>
          <w:cantSplit/>
        </w:trPr>
        <w:tc>
          <w:tcPr>
            <w:tcW w:type="dxa" w:w="11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ROMEO</w:t>
            </w:r>
          </w:p>
        </w:tc>
        <w:tc>
          <w:tcPr>
            <w:tcW w:type="dxa" w:w="30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Community und Profiltiefe, EU-Sitz</w:t>
            </w:r>
          </w:p>
        </w:tc>
        <w:tc>
          <w:tcPr>
            <w:tcW w:type="dxa" w:w="11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5–9 €</w:t>
            </w:r>
          </w:p>
        </w:tc>
        <w:tc>
          <w:tcPr>
            <w:tcW w:type="dxa" w:w="164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120.000–200.000</w:t>
            </w:r>
          </w:p>
        </w:tc>
        <w:tc>
          <w:tcPr>
            <w:tcW w:type="dxa" w:w="26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optisch und funktional gealtert, verliert Jüngere</w:t>
            </w:r>
          </w:p>
        </w:tc>
      </w:tr>
      <w:tr>
        <w:trPr>
          <w:cantSplit/>
        </w:trPr>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Sniffies</w:t>
            </w:r>
          </w:p>
        </w:tc>
        <w:tc>
          <w:tcPr>
            <w:tcW w:type="dxa" w:w="30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Kartenbasiertes Cruising, web-basiert; Match Group mit 100 Mio. $ beteiligt (April 2026)</w:t>
            </w:r>
          </w:p>
        </w:tc>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weitgehend frei</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60.000–120.000</w:t>
            </w:r>
          </w:p>
        </w:tc>
        <w:tc>
          <w:tcPr>
            <w:tcW w:type="dxa" w:w="26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aus Apples App Store entfernt, schwache Moderation</w:t>
            </w:r>
          </w:p>
        </w:tc>
      </w:tr>
      <w:tr>
        <w:trPr>
          <w:cantSplit/>
        </w:trPr>
        <w:tc>
          <w:tcPr>
            <w:tcW w:type="dxa" w:w="11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SCRUFF</w:t>
            </w:r>
          </w:p>
        </w:tc>
        <w:tc>
          <w:tcPr>
            <w:tcW w:type="dxa" w:w="30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älter, starke Reisefunktionen</w:t>
            </w:r>
          </w:p>
        </w:tc>
        <w:tc>
          <w:tcPr>
            <w:tcW w:type="dxa" w:w="11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15–20 €</w:t>
            </w:r>
          </w:p>
        </w:tc>
        <w:tc>
          <w:tcPr>
            <w:tcW w:type="dxa" w:w="164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50.000–90.000</w:t>
            </w:r>
          </w:p>
        </w:tc>
        <w:tc>
          <w:tcPr>
            <w:tcW w:type="dxa" w:w="26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wächst kaum in DACH, kein Kartenprodukt</w:t>
            </w:r>
          </w:p>
        </w:tc>
      </w:tr>
      <w:tr>
        <w:trPr>
          <w:cantSplit/>
        </w:trPr>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Hornet</w:t>
            </w:r>
          </w:p>
        </w:tc>
        <w:tc>
          <w:tcPr>
            <w:tcW w:type="dxa" w:w="30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soziales Netzwerk plus Dating</w:t>
            </w:r>
          </w:p>
        </w:tc>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9–13 €</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25.000–50.000</w:t>
            </w:r>
          </w:p>
        </w:tc>
        <w:tc>
          <w:tcPr>
            <w:tcW w:type="dxa" w:w="26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in DACH kaum sichtbar</w:t>
            </w:r>
          </w:p>
        </w:tc>
      </w:tr>
      <w:tr>
        <w:trPr>
          <w:cantSplit/>
        </w:trPr>
        <w:tc>
          <w:tcPr>
            <w:tcW w:type="dxa" w:w="11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Taimi</w:t>
            </w:r>
          </w:p>
        </w:tc>
        <w:tc>
          <w:tcPr>
            <w:tcW w:type="dxa" w:w="307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ganze LGBTQ+-Gemeinschaft</w:t>
            </w:r>
          </w:p>
        </w:tc>
        <w:tc>
          <w:tcPr>
            <w:tcW w:type="dxa" w:w="11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3,50–40 €</w:t>
            </w:r>
          </w:p>
        </w:tc>
        <w:tc>
          <w:tcPr>
            <w:tcW w:type="dxa" w:w="164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15.000–35.000</w:t>
            </w:r>
          </w:p>
        </w:tc>
        <w:tc>
          <w:tcPr>
            <w:tcW w:type="dxa" w:w="26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kein Cruising-Anwendungsfall</w:t>
            </w:r>
          </w:p>
        </w:tc>
      </w:tr>
      <w:tr>
        <w:trPr>
          <w:cantSplit/>
        </w:trPr>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Jack’d</w:t>
            </w:r>
          </w:p>
        </w:tc>
        <w:tc>
          <w:tcPr>
            <w:tcW w:type="dxa" w:w="30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inklusiver Gegenentwurf</w:t>
            </w:r>
          </w:p>
        </w:tc>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10–15 €</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8.000–20.000</w:t>
            </w:r>
          </w:p>
        </w:tc>
        <w:tc>
          <w:tcPr>
            <w:tcW w:type="dxa" w:w="26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in DACH praktisch bedeutungslos</w:t>
            </w:r>
          </w:p>
        </w:tc>
      </w:tr>
    </w:tbl>
    <w:p>
      <w:pPr>
        <w:spacing w:after="100"/>
      </w:pPr>
    </w:p>
    <w:p>
      <w:pPr>
        <w:keepNext w:val="false"/>
        <w:spacing w:after="120" w:before="0" w:line="276"/>
        <w:jc w:val="left"/>
      </w:pPr>
      <w:r>
        <w:rPr>
          <w:b/>
          <w:bCs/>
        </w:rPr>
        <w:t xml:space="preserve">Der Markt wird konsolidiert, nicht erschlossen.</w:t>
      </w:r>
      <w:r>
        <w:t xml:space="preserve"> Grindr meldete für das erste Quartal 2026 rund 130 Mio. $ Umsatz bei etwa 45 % bereinigter Marge. Für das zweite Quartal nannte das Unternehmen am 06.08.2026 138 Mio. $ Umsatz (+33 %) und ein Wachstum der Werbeerlöse um 44 %. Match Group investierte im April 2026 100 Mio. $ in Sniffies und stellte die eigene Schwulen-App ein.</w:t>
      </w:r>
    </w:p>
    <w:p>
      <w:pPr>
        <w:keepNext w:val="false"/>
        <w:spacing w:after="120" w:before="0" w:line="276"/>
        <w:jc w:val="left"/>
      </w:pPr>
      <w:r>
        <w:rPr>
          <w:b/>
          <w:bCs/>
        </w:rPr>
        <w:t xml:space="preserve">Was daraus ehrlich folgt.</w:t>
      </w:r>
      <w:r>
        <w:t xml:space="preserve"> Ein hochprofitabler Marktführer investiert in genau die Funktionen, die wir bauen wollen. Unsere Vorteile sind Nischenvorteile: Sie machen Cruizy in einer Stadt gewinnbar, nicht im ganzen Markt. Deshalb die feste Reihenfolge der Städte, und deshalb der Start in einem einzigen Viertel.</w:t>
      </w:r>
    </w:p>
    <w:p>
      <w:pPr>
        <w:keepNext w:val="false"/>
        <w:spacing w:after="120" w:before="0" w:line="276"/>
        <w:jc w:val="left"/>
      </w:pPr>
      <w:r>
        <w:rPr>
          <w:b/>
          <w:bCs/>
        </w:rPr>
        <w:t xml:space="preserve">Warum der Werbeanteil für uns arbeitet.</w:t>
      </w:r>
      <w:r>
        <w:t xml:space="preserve"> Je mehr ein Anbieter an Werbung verdient, desto teurer wird für ihn der Verzicht auf Werbe-Tracking. Für Cruizy ist Datensparsamkeit das Geschäftsmodell, für den Marktführer wäre sie ein Umsatzverlust und ein Umbau der Architektur.</w:t>
      </w:r>
    </w:p>
    <w:p>
      <w:pPr>
        <w:pStyle w:val="Heading3"/>
        <w:keepNext/>
        <w:spacing w:after="60" w:before="160"/>
      </w:pPr>
      <w:r>
        <w:t xml:space="preserve">Reihenfolge der Städte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0"/>
        <w:gridCol w:w="1948"/>
        <w:gridCol w:w="1641"/>
        <w:gridCol w:w="1230"/>
        <w:gridCol w:w="4409"/>
      </w:tblGrid>
      <w:tr>
        <w:trPr>
          <w:cantSplit/>
          <w:tblHeader/>
        </w:trPr>
        <w:tc>
          <w:tcPr>
            <w:tcW w:type="dxa" w:w="41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t>
            </w:r>
          </w:p>
        </w:tc>
        <w:tc>
          <w:tcPr>
            <w:tcW w:type="dxa" w:w="194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Markt</w:t>
            </w:r>
          </w:p>
        </w:tc>
        <w:tc>
          <w:tcPr>
            <w:tcW w:type="dxa" w:w="164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Zielgruppe (Schätzung)</w:t>
            </w:r>
          </w:p>
        </w:tc>
        <w:tc>
          <w:tcPr>
            <w:tcW w:type="dxa" w:w="123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Schwelle (MAU)</w:t>
            </w:r>
          </w:p>
        </w:tc>
        <w:tc>
          <w:tcPr>
            <w:tcW w:type="dxa" w:w="440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Begründung</w:t>
            </w:r>
          </w:p>
        </w:tc>
      </w:tr>
      <w:tr>
        <w:trPr>
          <w:cantSplit/>
        </w:trPr>
        <w:tc>
          <w:tcPr>
            <w:tcW w:type="dxa" w:w="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w:t>
            </w:r>
          </w:p>
        </w:tc>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Köln und Rheinschiene</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75.000–95.000</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5.000</w:t>
            </w:r>
          </w:p>
        </w:tc>
        <w:tc>
          <w:tcPr>
            <w:tcW w:type="dxa" w:w="44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kompakteste Szenengeografie Deutschlands; ColognePride als größter einzelner Akquisemoment im deutschsprachigen Raum; drei weitere Städte in 40 Bahnminuten</w:t>
            </w:r>
          </w:p>
        </w:tc>
      </w:tr>
      <w:tr>
        <w:trPr>
          <w:cantSplit/>
        </w:trPr>
        <w:tc>
          <w:tcPr>
            <w:tcW w:type="dxa" w:w="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w:t>
            </w:r>
          </w:p>
        </w:tc>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Berlin</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130.000–165.000</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8.000</w:t>
            </w:r>
          </w:p>
        </w:tc>
        <w:tc>
          <w:tcPr>
            <w:tcW w:type="dxa" w:w="44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größter Markt, aber tiefste Mehrfachnutzung und dichteste Konkurrenz — bewusst nicht zuerst</w:t>
            </w:r>
          </w:p>
        </w:tc>
      </w:tr>
      <w:tr>
        <w:trPr>
          <w:cantSplit/>
        </w:trPr>
        <w:tc>
          <w:tcPr>
            <w:tcW w:type="dxa" w:w="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3</w:t>
            </w:r>
          </w:p>
        </w:tc>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Hamburg</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50.000–65.000</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5.000</w:t>
            </w:r>
          </w:p>
        </w:tc>
        <w:tc>
          <w:tcPr>
            <w:tcW w:type="dxa" w:w="44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St. Georg als konzentriertes Szeneviertel</w:t>
            </w:r>
          </w:p>
        </w:tc>
      </w:tr>
      <w:tr>
        <w:trPr>
          <w:cantSplit/>
        </w:trPr>
        <w:tc>
          <w:tcPr>
            <w:tcW w:type="dxa" w:w="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4</w:t>
            </w:r>
          </w:p>
        </w:tc>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München</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42.000–55.000</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5.000</w:t>
            </w:r>
          </w:p>
        </w:tc>
        <w:tc>
          <w:tcPr>
            <w:tcW w:type="dxa" w:w="44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höchster Erlös je Nutzer im DACH-Raum</w:t>
            </w:r>
          </w:p>
        </w:tc>
      </w:tr>
      <w:tr>
        <w:trPr>
          <w:cantSplit/>
        </w:trPr>
        <w:tc>
          <w:tcPr>
            <w:tcW w:type="dxa" w:w="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w:t>
            </w:r>
          </w:p>
        </w:tc>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Frankfurt/Rhein-Main</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50.000–65.000</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4.000</w:t>
            </w:r>
          </w:p>
        </w:tc>
        <w:tc>
          <w:tcPr>
            <w:tcW w:type="dxa" w:w="44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viele Geschäftsreisende — dieselbe Gruppe, die Reisefunktionen bezahlt</w:t>
            </w:r>
          </w:p>
        </w:tc>
      </w:tr>
      <w:tr>
        <w:trPr>
          <w:cantSplit/>
        </w:trPr>
        <w:tc>
          <w:tcPr>
            <w:tcW w:type="dxa" w:w="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6</w:t>
            </w:r>
          </w:p>
        </w:tc>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Wien</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50.000–65.000</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5.000</w:t>
            </w:r>
          </w:p>
        </w:tc>
        <w:tc>
          <w:tcPr>
            <w:tcW w:type="dxa" w:w="44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deutschsprachig; ROMEO stärker als Grindr</w:t>
            </w:r>
          </w:p>
        </w:tc>
      </w:tr>
      <w:tr>
        <w:trPr>
          <w:cantSplit/>
        </w:trPr>
        <w:tc>
          <w:tcPr>
            <w:tcW w:type="dxa" w:w="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7</w:t>
            </w:r>
          </w:p>
        </w:tc>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Zürich/Basel</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35.000–45.000</w:t>
            </w:r>
          </w:p>
        </w:tc>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3.500</w:t>
            </w:r>
          </w:p>
        </w:tc>
        <w:tc>
          <w:tcPr>
            <w:tcW w:type="dxa" w:w="44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kleinster Markt, höchste Kaufkraft</w:t>
            </w:r>
          </w:p>
        </w:tc>
      </w:tr>
    </w:tbl>
    <w:p>
      <w:pPr>
        <w:spacing w:after="100"/>
      </w:pPr>
    </w:p>
    <w:p>
      <w:pPr>
        <w:keepNext w:val="false"/>
        <w:spacing w:after="120" w:before="0" w:line="276"/>
        <w:jc w:val="left"/>
      </w:pPr>
      <w:r>
        <w:rPr>
          <w:b/>
          <w:bCs/>
        </w:rPr>
        <w:t xml:space="preserve">Der Kaltstart.</w:t>
      </w:r>
      <w:r>
        <w:t xml:space="preserve"> Das erste Ziel ist nicht „5.000 Nutzer in Köln“, sondern </w:t>
      </w:r>
      <w:r>
        <w:rPr>
          <w:b/>
          <w:bCs/>
        </w:rPr>
        <w:t xml:space="preserve">300 Nutzer im Umkreis von 500 Metern um die Schaafenstraße an einem Samstagabend</w:t>
      </w:r>
      <w:r>
        <w:t xml:space="preserve">. Auf 500 Metern fühlen sich 300 Menschen wie eine volle App an, über ganz Köln verteilt wie eine leere. Dichte ist ein Verhältnis zur Fläche — und die Fläche ist die einzige Größe, die wir am Anfang selbst bestimmen.</w:t>
      </w:r>
    </w:p>
    <w:p>
      <w:pPr>
        <w:pStyle w:val="Heading1"/>
        <w:keepNext/>
        <w:pBdr>
          <w:bottom w:val="single" w:color="2E74B5" w:sz="6" w:space="2"/>
        </w:pBdr>
        <w:spacing w:after="120" w:before="240"/>
      </w:pPr>
      <w:r>
        <w:t xml:space="preserve">4 · Produkt und Technik</w:t>
      </w:r>
    </w:p>
    <w:p>
      <w:pPr>
        <w:keepNext w:val="false"/>
        <w:spacing w:after="120" w:before="0" w:line="276"/>
        <w:jc w:val="left"/>
      </w:pPr>
      <w:r>
        <w:t xml:space="preserve">Die Produktbeschreibung umfasst </w:t>
      </w:r>
      <w:r>
        <w:rPr>
          <w:b/>
          <w:bCs/>
        </w:rPr>
        <w:t xml:space="preserve">75 Funktionen</w:t>
      </w:r>
      <w:r>
        <w:t xml:space="preserve"> — die 74 aus Handbuch A und „Hilfe und Kontakt“, die seit dem 19.09.2026 zum ersten Produkt gehört. </w:t>
      </w:r>
      <w:r>
        <w:rPr>
          <w:b/>
          <w:bCs/>
        </w:rPr>
        <w:t xml:space="preserve">55</w:t>
      </w:r>
      <w:r>
        <w:t xml:space="preserve"> davon gehören nach dem Funktionskatalog zum ersten Produkt, </w:t>
      </w:r>
      <w:r>
        <w:rPr>
          <w:b/>
          <w:bCs/>
        </w:rPr>
        <w:t xml:space="preserve">15</w:t>
      </w:r>
      <w:r>
        <w:t xml:space="preserve"> sind bewusst gestrichen, </w:t>
      </w:r>
      <w:r>
        <w:rPr>
          <w:b/>
          <w:bCs/>
        </w:rPr>
        <w:t xml:space="preserve">13</w:t>
      </w:r>
      <w:r>
        <w:t xml:space="preserve"> gelten als Alleinstellungsmerkmale. Beschrieben sind sie mit 674 prüfbaren Akzeptanzkriterien.</w:t>
      </w:r>
    </w:p>
    <w:p>
      <w:pPr>
        <w:pStyle w:val="Heading3"/>
        <w:keepNext/>
        <w:spacing w:after="60" w:before="160"/>
      </w:pPr>
      <w:r>
        <w:t xml:space="preserve">Drei verteidigbare Positionen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0"/>
        <w:gridCol w:w="3954"/>
        <w:gridCol w:w="3954"/>
      </w:tblGrid>
      <w:tr>
        <w:trPr>
          <w:cantSplit/>
          <w:tblHeader/>
        </w:trPr>
        <w:tc>
          <w:tcPr>
            <w:tcW w:type="dxa" w:w="173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Vorteil</w:t>
            </w:r>
          </w:p>
        </w:tc>
        <w:tc>
          <w:tcPr>
            <w:tcW w:type="dxa" w:w="395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Worin er besteht</w:t>
            </w:r>
          </w:p>
        </w:tc>
        <w:tc>
          <w:tcPr>
            <w:tcW w:type="dxa" w:w="395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Warum er nicht kopierbar ist</w:t>
            </w:r>
          </w:p>
        </w:tc>
      </w:tr>
      <w:tr>
        <w:trPr>
          <w:cantSplit/>
        </w:trPr>
        <w:tc>
          <w:tcPr>
            <w:tcW w:type="dxa" w:w="17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Ortsbeziehungen</w:t>
            </w:r>
          </w:p>
        </w:tc>
        <w:tc>
          <w:tcPr>
            <w:tcW w:type="dxa" w:w="39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Vierzig Einzelvereinbarungen je Stadt, aus denen Verzeichnis, Ereignisse, Auslastung, Treffpunktvorschlag, Sicherheit und Vertriebskanal gleichzeitig entstehen.</w:t>
            </w:r>
          </w:p>
        </w:tc>
        <w:tc>
          <w:tcPr>
            <w:tcW w:type="dxa" w:w="39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Nicht wegen der Technik, sondern wegen der Arbeit. Ein US-Konzern verhandelt keine vierzig Verträge mit Kölner Läden. Ein Team vor Ort schon.</w:t>
            </w:r>
          </w:p>
        </w:tc>
      </w:tr>
      <w:tr>
        <w:trPr>
          <w:cantSplit/>
        </w:trPr>
        <w:tc>
          <w:tcPr>
            <w:tcW w:type="dxa" w:w="17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Datensouveränität</w:t>
            </w:r>
          </w:p>
        </w:tc>
        <w:tc>
          <w:tcPr>
            <w:tcW w:type="dxa" w:w="39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Deutsches Hosting, kein US-Auftragsverarbeiter, kein Werbe-Tracking, Standortunschärfe auf dem Server.</w:t>
            </w:r>
          </w:p>
        </w:tc>
        <w:tc>
          <w:tcPr>
            <w:tcW w:type="dxa" w:w="39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Für einen werbefinanzierten Anbieter geschäftsmodellwidrig: Eine Umstellung kostet Umsatz und bricht die Architektur.</w:t>
            </w:r>
          </w:p>
        </w:tc>
      </w:tr>
      <w:tr>
        <w:trPr>
          <w:cantSplit/>
        </w:trPr>
        <w:tc>
          <w:tcPr>
            <w:tcW w:type="dxa" w:w="17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Die Nicht-Großstadt</w:t>
            </w:r>
          </w:p>
        </w:tc>
        <w:tc>
          <w:tcPr>
            <w:tcW w:type="dxa" w:w="39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Mechanik für Regionen ohne Echtzeit-Dichte: Wochenaktive, elastisches Raster, Reiseankündigung.</w:t>
            </w:r>
          </w:p>
        </w:tc>
        <w:tc>
          <w:tcPr>
            <w:tcW w:type="dxa" w:w="39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Das Echtzeit-Raster ist das Produkt des Marktführers. Ein Modus ohne lokale Dichte widerspricht seiner Kernmechanik.</w:t>
            </w:r>
          </w:p>
        </w:tc>
      </w:tr>
    </w:tbl>
    <w:p>
      <w:pPr>
        <w:pStyle w:val="Heading3"/>
        <w:keepNext/>
        <w:spacing w:after="60" w:before="160"/>
      </w:pPr>
      <w:r>
        <w:t xml:space="preserve">Die dreizehn Alleinstellungsmerkmale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8"/>
        <w:gridCol w:w="2318"/>
        <w:gridCol w:w="5734"/>
        <w:gridCol w:w="1098"/>
      </w:tblGrid>
      <w:tr>
        <w:trPr>
          <w:cantSplit/>
          <w:tblHeader/>
        </w:trPr>
        <w:tc>
          <w:tcPr>
            <w:tcW w:type="dxa" w:w="48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t>
            </w:r>
          </w:p>
        </w:tc>
        <w:tc>
          <w:tcPr>
            <w:tcW w:type="dxa" w:w="231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Merkmal</w:t>
            </w:r>
          </w:p>
        </w:tc>
        <w:tc>
          <w:tcPr>
            <w:tcW w:type="dxa" w:w="573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Kern</w:t>
            </w:r>
          </w:p>
        </w:tc>
        <w:tc>
          <w:tcPr>
            <w:tcW w:type="dxa" w:w="109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Kopierbar?</w:t>
            </w:r>
          </w:p>
        </w:tc>
      </w:tr>
      <w:tr>
        <w:trPr>
          <w:cantSplit/>
        </w:trPr>
        <w:tc>
          <w:tcPr>
            <w:tcW w:type="dxa" w:w="4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01</w:t>
            </w:r>
          </w:p>
        </w:tc>
        <w:tc>
          <w:tcPr>
            <w:tcW w:type="dxa" w:w="23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Ortsbeziehungen</w:t>
            </w:r>
          </w:p>
        </w:tc>
        <w:tc>
          <w:tcPr>
            <w:tcW w:type="dxa" w:w="5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Vierzig Vereinbarungen je Stadt, aus denen sechs Produktfunktionen und der Vertriebskanal zugleich entstehen</w:t>
            </w:r>
          </w:p>
        </w:tc>
        <w:tc>
          <w:tcPr>
            <w:tcW w:type="dxa" w:w="10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nein</w:t>
            </w:r>
          </w:p>
        </w:tc>
      </w:tr>
      <w:tr>
        <w:trPr>
          <w:cantSplit/>
        </w:trPr>
        <w:tc>
          <w:tcPr>
            <w:tcW w:type="dxa" w:w="4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02</w:t>
            </w:r>
          </w:p>
        </w:tc>
        <w:tc>
          <w:tcPr>
            <w:tcW w:type="dxa" w:w="23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Datensouveränität</w:t>
            </w:r>
          </w:p>
        </w:tc>
        <w:tc>
          <w:tcPr>
            <w:tcW w:type="dxa" w:w="573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deutsches Hosting, kein US-Auftragsverarbeiter, kein Werbe-Tracking</w:t>
            </w:r>
          </w:p>
        </w:tc>
        <w:tc>
          <w:tcPr>
            <w:tcW w:type="dxa" w:w="109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nein</w:t>
            </w:r>
          </w:p>
        </w:tc>
      </w:tr>
      <w:tr>
        <w:trPr>
          <w:cantSplit/>
        </w:trPr>
        <w:tc>
          <w:tcPr>
            <w:tcW w:type="dxa" w:w="4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03</w:t>
            </w:r>
          </w:p>
        </w:tc>
        <w:tc>
          <w:tcPr>
            <w:tcW w:type="dxa" w:w="23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Privates Profilbild</w:t>
            </w:r>
          </w:p>
        </w:tc>
        <w:tc>
          <w:tcPr>
            <w:tcW w:type="dxa" w:w="5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unumkehrbar weichgezeichnet plus Prüfabzeichen — aus „kein Gesicht = verdächtig“ wird „geprüft, aber vorsichtig“</w:t>
            </w:r>
          </w:p>
        </w:tc>
        <w:tc>
          <w:tcPr>
            <w:tcW w:type="dxa" w:w="10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schwer</w:t>
            </w:r>
          </w:p>
        </w:tc>
      </w:tr>
      <w:tr>
        <w:trPr>
          <w:cantSplit/>
        </w:trPr>
        <w:tc>
          <w:tcPr>
            <w:tcW w:type="dxa" w:w="4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04</w:t>
            </w:r>
          </w:p>
        </w:tc>
        <w:tc>
          <w:tcPr>
            <w:tcW w:type="dxa" w:w="23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Antwortquote</w:t>
            </w:r>
          </w:p>
        </w:tc>
        <w:tc>
          <w:tcPr>
            <w:tcW w:type="dxa" w:w="573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ersetzt den grünen Punkt und senkt die Zahl unbeantworteter Nachrichten</w:t>
            </w:r>
          </w:p>
        </w:tc>
        <w:tc>
          <w:tcPr>
            <w:tcW w:type="dxa" w:w="109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nein</w:t>
            </w:r>
          </w:p>
        </w:tc>
      </w:tr>
      <w:tr>
        <w:trPr>
          <w:cantSplit/>
        </w:trPr>
        <w:tc>
          <w:tcPr>
            <w:tcW w:type="dxa" w:w="4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05</w:t>
            </w:r>
          </w:p>
        </w:tc>
        <w:tc>
          <w:tcPr>
            <w:tcW w:type="dxa" w:w="23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Erstkontakt nur Text</w:t>
            </w:r>
          </w:p>
        </w:tc>
        <w:tc>
          <w:tcPr>
            <w:tcW w:type="dxa" w:w="5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strukturelle statt nachträglicher Lösung gegen unaufgeforderte Intimbilder</w:t>
            </w:r>
          </w:p>
        </w:tc>
        <w:tc>
          <w:tcPr>
            <w:tcW w:type="dxa" w:w="10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leicht</w:t>
            </w:r>
          </w:p>
        </w:tc>
      </w:tr>
      <w:tr>
        <w:trPr>
          <w:cantSplit/>
        </w:trPr>
        <w:tc>
          <w:tcPr>
            <w:tcW w:type="dxa" w:w="4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06</w:t>
            </w:r>
          </w:p>
        </w:tc>
        <w:tc>
          <w:tcPr>
            <w:tcW w:type="dxa" w:w="23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Höflicher Ausstieg</w:t>
            </w:r>
          </w:p>
        </w:tc>
        <w:tc>
          <w:tcPr>
            <w:tcW w:type="dxa" w:w="573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Absagen dauert einen Tipp und schützt die eigene Antwortquote</w:t>
            </w:r>
          </w:p>
        </w:tc>
        <w:tc>
          <w:tcPr>
            <w:tcW w:type="dxa" w:w="109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schwer</w:t>
            </w:r>
          </w:p>
        </w:tc>
      </w:tr>
      <w:tr>
        <w:trPr>
          <w:cantSplit/>
        </w:trPr>
        <w:tc>
          <w:tcPr>
            <w:tcW w:type="dxa" w:w="4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07</w:t>
            </w:r>
          </w:p>
        </w:tc>
        <w:tc>
          <w:tcPr>
            <w:tcW w:type="dxa" w:w="23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Standort-Souveränität</w:t>
            </w:r>
          </w:p>
        </w:tc>
        <w:tc>
          <w:tcPr>
            <w:tcW w:type="dxa" w:w="5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Genauigkeitsstufe dauerhaft sichtbar, Zonen, Unschärfe auf dem Server</w:t>
            </w:r>
          </w:p>
        </w:tc>
        <w:tc>
          <w:tcPr>
            <w:tcW w:type="dxa" w:w="10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schwer</w:t>
            </w:r>
          </w:p>
        </w:tc>
      </w:tr>
      <w:tr>
        <w:trPr>
          <w:cantSplit/>
        </w:trPr>
        <w:tc>
          <w:tcPr>
            <w:tcW w:type="dxa" w:w="4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08</w:t>
            </w:r>
          </w:p>
        </w:tc>
        <w:tc>
          <w:tcPr>
            <w:tcW w:type="dxa" w:w="23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Sicherheitszentrum</w:t>
            </w:r>
          </w:p>
        </w:tc>
        <w:tc>
          <w:tcPr>
            <w:tcW w:type="dxa" w:w="573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Check-in, Treffpunktvorschlag, Schnellverstecken, Tarnung — kostenlos</w:t>
            </w:r>
          </w:p>
        </w:tc>
        <w:tc>
          <w:tcPr>
            <w:tcW w:type="dxa" w:w="109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schwer</w:t>
            </w:r>
          </w:p>
        </w:tc>
      </w:tr>
      <w:tr>
        <w:trPr>
          <w:cantSplit/>
        </w:trPr>
        <w:tc>
          <w:tcPr>
            <w:tcW w:type="dxa" w:w="4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09</w:t>
            </w:r>
          </w:p>
        </w:tc>
        <w:tc>
          <w:tcPr>
            <w:tcW w:type="dxa" w:w="23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Absicht mit Ablauf</w:t>
            </w:r>
          </w:p>
        </w:tc>
        <w:tc>
          <w:tcPr>
            <w:tcW w:type="dxa" w:w="5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verfallende Absicht statt statischem „Ich suche“</w:t>
            </w:r>
          </w:p>
        </w:tc>
        <w:tc>
          <w:tcPr>
            <w:tcW w:type="dxa" w:w="10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leicht</w:t>
            </w:r>
          </w:p>
        </w:tc>
      </w:tr>
      <w:tr>
        <w:trPr>
          <w:cantSplit/>
        </w:trPr>
        <w:tc>
          <w:tcPr>
            <w:tcW w:type="dxa" w:w="4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10</w:t>
            </w:r>
          </w:p>
        </w:tc>
        <w:tc>
          <w:tcPr>
            <w:tcW w:type="dxa" w:w="23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Drei Verifizierungsstufen</w:t>
            </w:r>
          </w:p>
        </w:tc>
        <w:tc>
          <w:tcPr>
            <w:tcW w:type="dxa" w:w="573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Altersprüfung vor der ersten Nachricht: Wer schreibt, ist geprüft — kostenlos</w:t>
            </w:r>
          </w:p>
        </w:tc>
        <w:tc>
          <w:tcPr>
            <w:tcW w:type="dxa" w:w="109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schwer</w:t>
            </w:r>
          </w:p>
        </w:tc>
      </w:tr>
      <w:tr>
        <w:trPr>
          <w:cantSplit/>
        </w:trPr>
        <w:tc>
          <w:tcPr>
            <w:tcW w:type="dxa" w:w="4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11</w:t>
            </w:r>
          </w:p>
        </w:tc>
        <w:tc>
          <w:tcPr>
            <w:tcW w:type="dxa" w:w="23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Wochenaktive</w:t>
            </w:r>
          </w:p>
        </w:tc>
        <w:tc>
          <w:tcPr>
            <w:tcW w:type="dxa" w:w="5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asynchrone Mechanik für Regionen ohne Echtzeit-Dichte</w:t>
            </w:r>
          </w:p>
        </w:tc>
        <w:tc>
          <w:tcPr>
            <w:tcW w:type="dxa" w:w="10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nein</w:t>
            </w:r>
          </w:p>
        </w:tc>
      </w:tr>
      <w:tr>
        <w:trPr>
          <w:cantSplit/>
        </w:trPr>
        <w:tc>
          <w:tcPr>
            <w:tcW w:type="dxa" w:w="4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12</w:t>
            </w:r>
          </w:p>
        </w:tc>
        <w:tc>
          <w:tcPr>
            <w:tcW w:type="dxa" w:w="23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Datenkonto</w:t>
            </w:r>
          </w:p>
        </w:tc>
        <w:tc>
          <w:tcPr>
            <w:tcW w:type="dxa" w:w="573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gesetzliche Pflicht, sichtbar statt versteckt umgesetzt</w:t>
            </w:r>
          </w:p>
        </w:tc>
        <w:tc>
          <w:tcPr>
            <w:tcW w:type="dxa" w:w="109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leicht</w:t>
            </w:r>
          </w:p>
        </w:tc>
      </w:tr>
      <w:tr>
        <w:trPr>
          <w:cantSplit/>
        </w:trPr>
        <w:tc>
          <w:tcPr>
            <w:tcW w:type="dxa" w:w="4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13</w:t>
            </w:r>
          </w:p>
        </w:tc>
        <w:tc>
          <w:tcPr>
            <w:tcW w:type="dxa" w:w="23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Schutzversprechen</w:t>
            </w:r>
          </w:p>
        </w:tc>
        <w:tc>
          <w:tcPr>
            <w:tcW w:type="dxa" w:w="57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bindende Zusage: Was schützt, bleibt kostenlos</w:t>
            </w:r>
          </w:p>
        </w:tc>
        <w:tc>
          <w:tcPr>
            <w:tcW w:type="dxa" w:w="10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nein</w:t>
            </w:r>
          </w:p>
        </w:tc>
      </w:tr>
    </w:tbl>
    <w:p>
      <w:pPr>
        <w:spacing w:after="100"/>
      </w:pPr>
    </w:p>
    <w:p>
      <w:pPr>
        <w:keepNext w:val="false"/>
        <w:spacing w:after="120" w:before="0" w:line="276"/>
        <w:jc w:val="left"/>
      </w:pPr>
      <w:r>
        <w:rPr>
          <w:b/>
          <w:bCs/>
        </w:rPr>
        <w:t xml:space="preserve">Was bewusst fehlt</w:t>
      </w:r>
      <w:r>
        <w:t xml:space="preserve"> — fünfzehn Funktionen, die andere haben, darunter: sozialer Feed, Wischmechanik, der Zähler „Wer hat mich angesehen“, Ausschlussfilter nach Ethnie, Körperform oder HIV-Status, Werbung im Raster oder im Chat, KI-Chatbot und KI-Profiltexte, Anmelden mit Google oder Meta, genaue Positionen von Personen auf der Karte, Lesebestätigungen. Handbuch A sieht zwei Einträge zur späteren Prüfung vor: bezahlte Sichtbarkeit ab 50.000 und Videoanrufe ab 40.000 monatlich aktiven Nutzern. Bezahlte Sichtbarkeit haben die Gründer am 19.09.2026 ausgeschlossen, auch für Orte.</w:t>
      </w:r>
    </w:p>
    <w:p>
      <w:pPr>
        <w:pStyle w:val="Heading3"/>
        <w:keepNext/>
        <w:spacing w:after="60" w:before="160"/>
      </w:pPr>
      <w:r>
        <w:t xml:space="preserve">Technik</w:t>
      </w:r>
    </w:p>
    <w:p>
      <w:pPr>
        <w:keepNext w:val="false"/>
        <w:spacing w:after="120" w:before="0" w:line="276"/>
        <w:jc w:val="left"/>
      </w:pPr>
      <w:r>
        <w:t xml:space="preserve">Das erste Produkt ist eine </w:t>
      </w:r>
      <w:r>
        <w:rPr>
          <w:b/>
          <w:bCs/>
        </w:rPr>
        <w:t xml:space="preserve">Web-App</w:t>
      </w:r>
      <w:r>
        <w:t xml:space="preserve">, vollständig und nicht als Notlösung: Für Apps dieser Kategorie ist eine Ablehnung durch die App-Stores wahrscheinlich (bei Apple nach Richtlinie 1.1.4); Sniffies zeigt, dass Millionen aktiver Nutzer ohne App-Store möglich sind. </w:t>
      </w:r>
      <w:r>
        <w:rPr>
          <w:b/>
          <w:bCs/>
        </w:rPr>
        <w:t xml:space="preserve">Native Apps werden ebenfalls gebaut</w:t>
      </w:r>
      <w:r>
        <w:t xml:space="preserve"> — als Hülle um dieselbe Web-App, nicht als zweite Codebasis. Eingereicht werden sie, wenn ein laufendes, moderiertes Produkt dahintersteht und die Store-Richtlinien geprüft sind; in den Apps sind Profilbilder mit Nacktheit unkenntlich, im Web sichtbar. Wann sie erscheinen, ist offen.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3"/>
        <w:gridCol w:w="3089"/>
        <w:gridCol w:w="4696"/>
      </w:tblGrid>
      <w:tr>
        <w:trPr>
          <w:cantSplit/>
          <w:tblHeader/>
        </w:trPr>
        <w:tc>
          <w:tcPr>
            <w:tcW w:type="dxa" w:w="1853"/>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Ebene</w:t>
            </w:r>
          </w:p>
        </w:tc>
        <w:tc>
          <w:tcPr>
            <w:tcW w:type="dxa" w:w="308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Entscheidung</w:t>
            </w:r>
          </w:p>
        </w:tc>
        <w:tc>
          <w:tcPr>
            <w:tcW w:type="dxa" w:w="469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Begründung</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Client, Phase 1</w:t>
            </w:r>
          </w:p>
        </w:tc>
        <w:tc>
          <w:tcPr>
            <w:tcW w:type="dxa" w:w="308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React und Vite als Web-App (PWA)</w:t>
            </w:r>
          </w:p>
        </w:tc>
        <w:tc>
          <w:tcPr>
            <w:tcW w:type="dxa" w:w="4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Hauptprodukt; schnelle Startzeit, gute Vorlesefunktion</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Client, native Fassungen</w:t>
            </w:r>
          </w:p>
        </w:tc>
        <w:tc>
          <w:tcPr>
            <w:tcW w:type="dxa" w:w="308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Capacitor — native Hülle um die Web-App</w:t>
            </w:r>
          </w:p>
        </w:tc>
        <w:tc>
          <w:tcPr>
            <w:tcW w:type="dxa" w:w="4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dieselbe Codebasis; nur die Stellen mit echtem Nativbedarf werden nativ geschrieben (Bauplan zwei Plattformen)</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Backend</w:t>
            </w:r>
          </w:p>
        </w:tc>
        <w:tc>
          <w:tcPr>
            <w:tcW w:type="dxa" w:w="308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Supabase, selbst gehostet</w:t>
            </w:r>
          </w:p>
        </w:tc>
        <w:tc>
          <w:tcPr>
            <w:tcW w:type="dxa" w:w="4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quelloffen, auf eigenen Servern; keine Baukasten-Cloud eines US-Anbieters</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Datenbank</w:t>
            </w:r>
          </w:p>
        </w:tc>
        <w:tc>
          <w:tcPr>
            <w:tcW w:type="dxa" w:w="308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PostgreSQL mit PostGIS</w:t>
            </w:r>
          </w:p>
        </w:tc>
        <w:tc>
          <w:tcPr>
            <w:tcW w:type="dxa" w:w="4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Umkreissuche mit räumlichen Indizes, genügt bis etwa 100.000 MAU</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Hosting und Medien</w:t>
            </w:r>
          </w:p>
        </w:tc>
        <w:tc>
          <w:tcPr>
            <w:tcW w:type="dxa" w:w="308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Hetzner Cloud in Deutschland</w:t>
            </w:r>
          </w:p>
        </w:tc>
        <w:tc>
          <w:tcPr>
            <w:tcW w:type="dxa" w:w="4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Bilder verlassen die EU nie — zugleich das Markenversprechen</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Analytik</w:t>
            </w:r>
          </w:p>
        </w:tc>
        <w:tc>
          <w:tcPr>
            <w:tcW w:type="dxa" w:w="308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PostHog, selbst gehostet</w:t>
            </w:r>
          </w:p>
        </w:tc>
        <w:tc>
          <w:tcPr>
            <w:tcW w:type="dxa" w:w="4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kein Datenabfluss; Kohorten von Tag eins</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Zahlungen und Abo-Verwaltung</w:t>
            </w:r>
          </w:p>
        </w:tc>
        <w:tc>
          <w:tcPr>
            <w:tcW w:type="dxa" w:w="308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Web-Kasse über einen europäischen Zahlungsdienst, in den Apps zusätzlich die Kassen von Apple und Google</w:t>
            </w:r>
          </w:p>
        </w:tc>
        <w:tc>
          <w:tcPr>
            <w:tcW w:type="dxa" w:w="4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Kandidat für das Web: Mollie, Amsterdam, 1,80 % + 0,25 € je Zahlung; Vertrag offen</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Bauumgebung</w:t>
            </w:r>
          </w:p>
        </w:tc>
        <w:tc>
          <w:tcPr>
            <w:tcW w:type="dxa" w:w="308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automatische Lizenzprüfung</w:t>
            </w:r>
          </w:p>
        </w:tc>
        <w:tc>
          <w:tcPr>
            <w:tcW w:type="dxa" w:w="46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KI-erzeugter Code kann Fragmente fremder Lizenzen enthalten</w:t>
            </w:r>
          </w:p>
        </w:tc>
      </w:tr>
    </w:tbl>
    <w:p>
      <w:pPr>
        <w:spacing w:after="100"/>
      </w:pPr>
    </w:p>
    <w:p>
      <w:pPr>
        <w:keepNext w:val="false"/>
        <w:spacing w:after="120" w:before="0" w:line="276"/>
        <w:jc w:val="left"/>
      </w:pPr>
      <w:r>
        <w:rPr>
          <w:b/>
          <w:bCs/>
        </w:rPr>
        <w:t xml:space="preserve">Selbst gebaut</w:t>
      </w:r>
      <w:r>
        <w:t xml:space="preserve"> wird, was das Produkt ausmacht: Umkreissuche, Chat und Präsenz, Sortierung. </w:t>
      </w:r>
      <w:r>
        <w:rPr>
          <w:b/>
          <w:bCs/>
        </w:rPr>
        <w:t xml:space="preserve">Zugekauft</w:t>
      </w:r>
      <w:r>
        <w:t xml:space="preserve"> wird, was Spezialwissen braucht: Altersprüfung bei einem EU-Anbieter mit vertraglich zugesicherter Sofortlöschung, Abgleich gegen bekannte Missbrauchsdarstellungen, ein KI-Vorfilter für die Moderation mit menschlicher Prüfung in Grenzfällen.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Eigenleistung</w:t>
            </w:r>
          </w:p>
          <w:p>
            <w:pPr>
              <w:spacing w:after="60" w:line="252"/>
            </w:pPr>
            <w:r>
              <w:rPr>
                <w:sz w:val="19"/>
                <w:szCs w:val="19"/>
              </w:rPr>
              <w:t xml:space="preserve">„Die Entwicklung erfolgt inhouse. Architektur, Logik, Sicherheitsentscheidungen und Tests verantwortet der technische Gründer; KI-Werkzeuge beschleunigen die Umsetzung. Die kommerziellen Nutzungsrechte liegen vollständig bei der Gesellschaft. Eine automatisierte Lizenzprüfung ist Teil der Bauumgebung.“</w:t>
            </w:r>
          </w:p>
          <w:p>
            <w:pPr>
              <w:spacing w:after="60" w:line="252"/>
            </w:pPr>
            <w:r>
              <w:rPr>
                <w:b/>
                <w:bCs/>
                <w:sz w:val="19"/>
                <w:szCs w:val="19"/>
              </w:rPr>
              <w:t xml:space="preserve">Grenze für KI:</w:t>
            </w:r>
            <w:r>
              <w:rPr>
                <w:sz w:val="19"/>
                <w:szCs w:val="19"/>
              </w:rPr>
              <w:t xml:space="preserve"> KI auf dem eigenen Code und den eigenen Inhalten ja; KI auf Nutzerdaten praktisch nie — und niemals über einen Anbieter außerhalb der EU. Eisbrecher, Profiltexte und Nachrichten schreibt keine KI.</w:t>
            </w:r>
          </w:p>
          <w:p>
            <w:pPr>
              <w:spacing w:after="60" w:line="252"/>
            </w:pPr>
            <w:r>
              <w:rPr>
                <w:b/>
                <w:bCs/>
                <w:sz w:val="19"/>
                <w:szCs w:val="19"/>
              </w:rPr>
              <w:t xml:space="preserve">Absicherung:</w:t>
            </w:r>
            <w:r>
              <w:rPr>
                <w:sz w:val="19"/>
                <w:szCs w:val="19"/>
              </w:rPr>
              <w:t xml:space="preserve"> Vor dem Start wird der gesamte Code beider Plattformen extern geprüft (Beschluss vom 19. und 21.09.2026); im Finanzmodell mit 18.900 € angesetzt, Spanne 11.880 bis 25.920 €. Dazu kommt der Penetrationstest.</w:t>
            </w:r>
          </w:p>
        </w:tc>
      </w:tr>
    </w:tbl>
    <w:p>
      <w:pPr>
        <w:pStyle w:val="Heading1"/>
        <w:keepNext/>
        <w:pBdr>
          <w:bottom w:val="single" w:color="2E74B5" w:sz="6" w:space="2"/>
        </w:pBdr>
        <w:spacing w:after="120" w:before="240"/>
      </w:pPr>
      <w:r>
        <w:t xml:space="preserve">5 · Geschäftsmodell</w:t>
      </w:r>
    </w:p>
    <w:p>
      <w:pPr>
        <w:keepNext w:val="false"/>
        <w:spacing w:after="120" w:before="0" w:line="276"/>
        <w:jc w:val="left"/>
      </w:pPr>
      <w:r>
        <w:t xml:space="preserve">Fünf Erlösquellen: Abonnements, ein Werkzeugabo für Orte und Veranstalter, ein Anteil an Tickets für Veranstaltungen, Unterstützerbeiträge und eine Gesundheitspartnerschaft. </w:t>
      </w:r>
      <w:r>
        <w:rPr>
          <w:b/>
          <w:bCs/>
        </w:rPr>
        <w:t xml:space="preserve">Nicht verkauft werden Werbung, Daten und Sichtbarkeit</w:t>
      </w:r>
      <w:r>
        <w:t xml:space="preserve"> — auch nicht an Orte (Beschlüsse vom 19. und 21.09.2026). Bezahlstufen starten nach Handbuch B, wenn eine Stadt 5.000 MAU erreicht; das Finanzmodell setzt dafür im realistischen Szenario Monat 14 an (pessimistisch Monat 18, optimistisch Monat 11).</w:t>
      </w:r>
    </w:p>
    <w:p>
      <w:pPr>
        <w:pStyle w:val="Heading3"/>
        <w:keepNext/>
        <w:spacing w:after="60" w:before="160"/>
      </w:pPr>
      <w:r>
        <w:t xml:space="preserve">Abonnements</w:t>
      </w:r>
    </w:p>
    <w:p>
      <w:pPr>
        <w:keepNext w:val="false"/>
        <w:spacing w:after="120" w:before="60" w:line="276"/>
        <w:jc w:val="left"/>
      </w:pPr>
      <w:r>
        <w:rPr>
          <w:b/>
          <w:bCs/>
          <w:sz w:val="16"/>
          <w:szCs w:val="16"/>
        </w:rPr>
        <w:t xml:space="preserve">Was die Stufen enthalten</w:t>
      </w:r>
      <w:r>
        <w:rPr>
          <w:sz w:val="16"/>
          <w:szCs w:val="16"/>
        </w:rPr>
        <w:t xml:space="preserve"> (beschlossen am 26.09.2026): </w:t>
      </w:r>
      <w:r>
        <w:rPr>
          <w:b/>
          <w:bCs/>
          <w:sz w:val="16"/>
          <w:szCs w:val="16"/>
        </w:rPr>
        <w:t xml:space="preserve">PLUS</w:t>
      </w:r>
      <w:r>
        <w:rPr>
          <w:sz w:val="16"/>
          <w:szCs w:val="16"/>
        </w:rPr>
        <w:t xml:space="preserve"> — unsichtbar in eigenen Zonen, zusätzliche Zonen, gespeicherte Filter, längeres Archiv, mehr private Alben, Termine im eigenen Kalender. </w:t>
      </w:r>
      <w:r>
        <w:rPr>
          <w:b/>
          <w:bCs/>
          <w:sz w:val="16"/>
          <w:szCs w:val="16"/>
        </w:rPr>
        <w:t xml:space="preserve">PRO</w:t>
      </w:r>
      <w:r>
        <w:rPr>
          <w:sz w:val="16"/>
          <w:szCs w:val="16"/>
        </w:rPr>
        <w:t xml:space="preserve"> — alles aus PLUS und dazu </w:t>
      </w:r>
      <w:r>
        <w:rPr>
          <w:b/>
          <w:bCs/>
          <w:sz w:val="16"/>
          <w:szCs w:val="16"/>
        </w:rPr>
        <w:t xml:space="preserve">Travel</w:t>
      </w:r>
      <w:r>
        <w:rPr>
          <w:sz w:val="16"/>
          <w:szCs w:val="16"/>
        </w:rPr>
        <w:t xml:space="preserve">: in anderen Städten umsehen, schreiben und die eigene Reise vorher ankündigen. </w:t>
      </w:r>
      <w:r>
        <w:rPr>
          <w:b/>
          <w:bCs/>
          <w:sz w:val="16"/>
          <w:szCs w:val="16"/>
        </w:rPr>
        <w:t xml:space="preserve">Keine Funktion, die schützt, ist Teil eines Abos</w:t>
      </w:r>
      <w:r>
        <w:rPr>
          <w:sz w:val="16"/>
          <w:szCs w:val="16"/>
        </w:rPr>
        <w:t xml:space="preserve"> — Schutz ist in jeder Stufe kostenlos.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9"/>
        <w:gridCol w:w="1530"/>
        <w:gridCol w:w="1530"/>
        <w:gridCol w:w="1530"/>
        <w:gridCol w:w="1530"/>
        <w:gridCol w:w="1529"/>
      </w:tblGrid>
      <w:tr>
        <w:trPr>
          <w:cantSplit/>
          <w:tblHeader/>
        </w:trPr>
        <w:tc>
          <w:tcPr>
            <w:tcW w:type="dxa" w:w="198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Laufzeit</w:t>
            </w:r>
          </w:p>
        </w:tc>
        <w:tc>
          <w:tcPr>
            <w:tcW w:type="dxa" w:w="153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PLUS gesamt</w:t>
            </w:r>
          </w:p>
        </w:tc>
        <w:tc>
          <w:tcPr>
            <w:tcW w:type="dxa" w:w="153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je Monat</w:t>
            </w:r>
          </w:p>
        </w:tc>
        <w:tc>
          <w:tcPr>
            <w:tcW w:type="dxa" w:w="153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PRO gesamt</w:t>
            </w:r>
          </w:p>
        </w:tc>
        <w:tc>
          <w:tcPr>
            <w:tcW w:type="dxa" w:w="153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je Monat</w:t>
            </w:r>
          </w:p>
        </w:tc>
        <w:tc>
          <w:tcPr>
            <w:tcW w:type="dxa" w:w="152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Rabatt</w:t>
            </w:r>
          </w:p>
        </w:tc>
      </w:tr>
      <w:tr>
        <w:trPr>
          <w:cantSplit/>
        </w:trPr>
        <w:tc>
          <w:tcPr>
            <w:tcW w:type="dxa" w:w="198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1 Monat</w:t>
            </w:r>
          </w:p>
        </w:tc>
        <w:tc>
          <w:tcPr>
            <w:tcW w:type="dxa" w:w="15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9,00 €</w:t>
            </w:r>
          </w:p>
        </w:tc>
        <w:tc>
          <w:tcPr>
            <w:tcW w:type="dxa" w:w="15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9,00 €</w:t>
            </w:r>
          </w:p>
        </w:tc>
        <w:tc>
          <w:tcPr>
            <w:tcW w:type="dxa" w:w="15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17,00 €</w:t>
            </w:r>
          </w:p>
        </w:tc>
        <w:tc>
          <w:tcPr>
            <w:tcW w:type="dxa" w:w="15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17,00 €</w:t>
            </w:r>
          </w:p>
        </w:tc>
        <w:tc>
          <w:tcPr>
            <w:tcW w:type="dxa" w:w="15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w:t>
            </w:r>
          </w:p>
        </w:tc>
      </w:tr>
      <w:tr>
        <w:trPr>
          <w:cantSplit/>
        </w:trPr>
        <w:tc>
          <w:tcPr>
            <w:tcW w:type="dxa" w:w="198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3 Monate</w:t>
            </w:r>
          </w:p>
        </w:tc>
        <w:tc>
          <w:tcPr>
            <w:tcW w:type="dxa" w:w="15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right"/>
            </w:pPr>
            <w:r>
              <w:rPr>
                <w:sz w:val="17"/>
                <w:szCs w:val="17"/>
              </w:rPr>
              <w:t xml:space="preserve">23,00 €</w:t>
            </w:r>
          </w:p>
        </w:tc>
        <w:tc>
          <w:tcPr>
            <w:tcW w:type="dxa" w:w="15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right"/>
            </w:pPr>
            <w:r>
              <w:rPr>
                <w:sz w:val="17"/>
                <w:szCs w:val="17"/>
              </w:rPr>
              <w:t xml:space="preserve">7,67 €</w:t>
            </w:r>
          </w:p>
        </w:tc>
        <w:tc>
          <w:tcPr>
            <w:tcW w:type="dxa" w:w="15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right"/>
            </w:pPr>
            <w:r>
              <w:rPr>
                <w:sz w:val="17"/>
                <w:szCs w:val="17"/>
              </w:rPr>
              <w:t xml:space="preserve">43,00 €</w:t>
            </w:r>
          </w:p>
        </w:tc>
        <w:tc>
          <w:tcPr>
            <w:tcW w:type="dxa" w:w="15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right"/>
            </w:pPr>
            <w:r>
              <w:rPr>
                <w:sz w:val="17"/>
                <w:szCs w:val="17"/>
              </w:rPr>
              <w:t xml:space="preserve">14,33 €</w:t>
            </w:r>
          </w:p>
        </w:tc>
        <w:tc>
          <w:tcPr>
            <w:tcW w:type="dxa" w:w="15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right"/>
            </w:pPr>
            <w:r>
              <w:rPr>
                <w:sz w:val="17"/>
                <w:szCs w:val="17"/>
              </w:rPr>
              <w:t xml:space="preserve">−15 %</w:t>
            </w:r>
          </w:p>
        </w:tc>
      </w:tr>
      <w:tr>
        <w:trPr>
          <w:cantSplit/>
        </w:trPr>
        <w:tc>
          <w:tcPr>
            <w:tcW w:type="dxa" w:w="198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6 Monate</w:t>
            </w:r>
          </w:p>
        </w:tc>
        <w:tc>
          <w:tcPr>
            <w:tcW w:type="dxa" w:w="15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40,00 €</w:t>
            </w:r>
          </w:p>
        </w:tc>
        <w:tc>
          <w:tcPr>
            <w:tcW w:type="dxa" w:w="15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6,67 €</w:t>
            </w:r>
          </w:p>
        </w:tc>
        <w:tc>
          <w:tcPr>
            <w:tcW w:type="dxa" w:w="15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76,00 €</w:t>
            </w:r>
          </w:p>
        </w:tc>
        <w:tc>
          <w:tcPr>
            <w:tcW w:type="dxa" w:w="153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12,67 €</w:t>
            </w:r>
          </w:p>
        </w:tc>
        <w:tc>
          <w:tcPr>
            <w:tcW w:type="dxa" w:w="15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−26 %</w:t>
            </w:r>
          </w:p>
        </w:tc>
      </w:tr>
      <w:tr>
        <w:trPr>
          <w:cantSplit/>
        </w:trPr>
        <w:tc>
          <w:tcPr>
            <w:tcW w:type="dxa" w:w="198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12 Monate</w:t>
            </w:r>
          </w:p>
        </w:tc>
        <w:tc>
          <w:tcPr>
            <w:tcW w:type="dxa" w:w="15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right"/>
            </w:pPr>
            <w:r>
              <w:rPr>
                <w:sz w:val="17"/>
                <w:szCs w:val="17"/>
              </w:rPr>
              <w:t xml:space="preserve">70,00 €</w:t>
            </w:r>
          </w:p>
        </w:tc>
        <w:tc>
          <w:tcPr>
            <w:tcW w:type="dxa" w:w="15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right"/>
            </w:pPr>
            <w:r>
              <w:rPr>
                <w:sz w:val="17"/>
                <w:szCs w:val="17"/>
              </w:rPr>
              <w:t xml:space="preserve">5,83 €</w:t>
            </w:r>
          </w:p>
        </w:tc>
        <w:tc>
          <w:tcPr>
            <w:tcW w:type="dxa" w:w="15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right"/>
            </w:pPr>
            <w:r>
              <w:rPr>
                <w:sz w:val="17"/>
                <w:szCs w:val="17"/>
              </w:rPr>
              <w:t xml:space="preserve">132,00 €</w:t>
            </w:r>
          </w:p>
        </w:tc>
        <w:tc>
          <w:tcPr>
            <w:tcW w:type="dxa" w:w="153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right"/>
            </w:pPr>
            <w:r>
              <w:rPr>
                <w:sz w:val="17"/>
                <w:szCs w:val="17"/>
              </w:rPr>
              <w:t xml:space="preserve">11,00 €</w:t>
            </w:r>
          </w:p>
        </w:tc>
        <w:tc>
          <w:tcPr>
            <w:tcW w:type="dxa" w:w="152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right"/>
            </w:pPr>
            <w:r>
              <w:rPr>
                <w:sz w:val="17"/>
                <w:szCs w:val="17"/>
              </w:rPr>
              <w:t xml:space="preserve">−35 %</w:t>
            </w:r>
          </w:p>
        </w:tc>
      </w:tr>
    </w:tbl>
    <w:p>
      <w:pPr>
        <w:spacing w:after="80"/>
      </w:pPr>
    </w:p>
    <w:p>
      <w:pPr>
        <w:keepNext w:val="false"/>
        <w:spacing w:after="120" w:before="0" w:line="276"/>
        <w:jc w:val="left"/>
      </w:pPr>
      <w:r>
        <w:t xml:space="preserve">Preise brutto inklusive Umsatzsteuer. </w:t>
      </w:r>
      <w:r>
        <w:rPr>
          <w:b/>
          <w:bCs/>
        </w:rPr>
        <w:t xml:space="preserve">Glatte Preise statt 8,99 €</w:t>
      </w:r>
      <w:r>
        <w:t xml:space="preserve"> — Preise auf 99 Cent sind ein kleines dunkles Muster. Das Jahresabo mit 5,83 € im Monat unterbietet praktisch alles im Markt. Längere Laufzeiten senken die Abwanderung: Gemischt verlassen 17,2 % der Zahler das Abo je Monat, die durchschnittliche Verweildauer liegt bei 5,8 Monaten. Um dauerhaft 300 Zahler zu halten, braucht es so </w:t>
      </w:r>
      <w:r>
        <w:rPr>
          <w:b/>
          <w:bCs/>
        </w:rPr>
        <w:t xml:space="preserve">52 Neukunden im Monat statt 90</w:t>
      </w:r>
      <w:r>
        <w:t xml:space="preserve"> bei reinen Monatsabos. Der Rabatt kostet 18 % Erlös und spart 42 % Akquisearbeit. Das Jahresabo ist im Kaufbildschirm vorausgewählt; jede Laufzeit steht gleich deutlich mit ihrem Gesamtpreis daneben. </w:t>
      </w:r>
      <w:r>
        <w:rPr>
          <w:b/>
          <w:bCs/>
        </w:rPr>
        <w:t xml:space="preserve">Was die Stufen enthalten</w:t>
      </w:r>
      <w:r>
        <w:t xml:space="preserve">, ist vorgeschlagen und nach den Interviews zu bestätigen: PLUS mit Inkognito, gespeicherten Filtern und längerem Archiv, PRO zusätzlich mit Travel. Was schützt, bleibt kostenlos — auch der Ersatzpunkt, der andere die Entfernung von einem anderen Ort aus sehen lässt.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6"/>
        <w:gridCol w:w="1236"/>
        <w:gridCol w:w="5436"/>
      </w:tblGrid>
      <w:tr>
        <w:trPr>
          <w:cantSplit/>
          <w:tblHeader/>
        </w:trPr>
        <w:tc>
          <w:tcPr>
            <w:tcW w:type="dxa" w:w="296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Schritt</w:t>
            </w:r>
          </w:p>
        </w:tc>
        <w:tc>
          <w:tcPr>
            <w:tcW w:type="dxa" w:w="123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Betrag</w:t>
            </w:r>
          </w:p>
        </w:tc>
        <w:tc>
          <w:tcPr>
            <w:tcW w:type="dxa" w:w="543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Anmerkung</w:t>
            </w:r>
          </w:p>
        </w:tc>
      </w:tr>
      <w:tr>
        <w:trPr>
          <w:cantSplit/>
        </w:trPr>
        <w:tc>
          <w:tcPr>
            <w:tcW w:type="dxa" w:w="29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Gemischter Bruttopreis</w:t>
            </w:r>
          </w:p>
        </w:tc>
        <w:tc>
          <w:tcPr>
            <w:tcW w:type="dxa" w:w="12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9,81 €</w:t>
            </w:r>
          </w:p>
        </w:tc>
        <w:tc>
          <w:tcPr>
            <w:tcW w:type="dxa" w:w="54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70 % PLUS, 30 % PRO, über alle Laufzeiten gewichtet</w:t>
            </w:r>
          </w:p>
        </w:tc>
      </w:tr>
      <w:tr>
        <w:trPr>
          <w:cantSplit/>
        </w:trPr>
        <w:tc>
          <w:tcPr>
            <w:tcW w:type="dxa" w:w="29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abzüglich 19 % Umsatzsteuer</w:t>
            </w:r>
          </w:p>
        </w:tc>
        <w:tc>
          <w:tcPr>
            <w:tcW w:type="dxa" w:w="12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8,24 €</w:t>
            </w:r>
          </w:p>
        </w:tc>
        <w:tc>
          <w:tcPr>
            <w:tcW w:type="dxa" w:w="54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gerechnet mit Umsatzsteuer; ob die Kleinunternehmerregelung genutzt wird, klärt der Steuerberater</w:t>
            </w:r>
          </w:p>
        </w:tc>
      </w:tr>
      <w:tr>
        <w:trPr>
          <w:cantSplit/>
        </w:trPr>
        <w:tc>
          <w:tcPr>
            <w:tcW w:type="dxa" w:w="29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bei Zahlung über das Web</w:t>
            </w:r>
          </w:p>
        </w:tc>
        <w:tc>
          <w:tcPr>
            <w:tcW w:type="dxa" w:w="12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7,93 €</w:t>
            </w:r>
          </w:p>
        </w:tc>
        <w:tc>
          <w:tcPr>
            <w:tcW w:type="dxa" w:w="54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europäischer Zahlungsdienst, 1,80 % + 0,25 € je Zahlung</w:t>
            </w:r>
          </w:p>
        </w:tc>
      </w:tr>
      <w:tr>
        <w:trPr>
          <w:cantSplit/>
        </w:trPr>
        <w:tc>
          <w:tcPr>
            <w:tcW w:type="dxa" w:w="29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bei Zahlung über einen Store</w:t>
            </w:r>
          </w:p>
        </w:tc>
        <w:tc>
          <w:tcPr>
            <w:tcW w:type="dxa" w:w="12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7,01 €</w:t>
            </w:r>
          </w:p>
        </w:tc>
        <w:tc>
          <w:tcPr>
            <w:tcW w:type="dxa" w:w="54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15 % Provision im Small-Business-Programm</w:t>
            </w:r>
          </w:p>
        </w:tc>
      </w:tr>
      <w:tr>
        <w:trPr>
          <w:cantSplit/>
        </w:trPr>
        <w:tc>
          <w:tcPr>
            <w:tcW w:type="dxa" w:w="2966"/>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7"/>
                <w:szCs w:val="17"/>
              </w:rPr>
              <w:t xml:space="preserve">Nettoerlös je Zahler und Monat</w:t>
            </w:r>
          </w:p>
        </w:tc>
        <w:tc>
          <w:tcPr>
            <w:tcW w:type="dxa" w:w="1236"/>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7"/>
                <w:szCs w:val="17"/>
              </w:rPr>
              <w:t xml:space="preserve">7,56 €</w:t>
            </w:r>
          </w:p>
        </w:tc>
        <w:tc>
          <w:tcPr>
            <w:tcW w:type="dxa" w:w="5436"/>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sz w:val="17"/>
                <w:szCs w:val="17"/>
              </w:rPr>
              <w:t xml:space="preserve">gemischt: 60 % der Zahlungen über das Web, 40 % über die Stores — eine Annahme, keine Messung</w:t>
            </w:r>
          </w:p>
        </w:tc>
      </w:tr>
    </w:tbl>
    <w:p>
      <w:pPr>
        <w:spacing w:after="80"/>
      </w:pPr>
    </w:p>
    <w:p>
      <w:pPr>
        <w:keepNext w:val="false"/>
        <w:spacing w:after="120" w:before="0" w:line="276"/>
        <w:jc w:val="left"/>
      </w:pPr>
      <w:r>
        <w:rPr>
          <w:b/>
          <w:bCs/>
        </w:rPr>
        <w:t xml:space="preserve">Der eigene Hebel:</w:t>
      </w:r>
      <w:r>
        <w:t xml:space="preserve"> Über die Web-Kasse kommen 7,93 € netto an, über den App Store nur 7,01 € — 13 % Unterschied bei gleichem Kundenpreis. Deshalb wird zuerst im Web verkauft; was dort gekauft oder per Code eingelöst wurde, gilt auch in den Apps, sofern dieselbe Stufe dort als In-App-Kauf angeboten wird. Das Small-Business-Programm der Stores senkt die Provision für die erste Million Jahresumsatz von 30 auf 15 %; es wird beantragt, sobald die Apps eingereicht werden. </w:t>
      </w:r>
      <w:r>
        <w:rPr>
          <w:b/>
          <w:bCs/>
        </w:rPr>
        <w:t xml:space="preserve">Die unsicherste Zahl</w:t>
      </w:r>
      <w:r>
        <w:t xml:space="preserve"> ist der Anteil PRO: Wählen 20 statt 30 % die teurere Stufe, steigt der Kapitalbedarf um rund 4.700 €.</w:t>
      </w:r>
    </w:p>
    <w:p>
      <w:pPr>
        <w:pStyle w:val="Heading3"/>
        <w:keepNext/>
        <w:spacing w:after="60" w:before="160"/>
      </w:pPr>
      <w:r>
        <w:t xml:space="preserve">Weitere Erlösquellen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5"/>
        <w:gridCol w:w="1606"/>
        <w:gridCol w:w="2356"/>
        <w:gridCol w:w="3641"/>
      </w:tblGrid>
      <w:tr>
        <w:trPr>
          <w:cantSplit/>
          <w:tblHeader/>
        </w:trPr>
        <w:tc>
          <w:tcPr>
            <w:tcW w:type="dxa" w:w="203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Quelle</w:t>
            </w:r>
          </w:p>
        </w:tc>
        <w:tc>
          <w:tcPr>
            <w:tcW w:type="dxa" w:w="160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Ab wann (Modell)</w:t>
            </w:r>
          </w:p>
        </w:tc>
        <w:tc>
          <w:tcPr>
            <w:tcW w:type="dxa" w:w="235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Wie gerechnet</w:t>
            </w:r>
          </w:p>
        </w:tc>
        <w:tc>
          <w:tcPr>
            <w:tcW w:type="dxa" w:w="364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Wie</w:t>
            </w:r>
          </w:p>
        </w:tc>
      </w:tr>
      <w:tr>
        <w:trPr>
          <w:cantSplit/>
        </w:trPr>
        <w:tc>
          <w:tcPr>
            <w:tcW w:type="dxa" w:w="20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Werkzeugabo für Orte und Veranstalter</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13, ab 8.000 MAU</w:t>
            </w:r>
          </w:p>
        </w:tc>
        <w:tc>
          <w:tcPr>
            <w:tcW w:type="dxa" w:w="23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 Konten je Stadt zu 29 € netto</w:t>
            </w:r>
          </w:p>
        </w:tc>
        <w:tc>
          <w:tcPr>
            <w:tcW w:type="dxa" w:w="3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Werkzeuge für eigene Termine — Einlass per Code, Serien, Kontingente, mehrere Verantwortliche. Keine Hervorhebung, keine bessere Platzierung; der Grundeintrag bleibt kostenlos</w:t>
            </w:r>
          </w:p>
        </w:tc>
      </w:tr>
      <w:tr>
        <w:trPr>
          <w:cantSplit/>
        </w:trPr>
        <w:tc>
          <w:tcPr>
            <w:tcW w:type="dxa" w:w="20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Anteil an Tickets</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13, ab 20.000 MAU</w:t>
            </w:r>
          </w:p>
        </w:tc>
        <w:tc>
          <w:tcPr>
            <w:tcW w:type="dxa" w:w="23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3 % von 8 Veranstaltungen mit je 80 Tickets zu 12 € je Stadt</w:t>
            </w:r>
          </w:p>
        </w:tc>
        <w:tc>
          <w:tcPr>
            <w:tcW w:type="dxa" w:w="3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unter dem Marktüblichen; das Geld läuft nie über ein Konto von Cruizy — Abwicklung über einen spezialisierten Anbieter</w:t>
            </w:r>
          </w:p>
        </w:tc>
      </w:tr>
      <w:tr>
        <w:trPr>
          <w:cantSplit/>
        </w:trPr>
        <w:tc>
          <w:tcPr>
            <w:tcW w:type="dxa" w:w="20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Unterstützerbeitrag</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14</w:t>
            </w:r>
          </w:p>
        </w:tc>
        <w:tc>
          <w:tcPr>
            <w:tcW w:type="dxa" w:w="23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0,015 € je aktivem Nutzer</w:t>
            </w:r>
          </w:p>
        </w:tc>
        <w:tc>
          <w:tcPr>
            <w:tcW w:type="dxa" w:w="3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ein frei wählbarer Betrag ab 3 €, der nichts freischaltet — keine Funktion, keine Sichtbarkeit, kein Abzeichen; nie beworben (beschlossen am 26.09.2026)</w:t>
            </w:r>
          </w:p>
        </w:tc>
      </w:tr>
      <w:tr>
        <w:trPr>
          <w:cantSplit/>
        </w:trPr>
        <w:tc>
          <w:tcPr>
            <w:tcW w:type="dxa" w:w="20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Gesundheitspartnerschaft</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20</w:t>
            </w:r>
          </w:p>
        </w:tc>
        <w:tc>
          <w:tcPr>
            <w:tcW w:type="dxa" w:w="23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267 € je Stadt</w:t>
            </w:r>
          </w:p>
        </w:tc>
        <w:tc>
          <w:tcPr>
            <w:tcW w:type="dxa" w:w="36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mit einer echten lokalen Organisation, klar gekennzeichnet, kein Profiling, keine Gesundheitsdaten an den Partner</w:t>
            </w:r>
          </w:p>
        </w:tc>
      </w:tr>
    </w:tbl>
    <w:p>
      <w:pPr>
        <w:spacing w:after="80"/>
      </w:pPr>
    </w:p>
    <w:p>
      <w:pPr>
        <w:keepNext w:val="false"/>
        <w:spacing w:after="120" w:before="0" w:line="276"/>
        <w:jc w:val="left"/>
      </w:pPr>
      <w:r>
        <w:rPr>
          <w:b/>
          <w:bCs/>
        </w:rPr>
        <w:t xml:space="preserve">Abgelehnt</w:t>
      </w:r>
      <w:r>
        <w:t xml:space="preserve"> sind Werbung jeder Art, bezahlte Hervorhebung von Orten und Veranstaltungen und der Verkauf anonymisierter Szenedaten: Der Satz „Wir verkaufen keine Daten“ muss ohne Fußnote wahr sein. Die Ortspartnerschaften mit Premiumstufen aus Handbuch B sind damit entfallen; an ihre Stelle tritt das Werkzeugabo.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73"/>
        <w:gridCol w:w="2065"/>
      </w:tblGrid>
      <w:tr>
        <w:trPr>
          <w:cantSplit/>
          <w:tblHeader/>
        </w:trPr>
        <w:tc>
          <w:tcPr>
            <w:tcW w:type="dxa" w:w="7573"/>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Erlöse im Monat 36 — realistisches Szenario, vier Städte, 62.000 MAU</w:t>
            </w:r>
          </w:p>
        </w:tc>
        <w:tc>
          <w:tcPr>
            <w:tcW w:type="dxa" w:w="206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je Monat</w:t>
            </w:r>
          </w:p>
        </w:tc>
      </w:tr>
      <w:tr>
        <w:trPr>
          <w:cantSplit/>
        </w:trPr>
        <w:tc>
          <w:tcPr>
            <w:tcW w:type="dxa" w:w="75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Abonnements</w:t>
            </w:r>
          </w:p>
        </w:tc>
        <w:tc>
          <w:tcPr>
            <w:tcW w:type="dxa" w:w="2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16.873 €</w:t>
            </w:r>
          </w:p>
        </w:tc>
      </w:tr>
      <w:tr>
        <w:trPr>
          <w:cantSplit/>
        </w:trPr>
        <w:tc>
          <w:tcPr>
            <w:tcW w:type="dxa" w:w="75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Gesundheitspartnerschaft</w:t>
            </w:r>
          </w:p>
        </w:tc>
        <w:tc>
          <w:tcPr>
            <w:tcW w:type="dxa" w:w="2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1.068 €</w:t>
            </w:r>
          </w:p>
        </w:tc>
      </w:tr>
      <w:tr>
        <w:trPr>
          <w:cantSplit/>
        </w:trPr>
        <w:tc>
          <w:tcPr>
            <w:tcW w:type="dxa" w:w="75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Unterstützerbeiträge</w:t>
            </w:r>
          </w:p>
        </w:tc>
        <w:tc>
          <w:tcPr>
            <w:tcW w:type="dxa" w:w="2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930 €</w:t>
            </w:r>
          </w:p>
        </w:tc>
      </w:tr>
      <w:tr>
        <w:trPr>
          <w:cantSplit/>
        </w:trPr>
        <w:tc>
          <w:tcPr>
            <w:tcW w:type="dxa" w:w="75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Anteil an Tickets</w:t>
            </w:r>
          </w:p>
        </w:tc>
        <w:tc>
          <w:tcPr>
            <w:tcW w:type="dxa" w:w="2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922 €</w:t>
            </w:r>
          </w:p>
        </w:tc>
      </w:tr>
      <w:tr>
        <w:trPr>
          <w:cantSplit/>
        </w:trPr>
        <w:tc>
          <w:tcPr>
            <w:tcW w:type="dxa" w:w="75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Werkzeugabo für Orte und Veranstalter</w:t>
            </w:r>
          </w:p>
        </w:tc>
        <w:tc>
          <w:tcPr>
            <w:tcW w:type="dxa" w:w="2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580 €</w:t>
            </w:r>
          </w:p>
        </w:tc>
      </w:tr>
      <w:tr>
        <w:trPr>
          <w:cantSplit/>
        </w:trPr>
        <w:tc>
          <w:tcPr>
            <w:tcW w:type="dxa" w:w="7573"/>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7"/>
                <w:szCs w:val="17"/>
              </w:rPr>
              <w:t xml:space="preserve">Gesamt</w:t>
            </w:r>
            <w:r>
              <w:rPr>
                <w:sz w:val="17"/>
                <w:szCs w:val="17"/>
              </w:rPr>
              <w:t xml:space="preserve"> — 83 % aus Abonnements, rund ein Sechstel aus den übrigen vier Quellen</w:t>
            </w:r>
          </w:p>
        </w:tc>
        <w:tc>
          <w:tcPr>
            <w:tcW w:type="dxa" w:w="2065"/>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7"/>
                <w:szCs w:val="17"/>
              </w:rPr>
              <w:t xml:space="preserve">20.372 €</w:t>
            </w:r>
          </w:p>
        </w:tc>
      </w:tr>
    </w:tbl>
    <w:p>
      <w:pPr>
        <w:keepNext w:val="false"/>
        <w:spacing w:after="120" w:before="60" w:line="276"/>
        <w:jc w:val="left"/>
      </w:pPr>
      <w:r>
        <w:rPr>
          <w:sz w:val="16"/>
          <w:szCs w:val="16"/>
        </w:rPr>
        <w:t xml:space="preserve">Über das ganze dritte Jahr gerechnet sind es 77 % aus Abonnements: Die Abos wachsen im Lauf des Jahres von rund 5.300 € auf 16.900 € im Monat, die übrigen Quellen hängen an der Zahl der Städte und bleiben fast gleich.</w:t>
      </w:r>
    </w:p>
    <w:p>
      <w:pPr>
        <w:pStyle w:val="Heading1"/>
        <w:keepNext/>
        <w:pBdr>
          <w:bottom w:val="single" w:color="2E74B5" w:sz="6" w:space="2"/>
        </w:pBdr>
        <w:spacing w:after="120" w:before="240"/>
      </w:pPr>
      <w:r>
        <w:t xml:space="preserve">6 · Marketing und Vertrieb</w:t>
      </w:r>
    </w:p>
    <w:p>
      <w:pPr>
        <w:pStyle w:val="Heading3"/>
        <w:keepNext/>
        <w:spacing w:after="60" w:before="160"/>
      </w:pPr>
      <w:r>
        <w:t xml:space="preserve">Warum organisch — die Rechnung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7"/>
        <w:gridCol w:w="1606"/>
        <w:gridCol w:w="4325"/>
      </w:tblGrid>
      <w:tr>
        <w:trPr>
          <w:cantSplit/>
          <w:tblHeader/>
        </w:trPr>
        <w:tc>
          <w:tcPr>
            <w:tcW w:type="dxa" w:w="370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Größe</w:t>
            </w:r>
          </w:p>
        </w:tc>
        <w:tc>
          <w:tcPr>
            <w:tcW w:type="dxa" w:w="160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Wert</w:t>
            </w:r>
          </w:p>
        </w:tc>
        <w:tc>
          <w:tcPr>
            <w:tcW w:type="dxa" w:w="432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Herleitung</w:t>
            </w:r>
          </w:p>
        </w:tc>
      </w:tr>
      <w:tr>
        <w:trPr>
          <w:cantSplit/>
        </w:trPr>
        <w:tc>
          <w:tcPr>
            <w:tcW w:type="dxa" w:w="37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Erlöse im Monat 36, realistisch</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20.372 €</w:t>
            </w:r>
          </w:p>
        </w:tc>
        <w:tc>
          <w:tcPr>
            <w:tcW w:type="dxa" w:w="432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Finanzmodell, alle fünf Quellen</w:t>
            </w:r>
          </w:p>
        </w:tc>
      </w:tr>
      <w:tr>
        <w:trPr>
          <w:cantSplit/>
        </w:trPr>
        <w:tc>
          <w:tcPr>
            <w:tcW w:type="dxa" w:w="37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Aktive Nutzer im Monat 36</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62.000</w:t>
            </w:r>
          </w:p>
        </w:tc>
        <w:tc>
          <w:tcPr>
            <w:tcW w:type="dxa" w:w="432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Finanzmodell, vier Städte</w:t>
            </w:r>
          </w:p>
        </w:tc>
      </w:tr>
      <w:tr>
        <w:trPr>
          <w:cantSplit/>
        </w:trPr>
        <w:tc>
          <w:tcPr>
            <w:tcW w:type="dxa" w:w="37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davon Aboerlös je aktivem Nutzer</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0,27 €</w:t>
            </w:r>
          </w:p>
        </w:tc>
        <w:tc>
          <w:tcPr>
            <w:tcW w:type="dxa" w:w="432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3,6 % Zahler × 7,56 €</w:t>
            </w:r>
          </w:p>
        </w:tc>
      </w:tr>
      <w:tr>
        <w:trPr>
          <w:cantSplit/>
        </w:trPr>
        <w:tc>
          <w:tcPr>
            <w:tcW w:type="dxa" w:w="37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davon übrige vier Quellen je Nutzer</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0,06 €</w:t>
            </w:r>
          </w:p>
        </w:tc>
        <w:tc>
          <w:tcPr>
            <w:tcW w:type="dxa" w:w="432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Werkzeugabo, Tickets, Unterstützer, Gesundheit</w:t>
            </w:r>
          </w:p>
        </w:tc>
      </w:tr>
      <w:tr>
        <w:trPr>
          <w:cantSplit/>
        </w:trPr>
        <w:tc>
          <w:tcPr>
            <w:tcW w:type="dxa" w:w="3707"/>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7"/>
                <w:szCs w:val="17"/>
              </w:rPr>
              <w:t xml:space="preserve">Erlös je aktivem Nutzer und Monat</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7"/>
                <w:szCs w:val="17"/>
              </w:rPr>
              <w:t xml:space="preserve">0,33 €</w:t>
            </w:r>
          </w:p>
        </w:tc>
        <w:tc>
          <w:tcPr>
            <w:tcW w:type="dxa" w:w="4325"/>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sz w:val="17"/>
                <w:szCs w:val="17"/>
              </w:rPr>
              <w:t xml:space="preserve">ungerundet 0,3286 €</w:t>
            </w:r>
          </w:p>
        </w:tc>
      </w:tr>
      <w:tr>
        <w:trPr>
          <w:cantSplit/>
        </w:trPr>
        <w:tc>
          <w:tcPr>
            <w:tcW w:type="dxa" w:w="37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Durchschnittliche Verweildauer</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18 Monate</w:t>
            </w:r>
          </w:p>
        </w:tc>
        <w:tc>
          <w:tcPr>
            <w:tcW w:type="dxa" w:w="432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Handbuch B — optimistisch für ein lokal verankertes Produkt</w:t>
            </w:r>
          </w:p>
        </w:tc>
      </w:tr>
      <w:tr>
        <w:trPr>
          <w:cantSplit/>
        </w:trPr>
        <w:tc>
          <w:tcPr>
            <w:tcW w:type="dxa" w:w="3707"/>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7"/>
                <w:szCs w:val="17"/>
              </w:rPr>
              <w:t xml:space="preserve">Lebenszeitwert je Nutzer</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7"/>
                <w:szCs w:val="17"/>
              </w:rPr>
              <w:t xml:space="preserve">5,91 €</w:t>
            </w:r>
          </w:p>
        </w:tc>
        <w:tc>
          <w:tcPr>
            <w:tcW w:type="dxa" w:w="4325"/>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sz w:val="17"/>
                <w:szCs w:val="17"/>
              </w:rPr>
              <w:t xml:space="preserve">0,3286 € × 18</w:t>
            </w:r>
          </w:p>
        </w:tc>
      </w:tr>
      <w:tr>
        <w:trPr>
          <w:cantSplit/>
        </w:trPr>
        <w:tc>
          <w:tcPr>
            <w:tcW w:type="dxa" w:w="3707"/>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7"/>
                <w:szCs w:val="17"/>
              </w:rPr>
              <w:t xml:space="preserve">Tragbare Akquisekosten bei 3 : 1</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7"/>
                <w:szCs w:val="17"/>
              </w:rPr>
              <w:t xml:space="preserve">1,97 €</w:t>
            </w:r>
          </w:p>
        </w:tc>
        <w:tc>
          <w:tcPr>
            <w:tcW w:type="dxa" w:w="4325"/>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sz w:val="17"/>
                <w:szCs w:val="17"/>
              </w:rPr>
              <w:t xml:space="preserve">Mindestrelation für gesundes Wachstum</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4"/>
        <w:gridCol w:w="2718"/>
        <w:gridCol w:w="2966"/>
      </w:tblGrid>
      <w:tr>
        <w:trPr>
          <w:cantSplit/>
          <w:tblHeader/>
        </w:trPr>
        <w:tc>
          <w:tcPr>
            <w:tcW w:type="dxa" w:w="395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Kanal</w:t>
            </w:r>
          </w:p>
        </w:tc>
        <w:tc>
          <w:tcPr>
            <w:tcW w:type="dxa" w:w="271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Kosten je aktivem Nutzer</w:t>
            </w:r>
          </w:p>
        </w:tc>
        <w:tc>
          <w:tcPr>
            <w:tcW w:type="dxa" w:w="296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Tragbar?</w:t>
            </w:r>
          </w:p>
        </w:tc>
      </w:tr>
      <w:tr>
        <w:trPr>
          <w:cantSplit/>
        </w:trPr>
        <w:tc>
          <w:tcPr>
            <w:tcW w:type="dxa" w:w="39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Mundpropaganda, Empfehlung</w:t>
            </w:r>
          </w:p>
        </w:tc>
        <w:tc>
          <w:tcPr>
            <w:tcW w:type="dxa" w:w="27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nahe 0 €</w:t>
            </w:r>
          </w:p>
        </w:tc>
        <w:tc>
          <w:tcPr>
            <w:tcW w:type="dxa" w:w="29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ja</w:t>
            </w:r>
          </w:p>
        </w:tc>
      </w:tr>
      <w:tr>
        <w:trPr>
          <w:cantSplit/>
        </w:trPr>
        <w:tc>
          <w:tcPr>
            <w:tcW w:type="dxa" w:w="3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Eigene Social-Media-Kanäle</w:t>
            </w:r>
          </w:p>
        </w:tc>
        <w:tc>
          <w:tcPr>
            <w:tcW w:type="dxa" w:w="27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1–5 €</w:t>
            </w:r>
          </w:p>
        </w:tc>
        <w:tc>
          <w:tcPr>
            <w:tcW w:type="dxa" w:w="29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ja, im unteren Bereich</w:t>
            </w:r>
          </w:p>
        </w:tc>
      </w:tr>
      <w:tr>
        <w:trPr>
          <w:cantSplit/>
        </w:trPr>
        <w:tc>
          <w:tcPr>
            <w:tcW w:type="dxa" w:w="39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Queere Fachmedien, redaktionell</w:t>
            </w:r>
          </w:p>
        </w:tc>
        <w:tc>
          <w:tcPr>
            <w:tcW w:type="dxa" w:w="27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0–4 €</w:t>
            </w:r>
          </w:p>
        </w:tc>
        <w:tc>
          <w:tcPr>
            <w:tcW w:type="dxa" w:w="29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ja</w:t>
            </w:r>
          </w:p>
        </w:tc>
      </w:tr>
      <w:tr>
        <w:trPr>
          <w:cantSplit/>
        </w:trPr>
        <w:tc>
          <w:tcPr>
            <w:tcW w:type="dxa" w:w="3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Partnerschaften mit Orten</w:t>
            </w:r>
          </w:p>
        </w:tc>
        <w:tc>
          <w:tcPr>
            <w:tcW w:type="dxa" w:w="27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2–6 €</w:t>
            </w:r>
          </w:p>
        </w:tc>
        <w:tc>
          <w:tcPr>
            <w:tcW w:type="dxa" w:w="29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grenzwertig</w:t>
            </w:r>
          </w:p>
        </w:tc>
      </w:tr>
      <w:tr>
        <w:trPr>
          <w:cantSplit/>
        </w:trPr>
        <w:tc>
          <w:tcPr>
            <w:tcW w:type="dxa" w:w="39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CSD und Pride</w:t>
            </w:r>
          </w:p>
        </w:tc>
        <w:tc>
          <w:tcPr>
            <w:tcW w:type="dxa" w:w="27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3–9 €</w:t>
            </w:r>
          </w:p>
        </w:tc>
        <w:tc>
          <w:tcPr>
            <w:tcW w:type="dxa" w:w="29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nur als Sichtbarkeit</w:t>
            </w:r>
          </w:p>
        </w:tc>
      </w:tr>
      <w:tr>
        <w:trPr>
          <w:cantSplit/>
        </w:trPr>
        <w:tc>
          <w:tcPr>
            <w:tcW w:type="dxa" w:w="3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Micro-Creator</w:t>
            </w:r>
          </w:p>
        </w:tc>
        <w:tc>
          <w:tcPr>
            <w:tcW w:type="dxa" w:w="27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8–22 €</w:t>
            </w:r>
          </w:p>
        </w:tc>
        <w:tc>
          <w:tcPr>
            <w:tcW w:type="dxa" w:w="29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nein</w:t>
            </w:r>
          </w:p>
        </w:tc>
      </w:tr>
      <w:tr>
        <w:trPr>
          <w:cantSplit/>
        </w:trPr>
        <w:tc>
          <w:tcPr>
            <w:tcW w:type="dxa" w:w="39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Apple Search Ads</w:t>
            </w:r>
          </w:p>
        </w:tc>
        <w:tc>
          <w:tcPr>
            <w:tcW w:type="dxa" w:w="27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25–60 €</w:t>
            </w:r>
          </w:p>
        </w:tc>
        <w:tc>
          <w:tcPr>
            <w:tcW w:type="dxa" w:w="29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nein</w:t>
            </w:r>
          </w:p>
        </w:tc>
      </w:tr>
      <w:tr>
        <w:trPr>
          <w:cantSplit/>
        </w:trPr>
        <w:tc>
          <w:tcPr>
            <w:tcW w:type="dxa" w:w="395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Meta, TikTok bezahlt</w:t>
            </w:r>
          </w:p>
        </w:tc>
        <w:tc>
          <w:tcPr>
            <w:tcW w:type="dxa" w:w="27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60–150 €</w:t>
            </w:r>
          </w:p>
        </w:tc>
        <w:tc>
          <w:tcPr>
            <w:tcW w:type="dxa" w:w="29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7"/>
                <w:szCs w:val="17"/>
              </w:rPr>
              <w:t xml:space="preserve">nein, um Größenordnungen</w:t>
            </w:r>
          </w:p>
        </w:tc>
      </w:tr>
    </w:tbl>
    <w:p>
      <w:pPr>
        <w:spacing w:after="80"/>
      </w:pPr>
    </w:p>
    <w:p>
      <w:pPr>
        <w:keepNext w:val="false"/>
        <w:spacing w:after="120" w:before="0" w:line="276"/>
        <w:jc w:val="left"/>
      </w:pPr>
      <w:r>
        <w:rPr>
          <w:b/>
          <w:bCs/>
        </w:rPr>
        <w:t xml:space="preserve">Die organische Strategie ist keine Sparmaßnahme, sondern die einzige, die rechnerisch aufgeht.</w:t>
      </w:r>
      <w:r>
        <w:t xml:space="preserve"> Bei 33 Cent Erlös je Nutzer im Monat amortisiert sich kein bezahlter Kanal — der Abstand zwischen knapp 2 € tragbar und 60 € tatsächlich ist zu groß, um ihn zu schließen. Die großen Anbieter der Kategorie sind ebenfalls organisch gewachsen. Zwei Ausnahmen bleiben: Ein CSD-Auftritt lohnt sich wegen der Bekanntheit, nicht wegen der Installationen an einem Wochenende — deshalb liegt der Start in der CSD-Saison, mit Wagen und Ständen; und einmal im Jahr eine Rückholaktion für frühere Zahler mit ehrlichem Anlass.</w:t>
      </w:r>
    </w:p>
    <w:p>
      <w:pPr>
        <w:pStyle w:val="Heading3"/>
        <w:keepNext/>
        <w:spacing w:after="60" w:before="160"/>
      </w:pPr>
      <w:r>
        <w:t xml:space="preserve">Wie der Kanal aufgebaut wird</w:t>
      </w:r>
    </w:p>
    <w:p>
      <w:pPr>
        <w:pStyle w:val="ListParagraph"/>
        <w:numPr>
          <w:ilvl w:val="0"/>
          <w:numId w:val="3"/>
        </w:numPr>
        <w:spacing w:after="60" w:line="264"/>
      </w:pPr>
      <w:r>
        <w:rPr>
          <w:b/>
          <w:bCs/>
        </w:rPr>
        <w:t xml:space="preserve">Vorlauf:</w:t>
      </w:r>
      <w:r>
        <w:t xml:space="preserve"> Ein tragfähiger Kanal braucht sechs bis neun Monate. Deshalb startet die Produktion neun Monate vor dem Start — im Bestfall im Oktober 2027, nach der Planungsgrundlage ein Jahr später.</w:t>
      </w:r>
    </w:p>
    <w:p>
      <w:pPr>
        <w:pStyle w:val="ListParagraph"/>
        <w:numPr>
          <w:ilvl w:val="0"/>
          <w:numId w:val="3"/>
        </w:numPr>
        <w:spacing w:after="60" w:line="264"/>
      </w:pPr>
      <w:r>
        <w:rPr>
          <w:b/>
          <w:bCs/>
        </w:rPr>
        <w:t xml:space="preserve">Fünf Inhaltssäulen:</w:t>
      </w:r>
      <w:r>
        <w:t xml:space="preserve"> Bauen in der Öffentlichkeit 40 %, Haltung und Erklärung 25 %, Ortsporträts 20 %, was in der Szene läuft 10 %, Fragen an die Gemeinschaft 5 %.</w:t>
      </w:r>
    </w:p>
    <w:p>
      <w:pPr>
        <w:pStyle w:val="ListParagraph"/>
        <w:numPr>
          <w:ilvl w:val="0"/>
          <w:numId w:val="3"/>
        </w:numPr>
        <w:spacing w:after="60" w:line="264"/>
      </w:pPr>
      <w:r>
        <w:rPr>
          <w:b/>
          <w:bCs/>
        </w:rPr>
        <w:t xml:space="preserve">Kanäle:</w:t>
      </w:r>
      <w:r>
        <w:t xml:space="preserve"> TikTok und Instagram mit hoher Priorität, Reddit und Telegram durch echte Teilnahme statt Werbung, LinkedIn einmal im Monat für Partner und Förderer.</w:t>
      </w:r>
    </w:p>
    <w:p>
      <w:pPr>
        <w:pStyle w:val="ListParagraph"/>
        <w:numPr>
          <w:ilvl w:val="0"/>
          <w:numId w:val="3"/>
        </w:numPr>
        <w:spacing w:after="60" w:line="264"/>
      </w:pPr>
      <w:r>
        <w:rPr>
          <w:b/>
          <w:bCs/>
        </w:rPr>
        <w:t xml:space="preserve">Regional statt viral:</w:t>
      </w:r>
      <w:r>
        <w:t xml:space="preserve"> 20.000 Installationen in ein leeres Raster erzeugen 20.000 Menschen, die die App gelöscht haben und nie wiederkommen. Reichweite wird regional ausgespielt, solange nur Köln tragfähig ist.</w:t>
      </w:r>
    </w:p>
    <w:p>
      <w:pPr>
        <w:pStyle w:val="Heading3"/>
        <w:keepNext/>
        <w:spacing w:after="60" w:before="160"/>
      </w:pPr>
      <w:r>
        <w:t xml:space="preserve">Ortsbeziehungen als Vertriebskanal</w:t>
      </w:r>
    </w:p>
    <w:p>
      <w:pPr>
        <w:keepNext w:val="false"/>
        <w:spacing w:after="120" w:before="0" w:line="276"/>
        <w:jc w:val="left"/>
      </w:pPr>
      <w:r>
        <w:t xml:space="preserve">Die Orte sind zugleich Produktinhalt und Vertriebsweg. Gesprochen wird persönlich, unter der Woche am frühen Abend, und zuerst mit einer Frage statt einem Angebot: „Was würde Ihnen helfen, mehr Leute an einem Mittwoch reinzubekommen?“ Handbuch B sieht für das erste Jahr einen Tausch vor: Der Ort zeigt einen QR-Code hinter der Theke und erscheint dafür im Verzeichnis hervorgehoben. Seit dem Beschluss, dass es keine bezahlte Hervorhebung gibt, ist offen, ob dieser Tausch noch zulässig ist (Anhang B); der QR-Code selbst bleibt als Bitte. Die Tor-1-Rechnung setzt zwölf aktive Partnerorte mit QR-Code an; sie tragen im mittleren Fall rund 1.000 der erwarteten Eintragungen auf der Warteliste.</w:t>
      </w:r>
    </w:p>
    <w:p>
      <w:pPr>
        <w:keepNext w:val="false"/>
        <w:spacing w:after="120" w:before="0" w:line="276"/>
        <w:jc w:val="left"/>
      </w:pPr>
      <w:r>
        <w:rPr>
          <w:b/>
          <w:bCs/>
        </w:rPr>
        <w:t xml:space="preserve">Geplant:</w:t>
      </w:r>
      <w:r>
        <w:t xml:space="preserve"> Nach dem ersten Prüftor erscheint drei Monate lang jeden Donnerstag eine Übersicht öffentlicher Termine aus Köln — der Reiter „Heute“, bevor es ihn in der App gibt. Das Angebot an die Orte ist einfach: kostenlose Verbreitung ihrer Termine, ohne dass sie etwas Neues lernen müssen.</w:t>
      </w:r>
    </w:p>
    <w:p>
      <w:pPr>
        <w:pStyle w:val="Heading3"/>
        <w:keepNext/>
        <w:spacing w:after="60" w:before="160"/>
      </w:pPr>
      <w:r>
        <w:t xml:space="preserve">Mit wem wir uns verbinden</w:t>
      </w:r>
    </w:p>
    <w:p>
      <w:pPr>
        <w:pStyle w:val="ListParagraph"/>
        <w:numPr>
          <w:ilvl w:val="0"/>
          <w:numId w:val="3"/>
        </w:numPr>
        <w:spacing w:after="60" w:line="264"/>
      </w:pPr>
      <w:r>
        <w:rPr>
          <w:b/>
          <w:bCs/>
        </w:rPr>
        <w:t xml:space="preserve">Betreiber lokaler Orte</w:t>
      </w:r>
      <w:r>
        <w:t xml:space="preserve"> — die wichtigste Gruppe, ab dem ersten Monat, nie per Werbemail.</w:t>
      </w:r>
    </w:p>
    <w:p>
      <w:pPr>
        <w:pStyle w:val="ListParagraph"/>
        <w:numPr>
          <w:ilvl w:val="0"/>
          <w:numId w:val="3"/>
        </w:numPr>
        <w:spacing w:after="60" w:line="264"/>
      </w:pPr>
      <w:r>
        <w:rPr>
          <w:b/>
          <w:bCs/>
        </w:rPr>
        <w:t xml:space="preserve">Partyreihen und DJs</w:t>
      </w:r>
      <w:r>
        <w:t xml:space="preserve"> — eigene Reichweite und direktes Interesse an Terminverbreitung.</w:t>
      </w:r>
    </w:p>
    <w:p>
      <w:pPr>
        <w:pStyle w:val="ListParagraph"/>
        <w:numPr>
          <w:ilvl w:val="0"/>
          <w:numId w:val="3"/>
        </w:numPr>
        <w:spacing w:after="60" w:line="264"/>
      </w:pPr>
      <w:r>
        <w:rPr>
          <w:b/>
          <w:bCs/>
        </w:rPr>
        <w:t xml:space="preserve">CSD-Vereine</w:t>
      </w:r>
      <w:r>
        <w:t xml:space="preserve"> — planen ein Jahr im Voraus; wir kommen als Terminpartner, nicht als Sponsor.</w:t>
      </w:r>
    </w:p>
    <w:p>
      <w:pPr>
        <w:pStyle w:val="ListParagraph"/>
        <w:numPr>
          <w:ilvl w:val="0"/>
          <w:numId w:val="3"/>
        </w:numPr>
        <w:spacing w:after="60" w:line="264"/>
      </w:pPr>
      <w:r>
        <w:rPr>
          <w:b/>
          <w:bCs/>
        </w:rPr>
        <w:t xml:space="preserve">Queere Medien</w:t>
      </w:r>
      <w:r>
        <w:t xml:space="preserve"> — erst, wenn es etwas zu zeigen gibt.</w:t>
      </w:r>
    </w:p>
    <w:p>
      <w:pPr>
        <w:pStyle w:val="ListParagraph"/>
        <w:numPr>
          <w:ilvl w:val="0"/>
          <w:numId w:val="3"/>
        </w:numPr>
        <w:spacing w:after="60" w:line="264"/>
      </w:pPr>
      <w:r>
        <w:rPr>
          <w:b/>
          <w:bCs/>
        </w:rPr>
        <w:t xml:space="preserve">Micro-Creator mit 5.000 bis 50.000 Followern</w:t>
      </w:r>
      <w:r>
        <w:t xml:space="preserve"> — Dauerbeziehungen, früher Testzugang statt Geld.</w:t>
      </w:r>
    </w:p>
    <w:p>
      <w:pPr>
        <w:pStyle w:val="ListParagraph"/>
        <w:numPr>
          <w:ilvl w:val="0"/>
          <w:numId w:val="3"/>
        </w:numPr>
        <w:spacing w:after="60" w:line="264"/>
      </w:pPr>
      <w:r>
        <w:rPr>
          <w:b/>
          <w:bCs/>
        </w:rPr>
        <w:t xml:space="preserve">Beratungsstellen, Aidshilfen, Sportvereine</w:t>
      </w:r>
      <w:r>
        <w:t xml:space="preserve"> — mit einem Angebot, nicht mit einer Bitte.</w:t>
      </w:r>
    </w:p>
    <w:p>
      <w:pPr>
        <w:pStyle w:val="Heading1"/>
        <w:keepNext/>
        <w:pBdr>
          <w:bottom w:val="single" w:color="2E74B5" w:sz="6" w:space="2"/>
        </w:pBdr>
        <w:spacing w:after="120" w:before="240"/>
      </w:pPr>
      <w:r>
        <w:t xml:space="preserve">7 · Team und Organisation</w:t>
      </w:r>
    </w:p>
    <w:p>
      <w:pPr>
        <w:keepNext w:val="false"/>
        <w:spacing w:after="120" w:before="0" w:line="276"/>
        <w:jc w:val="left"/>
      </w:pPr>
      <w:r>
        <w:t xml:space="preserve">Zwei Gründer mit klarer Aufgabenteilung nach dem </w:t>
      </w:r>
      <w:r>
        <w:rPr>
          <w:b/>
          <w:bCs/>
        </w:rPr>
        <w:t xml:space="preserve">Ressortprinzip</w:t>
      </w:r>
      <w:r>
        <w:t xml:space="preserve">: Jeder hat in seinem Bereich das letzte Wort. Bis zum Start wird vorbereitet, was sich ohne Gesellschaft vorbereiten lässt. Gehälter sind im Finanzmodell in keinem Szenario angesetzt; die Lebenshaltung beider Gründer ist bis zum Break-even als Teil des Gesamtbedarfs gerechnet.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1"/>
        <w:gridCol w:w="1134"/>
        <w:gridCol w:w="1474"/>
        <w:gridCol w:w="4309"/>
      </w:tblGrid>
      <w:tr>
        <w:trPr>
          <w:cantSplit/>
          <w:tblHeader/>
        </w:trPr>
        <w:tc>
          <w:tcPr>
            <w:tcW w:type="dxa" w:w="272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Rolle</w:t>
            </w:r>
          </w:p>
        </w:tc>
        <w:tc>
          <w:tcPr>
            <w:tcW w:type="dxa" w:w="113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Ab wann</w:t>
            </w:r>
          </w:p>
        </w:tc>
        <w:tc>
          <w:tcPr>
            <w:tcW w:type="dxa" w:w="147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Umfang</w:t>
            </w:r>
          </w:p>
        </w:tc>
        <w:tc>
          <w:tcPr>
            <w:tcW w:type="dxa" w:w="430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Aufgabe</w:t>
            </w:r>
          </w:p>
        </w:tc>
      </w:tr>
      <w:tr>
        <w:trPr>
          <w:cantSplit/>
        </w:trPr>
        <w:tc>
          <w:tcPr>
            <w:tcW w:type="dxa" w:w="27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Nicolas Greulich</w:t>
            </w:r>
            <w:r>
              <w:rPr>
                <w:sz w:val="17"/>
                <w:szCs w:val="17"/>
              </w:rPr>
              <w:t xml:space="preserve"> — Technik und Produktentwicklung</w:t>
            </w:r>
          </w:p>
        </w:tc>
        <w:tc>
          <w:tcPr>
            <w:tcW w:type="dxa" w:w="11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Monat 4</w:t>
            </w:r>
          </w:p>
        </w:tc>
        <w:tc>
          <w:tcPr>
            <w:tcW w:type="dxa" w:w="147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Vollzeit</w:t>
            </w:r>
          </w:p>
        </w:tc>
        <w:tc>
          <w:tcPr>
            <w:tcW w:type="dxa" w:w="43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Standort- und Bildarchitektur, Datenmodell, Chat, Moderations-Backend, Bau beider Plattformen</w:t>
            </w:r>
          </w:p>
        </w:tc>
      </w:tr>
      <w:tr>
        <w:trPr>
          <w:cantSplit/>
        </w:trPr>
        <w:tc>
          <w:tcPr>
            <w:tcW w:type="dxa" w:w="27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Henry Luca Kurz</w:t>
            </w:r>
            <w:r>
              <w:rPr>
                <w:sz w:val="17"/>
                <w:szCs w:val="17"/>
              </w:rPr>
              <w:t xml:space="preserve"> — Marketing, Veranstaltungen, Partnerschaften</w:t>
            </w:r>
          </w:p>
        </w:tc>
        <w:tc>
          <w:tcPr>
            <w:tcW w:type="dxa" w:w="11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Monat 1</w:t>
            </w:r>
          </w:p>
        </w:tc>
        <w:tc>
          <w:tcPr>
            <w:tcW w:type="dxa" w:w="147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Vollzeit</w:t>
            </w:r>
          </w:p>
        </w:tc>
        <w:tc>
          <w:tcPr>
            <w:tcW w:type="dxa" w:w="43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Marke und eigene Kanäle, Veranstaltungen und CSD-Auftritte, Partnerschaften mit Clubs und Orten; rund 40 % der Zeit für die eigenen Kanäle</w:t>
            </w:r>
          </w:p>
        </w:tc>
      </w:tr>
      <w:tr>
        <w:trPr>
          <w:cantSplit/>
        </w:trPr>
        <w:tc>
          <w:tcPr>
            <w:tcW w:type="dxa" w:w="27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Noch zu verteilen</w:t>
            </w:r>
          </w:p>
        </w:tc>
        <w:tc>
          <w:tcPr>
            <w:tcW w:type="dxa" w:w="11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w:t>
            </w:r>
          </w:p>
        </w:tc>
        <w:tc>
          <w:tcPr>
            <w:tcW w:type="dxa" w:w="147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w:t>
            </w:r>
          </w:p>
        </w:tc>
        <w:tc>
          <w:tcPr>
            <w:tcW w:type="dxa" w:w="43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Finanzen, Recht, Datenschutz und Moderation — die Gründer legen die Zuständigkeit vor der Gründung fest</w:t>
            </w:r>
          </w:p>
        </w:tc>
      </w:tr>
      <w:tr>
        <w:trPr>
          <w:cantSplit/>
        </w:trPr>
        <w:tc>
          <w:tcPr>
            <w:tcW w:type="dxa" w:w="27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Beide — Ortsakquise</w:t>
            </w:r>
          </w:p>
        </w:tc>
        <w:tc>
          <w:tcPr>
            <w:tcW w:type="dxa" w:w="11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Monat 1</w:t>
            </w:r>
          </w:p>
        </w:tc>
        <w:tc>
          <w:tcPr>
            <w:tcW w:type="dxa" w:w="147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1–2 Tage je Woche</w:t>
            </w:r>
          </w:p>
        </w:tc>
        <w:tc>
          <w:tcPr>
            <w:tcW w:type="dxa" w:w="43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nicht delegierbar: der einzige Vorteil, den niemand kopieren kann</w:t>
            </w:r>
          </w:p>
        </w:tc>
      </w:tr>
      <w:tr>
        <w:trPr>
          <w:cantSplit/>
        </w:trPr>
        <w:tc>
          <w:tcPr>
            <w:tcW w:type="dxa" w:w="272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Beide — Moderation</w:t>
            </w:r>
          </w:p>
        </w:tc>
        <w:tc>
          <w:tcPr>
            <w:tcW w:type="dxa" w:w="113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Monat 8</w:t>
            </w:r>
          </w:p>
        </w:tc>
        <w:tc>
          <w:tcPr>
            <w:tcW w:type="dxa" w:w="147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1 Stunde am Tag</w:t>
            </w:r>
          </w:p>
        </w:tc>
        <w:tc>
          <w:tcPr>
            <w:tcW w:type="dxa" w:w="43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anfangs selbst; man lernt dabei mehr über die Nutzer als aus jeder Statistik</w:t>
            </w:r>
          </w:p>
        </w:tc>
      </w:tr>
    </w:tbl>
    <w:p>
      <w:pPr>
        <w:spacing w:after="80"/>
      </w:pPr>
    </w:p>
    <w:p>
      <w:pPr>
        <w:keepNext w:val="false"/>
        <w:spacing w:after="120" w:before="0" w:line="276"/>
        <w:jc w:val="left"/>
      </w:pPr>
      <w:r>
        <w:t xml:space="preserve">[KURZPROFILE — von den Gründern zu ergänzen: Werdegang, Fähigkeiten, bisherige Projekte, Motivation. Belegbar und ohne Übertreibung.]</w:t>
      </w:r>
    </w:p>
    <w:p>
      <w:pPr>
        <w:pStyle w:val="Heading3"/>
        <w:keepNext/>
        <w:spacing w:after="60" w:before="160"/>
      </w:pPr>
      <w:r>
        <w:t xml:space="preserve">Externe Rollen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1314"/>
        <w:gridCol w:w="1752"/>
        <w:gridCol w:w="4162"/>
      </w:tblGrid>
      <w:tr>
        <w:trPr>
          <w:cantSplit/>
          <w:tblHeader/>
        </w:trPr>
        <w:tc>
          <w:tcPr>
            <w:tcW w:type="dxa" w:w="241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Rolle</w:t>
            </w:r>
          </w:p>
        </w:tc>
        <w:tc>
          <w:tcPr>
            <w:tcW w:type="dxa" w:w="131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Ab wann</w:t>
            </w:r>
          </w:p>
        </w:tc>
        <w:tc>
          <w:tcPr>
            <w:tcW w:type="dxa" w:w="1752"/>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Umfang</w:t>
            </w:r>
          </w:p>
        </w:tc>
        <w:tc>
          <w:tcPr>
            <w:tcW w:type="dxa" w:w="4162"/>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Warum</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Fachanwalt IT-Recht</w:t>
            </w:r>
          </w:p>
        </w:tc>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1</w:t>
            </w:r>
          </w:p>
        </w:tc>
        <w:tc>
          <w:tcPr>
            <w:tcW w:type="dxa" w:w="17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einmalig und laufend</w:t>
            </w:r>
          </w:p>
        </w:tc>
        <w:tc>
          <w:tcPr>
            <w:tcW w:type="dxa" w:w="41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AGB, Datenschutzerklärung, Einwilligung, Einordnung nach DSA und Jugendschutz</w:t>
            </w:r>
          </w:p>
        </w:tc>
      </w:tr>
      <w:tr>
        <w:trPr>
          <w:cantSplit/>
        </w:trPr>
        <w:tc>
          <w:tcPr>
            <w:tcW w:type="dxa" w:w="241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Datenschutzbeauftragter</w:t>
            </w:r>
          </w:p>
        </w:tc>
        <w:tc>
          <w:tcPr>
            <w:tcW w:type="dxa" w:w="131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Monat 1</w:t>
            </w:r>
          </w:p>
        </w:tc>
        <w:tc>
          <w:tcPr>
            <w:tcW w:type="dxa" w:w="17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laufend</w:t>
            </w:r>
          </w:p>
        </w:tc>
        <w:tc>
          <w:tcPr>
            <w:tcW w:type="dxa" w:w="416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gesetzlich verpflichtend ab dem ersten Tag</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Jugendschutzbeauftragter</w:t>
            </w:r>
          </w:p>
        </w:tc>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vor dem Start</w:t>
            </w:r>
          </w:p>
        </w:tc>
        <w:tc>
          <w:tcPr>
            <w:tcW w:type="dxa" w:w="17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laufend</w:t>
            </w:r>
          </w:p>
        </w:tc>
        <w:tc>
          <w:tcPr>
            <w:tcW w:type="dxa" w:w="41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nach § 7 JMStV, kombinierbar</w:t>
            </w:r>
          </w:p>
        </w:tc>
      </w:tr>
      <w:tr>
        <w:trPr>
          <w:cantSplit/>
        </w:trPr>
        <w:tc>
          <w:tcPr>
            <w:tcW w:type="dxa" w:w="241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Code-Prüfung</w:t>
            </w:r>
          </w:p>
        </w:tc>
        <w:tc>
          <w:tcPr>
            <w:tcW w:type="dxa" w:w="131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vor dem Start</w:t>
            </w:r>
          </w:p>
        </w:tc>
        <w:tc>
          <w:tcPr>
            <w:tcW w:type="dxa" w:w="17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einmalig</w:t>
            </w:r>
          </w:p>
        </w:tc>
        <w:tc>
          <w:tcPr>
            <w:tcW w:type="dxa" w:w="416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Prüfung des gesamten Codes beider Plattformen durch Externe</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Penetrationstest</w:t>
            </w:r>
          </w:p>
        </w:tc>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8–9</w:t>
            </w:r>
          </w:p>
        </w:tc>
        <w:tc>
          <w:tcPr>
            <w:tcW w:type="dxa" w:w="17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3–5 Tage</w:t>
            </w:r>
          </w:p>
        </w:tc>
        <w:tc>
          <w:tcPr>
            <w:tcW w:type="dxa" w:w="41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vor dem öffentlichen Start</w:t>
            </w:r>
          </w:p>
        </w:tc>
      </w:tr>
      <w:tr>
        <w:trPr>
          <w:cantSplit/>
        </w:trPr>
        <w:tc>
          <w:tcPr>
            <w:tcW w:type="dxa" w:w="241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UI-Gestaltung</w:t>
            </w:r>
          </w:p>
        </w:tc>
        <w:tc>
          <w:tcPr>
            <w:tcW w:type="dxa" w:w="131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Monat 3–4</w:t>
            </w:r>
          </w:p>
        </w:tc>
        <w:tc>
          <w:tcPr>
            <w:tcW w:type="dxa" w:w="17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8–12 Tage</w:t>
            </w:r>
          </w:p>
        </w:tc>
        <w:tc>
          <w:tcPr>
            <w:tcW w:type="dxa" w:w="416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bei einer fotogetriebenen App ist Gestaltung Produktqualität</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Beratung Taxonomie</w:t>
            </w:r>
          </w:p>
        </w:tc>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2</w:t>
            </w:r>
          </w:p>
        </w:tc>
        <w:tc>
          <w:tcPr>
            <w:tcW w:type="dxa" w:w="17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3 Tage</w:t>
            </w:r>
          </w:p>
        </w:tc>
        <w:tc>
          <w:tcPr>
            <w:tcW w:type="dxa" w:w="41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trans und nichtbinäre Personen, bezahlt</w:t>
            </w:r>
          </w:p>
        </w:tc>
      </w:tr>
      <w:tr>
        <w:trPr>
          <w:cantSplit/>
        </w:trPr>
        <w:tc>
          <w:tcPr>
            <w:tcW w:type="dxa" w:w="241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Barrierefreiheit</w:t>
            </w:r>
          </w:p>
        </w:tc>
        <w:tc>
          <w:tcPr>
            <w:tcW w:type="dxa" w:w="131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Monat 8</w:t>
            </w:r>
          </w:p>
        </w:tc>
        <w:tc>
          <w:tcPr>
            <w:tcW w:type="dxa" w:w="175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2–3 Tage</w:t>
            </w:r>
          </w:p>
        </w:tc>
        <w:tc>
          <w:tcPr>
            <w:tcW w:type="dxa" w:w="416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Prüfung durch Betroffene</w:t>
            </w:r>
          </w:p>
        </w:tc>
      </w:tr>
      <w:tr>
        <w:trPr>
          <w:cantSplit/>
        </w:trPr>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Kryptografie</w:t>
            </w:r>
          </w:p>
        </w:tc>
        <w:tc>
          <w:tcPr>
            <w:tcW w:type="dxa" w:w="13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ab Monat 16</w:t>
            </w:r>
          </w:p>
        </w:tc>
        <w:tc>
          <w:tcPr>
            <w:tcW w:type="dxa" w:w="175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10–20 Tage</w:t>
            </w:r>
          </w:p>
        </w:tc>
        <w:tc>
          <w:tcPr>
            <w:tcW w:type="dxa" w:w="416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Ende-zu-Ende-Verschlüsselung für Texte ab 15.000 MAU</w:t>
            </w:r>
          </w:p>
        </w:tc>
      </w:tr>
    </w:tbl>
    <w:p>
      <w:pPr>
        <w:spacing w:after="80"/>
      </w:pPr>
    </w:p>
    <w:p>
      <w:pPr>
        <w:keepNext w:val="false"/>
        <w:spacing w:after="120" w:before="0" w:line="276"/>
        <w:jc w:val="left"/>
      </w:pPr>
      <w:r>
        <w:rPr>
          <w:b/>
          <w:bCs/>
        </w:rPr>
        <w:t xml:space="preserve">Gesellschaftsvertrag.</w:t>
      </w:r>
      <w:r>
        <w:t xml:space="preserve"> Beschlossen sind: Beteiligung 50/50, Stammkapital 25.000 € voll eingezahlt (je 12.500 €), das Ressortprinzip mit Mediation und einer Beiratsperson für Grundsatzfragen statt eines Stichentscheids, Vesting über vier Jahre mit zwölf Monaten Wartezeit, Regeln für reduzierte Mitarbeit, Mitverkaufsrecht und -pflicht sowie ein Wettbewerbsverbot. Die Formulierung übernehmen Notar und Anwalt. [OFFEN: die Beiratsperson und die Zuständigkeit für Finanzen, Recht, Datenschutz und Moderation.]</w:t>
      </w:r>
    </w:p>
    <w:p>
      <w:pPr>
        <w:keepNext w:val="false"/>
        <w:spacing w:after="120" w:before="0" w:line="276"/>
        <w:jc w:val="left"/>
      </w:pPr>
      <w:r>
        <w:rPr>
          <w:b/>
          <w:bCs/>
        </w:rPr>
        <w:t xml:space="preserve">Belastung ernst nehmen.</w:t>
      </w:r>
      <w:r>
        <w:t xml:space="preserve"> Gründererschöpfung steht in der Risikomatrix unter den kritischen Risiken. Gegenmittel: feste Ruhezeiten, Dokumentation, die eine Einarbeitung Dritter erlaubt, und ein Gespräch im Quartal mit einer einzigen Frage — Willst du das noch?</w:t>
      </w:r>
    </w:p>
    <w:p>
      <w:pPr>
        <w:pStyle w:val="Heading1"/>
        <w:keepNext/>
        <w:pBdr>
          <w:bottom w:val="single" w:color="2E74B5" w:sz="6" w:space="2"/>
        </w:pBdr>
        <w:spacing w:after="120" w:before="240"/>
      </w:pPr>
      <w:r>
        <w:t xml:space="preserve">8 · Rechtsrahmen</w:t>
      </w:r>
    </w:p>
    <w:p>
      <w:pPr>
        <w:keepNext w:val="false"/>
        <w:spacing w:after="120" w:before="0" w:line="276"/>
        <w:jc w:val="left"/>
      </w:pPr>
      <w:r>
        <w:t xml:space="preserve">Cruizy verarbeitet von der ersten Registrierung an besondere Kategorien personenbezogener Daten. Der Rechtsrahmen ist deshalb kein Anhang, sondern Teil des Produktdesigns — und ein Vorteil: Die Architektur wird von Anfang an so gebaut, dass sie die Pflichten erfüllt. Nachträglich ließe sie sich nicht mehr einbauen.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735"/>
        <w:gridCol w:w="3975"/>
      </w:tblGrid>
      <w:tr>
        <w:trPr>
          <w:cantSplit/>
          <w:tblHeader/>
        </w:trPr>
        <w:tc>
          <w:tcPr>
            <w:tcW w:type="dxa" w:w="192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Bereich</w:t>
            </w:r>
          </w:p>
        </w:tc>
        <w:tc>
          <w:tcPr>
            <w:tcW w:type="dxa" w:w="373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Pflicht</w:t>
            </w:r>
          </w:p>
        </w:tc>
        <w:tc>
          <w:tcPr>
            <w:tcW w:type="dxa" w:w="397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Wie Cruizy sie umsetzt</w:t>
            </w:r>
          </w:p>
        </w:tc>
      </w:tr>
      <w:tr>
        <w:trPr>
          <w:cantSplit/>
        </w:trPr>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Datenschutz</w:t>
            </w:r>
          </w:p>
        </w:tc>
        <w:tc>
          <w:tcPr>
            <w:tcW w:type="dxa" w:w="37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ausdrückliche Einwilligung (Art. 9 Abs. 2 lit. a DSGVO), Folgenabschätzung vor Verarbeitungsbeginn, Datenschutzbeauftragter ab Tag 1, vollständiges Verarbeitungsverzeichnis</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Einwilligungen versioniert gespeichert; vollständige Löschung und Export ab der ersten Datenbankversion; Rechtsnachfolge in der Datenschutzerklärung von Anfang an vorgesehen</w:t>
            </w:r>
          </w:p>
        </w:tc>
      </w:tr>
      <w:tr>
        <w:trPr>
          <w:cantSplit/>
        </w:trPr>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Architektur</w:t>
            </w:r>
          </w:p>
        </w:tc>
        <w:tc>
          <w:tcPr>
            <w:tcW w:type="dxa" w:w="37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technische Maßnahmen nach Art. 32 DSGVO</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Standortunschärfe auf dem Server, nur vier Entfernungsstufen, Bildaufbereitung ohne Metadaten, getrennte Ablage, Hosting in Deutschland</w:t>
            </w:r>
          </w:p>
        </w:tc>
      </w:tr>
      <w:tr>
        <w:trPr>
          <w:cantSplit/>
        </w:trPr>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Jugendschutz</w:t>
            </w:r>
          </w:p>
        </w:tc>
        <w:tc>
          <w:tcPr>
            <w:tcW w:type="dxa" w:w="37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geschlossene Benutzergruppe, sobald pornografische Inhalte zugänglich sind (§ 4 Abs. 2 JMStV); Jugendschutzbeauftragter (§ 7 JMStV)</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öffentlicher Bereich ohne explizite Inhalte; explizite Inhalte nur in privaten, beidseitig freigegebenen Alben; zweistufige Altersprüfung vorgesehen. Die Grundfrage klärt der Fachanwalt zuerst</w:t>
            </w:r>
          </w:p>
        </w:tc>
      </w:tr>
      <w:tr>
        <w:trPr>
          <w:cantSplit/>
        </w:trPr>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Altersprüfung</w:t>
            </w:r>
          </w:p>
        </w:tc>
        <w:tc>
          <w:tcPr>
            <w:tcW w:type="dxa" w:w="37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einmalige Identifizierung plus Authentifizierung nach den Kriterien der Kommission für Jugendmedienschutz</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mehrere Wege im Blick: eID des Personalausweises, staatliche Wallet ab 02.01.2027, positiv bewertete Module zur KI-Altersschätzung mit festem Sicherheitspuffer</w:t>
            </w:r>
          </w:p>
        </w:tc>
      </w:tr>
      <w:tr>
        <w:trPr>
          <w:cantSplit/>
        </w:trPr>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Plattformrecht</w:t>
            </w:r>
          </w:p>
        </w:tc>
        <w:tc>
          <w:tcPr>
            <w:tcW w:type="dxa" w:w="37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Kontaktstellen, transparente AGB, Melde- und Abhilfeverfahren, Meldung schwerer Straftaten (DSA, DDG), Anbieterkennzeichnung (§ 5 DDG)</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Meldung mit Fallnummer, begründete Entscheidungen, Widerspruch aus der App; keine Sperre ohne menschliche Prüfmöglichkeit (Art. 22 DSGVO)</w:t>
            </w:r>
          </w:p>
        </w:tc>
      </w:tr>
      <w:tr>
        <w:trPr>
          <w:cantSplit/>
        </w:trPr>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Missbrauchsdarstellungen</w:t>
            </w:r>
          </w:p>
        </w:tc>
        <w:tc>
          <w:tcPr>
            <w:tcW w:type="dxa" w:w="37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null Toleranz (§ 184b StGB), strafrechtliche Verantwortung der Geschäftsführung</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Abgleich jedes Bildes vor der Veröffentlichung. Die EU-Übergangsregel für den freiwilligen Abgleich in privater Kommunikation gilt bis 03.04.2028 — der Abgleich im privaten Bereich ist deshalb abschaltbar gebaut</w:t>
            </w:r>
          </w:p>
        </w:tc>
      </w:tr>
      <w:tr>
        <w:trPr>
          <w:cantSplit/>
        </w:trPr>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Verbraucher und Werbung</w:t>
            </w:r>
          </w:p>
        </w:tc>
        <w:tc>
          <w:tcPr>
            <w:tcW w:type="dxa" w:w="37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Kündigungsbutton (§ 312k BGB), klare Preisangaben, keine irreführenden Sicherheitsaussagen (§ 5 UWG), keine Werbung auf Basis sensibler Profile (Art. 26 Abs. 3 DSA)</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Kündigung mit zwei Tipps; nie „100 % sicher“; keine Werbung im Raster und im Chat</w:t>
            </w:r>
          </w:p>
        </w:tc>
      </w:tr>
      <w:tr>
        <w:trPr>
          <w:cantSplit/>
        </w:trPr>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KI-Verordnung</w:t>
            </w:r>
          </w:p>
        </w:tc>
        <w:tc>
          <w:tcPr>
            <w:tcW w:type="dxa" w:w="37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geringe Betroffenheit ohne nutzerseitige KI-Funktionen; Ausnahme: biometrische Altersschätzung</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Aufnahme in Folgenabschätzung und Anbieterauswahl; die Pflichten für Hochrisiko-Systeme nach Anhang III gelten ab 02.12.2027 — Einordnung durch den Fachanwalt</w:t>
            </w:r>
          </w:p>
        </w:tc>
      </w:tr>
    </w:tbl>
    <w:p>
      <w:pPr>
        <w:spacing w:after="80"/>
      </w:pPr>
    </w:p>
    <w:p>
      <w:pPr>
        <w:keepNext w:val="false"/>
        <w:spacing w:after="120" w:before="0" w:line="276"/>
        <w:jc w:val="left"/>
      </w:pPr>
      <w:r>
        <w:rPr>
          <w:b/>
          <w:bCs/>
        </w:rPr>
        <w:t xml:space="preserve">Budget.</w:t>
      </w:r>
      <w:r>
        <w:t xml:space="preserve"> Für Recht und Compliance sind einmalig 15.500 € eingeplant (AGB und Datenschutzerklärung 5.500 €, Folgenabschätzung 4.500 €, DSA- und DDG-Prüfung 3.000 €, Jugendschutzgutachten 2.500 €), dazu laufend Datenschutzbeauftragter, Jugendschutzbeauftragter und eine Rückstellung für Rechtsberatung.</w:t>
      </w:r>
    </w:p>
    <w:p>
      <w:pPr>
        <w:keepNext w:val="false"/>
        <w:spacing w:after="120" w:before="0" w:line="276"/>
        <w:jc w:val="left"/>
      </w:pPr>
      <w:r>
        <w:rPr>
          <w:b/>
          <w:bCs/>
        </w:rPr>
        <w:t xml:space="preserve">Vorbereitung.</w:t>
      </w:r>
      <w:r>
        <w:t xml:space="preserve"> Eine Mandantenakte mit Fragen aus fünfzehn Rechtsgebieten liegt vor, ergänzt um vier Nachträge (Juli bis September 2026); zusammen mit den Entwürfen der Rechtstexte und dem Veranstaltungskonzept sind 124 Fragen gesammelt und nach Dringlichkeit sortiert. Die Grundfrage zum Jugendschutz steht an erster Stelle, weil ihre Antwort Kosten und Produktdesign bestimmt.</w:t>
      </w:r>
    </w:p>
    <w:p>
      <w:pPr>
        <w:pStyle w:val="Heading1"/>
        <w:keepNext/>
        <w:pBdr>
          <w:bottom w:val="single" w:color="2E74B5" w:sz="6" w:space="2"/>
        </w:pBdr>
        <w:spacing w:after="120" w:before="240"/>
      </w:pPr>
      <w:r>
        <w:t xml:space="preserve">9 · Finanzplanung</w:t>
      </w:r>
    </w:p>
    <w:p>
      <w:pPr>
        <w:keepNext w:val="false"/>
        <w:spacing w:after="120" w:before="0" w:line="276"/>
        <w:jc w:val="left"/>
      </w:pPr>
      <w:r>
        <w:t xml:space="preserve">Alle Werte: 36 Monate ab dem Start (T0), ohne Gründergehälter, aus dem eigenen Finanzmodell, Stand 21.09.2026. Es übernimmt Nutzerentwicklung, Preise und Kostenstaffel aus Handbuch B und enthält die Beschlüsse der Gründer vom September 2026; jede Abweichung von Handbuch B ist dort belegt. Beträge auf volle Euro gerundet — Summen können deshalb um einen Euro abweichen.</w:t>
      </w:r>
    </w:p>
    <w:p>
      <w:pPr>
        <w:pStyle w:val="Heading3"/>
        <w:keepNext/>
        <w:spacing w:after="60" w:before="160"/>
      </w:pPr>
      <w:r>
        <w:t xml:space="preserve">Kosten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78"/>
        <w:gridCol w:w="1606"/>
        <w:gridCol w:w="1854"/>
      </w:tblGrid>
      <w:tr>
        <w:trPr>
          <w:cantSplit/>
          <w:tblHeader/>
        </w:trPr>
        <w:tc>
          <w:tcPr>
            <w:tcW w:type="dxa" w:w="617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Einmalkosten</w:t>
            </w:r>
          </w:p>
        </w:tc>
        <w:tc>
          <w:tcPr>
            <w:tcW w:type="dxa" w:w="160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Betrag</w:t>
            </w:r>
          </w:p>
        </w:tc>
        <w:tc>
          <w:tcPr>
            <w:tcW w:type="dxa" w:w="185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Wann</w:t>
            </w:r>
          </w:p>
        </w:tc>
      </w:tr>
      <w:tr>
        <w:trPr>
          <w:cantSplit/>
        </w:trPr>
        <w:tc>
          <w:tcPr>
            <w:tcW w:type="dxa" w:w="6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Notar, Handelsregister, individueller Gesellschaftsvertrag</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2.600 €</w:t>
            </w:r>
          </w:p>
        </w:tc>
        <w:tc>
          <w:tcPr>
            <w:tcW w:type="dxa" w:w="18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1</w:t>
            </w:r>
          </w:p>
        </w:tc>
      </w:tr>
      <w:tr>
        <w:trPr>
          <w:cantSplit/>
        </w:trPr>
        <w:tc>
          <w:tcPr>
            <w:tcW w:type="dxa" w:w="6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Marke beim DPMA (3 Klassen) und EUIPO</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1.800 €</w:t>
            </w:r>
          </w:p>
        </w:tc>
        <w:tc>
          <w:tcPr>
            <w:tcW w:type="dxa" w:w="18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1–2</w:t>
            </w:r>
          </w:p>
        </w:tc>
      </w:tr>
      <w:tr>
        <w:trPr>
          <w:cantSplit/>
        </w:trPr>
        <w:tc>
          <w:tcPr>
            <w:tcW w:type="dxa" w:w="6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AGB, Datenschutzerklärung, Einwilligungsarchitektur</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5.500 €</w:t>
            </w:r>
          </w:p>
        </w:tc>
        <w:tc>
          <w:tcPr>
            <w:tcW w:type="dxa" w:w="18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2–4</w:t>
            </w:r>
          </w:p>
        </w:tc>
      </w:tr>
      <w:tr>
        <w:trPr>
          <w:cantSplit/>
        </w:trPr>
        <w:tc>
          <w:tcPr>
            <w:tcW w:type="dxa" w:w="6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Datenschutz-Folgenabschätzung</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4.500 €</w:t>
            </w:r>
          </w:p>
        </w:tc>
        <w:tc>
          <w:tcPr>
            <w:tcW w:type="dxa" w:w="18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3–5</w:t>
            </w:r>
          </w:p>
        </w:tc>
      </w:tr>
      <w:tr>
        <w:trPr>
          <w:cantSplit/>
        </w:trPr>
        <w:tc>
          <w:tcPr>
            <w:tcW w:type="dxa" w:w="6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DSA- und DDG-Prüfung</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3.000 €</w:t>
            </w:r>
          </w:p>
        </w:tc>
        <w:tc>
          <w:tcPr>
            <w:tcW w:type="dxa" w:w="18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4–6</w:t>
            </w:r>
          </w:p>
        </w:tc>
      </w:tr>
      <w:tr>
        <w:trPr>
          <w:cantSplit/>
        </w:trPr>
        <w:tc>
          <w:tcPr>
            <w:tcW w:type="dxa" w:w="6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Jugendschutzgutachten und -konzept</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2.500 €</w:t>
            </w:r>
          </w:p>
        </w:tc>
        <w:tc>
          <w:tcPr>
            <w:tcW w:type="dxa" w:w="18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1–2</w:t>
            </w:r>
          </w:p>
        </w:tc>
      </w:tr>
      <w:tr>
        <w:trPr>
          <w:cantSplit/>
        </w:trPr>
        <w:tc>
          <w:tcPr>
            <w:tcW w:type="dxa" w:w="6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UI-Gestaltung extern, 10 Tage</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6.000 €</w:t>
            </w:r>
          </w:p>
        </w:tc>
        <w:tc>
          <w:tcPr>
            <w:tcW w:type="dxa" w:w="18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3–4</w:t>
            </w:r>
          </w:p>
        </w:tc>
      </w:tr>
      <w:tr>
        <w:trPr>
          <w:cantSplit/>
        </w:trPr>
        <w:tc>
          <w:tcPr>
            <w:tcW w:type="dxa" w:w="6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Systemtexte</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2.000 €</w:t>
            </w:r>
          </w:p>
        </w:tc>
        <w:tc>
          <w:tcPr>
            <w:tcW w:type="dxa" w:w="18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6</w:t>
            </w:r>
          </w:p>
        </w:tc>
      </w:tr>
      <w:tr>
        <w:trPr>
          <w:cantSplit/>
        </w:trPr>
        <w:tc>
          <w:tcPr>
            <w:tcW w:type="dxa" w:w="6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Taxonomie-Beratung</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900 €</w:t>
            </w:r>
          </w:p>
        </w:tc>
        <w:tc>
          <w:tcPr>
            <w:tcW w:type="dxa" w:w="18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2</w:t>
            </w:r>
          </w:p>
        </w:tc>
      </w:tr>
      <w:tr>
        <w:trPr>
          <w:cantSplit/>
        </w:trPr>
        <w:tc>
          <w:tcPr>
            <w:tcW w:type="dxa" w:w="6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Penetrationstest</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4.000 €</w:t>
            </w:r>
          </w:p>
        </w:tc>
        <w:tc>
          <w:tcPr>
            <w:tcW w:type="dxa" w:w="18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8–9</w:t>
            </w:r>
          </w:p>
        </w:tc>
      </w:tr>
      <w:tr>
        <w:trPr>
          <w:cantSplit/>
        </w:trPr>
        <w:tc>
          <w:tcPr>
            <w:tcW w:type="dxa" w:w="6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Barrierefreiheitsprüfung</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1.500 €</w:t>
            </w:r>
          </w:p>
        </w:tc>
        <w:tc>
          <w:tcPr>
            <w:tcW w:type="dxa" w:w="18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8</w:t>
            </w:r>
          </w:p>
        </w:tc>
      </w:tr>
      <w:tr>
        <w:trPr>
          <w:cantSplit/>
        </w:trPr>
        <w:tc>
          <w:tcPr>
            <w:tcW w:type="dxa" w:w="6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Gerätepool und Arbeitsmittel</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1.500 €</w:t>
            </w:r>
          </w:p>
        </w:tc>
        <w:tc>
          <w:tcPr>
            <w:tcW w:type="dxa" w:w="18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1</w:t>
            </w:r>
          </w:p>
        </w:tc>
      </w:tr>
      <w:tr>
        <w:trPr>
          <w:cantSplit/>
        </w:trPr>
        <w:tc>
          <w:tcPr>
            <w:tcW w:type="dxa" w:w="6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Prüfung des gesamten Codes, beide Plattformen (Spanne 11.880–25.920 €)</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18.900 €</w:t>
            </w:r>
          </w:p>
        </w:tc>
        <w:tc>
          <w:tcPr>
            <w:tcW w:type="dxa" w:w="18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1¹</w:t>
            </w:r>
          </w:p>
        </w:tc>
      </w:tr>
      <w:tr>
        <w:trPr>
          <w:cantSplit/>
        </w:trPr>
        <w:tc>
          <w:tcPr>
            <w:tcW w:type="dxa" w:w="6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Testgeräte für die zweite Plattform</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1.200 €</w:t>
            </w:r>
          </w:p>
        </w:tc>
        <w:tc>
          <w:tcPr>
            <w:tcW w:type="dxa" w:w="185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1¹</w:t>
            </w:r>
          </w:p>
        </w:tc>
      </w:tr>
      <w:tr>
        <w:trPr>
          <w:cantSplit/>
        </w:trPr>
        <w:tc>
          <w:tcPr>
            <w:tcW w:type="dxa" w:w="6178"/>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6"/>
                <w:szCs w:val="16"/>
              </w:rPr>
              <w:t xml:space="preserve">Summe einmalig</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6"/>
                <w:szCs w:val="16"/>
              </w:rPr>
              <w:t xml:space="preserve">55.900 €</w:t>
            </w:r>
          </w:p>
        </w:tc>
        <w:tc>
          <w:tcPr>
            <w:tcW w:type="dxa" w:w="1854"/>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sz w:val="16"/>
                <w:szCs w:val="16"/>
              </w:rPr>
              <w:t xml:space="preserve">Monat 1–9</w:t>
            </w:r>
          </w:p>
        </w:tc>
      </w:tr>
    </w:tbl>
    <w:p>
      <w:pPr>
        <w:keepNext w:val="false"/>
        <w:spacing w:after="120" w:before="60" w:line="276"/>
        <w:jc w:val="left"/>
      </w:pPr>
      <w:r>
        <w:rPr>
          <w:sz w:val="16"/>
          <w:szCs w:val="16"/>
        </w:rPr>
        <w:t xml:space="preserve">Die ersten zwölf Positionen und ihre Monate stammen aus Handbuch B (35.800 €). ¹ Die beiden letzten kommen aus den Beschlüssen vom September 2026; das Modell setzt sie vorsichtig in Monat 1, solange die Reihenfolge von Gründung, Prüfungen und Start offen ist.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1"/>
        <w:gridCol w:w="1175"/>
        <w:gridCol w:w="1175"/>
        <w:gridCol w:w="1175"/>
        <w:gridCol w:w="1175"/>
        <w:gridCol w:w="1177"/>
      </w:tblGrid>
      <w:tr>
        <w:trPr>
          <w:cantSplit/>
          <w:tblHeader/>
        </w:trPr>
        <w:tc>
          <w:tcPr>
            <w:tcW w:type="dxa" w:w="376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Laufende Kosten je Monat</w:t>
            </w:r>
          </w:p>
        </w:tc>
        <w:tc>
          <w:tcPr>
            <w:tcW w:type="dxa" w:w="117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vor dem Start</w:t>
            </w:r>
          </w:p>
        </w:tc>
        <w:tc>
          <w:tcPr>
            <w:tcW w:type="dxa" w:w="117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5.000 MAU</w:t>
            </w:r>
          </w:p>
        </w:tc>
        <w:tc>
          <w:tcPr>
            <w:tcW w:type="dxa" w:w="117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12.000 MAU</w:t>
            </w:r>
          </w:p>
        </w:tc>
        <w:tc>
          <w:tcPr>
            <w:tcW w:type="dxa" w:w="117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20.000 MAU</w:t>
            </w:r>
          </w:p>
        </w:tc>
        <w:tc>
          <w:tcPr>
            <w:tcW w:type="dxa" w:w="117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50.000 MAU</w:t>
            </w:r>
          </w:p>
        </w:tc>
      </w:tr>
      <w:tr>
        <w:trPr>
          <w:cantSplit/>
        </w:trPr>
        <w:tc>
          <w:tcPr>
            <w:tcW w:type="dxa" w:w="376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Summe (Pflichtpositionen, Betrieb, Personal, Marketing-Barmittel)</w:t>
            </w:r>
          </w:p>
        </w:tc>
        <w:tc>
          <w:tcPr>
            <w:tcW w:type="dxa" w:w="1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1.420 €</w:t>
            </w:r>
          </w:p>
        </w:tc>
        <w:tc>
          <w:tcPr>
            <w:tcW w:type="dxa" w:w="1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2.260 €</w:t>
            </w:r>
          </w:p>
        </w:tc>
        <w:tc>
          <w:tcPr>
            <w:tcW w:type="dxa" w:w="1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3.100 €</w:t>
            </w:r>
          </w:p>
        </w:tc>
        <w:tc>
          <w:tcPr>
            <w:tcW w:type="dxa" w:w="11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5.800 €</w:t>
            </w:r>
          </w:p>
        </w:tc>
        <w:tc>
          <w:tcPr>
            <w:tcW w:type="dxa" w:w="117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10.750 €</w:t>
            </w:r>
          </w:p>
        </w:tc>
      </w:tr>
    </w:tbl>
    <w:p>
      <w:pPr>
        <w:keepNext w:val="false"/>
        <w:spacing w:after="120" w:before="60" w:line="276"/>
        <w:jc w:val="left"/>
      </w:pPr>
      <w:r>
        <w:rPr>
          <w:sz w:val="16"/>
          <w:szCs w:val="16"/>
        </w:rPr>
        <w:t xml:space="preserve">Summen der Kostenstaffel aus Handbuch B, einschließlich ihres Pauschalwerts für die Altersprüfung (bei 5.000 MAU 300 €); das Modell rechnet die Altersprüfung stattdessen je Prüfung. Die Spalte 50.000 MAU nennt die Summe der Einzelpositionen; Handbuch B summiert sie mit 12.150 € (Anhang B).</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73"/>
        <w:gridCol w:w="2065"/>
      </w:tblGrid>
      <w:tr>
        <w:trPr>
          <w:cantSplit/>
          <w:tblHeader/>
        </w:trPr>
        <w:tc>
          <w:tcPr>
            <w:tcW w:type="dxa" w:w="7573"/>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Gesamtkosten über 36 Monate (realistisches Szenario)</w:t>
            </w:r>
          </w:p>
        </w:tc>
        <w:tc>
          <w:tcPr>
            <w:tcW w:type="dxa" w:w="206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Betrag</w:t>
            </w:r>
          </w:p>
        </w:tc>
      </w:tr>
      <w:tr>
        <w:trPr>
          <w:cantSplit/>
        </w:trPr>
        <w:tc>
          <w:tcPr>
            <w:tcW w:type="dxa" w:w="75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Einmalkosten</w:t>
            </w:r>
          </w:p>
        </w:tc>
        <w:tc>
          <w:tcPr>
            <w:tcW w:type="dxa" w:w="2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55.900 €</w:t>
            </w:r>
          </w:p>
        </w:tc>
      </w:tr>
      <w:tr>
        <w:trPr>
          <w:cantSplit/>
        </w:trPr>
        <w:tc>
          <w:tcPr>
            <w:tcW w:type="dxa" w:w="75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Pflichtpositionen (nicht kürzbar)</w:t>
            </w:r>
          </w:p>
        </w:tc>
        <w:tc>
          <w:tcPr>
            <w:tcW w:type="dxa" w:w="2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70.211 €</w:t>
            </w:r>
          </w:p>
        </w:tc>
      </w:tr>
      <w:tr>
        <w:trPr>
          <w:cantSplit/>
        </w:trPr>
        <w:tc>
          <w:tcPr>
            <w:tcW w:type="dxa" w:w="75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Betrieb ohne Altersprüfung</w:t>
            </w:r>
          </w:p>
        </w:tc>
        <w:tc>
          <w:tcPr>
            <w:tcW w:type="dxa" w:w="2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26.160 €</w:t>
            </w:r>
          </w:p>
        </w:tc>
      </w:tr>
      <w:tr>
        <w:trPr>
          <w:cantSplit/>
        </w:trPr>
        <w:tc>
          <w:tcPr>
            <w:tcW w:type="dxa" w:w="75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Altersprüfung, voreingestellt mit dem Online-Ausweis für die volle Identifizierung</w:t>
            </w:r>
          </w:p>
        </w:tc>
        <w:tc>
          <w:tcPr>
            <w:tcW w:type="dxa" w:w="2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58.672 €</w:t>
            </w:r>
          </w:p>
        </w:tc>
      </w:tr>
      <w:tr>
        <w:trPr>
          <w:cantSplit/>
        </w:trPr>
        <w:tc>
          <w:tcPr>
            <w:tcW w:type="dxa" w:w="75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SMS-Versand für den Anmeldeweg über die Mobilnummer</w:t>
            </w:r>
          </w:p>
        </w:tc>
        <w:tc>
          <w:tcPr>
            <w:tcW w:type="dxa" w:w="2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4.817 €</w:t>
            </w:r>
          </w:p>
        </w:tc>
      </w:tr>
      <w:tr>
        <w:trPr>
          <w:cantSplit/>
        </w:trPr>
        <w:tc>
          <w:tcPr>
            <w:tcW w:type="dxa" w:w="75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Moderation, nach der Kostenstaffel mit der Nutzerzahl wachsend</w:t>
            </w:r>
          </w:p>
        </w:tc>
        <w:tc>
          <w:tcPr>
            <w:tcW w:type="dxa" w:w="2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45.109 €</w:t>
            </w:r>
          </w:p>
        </w:tc>
      </w:tr>
      <w:tr>
        <w:trPr>
          <w:cantSplit/>
        </w:trPr>
        <w:tc>
          <w:tcPr>
            <w:tcW w:type="dxa" w:w="75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Marketing-Barmittel</w:t>
            </w:r>
          </w:p>
        </w:tc>
        <w:tc>
          <w:tcPr>
            <w:tcW w:type="dxa" w:w="2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20.949 €</w:t>
            </w:r>
          </w:p>
        </w:tc>
      </w:tr>
      <w:tr>
        <w:trPr>
          <w:cantSplit/>
        </w:trPr>
        <w:tc>
          <w:tcPr>
            <w:tcW w:type="dxa" w:w="75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Eigene Veranstaltungen, 2.000 € je Stadt und Jahr</w:t>
            </w:r>
          </w:p>
        </w:tc>
        <w:tc>
          <w:tcPr>
            <w:tcW w:type="dxa" w:w="2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14.000 €</w:t>
            </w:r>
          </w:p>
        </w:tc>
      </w:tr>
      <w:tr>
        <w:trPr>
          <w:cantSplit/>
        </w:trPr>
        <w:tc>
          <w:tcPr>
            <w:tcW w:type="dxa" w:w="75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CSD-Auftritte: zum Start 6.000 €, im zweiten Jahr 4.000 €, im dritten 8.000 €</w:t>
            </w:r>
          </w:p>
        </w:tc>
        <w:tc>
          <w:tcPr>
            <w:tcW w:type="dxa" w:w="2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18.000 €</w:t>
            </w:r>
          </w:p>
        </w:tc>
      </w:tr>
      <w:tr>
        <w:trPr>
          <w:cantSplit/>
        </w:trPr>
        <w:tc>
          <w:tcPr>
            <w:tcW w:type="dxa" w:w="7573"/>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7"/>
                <w:szCs w:val="17"/>
              </w:rPr>
              <w:t xml:space="preserve">Gesamt, ohne Gehälter</w:t>
            </w:r>
          </w:p>
        </w:tc>
        <w:tc>
          <w:tcPr>
            <w:tcW w:type="dxa" w:w="2065"/>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7"/>
                <w:szCs w:val="17"/>
              </w:rPr>
              <w:t xml:space="preserve">313.819 €</w:t>
            </w:r>
          </w:p>
        </w:tc>
      </w:tr>
      <w:tr>
        <w:trPr>
          <w:cantSplit/>
        </w:trPr>
        <w:tc>
          <w:tcPr>
            <w:tcW w:type="dxa" w:w="75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nachrichtlich: Krankenversicherung beider Gründer bis zum Break-even</w:t>
            </w:r>
          </w:p>
        </w:tc>
        <w:tc>
          <w:tcPr>
            <w:tcW w:type="dxa" w:w="2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11.200 €</w:t>
            </w:r>
          </w:p>
        </w:tc>
      </w:tr>
      <w:tr>
        <w:trPr>
          <w:cantSplit/>
        </w:trPr>
        <w:tc>
          <w:tcPr>
            <w:tcW w:type="dxa" w:w="75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nachrichtlich: Lebenshaltung beider Gründer bis zum Break-even</w:t>
            </w:r>
          </w:p>
        </w:tc>
        <w:tc>
          <w:tcPr>
            <w:tcW w:type="dxa" w:w="206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61.600 €</w:t>
            </w:r>
          </w:p>
        </w:tc>
      </w:tr>
    </w:tbl>
    <w:p>
      <w:pPr>
        <w:pStyle w:val="Heading3"/>
        <w:keepNext/>
        <w:spacing w:after="60" w:before="160"/>
      </w:pPr>
      <w:r>
        <w:t xml:space="preserve">Drei Szenarien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4"/>
        <w:gridCol w:w="2241"/>
        <w:gridCol w:w="2241"/>
        <w:gridCol w:w="2242"/>
      </w:tblGrid>
      <w:tr>
        <w:trPr>
          <w:cantSplit/>
          <w:tblHeader/>
        </w:trPr>
        <w:tc>
          <w:tcPr>
            <w:tcW w:type="dxa" w:w="291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Annahme</w:t>
            </w:r>
          </w:p>
        </w:tc>
        <w:tc>
          <w:tcPr>
            <w:tcW w:type="dxa" w:w="224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Pessimistisch</w:t>
            </w:r>
          </w:p>
        </w:tc>
        <w:tc>
          <w:tcPr>
            <w:tcW w:type="dxa" w:w="224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Realistisch</w:t>
            </w:r>
          </w:p>
        </w:tc>
        <w:tc>
          <w:tcPr>
            <w:tcW w:type="dxa" w:w="2242"/>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Optimistisch</w:t>
            </w:r>
          </w:p>
        </w:tc>
      </w:tr>
      <w:tr>
        <w:trPr>
          <w:cantSplit/>
        </w:trPr>
        <w:tc>
          <w:tcPr>
            <w:tcW w:type="dxa" w:w="29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MAU Ende Jahr 1 / 2 / 3</w:t>
            </w:r>
          </w:p>
        </w:tc>
        <w:tc>
          <w:tcPr>
            <w:tcW w:type="dxa" w:w="22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4.000 / 14.000 / 30.000</w:t>
            </w:r>
          </w:p>
        </w:tc>
        <w:tc>
          <w:tcPr>
            <w:tcW w:type="dxa" w:w="22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7.500 / 24.000 / 62.000</w:t>
            </w:r>
          </w:p>
        </w:tc>
        <w:tc>
          <w:tcPr>
            <w:tcW w:type="dxa" w:w="2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14.000 / 60.000 / 150.000</w:t>
            </w:r>
          </w:p>
        </w:tc>
      </w:tr>
      <w:tr>
        <w:trPr>
          <w:cantSplit/>
        </w:trPr>
        <w:tc>
          <w:tcPr>
            <w:tcW w:type="dxa" w:w="291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Konversion im dritten Jahr</w:t>
            </w:r>
          </w:p>
        </w:tc>
        <w:tc>
          <w:tcPr>
            <w:tcW w:type="dxa" w:w="224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2,2 %</w:t>
            </w:r>
          </w:p>
        </w:tc>
        <w:tc>
          <w:tcPr>
            <w:tcW w:type="dxa" w:w="224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3,6 %</w:t>
            </w:r>
          </w:p>
        </w:tc>
        <w:tc>
          <w:tcPr>
            <w:tcW w:type="dxa" w:w="22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4,2 %</w:t>
            </w:r>
          </w:p>
        </w:tc>
      </w:tr>
      <w:tr>
        <w:trPr>
          <w:cantSplit/>
        </w:trPr>
        <w:tc>
          <w:tcPr>
            <w:tcW w:type="dxa" w:w="29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Bezahlstufen ab</w:t>
            </w:r>
          </w:p>
        </w:tc>
        <w:tc>
          <w:tcPr>
            <w:tcW w:type="dxa" w:w="22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18</w:t>
            </w:r>
          </w:p>
        </w:tc>
        <w:tc>
          <w:tcPr>
            <w:tcW w:type="dxa" w:w="22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14</w:t>
            </w:r>
          </w:p>
        </w:tc>
        <w:tc>
          <w:tcPr>
            <w:tcW w:type="dxa" w:w="2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11</w:t>
            </w:r>
          </w:p>
        </w:tc>
      </w:tr>
      <w:tr>
        <w:trPr>
          <w:cantSplit/>
        </w:trPr>
        <w:tc>
          <w:tcPr>
            <w:tcW w:type="dxa" w:w="291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Städte Ende Jahr 3</w:t>
            </w:r>
          </w:p>
        </w:tc>
        <w:tc>
          <w:tcPr>
            <w:tcW w:type="dxa" w:w="224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2</w:t>
            </w:r>
          </w:p>
        </w:tc>
        <w:tc>
          <w:tcPr>
            <w:tcW w:type="dxa" w:w="224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4</w:t>
            </w:r>
          </w:p>
        </w:tc>
        <w:tc>
          <w:tcPr>
            <w:tcW w:type="dxa" w:w="22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6</w:t>
            </w:r>
          </w:p>
        </w:tc>
      </w:tr>
      <w:tr>
        <w:trPr>
          <w:cantSplit/>
        </w:trPr>
        <w:tc>
          <w:tcPr>
            <w:tcW w:type="dxa" w:w="29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Wiederkehr nach 30 Tagen</w:t>
            </w:r>
          </w:p>
        </w:tc>
        <w:tc>
          <w:tcPr>
            <w:tcW w:type="dxa" w:w="22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15 %</w:t>
            </w:r>
          </w:p>
        </w:tc>
        <w:tc>
          <w:tcPr>
            <w:tcW w:type="dxa" w:w="22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24 %</w:t>
            </w:r>
          </w:p>
        </w:tc>
        <w:tc>
          <w:tcPr>
            <w:tcW w:type="dxa" w:w="2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30 %</w:t>
            </w:r>
          </w:p>
        </w:tc>
      </w:tr>
      <w:tr>
        <w:trPr>
          <w:cantSplit/>
        </w:trPr>
        <w:tc>
          <w:tcPr>
            <w:tcW w:type="dxa" w:w="291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Wahrscheinlichkeit (Schätzung)</w:t>
            </w:r>
          </w:p>
        </w:tc>
        <w:tc>
          <w:tcPr>
            <w:tcW w:type="dxa" w:w="224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40 %</w:t>
            </w:r>
          </w:p>
        </w:tc>
        <w:tc>
          <w:tcPr>
            <w:tcW w:type="dxa" w:w="224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35 %</w:t>
            </w:r>
          </w:p>
        </w:tc>
        <w:tc>
          <w:tcPr>
            <w:tcW w:type="dxa" w:w="22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10 %</w:t>
            </w:r>
          </w:p>
        </w:tc>
      </w:tr>
    </w:tbl>
    <w:p>
      <w:pPr>
        <w:keepNext w:val="false"/>
        <w:spacing w:after="120" w:before="60" w:line="276"/>
        <w:jc w:val="left"/>
      </w:pPr>
      <w:r>
        <w:rPr>
          <w:sz w:val="17"/>
          <w:szCs w:val="17"/>
        </w:rPr>
        <w:t xml:space="preserve">Die verbleibenden 15 % Wahrscheinlichkeit entfallen auf einen Abbruch vor Monat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4"/>
        <w:gridCol w:w="2241"/>
        <w:gridCol w:w="2241"/>
        <w:gridCol w:w="2242"/>
      </w:tblGrid>
      <w:tr>
        <w:trPr>
          <w:cantSplit/>
          <w:tblHeader/>
        </w:trPr>
        <w:tc>
          <w:tcPr>
            <w:tcW w:type="dxa" w:w="291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Ergebnis über 36 Monate</w:t>
            </w:r>
          </w:p>
        </w:tc>
        <w:tc>
          <w:tcPr>
            <w:tcW w:type="dxa" w:w="224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Pessimistisch</w:t>
            </w:r>
          </w:p>
        </w:tc>
        <w:tc>
          <w:tcPr>
            <w:tcW w:type="dxa" w:w="224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Realistisch</w:t>
            </w:r>
          </w:p>
        </w:tc>
        <w:tc>
          <w:tcPr>
            <w:tcW w:type="dxa" w:w="2242"/>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Optimistisch</w:t>
            </w:r>
          </w:p>
        </w:tc>
      </w:tr>
      <w:tr>
        <w:trPr>
          <w:cantSplit/>
        </w:trPr>
        <w:tc>
          <w:tcPr>
            <w:tcW w:type="dxa" w:w="29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Erlöse gesamt</w:t>
            </w:r>
          </w:p>
        </w:tc>
        <w:tc>
          <w:tcPr>
            <w:tcW w:type="dxa" w:w="22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77.193 €</w:t>
            </w:r>
          </w:p>
        </w:tc>
        <w:tc>
          <w:tcPr>
            <w:tcW w:type="dxa" w:w="22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205.684 €</w:t>
            </w:r>
          </w:p>
        </w:tc>
        <w:tc>
          <w:tcPr>
            <w:tcW w:type="dxa" w:w="2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573.465 €</w:t>
            </w:r>
          </w:p>
        </w:tc>
      </w:tr>
      <w:tr>
        <w:trPr>
          <w:cantSplit/>
        </w:trPr>
        <w:tc>
          <w:tcPr>
            <w:tcW w:type="dxa" w:w="29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Kosten gesamt</w:t>
            </w:r>
          </w:p>
        </w:tc>
        <w:tc>
          <w:tcPr>
            <w:tcW w:type="dxa" w:w="22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222.410 €</w:t>
            </w:r>
          </w:p>
        </w:tc>
        <w:tc>
          <w:tcPr>
            <w:tcW w:type="dxa" w:w="22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313.819 €</w:t>
            </w:r>
          </w:p>
        </w:tc>
        <w:tc>
          <w:tcPr>
            <w:tcW w:type="dxa" w:w="2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546.386 €</w:t>
            </w:r>
          </w:p>
        </w:tc>
      </w:tr>
      <w:tr>
        <w:trPr>
          <w:cantSplit/>
        </w:trPr>
        <w:tc>
          <w:tcPr>
            <w:tcW w:type="dxa" w:w="2914"/>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6"/>
                <w:szCs w:val="16"/>
              </w:rPr>
              <w:t xml:space="preserve">Ergebnis</w:t>
            </w:r>
          </w:p>
        </w:tc>
        <w:tc>
          <w:tcPr>
            <w:tcW w:type="dxa" w:w="2241"/>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6"/>
                <w:szCs w:val="16"/>
              </w:rPr>
              <w:t xml:space="preserve">−145.217 €</w:t>
            </w:r>
          </w:p>
        </w:tc>
        <w:tc>
          <w:tcPr>
            <w:tcW w:type="dxa" w:w="2241"/>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6"/>
                <w:szCs w:val="16"/>
              </w:rPr>
              <w:t xml:space="preserve">−108.134 €</w:t>
            </w:r>
          </w:p>
        </w:tc>
        <w:tc>
          <w:tcPr>
            <w:tcW w:type="dxa" w:w="2242"/>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6"/>
                <w:szCs w:val="16"/>
              </w:rPr>
              <w:t xml:space="preserve">+27.080 €</w:t>
            </w:r>
          </w:p>
        </w:tc>
      </w:tr>
      <w:tr>
        <w:trPr>
          <w:cantSplit/>
        </w:trPr>
        <w:tc>
          <w:tcPr>
            <w:tcW w:type="dxa" w:w="29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Tiefpunkt der Kasse</w:t>
            </w:r>
          </w:p>
        </w:tc>
        <w:tc>
          <w:tcPr>
            <w:tcW w:type="dxa" w:w="22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145.217 € in Monat 36</w:t>
            </w:r>
          </w:p>
        </w:tc>
        <w:tc>
          <w:tcPr>
            <w:tcW w:type="dxa" w:w="22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126.877 € in Monat 27</w:t>
            </w:r>
          </w:p>
        </w:tc>
        <w:tc>
          <w:tcPr>
            <w:tcW w:type="dxa" w:w="2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112.675 € in Monat 20</w:t>
            </w:r>
          </w:p>
        </w:tc>
      </w:tr>
      <w:tr>
        <w:trPr>
          <w:cantSplit/>
        </w:trPr>
        <w:tc>
          <w:tcPr>
            <w:tcW w:type="dxa" w:w="29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Erster Monat mit Überschuss</w:t>
            </w:r>
          </w:p>
        </w:tc>
        <w:tc>
          <w:tcPr>
            <w:tcW w:type="dxa" w:w="22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keiner in 36 Monaten</w:t>
            </w:r>
          </w:p>
        </w:tc>
        <w:tc>
          <w:tcPr>
            <w:tcW w:type="dxa" w:w="22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Monat 28</w:t>
            </w:r>
          </w:p>
        </w:tc>
        <w:tc>
          <w:tcPr>
            <w:tcW w:type="dxa" w:w="2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Monat 21</w:t>
            </w:r>
          </w:p>
        </w:tc>
      </w:tr>
      <w:tr>
        <w:trPr>
          <w:cantSplit/>
        </w:trPr>
        <w:tc>
          <w:tcPr>
            <w:tcW w:type="dxa" w:w="29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Aufgelaufene Verluste ausgeglichen</w:t>
            </w:r>
          </w:p>
        </w:tc>
        <w:tc>
          <w:tcPr>
            <w:tcW w:type="dxa" w:w="22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nicht in 36 Monaten</w:t>
            </w:r>
          </w:p>
        </w:tc>
        <w:tc>
          <w:tcPr>
            <w:tcW w:type="dxa" w:w="22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nicht in 36 Monaten</w:t>
            </w:r>
          </w:p>
        </w:tc>
        <w:tc>
          <w:tcPr>
            <w:tcW w:type="dxa" w:w="22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Monat 35</w:t>
            </w:r>
          </w:p>
        </w:tc>
      </w:tr>
    </w:tbl>
    <w:p>
      <w:pPr>
        <w:keepNext w:val="false"/>
        <w:spacing w:after="120" w:before="60" w:line="276"/>
        <w:jc w:val="left"/>
      </w:pPr>
      <w:r>
        <w:rPr>
          <w:sz w:val="16"/>
          <w:szCs w:val="16"/>
        </w:rPr>
        <w:t xml:space="preserve">In keinem Szenario sind Gründergehälter angesetzt. Handbuch B rechnet im optimistischen Fall ab Monat 16 mit Gehältern (114.000 €) und kommt deshalb zu anderen Summen; auch seine übrigen Ergebnisse liegen vor den Beschlüssen vom September 2026 (Anhang B).</w:t>
      </w:r>
    </w:p>
    <w:p>
      <w:pPr>
        <w:keepNext w:val="false"/>
        <w:spacing w:after="120" w:before="0" w:line="276"/>
        <w:jc w:val="left"/>
      </w:pPr>
      <w:r>
        <w:rPr>
          <w:b/>
          <w:bCs/>
        </w:rPr>
        <w:t xml:space="preserve">Empfindlichkeit.</w:t>
      </w:r>
      <w:r>
        <w:t xml:space="preserve"> Die Szenarien unterscheiden sich fast nur in der Nutzerzahl. Im Modell nachgerechnet (realistisch): Ein um 20 % höherer Preis bringt den Break-even zwei Monate früher, in Monat 26, und senkt den Kapitalbedarf der Firma um rund 9.100 € — bei hohem Risiko für die Positionierung. Greifen nur 20 statt 30 % zur Stufe PRO, steigt der Kapitalbedarf um rund 4.700 €, der Break-even rückt auf Monat 30. Der größte Hebel ist der Weg der Altersprüfung: Videoidentifizierung statt Online-Ausweis kostet rund 85.600 € mehr. Nach Handbuch B verschiebt eine Konversion von 1,5 statt 2,8 % den Break-even um sieben Monate und halbiertes Nutzerwachstum um zwölf bis fünfzehn Monate; beides ist im Modell nicht eigens nachgerechnet.</w:t>
      </w:r>
    </w:p>
    <w:p>
      <w:pPr>
        <w:pStyle w:val="Heading3"/>
        <w:keepNext/>
        <w:spacing w:after="60" w:before="160"/>
      </w:pPr>
      <w:r>
        <w:t xml:space="preserve">Kapitalbedarf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94"/>
        <w:gridCol w:w="2048"/>
        <w:gridCol w:w="2048"/>
        <w:gridCol w:w="2048"/>
      </w:tblGrid>
      <w:tr>
        <w:trPr>
          <w:cantSplit/>
          <w:tblHeader/>
        </w:trPr>
        <w:tc>
          <w:tcPr>
            <w:tcW w:type="dxa" w:w="349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Position</w:t>
            </w:r>
          </w:p>
        </w:tc>
        <w:tc>
          <w:tcPr>
            <w:tcW w:type="dxa" w:w="204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Pessimistisch</w:t>
            </w:r>
          </w:p>
        </w:tc>
        <w:tc>
          <w:tcPr>
            <w:tcW w:type="dxa" w:w="204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Realistisch</w:t>
            </w:r>
          </w:p>
        </w:tc>
        <w:tc>
          <w:tcPr>
            <w:tcW w:type="dxa" w:w="204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Optimistisch</w:t>
            </w:r>
          </w:p>
        </w:tc>
      </w:tr>
      <w:tr>
        <w:trPr>
          <w:cantSplit/>
        </w:trPr>
        <w:tc>
          <w:tcPr>
            <w:tcW w:type="dxa" w:w="349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Tiefpunkt der Liquiditätskurve</w:t>
            </w:r>
          </w:p>
        </w:tc>
        <w:tc>
          <w:tcPr>
            <w:tcW w:type="dxa" w:w="20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145.217 €</w:t>
            </w:r>
          </w:p>
        </w:tc>
        <w:tc>
          <w:tcPr>
            <w:tcW w:type="dxa" w:w="20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126.877 €</w:t>
            </w:r>
          </w:p>
        </w:tc>
        <w:tc>
          <w:tcPr>
            <w:tcW w:type="dxa" w:w="20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112.675 €</w:t>
            </w:r>
          </w:p>
        </w:tc>
      </w:tr>
      <w:tr>
        <w:trPr>
          <w:cantSplit/>
        </w:trPr>
        <w:tc>
          <w:tcPr>
            <w:tcW w:type="dxa" w:w="349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Rücklage für einen Rechtsvorfall</w:t>
            </w:r>
          </w:p>
        </w:tc>
        <w:tc>
          <w:tcPr>
            <w:tcW w:type="dxa" w:w="20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8.000 €</w:t>
            </w:r>
          </w:p>
        </w:tc>
        <w:tc>
          <w:tcPr>
            <w:tcW w:type="dxa" w:w="20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8.000 €</w:t>
            </w:r>
          </w:p>
        </w:tc>
        <w:tc>
          <w:tcPr>
            <w:tcW w:type="dxa" w:w="20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8.000 €</w:t>
            </w:r>
          </w:p>
        </w:tc>
      </w:tr>
      <w:tr>
        <w:trPr>
          <w:cantSplit/>
        </w:trPr>
        <w:tc>
          <w:tcPr>
            <w:tcW w:type="dxa" w:w="349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Puffer 20 %</w:t>
            </w:r>
          </w:p>
        </w:tc>
        <w:tc>
          <w:tcPr>
            <w:tcW w:type="dxa" w:w="20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29.043 €</w:t>
            </w:r>
          </w:p>
        </w:tc>
        <w:tc>
          <w:tcPr>
            <w:tcW w:type="dxa" w:w="20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25.375 €</w:t>
            </w:r>
          </w:p>
        </w:tc>
        <w:tc>
          <w:tcPr>
            <w:tcW w:type="dxa" w:w="20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22.535 €</w:t>
            </w:r>
          </w:p>
        </w:tc>
      </w:tr>
      <w:tr>
        <w:trPr>
          <w:cantSplit/>
        </w:trPr>
        <w:tc>
          <w:tcPr>
            <w:tcW w:type="dxa" w:w="3494"/>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6"/>
                <w:szCs w:val="16"/>
              </w:rPr>
              <w:t xml:space="preserve">Kapitalbedarf der Firma</w:t>
            </w:r>
          </w:p>
        </w:tc>
        <w:tc>
          <w:tcPr>
            <w:tcW w:type="dxa" w:w="2048"/>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6"/>
                <w:szCs w:val="16"/>
              </w:rPr>
              <w:t xml:space="preserve">182.261 €</w:t>
            </w:r>
          </w:p>
        </w:tc>
        <w:tc>
          <w:tcPr>
            <w:tcW w:type="dxa" w:w="2048"/>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6"/>
                <w:szCs w:val="16"/>
              </w:rPr>
              <w:t xml:space="preserve">160.253 €</w:t>
            </w:r>
          </w:p>
        </w:tc>
        <w:tc>
          <w:tcPr>
            <w:tcW w:type="dxa" w:w="2048"/>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6"/>
                <w:szCs w:val="16"/>
              </w:rPr>
              <w:t xml:space="preserve">143.210 €</w:t>
            </w:r>
          </w:p>
        </w:tc>
      </w:tr>
      <w:tr>
        <w:trPr>
          <w:cantSplit/>
        </w:trPr>
        <w:tc>
          <w:tcPr>
            <w:tcW w:type="dxa" w:w="349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Krankenversicherung beider Gründer bis zum Break-even</w:t>
            </w:r>
          </w:p>
        </w:tc>
        <w:tc>
          <w:tcPr>
            <w:tcW w:type="dxa" w:w="20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14.400 €</w:t>
            </w:r>
          </w:p>
        </w:tc>
        <w:tc>
          <w:tcPr>
            <w:tcW w:type="dxa" w:w="20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11.200 €</w:t>
            </w:r>
          </w:p>
        </w:tc>
        <w:tc>
          <w:tcPr>
            <w:tcW w:type="dxa" w:w="20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8.400 €</w:t>
            </w:r>
          </w:p>
        </w:tc>
      </w:tr>
      <w:tr>
        <w:trPr>
          <w:cantSplit/>
        </w:trPr>
        <w:tc>
          <w:tcPr>
            <w:tcW w:type="dxa" w:w="349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Lebenshaltung beider Gründer bis zum Break-even, 1.100 € je Person und Monat</w:t>
            </w:r>
          </w:p>
        </w:tc>
        <w:tc>
          <w:tcPr>
            <w:tcW w:type="dxa" w:w="20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79.200 €</w:t>
            </w:r>
          </w:p>
        </w:tc>
        <w:tc>
          <w:tcPr>
            <w:tcW w:type="dxa" w:w="20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61.600 €</w:t>
            </w:r>
          </w:p>
        </w:tc>
        <w:tc>
          <w:tcPr>
            <w:tcW w:type="dxa" w:w="20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46.200 €</w:t>
            </w:r>
          </w:p>
        </w:tc>
      </w:tr>
      <w:tr>
        <w:trPr>
          <w:cantSplit/>
        </w:trPr>
        <w:tc>
          <w:tcPr>
            <w:tcW w:type="dxa" w:w="3494"/>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6"/>
                <w:szCs w:val="16"/>
              </w:rPr>
              <w:t xml:space="preserve">Gesamtbedarf</w:t>
            </w:r>
          </w:p>
        </w:tc>
        <w:tc>
          <w:tcPr>
            <w:tcW w:type="dxa" w:w="2048"/>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6"/>
                <w:szCs w:val="16"/>
              </w:rPr>
              <w:t xml:space="preserve">275.861 €</w:t>
            </w:r>
          </w:p>
        </w:tc>
        <w:tc>
          <w:tcPr>
            <w:tcW w:type="dxa" w:w="2048"/>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6"/>
                <w:szCs w:val="16"/>
              </w:rPr>
              <w:t xml:space="preserve">233.053 €</w:t>
            </w:r>
          </w:p>
        </w:tc>
        <w:tc>
          <w:tcPr>
            <w:tcW w:type="dxa" w:w="2048"/>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6"/>
                <w:szCs w:val="16"/>
              </w:rPr>
              <w:t xml:space="preserve">197.810 €</w:t>
            </w:r>
          </w:p>
        </w:tc>
      </w:tr>
    </w:tbl>
    <w:p>
      <w:pPr>
        <w:keepNext w:val="false"/>
        <w:spacing w:after="120" w:before="60" w:line="276"/>
        <w:jc w:val="left"/>
      </w:pPr>
      <w:r>
        <w:rPr>
          <w:sz w:val="16"/>
          <w:szCs w:val="16"/>
        </w:rPr>
        <w:t xml:space="preserve">Im pessimistischen Fall gibt es in 36 Monaten keinen Monat mit Überschuss; Krankenversicherung und Lebenshaltung sind dort für alle 36 Monate gerechnet.</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Die Zahl, gegen die geplant wird: 233.053 € — mit 42.808 € benannter Reserve</w:t>
            </w:r>
          </w:p>
          <w:p>
            <w:pPr>
              <w:spacing w:after="60" w:line="252"/>
            </w:pPr>
            <w:r>
              <w:rPr>
                <w:sz w:val="19"/>
                <w:szCs w:val="19"/>
              </w:rPr>
              <w:t xml:space="preserve">Seit dem Beschluss vom 19.09.2026 wird gegen den Gesamtbedarf geplant — den Bedarf der Firma und der beiden Menschen, die sie tragen. Das Produkt wird nicht auf einen Kapitalrahmen zugeschnitten; die Zahl wird fortgeschrieben, nicht gedeckelt. Die Summe enthält keinen einzigen Euro Gehalt.</w:t>
            </w:r>
          </w:p>
          <w:p>
            <w:pPr>
              <w:spacing w:after="60" w:line="252"/>
            </w:pPr>
            <w:r>
              <w:rPr>
                <w:sz w:val="19"/>
                <w:szCs w:val="19"/>
              </w:rPr>
              <w:t xml:space="preserve">Handbuch B verlangt, mit dem pessimistischen Szenario zu planen, weil es die höchste Einzelwahrscheinlichkeit hat. Dort liegt der Gesamtbedarf bei 275.861 €, also 42.808 € höher. </w:t>
            </w:r>
            <w:r>
              <w:rPr>
                <w:b/>
                <w:bCs/>
                <w:sz w:val="19"/>
                <w:szCs w:val="19"/>
              </w:rPr>
              <w:t xml:space="preserve">Beschlossen am 26.09.2026:</w:t>
            </w:r>
            <w:r>
              <w:rPr>
                <w:sz w:val="19"/>
                <w:szCs w:val="19"/>
              </w:rPr>
              <w:t xml:space="preserve"> Geplant und gesprochen wird mit 233.053 €; der Abstand von 42.808 € wird als </w:t>
            </w:r>
            <w:r>
              <w:rPr>
                <w:b/>
                <w:bCs/>
                <w:sz w:val="19"/>
                <w:szCs w:val="19"/>
              </w:rPr>
              <w:t xml:space="preserve">benannte Reserve</w:t>
            </w:r>
            <w:r>
              <w:rPr>
                <w:sz w:val="19"/>
                <w:szCs w:val="19"/>
              </w:rPr>
              <w:t xml:space="preserve"> in der Finanzierungsfolge geführt, die deshalb auf 275.861 € auslegt. Die Reserve wird nicht in die Hauptzahl gerechnet und nicht verschwiegen.</w:t>
            </w:r>
          </w:p>
          <w:p>
            <w:pPr>
              <w:spacing w:after="60" w:line="252"/>
            </w:pPr>
            <w:r>
              <w:rPr>
                <w:sz w:val="19"/>
                <w:szCs w:val="19"/>
              </w:rPr>
              <w:t xml:space="preserve">Der Grundsatz dahinter: Wo das Modell eine Spanne nennt, wird gegen die Mitte geplant und der obere Rand finanzierbar gehalten.</w:t>
            </w:r>
          </w:p>
        </w:tc>
      </w:tr>
    </w:tbl>
    <w:p>
      <w:pPr>
        <w:pStyle w:val="Heading3"/>
        <w:keepNext/>
        <w:spacing w:after="60" w:before="160"/>
      </w:pPr>
      <w:r>
        <w:t xml:space="preserve">Was die Rechnung noch nicht enthält — und was sie jetzt enthält</w:t>
      </w:r>
    </w:p>
    <w:p>
      <w:pPr>
        <w:pStyle w:val="ListParagraph"/>
        <w:numPr>
          <w:ilvl w:val="0"/>
          <w:numId w:val="3"/>
        </w:numPr>
        <w:spacing w:after="60" w:line="264"/>
      </w:pPr>
      <w:r>
        <w:rPr>
          <w:b/>
          <w:bCs/>
        </w:rPr>
        <w:t xml:space="preserve">Gehälter.</w:t>
      </w:r>
      <w:r>
        <w:t xml:space="preserve"> Keine, in keinem Szenario. Die Lebenshaltung beider Gründer ist dagegen seit dem 21.09.2026 gerechnet: 1.100 € je Person und Monat bis zum Break-even — die Höhe des Gründungsstipendiums Niedersachsen für Personen ohne abgeschlossenes Studium oder abgeschlossene Ausbildung. Ihre Finanzierung ist eine Frage für sich (Abschnitt 10).</w:t>
      </w:r>
    </w:p>
    <w:p>
      <w:pPr>
        <w:pStyle w:val="ListParagraph"/>
        <w:numPr>
          <w:ilvl w:val="0"/>
          <w:numId w:val="3"/>
        </w:numPr>
        <w:spacing w:after="60" w:line="264"/>
      </w:pPr>
      <w:r>
        <w:rPr>
          <w:b/>
          <w:bCs/>
        </w:rPr>
        <w:t xml:space="preserve">Der Weg der Altersprüfung.</w:t>
      </w:r>
      <w:r>
        <w:t xml:space="preserve"> Das Modell rechnet für die volle Identifizierung mit dem Online-Ausweis. Je nachdem, welchen Weg der Jugendschutz verlangt, liegt der Kapitalbedarf der Firma im realistischen Szenario bei 143.397 € (keine volle Identifizierung nötig), 145.888 € (staatliche Brieftasche), 160.253 € (Online-Ausweis) oder 245.841 € (Videoidentifizierung) — vollständig nachgerechnet am 21.09.2026. Mit Videoidentifizierung gäbe es im realistischen Fall in 36 Monaten keinen Monat mit Überschuss. Die Rechtsfrage steht deshalb ganz oben auf der Anwaltsliste.</w:t>
      </w:r>
    </w:p>
    <w:p>
      <w:pPr>
        <w:pStyle w:val="ListParagraph"/>
        <w:numPr>
          <w:ilvl w:val="0"/>
          <w:numId w:val="3"/>
        </w:numPr>
        <w:spacing w:after="60" w:line="264"/>
      </w:pPr>
      <w:r>
        <w:rPr>
          <w:b/>
          <w:bCs/>
        </w:rPr>
        <w:t xml:space="preserve">Die Reihenfolge von Gründung, Prüfungen und Start</w:t>
      </w:r>
      <w:r>
        <w:t xml:space="preserve"> ist seit dem 26.09.2026 entschieden: Die Jugendschutzfrage wird als Einzelfrage vorab geklärt, die übrigen vor dem Start fälligen Prüfungen werden vor der Gründung privat vorfinanziert. Das Modell rechnet mit einer Gründung zu Beginn der Saison und Nutzern ab Monat 2; ein späterer Start ändert den Kapitalbedarf nach dem Modell wenig. Wie privat vorgelegtes Geld in die Gesellschaft zurückkommt, ist eine eigene, noch offene Frage (Anhang B).</w:t>
      </w:r>
    </w:p>
    <w:p>
      <w:pPr>
        <w:pStyle w:val="ListParagraph"/>
        <w:numPr>
          <w:ilvl w:val="0"/>
          <w:numId w:val="3"/>
        </w:numPr>
        <w:spacing w:after="60" w:line="264"/>
      </w:pPr>
      <w:r>
        <w:rPr>
          <w:b/>
          <w:bCs/>
        </w:rPr>
        <w:t xml:space="preserve">Steuern.</w:t>
      </w:r>
      <w:r>
        <w:t xml:space="preserve"> Körperschaft- und Gewerbesteuer fallen erst bei Gewinn an; die Verluste der ersten Jahre lassen sich vortragen. Die Umsatzsteuer ist im Nettoerlös von 7,56 € bereits abgezogen.</w:t>
      </w:r>
    </w:p>
    <w:p>
      <w:pPr>
        <w:pStyle w:val="Heading3"/>
        <w:keepNext/>
        <w:spacing w:after="60" w:before="160"/>
      </w:pPr>
      <w:r>
        <w:t xml:space="preserve">Steuerungsgrößen</w:t>
      </w:r>
    </w:p>
    <w:p>
      <w:pPr>
        <w:pStyle w:val="ListParagraph"/>
        <w:numPr>
          <w:ilvl w:val="0"/>
          <w:numId w:val="3"/>
        </w:numPr>
        <w:spacing w:after="60" w:line="264"/>
      </w:pPr>
      <w:r>
        <w:rPr>
          <w:b/>
          <w:bCs/>
        </w:rPr>
        <w:t xml:space="preserve">299 Zahler</w:t>
      </w:r>
      <w:r>
        <w:t xml:space="preserve"> decken die laufenden Kosten bei 5.000 aktiven Nutzern, </w:t>
      </w:r>
      <w:r>
        <w:rPr>
          <w:b/>
          <w:bCs/>
        </w:rPr>
        <w:t xml:space="preserve">411</w:t>
      </w:r>
      <w:r>
        <w:t xml:space="preserve"> bei 12.000 — erst ab dieser Größe tragen die Abos die laufenden Kosten allein, wenn die Zielkonversion von 3,6 % erreicht ist.</w:t>
      </w:r>
    </w:p>
    <w:p>
      <w:pPr>
        <w:pStyle w:val="ListParagraph"/>
        <w:numPr>
          <w:ilvl w:val="0"/>
          <w:numId w:val="3"/>
        </w:numPr>
        <w:spacing w:after="60" w:line="264"/>
      </w:pPr>
      <w:r>
        <w:rPr>
          <w:b/>
          <w:bCs/>
        </w:rPr>
        <w:t xml:space="preserve">Leitkennzahl:</w:t>
      </w:r>
      <w:r>
        <w:t xml:space="preserve"> zustande gekommene Kontakte je Nutzer und Monat — nicht die Verweildauer.</w:t>
      </w:r>
    </w:p>
    <w:p>
      <w:pPr>
        <w:pStyle w:val="ListParagraph"/>
        <w:numPr>
          <w:ilvl w:val="0"/>
          <w:numId w:val="3"/>
        </w:numPr>
        <w:spacing w:after="60" w:line="264"/>
      </w:pPr>
      <w:r>
        <w:rPr>
          <w:b/>
          <w:bCs/>
        </w:rPr>
        <w:t xml:space="preserve">In der geschlossenen Testphase</w:t>
      </w:r>
      <w:r>
        <w:t xml:space="preserve"> entscheidet eine Zahl: Wie viele öffnen die App an Tag 7 erneut?</w:t>
      </w:r>
    </w:p>
    <w:p>
      <w:pPr>
        <w:pStyle w:val="ListParagraph"/>
        <w:numPr>
          <w:ilvl w:val="0"/>
          <w:numId w:val="3"/>
        </w:numPr>
        <w:spacing w:after="60" w:line="264"/>
      </w:pPr>
      <w:r>
        <w:rPr>
          <w:b/>
          <w:bCs/>
        </w:rPr>
        <w:t xml:space="preserve">Kohortendaten</w:t>
      </w:r>
      <w:r>
        <w:t xml:space="preserve"> werden von Tag eins an erhoben und monatlich archiviert — nachholen lässt sich das nicht.</w:t>
      </w:r>
    </w:p>
    <w:p>
      <w:pPr>
        <w:pStyle w:val="Heading1"/>
        <w:keepNext/>
        <w:pBdr>
          <w:bottom w:val="single" w:color="2E74B5" w:sz="6" w:space="2"/>
        </w:pBdr>
        <w:spacing w:after="120" w:before="240"/>
      </w:pPr>
      <w:r>
        <w:t xml:space="preserve">10 · Finanzierung</w:t>
      </w:r>
    </w:p>
    <w:p>
      <w:pPr>
        <w:keepNext w:val="false"/>
        <w:spacing w:after="120" w:before="0" w:line="276"/>
        <w:jc w:val="left"/>
      </w:pPr>
      <w:r>
        <w:t xml:space="preserve">Die Wege sind nach Anteilsverlust und Aufwand geordnet. </w:t>
      </w:r>
      <w:r>
        <w:rPr>
          <w:b/>
          <w:bCs/>
        </w:rPr>
        <w:t xml:space="preserve">Alle Angaben sind die Form der Frage, nicht die Antwort</w:t>
      </w:r>
      <w:r>
        <w:t xml:space="preserve"> — Konditionen ändern sich jährlich und werden vor jedem Antrag beim Träger bestätigt.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8"/>
        <w:gridCol w:w="1435"/>
        <w:gridCol w:w="820"/>
        <w:gridCol w:w="1128"/>
        <w:gridCol w:w="4307"/>
      </w:tblGrid>
      <w:tr>
        <w:trPr>
          <w:cantSplit/>
          <w:tblHeader/>
        </w:trPr>
        <w:tc>
          <w:tcPr>
            <w:tcW w:type="dxa" w:w="194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Weg</w:t>
            </w:r>
          </w:p>
        </w:tc>
        <w:tc>
          <w:tcPr>
            <w:tcW w:type="dxa" w:w="143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Größenordnung</w:t>
            </w:r>
          </w:p>
        </w:tc>
        <w:tc>
          <w:tcPr>
            <w:tcW w:type="dxa" w:w="82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Anteile</w:t>
            </w:r>
          </w:p>
        </w:tc>
        <w:tc>
          <w:tcPr>
            <w:tcW w:type="dxa" w:w="112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Wann</w:t>
            </w:r>
          </w:p>
        </w:tc>
        <w:tc>
          <w:tcPr>
            <w:tcW w:type="dxa" w:w="430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Stand für Cruizy (22.09.2026)</w:t>
            </w:r>
          </w:p>
        </w:tc>
      </w:tr>
      <w:tr>
        <w:trPr>
          <w:cantSplit/>
        </w:trPr>
        <w:tc>
          <w:tcPr>
            <w:tcW w:type="dxa" w:w="9638"/>
            <w:gridSpan w:val="5"/>
            <w:tcBorders>
              <w:top w:val="single" w:color="BFBFBF" w:sz="4"/>
              <w:left w:val="single" w:color="BFBFBF" w:sz="4"/>
              <w:bottom w:val="single" w:color="BFBFBF" w:sz="4"/>
              <w:right w:val="single" w:color="BFBFBF" w:sz="4"/>
            </w:tcBorders>
            <w:shd w:fill="D9E5F3" w:color="auto" w:val="clear"/>
            <w:tcMar>
              <w:top w:type="dxa" w:w="40"/>
              <w:left w:type="dxa" w:w="90"/>
              <w:bottom w:type="dxa" w:w="40"/>
              <w:right w:type="dxa" w:w="90"/>
            </w:tcMar>
          </w:tcPr>
          <w:p>
            <w:pPr>
              <w:spacing w:after="0"/>
            </w:pPr>
            <w:r>
              <w:rPr>
                <w:b/>
                <w:bCs/>
                <w:sz w:val="15"/>
                <w:szCs w:val="15"/>
              </w:rPr>
              <w:t xml:space="preserve">Ohne Rückzahlung, ohne Anteilsverlust</w:t>
            </w:r>
          </w:p>
        </w:tc>
      </w:tr>
      <w:tr>
        <w:trPr>
          <w:cantSplit/>
        </w:trPr>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Gründungsstipendium des Landes</w:t>
            </w:r>
          </w:p>
        </w:tc>
        <w:tc>
          <w:tcPr>
            <w:tcW w:type="dxa" w:w="14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15.000–35.000 €</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0 %</w:t>
            </w:r>
          </w:p>
        </w:tc>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Monat 1–6</w:t>
            </w:r>
          </w:p>
        </w:tc>
        <w:tc>
          <w:tcPr>
            <w:tcW w:type="dxa" w:w="43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Niedersachsen: 1.100 € je Person und Monat für Personen ohne abgeschlossenes Studium oder Ausbildung, bis zu 10 Monate; Lebensunterhalt, kein Firmenbudget; nur bei Sitz in Niedersachsen. Begleitung durch eine Hochschule oder ein Gründungszentrum nötig; gegründet werden darf erst nach der Bewilligung. </w:t>
            </w:r>
            <w:r>
              <w:rPr>
                <w:b/>
                <w:bCs/>
                <w:sz w:val="15"/>
                <w:szCs w:val="15"/>
              </w:rPr>
              <w:t xml:space="preserve">Anträge laut Förderdatenbank derzeit bis 31.03.2027</w:t>
            </w:r>
            <w:r>
              <w:rPr>
                <w:sz w:val="15"/>
                <w:szCs w:val="15"/>
              </w:rPr>
              <w:t xml:space="preserve"> — eine Nachfolge ist nicht veröffentlicht</w:t>
            </w:r>
          </w:p>
        </w:tc>
      </w:tr>
      <w:tr>
        <w:trPr>
          <w:cantSplit/>
        </w:trPr>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EXIST-Gründungsstipendium</w:t>
            </w:r>
          </w:p>
        </w:tc>
        <w:tc>
          <w:tcPr>
            <w:tcW w:type="dxa" w:w="14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0 %</w:t>
            </w:r>
          </w:p>
        </w:tc>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w:t>
            </w:r>
          </w:p>
        </w:tc>
        <w:tc>
          <w:tcPr>
            <w:tcW w:type="dxa" w:w="43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5"/>
                <w:szCs w:val="15"/>
              </w:rPr>
              <w:t xml:space="preserve">für das heutige Team nicht zugänglich:</w:t>
            </w:r>
            <w:r>
              <w:rPr>
                <w:sz w:val="15"/>
                <w:szCs w:val="15"/>
              </w:rPr>
              <w:t xml:space="preserve"> mindestens ein Teammitglied muss einen Hochschulabschluss haben</w:t>
            </w:r>
          </w:p>
        </w:tc>
      </w:tr>
      <w:tr>
        <w:trPr>
          <w:cantSplit/>
        </w:trPr>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Gründungswettbewerbe</w:t>
            </w:r>
          </w:p>
        </w:tc>
        <w:tc>
          <w:tcPr>
            <w:tcW w:type="dxa" w:w="14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2.000–25.000 €</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0 %</w:t>
            </w:r>
          </w:p>
        </w:tc>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nach der Gründung</w:t>
            </w:r>
          </w:p>
        </w:tc>
        <w:tc>
          <w:tcPr>
            <w:tcW w:type="dxa" w:w="43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Preisgeld ohne Gegenleistung; Jurygespräche als kostenlose Prüfung des Plans. In der Vorbereitungsphase nehmen die Gründer bewusst an keinem Wettbewerb teil (Beschluss vom 19.09.2026)</w:t>
            </w:r>
          </w:p>
        </w:tc>
      </w:tr>
      <w:tr>
        <w:trPr>
          <w:cantSplit/>
        </w:trPr>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Crowdfunding</w:t>
            </w:r>
          </w:p>
        </w:tc>
        <w:tc>
          <w:tcPr>
            <w:tcW w:type="dxa" w:w="14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10.800–38.900 €</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0 %</w:t>
            </w:r>
          </w:p>
        </w:tc>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Monat 6–10</w:t>
            </w:r>
          </w:p>
        </w:tc>
        <w:tc>
          <w:tcPr>
            <w:tcW w:type="dxa" w:w="43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Mindest- und Wunschbetrag nach dem Konzept (Fassung 2); erst ab mehr als 1.000 Menschen auf der Warteliste — eine gescheiterte Kampagne ist öffentlich. Gegenleistungen als befristete Codes, eingelöst auf der Webseite</w:t>
            </w:r>
          </w:p>
        </w:tc>
      </w:tr>
      <w:tr>
        <w:trPr>
          <w:cantSplit/>
        </w:trPr>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Vorverkauf von Jahresabos an die Warteliste</w:t>
            </w:r>
          </w:p>
        </w:tc>
        <w:tc>
          <w:tcPr>
            <w:tcW w:type="dxa" w:w="14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rechnerisch bis 35.000 €</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0 %</w:t>
            </w:r>
          </w:p>
        </w:tc>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kurz vor dem Start</w:t>
            </w:r>
          </w:p>
        </w:tc>
        <w:tc>
          <w:tcPr>
            <w:tcW w:type="dxa" w:w="43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500 Jahresabos zu 70 € als befristete Codes; zugleich Marktforschung. Rechtlich nicht trivial — Vorkasse, Widerrufsrecht, Schutz der Käufer; steht auf der Anwaltsliste</w:t>
            </w:r>
          </w:p>
        </w:tc>
      </w:tr>
      <w:tr>
        <w:trPr>
          <w:cantSplit/>
        </w:trPr>
        <w:tc>
          <w:tcPr>
            <w:tcW w:type="dxa" w:w="9638"/>
            <w:gridSpan w:val="5"/>
            <w:tcBorders>
              <w:top w:val="single" w:color="BFBFBF" w:sz="4"/>
              <w:left w:val="single" w:color="BFBFBF" w:sz="4"/>
              <w:bottom w:val="single" w:color="BFBFBF" w:sz="4"/>
              <w:right w:val="single" w:color="BFBFBF" w:sz="4"/>
            </w:tcBorders>
            <w:shd w:fill="D9E5F3" w:color="auto" w:val="clear"/>
            <w:tcMar>
              <w:top w:type="dxa" w:w="40"/>
              <w:left w:type="dxa" w:w="90"/>
              <w:bottom w:type="dxa" w:w="40"/>
              <w:right w:type="dxa" w:w="90"/>
            </w:tcMar>
          </w:tcPr>
          <w:p>
            <w:pPr>
              <w:spacing w:after="0"/>
            </w:pPr>
            <w:r>
              <w:rPr>
                <w:b/>
                <w:bCs/>
                <w:sz w:val="15"/>
                <w:szCs w:val="15"/>
              </w:rPr>
              <w:t xml:space="preserve">Rückzahlbar, ohne Anteilsverlust</w:t>
            </w:r>
          </w:p>
        </w:tc>
      </w:tr>
      <w:tr>
        <w:trPr>
          <w:cantSplit/>
        </w:trPr>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Mikromezzaninfonds</w:t>
            </w:r>
          </w:p>
        </w:tc>
        <w:tc>
          <w:tcPr>
            <w:tcW w:type="dxa" w:w="14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50.000–150.000 €</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0 %</w:t>
            </w:r>
          </w:p>
        </w:tc>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Monat 12–18</w:t>
            </w:r>
          </w:p>
        </w:tc>
        <w:tc>
          <w:tcPr>
            <w:tcW w:type="dxa" w:w="43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stille Beteiligung ohne Sicherheiten und Stimmrechte, sobald erste Traktion belegbar ist</w:t>
            </w:r>
          </w:p>
        </w:tc>
      </w:tr>
      <w:tr>
        <w:trPr>
          <w:cantSplit/>
        </w:trPr>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KfW ERP-Gründerkredit StartGeld</w:t>
            </w:r>
          </w:p>
        </w:tc>
        <w:tc>
          <w:tcPr>
            <w:tcW w:type="dxa" w:w="14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25.000–200.000 €</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0 %</w:t>
            </w:r>
          </w:p>
        </w:tc>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Monat 15–24</w:t>
            </w:r>
          </w:p>
        </w:tc>
        <w:tc>
          <w:tcPr>
            <w:tcW w:type="dxa" w:w="43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nur wenn Umsatz fließt; ohne Umsatz und Sicherheiten realistisch 25.000–60.000 €. Seit 01.11.2024 gibt es zusätzlich den ERP-Förderkredit Gründung und Nachfolge, der über die Bürgschaftsbanken läuft</w:t>
            </w:r>
          </w:p>
        </w:tc>
      </w:tr>
      <w:tr>
        <w:trPr>
          <w:cantSplit/>
        </w:trPr>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Bürgschaftsbank</w:t>
            </w:r>
          </w:p>
        </w:tc>
        <w:tc>
          <w:tcPr>
            <w:tcW w:type="dxa" w:w="14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Absicherung</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0 %</w:t>
            </w:r>
          </w:p>
        </w:tc>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mit Kredit</w:t>
            </w:r>
          </w:p>
        </w:tc>
        <w:tc>
          <w:tcPr>
            <w:tcW w:type="dxa" w:w="43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übernimmt einen Teil des Ausfallrisikos gegenüber der Hausbank</w:t>
            </w:r>
          </w:p>
        </w:tc>
      </w:tr>
      <w:tr>
        <w:trPr>
          <w:cantSplit/>
        </w:trPr>
        <w:tc>
          <w:tcPr>
            <w:tcW w:type="dxa" w:w="9638"/>
            <w:gridSpan w:val="5"/>
            <w:tcBorders>
              <w:top w:val="single" w:color="BFBFBF" w:sz="4"/>
              <w:left w:val="single" w:color="BFBFBF" w:sz="4"/>
              <w:bottom w:val="single" w:color="BFBFBF" w:sz="4"/>
              <w:right w:val="single" w:color="BFBFBF" w:sz="4"/>
            </w:tcBorders>
            <w:shd w:fill="D9E5F3" w:color="auto" w:val="clear"/>
            <w:tcMar>
              <w:top w:type="dxa" w:w="40"/>
              <w:left w:type="dxa" w:w="90"/>
              <w:bottom w:type="dxa" w:w="40"/>
              <w:right w:type="dxa" w:w="90"/>
            </w:tcMar>
          </w:tcPr>
          <w:p>
            <w:pPr>
              <w:spacing w:after="0"/>
            </w:pPr>
            <w:r>
              <w:rPr>
                <w:b/>
                <w:bCs/>
                <w:sz w:val="15"/>
                <w:szCs w:val="15"/>
              </w:rPr>
              <w:t xml:space="preserve">Mit Anteilsverlust</w:t>
            </w:r>
          </w:p>
        </w:tc>
      </w:tr>
      <w:tr>
        <w:trPr>
          <w:cantSplit/>
        </w:trPr>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Business Angel</w:t>
            </w:r>
          </w:p>
        </w:tc>
        <w:tc>
          <w:tcPr>
            <w:tcW w:type="dxa" w:w="14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50.000–250.000 €</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8–18 %</w:t>
            </w:r>
          </w:p>
        </w:tc>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Monat 15–30</w:t>
            </w:r>
          </w:p>
        </w:tc>
        <w:tc>
          <w:tcPr>
            <w:tcW w:type="dxa" w:w="43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erst mit belegter Wiederkehr und einer tragfähigen Stadt; INVEST-Zuschuss für Angels prüfen (Programm bis 31.12.2026 verlängert, Fortführung offen)</w:t>
            </w:r>
          </w:p>
        </w:tc>
      </w:tr>
      <w:tr>
        <w:trPr>
          <w:cantSplit/>
        </w:trPr>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Pre-Seed-Runde</w:t>
            </w:r>
          </w:p>
        </w:tc>
        <w:tc>
          <w:tcPr>
            <w:tcW w:type="dxa" w:w="14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150.000–400.000 €</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12–20 %</w:t>
            </w:r>
          </w:p>
        </w:tc>
        <w:tc>
          <w:tcPr>
            <w:tcW w:type="dxa" w:w="112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ab Monat 24</w:t>
            </w:r>
          </w:p>
        </w:tc>
        <w:tc>
          <w:tcPr>
            <w:tcW w:type="dxa" w:w="430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nur bei gewollter internationaler Skalierung</w:t>
            </w:r>
          </w:p>
        </w:tc>
      </w:tr>
    </w:tbl>
    <w:p>
      <w:pPr>
        <w:spacing w:after="100"/>
      </w:pPr>
    </w:p>
    <w:p>
      <w:pPr>
        <w:keepNext w:val="false"/>
        <w:spacing w:after="120" w:before="0" w:line="276"/>
        <w:jc w:val="left"/>
      </w:pPr>
      <w:r>
        <w:rPr>
          <w:b/>
          <w:bCs/>
        </w:rPr>
        <w:t xml:space="preserve">Empfohlene Reihenfolge nach Handbuch B:</w:t>
      </w:r>
      <w:r>
        <w:t xml:space="preserve"> Stipendium und Wettbewerbe zuerst (Monat 1–6), Crowdfunding ab einer Warteliste über 1.000 Personen (Monat 6–10), Mikromezzanin mit erster Traktion (Monat 12–18), Förderkredit nur bei fließendem Umsatz (Monat 15–24), Beteiligungskapital frühestens ab Monat 24 und nur bei internationaler Skalierung. </w:t>
      </w:r>
      <w:r>
        <w:rPr>
          <w:b/>
          <w:bCs/>
        </w:rPr>
        <w:t xml:space="preserve">Zugesagt ist davon nichts.</w:t>
      </w:r>
    </w:p>
    <w:p>
      <w:pPr>
        <w:keepNext w:val="false"/>
        <w:spacing w:after="120" w:before="0" w:line="276"/>
        <w:jc w:val="left"/>
      </w:pPr>
      <w:r>
        <w:rPr>
          <w:b/>
          <w:bCs/>
        </w:rPr>
        <w:t xml:space="preserve">Die offene Stelle.</w:t>
      </w:r>
      <w:r>
        <w:t xml:space="preserve"> Das Stipendium, das die Lebenshaltung am besten abdeckt, nimmt nach heutigem Stand Anträge nur bis März 2027 an — gegründet wird frühestens im Sommer 2028, nach der Planungsgrundlage ein Jahr später. Ob es dann ein Nachfolgeprogramm gibt, wird beobachtet. [OFFEN: Finanzierung der Lebenshaltung von 61.600 € im realistischen Fall, falls nicht.]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pPr>
            <w:r>
              <w:rPr>
                <w:b/>
                <w:bCs/>
                <w:color w:val="1F4D78"/>
                <w:sz w:val="20"/>
                <w:szCs w:val="20"/>
              </w:rPr>
              <w:t xml:space="preserve">Eiserne Regel</w:t>
            </w:r>
          </w:p>
          <w:p>
            <w:pPr>
              <w:spacing w:after="60" w:line="252"/>
            </w:pPr>
            <w:r>
              <w:rPr>
                <w:sz w:val="19"/>
                <w:szCs w:val="19"/>
              </w:rPr>
              <w:t xml:space="preserve">Niemals Kredit für Marketing aufnehmen, bevor Kundenwert und Akquisekosten belastbar gemessen sind. Ein Kredit verstärkt, was da ist — ist die Einheitenökonomie negativ, verstärkt er den Verlust.</w:t>
            </w:r>
          </w:p>
        </w:tc>
      </w:tr>
    </w:tbl>
    <w:p>
      <w:pPr>
        <w:pStyle w:val="Heading3"/>
        <w:keepNext/>
        <w:spacing w:after="60" w:before="160"/>
      </w:pPr>
      <w:r>
        <w:t xml:space="preserve">Mittelverwendung der Einmalkosten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96"/>
        <w:gridCol w:w="1606"/>
        <w:gridCol w:w="1236"/>
      </w:tblGrid>
      <w:tr>
        <w:trPr>
          <w:cantSplit/>
          <w:tblHeader/>
        </w:trPr>
        <w:tc>
          <w:tcPr>
            <w:tcW w:type="dxa" w:w="679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Block</w:t>
            </w:r>
          </w:p>
        </w:tc>
        <w:tc>
          <w:tcPr>
            <w:tcW w:type="dxa" w:w="160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Betrag</w:t>
            </w:r>
          </w:p>
        </w:tc>
        <w:tc>
          <w:tcPr>
            <w:tcW w:type="dxa" w:w="123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Anteil</w:t>
            </w:r>
          </w:p>
        </w:tc>
      </w:tr>
      <w:tr>
        <w:trPr>
          <w:cantSplit/>
        </w:trPr>
        <w:tc>
          <w:tcPr>
            <w:tcW w:type="dxa" w:w="67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Prüfung des gesamten Codes, beide Plattformen</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18.900 €</w:t>
            </w:r>
          </w:p>
        </w:tc>
        <w:tc>
          <w:tcPr>
            <w:tcW w:type="dxa" w:w="12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33,8 %</w:t>
            </w:r>
          </w:p>
        </w:tc>
      </w:tr>
      <w:tr>
        <w:trPr>
          <w:cantSplit/>
        </w:trPr>
        <w:tc>
          <w:tcPr>
            <w:tcW w:type="dxa" w:w="67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Produkt und Prüfung (Gestaltung, Texte, Taxonomie, Penetrationstest, Barrierefreiheit, Geräte, Testgeräte)</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17.100 €</w:t>
            </w:r>
          </w:p>
        </w:tc>
        <w:tc>
          <w:tcPr>
            <w:tcW w:type="dxa" w:w="12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30,6 %</w:t>
            </w:r>
          </w:p>
        </w:tc>
      </w:tr>
      <w:tr>
        <w:trPr>
          <w:cantSplit/>
        </w:trPr>
        <w:tc>
          <w:tcPr>
            <w:tcW w:type="dxa" w:w="67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Recht und Compliance (AGB, Folgenabschätzung, DSA, Jugendschutz)</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15.500 €</w:t>
            </w:r>
          </w:p>
        </w:tc>
        <w:tc>
          <w:tcPr>
            <w:tcW w:type="dxa" w:w="12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27,7 %</w:t>
            </w:r>
          </w:p>
        </w:tc>
      </w:tr>
      <w:tr>
        <w:trPr>
          <w:cantSplit/>
        </w:trPr>
        <w:tc>
          <w:tcPr>
            <w:tcW w:type="dxa" w:w="67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Gründung und Schutzrechte (Notar, Marke)</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4.400 €</w:t>
            </w:r>
          </w:p>
        </w:tc>
        <w:tc>
          <w:tcPr>
            <w:tcW w:type="dxa" w:w="12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7,9 %</w:t>
            </w:r>
          </w:p>
        </w:tc>
      </w:tr>
      <w:tr>
        <w:trPr>
          <w:cantSplit/>
        </w:trPr>
        <w:tc>
          <w:tcPr>
            <w:tcW w:type="dxa" w:w="6796"/>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7"/>
                <w:szCs w:val="17"/>
              </w:rPr>
              <w:t xml:space="preserve">Summe</w:t>
            </w:r>
          </w:p>
        </w:tc>
        <w:tc>
          <w:tcPr>
            <w:tcW w:type="dxa" w:w="1606"/>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7"/>
                <w:szCs w:val="17"/>
              </w:rPr>
              <w:t xml:space="preserve">55.900 €</w:t>
            </w:r>
          </w:p>
        </w:tc>
        <w:tc>
          <w:tcPr>
            <w:tcW w:type="dxa" w:w="1236"/>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7"/>
                <w:szCs w:val="17"/>
              </w:rPr>
              <w:t xml:space="preserve">100,0 %</w:t>
            </w:r>
          </w:p>
        </w:tc>
      </w:tr>
    </w:tbl>
    <w:p>
      <w:pPr>
        <w:keepNext w:val="false"/>
        <w:spacing w:after="120" w:before="60" w:line="276"/>
        <w:jc w:val="left"/>
      </w:pPr>
      <w:r>
        <w:rPr>
          <w:sz w:val="16"/>
          <w:szCs w:val="16"/>
        </w:rPr>
        <w:t xml:space="preserve">[OFFEN: Mittelverwendung je Antrag.]</w:t>
      </w:r>
    </w:p>
    <w:p>
      <w:pPr>
        <w:pStyle w:val="Heading1"/>
        <w:keepNext/>
        <w:pBdr>
          <w:bottom w:val="single" w:color="2E74B5" w:sz="6" w:space="2"/>
        </w:pBdr>
        <w:spacing w:after="120" w:before="240"/>
      </w:pPr>
      <w:r>
        <w:t xml:space="preserve">11 · Risiken und Gegenmaßnahmen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4"/>
        <w:gridCol w:w="964"/>
        <w:gridCol w:w="1178"/>
        <w:gridCol w:w="4712"/>
      </w:tblGrid>
      <w:tr>
        <w:trPr>
          <w:cantSplit/>
          <w:tblHeader/>
        </w:trPr>
        <w:tc>
          <w:tcPr>
            <w:tcW w:type="dxa" w:w="278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Risiko</w:t>
            </w:r>
          </w:p>
        </w:tc>
        <w:tc>
          <w:tcPr>
            <w:tcW w:type="dxa" w:w="96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Wahrsch.</w:t>
            </w:r>
          </w:p>
        </w:tc>
        <w:tc>
          <w:tcPr>
            <w:tcW w:type="dxa" w:w="117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Schaden</w:t>
            </w:r>
          </w:p>
        </w:tc>
        <w:tc>
          <w:tcPr>
            <w:tcW w:type="dxa" w:w="4712"/>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Gegenmaßnahme</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Dichte wird nie erreicht</w:t>
            </w:r>
          </w:p>
        </w:tc>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hoch</w:t>
            </w:r>
          </w:p>
        </w:tc>
        <w:tc>
          <w:tcPr>
            <w:tcW w:type="dxa" w:w="1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kritisch</w:t>
            </w:r>
          </w:p>
        </w:tc>
        <w:tc>
          <w:tcPr>
            <w:tcW w:type="dxa" w:w="471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Radius technisch erzwingen, nur eine Stadt gleichzeitig. Abbruchkriterium: unter 3.500 MAU in Köln nach 15 Monaten</w:t>
            </w:r>
          </w:p>
        </w:tc>
      </w:tr>
      <w:tr>
        <w:trPr>
          <w:cantSplit/>
        </w:trPr>
        <w:tc>
          <w:tcPr>
            <w:tcW w:type="dxa" w:w="27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Organischer Kanal trägt nicht</w:t>
            </w:r>
          </w:p>
        </w:tc>
        <w:tc>
          <w:tcPr>
            <w:tcW w:type="dxa" w:w="96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hoch</w:t>
            </w:r>
          </w:p>
        </w:tc>
        <w:tc>
          <w:tcPr>
            <w:tcW w:type="dxa" w:w="11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kritisch</w:t>
            </w:r>
          </w:p>
        </w:tc>
        <w:tc>
          <w:tcPr>
            <w:tcW w:type="dxa" w:w="47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zweites Prüftor in Monat 12; bezahlte Alternativen sind rechnerisch ausgeschlossen</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Datenleck mit Outing-Folge</w:t>
            </w:r>
          </w:p>
        </w:tc>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mittel</w:t>
            </w:r>
          </w:p>
        </w:tc>
        <w:tc>
          <w:tcPr>
            <w:tcW w:type="dxa" w:w="1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existenziell</w:t>
            </w:r>
          </w:p>
        </w:tc>
        <w:tc>
          <w:tcPr>
            <w:tcW w:type="dxa" w:w="471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Verschlüsselung, Zugriffstrennung, Standortrundung, Penetrationstest ab Monat 9, Cyberversicherung ab Tag 1</w:t>
            </w:r>
          </w:p>
        </w:tc>
      </w:tr>
      <w:tr>
        <w:trPr>
          <w:cantSplit/>
        </w:trPr>
        <w:tc>
          <w:tcPr>
            <w:tcW w:type="dxa" w:w="27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Ablehnung durch App-Stores</w:t>
            </w:r>
          </w:p>
        </w:tc>
        <w:tc>
          <w:tcPr>
            <w:tcW w:type="dxa" w:w="96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hoch</w:t>
            </w:r>
          </w:p>
        </w:tc>
        <w:tc>
          <w:tcPr>
            <w:tcW w:type="dxa" w:w="11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kritisch</w:t>
            </w:r>
          </w:p>
        </w:tc>
        <w:tc>
          <w:tcPr>
            <w:tcW w:type="dxa" w:w="47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Web-App zuerst und vollständig; native Apps erst nach der Prüfung der Store-Richtlinien, Profilbilder mit Nacktheit dort unkenntlich</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Erschöpfung, Abhängigkeit von den Gründern</w:t>
            </w:r>
          </w:p>
        </w:tc>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hoch</w:t>
            </w:r>
          </w:p>
        </w:tc>
        <w:tc>
          <w:tcPr>
            <w:tcW w:type="dxa" w:w="1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kritisch</w:t>
            </w:r>
          </w:p>
        </w:tc>
        <w:tc>
          <w:tcPr>
            <w:tcW w:type="dxa" w:w="471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Vesting mit Ausscheidensregeln, Dokumentation, feste Ruhezeiten, Quartalsgespräch</w:t>
            </w:r>
          </w:p>
        </w:tc>
      </w:tr>
      <w:tr>
        <w:trPr>
          <w:cantSplit/>
        </w:trPr>
        <w:tc>
          <w:tcPr>
            <w:tcW w:type="dxa" w:w="27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Kapital reicht nicht bis zum Break-even</w:t>
            </w:r>
          </w:p>
        </w:tc>
        <w:tc>
          <w:tcPr>
            <w:tcW w:type="dxa" w:w="96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mittel</w:t>
            </w:r>
          </w:p>
        </w:tc>
        <w:tc>
          <w:tcPr>
            <w:tcW w:type="dxa" w:w="11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kritisch</w:t>
            </w:r>
          </w:p>
        </w:tc>
        <w:tc>
          <w:tcPr>
            <w:tcW w:type="dxa" w:w="47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gegen den Gesamtbedarf von 233.053 € planen, nicht gegen den Firmenbedarf allein; Notfallreihenfolge vorab beschlossen</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Konversion unter 1,5 %</w:t>
            </w:r>
          </w:p>
        </w:tc>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mittel</w:t>
            </w:r>
          </w:p>
        </w:tc>
        <w:tc>
          <w:tcPr>
            <w:tcW w:type="dxa" w:w="1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hoch</w:t>
            </w:r>
          </w:p>
        </w:tc>
        <w:tc>
          <w:tcPr>
            <w:tcW w:type="dxa" w:w="471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nach Handbuch B Break-even sieben Monate später, 30.000 € mehr Kapital — verkraftbar ohne Gehälter</w:t>
            </w:r>
          </w:p>
        </w:tc>
      </w:tr>
      <w:tr>
        <w:trPr>
          <w:cantSplit/>
        </w:trPr>
        <w:tc>
          <w:tcPr>
            <w:tcW w:type="dxa" w:w="27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Sperre beim Zahlungsdienstleister</w:t>
            </w:r>
          </w:p>
        </w:tc>
        <w:tc>
          <w:tcPr>
            <w:tcW w:type="dxa" w:w="96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mittel</w:t>
            </w:r>
          </w:p>
        </w:tc>
        <w:tc>
          <w:tcPr>
            <w:tcW w:type="dxa" w:w="11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hoch</w:t>
            </w:r>
          </w:p>
        </w:tc>
        <w:tc>
          <w:tcPr>
            <w:tcW w:type="dxa" w:w="47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enge Inhaltsrichtlinie, Einordnung vorab schriftlich klären, zweiter Zahlungsweg als Reserve</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Match bringt Sniffies in den DACH-Raum</w:t>
            </w:r>
          </w:p>
        </w:tc>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mittel</w:t>
            </w:r>
          </w:p>
        </w:tc>
        <w:tc>
          <w:tcPr>
            <w:tcW w:type="dxa" w:w="1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hoch</w:t>
            </w:r>
          </w:p>
        </w:tc>
        <w:tc>
          <w:tcPr>
            <w:tcW w:type="dxa" w:w="471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echte lokale Verankerung — das Einzige, was ein US-Konzern nicht kopiert</w:t>
            </w:r>
          </w:p>
        </w:tc>
      </w:tr>
      <w:tr>
        <w:trPr>
          <w:cantSplit/>
        </w:trPr>
        <w:tc>
          <w:tcPr>
            <w:tcW w:type="dxa" w:w="27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Strengere Regulierung</w:t>
            </w:r>
          </w:p>
        </w:tc>
        <w:tc>
          <w:tcPr>
            <w:tcW w:type="dxa" w:w="96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mittel</w:t>
            </w:r>
          </w:p>
        </w:tc>
        <w:tc>
          <w:tcPr>
            <w:tcW w:type="dxa" w:w="11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hoch</w:t>
            </w:r>
          </w:p>
        </w:tc>
        <w:tc>
          <w:tcPr>
            <w:tcW w:type="dxa" w:w="47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strengere Prüfstufe als Einstellung, nicht als Umbau</w:t>
            </w:r>
          </w:p>
        </w:tc>
      </w:tr>
      <w:tr>
        <w:trPr>
          <w:cantSplit/>
        </w:trPr>
        <w:tc>
          <w:tcPr>
            <w:tcW w:type="dxa" w:w="27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Rufschaden nach einem Vorfall</w:t>
            </w:r>
          </w:p>
        </w:tc>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mittel</w:t>
            </w:r>
          </w:p>
        </w:tc>
        <w:tc>
          <w:tcPr>
            <w:tcW w:type="dxa" w:w="11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hoch</w:t>
            </w:r>
          </w:p>
        </w:tc>
        <w:tc>
          <w:tcPr>
            <w:tcW w:type="dxa" w:w="471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Sicherheitsfunktionen von Anfang an sichtbar, Krisenkommunikation vorab schriftlich</w:t>
            </w:r>
          </w:p>
        </w:tc>
      </w:tr>
      <w:tr>
        <w:trPr>
          <w:cantSplit/>
        </w:trPr>
        <w:tc>
          <w:tcPr>
            <w:tcW w:type="dxa" w:w="278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b/>
                <w:bCs/>
                <w:sz w:val="16"/>
                <w:szCs w:val="16"/>
              </w:rPr>
              <w:t xml:space="preserve">Missbrauchsdarstellungen</w:t>
            </w:r>
          </w:p>
        </w:tc>
        <w:tc>
          <w:tcPr>
            <w:tcW w:type="dxa" w:w="96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gering</w:t>
            </w:r>
          </w:p>
        </w:tc>
        <w:tc>
          <w:tcPr>
            <w:tcW w:type="dxa" w:w="11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existenziell</w:t>
            </w:r>
          </w:p>
        </w:tc>
        <w:tc>
          <w:tcPr>
            <w:tcW w:type="dxa" w:w="471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vAlign w:val="top"/>
          </w:tcPr>
          <w:p>
            <w:pPr>
              <w:spacing w:after="0" w:line="252"/>
              <w:jc w:val="left"/>
            </w:pPr>
            <w:r>
              <w:rPr>
                <w:sz w:val="16"/>
                <w:szCs w:val="16"/>
              </w:rPr>
              <w:t xml:space="preserve">Abgleich vor jeder Veröffentlichung; keine schlanke Variante</w:t>
            </w:r>
          </w:p>
        </w:tc>
      </w:tr>
    </w:tbl>
    <w:p>
      <w:pPr>
        <w:spacing w:after="100"/>
      </w:pPr>
    </w:p>
    <w:p>
      <w:pPr>
        <w:keepNext w:val="false"/>
        <w:spacing w:after="120" w:before="0" w:line="276"/>
        <w:jc w:val="left"/>
      </w:pPr>
      <w:r>
        <w:rPr>
          <w:b/>
          <w:bCs/>
        </w:rPr>
        <w:t xml:space="preserve">Notfallreihenfolge bei Liquiditätsengpass</w:t>
      </w:r>
      <w:r>
        <w:t xml:space="preserve"> — von den Gründern am 21.09.2026 bestätigt, gestrichen wird in dieser Reihenfolge:</w:t>
      </w:r>
    </w:p>
    <w:p>
      <w:pPr>
        <w:pStyle w:val="ListParagraph"/>
        <w:numPr>
          <w:ilvl w:val="0"/>
          <w:numId w:val="4"/>
        </w:numPr>
        <w:spacing w:after="60" w:line="264"/>
      </w:pPr>
      <w:r>
        <w:t xml:space="preserve">Marketing-Barmittel, außer Ortspartnerschaften</w:t>
      </w:r>
    </w:p>
    <w:p>
      <w:pPr>
        <w:pStyle w:val="ListParagraph"/>
        <w:numPr>
          <w:ilvl w:val="0"/>
          <w:numId w:val="4"/>
        </w:numPr>
        <w:spacing w:after="60" w:line="264"/>
      </w:pPr>
      <w:r>
        <w:t xml:space="preserve">CSD-Auftritt des laufenden Jahres — ausgenommen der Auftritt zum Start</w:t>
      </w:r>
    </w:p>
    <w:p>
      <w:pPr>
        <w:pStyle w:val="ListParagraph"/>
        <w:numPr>
          <w:ilvl w:val="0"/>
          <w:numId w:val="4"/>
        </w:numPr>
        <w:spacing w:after="60" w:line="264"/>
      </w:pPr>
      <w:r>
        <w:t xml:space="preserve">Moderationskraft — die Gründer übernehmen wieder</w:t>
      </w:r>
    </w:p>
    <w:p>
      <w:pPr>
        <w:pStyle w:val="ListParagraph"/>
        <w:numPr>
          <w:ilvl w:val="0"/>
          <w:numId w:val="4"/>
        </w:numPr>
        <w:spacing w:after="60" w:line="264"/>
      </w:pPr>
      <w:r>
        <w:t xml:space="preserve">Infrastruktur verkleinern, Ausbaustufen zurückstellen</w:t>
      </w:r>
    </w:p>
    <w:p>
      <w:pPr>
        <w:pStyle w:val="ListParagraph"/>
        <w:numPr>
          <w:ilvl w:val="0"/>
          <w:numId w:val="4"/>
        </w:numPr>
        <w:spacing w:after="60" w:line="264"/>
      </w:pPr>
      <w:r>
        <w:t xml:space="preserve">Zweite Stadt aussetzen</w:t>
      </w:r>
    </w:p>
    <w:p>
      <w:pPr>
        <w:keepNext w:val="false"/>
        <w:spacing w:after="120" w:before="80" w:line="276"/>
        <w:jc w:val="left"/>
      </w:pPr>
      <w:r>
        <w:rPr>
          <w:b/>
          <w:bCs/>
        </w:rPr>
        <w:t xml:space="preserve">Nie gestrichen werden:</w:t>
      </w:r>
      <w:r>
        <w:t xml:space="preserve"> Datenschutzbeauftragter, Abgleich gegen Missbrauchsdarstellungen, Cyberversicherung, Rechtsrückstellung. Diese vier Positionen sind der Unterschied zwischen einem Rückschlag und dem Ende.</w:t>
      </w:r>
    </w:p>
    <w:p>
      <w:pPr>
        <w:keepNext w:val="false"/>
        <w:spacing w:after="120" w:before="0" w:line="276"/>
        <w:jc w:val="left"/>
      </w:pPr>
      <w:r>
        <w:rPr>
          <w:b/>
          <w:bCs/>
        </w:rPr>
        <w:t xml:space="preserve">Wie die Etablierten reagieren werden.</w:t>
      </w:r>
      <w:r>
        <w:t xml:space="preserve"> Bis etwa 20.000 MAU im DACH-Raum gar nicht. Bei spürbarem Anteil in einer Stadt mit lokalem Werbedruck und Preisaktionen. Ab etwa 100.000 MAU mit Kauf oder Verdrängung. Das Unternehmen wird deshalb so gebaut, dass auch ein Verkauf ein akzeptables Ergebnis ist: saubere Kapitalstruktur, Kennzahlen von Tag eins, keine Datenschutz-Altlasten.</w:t>
      </w:r>
    </w:p>
    <w:p>
      <w:pPr>
        <w:pStyle w:val="Heading1"/>
        <w:keepNext/>
        <w:pBdr>
          <w:bottom w:val="single" w:color="2E74B5" w:sz="6" w:space="2"/>
        </w:pBdr>
        <w:spacing w:after="120" w:before="240"/>
      </w:pPr>
      <w:r>
        <w:t xml:space="preserve">12 · Meilensteine und Prüftore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8"/>
        <w:gridCol w:w="2703"/>
        <w:gridCol w:w="4937"/>
      </w:tblGrid>
      <w:tr>
        <w:trPr>
          <w:cantSplit/>
          <w:tblHeader/>
        </w:trPr>
        <w:tc>
          <w:tcPr>
            <w:tcW w:type="dxa" w:w="199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Zeitraum (Bestfall)</w:t>
            </w:r>
          </w:p>
        </w:tc>
        <w:tc>
          <w:tcPr>
            <w:tcW w:type="dxa" w:w="2703"/>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Phase</w:t>
            </w:r>
          </w:p>
        </w:tc>
        <w:tc>
          <w:tcPr>
            <w:tcW w:type="dxa" w:w="493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Ergebnis</w:t>
            </w:r>
          </w:p>
        </w:tc>
      </w:tr>
      <w:tr>
        <w:trPr>
          <w:cantSplit/>
        </w:trPr>
        <w:tc>
          <w:tcPr>
            <w:tcW w:type="dxa" w:w="1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Jul–Sep 2026</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Rechtsrahmen und Unumkehrbares</w:t>
            </w:r>
          </w:p>
        </w:tc>
        <w:tc>
          <w:tcPr>
            <w:tcW w:type="dxa" w:w="49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Mandantenakte, Anbieter- und Förderrecherchen, Entwurf einer Vereinbarung zwischen den Gründern</w:t>
            </w:r>
          </w:p>
        </w:tc>
      </w:tr>
      <w:tr>
        <w:trPr>
          <w:cantSplit/>
        </w:trPr>
        <w:tc>
          <w:tcPr>
            <w:tcW w:type="dxa" w:w="1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Okt 2026–Mär 2027</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Wissen sammeln</w:t>
            </w:r>
          </w:p>
        </w:tc>
        <w:tc>
          <w:tcPr>
            <w:tcW w:type="dxa" w:w="49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60–80 Gespräche mit der Zielgruppe, Ortsliste Köln vor Ort geprüft</w:t>
            </w:r>
          </w:p>
        </w:tc>
      </w:tr>
      <w:tr>
        <w:trPr>
          <w:cantSplit/>
        </w:trPr>
        <w:tc>
          <w:tcPr>
            <w:tcW w:type="dxa" w:w="1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Apr–Sep 2027</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Produkt auf Papier</w:t>
            </w:r>
          </w:p>
        </w:tc>
        <w:tc>
          <w:tcPr>
            <w:tcW w:type="dxa" w:w="49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Spezifikation, Systemtexte, klickbarer Prototyp mit zweiter Gesprächsrunde</w:t>
            </w:r>
          </w:p>
        </w:tc>
      </w:tr>
      <w:tr>
        <w:trPr>
          <w:cantSplit/>
        </w:trPr>
        <w:tc>
          <w:tcPr>
            <w:tcW w:type="dxa" w:w="1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Okt 2027–Mär 2028</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Geschäft auf Papier, Kanäle live</w:t>
            </w:r>
          </w:p>
        </w:tc>
        <w:tc>
          <w:tcPr>
            <w:tcW w:type="dxa" w:w="49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Businessplan, Präsentationen, Start der eigenen Kanäle</w:t>
            </w:r>
          </w:p>
        </w:tc>
      </w:tr>
      <w:tr>
        <w:trPr>
          <w:cantSplit/>
        </w:trPr>
        <w:tc>
          <w:tcPr>
            <w:tcW w:type="dxa" w:w="1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Apr–Jul 2028</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Startklar</w:t>
            </w:r>
          </w:p>
        </w:tc>
        <w:tc>
          <w:tcPr>
            <w:tcW w:type="dxa" w:w="49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Gründungsunterlagen, Anbieterwahl; Warteliste live ab Mai 2028</w:t>
            </w:r>
          </w:p>
        </w:tc>
      </w:tr>
      <w:tr>
        <w:trPr>
          <w:cantSplit/>
        </w:trPr>
        <w:tc>
          <w:tcPr>
            <w:tcW w:type="dxa" w:w="1998"/>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6"/>
                <w:szCs w:val="16"/>
              </w:rPr>
              <w:t xml:space="preserve">CSD-Saison 2028</w:t>
            </w:r>
          </w:p>
        </w:tc>
        <w:tc>
          <w:tcPr>
            <w:tcW w:type="dxa" w:w="2703"/>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6"/>
                <w:szCs w:val="16"/>
              </w:rPr>
              <w:t xml:space="preserve">Start</w:t>
            </w:r>
          </w:p>
        </w:tc>
        <w:tc>
          <w:tcPr>
            <w:tcW w:type="dxa" w:w="4937"/>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6"/>
                <w:szCs w:val="16"/>
              </w:rPr>
              <w:t xml:space="preserve">Gründung der GmbH; Monat 1 beginnt</w:t>
            </w:r>
          </w:p>
        </w:tc>
      </w:tr>
      <w:tr>
        <w:trPr>
          <w:cantSplit/>
        </w:trPr>
        <w:tc>
          <w:tcPr>
            <w:tcW w:type="dxa" w:w="1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1–3</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Vorbereitung ohne Produktivcode</w:t>
            </w:r>
          </w:p>
        </w:tc>
        <w:tc>
          <w:tcPr>
            <w:tcW w:type="dxa" w:w="49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Gründung, Marke, Anwalt, Ortsakquise; Tag 90: erstes Prüftor</w:t>
            </w:r>
          </w:p>
        </w:tc>
      </w:tr>
      <w:tr>
        <w:trPr>
          <w:cantSplit/>
        </w:trPr>
        <w:tc>
          <w:tcPr>
            <w:tcW w:type="dxa" w:w="1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4–9</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Erstes Produkt als Web-App</w:t>
            </w:r>
          </w:p>
        </w:tc>
        <w:tc>
          <w:tcPr>
            <w:tcW w:type="dxa" w:w="49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Fundament, Kernprodukt, Sicherheit und „Heute“; Härtung, Prüfung des gesamten Codes und geschlossene Testphase mit Menschen aus einem Kölner Viertel</w:t>
            </w:r>
          </w:p>
        </w:tc>
      </w:tr>
      <w:tr>
        <w:trPr>
          <w:cantSplit/>
        </w:trPr>
        <w:tc>
          <w:tcPr>
            <w:tcW w:type="dxa" w:w="1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10–21</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Öffentlich, Erlöse</w:t>
            </w:r>
          </w:p>
        </w:tc>
        <w:tc>
          <w:tcPr>
            <w:tcW w:type="dxa" w:w="49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Bezahlstufen ab 5.000 MAU in der Stadt (im Modell Monat 14), zweite Stadt; native Apps, sobald die Store-Prüfung es zulässt</w:t>
            </w:r>
          </w:p>
        </w:tc>
      </w:tr>
      <w:tr>
        <w:trPr>
          <w:cantSplit/>
        </w:trPr>
        <w:tc>
          <w:tcPr>
            <w:tcW w:type="dxa" w:w="1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ab Monat 22</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Skalierung</w:t>
            </w:r>
          </w:p>
        </w:tc>
        <w:tc>
          <w:tcPr>
            <w:tcW w:type="dxa" w:w="49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DACH vollständig, danach Reisekorridore</w:t>
            </w:r>
          </w:p>
        </w:tc>
      </w:tr>
    </w:tbl>
    <w:p>
      <w:pPr>
        <w:keepNext w:val="false"/>
        <w:spacing w:after="120" w:before="60" w:line="276"/>
        <w:jc w:val="left"/>
      </w:pPr>
      <w:r>
        <w:rPr>
          <w:sz w:val="16"/>
          <w:szCs w:val="16"/>
        </w:rPr>
        <w:t xml:space="preserve">Die Kalenderdaten beschreiben den Bestfall mit Start in der CSD-Saison 2028; geplant wird mit einem Jahr später. Am 26.09.2026 entschieden: Die geschlossene Testphase beginnt mit </w:t>
      </w:r>
      <w:r>
        <w:rPr>
          <w:b/>
          <w:bCs/>
          <w:sz w:val="16"/>
          <w:szCs w:val="16"/>
        </w:rPr>
        <w:t xml:space="preserve">200 Plätzen</w:t>
      </w:r>
      <w:r>
        <w:rPr>
          <w:sz w:val="16"/>
          <w:szCs w:val="16"/>
        </w:rPr>
        <w:t xml:space="preserve"> und wird nach vier Wochen auf höchstens 250 aufgestockt, wenn die Moderationslast es trägt; die Jugendschutzfrage wird vorab als Einzelfrage geklärt, die übrigen Prüfungen vor der Gründung privat vorfinanziert.</w:t>
      </w:r>
    </w:p>
    <w:p>
      <w:pPr>
        <w:pStyle w:val="Heading3"/>
        <w:keepNext/>
        <w:spacing w:after="60" w:before="160"/>
      </w:pPr>
      <w:r>
        <w:t xml:space="preserve">Die drei Prüftore — vorab schriftlich festgelegt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
        <w:gridCol w:w="1325"/>
        <w:gridCol w:w="4337"/>
        <w:gridCol w:w="3374"/>
      </w:tblGrid>
      <w:tr>
        <w:trPr>
          <w:cantSplit/>
          <w:tblHeader/>
        </w:trPr>
        <w:tc>
          <w:tcPr>
            <w:tcW w:type="dxa" w:w="602"/>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Tor</w:t>
            </w:r>
          </w:p>
        </w:tc>
        <w:tc>
          <w:tcPr>
            <w:tcW w:type="dxa" w:w="132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Zeitpunkt</w:t>
            </w:r>
          </w:p>
        </w:tc>
        <w:tc>
          <w:tcPr>
            <w:tcW w:type="dxa" w:w="433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Kriterium</w:t>
            </w:r>
          </w:p>
        </w:tc>
        <w:tc>
          <w:tcPr>
            <w:tcW w:type="dxa" w:w="337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Bei Verfehlung</w:t>
            </w:r>
          </w:p>
        </w:tc>
      </w:tr>
      <w:tr>
        <w:trPr>
          <w:cantSplit/>
        </w:trPr>
        <w:tc>
          <w:tcPr>
            <w:tcW w:type="dxa" w:w="6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1</w:t>
            </w:r>
          </w:p>
        </w:tc>
        <w:tc>
          <w:tcPr>
            <w:tcW w:type="dxa" w:w="132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Tag 90</w:t>
            </w:r>
          </w:p>
        </w:tc>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mehr als 1.500 Anmeldungen auf der Warteliste, davon mindestens 900 aus einer Stadt</w:t>
            </w:r>
          </w:p>
        </w:tc>
        <w:tc>
          <w:tcPr>
            <w:tcW w:type="dxa" w:w="337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90 Tage Verlängerung nur, wenn die Eintragungen je Woche über vier Wochen mindestens 20 % über den vier Wochen davor liegen; sonst Format ändern; trägt auch das nach sechs Monaten nicht, geordnet beenden — vor Gründung und Prüfkosten (beschlossen am 26.09.2026)</w:t>
            </w:r>
          </w:p>
        </w:tc>
      </w:tr>
      <w:tr>
        <w:trPr>
          <w:cantSplit/>
        </w:trPr>
        <w:tc>
          <w:tcPr>
            <w:tcW w:type="dxa" w:w="6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2</w:t>
            </w:r>
          </w:p>
        </w:tc>
        <w:tc>
          <w:tcPr>
            <w:tcW w:type="dxa" w:w="132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Monat 12</w:t>
            </w:r>
          </w:p>
        </w:tc>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mindestens 5.000 echte Follower und 800 Installationen über die eigenen Kanäle</w:t>
            </w:r>
          </w:p>
        </w:tc>
        <w:tc>
          <w:tcPr>
            <w:tcW w:type="dxa" w:w="337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90 Tage Verlängerung nur bei steigendem, vorher benanntem Frühindikator; sonst Format ändern; trägt auch das nach sechs Monaten nicht, geordnet beenden (beschlossen am 21.09.2026)</w:t>
            </w:r>
          </w:p>
        </w:tc>
      </w:tr>
      <w:tr>
        <w:trPr>
          <w:cantSplit/>
        </w:trPr>
        <w:tc>
          <w:tcPr>
            <w:tcW w:type="dxa" w:w="6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7"/>
                <w:szCs w:val="17"/>
              </w:rPr>
              <w:t xml:space="preserve">3</w:t>
            </w:r>
          </w:p>
        </w:tc>
        <w:tc>
          <w:tcPr>
            <w:tcW w:type="dxa" w:w="132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Monat 15</w:t>
            </w:r>
          </w:p>
        </w:tc>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mindestens 3.500 MAU in Köln</w:t>
            </w:r>
          </w:p>
        </w:tc>
        <w:tc>
          <w:tcPr>
            <w:tcW w:type="dxa" w:w="337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die These ist widerlegt</w:t>
            </w:r>
          </w:p>
        </w:tc>
      </w:tr>
    </w:tbl>
    <w:p>
      <w:pPr>
        <w:spacing w:after="80"/>
      </w:pPr>
    </w:p>
    <w:p>
      <w:pPr>
        <w:keepNext w:val="false"/>
        <w:spacing w:after="120" w:before="0" w:line="276"/>
        <w:jc w:val="left"/>
      </w:pPr>
      <w:r>
        <w:t xml:space="preserve">Die Warteliste startet zwei Monate vor der Gründung, im Bestfall im Mai 2028. An Tag 90 läuft sie deshalb bereits 151 Tage. Die eigene Reichweitenrechnung erwartet bis dahin 1.247 Eintragungen im ungünstigen, 2.437 im mittleren und 3.940 im günstigen Fall — getragen vor allem von den Partnerorten und einem Stand beim ColognePride.</w:t>
      </w:r>
    </w:p>
    <w:p>
      <w:pPr>
        <w:pStyle w:val="Heading1"/>
        <w:keepNext/>
        <w:pBdr>
          <w:bottom w:val="single" w:color="2E74B5" w:sz="6" w:space="2"/>
        </w:pBdr>
        <w:spacing w:after="120" w:before="240"/>
      </w:pPr>
      <w:r>
        <w:t xml:space="preserve">Anhang A — Quellen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6"/>
        <w:gridCol w:w="5235"/>
        <w:gridCol w:w="1547"/>
      </w:tblGrid>
      <w:tr>
        <w:trPr>
          <w:cantSplit/>
          <w:tblHeader/>
        </w:trPr>
        <w:tc>
          <w:tcPr>
            <w:tcW w:type="dxa" w:w="285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Quelle</w:t>
            </w:r>
          </w:p>
        </w:tc>
        <w:tc>
          <w:tcPr>
            <w:tcW w:type="dxa" w:w="523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Inhalt</w:t>
            </w:r>
          </w:p>
        </w:tc>
        <w:tc>
          <w:tcPr>
            <w:tcW w:type="dxa" w:w="154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Stand</w:t>
            </w:r>
          </w:p>
        </w:tc>
      </w:tr>
      <w:tr>
        <w:trPr>
          <w:cantSplit/>
        </w:trPr>
        <w:tc>
          <w:tcPr>
            <w:tcW w:type="dxa" w:w="2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Handbuch A · Produkt, Technik, Recht</w:t>
            </w:r>
          </w:p>
        </w:tc>
        <w:tc>
          <w:tcPr>
            <w:tcW w:type="dxa" w:w="52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Positionierung, Prinzipien, Funktionskatalog, Rechtsauflagen, Technik, Bauplan, Rollen, Formulierung zur Eigenleistung</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Juli 2026</w:t>
            </w:r>
          </w:p>
        </w:tc>
      </w:tr>
      <w:tr>
        <w:trPr>
          <w:cantSplit/>
        </w:trPr>
        <w:tc>
          <w:tcPr>
            <w:tcW w:type="dxa" w:w="2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Handbuch B · Wirtschaft, Kosten, Marketing</w:t>
            </w:r>
          </w:p>
        </w:tc>
        <w:tc>
          <w:tcPr>
            <w:tcW w:type="dxa" w:w="52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Markt, Kosten, Erlöse, Szenarien, Kapital, Steuern, Marketing, Risiken, Prüftore</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Juli 2026</w:t>
            </w:r>
          </w:p>
        </w:tc>
      </w:tr>
      <w:tr>
        <w:trPr>
          <w:cantSplit/>
        </w:trPr>
        <w:tc>
          <w:tcPr>
            <w:tcW w:type="dxa" w:w="2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Finanzmodell (Projektdatei)</w:t>
            </w:r>
          </w:p>
        </w:tc>
        <w:tc>
          <w:tcPr>
            <w:tcW w:type="dxa" w:w="52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fortschreibbares Modell mit den Annahmen aus Handbuch B und den Beschlüssen vom September 2026 — Code-Prüfung, CSD zum Start, eigene Veranstaltungen, SMS, neue Nebenerlöse, Erlöskette, Lebenshaltung; Rechnung zu den Wegen der Altersprüfung</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27.07.2026, fortgeschrieben 21.09.2026</w:t>
            </w:r>
          </w:p>
        </w:tc>
      </w:tr>
      <w:tr>
        <w:trPr>
          <w:cantSplit/>
        </w:trPr>
        <w:tc>
          <w:tcPr>
            <w:tcW w:type="dxa" w:w="2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Beschlüsse der Gründer (Projektdateien)</w:t>
            </w:r>
          </w:p>
        </w:tc>
        <w:tc>
          <w:tcPr>
            <w:tcW w:type="dxa" w:w="52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Beschlusstage 19. und 21.09.2026 und die Liste der offenen Entscheidungen</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19. und 21.09.2026</w:t>
            </w:r>
          </w:p>
        </w:tc>
      </w:tr>
      <w:tr>
        <w:trPr>
          <w:cantSplit/>
        </w:trPr>
        <w:tc>
          <w:tcPr>
            <w:tcW w:type="dxa" w:w="2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Preise und Bezahlstufen (Projektdatei)</w:t>
            </w:r>
          </w:p>
        </w:tc>
        <w:tc>
          <w:tcPr>
            <w:tcW w:type="dxa" w:w="52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Erlöskette je Zahler, Zuschnitt PLUS und PRO, nötige Zahler je Ausbaustand</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26.09.2026</w:t>
            </w:r>
          </w:p>
        </w:tc>
      </w:tr>
      <w:tr>
        <w:trPr>
          <w:cantSplit/>
        </w:trPr>
        <w:tc>
          <w:tcPr>
            <w:tcW w:type="dxa" w:w="2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Gesellschaftsvertrag, Eckpunkte (Projektdatei)</w:t>
            </w:r>
          </w:p>
        </w:tc>
        <w:tc>
          <w:tcPr>
            <w:tcW w:type="dxa" w:w="52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Haltung der Gründer zu zehn Punkten, darunter Ressortprinzip, Stammkapital und Vesting</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21.09.2026</w:t>
            </w:r>
          </w:p>
        </w:tc>
      </w:tr>
      <w:tr>
        <w:trPr>
          <w:cantSplit/>
        </w:trPr>
        <w:tc>
          <w:tcPr>
            <w:tcW w:type="dxa" w:w="2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Bauplan zwei Plattformen (Projektdatei)</w:t>
            </w:r>
          </w:p>
        </w:tc>
        <w:tc>
          <w:tcPr>
            <w:tcW w:type="dxa" w:w="52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native Hülle um die Web-App, Reihenfolge Web vor nativ</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20.09.2026</w:t>
            </w:r>
          </w:p>
        </w:tc>
      </w:tr>
      <w:tr>
        <w:trPr>
          <w:cantSplit/>
        </w:trPr>
        <w:tc>
          <w:tcPr>
            <w:tcW w:type="dxa" w:w="2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Crowdfunding-Konzept (Projektdatei)</w:t>
            </w:r>
          </w:p>
        </w:tc>
        <w:tc>
          <w:tcPr>
            <w:tcW w:type="dxa" w:w="52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Fassung 2: Mindestbetrag 10.800 €, Wunschbetrag 38.900 €, befristete Codes</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21.09.2026</w:t>
            </w:r>
          </w:p>
        </w:tc>
      </w:tr>
      <w:tr>
        <w:trPr>
          <w:cantSplit/>
        </w:trPr>
        <w:tc>
          <w:tcPr>
            <w:tcW w:type="dxa" w:w="2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Tor-1-Analyse (Projektdatei)</w:t>
            </w:r>
          </w:p>
        </w:tc>
        <w:tc>
          <w:tcPr>
            <w:tcW w:type="dxa" w:w="52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Laufzeit der Warteliste, Reichweitenrechnung 1.247 / 2.437 / 3.940</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27.07.2026</w:t>
            </w:r>
          </w:p>
        </w:tc>
      </w:tr>
      <w:tr>
        <w:trPr>
          <w:cantSplit/>
        </w:trPr>
        <w:tc>
          <w:tcPr>
            <w:tcW w:type="dxa" w:w="2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Fördermittel- und Wettbewerbsübersicht (Projektdateien)</w:t>
            </w:r>
          </w:p>
        </w:tc>
        <w:tc>
          <w:tcPr>
            <w:tcW w:type="dxa" w:w="52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Gründungsstipendium Niedersachsen, EXIST, Wettbewerbe</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27.07.2026, nachgeprüft 15.09.2026</w:t>
            </w:r>
          </w:p>
        </w:tc>
      </w:tr>
      <w:tr>
        <w:trPr>
          <w:cantSplit/>
        </w:trPr>
        <w:tc>
          <w:tcPr>
            <w:tcW w:type="dxa" w:w="2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Wettbewerbs- und Rechtsbeobachtung (Projektdatei)</w:t>
            </w:r>
          </w:p>
        </w:tc>
        <w:tc>
          <w:tcPr>
            <w:tcW w:type="dxa" w:w="52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Grindr-Zahlen zum zweiten Quartal 2026 (Unternehmensmeldung vom 06.08.2026), EXIST-Bedingungen (exist.de), Gründungsstipendium (Förderdatenbank), Altersschätzung in der Datenbank der Kommission für Jugendmedienschutz, staatliche Wallet ab 02.01.2027, EU-Übergangsregel bis 03.04.2028, KI-Verordnung (EU) 2026/1744</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abgerufen 15.09.2026</w:t>
            </w:r>
          </w:p>
        </w:tc>
      </w:tr>
      <w:tr>
        <w:trPr>
          <w:cantSplit/>
        </w:trPr>
        <w:tc>
          <w:tcPr>
            <w:tcW w:type="dxa" w:w="28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Terminservice-Konzept (Projektdatei)</w:t>
            </w:r>
          </w:p>
        </w:tc>
        <w:tc>
          <w:tcPr>
            <w:tcW w:type="dxa" w:w="523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Übersicht öffentlicher Termine nach dem ersten Prüftor</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15.09.2026</w:t>
            </w:r>
          </w:p>
        </w:tc>
      </w:tr>
    </w:tbl>
    <w:p>
      <w:pPr>
        <w:pStyle w:val="Heading1"/>
        <w:keepNext/>
        <w:pBdr>
          <w:bottom w:val="single" w:color="2E74B5" w:sz="6" w:space="2"/>
        </w:pBdr>
        <w:spacing w:after="120" w:before="240"/>
      </w:pPr>
      <w:r>
        <w:t xml:space="preserve">Anhang B — Vor der Verwendung zu klären</w:t>
      </w:r>
    </w:p>
    <w:p>
      <w:pPr>
        <w:keepNext w:val="false"/>
        <w:spacing w:after="120" w:before="0" w:line="276"/>
        <w:jc w:val="left"/>
      </w:pPr>
      <w:r>
        <w:rPr>
          <w:i/>
          <w:iCs/>
        </w:rPr>
        <w:t xml:space="preserve">Dieser Anhang ist für die Gründer und wird vor jeder Weitergabe entfernt.</w:t>
      </w:r>
    </w:p>
    <w:p>
      <w:pPr>
        <w:pStyle w:val="Heading3"/>
        <w:keepNext/>
        <w:spacing w:after="60" w:before="160"/>
      </w:pPr>
      <w:r>
        <w:t xml:space="preserve">Platzhalter</w:t>
      </w:r>
    </w:p>
    <w:p>
      <w:pPr>
        <w:pStyle w:val="ListParagraph"/>
        <w:numPr>
          <w:ilvl w:val="0"/>
          <w:numId w:val="3"/>
        </w:numPr>
        <w:spacing w:after="60" w:line="264"/>
      </w:pPr>
      <w:r>
        <w:t xml:space="preserve">Förderart, Betrag und Verwendungszweck (Abschnitt 1 und 10)</w:t>
      </w:r>
    </w:p>
    <w:p>
      <w:pPr>
        <w:pStyle w:val="ListParagraph"/>
        <w:numPr>
          <w:ilvl w:val="0"/>
          <w:numId w:val="3"/>
        </w:numPr>
        <w:spacing w:after="60" w:line="264"/>
      </w:pPr>
      <w:r>
        <w:t xml:space="preserve">Sitz der Gesellschaft: Niedersachsen oder Nordrhein-Westfalen — die Wahl fällt nach der Förderlage (Nr. 21, 33, 37)</w:t>
      </w:r>
    </w:p>
    <w:p>
      <w:pPr>
        <w:pStyle w:val="ListParagraph"/>
        <w:numPr>
          <w:ilvl w:val="0"/>
          <w:numId w:val="3"/>
        </w:numPr>
        <w:spacing w:after="60" w:line="264"/>
      </w:pPr>
      <w:r>
        <w:t xml:space="preserve">Die Kurzprofile und die Zuständigkeit für Finanzen, Recht, Datenschutz und Moderation (Abschnitt 7)</w:t>
      </w:r>
    </w:p>
    <w:p>
      <w:pPr>
        <w:pStyle w:val="ListParagraph"/>
        <w:numPr>
          <w:ilvl w:val="0"/>
          <w:numId w:val="3"/>
        </w:numPr>
        <w:spacing w:after="60" w:line="264"/>
      </w:pPr>
      <w:r>
        <w:t xml:space="preserve">Name der App (Nr. 5) — „Cruizy“ ist Arbeitsstand, die Domains sind nicht gesichert</w:t>
      </w:r>
    </w:p>
    <w:p>
      <w:pPr>
        <w:pStyle w:val="ListParagraph"/>
        <w:numPr>
          <w:ilvl w:val="0"/>
          <w:numId w:val="3"/>
        </w:numPr>
        <w:spacing w:after="60" w:line="264"/>
      </w:pPr>
      <w:r>
        <w:t xml:space="preserve">Finanzierung der Lebenshaltung, falls das Stipendium nicht fortgeführt wird (Nr. 9, Nr. 38)</w:t>
      </w:r>
    </w:p>
    <w:p>
      <w:pPr>
        <w:pStyle w:val="ListParagraph"/>
        <w:numPr>
          <w:ilvl w:val="0"/>
          <w:numId w:val="3"/>
        </w:numPr>
        <w:spacing w:after="60" w:line="264"/>
      </w:pPr>
      <w:r>
        <w:t xml:space="preserve">Wie privat vorfinanzierte Prüfkosten in die Gesellschaft zurückkommen — Gesellschafterdarlehen, Sacheinlage oder endgültig privat getragen (Nr. 94)</w:t>
      </w:r>
    </w:p>
    <w:p>
      <w:pPr>
        <w:pStyle w:val="ListParagraph"/>
        <w:numPr>
          <w:ilvl w:val="0"/>
          <w:numId w:val="3"/>
        </w:numPr>
        <w:spacing w:after="60" w:line="264"/>
      </w:pPr>
      <w:r>
        <w:t xml:space="preserve">Welche Schutzvorkehrungen die Wiederherstellung über eine einzelne Vertrauensperson erhält (Nr. 95)</w:t>
      </w:r>
    </w:p>
    <w:p>
      <w:pPr>
        <w:pStyle w:val="ListParagraph"/>
        <w:numPr>
          <w:ilvl w:val="0"/>
          <w:numId w:val="3"/>
        </w:numPr>
        <w:spacing w:after="60" w:line="264"/>
      </w:pPr>
      <w:r>
        <w:t xml:space="preserve">Wie kostenloses Eintragen und das bezahlte Werkzeugabo für Orte voneinander abgegrenzt und gekennzeichnet werden (Nr. 96)</w:t>
      </w:r>
    </w:p>
    <w:p>
      <w:pPr>
        <w:pStyle w:val="ListParagraph"/>
        <w:numPr>
          <w:ilvl w:val="0"/>
          <w:numId w:val="3"/>
        </w:numPr>
        <w:spacing w:after="60" w:line="264"/>
      </w:pPr>
      <w:r>
        <w:t xml:space="preserve">Kleinunternehmerregelung für die GmbH — Verzicht oder nicht (Nr. 11, Steuerberater)</w:t>
      </w:r>
    </w:p>
    <w:p>
      <w:pPr>
        <w:keepNext w:val="false"/>
        <w:spacing w:after="120" w:before="60" w:line="276"/>
        <w:jc w:val="left"/>
      </w:pPr>
      <w:r>
        <w:rPr>
          <w:b/>
          <w:bCs/>
          <w:sz w:val="16"/>
          <w:szCs w:val="16"/>
        </w:rPr>
        <w:t xml:space="preserve">Am 26.09.2026 entschieden und deshalb nicht mehr in dieser Liste:</w:t>
      </w:r>
      <w:r>
        <w:rPr>
          <w:sz w:val="16"/>
          <w:szCs w:val="16"/>
        </w:rPr>
        <w:t xml:space="preserve"> Planungswert und Reserve (Nr. 90), Reihenfolge von Gründung und Prüfungen (Nr. 88), Größe der Testphase (Nr. 89), Hervorhebung im Tausch (Nr. 91), Profilbilder im Web (Nr. 92), Folge bei Verfehlung von Tor 1 (Nr. 93), Zuschnitt der Bezahlstufen (Nr. 67), Gesellschaftsvertrag und Gründungsaufwand (Nr. 4, Nr. 29), Zeitrechnung für Tor 2 (Nr. 57).</w:t>
      </w:r>
    </w:p>
    <w:p>
      <w:pPr>
        <w:pStyle w:val="Heading3"/>
        <w:keepNext/>
        <w:spacing w:after="60" w:before="160"/>
      </w:pPr>
      <w:r>
        <w:t xml:space="preserve">Widersprüche in den Quellen — benannt, nicht still gelöst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9"/>
        <w:gridCol w:w="4096"/>
        <w:gridCol w:w="3373"/>
      </w:tblGrid>
      <w:tr>
        <w:trPr>
          <w:cantSplit/>
          <w:tblHeader/>
        </w:trPr>
        <w:tc>
          <w:tcPr>
            <w:tcW w:type="dxa" w:w="216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Stelle</w:t>
            </w:r>
          </w:p>
        </w:tc>
        <w:tc>
          <w:tcPr>
            <w:tcW w:type="dxa" w:w="409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Was sich widerspricht</w:t>
            </w:r>
          </w:p>
        </w:tc>
        <w:tc>
          <w:tcPr>
            <w:tcW w:type="dxa" w:w="3373"/>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Wie diese Fassung damit umgeht</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Kapitalbedarf realistisch</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Handbuch B nennt 93.200 € (Tabelle), 93.000 € (Zahlenliste) und 94.000 € (Kopf, Szenariotext)</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Diese Fassung nennt die Werte des eigenen Finanzmodells (160.253 €); die Handbuchwerte liegen vor den Beschlüssen vom September 2026</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Kapitalbedarf pessimistisch und optimistisch</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Tabelle 134.000 € und 74.000 €; Szenariotexte 130.000 € und 72.000 €</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Modellwerte 182.261 € und 143.210 €</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Planungswert</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Handbuch B: mit dem pessimistischen Szenario planen, weil es die höchste Einzelwahrscheinlichkeit hat. Beschluss vom 19.09.2026: gegen den Gesamtbedarf planen; im Projekt gilt seither der realistische Wert</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5"/>
                <w:szCs w:val="15"/>
              </w:rPr>
              <w:t xml:space="preserve">Entschieden am 26.09.2026:</w:t>
            </w:r>
            <w:r>
              <w:rPr>
                <w:sz w:val="15"/>
                <w:szCs w:val="15"/>
              </w:rPr>
              <w:t xml:space="preserve"> 233.053 € als Planungs- und Außenzahl, 42.808 € als benannte Reserve; Abschnitt 9 nennt beides</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Tiefpunkt pessimistisch</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105.000 €, obwohl das 36-Monats-Ergebnis nur −90.400 € beträgt</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Das Modell weist Firmenbedarf und Krankenversicherung getrennt aus; der Widerspruch in Handbuch B bleibt bestehen</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Kostenstaffel bei 50.000 MAU</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Summe 12.150 €, die Einzelpositionen ergeben 10.750 €</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Diese Fassung nennt 10.750 € wie das Modell, das mit den Einzelpositionen rechnet</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Gründergehälter</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Handbuch B setzt im optimistischen Szenario ab Monat 16 Gehälter an (114.000 €)</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Das Modell rechnet in keinem Szenario Gehälter; die Ergebnistabelle in Abschnitt 9 ist deshalb nicht mit Handbuch B vergleichbar</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Zahl der MVP-Funktionen</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Kopfzeile von Handbuch A: 46; der Funktionskatalog weist 54 aus</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Abschnitt 4 folgt dem Katalog, dazu „Hilfe und Kontakt“: 55</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Kleinunternehmerregelung</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Handbuch B: greift bei einer GmbH nicht. IHK Hannover (Stand 22.05.2026): gilt auch für Kapitalgesellschaften</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Abschnitt 5 rechnet mit Umsatzsteuer und lässt die Frage offen → </w:t>
            </w:r>
            <w:r>
              <w:rPr>
                <w:b/>
                <w:bCs/>
                <w:sz w:val="15"/>
                <w:szCs w:val="15"/>
              </w:rPr>
              <w:t xml:space="preserve">Entscheidung Nr. 11</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Ortspartnerschaften und bezahlte Sichtbarkeit</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Handbuch B verkauft Orten Hervorhebung und Vorabplatzierung; Handbuch A sieht bezahlte Sichtbarkeit ab 50.000 MAU zur erneuten Prüfung vor</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Beschlossen am 19. und 21.09.2026: keine bezahlte Sichtbarkeit, keine Werbung; an die Stelle tritt das Werkzeugabo (Abschnitt 5)</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Ortspartnerschaft als Tausch</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Handbuch B: QR-Code hinter der Theke gegen Hervorhebung im Verzeichnis. Beschluss vom 19.09.2026 und Entwurf der Ortsvereinbarung: keine bezahlte Hervorhebung, keine Werbung als Gegenleistung</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5"/>
                <w:szCs w:val="15"/>
              </w:rPr>
              <w:t xml:space="preserve">Entschieden am 26.09.2026 (Nr. 91): keine Hervorhebung, auch nicht im Tausch.</w:t>
            </w:r>
            <w:r>
              <w:rPr>
                <w:sz w:val="15"/>
                <w:szCs w:val="15"/>
              </w:rPr>
              <w:t xml:space="preserve"> Der QR-Code bleibt eine Bitte; als Gegenleistung kommen nur Dinge ohne Sichtbarkeit in Betracht</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Profilbilder in den Apps und im Web</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Beschluss zu Nr. 71: Profilbilder mit Nacktheit in den nativen Apps unkenntlich, im Web sichtbar. Handbuch A und die Moderationsarchitektur schließen explizite Inhalte im öffentlichen Bereich aus; § 4 Abs. 2 JMStV verlangt dafür eine geschlossene Benutzergruppe</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5"/>
                <w:szCs w:val="15"/>
              </w:rPr>
              <w:t xml:space="preserve">Entschieden am 26.09.2026 (Nr. 92):</w:t>
            </w:r>
            <w:r>
              <w:rPr>
                <w:sz w:val="15"/>
                <w:szCs w:val="15"/>
              </w:rPr>
              <w:t xml:space="preserve"> Der öffentliche Bereich bleibt frei von expliziten Inhalten, auch im Web; Nacktheit ohne explizite Darstellung ist erlaubt und erscheint in den Apps unkenntlich. Die Grenze legt die Hausordnung mit dem Anwalt fest</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Tor 1 bei Verfehlung</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Handbuch A: „weiter nur bei über 1.500 Anmeldungen“. Seit dem Beschluss zum Bau vor dem Start (Nr. 73) ist zum Zeitpunkt von Tor 1 bereits gebaut; für Tor 2 ist die Folge seit dem 21.09.2026 schriftlich geregelt, für Tor 1 nicht</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5"/>
                <w:szCs w:val="15"/>
              </w:rPr>
              <w:t xml:space="preserve">Entschieden am 26.09.2026 (Nr. 93):</w:t>
            </w:r>
            <w:r>
              <w:rPr>
                <w:sz w:val="15"/>
                <w:szCs w:val="15"/>
              </w:rPr>
              <w:t xml:space="preserve"> dieselbe Regel wie für Tor 2, Frühindikator sind die Eintragungen je Woche; änderbar nur, solange die Messung mehr als 30 Tage entfernt ist</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Größe der Testphase</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Handbuch A: 150 Testnutzer. Die Vergabeplanung rechnet mit 250 — einem Viertel der erwarteten Bewerbungen nach Handbuch B</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5"/>
                <w:szCs w:val="15"/>
              </w:rPr>
              <w:t xml:space="preserve">Entschieden am 26.09.2026 (Nr. 89): 200 Plätze</w:t>
            </w:r>
            <w:r>
              <w:rPr>
                <w:sz w:val="15"/>
                <w:szCs w:val="15"/>
              </w:rPr>
              <w:t xml:space="preserve">, Aufstockung nach vier Wochen auf höchstens 250, wenn drei Messgrößen der Moderationslast es tragen</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Zonenmittelpunkt</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Die Produktspezifikation speichert für Zonen einen genauen Mittelpunkt, während sie zugleich zusagt, dass kein genauer Standort gespeichert wird</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5"/>
                <w:szCs w:val="15"/>
              </w:rPr>
              <w:t xml:space="preserve">Entschieden am 26.09.2026:</w:t>
            </w:r>
            <w:r>
              <w:rPr>
                <w:sz w:val="15"/>
                <w:szCs w:val="15"/>
              </w:rPr>
              <w:t xml:space="preserve"> Der Zonenmittelpunkt wird wie jede Position auf die Rasterzelle gerundet; ein genaues Koordinatenpaar wird nirgends gespeichert</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Tor 2 — welche Zeitrechnung?</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„Monat 12“ steht in Handbuch B im Zeitplan der Kanäle (ab Oktober 2027), die Roadmap setzt es in Monat 12 nach dem Start. 800 Installationen sind vor dem öffentlichen Start in Monat 10 nicht möglich</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5"/>
                <w:szCs w:val="15"/>
              </w:rPr>
              <w:t xml:space="preserve">Entschieden am 26.09.2026 (Nr. 57):</w:t>
            </w:r>
            <w:r>
              <w:rPr>
                <w:sz w:val="15"/>
                <w:szCs w:val="15"/>
              </w:rPr>
              <w:t xml:space="preserve"> 5.000 Follower in Kanalmonat 12, gemeinsam mit Tor 1; 800 Installationen in Monat 12 nach dem Start. Beide Angaben bleiben relativ, weil der Starttermin nicht final ist</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US-Dienste im empfohlenen Technikstack</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Handbuch A schließt US-Auftragsverarbeiter ausdrücklich aus, auch für Fehlerprotokolle — empfiehlt aber Sentry (Anbieter aus den USA mit EU-Region) und RevenueCat (US-Unternehmen; der Vertrag nennt Verarbeitung auf AWS und Standardvertragsklauseln für Übermittlungen)</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Beschlossen am 19.09.2026: keine US-Standorte (Nr. 58). Europäische Wege sind gefunden — Fehlerprotokolle selbst betrieben, ein Zahlungsdienst mit Sitz in Amsterdam; offen bleibt nur die Store-Abrechnung über Apple und Google (Anwaltsfrage)</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Preisvergleich mit ROMEO</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Handbuch B: PLUS liegt über ROMEO PLUS. Eine nicht verifizierte Drittangabe (September 2026) nennt für ROMEO höhere Monatspreise</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Vergleich weggelassen; ROMEO-Preise direkt beim Anbieter prüfen</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Kapitalbedarf je Weg der Altersprüfung</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Die Vergleichstabelle im Finanzmodell nennt 140.233 bis 210.303 € — eine Näherung. Vollständig nachgerechnet am 21.09.2026: 143.397 € (keine volle Identifizierung), 145.888 € (staatliche Brieftasche), 160.253 € (Online-Ausweis), 245.841 € (Videoidentifizierung)</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Abschnitt 9 nennt die vollständige Nachrechnung → </w:t>
            </w:r>
            <w:r>
              <w:rPr>
                <w:b/>
                <w:bCs/>
                <w:sz w:val="15"/>
                <w:szCs w:val="15"/>
              </w:rPr>
              <w:t xml:space="preserve">Entscheidung Nr. 39</w:t>
            </w:r>
          </w:p>
        </w:tc>
      </w:tr>
      <w:tr>
        <w:trPr>
          <w:cantSplit/>
        </w:trPr>
        <w:tc>
          <w:tcPr>
            <w:tcW w:type="dxa" w:w="216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Kapitalbedarf realistisch, Handbuch B gegen Finanzmodell</w:t>
            </w:r>
          </w:p>
        </w:tc>
        <w:tc>
          <w:tcPr>
            <w:tcW w:type="dxa" w:w="4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Handbuch B rund 93.000 € bei unterstellter Altersschätzung und ohne die Beschlüsse vom September 2026; das Finanzmodell mit Online-Ausweis und allen Beschlüssen 160.253 €</w:t>
            </w:r>
          </w:p>
        </w:tc>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Abschnitt 9 und die Zusammenfassung folgen dem Modell (Nr. 38, Nr. 39)</w:t>
            </w:r>
          </w:p>
        </w:tc>
      </w:tr>
    </w:tbl>
    <w:p>
      <w:pPr>
        <w:pStyle w:val="Heading3"/>
        <w:keepNext/>
        <w:spacing w:after="60" w:before="160"/>
      </w:pPr>
      <w:r>
        <w:t xml:space="preserve">Vor einer Einreichung prüfen</w:t>
      </w:r>
    </w:p>
    <w:p>
      <w:pPr>
        <w:pStyle w:val="ListParagraph"/>
        <w:numPr>
          <w:ilvl w:val="0"/>
          <w:numId w:val="3"/>
        </w:numPr>
        <w:spacing w:after="60" w:line="264"/>
      </w:pPr>
      <w:r>
        <w:t xml:space="preserve">Grindr-Zahlen zum zweiten Quartal an der Unternehmensquelle bestätigen.</w:t>
      </w:r>
    </w:p>
    <w:p>
      <w:pPr>
        <w:pStyle w:val="ListParagraph"/>
        <w:numPr>
          <w:ilvl w:val="0"/>
          <w:numId w:val="3"/>
        </w:numPr>
        <w:spacing w:after="60" w:line="264"/>
      </w:pPr>
      <w:r>
        <w:t xml:space="preserve">Förderbedingungen beim Träger bestätigen — Stipendium, INVEST und, falls nach der Gründung teilgenommen wird, Wettbewerbsfristen.</w:t>
      </w:r>
    </w:p>
    <w:p>
      <w:pPr>
        <w:pStyle w:val="ListParagraph"/>
        <w:numPr>
          <w:ilvl w:val="0"/>
          <w:numId w:val="3"/>
        </w:numPr>
        <w:spacing w:after="60" w:line="264"/>
      </w:pPr>
      <w:r>
        <w:t xml:space="preserve">Gegenleistungen an Creator (früher Testzugang) als Werbung kennzeichnen lassen, sobald sie vereinbart werden (Nr. 55, Nr. 56); ob Orte eine Hervorhebung als Gegenleistung bekommen dürfen, klärt Nr. 91.</w:t>
      </w:r>
    </w:p>
    <w:p>
      <w:pPr>
        <w:pStyle w:val="ListParagraph"/>
        <w:numPr>
          <w:ilvl w:val="0"/>
          <w:numId w:val="3"/>
        </w:numPr>
        <w:spacing w:after="60" w:line="264"/>
      </w:pPr>
      <w:r>
        <w:t xml:space="preserve">Die Rechtsfragen mit Kostenwirkung: geschlossene Benutzergruppe (Nr. 1), Weg der Altersprüfung (Nr. 39, Nr. 40), KI-Verordnung (Nr. 24), Vorverkauf von Jahresabos (Anwaltsfrage R16).</w:t>
      </w:r>
    </w:p>
    <w:sectPr>
      <w:headerReference w:type="default" r:id="rId7"/>
      <w:footerReference w:type="default" r:id="rId8"/>
      <w:pgSz w:w="11906" w:h="16838" w:orient="portrait"/>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08080"/>
        <w:sz w:val="16"/>
        <w:szCs w:val="16"/>
      </w:rPr>
      <w:t xml:space="preserve">ENTWURF — nicht versenden</w:t>
    </w:r>
    <w:r>
      <w:rPr>
        <w:color w:val="80808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Cruizy · Businessplan · ROHFASSUNG · Stand 22.09.2026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300" w:hanging="2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2E74B5"/>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2E74B5"/>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1F4D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Cruizy · Businessplan · ROHFASSUNG · Stand 22.09.2026</dc:title>
  <dc:creator>Cruizy — Vorbereitung</dc:creator>
  <cp:lastModifiedBy>Un-named</cp:lastModifiedBy>
  <cp:revision>1</cp:revision>
  <dcterms:created xsi:type="dcterms:W3CDTF">2026-09-27T16:00:40.883Z</dcterms:created>
  <dcterms:modified xsi:type="dcterms:W3CDTF">2026-09-27T16:00:40.884Z</dcterms:modified>
</cp:coreProperties>
</file>

<file path=docProps/custom.xml><?xml version="1.0" encoding="utf-8"?>
<Properties xmlns="http://schemas.openxmlformats.org/officeDocument/2006/custom-properties" xmlns:vt="http://schemas.openxmlformats.org/officeDocument/2006/docPropsVTypes"/>
</file>