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56"/>
        </w:rPr>
        <w:t>Nexus Agent</w:t>
      </w:r>
    </w:p>
    <w:p>
      <w:r>
        <w:rPr>
          <w:color w:val="404040"/>
          <w:sz w:val="26"/>
        </w:rPr>
        <w:t>Executive Summary - Energy/Water/Food + Grid Resilience</w:t>
      </w:r>
    </w:p>
    <w:p>
      <w:pPr>
        <w:pBdr>
          <w:bottom w:val="single" w:sz="8" w:space="1" w:color="2E75B6"/>
        </w:pBdr>
      </w:pPr>
      <w:r>
        <w:rPr>
          <w:i/>
          <w:color w:val="595959"/>
          <w:sz w:val="20"/>
        </w:rPr>
        <w:t>Prepared: May 04, 2026    |    Owner: Martin    |    Status: MVP / research preview</w:t>
      </w:r>
    </w:p>
    <w:p>
      <w:pPr>
        <w:pStyle w:val="Heading1"/>
      </w:pPr>
      <w:r>
        <w:t>1. Purpose</w:t>
      </w:r>
    </w:p>
    <w:p>
      <w:r>
        <w:t>The Nexus Agent is an LLM-based research assistant that reasons across the Energy-Water-Food (E-W-F) nexus and electrical-grid resilience. Instead of running parallel manual searches on, for example, "European energy price volatility" and "Lithium supply chains," an analyst asks the agent a single question. It performs the legwork - searching, citing, and synthesising - and returns a structured analysis plus a heat map of sectoral interdependencies in minutes.</w:t>
      </w:r>
    </w:p>
    <w:p>
      <w:pPr>
        <w:pStyle w:val="Heading1"/>
      </w:pPr>
      <w:r>
        <w:t>2. Architecture</w:t>
      </w:r>
    </w:p>
    <w:p>
      <w:r>
        <w:t>The agent is built on LangGraph (state machine), langchain-openai (LLM + tool binding), and Tavily (web search). It packages cleanly into a Docker image that runs natively on Apple Silicon and Intel Macs.</w:t>
      </w:r>
    </w:p>
    <w:p>
      <w:pPr>
        <w:pStyle w:val="Heading2"/>
      </w:pPr>
      <w:r>
        <w:t>2.1 Reasoning loop</w:t>
      </w:r>
    </w:p>
    <w:p>
      <w:r>
        <w:t>The workflow is the canonical Think -&gt; Act -&gt; Observe -&gt; Repeat loop, augmented with a human-in-the-loop checkpoint:</w:t>
      </w:r>
    </w:p>
    <w:p>
      <w:pPr>
        <w:pStyle w:val="ListBullet"/>
        <w:spacing w:after="40"/>
      </w:pPr>
      <w:r>
        <w:t>think  - the LLM either proposes tool calls or writes the final answer.</w:t>
      </w:r>
    </w:p>
    <w:p>
      <w:pPr>
        <w:pStyle w:val="ListBullet"/>
        <w:spacing w:after="40"/>
      </w:pPr>
      <w:r>
        <w:t>human  - if HUMAN_IN_THE_LOOP=1, the operator can approve, edit, or skip the proposed tool calls.</w:t>
      </w:r>
    </w:p>
    <w:p>
      <w:pPr>
        <w:pStyle w:val="ListBullet"/>
        <w:spacing w:after="40"/>
      </w:pPr>
      <w:r>
        <w:t>act    - executes approved tools (tavily_search, load_local_dataset, interdependency_lookup).</w:t>
      </w:r>
    </w:p>
    <w:p>
      <w:pPr>
        <w:pStyle w:val="ListBullet"/>
        <w:spacing w:after="40"/>
      </w:pPr>
      <w:r>
        <w:t>answer - terminal node returning the synthesised, source-cited answer.</w:t>
      </w:r>
    </w:p>
    <w:p>
      <w:pPr>
        <w:pStyle w:val="ListBullet"/>
        <w:spacing w:after="40"/>
      </w:pPr>
      <w:r>
        <w:t>Hard cap of 6 iterations prevents runaway loops.</w:t>
      </w:r>
    </w:p>
    <w:p>
      <w:pPr>
        <w:pStyle w:val="Heading2"/>
      </w:pPr>
      <w:r>
        <w:t>2.2 Persona</w:t>
      </w:r>
    </w:p>
    <w:p>
      <w:r>
        <w:rPr>
          <w:i/>
        </w:rPr>
        <w:t>You are a Global Energy Nexus Expert. Your goal is to analyze how a disruption in one sector (like a cyberattack on a power grid) ripples into others (water treatment, transport). Always cite your sources.</w:t>
      </w:r>
    </w:p>
    <w:p>
      <w:pPr>
        <w:pStyle w:val="Heading1"/>
      </w:pPr>
      <w:r>
        <w:t>3. Demo scenarios</w:t>
      </w:r>
    </w:p>
    <w:p>
      <w:r>
        <w:t>Two presets ship with the MVP and are selectable from the CLI (--scenario data_center_water | grid_cyberattack | custom).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7200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448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Sectors in focus</w:t>
            </w:r>
          </w:p>
        </w:tc>
      </w:tr>
      <w:tr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data_center_water</w:t>
            </w:r>
          </w:p>
        </w:tc>
        <w:tc>
          <w:tcPr>
            <w:tcW w:type="dxa" w:w="72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How does current US data center demand affect water scarcity? Quantify direct and indirect withdrawals; identify the three most acute regions.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energy, water, data centers</w:t>
            </w:r>
          </w:p>
        </w:tc>
      </w:tr>
      <w:tr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grid_cyberattack</w:t>
            </w:r>
          </w:p>
        </w:tc>
        <w:tc>
          <w:tcPr>
            <w:tcW w:type="dxa" w:w="720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 coordinated cyberattack disables 15% of regional generation for 72h. Walk through cascading impacts and the two highest-leverage mitigations.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grid, water, food, transport, comms</w:t>
            </w:r>
          </w:p>
        </w:tc>
      </w:tr>
    </w:tbl>
    <w:p>
      <w:pPr>
        <w:pStyle w:val="Heading1"/>
      </w:pPr>
      <w:r>
        <w:t>4. Key findings</w:t>
      </w:r>
    </w:p>
    <w:p>
      <w:pPr>
        <w:pStyle w:val="Heading2"/>
      </w:pPr>
      <w:r>
        <w:t>4.1 Data centers vs. water scarcity</w:t>
      </w:r>
    </w:p>
    <w:p>
      <w:pPr>
        <w:pStyle w:val="ListBullet"/>
        <w:spacing w:after="40"/>
      </w:pPr>
      <w:r>
        <w:t>US data center electricity demand is on track to roughly double by 2030; AI-optimised facilities draw 5-10x the rack density of legacy enterprise sites (IEA, 2024).</w:t>
      </w:r>
    </w:p>
    <w:p>
      <w:pPr>
        <w:pStyle w:val="ListBullet"/>
        <w:spacing w:after="40"/>
      </w:pPr>
      <w:r>
        <w:t>Direct cooling water at US data centers is on the order of 660 million gallons per day in 2024; indirect thermoelectric withdrawals through grid generation add an order of magnitude more (LBNL, 2024).</w:t>
      </w:r>
    </w:p>
    <w:p>
      <w:pPr>
        <w:pStyle w:val="ListBullet"/>
        <w:spacing w:after="40"/>
      </w:pPr>
      <w:r>
        <w:t>Northern Virginia, Phoenix AZ, and Dallas TX are the three hubs where water stress and concentrated DC build-out collide most acutely.</w:t>
      </w:r>
    </w:p>
    <w:p>
      <w:pPr>
        <w:pStyle w:val="ListBullet"/>
        <w:spacing w:after="40"/>
      </w:pPr>
      <w:r>
        <w:t>Thermoelectric power generation is ~41% of all US freshwater withdrawals (USGS); shifting marginal new load to dry-cooled or renewable assets is therefore disproportionately impactful in arid basins.</w:t>
      </w:r>
    </w:p>
    <w:p>
      <w:pPr>
        <w:pStyle w:val="Heading2"/>
      </w:pPr>
      <w:r>
        <w:t>4.2 Grid cyberattack cascades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T+ (hours)</w:t>
            </w:r>
          </w:p>
        </w:tc>
        <w:tc>
          <w:tcPr>
            <w:tcW w:type="dxa" w:w="9936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Cascading event</w:t>
            </w:r>
          </w:p>
        </w:tc>
      </w:tr>
      <w:tr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0-4</w:t>
            </w:r>
          </w:p>
        </w:tc>
        <w:tc>
          <w:tcPr>
            <w:tcW w:type="dxa" w:w="99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Generation loss begins; load shedding; cold-chain temperature drift starts.</w:t>
            </w:r>
          </w:p>
        </w:tc>
      </w:tr>
      <w:tr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4-8</w:t>
            </w:r>
          </w:p>
        </w:tc>
        <w:tc>
          <w:tcPr>
            <w:tcW w:type="dxa" w:w="99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Retail cold-chain losses accumulate; telecom batteries entering depletion.</w:t>
            </w:r>
          </w:p>
        </w:tc>
      </w:tr>
      <w:tr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8-24</w:t>
            </w:r>
          </w:p>
        </w:tc>
        <w:tc>
          <w:tcPr>
            <w:tcW w:type="dxa" w:w="99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Cell sites drop in widening areas; payments, dispatch, and logistics degrade.</w:t>
            </w:r>
          </w:p>
        </w:tc>
      </w:tr>
      <w:tr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24-48</w:t>
            </w:r>
          </w:p>
        </w:tc>
        <w:tc>
          <w:tcPr>
            <w:tcW w:type="dxa" w:w="99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Water-utility on-site generators run low on fuel; boil-water notices issued.</w:t>
            </w:r>
          </w:p>
        </w:tc>
      </w:tr>
      <w:tr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48-72</w:t>
            </w:r>
          </w:p>
        </w:tc>
        <w:tc>
          <w:tcPr>
            <w:tcW w:type="dxa" w:w="99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Wastewater spills follow; fuel-logistics seizes up; EMS strain rises.</w:t>
            </w:r>
          </w:p>
        </w:tc>
      </w:tr>
    </w:tbl>
    <w:p>
      <w:r>
        <w:t>Highest-leverage mitigations identified by the agent: (1) black-start and dual-feed hardening for water and wastewater utilities, and (2) site new data center load on dry-cooled or renewable generation in water-stressed basins.</w:t>
      </w:r>
    </w:p>
    <w:p>
      <w:pPr>
        <w:pStyle w:val="Heading2"/>
      </w:pPr>
      <w:r>
        <w:t>4.3 Interdependency heat map (excerpt)</w:t>
      </w:r>
    </w:p>
    <w:p>
      <w:r>
        <w:t>Coupling strengths in [0,1]; symmetric where bidirectional. Source: data/interdependencies.csv (illustrative starting matrix).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Sector A</w:t>
            </w:r>
          </w:p>
        </w:tc>
        <w:tc>
          <w:tcPr>
            <w:tcW w:type="dxa" w:w="2448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Sector B</w:t>
            </w:r>
          </w:p>
        </w:tc>
        <w:tc>
          <w:tcPr>
            <w:tcW w:type="dxa" w:w="2016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Coupling</w:t>
            </w:r>
          </w:p>
        </w:tc>
        <w:tc>
          <w:tcPr>
            <w:tcW w:type="dxa" w:w="5040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electricity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data_centers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0.95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bidirectional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electricity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comms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0.90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 -&gt; b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electricity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water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0.85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bidirectional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water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food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0.80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 -&gt; b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data_centers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comms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0.80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bidirectional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electricity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food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0.70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 -&gt; b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electricity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0.65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 -&gt; b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food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0.60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bidirectional</w:t>
            </w:r>
          </w:p>
        </w:tc>
      </w:tr>
      <w:tr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water</w:t>
            </w:r>
          </w:p>
        </w:tc>
        <w:tc>
          <w:tcPr>
            <w:tcW w:type="dxa" w:w="24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data_centers</w:t>
            </w:r>
          </w:p>
        </w:tc>
        <w:tc>
          <w:tcPr>
            <w:tcW w:type="dxa" w:w="201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0.55</w:t>
            </w:r>
          </w:p>
        </w:tc>
        <w:tc>
          <w:tcPr>
            <w:tcW w:type="dxa" w:w="504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 -&gt; b</w:t>
            </w:r>
          </w:p>
        </w:tc>
      </w:tr>
    </w:tbl>
    <w:p>
      <w:pPr>
        <w:pStyle w:val="Heading1"/>
      </w:pPr>
      <w:r>
        <w:t>5. MVP packaging</w:t>
      </w:r>
    </w:p>
    <w:p>
      <w:pPr>
        <w:pStyle w:val="ListBullet"/>
        <w:spacing w:after="40"/>
      </w:pPr>
      <w:r>
        <w:t>Repository layout: src/ (agent, tools, persona, heatmap, cli) + data/ (CSVs and scenarios.json) + reports/ (run outputs) + Dockerfile + docker-compose.yml.</w:t>
      </w:r>
    </w:p>
    <w:p>
      <w:pPr>
        <w:pStyle w:val="ListBullet"/>
        <w:spacing w:after="40"/>
      </w:pPr>
      <w:r>
        <w:t>Run with: docker compose run --rm nexus-agent --scenario &lt;preset&gt; --heatmap.</w:t>
      </w:r>
    </w:p>
    <w:p>
      <w:pPr>
        <w:pStyle w:val="ListBullet"/>
        <w:spacing w:after="40"/>
      </w:pPr>
      <w:r>
        <w:t>Native Python alternative: ./scripts/run_local.sh &lt;preset&gt; creates a .venv and runs without Docker.</w:t>
      </w:r>
    </w:p>
    <w:p>
      <w:pPr>
        <w:pStyle w:val="ListBullet"/>
        <w:spacing w:after="40"/>
      </w:pPr>
      <w:r>
        <w:t>Mock mode is the default - no API keys required - so reviewers can run the demo offline.</w:t>
      </w:r>
    </w:p>
    <w:p>
      <w:pPr>
        <w:pStyle w:val="ListBullet"/>
        <w:spacing w:after="40"/>
      </w:pPr>
      <w:r>
        <w:t>Live mode activates automatically when OPENAI_API_KEY and TAVILY_API_KEY are set in .env.</w:t>
      </w:r>
    </w:p>
    <w:p>
      <w:pPr>
        <w:pStyle w:val="ListBullet"/>
        <w:spacing w:after="40"/>
      </w:pPr>
      <w:r>
        <w:t>Each run writes reports/run_&lt;scenario&gt;.json (full trace + final answer) and an interdependency heat map (.txt + .png).</w:t>
      </w:r>
    </w:p>
    <w:p>
      <w:pPr>
        <w:pStyle w:val="Heading1"/>
      </w:pPr>
      <w:r>
        <w:t>6. Recommendations</w:t>
      </w:r>
    </w:p>
    <w:p>
      <w:pPr>
        <w:pStyle w:val="ListBullet"/>
        <w:spacing w:after="40"/>
      </w:pPr>
      <w:r>
        <w:t>Pilot the agent on three to five real research questions a week and compare time-to-answer against the current manual process; target a 5x speed-up.</w:t>
      </w:r>
    </w:p>
    <w:p>
      <w:pPr>
        <w:pStyle w:val="ListBullet"/>
        <w:spacing w:after="40"/>
      </w:pPr>
      <w:r>
        <w:t>Replace the illustrative interdependencies.csv with a vetted matrix sourced from CISA Sector Risk Management Agencies and DOE/PNNL nexus studies before any external use.</w:t>
      </w:r>
    </w:p>
    <w:p>
      <w:pPr>
        <w:pStyle w:val="ListBullet"/>
        <w:spacing w:after="40"/>
      </w:pPr>
      <w:r>
        <w:t>Add a second human-in-the-loop checkpoint at the answer step for high-stakes deliverables (regulatory filings, board memos).</w:t>
      </w:r>
    </w:p>
    <w:p>
      <w:pPr>
        <w:pStyle w:val="ListBullet"/>
        <w:spacing w:after="40"/>
      </w:pPr>
      <w:r>
        <w:t>Wire LangSmith or OpenTelemetry tracing for evaluation - cost, latency, tool-call quality - before scaling beyond the MVP.</w:t>
      </w:r>
    </w:p>
    <w:p>
      <w:pPr>
        <w:pStyle w:val="ListBullet"/>
        <w:spacing w:after="40"/>
      </w:pPr>
      <w:r>
        <w:t>Treat the model output as a draft. AI can make mistakes; double-check responses against the cited primary sources.</w:t>
      </w:r>
    </w:p>
    <w:p>
      <w:pPr>
        <w:pStyle w:val="Heading1"/>
      </w:pPr>
      <w:r>
        <w:t>7. Risks and caveats</w:t>
      </w:r>
    </w:p>
    <w:p>
      <w:pPr>
        <w:pStyle w:val="ListBullet"/>
        <w:spacing w:after="40"/>
      </w:pPr>
      <w:r>
        <w:t>Numbers in the canned corpus (e.g. 660 Mgal/day, 41% withdrawals) are within publicly reported ranges but should be re-verified against primary sources before quoting externally.</w:t>
      </w:r>
    </w:p>
    <w:p>
      <w:pPr>
        <w:pStyle w:val="ListBullet"/>
        <w:spacing w:after="40"/>
      </w:pPr>
      <w:r>
        <w:t>Tavily-only retrieval biases toward English-language, web-indexed material; supplement with internal knowledge bases for procurement-specific work.</w:t>
      </w:r>
    </w:p>
    <w:p>
      <w:pPr>
        <w:pStyle w:val="ListBullet"/>
        <w:spacing w:after="40"/>
      </w:pPr>
      <w:r>
        <w:t>Mock mode produces a deterministic answer for demo purposes; do not interpret the mock output as a real research finding.</w:t>
      </w:r>
    </w:p>
    <w:p>
      <w:pPr>
        <w:pStyle w:val="ListBullet"/>
        <w:spacing w:after="40"/>
      </w:pPr>
      <w:r>
        <w:t>API costs are bounded by MAX_ITERATIONS=6 but should still be metered in production deployments.</w:t>
      </w:r>
    </w:p>
    <w:p>
      <w:pPr>
        <w:pStyle w:val="Heading1"/>
      </w:pPr>
      <w:r>
        <w:t>8. Next steps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776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28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1F386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72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Stand up the Docker image on a developer Mac and run both demo scenarios.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Eng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72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Curate v1 of interdependencies.csv from CISA + DOE/PNNL.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Research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72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Add LangSmith tracing and a small eval set (10 gold Q/A).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Eng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72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Pilot with two analysts; collect feedback on persona + tool surface.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Product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Week 4</w:t>
            </w:r>
          </w:p>
        </w:tc>
      </w:tr>
      <w:tr>
        <w:tc>
          <w:tcPr>
            <w:tcW w:type="dxa" w:w="72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Decide go/no-go on broader rollout.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Leadership</w:t>
            </w:r>
          </w:p>
        </w:tc>
        <w:tc>
          <w:tcPr>
            <w:tcW w:type="dxa" w:w="172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Week 6</w:t>
            </w:r>
          </w:p>
        </w:tc>
      </w:tr>
    </w:tbl>
    <w:p>
      <w:pPr>
        <w:pStyle w:val="Heading1"/>
      </w:pPr>
      <w:r>
        <w:t>9. Sources cited by the agent</w:t>
      </w:r>
    </w:p>
    <w:p>
      <w:pPr>
        <w:pStyle w:val="ListBullet"/>
        <w:spacing w:after="40"/>
      </w:pPr>
      <w:r>
        <w:t>IEA - Electricity 2024 outlook (data center demand projection).</w:t>
      </w:r>
    </w:p>
    <w:p>
      <w:pPr>
        <w:pStyle w:val="ListBullet"/>
        <w:spacing w:after="40"/>
      </w:pPr>
      <w:r>
        <w:t>LBNL - 2024 United States Data Center Energy Usage Report (water use).</w:t>
      </w:r>
    </w:p>
    <w:p>
      <w:pPr>
        <w:pStyle w:val="ListBullet"/>
        <w:spacing w:after="40"/>
      </w:pPr>
      <w:r>
        <w:t>USGS - Estimated Use of Water in the United States.</w:t>
      </w:r>
    </w:p>
    <w:p>
      <w:pPr>
        <w:pStyle w:val="ListBullet"/>
        <w:spacing w:after="40"/>
      </w:pPr>
      <w:r>
        <w:t>CISA - Cross-Sector Cybersecurity Performance Goals.</w:t>
      </w:r>
    </w:p>
    <w:p>
      <w:pPr>
        <w:pStyle w:val="ListBullet"/>
        <w:spacing w:after="40"/>
      </w:pPr>
      <w:r>
        <w:t>GAO-22-104746 - Colonial Pipeline ransomware lessons learned.</w:t>
      </w:r>
    </w:p>
    <w:p>
      <w:pPr>
        <w:pStyle w:val="ListBullet"/>
        <w:spacing w:after="40"/>
      </w:pPr>
      <w:r>
        <w:t>FAO - Water for food security and nutrition.</w:t>
      </w:r>
    </w:p>
    <w:p>
      <w:pPr>
        <w:pStyle w:val="ListBullet"/>
        <w:spacing w:after="40"/>
      </w:pPr>
      <w:r>
        <w:t>FERC/NERC - Final Report on the February 2021 Cold Weather Outages.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