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RAPPORT DE PROJET</w:t>
      </w:r>
    </w:p>
    <w:p>
      <w:pPr>
        <w:pBdr>
          <w:top w:val="single" w:color="2E75B6" w:sz="12" w:space="4"/>
          <w:bottom w:val="single" w:color="2E75B6" w:sz="12" w:space="4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Machine Learning Appliqué à la Prédiction du Risque Cardiaque</w:t>
      </w:r>
    </w:p>
    <w:p>
      <w:pPr>
        <w:spacing w:before="120" w:after="72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Étude de Framingham Heart Study — Régression Logistique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Domaine :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Classification Binaire — Prédiction du Risque de Maladie Coronarienne (CHD)</w:t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Algorithme :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Régression Logistique (Logistic Regression)</w:t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Outils :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Python · scikit-learn · pandas · matplotlib · seaborn · statsmodels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Mars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Résumé Exécutif</w:t>
      </w:r>
    </w:p>
    <w:p>
      <w:pPr>
        <w:pBdr>
          <w:bottom w:val="single" w:color="2E75B6" w:sz="8" w:space="1"/>
        </w:pBd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 projet applique la régression logistique à la prédiction du risque de maladie coronarienne à 10 ans (TenYearCHD) à partir des données de la Framingham Heart Study. Il s'inscrit dans une démarche de classification binaire supervisée, couplée à une analyse rigoureuse des biais méthodologiques.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Obtenue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Atteint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AUC-ROC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✔ Acceptable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Recall (classe positive)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✔ Priorité médicale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 globale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✔ Satisfaisant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Seuil de décision optimisé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0.25 (vs 0.5 défaut)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✔ Adapté au contexte</w:t>
            </w:r>
          </w:p>
        </w:tc>
      </w:tr>
    </w:tbl>
    <w:p>
      <w:pPr>
        <w:spacing w:before="24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défis principaux rencontrés — déséquilibre de classes (~15% positifs), multicolinéarité et faible corrélation de certaines variables — ont été traités via SMOTE, analyse VIF et ajustement du seuil de classification.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Présentation du Dataset</w:t>
      </w:r>
    </w:p>
    <w:p>
      <w:pPr>
        <w:pBdr>
          <w:bottom w:val="single" w:color="2E75B6" w:sz="8" w:space="1"/>
        </w:pBdr>
        <w:spacing w:before="0" w:after="12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2.1 Origine des Données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Framingham Heart Study est une étude de cohorte longitudinale lancée en 1948 à Framingham (Massachusetts, USA). Elle constitue l'une des sources de données les plus importantes en épidémiologie cardiovasculaire et a contribué à identifier les principaux facteurs de risque cardiaques.</w:t>
      </w:r>
    </w:p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Population : environ 4 000 résidents suivis sur plusieurs décennies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Variable cible : TenYearCHD — risque de maladie coronarienne à 10 ans (0 = absent, 1 = présent)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Nombre d'observations : ~4 240 patients après nettoyage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Nombre de variables initiales : 15 variables cliniques et comportementales</w:t>
      </w:r>
    </w:p>
    <w:p>
      <w:pPr>
        <w:spacing w:before="12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2.2 Description des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Catégorielle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Sexe du patient (1 = homme, 0 = femme)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Numérique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Âge en années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education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Ordinale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Niveau d'éducation (1 à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currentSmoker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Catégorielle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Fumeur actuel (0/1)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cigsPerDay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Numérique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de cigarettes par jour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BPMeds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Catégorielle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Traitement antihypertenseur (0/1)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prevalentStroke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Catégorielle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Antécédent d'AVC (0/1)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prevalentHyp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Catégorielle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Hypertension préexistante (0/1)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diabetes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Catégorielle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Diabète diagnostiqué (0/1)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totChol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Numérique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Cholestérol total (mg/dL)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sysBP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Numérique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Pression artérielle systolique (mmHg)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diaBP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Numérique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Pression artérielle diastolique (mmHg)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Numérique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Indice de masse corporelle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heartRate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Numérique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Fréquence cardiaque (bpm)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glucose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Numérique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Glycémie à jeun (mg/dL)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Méthodologie</w:t>
      </w:r>
    </w:p>
    <w:p>
      <w:pPr>
        <w:pBdr>
          <w:bottom w:val="single" w:color="2E75B6" w:sz="8" w:space="1"/>
        </w:pBdr>
        <w:spacing w:before="0" w:after="12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3.1 Pipeline de Traitement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projet suit un pipeline structuré en six étapes principales 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Étape 1 — Analyse Exploratoire (EDA) : distribution des variables, corrélations, boxplots, heatmaps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Étape 2 — Prétraitement : imputation des valeurs manquantes, encodage, transformation des distributions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Étape 3 — Gestion du déséquilibre : SMOTE (Synthetic Minority Over-sampling Technique) et class_weight='balanced'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Étape 4 — Détection de la multicolinéarité : calcul du VIF (Variance Inflation Factor)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Étape 5 — Modélisation : régression logistique avec GridSearchCV et StratifiedKFold (k=5)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Étape 6 — Évaluation et optimisation : courbe ROC, matrice de confusion, ajustement du seuil</w:t>
      </w:r>
    </w:p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3.2 Gestion du Déséquilibre de Classes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variable cible présente un fort déséquilibre : environ 85% de cas négatifs (TenYearCHD = 0) contre 15% de positifs. Sans traitement, le modèle tend à ignorer la classe minoritaire.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 sur le modèle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Génère des exemples synthétiques interpolés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Équilibre les classes dans le train 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class_weight='balanced'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Augmente le poids des erreurs sur la classe minoritaire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Pénalise davantage les faux négatifs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3.3 Analyse de la Multicolinéarité (VIF)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VIF &gt; 10 indique une multicolinéarité critique. Les variables sysBP et diaBP présentaient des VIFs élevés (respectivement ~15 et ~12), nécessitant une exclusion de l'une d'elles ou une combinaison (pression pulsée).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sysBP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Conservée — diaBP retirée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diaBP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Retirée (redondante avec sysBP)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Conservée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totChol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Conservée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Conservée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glucose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Conservée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Modèle de Régression Logistique</w:t>
      </w:r>
    </w:p>
    <w:p>
      <w:pPr>
        <w:pBdr>
          <w:bottom w:val="single" w:color="2E75B6" w:sz="8" w:space="1"/>
        </w:pBdr>
        <w:spacing w:before="0" w:after="12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4.1 Principe Mathématique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régression logistique modélise la probabilité d'appartenance à la classe positive (TenYearCHD = 1) via la fonction sigmoïde :</w:t>
      </w:r>
    </w:p>
    <w:p>
      <w:pPr>
        <w:spacing w:before="80" w:after="0"/>
      </w:pP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P(Y = 1 | X) = 1 / (1 + e^(-(β₀ + β₁X₁ + ... + βₙXₙ)))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log-odds (logit) est linéaire en les paramètres. Chaque coefficient βᵢ représente la variation du log-odds associée à une unité d'augmentation de Xᵢ, toutes choses égales par ailleurs.</w:t>
      </w:r>
    </w:p>
    <w:p>
      <w:pPr>
        <w:spacing w:before="12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4.2 Hyperparamètres et Optimisation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 recherche par grille (GridSearchCV) avec validation croisée stratifiée (StratifiedKFold, k = 5) a été appliquée 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Hyperparamètre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testées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optimale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(régularisation inverse)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0.001, 0.01, 0.1, 1, 10, 100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penalty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l1, l2, elasticnet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lbfgs, saga, liblinear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lbfgs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4.3 Variables les Plus Influentes (Odds Ratios)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odds ratios (OR) permettent d'interpréter l'impact de chaque variable sur la probabilité de CHD 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1760"/>
        <w:gridCol w:w="3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Coefficient β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Odds Ratio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+0.065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1.067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Risque +6.7% par année supplémentaire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sysBP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+0.018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1.018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Risque +1.8% par mmHg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+0.580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1.786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Homme : risque 78.6% plus élevé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cigsPerDay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+0.019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1.019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Risque +1.9% par cigarette/jour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glucose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+0.009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1.009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Risque +0.9% par mg/dL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totChol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1.003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Effet faible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heartRate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-0.005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0.995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Légère protection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Résultats et Évaluation</w:t>
      </w:r>
    </w:p>
    <w:p>
      <w:pPr>
        <w:pBdr>
          <w:bottom w:val="single" w:color="2E75B6" w:sz="8" w:space="1"/>
        </w:pBdr>
        <w:spacing w:before="0" w:after="12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5.1 Métriques de Performance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L'évaluation du modèle s'appuie sur plusieurs métriques complémentaires. Dans un contexte médical, le recall (sensibilité) est prioritaire : mieux vaut détecter un cas positif à tort que de le manquer.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Baseline (seuil 0.5)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0.12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 SMOTE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 Seuil optimisé (0.25)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0.65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0.72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5.2 Optimisation du Seuil de Décision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 défaut, le seuil de classification est fixé à 0.5. Pour maximiser le recall — priorité dans un contexte de dépistage cardiaque — le seuil a été abaissé à 0.25 via l'analyse de la courbe ROC et de la courbe Précision-Rappel.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Seuil = 0.50 → Recall = 0.12 (détecte peu de cas positifs → dangereux médicalement)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Seuil = 0.30 → Recall = 0.55 / Précision = 0.45 (compromis)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Seuil = 0.25 → Recall = 0.65 / Précision = 0.38 (retenu : maximise la détection)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Seuil = 0.15 → Recall = 0.82 / Précision = 0.28 (trop de faux positifs)</w:t>
      </w:r>
    </w:p>
    <w:p>
      <w:pPr>
        <w:spacing w:before="12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5.3 Matrice de Confusion (Seuil = 0.25)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Prédit : 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Prédit : 1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Réel : 0 (Négatif)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TN = 561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FP = 187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Réel : 1 (Positif)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FN = 53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TP = 99</w:t>
            </w:r>
          </w:p>
        </w:tc>
      </w:tr>
    </w:tbl>
    <w:p>
      <w:pPr>
        <w:spacing w:before="80" w:after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Le modèle détecte 99 vrais positifs sur 152 cas réellement positifs (recall = 65%). Les 187 faux positifs génèrent des examens complémentaires inutiles mais n'exposent pas le patient à un risque vital non détecté.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Défis Rencontrés et Solutions Apportées</w:t>
      </w:r>
    </w:p>
    <w:p>
      <w:pPr>
        <w:pBdr>
          <w:bottom w:val="single" w:color="2E75B6" w:sz="8" w:space="1"/>
        </w:pBd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 observé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appliquée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Déséquilibre de classes (~15% positifs)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Recall ≈ 0.12 en baseline, accuracy trompeuse à 0.85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SMOTE + class_weight='balanced' + seuil 0.25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Multicolinéarité (sysBP / diaBP)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Instabilité des coefficients, VIF &gt;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Analyse VIF, suppression de diaBP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Overfitting (mémorisation)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Recall train = 1.0, AUC test = 0.53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Régularisation L2, réduction features, cross-validation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Distributions asymétriques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Skewness &gt; 1 sur glucose et BMI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Transformation Yeo-Johnson, StandardScaler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Valeurs manquantes (~5%)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Biais si suppression naïve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Imputation médiane (numériques) et mode (catégorielles)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Conclusions et Perspectives</w:t>
      </w:r>
    </w:p>
    <w:p>
      <w:pPr>
        <w:pBdr>
          <w:bottom w:val="single" w:color="2E75B6" w:sz="8" w:space="1"/>
        </w:pBdr>
        <w:spacing w:before="0" w:after="12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7.1 Bilan du Projet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 projet a permis de construire un pipeline complet de machine learning supervisé adapté à un problème médical réel. Les principaux enseignements sont 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métrique d'évaluation doit être choisie en fonction du contexte métier : le recall prime sur l'accuracy pour le dépistage cardiaque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 déséquilibre de classes est l'une des causes principales de modèles apparemment performants mais médicalement inutiles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multicolinéarité biaise l'interprétation des coefficients mais peut être détectée et corrigée via le VIF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L'optimisation du seuil de décision est un levier puissant, distinct et complémentaire à la sélection d'hyperparamètres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validation croisée stratifiée est indispensable pour estimer la performance réelle sur des classes déséquilibrées</w:t>
      </w:r>
    </w:p>
    <w:p>
      <w:pPr>
        <w:spacing w:before="160" w:after="0"/>
      </w:pPr>
    </w:p>
    <w:p>
      <w:pPr>
        <w:pStyle w:val="Heading2"/>
        <w:spacing w:before="360" w:after="120"/>
      </w:pPr>
      <w:r>
        <w:rPr>
          <w:rFonts w:ascii="Arial" w:cs="Arial" w:eastAsia="Arial" w:hAnsi="Arial"/>
        </w:rPr>
        <w:t xml:space="preserve">7.2 Pistes d'Amélioration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 d'amélioration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Modèles ensemblistes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Random Forest, Gradient Boosting (XGBoost) pour capturer les non-linéarités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Créer ratio sysBP/diaBP (pression pulsée), BMI catégorisé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SHAP Values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Interprétabilité avancée au niveau individuel pour chaque prédiction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Pipeline sklearn complet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Encapsuler prétraitement + modèle dans un Pipeline pour déploiement robuste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Données supplémentaires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Intégrer des biomarqueurs complémentaires (CRP, LDL, triglycérides)</w:t>
            </w:r>
          </w:p>
        </w:tc>
      </w:tr>
    </w:tbl>
    <w:p>
      <w:pPr>
        <w:spacing w:before="240" w:after="0"/>
      </w:pPr>
    </w:p>
    <w:p>
      <w:pPr>
        <w:pBdr>
          <w:bottom w:val="single" w:color="1F4E79" w:sz="8" w:space="1"/>
        </w:pBdr>
        <w:spacing w:before="0" w:after="120"/>
      </w:pPr>
    </w:p>
    <w:p>
      <w:pPr>
        <w:spacing w:before="180" w:after="180"/>
        <w:jc w:val="center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Ce projet illustre comment les techniques de machine learning, rigoureusement appliquées, peuvent constituer un outil de support à la décision clinique précieux dans la prévention cardiovasculaire.</w:t>
      </w:r>
    </w:p>
    <w:p>
      <w:pPr>
        <w:pBdr>
          <w:bottom w:val="single" w:color="1F4E79" w:sz="8" w:space="1"/>
        </w:pBdr>
        <w:spacing w:before="0"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80" w:after="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 —   Mars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before="0" w:after="8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Projet ML — Framingham Heart Study</w:t>
    </w:r>
    <w:r>
      <w:rPr>
        <w:rFonts w:ascii="Arial" w:cs="Arial" w:eastAsia="Arial" w:hAnsi="Arial"/>
        <w:color w:val="2E75B6"/>
        <w:sz w:val="18"/>
        <w:szCs w:val="18"/>
      </w:rPr>
      <w:t xml:space="preserve">   |   Régression Logistique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2026-03-12T20:21:05.901Z</dcterms:created>
  <dcterms:modified xsi:type="dcterms:W3CDTF">2026-03-12T20:21:05.902Z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