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032" w:val="clear"/>
            <w:tcMar>
              <w:top w:type="dxa" w:w="400"/>
              <w:left w:type="dxa" w:w="480"/>
              <w:bottom w:type="dxa" w:w="400"/>
              <w:right w:type="dxa" w:w="480"/>
            </w:tcMar>
          </w:tcPr>
          <w:p>
            <w:pPr>
              <w:spacing w:before="0" w:after="80"/>
            </w:pPr>
            <w:r>
              <w:rPr>
                <w:rFonts w:ascii="Courier New" w:cs="Courier New" w:eastAsia="Courier New" w:hAnsi="Courier New"/>
                <w:color w:val="4A6880"/>
                <w:spacing w:val="40"/>
                <w:sz w:val="16"/>
                <w:szCs w:val="16"/>
              </w:rPr>
              <w:t xml:space="preserve">OUTIL D'AIDE A LA DECISION  /  CARDIOLOGIE PREVENTIVE</w:t>
            </w:r>
          </w:p>
          <w:p>
            <w:pPr>
              <w:spacing w:before="80" w:after="120"/>
            </w:pPr>
            <w:r>
              <w:rPr>
                <w:rFonts w:ascii="Arial" w:cs="Arial" w:eastAsia="Arial" w:hAnsi="Arial"/>
                <w:b/>
                <w:bCs/>
                <w:color w:val="FFFFFF"/>
                <w:sz w:val="48"/>
                <w:szCs w:val="48"/>
              </w:rPr>
              <w:t xml:space="preserve">Guide d'utilisation</w:t>
            </w:r>
          </w:p>
          <w:p>
            <w:pPr>
              <w:spacing w:before="0" w:after="240"/>
            </w:pPr>
            <w:r>
              <w:rPr>
                <w:rFonts w:ascii="Arial" w:cs="Arial" w:eastAsia="Arial" w:hAnsi="Arial"/>
                <w:b w:val="false"/>
                <w:bCs w:val="false"/>
                <w:color w:val="A8BDD0"/>
                <w:sz w:val="28"/>
                <w:szCs w:val="28"/>
              </w:rPr>
              <w:t xml:space="preserve">Evaluation du Risque Coronarien a 10 ans</w:t>
            </w:r>
          </w:p>
          <w:p>
            <w:pPr>
              <w:spacing w:before="0" w:after="0"/>
            </w:pPr>
            <w:r>
              <w:rPr>
                <w:rFonts w:ascii="Courier New" w:cs="Courier New" w:eastAsia="Courier New" w:hAnsi="Courier New"/>
                <w:color w:val="4A6880"/>
                <w:sz w:val="18"/>
                <w:szCs w:val="18"/>
              </w:rPr>
              <w:t xml:space="preserve">Application Streamlit  </w:t>
            </w:r>
            <w:r>
              <w:rPr>
                <w:rFonts w:ascii="Courier New" w:cs="Courier New" w:eastAsia="Courier New" w:hAnsi="Courier New"/>
                <w:color w:val="4A6880"/>
                <w:sz w:val="18"/>
                <w:szCs w:val="18"/>
              </w:rPr>
              <w:t xml:space="preserve">  Framingham Heart Study  </w:t>
            </w:r>
            <w:r>
              <w:rPr>
                <w:rFonts w:ascii="Courier New" w:cs="Courier New" w:eastAsia="Courier New" w:hAnsi="Courier New"/>
                <w:color w:val="4A6880"/>
                <w:sz w:val="18"/>
                <w:szCs w:val="18"/>
              </w:rPr>
              <w:t xml:space="preserve">  Regression Logistique + SMOTE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4780" w:val="clear"/>
          </w:tcPr>
          <w:p>
            <w:pPr>
              <w:spacing w:before="0" w:after="0"/>
              <w:jc w:val="left"/>
            </w:pPr>
            <w:r>
              <w:rPr>
                <w:rFonts w:ascii="Arial" w:cs="Arial" w:eastAsia="Arial" w:hAnsi="Arial"/>
                <w:b w:val="false"/>
                <w:bCs w:val="false"/>
                <w:i w:val="false"/>
                <w:iCs w:val="false"/>
                <w:color w:val="1C1C1C"/>
                <w:sz w:val="22"/>
                <w:szCs w:val="22"/>
              </w:rPr>
              <w:t xml:space="preserve"/>
            </w:r>
          </w:p>
        </w:tc>
        <w:tc>
          <w:tcPr>
            <w:tcW w:type="dxa" w:w="9240"/>
            <w:tcBorders>
              <w:top w:val="none" w:color="FFFFFF" w:sz="0"/>
              <w:left w:val="none" w:color="FFFFFF" w:sz="0"/>
              <w:bottom w:val="none" w:color="FFFFFF" w:sz="0"/>
              <w:right w:val="none" w:color="FFFFFF" w:sz="0"/>
            </w:tcBorders>
            <w:shd w:fill="EEF3FB" w:val="clear"/>
            <w:tcMar>
              <w:top w:type="dxa" w:w="120"/>
              <w:left w:type="dxa" w:w="200"/>
              <w:bottom w:type="dxa" w:w="120"/>
              <w:right w:type="dxa" w:w="200"/>
            </w:tcMar>
          </w:tcPr>
          <w:p>
            <w:pPr>
              <w:spacing w:before="0" w:after="80"/>
            </w:pPr>
            <w:r>
              <w:rPr>
                <w:rFonts w:ascii="Courier New" w:cs="Courier New" w:eastAsia="Courier New" w:hAnsi="Courier New"/>
                <w:color w:val="1A4780"/>
                <w:spacing w:val="40"/>
                <w:sz w:val="16"/>
                <w:szCs w:val="16"/>
              </w:rPr>
              <w:t xml:space="preserve">OBJECTIF DU DOCUMENT</w:t>
            </w:r>
          </w:p>
          <w:p>
            <w:pPr>
              <w:spacing w:before="0" w:after="80"/>
              <w:jc w:val="left"/>
            </w:pPr>
            <w:r>
              <w:rPr>
                <w:rFonts w:ascii="Arial" w:cs="Arial" w:eastAsia="Arial" w:hAnsi="Arial"/>
                <w:b w:val="false"/>
                <w:bCs w:val="false"/>
                <w:i w:val="false"/>
                <w:iCs w:val="false"/>
                <w:color w:val="3D3D3D"/>
                <w:sz w:val="20"/>
                <w:szCs w:val="20"/>
              </w:rPr>
              <w:t xml:space="preserve">Ce guide decrit pas a pas comment installer, lancer et utiliser l'application Streamlit de prediction du risque coronarien. Il s'adresse aux equipes medicales, aux decideurs de sante publique et aux utilisateurs techniques souhaitant deployer ou exploiter l'outil en conditions reelles ou pedagogiques.</w:t>
            </w:r>
          </w:p>
        </w:tc>
      </w:tr>
    </w:tbl>
    <w:p>
      <w:pPr>
        <w:spacing w:before="0" w:after="200"/>
      </w:pPr>
    </w:p>
    <w:p>
      <w:pPr>
        <w:pStyle w:val="Heading1"/>
        <w:spacing w:before="360" w:after="160"/>
      </w:pPr>
      <w:r>
        <w:rPr>
          <w:rFonts w:ascii="Arial" w:cs="Arial" w:eastAsia="Arial" w:hAnsi="Arial"/>
          <w:b/>
          <w:bCs/>
          <w:color w:val="162032"/>
          <w:sz w:val="32"/>
          <w:szCs w:val="32"/>
        </w:rPr>
        <w:t xml:space="preserve">1.  Prerequis et Installation</w:t>
      </w:r>
    </w:p>
    <w:p>
      <w:pPr>
        <w:pStyle w:val="Heading2"/>
        <w:spacing w:before="280" w:after="120"/>
      </w:pPr>
      <w:r>
        <w:rPr>
          <w:rFonts w:ascii="Arial" w:cs="Arial" w:eastAsia="Arial" w:hAnsi="Arial"/>
          <w:b/>
          <w:bCs/>
          <w:color w:val="2C3E55"/>
          <w:sz w:val="26"/>
          <w:szCs w:val="26"/>
        </w:rPr>
        <w:t xml:space="preserve">1.1  Environnement requis</w:t>
      </w:r>
    </w:p>
    <w:p>
      <w:pPr>
        <w:spacing w:before="0" w:after="120"/>
        <w:jc w:val="left"/>
      </w:pPr>
      <w:r>
        <w:rPr>
          <w:rFonts w:ascii="Arial" w:cs="Arial" w:eastAsia="Arial" w:hAnsi="Arial"/>
          <w:b w:val="false"/>
          <w:bCs w:val="false"/>
          <w:i w:val="false"/>
          <w:iCs w:val="false"/>
          <w:color w:val="3D3D3D"/>
          <w:sz w:val="20"/>
          <w:szCs w:val="20"/>
        </w:rPr>
        <w:t xml:space="preserve">Avant de lancer l'application, les elements suivants doivent etre presents sur la machine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60" w:after="60"/>
              <w:jc w:val="left"/>
            </w:pPr>
            <w:r>
              <w:rPr>
                <w:rFonts w:ascii="Courier New" w:cs="Courier New" w:eastAsia="Courier New" w:hAnsi="Courier New"/>
                <w:b/>
                <w:bCs/>
                <w:color w:val="162032"/>
                <w:sz w:val="18"/>
                <w:szCs w:val="18"/>
              </w:rPr>
              <w:t xml:space="preserve">Python</w:t>
            </w:r>
          </w:p>
        </w:tc>
        <w:tc>
          <w:tcPr>
            <w:tcW w:type="dxa" w:w="61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i w:val="false"/>
                <w:iCs w:val="false"/>
                <w:color w:val="1C1C1C"/>
                <w:sz w:val="20"/>
                <w:szCs w:val="20"/>
              </w:rPr>
              <w:t xml:space="preserve">Version 3.9 ou superieure recommandee.</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60" w:after="60"/>
              <w:jc w:val="left"/>
            </w:pPr>
            <w:r>
              <w:rPr>
                <w:rFonts w:ascii="Courier New" w:cs="Courier New" w:eastAsia="Courier New" w:hAnsi="Courier New"/>
                <w:b/>
                <w:bCs/>
                <w:color w:val="162032"/>
                <w:sz w:val="18"/>
                <w:szCs w:val="18"/>
              </w:rPr>
              <w:t xml:space="preserve">pip</w:t>
            </w:r>
          </w:p>
        </w:tc>
        <w:tc>
          <w:tcPr>
            <w:tcW w:type="dxa" w:w="61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i w:val="false"/>
                <w:iCs w:val="false"/>
                <w:color w:val="1C1C1C"/>
                <w:sz w:val="20"/>
                <w:szCs w:val="20"/>
              </w:rPr>
              <w:t xml:space="preserve">Gestionnaire de paquets Python (inclus avec Python 3.9+).</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60" w:after="60"/>
              <w:jc w:val="left"/>
            </w:pPr>
            <w:r>
              <w:rPr>
                <w:rFonts w:ascii="Courier New" w:cs="Courier New" w:eastAsia="Courier New" w:hAnsi="Courier New"/>
                <w:b/>
                <w:bCs/>
                <w:color w:val="162032"/>
                <w:sz w:val="18"/>
                <w:szCs w:val="18"/>
              </w:rPr>
              <w:t xml:space="preserve">Navigateur</w:t>
            </w:r>
          </w:p>
        </w:tc>
        <w:tc>
          <w:tcPr>
            <w:tcW w:type="dxa" w:w="61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i w:val="false"/>
                <w:iCs w:val="false"/>
                <w:color w:val="1C1C1C"/>
                <w:sz w:val="20"/>
                <w:szCs w:val="20"/>
              </w:rPr>
              <w:t xml:space="preserve">Chrome, Firefox ou Edge — pour afficher l'interface Streamlit.</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60" w:after="60"/>
              <w:jc w:val="left"/>
            </w:pPr>
            <w:r>
              <w:rPr>
                <w:rFonts w:ascii="Courier New" w:cs="Courier New" w:eastAsia="Courier New" w:hAnsi="Courier New"/>
                <w:b/>
                <w:bCs/>
                <w:color w:val="162032"/>
                <w:sz w:val="18"/>
                <w:szCs w:val="18"/>
              </w:rPr>
              <w:t xml:space="preserve">RAM</w:t>
            </w:r>
          </w:p>
        </w:tc>
        <w:tc>
          <w:tcPr>
            <w:tcW w:type="dxa" w:w="61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i w:val="false"/>
                <w:iCs w:val="false"/>
                <w:color w:val="1C1C1C"/>
                <w:sz w:val="20"/>
                <w:szCs w:val="20"/>
              </w:rPr>
              <w:t xml:space="preserve">Minimum 2 Go disponibles pour le chargement du modele.</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60" w:after="60"/>
              <w:jc w:val="left"/>
            </w:pPr>
            <w:r>
              <w:rPr>
                <w:rFonts w:ascii="Courier New" w:cs="Courier New" w:eastAsia="Courier New" w:hAnsi="Courier New"/>
                <w:b/>
                <w:bCs/>
                <w:color w:val="162032"/>
                <w:sz w:val="18"/>
                <w:szCs w:val="18"/>
              </w:rPr>
              <w:t xml:space="preserve">Connexion</w:t>
            </w:r>
          </w:p>
        </w:tc>
        <w:tc>
          <w:tcPr>
            <w:tcW w:type="dxa" w:w="61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i w:val="false"/>
                <w:iCs w:val="false"/>
                <w:color w:val="1C1C1C"/>
                <w:sz w:val="20"/>
                <w:szCs w:val="20"/>
              </w:rPr>
              <w:t xml:space="preserve">Requise uniquement au premier lancement pour charger les polices Google Fonts.</w:t>
            </w:r>
          </w:p>
        </w:tc>
      </w:tr>
    </w:tbl>
    <w:p>
      <w:pPr>
        <w:spacing w:before="0" w:after="160"/>
      </w:pPr>
    </w:p>
    <w:p>
      <w:pPr>
        <w:pStyle w:val="Heading2"/>
        <w:spacing w:before="280" w:after="120"/>
      </w:pPr>
      <w:r>
        <w:rPr>
          <w:rFonts w:ascii="Arial" w:cs="Arial" w:eastAsia="Arial" w:hAnsi="Arial"/>
          <w:b/>
          <w:bCs/>
          <w:color w:val="2C3E55"/>
          <w:sz w:val="26"/>
          <w:szCs w:val="26"/>
        </w:rPr>
        <w:t xml:space="preserve">1.2  Structure des fichiers attendue</w:t>
      </w:r>
    </w:p>
    <w:p>
      <w:pPr>
        <w:spacing w:before="0" w:after="100"/>
        <w:jc w:val="left"/>
      </w:pPr>
      <w:r>
        <w:rPr>
          <w:rFonts w:ascii="Arial" w:cs="Arial" w:eastAsia="Arial" w:hAnsi="Arial"/>
          <w:b w:val="false"/>
          <w:bCs w:val="false"/>
          <w:i w:val="false"/>
          <w:iCs w:val="false"/>
          <w:color w:val="3D3D3D"/>
          <w:sz w:val="20"/>
          <w:szCs w:val="20"/>
        </w:rPr>
        <w:t xml:space="preserve">Tous les fichiers doivent se trouver dans le meme dossier de travail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Fichier</w:t>
            </w:r>
          </w:p>
        </w:tc>
        <w:tc>
          <w:tcPr>
            <w:tcW w:type="dxa" w:w="16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FFFFFF"/>
                <w:sz w:val="18"/>
                <w:szCs w:val="18"/>
              </w:rPr>
              <w:t xml:space="preserve">Obligatoire</w:t>
            </w:r>
          </w:p>
        </w:tc>
        <w:tc>
          <w:tcPr>
            <w:tcW w:type="dxa" w:w="45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Description</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color w:val="2C3E55"/>
                <w:sz w:val="18"/>
                <w:szCs w:val="18"/>
              </w:rPr>
              <w:t xml:space="preserve">app.py</w:t>
            </w:r>
          </w:p>
        </w:tc>
        <w:tc>
          <w:tcPr>
            <w:tcW w:type="dxa" w:w="16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1B5E35"/>
                <w:sz w:val="18"/>
                <w:szCs w:val="18"/>
              </w:rPr>
              <w:t xml:space="preserve">Oui</w:t>
            </w:r>
          </w:p>
        </w:tc>
        <w:tc>
          <w:tcPr>
            <w:tcW w:type="dxa" w:w="4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Code source principal de l'application Streamlit.</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Courier New" w:cs="Courier New" w:eastAsia="Courier New" w:hAnsi="Courier New"/>
                <w:color w:val="2C3E55"/>
                <w:sz w:val="18"/>
                <w:szCs w:val="18"/>
              </w:rPr>
              <w:t xml:space="preserve">requirements.txt</w:t>
            </w:r>
          </w:p>
        </w:tc>
        <w:tc>
          <w:tcPr>
            <w:tcW w:type="dxa" w:w="16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1B5E35"/>
                <w:sz w:val="18"/>
                <w:szCs w:val="18"/>
              </w:rPr>
              <w:t xml:space="preserve">Oui</w:t>
            </w:r>
          </w:p>
        </w:tc>
        <w:tc>
          <w:tcPr>
            <w:tcW w:type="dxa" w:w="4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Liste des dependances Python a installer.</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color w:val="2C3E55"/>
                <w:sz w:val="18"/>
                <w:szCs w:val="18"/>
              </w:rPr>
              <w:t xml:space="preserve">model_only.pkl</w:t>
            </w:r>
          </w:p>
        </w:tc>
        <w:tc>
          <w:tcPr>
            <w:tcW w:type="dxa" w:w="16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7A4B00"/>
                <w:sz w:val="18"/>
                <w:szCs w:val="18"/>
              </w:rPr>
              <w:t xml:space="preserve">Oui*</w:t>
            </w:r>
          </w:p>
        </w:tc>
        <w:tc>
          <w:tcPr>
            <w:tcW w:type="dxa" w:w="4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Modele LogisticRegression serialise via joblib.</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Courier New" w:cs="Courier New" w:eastAsia="Courier New" w:hAnsi="Courier New"/>
                <w:color w:val="2C3E55"/>
                <w:sz w:val="18"/>
                <w:szCs w:val="18"/>
              </w:rPr>
              <w:t xml:space="preserve">best_threshold.pkl</w:t>
            </w:r>
          </w:p>
        </w:tc>
        <w:tc>
          <w:tcPr>
            <w:tcW w:type="dxa" w:w="16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7A4B00"/>
                <w:sz w:val="18"/>
                <w:szCs w:val="18"/>
              </w:rPr>
              <w:t xml:space="preserve">Oui*</w:t>
            </w:r>
          </w:p>
        </w:tc>
        <w:tc>
          <w:tcPr>
            <w:tcW w:type="dxa" w:w="4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Seuil optimal calcule sur la courbe Precision-Rappel.</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color w:val="2C3E55"/>
                <w:sz w:val="18"/>
                <w:szCs w:val="18"/>
              </w:rPr>
              <w:t xml:space="preserve">scaler.pkl</w:t>
            </w:r>
          </w:p>
        </w:tc>
        <w:tc>
          <w:tcPr>
            <w:tcW w:type="dxa" w:w="16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7A4B00"/>
                <w:sz w:val="18"/>
                <w:szCs w:val="18"/>
              </w:rPr>
              <w:t xml:space="preserve">Oui*</w:t>
            </w:r>
          </w:p>
        </w:tc>
        <w:tc>
          <w:tcPr>
            <w:tcW w:type="dxa" w:w="4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StandardScaler ajuste sur les donnees d'entrainement.</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Courier New" w:cs="Courier New" w:eastAsia="Courier New" w:hAnsi="Courier New"/>
                <w:color w:val="2C3E55"/>
                <w:sz w:val="18"/>
                <w:szCs w:val="18"/>
              </w:rPr>
              <w:t xml:space="preserve">data_preprocessing.csv</w:t>
            </w:r>
          </w:p>
        </w:tc>
        <w:tc>
          <w:tcPr>
            <w:tcW w:type="dxa" w:w="16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7A7470"/>
                <w:sz w:val="18"/>
                <w:szCs w:val="18"/>
              </w:rPr>
              <w:t xml:space="preserve">Non</w:t>
            </w:r>
          </w:p>
        </w:tc>
        <w:tc>
          <w:tcPr>
            <w:tcW w:type="dxa" w:w="4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Necessaire uniquement si les .pkl sont absents (reconstruction automatique).</w:t>
            </w:r>
          </w:p>
        </w:tc>
      </w:tr>
    </w:tbl>
    <w:p>
      <w:pPr>
        <w:spacing w:before="0" w:after="120"/>
      </w:pPr>
    </w:p>
    <w:p>
      <w:pPr>
        <w:spacing w:before="0" w:after="80"/>
        <w:jc w:val="left"/>
      </w:pPr>
      <w:r>
        <w:rPr>
          <w:rFonts w:ascii="Arial" w:cs="Arial" w:eastAsia="Arial" w:hAnsi="Arial"/>
          <w:b w:val="false"/>
          <w:bCs w:val="false"/>
          <w:i/>
          <w:iCs/>
          <w:color w:val="7A7470"/>
          <w:sz w:val="18"/>
          <w:szCs w:val="18"/>
        </w:rPr>
        <w:t xml:space="preserve">(*) Ces trois fichiers sont generes automatiquement par les cellules 45 et 46 du notebook de modelisation.</w:t>
      </w:r>
    </w:p>
    <w:p>
      <w:pPr>
        <w:spacing w:before="0" w:after="160"/>
      </w:pPr>
    </w:p>
    <w:p>
      <w:pPr>
        <w:pStyle w:val="Heading2"/>
        <w:spacing w:before="280" w:after="120"/>
      </w:pPr>
      <w:r>
        <w:rPr>
          <w:rFonts w:ascii="Arial" w:cs="Arial" w:eastAsia="Arial" w:hAnsi="Arial"/>
          <w:b/>
          <w:bCs/>
          <w:color w:val="2C3E55"/>
          <w:sz w:val="26"/>
          <w:szCs w:val="26"/>
        </w:rPr>
        <w:t xml:space="preserve">1.3  Installation des dependances</w:t>
      </w:r>
    </w:p>
    <w:p>
      <w:pPr>
        <w:spacing w:before="0" w:after="100"/>
        <w:jc w:val="left"/>
      </w:pPr>
      <w:r>
        <w:rPr>
          <w:rFonts w:ascii="Arial" w:cs="Arial" w:eastAsia="Arial" w:hAnsi="Arial"/>
          <w:b w:val="false"/>
          <w:bCs w:val="false"/>
          <w:i w:val="false"/>
          <w:iCs w:val="false"/>
          <w:color w:val="3D3D3D"/>
          <w:sz w:val="20"/>
          <w:szCs w:val="20"/>
        </w:rPr>
        <w:t xml:space="preserve">Ouvrir un terminal dans le dossier de travail et executer la commande suivante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5" w:sz="1"/>
              <w:left w:val="single" w:color="2C3E55" w:sz="1"/>
              <w:bottom w:val="single" w:color="2C3E55" w:sz="1"/>
              <w:right w:val="single" w:color="2C3E55" w:sz="1"/>
            </w:tcBorders>
            <w:shd w:fill="1A2C3E" w:val="clear"/>
            <w:tcMar>
              <w:top w:type="dxa" w:w="140"/>
              <w:left w:type="dxa" w:w="240"/>
              <w:bottom w:type="dxa" w:w="140"/>
              <w:right w:type="dxa" w:w="240"/>
            </w:tcMar>
          </w:tcPr>
          <w:p>
            <w:pPr>
              <w:spacing w:before="0" w:after="0"/>
              <w:jc w:val="left"/>
            </w:pPr>
            <w:r>
              <w:rPr>
                <w:rFonts w:ascii="Courier New" w:cs="Courier New" w:eastAsia="Courier New" w:hAnsi="Courier New"/>
                <w:color w:val="7DD3B8"/>
                <w:sz w:val="20"/>
                <w:szCs w:val="20"/>
              </w:rPr>
              <w:t xml:space="preserve">pip install -r requirements.txt</w:t>
            </w:r>
          </w:p>
        </w:tc>
      </w:tr>
    </w:tbl>
    <w:p>
      <w:pPr>
        <w:spacing w:before="0" w:after="120"/>
      </w:pPr>
    </w:p>
    <w:p>
      <w:pPr>
        <w:spacing w:before="0" w:after="80"/>
        <w:jc w:val="left"/>
      </w:pPr>
      <w:r>
        <w:rPr>
          <w:rFonts w:ascii="Arial" w:cs="Arial" w:eastAsia="Arial" w:hAnsi="Arial"/>
          <w:b w:val="false"/>
          <w:bCs w:val="false"/>
          <w:i w:val="false"/>
          <w:iCs w:val="false"/>
          <w:color w:val="3D3D3D"/>
          <w:sz w:val="20"/>
          <w:szCs w:val="20"/>
        </w:rPr>
        <w:t xml:space="preserve">Cette commande installe automatiquement : streamlit, scikit-learn, imbalanced-learn, joblib, numpy, pandas et matplotlib.</w:t>
      </w:r>
    </w:p>
    <w:p>
      <w:pPr>
        <w:spacing w:before="0" w:after="160"/>
      </w:pPr>
    </w:p>
    <w:p>
      <w:pPr>
        <w:pStyle w:val="Heading1"/>
        <w:spacing w:before="360" w:after="160"/>
      </w:pPr>
      <w:r>
        <w:rPr>
          <w:rFonts w:ascii="Arial" w:cs="Arial" w:eastAsia="Arial" w:hAnsi="Arial"/>
          <w:b/>
          <w:bCs/>
          <w:color w:val="162032"/>
          <w:sz w:val="32"/>
          <w:szCs w:val="32"/>
        </w:rPr>
        <w:t xml:space="preserve">2.  Lancement de l'Application</w:t>
      </w:r>
    </w:p>
    <w:p>
      <w:pPr>
        <w:pStyle w:val="Heading2"/>
        <w:spacing w:before="280" w:after="120"/>
      </w:pPr>
      <w:r>
        <w:rPr>
          <w:rFonts w:ascii="Arial" w:cs="Arial" w:eastAsia="Arial" w:hAnsi="Arial"/>
          <w:b/>
          <w:bCs/>
          <w:color w:val="2C3E55"/>
          <w:sz w:val="26"/>
          <w:szCs w:val="26"/>
        </w:rPr>
        <w:t xml:space="preserve">2.1  Demarrage standard</w:t>
      </w:r>
    </w:p>
    <w:p>
      <w:pPr>
        <w:spacing w:before="0" w:after="100"/>
        <w:jc w:val="left"/>
      </w:pPr>
      <w:r>
        <w:rPr>
          <w:rFonts w:ascii="Arial" w:cs="Arial" w:eastAsia="Arial" w:hAnsi="Arial"/>
          <w:b w:val="false"/>
          <w:bCs w:val="false"/>
          <w:i w:val="false"/>
          <w:iCs w:val="false"/>
          <w:color w:val="3D3D3D"/>
          <w:sz w:val="20"/>
          <w:szCs w:val="20"/>
        </w:rPr>
        <w:t xml:space="preserve">Dans le terminal, depuis le dossier contenant app.py, executer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5" w:sz="1"/>
              <w:left w:val="single" w:color="2C3E55" w:sz="1"/>
              <w:bottom w:val="single" w:color="2C3E55" w:sz="1"/>
              <w:right w:val="single" w:color="2C3E55" w:sz="1"/>
            </w:tcBorders>
            <w:shd w:fill="1A2C3E" w:val="clear"/>
            <w:tcMar>
              <w:top w:type="dxa" w:w="140"/>
              <w:left w:type="dxa" w:w="240"/>
              <w:bottom w:type="dxa" w:w="140"/>
              <w:right w:type="dxa" w:w="240"/>
            </w:tcMar>
          </w:tcPr>
          <w:p>
            <w:pPr>
              <w:spacing w:before="0" w:after="0"/>
              <w:jc w:val="left"/>
            </w:pPr>
            <w:r>
              <w:rPr>
                <w:rFonts w:ascii="Courier New" w:cs="Courier New" w:eastAsia="Courier New" w:hAnsi="Courier New"/>
                <w:color w:val="7DD3B8"/>
                <w:sz w:val="20"/>
                <w:szCs w:val="20"/>
              </w:rPr>
              <w:t xml:space="preserve">streamlit run app.py</w:t>
            </w:r>
          </w:p>
        </w:tc>
      </w:tr>
    </w:tbl>
    <w:p>
      <w:pPr>
        <w:spacing w:before="0" w:after="120"/>
      </w:pPr>
    </w:p>
    <w:p>
      <w:pPr>
        <w:spacing w:before="0" w:after="80"/>
        <w:jc w:val="left"/>
      </w:pPr>
      <w:r>
        <w:rPr>
          <w:rFonts w:ascii="Arial" w:cs="Arial" w:eastAsia="Arial" w:hAnsi="Arial"/>
          <w:b w:val="false"/>
          <w:bCs w:val="false"/>
          <w:i w:val="false"/>
          <w:iCs w:val="false"/>
          <w:color w:val="3D3D3D"/>
          <w:sz w:val="20"/>
          <w:szCs w:val="20"/>
        </w:rPr>
        <w:t xml:space="preserve">Streamlit ouvre automatiquement le navigateur par defaut a l'adresse http://localhost:8501. Si le navigateur ne s'ouvre pas, copier manuellement cette URL dans la barre d'adresse.</w:t>
      </w:r>
    </w:p>
    <w:p>
      <w:pPr>
        <w:spacing w:before="0" w:after="140"/>
      </w:pPr>
    </w:p>
    <w:p>
      <w:pPr>
        <w:pStyle w:val="Heading2"/>
        <w:spacing w:before="280" w:after="120"/>
      </w:pPr>
      <w:r>
        <w:rPr>
          <w:rFonts w:ascii="Arial" w:cs="Arial" w:eastAsia="Arial" w:hAnsi="Arial"/>
          <w:b/>
          <w:bCs/>
          <w:color w:val="2C3E55"/>
          <w:sz w:val="26"/>
          <w:szCs w:val="26"/>
        </w:rPr>
        <w:t xml:space="preserve">2.2  Sequence de demarrage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Etape</w:t>
            </w:r>
          </w:p>
        </w:tc>
        <w:tc>
          <w:tcPr>
            <w:tcW w:type="dxa" w:w="3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Action</w:t>
            </w:r>
          </w:p>
        </w:tc>
        <w:tc>
          <w:tcPr>
            <w:tcW w:type="dxa" w:w="49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Detail / Commande</w:t>
            </w:r>
          </w:p>
        </w:tc>
      </w:tr>
      <w:tr>
        <w:tc>
          <w:tcPr>
            <w:tcW w:type="dxa" w:w="1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2C3E55"/>
                <w:sz w:val="20"/>
                <w:szCs w:val="20"/>
              </w:rPr>
              <w:t xml:space="preserve">1</w:t>
            </w:r>
          </w:p>
        </w:tc>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20"/>
                <w:szCs w:val="20"/>
              </w:rPr>
              <w:t xml:space="preserve">Chargement des artefacts</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L'application cherche model_only.pkl, best_threshold.pkl et scaler.pkl dans le dossier courant.</w:t>
            </w:r>
          </w:p>
        </w:tc>
      </w:tr>
      <w:tr>
        <w:tc>
          <w:tcPr>
            <w:tcW w:type="dxa" w:w="1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2C3E55"/>
                <w:sz w:val="20"/>
                <w:szCs w:val="20"/>
              </w:rPr>
              <w:t xml:space="preserve">2</w:t>
            </w:r>
          </w:p>
        </w:tc>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20"/>
                <w:szCs w:val="20"/>
              </w:rPr>
              <w:t xml:space="preserve">Reconstruction automatique (si .pkl absents)</w:t>
            </w:r>
          </w:p>
        </w:tc>
        <w:tc>
          <w:tcPr>
            <w:tcW w:type="dxa" w:w="49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Le pipeline complet est rejoue depuis data_preprocessing.csv. Les fichiers .pkl sont generes et sauvegardes.</w:t>
            </w:r>
          </w:p>
        </w:tc>
      </w:tr>
      <w:tr>
        <w:tc>
          <w:tcPr>
            <w:tcW w:type="dxa" w:w="1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2C3E55"/>
                <w:sz w:val="20"/>
                <w:szCs w:val="20"/>
              </w:rPr>
              <w:t xml:space="preserve">3</w:t>
            </w:r>
          </w:p>
        </w:tc>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20"/>
                <w:szCs w:val="20"/>
              </w:rPr>
              <w:t xml:space="preserve">Affichage de l'interface</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La page s'ouvre sur l'onglet Prediction avec le formulaire patient dans la sidebar.</w:t>
            </w:r>
          </w:p>
        </w:tc>
      </w:tr>
      <w:tr>
        <w:tc>
          <w:tcPr>
            <w:tcW w:type="dxa" w:w="1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center"/>
            </w:pPr>
            <w:r>
              <w:rPr>
                <w:rFonts w:ascii="Arial" w:cs="Arial" w:eastAsia="Arial" w:hAnsi="Arial"/>
                <w:b/>
                <w:bCs/>
                <w:i w:val="false"/>
                <w:iCs w:val="false"/>
                <w:color w:val="2C3E55"/>
                <w:sz w:val="20"/>
                <w:szCs w:val="20"/>
              </w:rPr>
              <w:t xml:space="preserve">4</w:t>
            </w:r>
          </w:p>
        </w:tc>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20"/>
                <w:szCs w:val="20"/>
              </w:rPr>
              <w:t xml:space="preserve">Application prete</w:t>
            </w:r>
          </w:p>
        </w:tc>
        <w:tc>
          <w:tcPr>
            <w:tcW w:type="dxa" w:w="49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L'en-tete affiche le seuil de decision retenu. L'outil est operationnel.</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4780" w:val="clear"/>
          </w:tcPr>
          <w:p>
            <w:pPr>
              <w:spacing w:before="0" w:after="0"/>
              <w:jc w:val="left"/>
            </w:pPr>
            <w:r>
              <w:rPr>
                <w:rFonts w:ascii="Arial" w:cs="Arial" w:eastAsia="Arial" w:hAnsi="Arial"/>
                <w:b w:val="false"/>
                <w:bCs w:val="false"/>
                <w:i w:val="false"/>
                <w:iCs w:val="false"/>
                <w:color w:val="1C1C1C"/>
                <w:sz w:val="22"/>
                <w:szCs w:val="22"/>
              </w:rPr>
              <w:t xml:space="preserve"/>
            </w:r>
          </w:p>
        </w:tc>
        <w:tc>
          <w:tcPr>
            <w:tcW w:type="dxa" w:w="9240"/>
            <w:tcBorders>
              <w:top w:val="none" w:color="FFFFFF" w:sz="0"/>
              <w:left w:val="none" w:color="FFFFFF" w:sz="0"/>
              <w:bottom w:val="none" w:color="FFFFFF" w:sz="0"/>
              <w:right w:val="none" w:color="FFFFFF" w:sz="0"/>
            </w:tcBorders>
            <w:shd w:fill="EEF3FB" w:val="clear"/>
            <w:tcMar>
              <w:top w:type="dxa" w:w="120"/>
              <w:left w:type="dxa" w:w="200"/>
              <w:bottom w:type="dxa" w:w="120"/>
              <w:right w:type="dxa" w:w="200"/>
            </w:tcMar>
          </w:tcPr>
          <w:p>
            <w:pPr>
              <w:spacing w:before="0" w:after="80"/>
            </w:pPr>
            <w:r>
              <w:rPr>
                <w:rFonts w:ascii="Courier New" w:cs="Courier New" w:eastAsia="Courier New" w:hAnsi="Courier New"/>
                <w:color w:val="1A4780"/>
                <w:spacing w:val="40"/>
                <w:sz w:val="16"/>
                <w:szCs w:val="16"/>
              </w:rPr>
              <w:t xml:space="preserve">REMARQUE SUR LE CACHE</w:t>
            </w:r>
          </w:p>
          <w:p>
            <w:pPr>
              <w:spacing w:before="0" w:after="80"/>
              <w:jc w:val="left"/>
            </w:pPr>
            <w:r>
              <w:rPr>
                <w:rFonts w:ascii="Arial" w:cs="Arial" w:eastAsia="Arial" w:hAnsi="Arial"/>
                <w:b w:val="false"/>
                <w:bCs w:val="false"/>
                <w:i w:val="false"/>
                <w:iCs w:val="false"/>
                <w:color w:val="3D3D3D"/>
                <w:sz w:val="20"/>
                <w:szCs w:val="20"/>
              </w:rPr>
              <w:t xml:space="preserve">Streamlit met en cache le modele apres le premier chargement (decorateur @st.cache_resource). Si vous remplacez les fichiers .pkl par de nouveaux modeles, relancez l'application ou cliquez sur 'Clear cache' dans le menu hamburger en haut a droite.</w:t>
            </w:r>
          </w:p>
        </w:tc>
      </w:tr>
    </w:tbl>
    <w:p>
      <w:pPr>
        <w:spacing w:before="0" w:after="200"/>
      </w:pPr>
    </w:p>
    <w:p>
      <w:pPr>
        <w:pStyle w:val="Heading1"/>
        <w:spacing w:before="360" w:after="160"/>
      </w:pPr>
      <w:r>
        <w:rPr>
          <w:rFonts w:ascii="Arial" w:cs="Arial" w:eastAsia="Arial" w:hAnsi="Arial"/>
          <w:b/>
          <w:bCs/>
          <w:color w:val="162032"/>
          <w:sz w:val="32"/>
          <w:szCs w:val="32"/>
        </w:rPr>
        <w:t xml:space="preserve">3.  Utilisation — Onglet Prediction</w:t>
      </w:r>
    </w:p>
    <w:p>
      <w:pPr>
        <w:pStyle w:val="Heading2"/>
        <w:spacing w:before="280" w:after="120"/>
      </w:pPr>
      <w:r>
        <w:rPr>
          <w:rFonts w:ascii="Arial" w:cs="Arial" w:eastAsia="Arial" w:hAnsi="Arial"/>
          <w:b/>
          <w:bCs/>
          <w:color w:val="2C3E55"/>
          <w:sz w:val="26"/>
          <w:szCs w:val="26"/>
        </w:rPr>
        <w:t xml:space="preserve">3.1  Saisie du profil patient (Sidebar)</w:t>
      </w:r>
    </w:p>
    <w:p>
      <w:pPr>
        <w:spacing w:before="0" w:after="140"/>
        <w:jc w:val="left"/>
      </w:pPr>
      <w:r>
        <w:rPr>
          <w:rFonts w:ascii="Arial" w:cs="Arial" w:eastAsia="Arial" w:hAnsi="Arial"/>
          <w:b w:val="false"/>
          <w:bCs w:val="false"/>
          <w:i w:val="false"/>
          <w:iCs w:val="false"/>
          <w:color w:val="3D3D3D"/>
          <w:sz w:val="20"/>
          <w:szCs w:val="20"/>
        </w:rPr>
        <w:t xml:space="preserve">Le panneau lateral gauche (fond bleu marine) contient l'ensemble des champs de saisie, regroupes en trois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Section</w:t>
            </w:r>
          </w:p>
        </w:tc>
        <w:tc>
          <w:tcPr>
            <w:tcW w:type="dxa" w:w="2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Variables</w:t>
            </w:r>
          </w:p>
        </w:tc>
        <w:tc>
          <w:tcPr>
            <w:tcW w:type="dxa" w:w="49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Type de saisie et valeurs attendues</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8"/>
                <w:szCs w:val="18"/>
              </w:rPr>
              <w:t xml:space="preserve">Demographie</w:t>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Sexe</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Menu deroulant : Homme / Femme</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Age</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Slider : 20 a 90 ans</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Niveau d'education</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Menu deroulant : Niveau 1 a 4 (1 = primaire, 4 = superieur)</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IMC</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Champ numerique en kg/m2 (ex. 26.5)</w:t>
            </w:r>
          </w:p>
        </w:tc>
      </w:tr>
      <w:tr>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8"/>
                <w:szCs w:val="18"/>
              </w:rPr>
              <w:t xml:space="preserve">Antecedents</w:t>
            </w:r>
          </w:p>
        </w:tc>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Antecedent AVC</w:t>
            </w:r>
          </w:p>
        </w:tc>
        <w:tc>
          <w:tcPr>
            <w:tcW w:type="dxa" w:w="49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Menu deroulant : Oui / Non</w:t>
            </w:r>
          </w:p>
        </w:tc>
      </w:tr>
      <w:tr>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Hypertension</w:t>
            </w:r>
          </w:p>
        </w:tc>
        <w:tc>
          <w:tcPr>
            <w:tcW w:type="dxa" w:w="49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Menu deroulant : Oui / Non</w:t>
            </w:r>
          </w:p>
        </w:tc>
      </w:tr>
      <w:tr>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Diabete</w:t>
            </w:r>
          </w:p>
        </w:tc>
        <w:tc>
          <w:tcPr>
            <w:tcW w:type="dxa" w:w="49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Menu deroulant : Oui / Non</w:t>
            </w:r>
          </w:p>
        </w:tc>
      </w:tr>
      <w:tr>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Medicaments tension</w:t>
            </w:r>
          </w:p>
        </w:tc>
        <w:tc>
          <w:tcPr>
            <w:tcW w:type="dxa" w:w="49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Menu deroulant : Oui / Non</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8"/>
                <w:szCs w:val="18"/>
              </w:rPr>
              <w:t xml:space="preserve">Mesures cliniques</w:t>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Cholesterol total</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Champ numerique en mg/dL (ex. 230)</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Frequence cardiaque</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Champ numerique en bpm (ex. 75)</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Glycemie a jeun</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Champ numerique en mg/dL (ex. 80)</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Cigarettes par jour</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Slider : 0 a 70 (0 si non-fumeur)</w:t>
            </w:r>
          </w:p>
        </w:tc>
      </w:tr>
      <w:tr>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7A7470"/>
                <w:sz w:val="18"/>
                <w:szCs w:val="18"/>
              </w:rPr>
              <w:t xml:space="preserve"/>
            </w:r>
          </w:p>
        </w:tc>
        <w:tc>
          <w:tcPr>
            <w:tcW w:type="dxa" w:w="2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Pression art. moy. (PAM)</w:t>
            </w:r>
          </w:p>
        </w:tc>
        <w:tc>
          <w:tcPr>
            <w:tcW w:type="dxa" w:w="49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Champ numerique en mmHg — calculer : (SYS + 2*DIA) / 3</w:t>
            </w:r>
          </w:p>
        </w:tc>
      </w:tr>
    </w:tbl>
    <w:p>
      <w:pPr>
        <w:spacing w:before="0" w:after="160"/>
      </w:pPr>
    </w:p>
    <w:p>
      <w:pPr>
        <w:pStyle w:val="Heading2"/>
        <w:spacing w:before="280" w:after="120"/>
      </w:pPr>
      <w:r>
        <w:rPr>
          <w:rFonts w:ascii="Arial" w:cs="Arial" w:eastAsia="Arial" w:hAnsi="Arial"/>
          <w:b/>
          <w:bCs/>
          <w:color w:val="2C3E55"/>
          <w:sz w:val="26"/>
          <w:szCs w:val="26"/>
        </w:rPr>
        <w:t xml:space="preserve">3.2  Declenchement de la prediction</w:t>
      </w:r>
    </w:p>
    <w:p>
      <w:pPr>
        <w:spacing w:before="0" w:after="80"/>
        <w:jc w:val="left"/>
      </w:pPr>
      <w:r>
        <w:rPr>
          <w:rFonts w:ascii="Arial" w:cs="Arial" w:eastAsia="Arial" w:hAnsi="Arial"/>
          <w:b w:val="false"/>
          <w:bCs w:val="false"/>
          <w:i w:val="false"/>
          <w:iCs w:val="false"/>
          <w:color w:val="3D3D3D"/>
          <w:sz w:val="20"/>
          <w:szCs w:val="20"/>
        </w:rPr>
        <w:t xml:space="preserve">Une fois tous les champs renseignes, cliquer sur le bouton "Analyser le risque" en bas de la sidebar. Le resultat s'affiche instantanement dans la zone principale.</w:t>
      </w:r>
    </w:p>
    <w:p>
      <w:pPr>
        <w:spacing w:before="0" w:after="120"/>
      </w:pPr>
    </w:p>
    <w:p>
      <w:pPr>
        <w:pStyle w:val="Heading2"/>
        <w:spacing w:before="280" w:after="120"/>
      </w:pPr>
      <w:r>
        <w:rPr>
          <w:rFonts w:ascii="Arial" w:cs="Arial" w:eastAsia="Arial" w:hAnsi="Arial"/>
          <w:b/>
          <w:bCs/>
          <w:color w:val="2C3E55"/>
          <w:sz w:val="26"/>
          <w:szCs w:val="26"/>
        </w:rPr>
        <w:t xml:space="preserve">3.3  Lecture du resultat</w:t>
      </w:r>
    </w:p>
    <w:p>
      <w:pPr>
        <w:spacing w:before="0" w:after="120"/>
        <w:jc w:val="left"/>
      </w:pPr>
      <w:r>
        <w:rPr>
          <w:rFonts w:ascii="Arial" w:cs="Arial" w:eastAsia="Arial" w:hAnsi="Arial"/>
          <w:b w:val="false"/>
          <w:bCs w:val="false"/>
          <w:i w:val="false"/>
          <w:iCs w:val="false"/>
          <w:color w:val="3D3D3D"/>
          <w:sz w:val="20"/>
          <w:szCs w:val="20"/>
        </w:rPr>
        <w:t xml:space="preserve">Le resultat se compose de quatre elements dans l'ordre d'affichage :</w:t>
      </w:r>
    </w:p>
    <w:p>
      <w:pPr>
        <w:pStyle w:val="Heading3"/>
        <w:spacing w:before="200" w:after="80"/>
      </w:pPr>
      <w:r>
        <w:rPr>
          <w:rFonts w:ascii="Arial" w:cs="Arial" w:eastAsia="Arial" w:hAnsi="Arial"/>
          <w:b/>
          <w:bCs/>
          <w:color w:val="162032"/>
          <w:sz w:val="22"/>
          <w:szCs w:val="22"/>
        </w:rPr>
        <w:t xml:space="preserve">A — Bandeau verdict</w:t>
      </w:r>
    </w:p>
    <w:p>
      <w:pPr>
        <w:spacing w:before="0" w:after="80"/>
        <w:jc w:val="left"/>
      </w:pPr>
      <w:r>
        <w:rPr>
          <w:rFonts w:ascii="Arial" w:cs="Arial" w:eastAsia="Arial" w:hAnsi="Arial"/>
          <w:b w:val="false"/>
          <w:bCs w:val="false"/>
          <w:i w:val="false"/>
          <w:iCs w:val="false"/>
          <w:color w:val="3D3D3D"/>
          <w:sz w:val="20"/>
          <w:szCs w:val="20"/>
        </w:rPr>
        <w:t xml:space="preserve">Zone coloree en haut de la page. Couleur et texte refletent immediatement le niveau de risque : vert pour faible, orange pour modere, rouge pour eleve. Il contient le titre de la decision et un paragraphe d'explication en langage naturel.</w:t>
      </w:r>
    </w:p>
    <w:p>
      <w:pPr>
        <w:spacing w:before="0" w:after="80"/>
      </w:pPr>
    </w:p>
    <w:p>
      <w:pPr>
        <w:pStyle w:val="Heading3"/>
        <w:spacing w:before="200" w:after="80"/>
      </w:pPr>
      <w:r>
        <w:rPr>
          <w:rFonts w:ascii="Arial" w:cs="Arial" w:eastAsia="Arial" w:hAnsi="Arial"/>
          <w:b/>
          <w:bCs/>
          <w:color w:val="162032"/>
          <w:sz w:val="22"/>
          <w:szCs w:val="22"/>
        </w:rPr>
        <w:t xml:space="preserve">B — Figure principale a trois panneaux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Panneau</w:t>
            </w:r>
          </w:p>
        </w:tc>
        <w:tc>
          <w:tcPr>
            <w:tcW w:type="dxa" w:w="20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Nom</w:t>
            </w:r>
          </w:p>
        </w:tc>
        <w:tc>
          <w:tcPr>
            <w:tcW w:type="dxa" w:w="55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Ce qu'il montre</w:t>
            </w:r>
          </w:p>
        </w:tc>
      </w:tr>
      <w:tr>
        <w:tc>
          <w:tcPr>
            <w:tcW w:type="dxa" w:w="18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Gauche</w:t>
            </w:r>
          </w:p>
        </w:tc>
        <w:tc>
          <w:tcPr>
            <w:tcW w:type="dxa" w:w="20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Jauge circulaire</w:t>
            </w:r>
          </w:p>
        </w:tc>
        <w:tc>
          <w:tcPr>
            <w:tcW w:type="dxa" w:w="5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Aiguille pointant la probabilite. Valeur affichee en grand au centre avec le niveau (FAIBLE / MODERE / ELEVE).</w:t>
            </w:r>
          </w:p>
        </w:tc>
      </w:tr>
      <w:tr>
        <w:tc>
          <w:tcPr>
            <w:tcW w:type="dxa" w:w="18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Centre</w:t>
            </w:r>
          </w:p>
        </w:tc>
        <w:tc>
          <w:tcPr>
            <w:tcW w:type="dxa" w:w="20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Barre de risque</w:t>
            </w:r>
          </w:p>
        </w:tc>
        <w:tc>
          <w:tcPr>
            <w:tcW w:type="dxa" w:w="5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Echelle 0-100 %. Le patient est positionne par un marqueur vertical. Les seuils 30 %, 55 % et le seuil modele (ligne bleue) sont visibles.</w:t>
            </w:r>
          </w:p>
        </w:tc>
      </w:tr>
      <w:tr>
        <w:tc>
          <w:tcPr>
            <w:tcW w:type="dxa" w:w="18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Droite</w:t>
            </w:r>
          </w:p>
        </w:tc>
        <w:tc>
          <w:tcPr>
            <w:tcW w:type="dxa" w:w="20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C1C1C"/>
                <w:sz w:val="19"/>
                <w:szCs w:val="19"/>
              </w:rPr>
              <w:t xml:space="preserve">Tableau de bord patient</w:t>
            </w:r>
          </w:p>
        </w:tc>
        <w:tc>
          <w:tcPr>
            <w:tcW w:type="dxa" w:w="5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Recap des 9 valeurs cles du profil saisi directement dans la figure pour tout avoir en un seul coup d'oeil.</w:t>
            </w:r>
          </w:p>
        </w:tc>
      </w:tr>
    </w:tbl>
    <w:p>
      <w:pPr>
        <w:spacing w:before="0" w:after="120"/>
      </w:pPr>
    </w:p>
    <w:p>
      <w:pPr>
        <w:pStyle w:val="Heading3"/>
        <w:spacing w:before="200" w:after="80"/>
      </w:pPr>
      <w:r>
        <w:rPr>
          <w:rFonts w:ascii="Arial" w:cs="Arial" w:eastAsia="Arial" w:hAnsi="Arial"/>
          <w:b/>
          <w:bCs/>
          <w:color w:val="162032"/>
          <w:sz w:val="22"/>
          <w:szCs w:val="22"/>
        </w:rPr>
        <w:t xml:space="preserve">C — Quatre metriques de synthese</w:t>
      </w:r>
    </w:p>
    <w:p>
      <w:pPr>
        <w:spacing w:before="0" w:after="80"/>
        <w:jc w:val="left"/>
      </w:pPr>
      <w:r>
        <w:rPr>
          <w:rFonts w:ascii="Arial" w:cs="Arial" w:eastAsia="Arial" w:hAnsi="Arial"/>
          <w:b w:val="false"/>
          <w:bCs w:val="false"/>
          <w:i w:val="false"/>
          <w:iCs w:val="false"/>
          <w:color w:val="3D3D3D"/>
          <w:sz w:val="20"/>
          <w:szCs w:val="20"/>
        </w:rPr>
        <w:t xml:space="preserve">Quatre cadres affichent : la probabilite estimee en pourcentage, le seuil de decision applique, la classification du modele (CHD Positif / CHD Negatif) et le niveau de risque textuel.</w:t>
      </w:r>
    </w:p>
    <w:p>
      <w:pPr>
        <w:spacing w:before="0" w:after="80"/>
      </w:pPr>
    </w:p>
    <w:p>
      <w:pPr>
        <w:pStyle w:val="Heading3"/>
        <w:spacing w:before="200" w:after="80"/>
      </w:pPr>
      <w:r>
        <w:rPr>
          <w:rFonts w:ascii="Arial" w:cs="Arial" w:eastAsia="Arial" w:hAnsi="Arial"/>
          <w:b/>
          <w:bCs/>
          <w:color w:val="162032"/>
          <w:sz w:val="22"/>
          <w:szCs w:val="22"/>
        </w:rPr>
        <w:t xml:space="preserve">D — Blocs d'interpretation et de recommandation</w:t>
      </w:r>
    </w:p>
    <w:p>
      <w:pPr>
        <w:spacing w:before="0" w:after="80"/>
        <w:jc w:val="left"/>
      </w:pPr>
      <w:r>
        <w:rPr>
          <w:rFonts w:ascii="Arial" w:cs="Arial" w:eastAsia="Arial" w:hAnsi="Arial"/>
          <w:b w:val="false"/>
          <w:bCs w:val="false"/>
          <w:i w:val="false"/>
          <w:iCs w:val="false"/>
          <w:color w:val="3D3D3D"/>
          <w:sz w:val="20"/>
          <w:szCs w:val="20"/>
        </w:rPr>
        <w:t xml:space="preserve">Deux blocs cote a cote. Le bloc gauche explique la logique statistique (signification du seuil, contrainte recall &gt;= 75 %). Le bloc droit contient la recommandation clinique concrete adaptee au niveau de risque.</w:t>
      </w:r>
    </w:p>
    <w:p>
      <w:pPr>
        <w:spacing w:before="0" w:after="140"/>
      </w:pPr>
    </w:p>
    <w:p>
      <w:pPr>
        <w:pStyle w:val="Heading2"/>
        <w:spacing w:before="280" w:after="120"/>
      </w:pPr>
      <w:r>
        <w:rPr>
          <w:rFonts w:ascii="Arial" w:cs="Arial" w:eastAsia="Arial" w:hAnsi="Arial"/>
          <w:b/>
          <w:bCs/>
          <w:color w:val="2C3E55"/>
          <w:sz w:val="26"/>
          <w:szCs w:val="26"/>
        </w:rPr>
        <w:t xml:space="preserve">3.4  Grille de lecture des niveaux de risque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Niveau</w:t>
            </w:r>
          </w:p>
        </w:tc>
        <w:tc>
          <w:tcPr>
            <w:tcW w:type="dxa" w:w="18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Plage de probabilite</w:t>
            </w:r>
          </w:p>
        </w:tc>
        <w:tc>
          <w:tcPr>
            <w:tcW w:type="dxa" w:w="20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Classification</w:t>
            </w:r>
          </w:p>
        </w:tc>
        <w:tc>
          <w:tcPr>
            <w:tcW w:type="dxa" w:w="33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Conduite a tenir</w:t>
            </w:r>
          </w:p>
        </w:tc>
      </w:tr>
      <w:tr>
        <w:tc>
          <w:tcPr>
            <w:tcW w:type="dxa" w:w="2200"/>
            <w:tcBorders>
              <w:top w:val="single" w:color="D8D4CC" w:sz="1"/>
              <w:left w:val="single" w:color="D8D4CC" w:sz="1"/>
              <w:bottom w:val="single" w:color="D8D4CC" w:sz="1"/>
              <w:right w:val="single" w:color="D8D4CC" w:sz="1"/>
            </w:tcBorders>
            <w:shd w:fill="EDF6F1"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1B5E35"/>
                <w:sz w:val="20"/>
                <w:szCs w:val="20"/>
              </w:rPr>
              <w:t xml:space="preserve">FAIBLE</w:t>
            </w:r>
          </w:p>
        </w:tc>
        <w:tc>
          <w:tcPr>
            <w:tcW w:type="dxa" w:w="1800"/>
            <w:tcBorders>
              <w:top w:val="single" w:color="D8D4CC" w:sz="1"/>
              <w:left w:val="single" w:color="D8D4CC" w:sz="1"/>
              <w:bottom w:val="single" w:color="D8D4CC" w:sz="1"/>
              <w:right w:val="single" w:color="D8D4CC" w:sz="1"/>
            </w:tcBorders>
            <w:shd w:fill="EDF6F1"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P &lt; 30 %</w:t>
            </w:r>
          </w:p>
        </w:tc>
        <w:tc>
          <w:tcPr>
            <w:tcW w:type="dxa" w:w="2000"/>
            <w:tcBorders>
              <w:top w:val="single" w:color="D8D4CC" w:sz="1"/>
              <w:left w:val="single" w:color="D8D4CC" w:sz="1"/>
              <w:bottom w:val="single" w:color="D8D4CC" w:sz="1"/>
              <w:right w:val="single" w:color="D8D4CC" w:sz="1"/>
            </w:tcBorders>
            <w:shd w:fill="EDF6F1"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CHD Negatif</w:t>
            </w:r>
          </w:p>
        </w:tc>
        <w:tc>
          <w:tcPr>
            <w:tcW w:type="dxa" w:w="3360"/>
            <w:tcBorders>
              <w:top w:val="single" w:color="D8D4CC" w:sz="1"/>
              <w:left w:val="single" w:color="D8D4CC" w:sz="1"/>
              <w:bottom w:val="single" w:color="D8D4CC" w:sz="1"/>
              <w:right w:val="single" w:color="D8D4CC" w:sz="1"/>
            </w:tcBorders>
            <w:shd w:fill="EDF6F1"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Suivi standard. Bilan de controle dans 2 ans.</w:t>
            </w:r>
          </w:p>
        </w:tc>
      </w:tr>
      <w:tr>
        <w:tc>
          <w:tcPr>
            <w:tcW w:type="dxa" w:w="2200"/>
            <w:tcBorders>
              <w:top w:val="single" w:color="D8D4CC" w:sz="1"/>
              <w:left w:val="single" w:color="D8D4CC" w:sz="1"/>
              <w:bottom w:val="single" w:color="D8D4CC" w:sz="1"/>
              <w:right w:val="single" w:color="D8D4CC" w:sz="1"/>
            </w:tcBorders>
            <w:shd w:fill="FDF8EC"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7A4B00"/>
                <w:sz w:val="20"/>
                <w:szCs w:val="20"/>
              </w:rPr>
              <w:t xml:space="preserve">MODERE</w:t>
            </w:r>
          </w:p>
        </w:tc>
        <w:tc>
          <w:tcPr>
            <w:tcW w:type="dxa" w:w="1800"/>
            <w:tcBorders>
              <w:top w:val="single" w:color="D8D4CC" w:sz="1"/>
              <w:left w:val="single" w:color="D8D4CC" w:sz="1"/>
              <w:bottom w:val="single" w:color="D8D4CC" w:sz="1"/>
              <w:right w:val="single" w:color="D8D4CC" w:sz="1"/>
            </w:tcBorders>
            <w:shd w:fill="FDF8EC"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30 % a 55 %</w:t>
            </w:r>
          </w:p>
        </w:tc>
        <w:tc>
          <w:tcPr>
            <w:tcW w:type="dxa" w:w="2000"/>
            <w:tcBorders>
              <w:top w:val="single" w:color="D8D4CC" w:sz="1"/>
              <w:left w:val="single" w:color="D8D4CC" w:sz="1"/>
              <w:bottom w:val="single" w:color="D8D4CC" w:sz="1"/>
              <w:right w:val="single" w:color="D8D4CC" w:sz="1"/>
            </w:tcBorders>
            <w:shd w:fill="FDF8EC"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Selon seuil modele</w:t>
            </w:r>
          </w:p>
        </w:tc>
        <w:tc>
          <w:tcPr>
            <w:tcW w:type="dxa" w:w="3360"/>
            <w:tcBorders>
              <w:top w:val="single" w:color="D8D4CC" w:sz="1"/>
              <w:left w:val="single" w:color="D8D4CC" w:sz="1"/>
              <w:bottom w:val="single" w:color="D8D4CC" w:sz="1"/>
              <w:right w:val="single" w:color="D8D4CC" w:sz="1"/>
            </w:tcBorders>
            <w:shd w:fill="FDF8EC"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Surveillance renforcee. Bilan lipidique et metabolique conseille.</w:t>
            </w:r>
          </w:p>
        </w:tc>
      </w:tr>
      <w:tr>
        <w:tc>
          <w:tcPr>
            <w:tcW w:type="dxa" w:w="2200"/>
            <w:tcBorders>
              <w:top w:val="single" w:color="D8D4CC" w:sz="1"/>
              <w:left w:val="single" w:color="D8D4CC" w:sz="1"/>
              <w:bottom w:val="single" w:color="D8D4CC" w:sz="1"/>
              <w:right w:val="single" w:color="D8D4CC" w:sz="1"/>
            </w:tcBorders>
            <w:shd w:fill="FDF1F0"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B02A1F"/>
                <w:sz w:val="20"/>
                <w:szCs w:val="20"/>
              </w:rPr>
              <w:t xml:space="preserve">ELEVE</w:t>
            </w:r>
          </w:p>
        </w:tc>
        <w:tc>
          <w:tcPr>
            <w:tcW w:type="dxa" w:w="1800"/>
            <w:tcBorders>
              <w:top w:val="single" w:color="D8D4CC" w:sz="1"/>
              <w:left w:val="single" w:color="D8D4CC" w:sz="1"/>
              <w:bottom w:val="single" w:color="D8D4CC" w:sz="1"/>
              <w:right w:val="single" w:color="D8D4CC" w:sz="1"/>
            </w:tcBorders>
            <w:shd w:fill="FDF1F0"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P &gt; 55 %</w:t>
            </w:r>
          </w:p>
        </w:tc>
        <w:tc>
          <w:tcPr>
            <w:tcW w:type="dxa" w:w="2000"/>
            <w:tcBorders>
              <w:top w:val="single" w:color="D8D4CC" w:sz="1"/>
              <w:left w:val="single" w:color="D8D4CC" w:sz="1"/>
              <w:bottom w:val="single" w:color="D8D4CC" w:sz="1"/>
              <w:right w:val="single" w:color="D8D4CC" w:sz="1"/>
            </w:tcBorders>
            <w:shd w:fill="FDF1F0"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CHD Positif</w:t>
            </w:r>
          </w:p>
        </w:tc>
        <w:tc>
          <w:tcPr>
            <w:tcW w:type="dxa" w:w="3360"/>
            <w:tcBorders>
              <w:top w:val="single" w:color="D8D4CC" w:sz="1"/>
              <w:left w:val="single" w:color="D8D4CC" w:sz="1"/>
              <w:bottom w:val="single" w:color="D8D4CC" w:sz="1"/>
              <w:right w:val="single" w:color="D8D4CC" w:sz="1"/>
            </w:tcBorders>
            <w:shd w:fill="FDF1F0"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20"/>
                <w:szCs w:val="20"/>
              </w:rPr>
              <w:t xml:space="preserve">Consultation cardiologique prioritaire. ECG, echocardiographie.</w:t>
            </w:r>
          </w:p>
        </w:tc>
      </w:tr>
    </w:tbl>
    <w:p>
      <w:pPr>
        <w:spacing w:before="0" w:after="200"/>
      </w:pPr>
    </w:p>
    <w:p>
      <w:pPr>
        <w:pStyle w:val="Heading1"/>
        <w:spacing w:before="360" w:after="160"/>
      </w:pPr>
      <w:r>
        <w:rPr>
          <w:rFonts w:ascii="Arial" w:cs="Arial" w:eastAsia="Arial" w:hAnsi="Arial"/>
          <w:b/>
          <w:bCs/>
          <w:color w:val="162032"/>
          <w:sz w:val="32"/>
          <w:szCs w:val="32"/>
        </w:rPr>
        <w:t xml:space="preserve">4.  Onglet Modele et Interpretation</w:t>
      </w:r>
    </w:p>
    <w:p>
      <w:pPr>
        <w:spacing w:before="0" w:after="140"/>
        <w:jc w:val="left"/>
      </w:pPr>
      <w:r>
        <w:rPr>
          <w:rFonts w:ascii="Arial" w:cs="Arial" w:eastAsia="Arial" w:hAnsi="Arial"/>
          <w:b w:val="false"/>
          <w:bCs w:val="false"/>
          <w:i w:val="false"/>
          <w:iCs w:val="false"/>
          <w:color w:val="3D3D3D"/>
          <w:sz w:val="20"/>
          <w:szCs w:val="20"/>
        </w:rPr>
        <w:t xml:space="preserve">Cet onglet est destine aux utilisateurs techniques et aux decideurs souhaitant comprendre le fonctionnement du modele.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Element</w:t>
            </w:r>
          </w:p>
        </w:tc>
        <w:tc>
          <w:tcPr>
            <w:tcW w:type="dxa" w:w="61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Description</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Graphique des coefficients</w:t>
            </w:r>
          </w:p>
        </w:tc>
        <w:tc>
          <w:tcPr>
            <w:tcW w:type="dxa" w:w="61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Barres horizontales : rouges si la variable augmente le risque, bleues si elle le reduit. Plus la barre est longue, plus l'impact est fort.</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Graphique des Odds Ratios</w:t>
            </w:r>
          </w:p>
        </w:tc>
        <w:tc>
          <w:tcPr>
            <w:tcW w:type="dxa" w:w="61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OR &gt; 1 : facteur de risque. OR &lt; 1 : facteur protecteur. La ligne verticale marque la neutralite (OR = 1).</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Tableau complet</w:t>
            </w:r>
          </w:p>
        </w:tc>
        <w:tc>
          <w:tcPr>
            <w:tcW w:type="dxa" w:w="61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Toutes les variables avec coefficient, Odds Ratio et effet en pourcentage (+/- X %). Triable par colonne.</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Hyperparametres</w:t>
            </w:r>
          </w:p>
        </w:tc>
        <w:tc>
          <w:tcPr>
            <w:tcW w:type="dxa" w:w="61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Valeurs C, penalty, solver, class_weight, etc. issues du RandomizedSearchCV du notebook.</w:t>
            </w:r>
          </w:p>
        </w:tc>
      </w:tr>
      <w:tr>
        <w:tc>
          <w:tcPr>
            <w:tcW w:type="dxa" w:w="32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Pipeline de traitement</w:t>
            </w:r>
          </w:p>
        </w:tc>
        <w:tc>
          <w:tcPr>
            <w:tcW w:type="dxa" w:w="61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Recapitulatif des 8 etapes : encodage, creation PAM, VIF, StandardScaler, SMOTE, LogisticRegression, GridSearch, seuil.</w:t>
            </w:r>
          </w:p>
        </w:tc>
      </w:tr>
      <w:tr>
        <w:tc>
          <w:tcPr>
            <w:tcW w:type="dxa" w:w="32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2C3E55"/>
                <w:sz w:val="19"/>
                <w:szCs w:val="19"/>
              </w:rPr>
              <w:t xml:space="preserve">Seuil optimal</w:t>
            </w:r>
          </w:p>
        </w:tc>
        <w:tc>
          <w:tcPr>
            <w:tcW w:type="dxa" w:w="61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Valeur numerique du seuil retenu, avec rappel de la methode de calcul (courbe Precision-Rappel, contrainte recall &gt;= 0.75).</w:t>
            </w:r>
          </w:p>
        </w:tc>
      </w:tr>
    </w:tbl>
    <w:p>
      <w:pPr>
        <w:spacing w:before="0" w:after="200"/>
      </w:pPr>
    </w:p>
    <w:p>
      <w:pPr>
        <w:pStyle w:val="Heading1"/>
        <w:spacing w:before="360" w:after="160"/>
      </w:pPr>
      <w:r>
        <w:rPr>
          <w:rFonts w:ascii="Arial" w:cs="Arial" w:eastAsia="Arial" w:hAnsi="Arial"/>
          <w:b/>
          <w:bCs/>
          <w:color w:val="162032"/>
          <w:sz w:val="32"/>
          <w:szCs w:val="32"/>
        </w:rPr>
        <w:t xml:space="preserve">5.  Onglet A propos</w:t>
      </w:r>
    </w:p>
    <w:p>
      <w:pPr>
        <w:spacing w:before="0" w:after="140"/>
        <w:jc w:val="left"/>
      </w:pPr>
      <w:r>
        <w:rPr>
          <w:rFonts w:ascii="Arial" w:cs="Arial" w:eastAsia="Arial" w:hAnsi="Arial"/>
          <w:b w:val="false"/>
          <w:bCs w:val="false"/>
          <w:i w:val="false"/>
          <w:iCs w:val="false"/>
          <w:color w:val="3D3D3D"/>
          <w:sz w:val="20"/>
          <w:szCs w:val="20"/>
        </w:rPr>
        <w:t xml:space="preserve">Contient trois blocs informatifs essentiels a la bonne interpretation des resultats.</w:t>
      </w:r>
    </w:p>
    <w:p>
      <w:pPr>
        <w:pStyle w:val="ListParagraph"/>
        <w:numPr>
          <w:ilvl w:val="0"/>
          <w:numId w:val="2"/>
        </w:numPr>
        <w:spacing w:before="40" w:after="40"/>
      </w:pPr>
      <w:r>
        <w:rPr>
          <w:rFonts w:ascii="Arial" w:cs="Arial" w:eastAsia="Arial" w:hAnsi="Arial"/>
          <w:b/>
          <w:bCs/>
          <w:color w:val="1C1C1C"/>
          <w:sz w:val="20"/>
          <w:szCs w:val="20"/>
        </w:rPr>
        <w:t xml:space="preserve">Presentation de la cohorte (1948, Framingham MA), de ses objectifs et de la variable cible a 10 ans. </w:t>
      </w:r>
      <w:r>
        <w:rPr>
          <w:rFonts w:ascii="Arial" w:cs="Arial" w:eastAsia="Arial" w:hAnsi="Arial"/>
          <w:color w:val="3D3D3D"/>
          <w:sz w:val="20"/>
          <w:szCs w:val="20"/>
        </w:rPr>
        <w:t xml:space="preserve">L'etude Framingham :</w:t>
      </w:r>
    </w:p>
    <w:p>
      <w:pPr>
        <w:pStyle w:val="ListParagraph"/>
        <w:numPr>
          <w:ilvl w:val="0"/>
          <w:numId w:val="2"/>
        </w:numPr>
        <w:spacing w:before="40" w:after="40"/>
      </w:pPr>
      <w:r>
        <w:rPr>
          <w:rFonts w:ascii="Arial" w:cs="Arial" w:eastAsia="Arial" w:hAnsi="Arial"/>
          <w:b/>
          <w:bCs/>
          <w:color w:val="1C1C1C"/>
          <w:sz w:val="20"/>
          <w:szCs w:val="20"/>
        </w:rPr>
        <w:t xml:space="preserve">Rappel que l'outil est exclusivement pedagogique et ne constitue pas un diagnostic clinique. </w:t>
      </w:r>
      <w:r>
        <w:rPr>
          <w:rFonts w:ascii="Arial" w:cs="Arial" w:eastAsia="Arial" w:hAnsi="Arial"/>
          <w:color w:val="3D3D3D"/>
          <w:sz w:val="20"/>
          <w:szCs w:val="20"/>
        </w:rPr>
        <w:t xml:space="preserve">Avertissement medical :</w:t>
      </w:r>
    </w:p>
    <w:p>
      <w:pPr>
        <w:pStyle w:val="ListParagraph"/>
        <w:numPr>
          <w:ilvl w:val="0"/>
          <w:numId w:val="2"/>
        </w:numPr>
        <w:spacing w:before="40" w:after="40"/>
      </w:pPr>
      <w:r>
        <w:rPr>
          <w:rFonts w:ascii="Arial" w:cs="Arial" w:eastAsia="Arial" w:hAnsi="Arial"/>
          <w:b/>
          <w:bCs/>
          <w:color w:val="1C1C1C"/>
          <w:sz w:val="20"/>
          <w:szCs w:val="20"/>
        </w:rPr>
        <w:t xml:space="preserve">Cinq limites documentees : multicolinearite residuelle, desequilibre de classes, biais de regularisation L2, donnees manquantes non gerees, validite externe limitee. </w:t>
      </w:r>
      <w:r>
        <w:rPr>
          <w:rFonts w:ascii="Arial" w:cs="Arial" w:eastAsia="Arial" w:hAnsi="Arial"/>
          <w:color w:val="3D3D3D"/>
          <w:sz w:val="20"/>
          <w:szCs w:val="20"/>
        </w:rPr>
        <w:t xml:space="preserve">Limites du modele :</w:t>
      </w:r>
    </w:p>
    <w:p>
      <w:pPr>
        <w:spacing w:before="0" w:after="200"/>
      </w:pPr>
    </w:p>
    <w:p>
      <w:pPr>
        <w:pStyle w:val="Heading1"/>
        <w:spacing w:before="360" w:after="160"/>
      </w:pPr>
      <w:r>
        <w:rPr>
          <w:rFonts w:ascii="Arial" w:cs="Arial" w:eastAsia="Arial" w:hAnsi="Arial"/>
          <w:b/>
          <w:bCs/>
          <w:color w:val="162032"/>
          <w:sz w:val="32"/>
          <w:szCs w:val="32"/>
        </w:rPr>
        <w:t xml:space="preserve">6.  Export des Fichiers depuis le Notebook</w:t>
      </w:r>
    </w:p>
    <w:p>
      <w:pPr>
        <w:spacing w:before="0" w:after="120"/>
        <w:jc w:val="left"/>
      </w:pPr>
      <w:r>
        <w:rPr>
          <w:rFonts w:ascii="Arial" w:cs="Arial" w:eastAsia="Arial" w:hAnsi="Arial"/>
          <w:b w:val="false"/>
          <w:bCs w:val="false"/>
          <w:i w:val="false"/>
          <w:iCs w:val="false"/>
          <w:color w:val="3D3D3D"/>
          <w:sz w:val="20"/>
          <w:szCs w:val="20"/>
        </w:rPr>
        <w:t xml:space="preserve">Pour generer les fichiers .pkl necessaires a l'application, ajouter les lignes suivantes a la fin du notebook de modelisation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5" w:sz="1"/>
              <w:left w:val="single" w:color="2C3E55" w:sz="1"/>
              <w:bottom w:val="single" w:color="2C3E55" w:sz="1"/>
              <w:right w:val="single" w:color="2C3E55" w:sz="1"/>
            </w:tcBorders>
            <w:shd w:fill="1A2C3E" w:val="clear"/>
            <w:tcMar>
              <w:top w:type="dxa" w:w="160"/>
              <w:left w:type="dxa" w:w="280"/>
              <w:bottom w:type="dxa" w:w="160"/>
              <w:right w:type="dxa" w:w="280"/>
            </w:tcMar>
          </w:tcPr>
          <w:p>
            <w:pPr>
              <w:spacing w:before="0" w:after="60"/>
              <w:jc w:val="left"/>
            </w:pPr>
            <w:r>
              <w:rPr>
                <w:rFonts w:ascii="Courier New" w:cs="Courier New" w:eastAsia="Courier New" w:hAnsi="Courier New"/>
                <w:color w:val="7DD3B8"/>
                <w:sz w:val="18"/>
                <w:szCs w:val="18"/>
              </w:rPr>
              <w:t xml:space="preserve">import joblib</w:t>
            </w:r>
          </w:p>
          <w:p>
            <w:pPr>
              <w:spacing w:before="0" w:after="60"/>
              <w:jc w:val="left"/>
            </w:pPr>
            <w:r>
              <w:rPr>
                <w:rFonts w:ascii="Courier New" w:cs="Courier New" w:eastAsia="Courier New" w:hAnsi="Courier New"/>
                <w:color w:val="E8C97A"/>
                <w:sz w:val="18"/>
                <w:szCs w:val="18"/>
              </w:rPr>
              <w:t xml:space="preserve">joblib.dump(model,          'model_only.pkl',     compress=3)</w:t>
            </w:r>
          </w:p>
          <w:p>
            <w:pPr>
              <w:spacing w:before="0" w:after="60"/>
              <w:jc w:val="left"/>
            </w:pPr>
            <w:r>
              <w:rPr>
                <w:rFonts w:ascii="Courier New" w:cs="Courier New" w:eastAsia="Courier New" w:hAnsi="Courier New"/>
                <w:color w:val="E8C97A"/>
                <w:sz w:val="18"/>
                <w:szCs w:val="18"/>
              </w:rPr>
              <w:t xml:space="preserve">joblib.dump(best_threshold, 'best_threshold.pkl', compress=3)</w:t>
            </w:r>
          </w:p>
          <w:p>
            <w:pPr>
              <w:spacing w:before="0" w:after="0"/>
              <w:jc w:val="left"/>
            </w:pPr>
            <w:r>
              <w:rPr>
                <w:rFonts w:ascii="Courier New" w:cs="Courier New" w:eastAsia="Courier New" w:hAnsi="Courier New"/>
                <w:color w:val="E8C97A"/>
                <w:sz w:val="18"/>
                <w:szCs w:val="18"/>
              </w:rPr>
              <w:t xml:space="preserve">joblib.dump(scaler,         'scaler.pkl',         compress=3)</w:t>
            </w:r>
          </w:p>
        </w:tc>
      </w:tr>
    </w:tbl>
    <w:p>
      <w:pPr>
        <w:spacing w:before="0" w:after="120"/>
      </w:pPr>
    </w:p>
    <w:p>
      <w:pPr>
        <w:spacing w:before="0" w:after="80"/>
        <w:jc w:val="left"/>
      </w:pPr>
      <w:r>
        <w:rPr>
          <w:rFonts w:ascii="Arial" w:cs="Arial" w:eastAsia="Arial" w:hAnsi="Arial"/>
          <w:b w:val="false"/>
          <w:bCs w:val="false"/>
          <w:i w:val="false"/>
          <w:iCs w:val="false"/>
          <w:color w:val="3D3D3D"/>
          <w:sz w:val="20"/>
          <w:szCs w:val="20"/>
        </w:rPr>
        <w:t xml:space="preserve">Les trois fichiers generes doivent ensuite etre copies dans le meme dossier que app.py.</w:t>
      </w:r>
    </w:p>
    <w:p>
      <w:pPr>
        <w:spacing w:before="0" w:after="200"/>
      </w:pPr>
    </w:p>
    <w:p>
      <w:pPr>
        <w:pStyle w:val="Heading1"/>
        <w:spacing w:before="360" w:after="160"/>
      </w:pPr>
      <w:r>
        <w:rPr>
          <w:rFonts w:ascii="Arial" w:cs="Arial" w:eastAsia="Arial" w:hAnsi="Arial"/>
          <w:b/>
          <w:bCs/>
          <w:color w:val="162032"/>
          <w:sz w:val="32"/>
          <w:szCs w:val="32"/>
        </w:rPr>
        <w:t xml:space="preserve">7.  Depannage — Questions Frequentes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Probleme observe</w:t>
            </w:r>
          </w:p>
        </w:tc>
        <w:tc>
          <w:tcPr>
            <w:tcW w:type="dxa" w:w="5560"/>
            <w:tcBorders>
              <w:top w:val="single" w:color="D8D4CC" w:sz="1"/>
              <w:left w:val="single" w:color="D8D4CC" w:sz="1"/>
              <w:bottom w:val="single" w:color="D8D4CC" w:sz="1"/>
              <w:right w:val="single" w:color="D8D4CC" w:sz="1"/>
            </w:tcBorders>
            <w:shd w:fill="162032" w:val="clear"/>
            <w:tcMar>
              <w:top w:type="dxa" w:w="100"/>
              <w:left w:type="dxa" w:w="140"/>
              <w:bottom w:type="dxa" w:w="100"/>
              <w:right w:type="dxa" w:w="140"/>
            </w:tcMar>
            <w:vAlign w:val="top"/>
          </w:tcPr>
          <w:p>
            <w:pPr>
              <w:spacing w:before="0" w:after="80"/>
              <w:jc w:val="left"/>
            </w:pPr>
            <w:r>
              <w:rPr>
                <w:rFonts w:ascii="Arial" w:cs="Arial" w:eastAsia="Arial" w:hAnsi="Arial"/>
                <w:b/>
                <w:bCs/>
                <w:i w:val="false"/>
                <w:iCs w:val="false"/>
                <w:color w:val="FFFFFF"/>
                <w:sz w:val="18"/>
                <w:szCs w:val="18"/>
              </w:rPr>
              <w:t xml:space="preserve">Solution</w:t>
            </w:r>
          </w:p>
        </w:tc>
      </w:tr>
      <w:tr>
        <w:tc>
          <w:tcPr>
            <w:tcW w:type="dxa" w:w="38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"ModuleNotFoundError"</w:t>
            </w:r>
          </w:p>
        </w:tc>
        <w:tc>
          <w:tcPr>
            <w:tcW w:type="dxa" w:w="5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Executer pip install -r requirements.txt depuis le bon dossier.</w:t>
            </w:r>
          </w:p>
        </w:tc>
      </w:tr>
      <w:tr>
        <w:tc>
          <w:tcPr>
            <w:tcW w:type="dxa" w:w="38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"Fichiers .pkl introuvables"</w:t>
            </w:r>
          </w:p>
        </w:tc>
        <w:tc>
          <w:tcPr>
            <w:tcW w:type="dxa" w:w="5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Verifier que model_only.pkl, best_threshold.pkl et scaler.pkl sont dans le meme dossier que app.py.</w:t>
            </w:r>
          </w:p>
        </w:tc>
      </w:tr>
      <w:tr>
        <w:tc>
          <w:tcPr>
            <w:tcW w:type="dxa" w:w="38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"data_preprocessing.csv introuvable"</w:t>
            </w:r>
          </w:p>
        </w:tc>
        <w:tc>
          <w:tcPr>
            <w:tcW w:type="dxa" w:w="5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Placer le fichier CSV dans le dossier courant ou definir le bon chemin dans la variable csv_candidates.</w:t>
            </w:r>
          </w:p>
        </w:tc>
      </w:tr>
      <w:tr>
        <w:tc>
          <w:tcPr>
            <w:tcW w:type="dxa" w:w="38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Resultats incoherents (probabilites trop hautes/basses)</w:t>
            </w:r>
          </w:p>
        </w:tc>
        <w:tc>
          <w:tcPr>
            <w:tcW w:type="dxa" w:w="5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Verifier que le scaler.pkl correspond au modele utilise. Si les .pkl proviennent de runs differents, regenerer les trois fichiers ensemble depuis le notebook.</w:t>
            </w:r>
          </w:p>
        </w:tc>
      </w:tr>
      <w:tr>
        <w:tc>
          <w:tcPr>
            <w:tcW w:type="dxa" w:w="38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Le navigateur ne s'ouvre pas automatiquement</w:t>
            </w:r>
          </w:p>
        </w:tc>
        <w:tc>
          <w:tcPr>
            <w:tcW w:type="dxa" w:w="5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Ouvrir manuellement http://localhost:8501 dans le navigateur.</w:t>
            </w:r>
          </w:p>
        </w:tc>
      </w:tr>
      <w:tr>
        <w:tc>
          <w:tcPr>
            <w:tcW w:type="dxa" w:w="380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Lenteur au premier demarrage</w:t>
            </w:r>
          </w:p>
        </w:tc>
        <w:tc>
          <w:tcPr>
            <w:tcW w:type="dxa" w:w="5560"/>
            <w:tcBorders>
              <w:top w:val="single" w:color="D8D4CC" w:sz="1"/>
              <w:left w:val="single" w:color="D8D4CC" w:sz="1"/>
              <w:bottom w:val="single" w:color="D8D4CC" w:sz="1"/>
              <w:right w:val="single" w:color="D8D4CC" w:sz="1"/>
            </w:tcBorders>
            <w:shd w:fill="FFFFFF"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Normal : Streamlit compile l'application. Les demarrages suivants sont plus rapides grace au cache.</w:t>
            </w:r>
          </w:p>
        </w:tc>
      </w:tr>
      <w:tr>
        <w:tc>
          <w:tcPr>
            <w:tcW w:type="dxa" w:w="380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Courier New" w:cs="Courier New" w:eastAsia="Courier New" w:hAnsi="Courier New"/>
                <w:b/>
                <w:bCs/>
                <w:i w:val="false"/>
                <w:iCs w:val="false"/>
                <w:color w:val="B02A1F"/>
                <w:sz w:val="19"/>
                <w:szCs w:val="19"/>
              </w:rPr>
              <w:t xml:space="preserve">Erreur apres mise a jour des .pkl</w:t>
            </w:r>
          </w:p>
        </w:tc>
        <w:tc>
          <w:tcPr>
            <w:tcW w:type="dxa" w:w="5560"/>
            <w:tcBorders>
              <w:top w:val="single" w:color="D8D4CC" w:sz="1"/>
              <w:left w:val="single" w:color="D8D4CC" w:sz="1"/>
              <w:bottom w:val="single" w:color="D8D4CC" w:sz="1"/>
              <w:right w:val="single" w:color="D8D4CC" w:sz="1"/>
            </w:tcBorders>
            <w:shd w:fill="F7F6F2" w:val="clear"/>
            <w:tcMar>
              <w:top w:type="dxa" w:w="100"/>
              <w:left w:type="dxa" w:w="140"/>
              <w:bottom w:type="dxa" w:w="100"/>
              <w:right w:type="dxa" w:w="140"/>
            </w:tcMar>
            <w:vAlign w:val="top"/>
          </w:tcPr>
          <w:p>
            <w:pPr>
              <w:spacing w:before="0" w:after="80"/>
              <w:jc w:val="left"/>
            </w:pPr>
            <w:r>
              <w:rPr>
                <w:rFonts w:ascii="Arial" w:cs="Arial" w:eastAsia="Arial" w:hAnsi="Arial"/>
                <w:b w:val="false"/>
                <w:bCs w:val="false"/>
                <w:i w:val="false"/>
                <w:iCs w:val="false"/>
                <w:color w:val="3D3D3D"/>
                <w:sz w:val="19"/>
                <w:szCs w:val="19"/>
              </w:rPr>
              <w:t xml:space="preserve">Cliquer sur le menu hamburger en haut a droite &gt; 'Clear cache', puis relancer.</w:t>
            </w:r>
          </w:p>
        </w:tc>
      </w:tr>
    </w:tbl>
    <w:p>
      <w:pPr>
        <w:spacing w:before="0" w:after="200"/>
      </w:pPr>
    </w:p>
    <w:p>
      <w:pPr>
        <w:pStyle w:val="Heading1"/>
        <w:spacing w:before="360" w:after="160"/>
      </w:pPr>
      <w:r>
        <w:rPr>
          <w:rFonts w:ascii="Arial" w:cs="Arial" w:eastAsia="Arial" w:hAnsi="Arial"/>
          <w:b/>
          <w:bCs/>
          <w:color w:val="162032"/>
          <w:sz w:val="32"/>
          <w:szCs w:val="32"/>
        </w:rPr>
        <w:t xml:space="preserve">8.  Avertissement et Limites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02A1F" w:val="clear"/>
          </w:tcPr>
          <w:p>
            <w:pPr>
              <w:spacing w:before="0" w:after="0"/>
              <w:jc w:val="left"/>
            </w:pPr>
            <w:r>
              <w:rPr>
                <w:rFonts w:ascii="Arial" w:cs="Arial" w:eastAsia="Arial" w:hAnsi="Arial"/>
                <w:b w:val="false"/>
                <w:bCs w:val="false"/>
                <w:i w:val="false"/>
                <w:iCs w:val="false"/>
                <w:color w:val="1C1C1C"/>
                <w:sz w:val="22"/>
                <w:szCs w:val="22"/>
              </w:rPr>
              <w:t xml:space="preserve"/>
            </w:r>
          </w:p>
        </w:tc>
        <w:tc>
          <w:tcPr>
            <w:tcW w:type="dxa" w:w="9240"/>
            <w:tcBorders>
              <w:top w:val="none" w:color="FFFFFF" w:sz="0"/>
              <w:left w:val="none" w:color="FFFFFF" w:sz="0"/>
              <w:bottom w:val="none" w:color="FFFFFF" w:sz="0"/>
              <w:right w:val="none" w:color="FFFFFF" w:sz="0"/>
            </w:tcBorders>
            <w:shd w:fill="FDF1F0" w:val="clear"/>
            <w:tcMar>
              <w:top w:type="dxa" w:w="120"/>
              <w:left w:type="dxa" w:w="200"/>
              <w:bottom w:type="dxa" w:w="120"/>
              <w:right w:type="dxa" w:w="200"/>
            </w:tcMar>
          </w:tcPr>
          <w:p>
            <w:pPr>
              <w:spacing w:before="0" w:after="80"/>
            </w:pPr>
            <w:r>
              <w:rPr>
                <w:rFonts w:ascii="Courier New" w:cs="Courier New" w:eastAsia="Courier New" w:hAnsi="Courier New"/>
                <w:color w:val="B02A1F"/>
                <w:spacing w:val="40"/>
                <w:sz w:val="16"/>
                <w:szCs w:val="16"/>
              </w:rPr>
              <w:t xml:space="preserve">USAGE NON CLINIQUE</w:t>
            </w:r>
          </w:p>
          <w:p>
            <w:pPr>
              <w:spacing w:before="0" w:after="80"/>
              <w:jc w:val="left"/>
            </w:pPr>
            <w:r>
              <w:rPr>
                <w:rFonts w:ascii="Arial" w:cs="Arial" w:eastAsia="Arial" w:hAnsi="Arial"/>
                <w:b w:val="false"/>
                <w:bCs w:val="false"/>
                <w:i w:val="false"/>
                <w:iCs w:val="false"/>
                <w:color w:val="3D3D3D"/>
                <w:sz w:val="20"/>
                <w:szCs w:val="20"/>
              </w:rPr>
              <w:t xml:space="preserve">Cet outil est developpe exclusivement a des fins pedagogiques et de recherche. Il ne constitue en aucun cas un diagnostic medical ni un avis clinique. Toute decision relative a la sante d'un patient doit etre prise par un professionnel de sante qualifie sur la base d'un examen clinique complet.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7A4B00" w:val="clear"/>
          </w:tcPr>
          <w:p>
            <w:pPr>
              <w:spacing w:before="0" w:after="0"/>
              <w:jc w:val="left"/>
            </w:pPr>
            <w:r>
              <w:rPr>
                <w:rFonts w:ascii="Arial" w:cs="Arial" w:eastAsia="Arial" w:hAnsi="Arial"/>
                <w:b w:val="false"/>
                <w:bCs w:val="false"/>
                <w:i w:val="false"/>
                <w:iCs w:val="false"/>
                <w:color w:val="1C1C1C"/>
                <w:sz w:val="22"/>
                <w:szCs w:val="22"/>
              </w:rPr>
              <w:t xml:space="preserve"/>
            </w:r>
          </w:p>
        </w:tc>
        <w:tc>
          <w:tcPr>
            <w:tcW w:type="dxa" w:w="924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pPr>
              <w:spacing w:before="0" w:after="80"/>
            </w:pPr>
            <w:r>
              <w:rPr>
                <w:rFonts w:ascii="Courier New" w:cs="Courier New" w:eastAsia="Courier New" w:hAnsi="Courier New"/>
                <w:color w:val="7A4B00"/>
                <w:spacing w:val="40"/>
                <w:sz w:val="16"/>
                <w:szCs w:val="16"/>
              </w:rPr>
              <w:t xml:space="preserve">LIMITES A CONNAITRE AVANT D'INTERPRETER LES RESULTATS</w:t>
            </w:r>
          </w:p>
          <w:p>
            <w:pPr>
              <w:spacing w:before="0" w:after="80"/>
              <w:jc w:val="left"/>
            </w:pPr>
            <w:r>
              <w:rPr>
                <w:rFonts w:ascii="Arial" w:cs="Arial" w:eastAsia="Arial" w:hAnsi="Arial"/>
                <w:b w:val="false"/>
                <w:bCs w:val="false"/>
                <w:i w:val="false"/>
                <w:iCs w:val="false"/>
                <w:color w:val="3D3D3D"/>
                <w:sz w:val="20"/>
                <w:szCs w:val="20"/>
              </w:rPr>
              <w:t xml:space="preserve">Le modele a ete entraine sur la cohorte Framingham (population americaine homogene, annees 1950-1960). Ses performances peuvent se degrader sur des populations differentes. La regularisation L2 biaise les Odds Ratios vers la neutralite. Le desequilibre de classes persiste malgre le SMOTE, ce qui peut affecter le recall sur certains profils. Consulter l'onglet 'A propos' de l'application pour le detail complet des limites.</w:t>
            </w:r>
          </w:p>
        </w:tc>
      </w:tr>
    </w:tbl>
    <w:p>
      <w:pPr>
        <w:spacing w:before="0" w:after="280"/>
      </w:pPr>
    </w:p>
    <w:p>
      <w:pPr>
        <w:pBdr>
          <w:top w:val="single" w:color="D8D4CC" w:sz="4" w:space="1"/>
        </w:pBdr>
        <w:spacing w:before="0" w:after="0"/>
        <w:jc w:val="center"/>
      </w:pPr>
      <w:r>
        <w:rPr>
          <w:rFonts w:ascii="Courier New" w:cs="Courier New" w:eastAsia="Courier New" w:hAnsi="Courier New"/>
          <w:color w:val="7A7470"/>
          <w:sz w:val="16"/>
          <w:szCs w:val="16"/>
        </w:rPr>
        <w:t xml:space="preserve">Framingham Heart Study  |  Outil d'aide a la decision  |  Version 1.0  |  Usage pedagogique uniquement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4" w:space="1"/>
      </w:pBdr>
      <w:tabs>
        <w:tab w:val="right" w:pos="9360"/>
      </w:tabs>
      <w:spacing w:before="120" w:after="0"/>
    </w:pPr>
    <w:r>
      <w:rPr>
        <w:rFonts w:ascii="Arial" w:cs="Arial" w:eastAsia="Arial" w:hAnsi="Arial"/>
        <w:color w:val="7A7470"/>
        <w:sz w:val="16"/>
        <w:szCs w:val="16"/>
      </w:rPr>
      <w:t xml:space="preserve">Outil pedagogique — Usage non clinique</w:t>
    </w:r>
    <w:r>
      <w:rPr>
        <w:rFonts w:ascii="Arial" w:cs="Arial" w:eastAsia="Arial" w:hAnsi="Arial"/>
        <w:color w:val="7A7470"/>
        <w:sz w:val="16"/>
        <w:szCs w:val="16"/>
      </w:rPr>
      <w:t xml:space="preserve">	Page </w:t>
    </w:r>
    <w:r>
      <w:rPr>
        <w:rFonts w:ascii="Arial" w:cs="Arial" w:eastAsia="Arial" w:hAnsi="Arial"/>
        <w:color w:val="7A7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2032" w:sz="4" w:space="1"/>
      </w:pBdr>
      <w:spacing w:before="0" w:after="120"/>
    </w:pPr>
    <w:r>
      <w:rPr>
        <w:rFonts w:ascii="Courier New" w:cs="Courier New" w:eastAsia="Courier New" w:hAnsi="Courier New"/>
        <w:color w:val="7A7470"/>
        <w:spacing w:val="20"/>
        <w:sz w:val="14"/>
        <w:szCs w:val="14"/>
      </w:rPr>
      <w:t xml:space="preserve">GUIDE D'UTILISATION  /  OUTIL D'AIDE A LA DECISION  /  FRAMINGHAM HEART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Arial" w:cs="Arial" w:eastAsia="Arial" w:hAnsi="Arial"/>
      <w:b/>
      <w:bCs/>
      <w:color w:val="162032"/>
      <w:sz w:val="32"/>
      <w:szCs w:val="32"/>
    </w:rPr>
  </w:style>
  <w:style w:type="paragraph" w:styleId="Heading2">
    <w:name w:val="Heading 2"/>
    <w:basedOn w:val="Normal"/>
    <w:next w:val="Normal"/>
    <w:pPr>
      <w:spacing w:before="280" w:after="120"/>
      <w:outlineLvl w:val="1"/>
    </w:pPr>
    <w:rPr>
      <w:rFonts w:ascii="Arial" w:cs="Arial" w:eastAsia="Arial" w:hAnsi="Arial"/>
      <w:b/>
      <w:bCs/>
      <w:color w:val="2C3E55"/>
      <w:sz w:val="26"/>
      <w:szCs w:val="26"/>
    </w:rPr>
  </w:style>
  <w:style w:type="paragraph" w:styleId="Heading3">
    <w:name w:val="Heading 3"/>
    <w:basedOn w:val="Normal"/>
    <w:next w:val="Normal"/>
    <w:pPr>
      <w:spacing w:before="200" w:after="80"/>
      <w:outlineLvl w:val="2"/>
    </w:pPr>
    <w:rPr>
      <w:rFonts w:ascii="Arial" w:cs="Arial" w:eastAsia="Arial" w:hAnsi="Arial"/>
      <w:b/>
      <w:bCs/>
      <w:color w:val="1620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2026-03-13T17:17:47.998Z</dcterms:created>
  <dcterms:modified xsi:type="dcterms:W3CDTF">2026-03-13T17:17:47.999Z</dcterms:modified>
</cp:coreProperties>
</file>

<file path=docProps/custom.xml><?xml version="1.0" encoding="utf-8"?>
<Properties xmlns="http://schemas.openxmlformats.org/officeDocument/2006/custom-properties" xmlns:vt="http://schemas.openxmlformats.org/officeDocument/2006/docPropsVTypes"/>
</file>