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24" w:lineRule="auto"/>
        <w:jc w:val="center"/>
      </w:pPr>
      <w:r>
        <w:rPr>
          <w:rFonts w:ascii="黑体" w:hAnsi="黑体" w:eastAsia="黑体"/>
          <w:b/>
          <w:sz w:val="28"/>
        </w:rPr>
        <w:t>河南实荣筒仓工程有限公司</w:t>
      </w:r>
    </w:p>
    <w:p>
      <w:pPr>
        <w:spacing w:before="80" w:after="160" w:line="324" w:lineRule="auto"/>
        <w:jc w:val="center"/>
      </w:pPr>
      <w:r>
        <w:rPr>
          <w:rFonts w:ascii="黑体" w:hAnsi="黑体" w:eastAsia="黑体"/>
          <w:b/>
          <w:color w:val="1F4E79"/>
          <w:sz w:val="36"/>
        </w:rPr>
        <w:t>加工制造工厂建设逻辑与目的意义梳理</w:t>
      </w:r>
    </w:p>
    <w:p>
      <w:pPr>
        <w:spacing w:before="0" w:after="40" w:line="324" w:lineRule="auto"/>
        <w:jc w:val="center"/>
      </w:pPr>
      <w:r>
        <w:rPr>
          <w:rFonts w:ascii="楷体" w:hAnsi="楷体" w:eastAsia="楷体"/>
          <w:b w:val="0"/>
          <w:color w:val="595959"/>
          <w:sz w:val="21"/>
        </w:rPr>
        <w:t>基于《工厂.docx》《实荣工厂建设路径策划》《实荣工厂落地策划》整理</w:t>
      </w:r>
    </w:p>
    <w:p>
      <w:pPr>
        <w:spacing w:before="0" w:after="280" w:line="324" w:lineRule="auto"/>
        <w:jc w:val="center"/>
      </w:pPr>
      <w:r>
        <w:rPr>
          <w:rFonts w:ascii="楷体" w:hAnsi="楷体" w:eastAsia="楷体"/>
          <w:b w:val="0"/>
          <w:color w:val="595959"/>
          <w:sz w:val="21"/>
        </w:rPr>
        <w:t>董事长决策参考｜2026年8月</w:t>
      </w:r>
    </w:p>
    <w:p>
      <w:pPr>
        <w:spacing w:before="120" w:after="120" w:line="324" w:lineRule="auto"/>
      </w:pPr>
      <w:r>
        <w:rPr>
          <w:rFonts w:ascii="黑体" w:hAnsi="黑体" w:eastAsia="黑体"/>
          <w:b/>
          <w:color w:val="1F4E79"/>
          <w:sz w:val="28"/>
        </w:rPr>
        <w:t>一句话结论</w:t>
      </w:r>
    </w:p>
    <w:p>
      <w:pPr>
        <w:spacing w:before="0" w:after="240" w:line="324" w:lineRule="auto"/>
        <w:ind w:firstLine="420"/>
      </w:pPr>
      <w:r>
        <w:rPr>
          <w:rFonts w:ascii="楷体" w:hAnsi="楷体" w:eastAsia="楷体"/>
          <w:b w:val="0"/>
          <w:sz w:val="22"/>
        </w:rPr>
        <w:t>实荣建厂的逻辑是“用轻资产换速度、用强控制保壁垒、用运营验证换重资产”；目的是把工厂做成品牌信任、核心产品、成本交期与研发物流的一体化平台，而不是再开一家传统钢结构加工厂。</w:t>
      </w:r>
    </w:p>
    <w:p>
      <w:pPr>
        <w:spacing w:before="200" w:after="160" w:line="324" w:lineRule="auto"/>
      </w:pPr>
      <w:r>
        <w:rPr>
          <w:rFonts w:ascii="黑体" w:hAnsi="黑体" w:eastAsia="黑体"/>
          <w:b/>
          <w:color w:val="1F4E79"/>
          <w:sz w:val="28"/>
        </w:rPr>
        <w:t>一、建厂目的与意义</w:t>
      </w:r>
    </w:p>
    <w:p>
      <w:pPr>
        <w:spacing w:before="0" w:after="160" w:line="324" w:lineRule="auto"/>
        <w:ind w:firstLine="420"/>
      </w:pPr>
      <w:r>
        <w:rPr>
          <w:rFonts w:ascii="宋体" w:hAnsi="宋体" w:eastAsia="宋体"/>
          <w:b w:val="0"/>
          <w:sz w:val="22"/>
        </w:rPr>
        <w:t>工厂要扮演五个中枢，不是单纯的“加工车间”。它既是订单转化工具，也是核心产品平台，更是未来海外本地制造复制的样板。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51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6520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作用说明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客户信任中心</w:t>
            </w:r>
          </w:p>
        </w:tc>
        <w:tc>
          <w:tcPr>
            <w:tcW w:type="dxa" w:w="6520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满足客户考察需求，用现场证明交付与质量控制能力，促进拿单与商机转化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核心装备制造中心</w:t>
            </w:r>
          </w:p>
        </w:tc>
        <w:tc>
          <w:tcPr>
            <w:tcW w:type="dxa" w:w="6520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自制专利/关键产品，形成可保护的竞争壁垒与差异化优势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成本与交期优势源</w:t>
            </w:r>
          </w:p>
        </w:tc>
        <w:tc>
          <w:tcPr>
            <w:tcW w:type="dxa" w:w="6520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降低外协依赖，提升议价能力、交期确定性与项目交付保障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研发试制中心</w:t>
            </w:r>
          </w:p>
        </w:tc>
        <w:tc>
          <w:tcPr>
            <w:tcW w:type="dxa" w:w="6520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承载样机、中试、工装验证与新产品试制，支撑持续创新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物流中转中心</w:t>
            </w:r>
          </w:p>
        </w:tc>
        <w:tc>
          <w:tcPr>
            <w:tcW w:type="dxa" w:w="6520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模块集配、出口包装、备件管理，缩短海外项目响应时间</w:t>
            </w:r>
          </w:p>
        </w:tc>
      </w:tr>
    </w:tbl>
    <w:p>
      <w:pPr>
        <w:spacing w:before="200" w:after="200" w:line="324" w:lineRule="auto"/>
        <w:ind w:firstLine="420"/>
      </w:pPr>
      <w:r>
        <w:rPr>
          <w:rFonts w:ascii="宋体" w:hAnsi="宋体" w:eastAsia="宋体"/>
          <w:b w:val="0"/>
          <w:sz w:val="22"/>
        </w:rPr>
        <w:t>更深一层意义：推动实荣从“工程解决方案提供者”升级为“工程 + 产品 + 制造一体化平台”，服务公司从约3亿元级向10亿元级跃迁及未来资本化布局。</w:t>
      </w:r>
    </w:p>
    <w:p>
      <w:pPr>
        <w:spacing w:before="200" w:after="160" w:line="324" w:lineRule="auto"/>
      </w:pPr>
      <w:r>
        <w:rPr>
          <w:rFonts w:ascii="黑体" w:hAnsi="黑体" w:eastAsia="黑体"/>
          <w:b/>
          <w:color w:val="1F4E79"/>
          <w:sz w:val="28"/>
        </w:rPr>
        <w:t>二、建厂总逻辑</w:t>
      </w:r>
    </w:p>
    <w:p>
      <w:pPr>
        <w:spacing w:before="0" w:after="120" w:line="324" w:lineRule="auto"/>
      </w:pPr>
      <w:r>
        <w:rPr>
          <w:rFonts w:ascii="黑体" w:hAnsi="黑体" w:eastAsia="黑体"/>
          <w:b/>
          <w:sz w:val="24"/>
        </w:rPr>
        <w:t>总原则：先轻后重、先控后买、先验证产品链后固化资产。</w:t>
      </w:r>
    </w:p>
    <w:p>
      <w:pPr>
        <w:spacing w:before="0" w:after="160" w:line="324" w:lineRule="auto"/>
        <w:ind w:firstLine="420"/>
      </w:pPr>
      <w:r>
        <w:rPr>
          <w:rFonts w:ascii="宋体" w:hAnsi="宋体" w:eastAsia="宋体"/>
          <w:b w:val="0"/>
          <w:sz w:val="22"/>
        </w:rPr>
        <w:t>即：先快速形成“客户能看见、实荣能控制”的制造能力，再用运营数据决定是否购买厂房、并购合作厂或进入政府定制基地——而不是先背上重资产，再倒推产品与工艺。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2"/>
        </w:rPr>
        <w:t>核心路径示意：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2"/>
        </w:rPr>
        <w:t>1. 锁定核心产品与工艺包（四张制造底图）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2"/>
        </w:rPr>
        <w:t>2. 一期：租厂 / 托管合作厂 + 实荣自建核心产线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2"/>
        </w:rPr>
        <w:t>3. 实荣掌握质量、交期、成本、客户与知识产权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2"/>
        </w:rPr>
        <w:t>4. 达到扩产门槛 → 二期：政府定制厂房长租/购买权 或 资产收购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2"/>
        </w:rPr>
        <w:t>5. 未达门槛 → 优化产品组合与产线，再复制一期模式</w:t>
      </w:r>
    </w:p>
    <w:p>
      <w:pPr>
        <w:spacing w:before="280" w:after="160" w:line="324" w:lineRule="auto"/>
      </w:pPr>
      <w:r>
        <w:rPr>
          <w:rFonts w:ascii="黑体" w:hAnsi="黑体" w:eastAsia="黑体"/>
          <w:b/>
          <w:color w:val="1F4E79"/>
          <w:sz w:val="28"/>
        </w:rPr>
        <w:t>三、落地逻辑拆解</w:t>
      </w:r>
    </w:p>
    <w:p>
      <w:pPr>
        <w:spacing w:before="120" w:after="120" w:line="324" w:lineRule="auto"/>
      </w:pPr>
      <w:r>
        <w:rPr>
          <w:rFonts w:ascii="黑体" w:hAnsi="黑体" w:eastAsia="黑体"/>
          <w:b/>
          <w:sz w:val="24"/>
        </w:rPr>
        <w:t>（一）先定产品边界，再谈厂房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2"/>
        </w:rPr>
        <w:t>工厂能否成功，第一步不是选厂房，而是确定“自制产品清单与工艺边界”。应避免把一期做成低毛利、重资产、人员密集的通用钢结构厂。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4252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  <w:tc>
          <w:tcPr>
            <w:tcW w:type="dxa" w:w="2835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处理方式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必须自制（A类）</w:t>
            </w:r>
          </w:p>
        </w:tc>
        <w:tc>
          <w:tcPr>
            <w:tcW w:type="dxa" w:w="425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涉及专利/关键技术；对质量与交付影响大；可标准化复制；客户高度关注</w:t>
            </w:r>
          </w:p>
        </w:tc>
        <w:tc>
          <w:tcPr>
            <w:tcW w:type="dxa" w:w="2835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放入实荣核心工厂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协同制造（B类）</w:t>
            </w:r>
          </w:p>
        </w:tc>
        <w:tc>
          <w:tcPr>
            <w:tcW w:type="dxa" w:w="4252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通用切割焊接、大型钢结构、峰值产能、劳动密集型工序</w:t>
            </w:r>
          </w:p>
        </w:tc>
        <w:tc>
          <w:tcPr>
            <w:tcW w:type="dxa" w:w="2835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交给认证协同工厂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成熟外购（C类）</w:t>
            </w:r>
          </w:p>
        </w:tc>
        <w:tc>
          <w:tcPr>
            <w:tcW w:type="dxa" w:w="425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电机、减速机、轴承、标准电气件等通用配套</w:t>
            </w:r>
          </w:p>
        </w:tc>
        <w:tc>
          <w:tcPr>
            <w:tcW w:type="dxa" w:w="2835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全球采购、品牌管理</w:t>
            </w:r>
          </w:p>
        </w:tc>
      </w:tr>
    </w:tbl>
    <w:p>
      <w:pPr>
        <w:spacing w:before="160" w:after="160" w:line="324" w:lineRule="auto"/>
        <w:ind w:firstLine="420"/>
      </w:pPr>
      <w:r>
        <w:rPr>
          <w:rFonts w:ascii="宋体" w:hAnsi="宋体" w:eastAsia="宋体"/>
          <w:b w:val="0"/>
          <w:sz w:val="22"/>
        </w:rPr>
        <w:t>进入一期自建产线须同时满足：订单可预测、技术可标准化、单位经济为正、关键质量必须自控。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2"/>
        </w:rPr>
        <w:t>四张“制造底图”（签约重资产前必须完成）：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底图</w:t>
            </w:r>
          </w:p>
        </w:tc>
        <w:tc>
          <w:tcPr>
            <w:tcW w:type="dxa" w:w="4252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核心内容</w:t>
            </w:r>
          </w:p>
        </w:tc>
        <w:tc>
          <w:tcPr>
            <w:tcW w:type="dxa" w:w="2835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产品地图</w:t>
            </w:r>
          </w:p>
        </w:tc>
        <w:tc>
          <w:tcPr>
            <w:tcW w:type="dxa" w:w="425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核心自制 / 协同制造 / 外协采购分级及订单预测</w:t>
            </w:r>
          </w:p>
        </w:tc>
        <w:tc>
          <w:tcPr>
            <w:tcW w:type="dxa" w:w="2835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决定产线与厂房规模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工艺路线图</w:t>
            </w:r>
          </w:p>
        </w:tc>
        <w:tc>
          <w:tcPr>
            <w:tcW w:type="dxa" w:w="4252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材料、工序、设备、工装、检测、工时与质量控制点</w:t>
            </w:r>
          </w:p>
        </w:tc>
        <w:tc>
          <w:tcPr>
            <w:tcW w:type="dxa" w:w="2835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决定设备、人员与布局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产能与负荷图</w:t>
            </w:r>
          </w:p>
        </w:tc>
        <w:tc>
          <w:tcPr>
            <w:tcW w:type="dxa" w:w="425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关键工序产能、瓶颈、峰值负荷与外协比例</w:t>
            </w:r>
          </w:p>
        </w:tc>
        <w:tc>
          <w:tcPr>
            <w:tcW w:type="dxa" w:w="2835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决定扩线、并购或保留弹性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单位经济模型</w:t>
            </w:r>
          </w:p>
        </w:tc>
        <w:tc>
          <w:tcPr>
            <w:tcW w:type="dxa" w:w="4252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自制与外协全成本、现金占用、质量成本与交期收益</w:t>
            </w:r>
          </w:p>
        </w:tc>
        <w:tc>
          <w:tcPr>
            <w:tcW w:type="dxa" w:w="2835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决定自制是否真正创造价值</w:t>
            </w:r>
          </w:p>
        </w:tc>
      </w:tr>
    </w:tbl>
    <w:p>
      <w:pPr>
        <w:spacing w:before="240" w:after="120" w:line="324" w:lineRule="auto"/>
      </w:pPr>
      <w:r>
        <w:rPr>
          <w:rFonts w:ascii="黑体" w:hAnsi="黑体" w:eastAsia="黑体"/>
          <w:b/>
          <w:sz w:val="24"/>
        </w:rPr>
        <w:t>（二）资产与控制权分离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2"/>
        </w:rPr>
        <w:t>厂房可租（轻资产）；核心产线、工艺、质量、客户、订单、知识产权必须自有/自控。</w:t>
      </w:r>
    </w:p>
    <w:p>
      <w:pPr>
        <w:spacing w:before="0" w:after="160" w:line="324" w:lineRule="auto"/>
        <w:ind w:firstLine="420"/>
      </w:pPr>
      <w:r>
        <w:rPr>
          <w:rFonts w:ascii="宋体" w:hAnsi="宋体" w:eastAsia="宋体"/>
          <w:b w:val="0"/>
          <w:sz w:val="22"/>
        </w:rPr>
        <w:t>建议设立全资制造子公司（如“实荣智能储运装备制造有限公司”）独立运营；专利与核心技术资料留在母公司或专门知识产权主体，通过独占许可授权制造公司使用，避免合作或融资导致权属复杂化。</w:t>
      </w:r>
    </w:p>
    <w:p>
      <w:pPr>
        <w:spacing w:before="120" w:after="120" w:line="324" w:lineRule="auto"/>
      </w:pPr>
      <w:r>
        <w:rPr>
          <w:rFonts w:ascii="黑体" w:hAnsi="黑体" w:eastAsia="黑体"/>
          <w:b/>
          <w:sz w:val="24"/>
        </w:rPr>
        <w:t>（三）“1+1+N”制造体系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685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定义</w:t>
            </w:r>
          </w:p>
        </w:tc>
        <w:tc>
          <w:tcPr>
            <w:tcW w:type="dxa" w:w="3402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实荣必须掌握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1个制造主体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实荣全资制造运营公司，独立核算、独立质量体系</w:t>
            </w:r>
          </w:p>
        </w:tc>
        <w:tc>
          <w:tcPr>
            <w:tcW w:type="dxa" w:w="340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工艺、专利、设备、质量、供应链、人员与成本数据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1个核心制造基地</w:t>
            </w:r>
          </w:p>
        </w:tc>
        <w:tc>
          <w:tcPr>
            <w:tcW w:type="dxa" w:w="3685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一期示范工厂：生产 + 研发试制 + 客户展示 + 物流中转</w:t>
            </w:r>
          </w:p>
        </w:tc>
        <w:tc>
          <w:tcPr>
            <w:tcW w:type="dxa" w:w="3402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核心工序、样机、客户参观、交付保障、标准化样板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N个协同产能点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认证区域合作厂、专业外协或海外本地资源</w:t>
            </w:r>
          </w:p>
        </w:tc>
        <w:tc>
          <w:tcPr>
            <w:tcW w:type="dxa" w:w="340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非核心工序与弹性产能；不承接核心技术与关键质量责任</w:t>
            </w:r>
          </w:p>
        </w:tc>
      </w:tr>
    </w:tbl>
    <w:p>
      <w:pPr>
        <w:spacing w:before="240" w:after="120" w:line="324" w:lineRule="auto"/>
      </w:pPr>
      <w:r>
        <w:rPr>
          <w:rFonts w:ascii="黑体" w:hAnsi="黑体" w:eastAsia="黑体"/>
          <w:b/>
          <w:sz w:val="24"/>
        </w:rPr>
        <w:t>（四）分阶段实施节奏（0—36个月）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984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4819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目标与关键动作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阶段0：立项与定义</w:t>
            </w:r>
          </w:p>
        </w:tc>
        <w:tc>
          <w:tcPr>
            <w:tcW w:type="dxa" w:w="1984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第0—2个月</w:t>
            </w:r>
          </w:p>
        </w:tc>
        <w:tc>
          <w:tcPr>
            <w:tcW w:type="dxa" w:w="4819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先定产品与边界，再选厂房与模式；完成产品工艺包、预算上限、厂房技术标准与治理结构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阶段1：轻资产示范工厂</w:t>
            </w:r>
          </w:p>
        </w:tc>
        <w:tc>
          <w:tcPr>
            <w:tcW w:type="dxa" w:w="1984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第3—9个月</w:t>
            </w:r>
          </w:p>
        </w:tc>
        <w:tc>
          <w:tcPr>
            <w:tcW w:type="dxa" w:w="4819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租成熟厂房或托管合作厂；自建核心产线与质量体系；完成样机验证、客户参观动线与首批交付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阶段2：复制与产能固化</w:t>
            </w:r>
          </w:p>
        </w:tc>
        <w:tc>
          <w:tcPr>
            <w:tcW w:type="dxa" w:w="1984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第10—24个月</w:t>
            </w:r>
          </w:p>
        </w:tc>
        <w:tc>
          <w:tcPr>
            <w:tcW w:type="dxa" w:w="4819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验证负荷、成本与订单转化后，启动政府定制厂房长租/购买权，或收购已验证合作工厂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阶段3：平台化与海外复制</w:t>
            </w:r>
          </w:p>
        </w:tc>
        <w:tc>
          <w:tcPr>
            <w:tcW w:type="dxa" w:w="1984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第25—36个月</w:t>
            </w:r>
          </w:p>
        </w:tc>
        <w:tc>
          <w:tcPr>
            <w:tcW w:type="dxa" w:w="4819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沉淀工艺包、供应商名录、质量标准与培训体系；复制“核心国内造 + 当地组装/服务”模式</w:t>
            </w:r>
          </w:p>
        </w:tc>
      </w:tr>
    </w:tbl>
    <w:p>
      <w:pPr>
        <w:spacing w:before="240" w:after="120" w:line="324" w:lineRule="auto"/>
      </w:pPr>
      <w:r>
        <w:rPr>
          <w:rFonts w:ascii="黑体" w:hAnsi="黑体" w:eastAsia="黑体"/>
          <w:b/>
          <w:sz w:val="24"/>
        </w:rPr>
        <w:t>（五）五种落地模式优先级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3685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3685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建议定位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第一选择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租用成熟厂房 + 实荣自建核心产线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一期首选：启动快、可展示、资产负担可控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第二选择</w:t>
            </w:r>
          </w:p>
        </w:tc>
        <w:tc>
          <w:tcPr>
            <w:tcW w:type="dxa" w:w="3685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钢结构厂“先托管合作、后收购选择权”</w:t>
            </w:r>
          </w:p>
        </w:tc>
        <w:tc>
          <w:tcPr>
            <w:tcW w:type="dxa" w:w="3685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一期备选：借厂房与熟练工，实荣主导质量与计划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第三选择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政府定制厂房长租（含购买权）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二期优选：一期跑通后再谈，谈判主动权更强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验证后择机</w:t>
            </w:r>
          </w:p>
        </w:tc>
        <w:tc>
          <w:tcPr>
            <w:tcW w:type="dxa" w:w="3685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收购合作工厂资产/控股权</w:t>
            </w:r>
          </w:p>
        </w:tc>
        <w:tc>
          <w:tcPr>
            <w:tcW w:type="dxa" w:w="3685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二期动作：先运营验证与尽调，再收口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一期慎用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买地自建 / 直接并购 / 整厂融资租赁建厂房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需求未验证前不宜作为起点</w:t>
            </w:r>
          </w:p>
        </w:tc>
      </w:tr>
    </w:tbl>
    <w:p>
      <w:pPr>
        <w:spacing w:before="160" w:after="160" w:line="324" w:lineRule="auto"/>
        <w:ind w:firstLine="420"/>
      </w:pPr>
      <w:r>
        <w:rPr>
          <w:rFonts w:ascii="宋体" w:hAnsi="宋体" w:eastAsia="宋体"/>
          <w:b w:val="0"/>
          <w:sz w:val="22"/>
        </w:rPr>
        <w:t>融资租赁应优先用于核心设备与专用产线，而不是在需求尚未验证时为厂房背上长期固定租金。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F4E79"/>
          <w:sz w:val="28"/>
        </w:rPr>
        <w:t>四、一期工厂功能定位</w:t>
      </w:r>
    </w:p>
    <w:p>
      <w:pPr>
        <w:spacing w:before="0" w:after="160" w:line="324" w:lineRule="auto"/>
        <w:ind w:firstLine="420"/>
      </w:pPr>
      <w:r>
        <w:rPr>
          <w:rFonts w:ascii="宋体" w:hAnsi="宋体" w:eastAsia="宋体"/>
          <w:b w:val="0"/>
          <w:sz w:val="22"/>
        </w:rPr>
        <w:t>基地建议定位为：“实荣全球散料储运智能装备制造与研发基地”（SRON Global Bulk Material Storage &amp; Handling Equipment Manufacturing &amp; R&amp;D Base）。一期按“生产 + 研发试制 + 客户体验 + 物流中转”四位一体规划。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51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功能区</w:t>
            </w:r>
          </w:p>
        </w:tc>
        <w:tc>
          <w:tcPr>
            <w:tcW w:type="dxa" w:w="6520"/>
            <w:shd w:fill="1F4E79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主要作用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品牌门厅与访客中心</w:t>
            </w:r>
          </w:p>
        </w:tc>
        <w:tc>
          <w:tcPr>
            <w:tcW w:type="dxa" w:w="6520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LOGO、全球项目地图、核心产品模型、质量与安全看板，建立可信赖第一印象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核心制造区</w:t>
            </w:r>
          </w:p>
        </w:tc>
        <w:tc>
          <w:tcPr>
            <w:tcW w:type="dxa" w:w="6520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专利产品与关键总成的下料、成型、焊接、装配、检验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试制与研发区</w:t>
            </w:r>
          </w:p>
        </w:tc>
        <w:tc>
          <w:tcPr>
            <w:tcW w:type="dxa" w:w="6520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新产品、样机、工装、性能验证与小批试制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质量检测区</w:t>
            </w:r>
          </w:p>
        </w:tc>
        <w:tc>
          <w:tcPr>
            <w:tcW w:type="dxa" w:w="6520"/>
            <w:shd w:fill="F2F2F2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来料复验、尺寸/焊接/涂装控制、出厂验收，让质量可看见、可追溯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成品与物流中转区</w:t>
            </w:r>
          </w:p>
        </w:tc>
        <w:tc>
          <w:tcPr>
            <w:tcW w:type="dxa" w:w="6520"/>
          </w:tcPr>
          <w:p>
            <w:pPr>
              <w:spacing w:before="60" w:after="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模块化包装、项目集配、出口装箱、备件管理</w:t>
            </w:r>
          </w:p>
        </w:tc>
      </w:tr>
    </w:tbl>
    <w:p>
      <w:pPr>
        <w:spacing w:before="160" w:after="160" w:line="324" w:lineRule="auto"/>
        <w:ind w:firstLine="420"/>
      </w:pPr>
      <w:r>
        <w:rPr>
          <w:rFonts w:ascii="宋体" w:hAnsi="宋体" w:eastAsia="宋体"/>
          <w:b w:val="0"/>
          <w:sz w:val="22"/>
        </w:rPr>
        <w:t>客户参观动线建议：厂门品牌识别 → 访客中心全球项目与产品展示 → 质量与安全承诺 → 核心产线与关键工序 → 检测与样机区 → 成品发运与出口包装 → 会议室项目复盘。客户应看到的不是“机器多”，而是实荣对产品、质量、交期和项目风险的控制能力。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F4E79"/>
          <w:sz w:val="28"/>
        </w:rPr>
        <w:t>五、董事长需守住的六条红线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sz w:val="22"/>
        </w:rPr>
        <w:t>1. 不因“有厂房”而决定产品——厂房必须服务于核心产品路线。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sz w:val="22"/>
        </w:rPr>
        <w:t>2. 不把核心工艺交给合作方——图纸、BOM、工艺、软件、质量数据和客户信息必须在实荣体系内闭环。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sz w:val="22"/>
        </w:rPr>
        <w:t>3. 不在一期背上不可退出的重资产——租约、合作和设备采购都要保留扩展、迁移、收购或退出机制。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sz w:val="22"/>
        </w:rPr>
        <w:t>4. 不在尽调前收购股权——对合作厂优先做资产收购、业务托管或附条件选择权。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sz w:val="22"/>
        </w:rPr>
        <w:t>5. 不以低租金替代合规判断——产权、消防、环保、安全、承重、用电与运输任一重大缺陷都可能让低租金变成高成本。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sz w:val="22"/>
        </w:rPr>
        <w:t>6. 不允许“实荣品牌、他人管理”——厂门可挂LOGO，但质量、计划、EHS和客户体验必须真正按实荣标准运行。</w:t>
      </w:r>
    </w:p>
    <w:p>
      <w:pPr>
        <w:spacing w:before="240" w:after="160" w:line="324" w:lineRule="auto"/>
      </w:pPr>
      <w:r>
        <w:rPr>
          <w:rFonts w:ascii="黑体" w:hAnsi="黑体" w:eastAsia="黑体"/>
          <w:b/>
          <w:color w:val="1F4E79"/>
          <w:sz w:val="28"/>
        </w:rPr>
        <w:t>六、建议立即作出的三项决策</w:t>
      </w:r>
    </w:p>
    <w:p>
      <w:pPr>
        <w:spacing w:before="0" w:after="80" w:line="324" w:lineRule="auto"/>
        <w:ind w:firstLine="0"/>
      </w:pPr>
      <w:r>
        <w:rPr>
          <w:rFonts w:ascii="宋体" w:hAnsi="宋体" w:eastAsia="宋体"/>
          <w:b w:val="0"/>
          <w:sz w:val="22"/>
        </w:rPr>
        <w:t>1. 批准一期原则：以“租用成熟厂房 + 实荣自建核心生产线”为主路径，以“受控合作工厂 + 后续收购选择权”为备选；暂不以买地建厂、整体并购或融资建厂作为一期起点。</w:t>
      </w:r>
    </w:p>
    <w:p>
      <w:pPr>
        <w:spacing w:before="0" w:after="80" w:line="324" w:lineRule="auto"/>
      </w:pPr>
      <w:r>
        <w:rPr>
          <w:rFonts w:ascii="宋体" w:hAnsi="宋体" w:eastAsia="宋体"/>
          <w:b w:val="0"/>
          <w:sz w:val="22"/>
        </w:rPr>
        <w:t>2. 任命制造总负责人：从技术、工艺、生产、质量和项目管理中选一名能对交期、质量、成本和安全负责的负责人，不能只由行政或采购兼管。</w:t>
      </w:r>
    </w:p>
    <w:p>
      <w:pPr>
        <w:spacing w:before="0" w:after="200" w:line="324" w:lineRule="auto"/>
      </w:pPr>
      <w:r>
        <w:rPr>
          <w:rFonts w:ascii="宋体" w:hAnsi="宋体" w:eastAsia="宋体"/>
          <w:b w:val="0"/>
          <w:sz w:val="22"/>
        </w:rPr>
        <w:t>3. 启动60天双线尽调：一条线找厂房与政府资源，一条线找合作厂与并购标的；两条线均以同一产品工艺包、同一评分卡和同一经济模型比较，由董事会按阶段门决策。</w:t>
      </w:r>
    </w:p>
    <w:p>
      <w:pPr>
        <w:spacing w:before="160" w:after="120" w:line="324" w:lineRule="auto"/>
      </w:pPr>
      <w:r>
        <w:rPr>
          <w:rFonts w:ascii="黑体" w:hAnsi="黑体" w:eastAsia="黑体"/>
          <w:b/>
          <w:color w:val="1F4E79"/>
          <w:sz w:val="28"/>
        </w:rPr>
        <w:t>结语</w:t>
      </w:r>
    </w:p>
    <w:p>
      <w:pPr>
        <w:spacing w:before="0" w:after="280" w:line="324" w:lineRule="auto"/>
        <w:ind w:firstLine="420"/>
      </w:pPr>
      <w:r>
        <w:rPr>
          <w:rFonts w:ascii="宋体" w:hAnsi="宋体" w:eastAsia="宋体"/>
          <w:b w:val="0"/>
          <w:sz w:val="22"/>
        </w:rPr>
        <w:t>实荣的制造工厂一旦建成，应成为公司品牌最有说服力的实体表达：门口有实荣的标志，车间有实荣的标准，产品有实荣的专利，交付有实荣的信誉。正确的节奏不是“先把厂建起来，再想做什么”，而是“先把核心产品和控制体系建起来，再让厂房与资本为战略服务”。</w:t>
      </w:r>
    </w:p>
    <w:p>
      <w:pPr>
        <w:spacing w:before="160" w:after="120" w:line="324" w:lineRule="auto"/>
        <w:jc w:val="center"/>
      </w:pPr>
      <w:r>
        <w:rPr>
          <w:rFonts w:ascii="宋体" w:hAnsi="宋体" w:eastAsia="宋体"/>
          <w:b w:val="0"/>
          <w:color w:val="808080"/>
          <w:sz w:val="20"/>
        </w:rPr>
        <w:t>—— 文档结束 ——</w:t>
      </w:r>
    </w:p>
    <w:p>
      <w:pPr>
        <w:spacing w:before="0" w:after="0" w:line="324" w:lineRule="auto"/>
        <w:jc w:val="center"/>
      </w:pPr>
      <w:r>
        <w:rPr>
          <w:rFonts w:ascii="宋体" w:hAnsi="宋体" w:eastAsia="宋体"/>
          <w:b w:val="0"/>
          <w:color w:val="808080"/>
          <w:sz w:val="18"/>
        </w:rPr>
        <w:t>说明：本文档根据已上传三份策划材料提炼整理，供内部决策与沟通使用。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