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黑体" w:hAnsi="黑体" w:eastAsia="黑体"/>
          <w:b/>
          <w:sz w:val="36"/>
        </w:rPr>
        <w:t>总经理专项考核制度</w:t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一、目的</w:t>
      </w:r>
    </w:p>
    <w:p>
      <w:pPr>
        <w:spacing w:line="360" w:lineRule="auto" w:before="40" w:after="40"/>
        <w:ind w:firstLine="420"/>
      </w:pPr>
      <w:r>
        <w:rPr>
          <w:rFonts w:ascii="宋体" w:hAnsi="宋体" w:eastAsia="宋体"/>
          <w:b w:val="0"/>
          <w:sz w:val="24"/>
        </w:rPr>
        <w:t>专项考核是常规绩效考核的补充。常规绩效侧重日常工作、对工资影响比例低；专项考核针对公司经营及项目打单、执行中的重点工作，实行清单式管理，明确责任人和完成时间，按节点考核兑现。</w:t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二、适用范围</w:t>
      </w:r>
    </w:p>
    <w:p>
      <w:pPr>
        <w:spacing w:line="360" w:lineRule="auto" w:before="40" w:after="40"/>
        <w:ind w:firstLine="420"/>
      </w:pPr>
      <w:r>
        <w:rPr>
          <w:rFonts w:ascii="宋体" w:hAnsi="宋体" w:eastAsia="宋体"/>
          <w:b w:val="0"/>
          <w:sz w:val="24"/>
        </w:rPr>
        <w:t>适用于公司中层及以上管理人员，以及经总经理批准纳入清单的具体责任人。</w:t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三、考核事项</w:t>
      </w:r>
    </w:p>
    <w:p>
      <w:pPr>
        <w:spacing w:line="360" w:lineRule="auto" w:before="40" w:after="40"/>
        <w:ind w:firstLine="420"/>
      </w:pPr>
      <w:r>
        <w:rPr>
          <w:rFonts w:ascii="宋体" w:hAnsi="宋体" w:eastAsia="宋体"/>
          <w:b w:val="0"/>
          <w:sz w:val="24"/>
        </w:rPr>
        <w:t>由总经办统一归集，报总经理审批后纳入清单，主要包括：</w:t>
      </w:r>
    </w:p>
    <w:p>
      <w:pPr>
        <w:spacing w:line="360" w:lineRule="auto" w:before="40" w:after="40"/>
        <w:ind w:firstLine="420"/>
      </w:pPr>
      <w:r>
        <w:rPr>
          <w:rFonts w:ascii="宋体" w:hAnsi="宋体" w:eastAsia="宋体"/>
          <w:b w:val="0"/>
          <w:sz w:val="24"/>
        </w:rPr>
        <w:t>（一）总经理交办的重大事项；</w:t>
      </w:r>
    </w:p>
    <w:p>
      <w:pPr>
        <w:spacing w:line="360" w:lineRule="auto" w:before="40" w:after="40"/>
        <w:ind w:firstLine="420"/>
      </w:pPr>
      <w:r>
        <w:rPr>
          <w:rFonts w:ascii="宋体" w:hAnsi="宋体" w:eastAsia="宋体"/>
          <w:b w:val="0"/>
          <w:sz w:val="24"/>
        </w:rPr>
        <w:t>（二）公司经营重大事项；</w:t>
      </w:r>
    </w:p>
    <w:p>
      <w:pPr>
        <w:spacing w:line="360" w:lineRule="auto" w:before="40" w:after="40"/>
        <w:ind w:firstLine="420"/>
      </w:pPr>
      <w:r>
        <w:rPr>
          <w:rFonts w:ascii="宋体" w:hAnsi="宋体" w:eastAsia="宋体"/>
          <w:b w:val="0"/>
          <w:sz w:val="24"/>
        </w:rPr>
        <w:t>（三）管理层例会及执行例会确定的重点工作事项。</w:t>
      </w:r>
    </w:p>
    <w:p>
      <w:pPr>
        <w:spacing w:line="360" w:lineRule="auto" w:before="40" w:after="40"/>
        <w:ind w:firstLine="420"/>
      </w:pPr>
      <w:r>
        <w:rPr>
          <w:rFonts w:ascii="宋体" w:hAnsi="宋体" w:eastAsia="宋体"/>
          <w:b w:val="0"/>
          <w:sz w:val="24"/>
        </w:rPr>
        <w:t>日常岗位工作、责任或节点不清的事项，不纳入专项考核。</w:t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四、清单管理</w:t>
      </w:r>
    </w:p>
    <w:p>
      <w:pPr>
        <w:spacing w:line="360" w:lineRule="auto" w:before="40" w:after="40"/>
        <w:ind w:firstLine="420"/>
      </w:pPr>
      <w:r>
        <w:rPr>
          <w:rFonts w:ascii="宋体" w:hAnsi="宋体" w:eastAsia="宋体"/>
          <w:b w:val="0"/>
          <w:sz w:val="24"/>
        </w:rPr>
        <w:t>（一）清单实行动态管理，由总经办统一维护，事项报总经理审批后执行；</w:t>
      </w:r>
    </w:p>
    <w:p>
      <w:pPr>
        <w:spacing w:line="360" w:lineRule="auto" w:before="40" w:after="40"/>
        <w:ind w:firstLine="420"/>
      </w:pPr>
      <w:r>
        <w:rPr>
          <w:rFonts w:ascii="宋体" w:hAnsi="宋体" w:eastAsia="宋体"/>
          <w:b w:val="0"/>
          <w:sz w:val="24"/>
        </w:rPr>
        <w:t>（二）每项须明确：事项名称、责任人、完成时间、完成标准；</w:t>
      </w:r>
    </w:p>
    <w:p>
      <w:pPr>
        <w:spacing w:line="360" w:lineRule="auto" w:before="40" w:after="40"/>
        <w:ind w:firstLine="420"/>
      </w:pPr>
      <w:r>
        <w:rPr>
          <w:rFonts w:ascii="宋体" w:hAnsi="宋体" w:eastAsia="宋体"/>
          <w:b w:val="0"/>
          <w:sz w:val="24"/>
        </w:rPr>
        <w:t>（三）事项完成经确认后销项，内容、责任人或完成时间变更须经审批后更新。</w:t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五、考核与兑现</w:t>
      </w:r>
    </w:p>
    <w:p>
      <w:pPr>
        <w:spacing w:line="360" w:lineRule="auto" w:before="40" w:after="40"/>
        <w:ind w:firstLine="420"/>
      </w:pPr>
      <w:r>
        <w:rPr>
          <w:rFonts w:ascii="宋体" w:hAnsi="宋体" w:eastAsia="宋体"/>
          <w:b w:val="0"/>
          <w:sz w:val="24"/>
        </w:rPr>
        <w:t>（一）未完成：事项未按节点完成的，对责任人按300元/个考核，次月工资兑现；</w:t>
      </w:r>
    </w:p>
    <w:p>
      <w:pPr>
        <w:spacing w:line="360" w:lineRule="auto" w:before="40" w:after="40"/>
        <w:ind w:firstLine="420"/>
      </w:pPr>
      <w:r>
        <w:rPr>
          <w:rFonts w:ascii="宋体" w:hAnsi="宋体" w:eastAsia="宋体"/>
          <w:b w:val="0"/>
          <w:sz w:val="24"/>
        </w:rPr>
        <w:t>（二）辅导重配：未完成事项由总经办辅导，重新匹配完成时间；</w:t>
      </w:r>
    </w:p>
    <w:p>
      <w:pPr>
        <w:spacing w:line="360" w:lineRule="auto" w:before="40" w:after="40"/>
        <w:ind w:firstLine="420"/>
      </w:pPr>
      <w:r>
        <w:rPr>
          <w:rFonts w:ascii="宋体" w:hAnsi="宋体" w:eastAsia="宋体"/>
          <w:b w:val="0"/>
          <w:sz w:val="24"/>
        </w:rPr>
        <w:t>（三）降薪：重新匹配时间后仍未完成的，对责任人进行降薪处理，幅度由总经办提出、报总经理审批；</w:t>
      </w:r>
    </w:p>
    <w:p>
      <w:pPr>
        <w:spacing w:line="360" w:lineRule="auto" w:before="40" w:after="40"/>
        <w:ind w:firstLine="420"/>
      </w:pPr>
      <w:r>
        <w:rPr>
          <w:rFonts w:ascii="宋体" w:hAnsi="宋体" w:eastAsia="宋体"/>
          <w:b w:val="0"/>
          <w:sz w:val="24"/>
        </w:rPr>
        <w:t>（四）申诉：如遇不可抗力或非主观原因，可一事一议向总经理申诉，批准后执行。</w:t>
      </w:r>
    </w:p>
    <w:p>
      <w:pPr>
        <w:spacing w:before="200" w:after="80"/>
      </w:pPr>
      <w:r>
        <w:rPr>
          <w:rFonts w:ascii="黑体" w:hAnsi="黑体" w:eastAsia="黑体"/>
          <w:b/>
          <w:sz w:val="28"/>
        </w:rPr>
        <w:t>六、附则</w:t>
      </w:r>
    </w:p>
    <w:p>
      <w:pPr>
        <w:spacing w:line="360" w:lineRule="auto" w:before="40" w:after="40"/>
        <w:ind w:firstLine="420"/>
      </w:pPr>
      <w:r>
        <w:rPr>
          <w:rFonts w:ascii="宋体" w:hAnsi="宋体" w:eastAsia="宋体"/>
          <w:b w:val="0"/>
          <w:sz w:val="24"/>
        </w:rPr>
        <w:t>（一）本制度由总经办统一管理并负责解释；专项考核结果与常规绩效分别兑现。</w:t>
      </w:r>
    </w:p>
    <w:p>
      <w:pPr>
        <w:spacing w:line="360" w:lineRule="auto" w:before="40" w:after="40"/>
        <w:ind w:firstLine="420"/>
      </w:pPr>
      <w:r>
        <w:rPr>
          <w:rFonts w:ascii="宋体" w:hAnsi="宋体" w:eastAsia="宋体"/>
          <w:b w:val="0"/>
          <w:sz w:val="24"/>
        </w:rPr>
        <w:t>（二）本制度自发布之日起施行。</w:t>
      </w:r>
    </w:p>
    <w:p>
      <w:pPr>
        <w:spacing w:before="600"/>
        <w:jc w:val="right"/>
      </w:pPr>
      <w:r>
        <w:rPr>
          <w:rFonts w:ascii="宋体" w:hAnsi="宋体" w:eastAsia="宋体"/>
          <w:b w:val="0"/>
          <w:sz w:val="24"/>
        </w:rPr>
        <w:t>河南实荣筒仓工程有限公司</w:t>
      </w:r>
    </w:p>
    <w:p>
      <w:pPr>
        <w:jc w:val="right"/>
      </w:pPr>
      <w:r>
        <w:rPr>
          <w:rFonts w:ascii="宋体" w:hAnsi="宋体" w:eastAsia="宋体"/>
          <w:b w:val="0"/>
          <w:sz w:val="24"/>
        </w:rPr>
        <w:t>2026年07月</w:t>
      </w:r>
    </w:p>
    <w:p>
      <w:r>
        <w:br w:type="page"/>
      </w:r>
    </w:p>
    <w:p>
      <w:pPr>
        <w:spacing w:after="360"/>
        <w:jc w:val="center"/>
      </w:pPr>
      <w:r>
        <w:rPr>
          <w:rFonts w:ascii="黑体" w:hAnsi="黑体" w:eastAsia="黑体"/>
          <w:b/>
          <w:sz w:val="36"/>
        </w:rPr>
        <w:t>附件：总经理专项考核清单（模板）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91"/>
        <w:gridCol w:w="1091"/>
        <w:gridCol w:w="1091"/>
        <w:gridCol w:w="1091"/>
        <w:gridCol w:w="1091"/>
        <w:gridCol w:w="1091"/>
        <w:gridCol w:w="1091"/>
        <w:gridCol w:w="1091"/>
      </w:tblGrid>
      <w:tr>
        <w:tc>
          <w:tcPr>
            <w:tcW w:type="dxa" w:w="109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序号</w:t>
            </w:r>
          </w:p>
        </w:tc>
        <w:tc>
          <w:tcPr>
            <w:tcW w:type="dxa" w:w="109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事项名称</w:t>
            </w:r>
          </w:p>
        </w:tc>
        <w:tc>
          <w:tcPr>
            <w:tcW w:type="dxa" w:w="109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事项来源</w:t>
            </w:r>
          </w:p>
        </w:tc>
        <w:tc>
          <w:tcPr>
            <w:tcW w:type="dxa" w:w="109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责任人</w:t>
            </w:r>
          </w:p>
        </w:tc>
        <w:tc>
          <w:tcPr>
            <w:tcW w:type="dxa" w:w="109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完成时间</w:t>
            </w:r>
          </w:p>
        </w:tc>
        <w:tc>
          <w:tcPr>
            <w:tcW w:type="dxa" w:w="109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完成标准</w:t>
            </w:r>
          </w:p>
        </w:tc>
        <w:tc>
          <w:tcPr>
            <w:tcW w:type="dxa" w:w="109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当前状态</w:t>
            </w:r>
          </w:p>
        </w:tc>
        <w:tc>
          <w:tcPr>
            <w:tcW w:type="dxa" w:w="109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考核结果</w:t>
            </w:r>
          </w:p>
        </w:tc>
      </w:tr>
      <w:tr>
        <w:tc>
          <w:tcPr>
            <w:tcW w:type="dxa" w:w="1091"/>
          </w:tcPr>
          <w:p/>
        </w:tc>
        <w:tc>
          <w:tcPr>
            <w:tcW w:type="dxa" w:w="1091"/>
          </w:tcPr>
          <w:p/>
        </w:tc>
        <w:tc>
          <w:tcPr>
            <w:tcW w:type="dxa" w:w="1091"/>
          </w:tcPr>
          <w:p/>
        </w:tc>
        <w:tc>
          <w:tcPr>
            <w:tcW w:type="dxa" w:w="1091"/>
          </w:tcPr>
          <w:p/>
        </w:tc>
        <w:tc>
          <w:tcPr>
            <w:tcW w:type="dxa" w:w="1091"/>
          </w:tcPr>
          <w:p/>
        </w:tc>
        <w:tc>
          <w:tcPr>
            <w:tcW w:type="dxa" w:w="1091"/>
          </w:tcPr>
          <w:p/>
        </w:tc>
        <w:tc>
          <w:tcPr>
            <w:tcW w:type="dxa" w:w="1091"/>
          </w:tcPr>
          <w:p/>
        </w:tc>
        <w:tc>
          <w:tcPr>
            <w:tcW w:type="dxa" w:w="1091"/>
          </w:tcPr>
          <w:p/>
        </w:tc>
      </w:tr>
      <w:tr>
        <w:tc>
          <w:tcPr>
            <w:tcW w:type="dxa" w:w="1091"/>
          </w:tcPr>
          <w:p/>
        </w:tc>
        <w:tc>
          <w:tcPr>
            <w:tcW w:type="dxa" w:w="1091"/>
          </w:tcPr>
          <w:p/>
        </w:tc>
        <w:tc>
          <w:tcPr>
            <w:tcW w:type="dxa" w:w="1091"/>
          </w:tcPr>
          <w:p/>
        </w:tc>
        <w:tc>
          <w:tcPr>
            <w:tcW w:type="dxa" w:w="1091"/>
          </w:tcPr>
          <w:p/>
        </w:tc>
        <w:tc>
          <w:tcPr>
            <w:tcW w:type="dxa" w:w="1091"/>
          </w:tcPr>
          <w:p/>
        </w:tc>
        <w:tc>
          <w:tcPr>
            <w:tcW w:type="dxa" w:w="1091"/>
          </w:tcPr>
          <w:p/>
        </w:tc>
        <w:tc>
          <w:tcPr>
            <w:tcW w:type="dxa" w:w="1091"/>
          </w:tcPr>
          <w:p/>
        </w:tc>
        <w:tc>
          <w:tcPr>
            <w:tcW w:type="dxa" w:w="1091"/>
          </w:tcPr>
          <w:p/>
        </w:tc>
      </w:tr>
      <w:tr>
        <w:tc>
          <w:tcPr>
            <w:tcW w:type="dxa" w:w="1091"/>
          </w:tcPr>
          <w:p/>
        </w:tc>
        <w:tc>
          <w:tcPr>
            <w:tcW w:type="dxa" w:w="1091"/>
          </w:tcPr>
          <w:p/>
        </w:tc>
        <w:tc>
          <w:tcPr>
            <w:tcW w:type="dxa" w:w="1091"/>
          </w:tcPr>
          <w:p/>
        </w:tc>
        <w:tc>
          <w:tcPr>
            <w:tcW w:type="dxa" w:w="1091"/>
          </w:tcPr>
          <w:p/>
        </w:tc>
        <w:tc>
          <w:tcPr>
            <w:tcW w:type="dxa" w:w="1091"/>
          </w:tcPr>
          <w:p/>
        </w:tc>
        <w:tc>
          <w:tcPr>
            <w:tcW w:type="dxa" w:w="1091"/>
          </w:tcPr>
          <w:p/>
        </w:tc>
        <w:tc>
          <w:tcPr>
            <w:tcW w:type="dxa" w:w="1091"/>
          </w:tcPr>
          <w:p/>
        </w:tc>
        <w:tc>
          <w:tcPr>
            <w:tcW w:type="dxa" w:w="1091"/>
          </w:tcPr>
          <w:p/>
        </w:tc>
      </w:tr>
      <w:tr>
        <w:tc>
          <w:tcPr>
            <w:tcW w:type="dxa" w:w="1091"/>
          </w:tcPr>
          <w:p/>
        </w:tc>
        <w:tc>
          <w:tcPr>
            <w:tcW w:type="dxa" w:w="1091"/>
          </w:tcPr>
          <w:p/>
        </w:tc>
        <w:tc>
          <w:tcPr>
            <w:tcW w:type="dxa" w:w="1091"/>
          </w:tcPr>
          <w:p/>
        </w:tc>
        <w:tc>
          <w:tcPr>
            <w:tcW w:type="dxa" w:w="1091"/>
          </w:tcPr>
          <w:p/>
        </w:tc>
        <w:tc>
          <w:tcPr>
            <w:tcW w:type="dxa" w:w="1091"/>
          </w:tcPr>
          <w:p/>
        </w:tc>
        <w:tc>
          <w:tcPr>
            <w:tcW w:type="dxa" w:w="1091"/>
          </w:tcPr>
          <w:p/>
        </w:tc>
        <w:tc>
          <w:tcPr>
            <w:tcW w:type="dxa" w:w="1091"/>
          </w:tcPr>
          <w:p/>
        </w:tc>
        <w:tc>
          <w:tcPr>
            <w:tcW w:type="dxa" w:w="1091"/>
          </w:tcPr>
          <w:p/>
        </w:tc>
      </w:tr>
      <w:tr>
        <w:tc>
          <w:tcPr>
            <w:tcW w:type="dxa" w:w="1091"/>
          </w:tcPr>
          <w:p/>
        </w:tc>
        <w:tc>
          <w:tcPr>
            <w:tcW w:type="dxa" w:w="1091"/>
          </w:tcPr>
          <w:p/>
        </w:tc>
        <w:tc>
          <w:tcPr>
            <w:tcW w:type="dxa" w:w="1091"/>
          </w:tcPr>
          <w:p/>
        </w:tc>
        <w:tc>
          <w:tcPr>
            <w:tcW w:type="dxa" w:w="1091"/>
          </w:tcPr>
          <w:p/>
        </w:tc>
        <w:tc>
          <w:tcPr>
            <w:tcW w:type="dxa" w:w="1091"/>
          </w:tcPr>
          <w:p/>
        </w:tc>
        <w:tc>
          <w:tcPr>
            <w:tcW w:type="dxa" w:w="1091"/>
          </w:tcPr>
          <w:p/>
        </w:tc>
        <w:tc>
          <w:tcPr>
            <w:tcW w:type="dxa" w:w="1091"/>
          </w:tcPr>
          <w:p/>
        </w:tc>
        <w:tc>
          <w:tcPr>
            <w:tcW w:type="dxa" w:w="1091"/>
          </w:tcPr>
          <w:p/>
        </w:tc>
      </w:tr>
      <w:tr>
        <w:tc>
          <w:tcPr>
            <w:tcW w:type="dxa" w:w="1091"/>
          </w:tcPr>
          <w:p/>
        </w:tc>
        <w:tc>
          <w:tcPr>
            <w:tcW w:type="dxa" w:w="1091"/>
          </w:tcPr>
          <w:p/>
        </w:tc>
        <w:tc>
          <w:tcPr>
            <w:tcW w:type="dxa" w:w="1091"/>
          </w:tcPr>
          <w:p/>
        </w:tc>
        <w:tc>
          <w:tcPr>
            <w:tcW w:type="dxa" w:w="1091"/>
          </w:tcPr>
          <w:p/>
        </w:tc>
        <w:tc>
          <w:tcPr>
            <w:tcW w:type="dxa" w:w="1091"/>
          </w:tcPr>
          <w:p/>
        </w:tc>
        <w:tc>
          <w:tcPr>
            <w:tcW w:type="dxa" w:w="1091"/>
          </w:tcPr>
          <w:p/>
        </w:tc>
        <w:tc>
          <w:tcPr>
            <w:tcW w:type="dxa" w:w="1091"/>
          </w:tcPr>
          <w:p/>
        </w:tc>
        <w:tc>
          <w:tcPr>
            <w:tcW w:type="dxa" w:w="1091"/>
          </w:tcPr>
          <w:p/>
        </w:tc>
      </w:tr>
    </w:tbl>
    <w:p>
      <w:pPr>
        <w:spacing w:line="360" w:lineRule="auto" w:before="40" w:after="40"/>
        <w:ind w:firstLine="0"/>
      </w:pPr>
      <w:r>
        <w:rPr>
          <w:rFonts w:ascii="宋体" w:hAnsi="宋体" w:eastAsia="宋体"/>
          <w:b w:val="0"/>
          <w:sz w:val="24"/>
        </w:rPr>
        <w:t>事项来源：总经理交办 / 经营重大事项 / 管理层例会 / 执行例会。</w:t>
      </w:r>
    </w:p>
    <w:p>
      <w:pPr>
        <w:spacing w:line="360" w:lineRule="auto" w:before="40" w:after="40"/>
        <w:ind w:firstLine="0"/>
      </w:pPr>
      <w:r>
        <w:rPr>
          <w:rFonts w:ascii="宋体" w:hAnsi="宋体" w:eastAsia="宋体"/>
          <w:b w:val="0"/>
          <w:sz w:val="24"/>
        </w:rPr>
        <w:t>当前状态：推进中 / 已完成 / 逾期未完成 / 已重新匹配时间 / 已销项。</w:t>
      </w:r>
    </w:p>
    <w:p>
      <w:pPr>
        <w:spacing w:line="360" w:lineRule="auto" w:before="40" w:after="40"/>
        <w:ind w:firstLine="0"/>
      </w:pPr>
      <w:r>
        <w:rPr>
          <w:rFonts w:ascii="宋体" w:hAnsi="宋体" w:eastAsia="宋体"/>
          <w:b w:val="0"/>
          <w:sz w:val="24"/>
        </w:rPr>
        <w:t>考核结果：无 / 考核300元 / 降薪 / 申诉减免。</w:t>
      </w:r>
    </w:p>
    <w:sectPr w:rsidR="00FC693F" w:rsidRPr="0006063C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