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324" w:lineRule="auto"/>
        <w:jc w:val="center"/>
      </w:pPr>
      <w:r>
        <w:rPr>
          <w:rFonts w:ascii="Arial" w:hAnsi="Arial" w:eastAsia="黑体"/>
          <w:b/>
          <w:sz w:val="36"/>
        </w:rPr>
        <w:t>实荣2026财年内部管理调研分析报告</w:t>
      </w: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一、调研概览与核心结论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 xml:space="preserve">本次《2026财年内部管理调研》共回收 </w:t>
      </w:r>
      <w:r>
        <w:rPr>
          <w:rFonts w:ascii="Calibri" w:hAnsi="Calibri" w:eastAsia="宋体"/>
          <w:b/>
          <w:sz w:val="22"/>
        </w:rPr>
        <w:t>有效答卷 58 份</w:t>
      </w:r>
      <w:r>
        <w:rPr>
          <w:rFonts w:ascii="Calibri" w:hAnsi="Calibri" w:eastAsia="宋体"/>
          <w:b w:val="0"/>
          <w:sz w:val="22"/>
        </w:rPr>
        <w:t xml:space="preserve">，10 道开放题覆盖品牌、赛道、竞争力、打单、执行、AI、管理保障、效率状态、文化氛围及开放建议。答卷平均填写 </w:t>
      </w:r>
      <w:r>
        <w:rPr>
          <w:rFonts w:ascii="Calibri" w:hAnsi="Calibri" w:eastAsia="宋体"/>
          <w:b/>
          <w:sz w:val="22"/>
        </w:rPr>
        <w:t>6.6 题</w:t>
      </w:r>
      <w:r>
        <w:rPr>
          <w:rFonts w:ascii="Calibri" w:hAnsi="Calibri" w:eastAsia="宋体"/>
          <w:b w:val="0"/>
          <w:sz w:val="22"/>
        </w:rPr>
        <w:t xml:space="preserve">，平均有效字数约 </w:t>
      </w:r>
      <w:r>
        <w:rPr>
          <w:rFonts w:ascii="Calibri" w:hAnsi="Calibri" w:eastAsia="宋体"/>
          <w:b/>
          <w:sz w:val="22"/>
        </w:rPr>
        <w:t>926 字</w:t>
      </w:r>
      <w:r>
        <w:rPr>
          <w:rFonts w:ascii="Calibri" w:hAnsi="Calibri" w:eastAsia="宋体"/>
          <w:b w:val="0"/>
          <w:sz w:val="22"/>
        </w:rPr>
        <w:t>，其中深度建言（&gt;800 字）23 份，说明员工参与意愿总体较高，且不乏系统性、可落地的经营建议。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管理层应优先关注的五条判断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战略共识已形成，但执行抓手不足。</w:t>
      </w:r>
      <w:r>
        <w:rPr>
          <w:rFonts w:ascii="Calibri" w:hAnsi="Calibri" w:eastAsia="宋体"/>
          <w:b w:val="0"/>
          <w:sz w:val="22"/>
        </w:rPr>
        <w:t xml:space="preserve"> 多数同事认同“散料储运 EPC / 智慧储运系统解决方案”方向，也反复提出应聚焦水泥、粮食、港口、矿产等优势行业；同时普遍担心“什么都能做、什么都不精”，要求把标杆项目、拳头产品和口碑做成可复制能力。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打单与执行是最大经营痛点闭环。</w:t>
      </w:r>
      <w:r>
        <w:rPr>
          <w:rFonts w:ascii="Calibri" w:hAnsi="Calibri" w:eastAsia="宋体"/>
          <w:b w:val="0"/>
          <w:sz w:val="22"/>
        </w:rPr>
        <w:t xml:space="preserve"> 前端询盘多、成单率低、线索分级不足；后端深化设计周期被挤压、采购/质检/发货协同弱、现场质量与劳务不稳定。两端共同指向：项目分级、资源聚焦、计划总控、复盘沉淀。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组织正在从“个人英雄”走向“体系作战”，但协同文化跟不上。</w:t>
      </w:r>
      <w:r>
        <w:rPr>
          <w:rFonts w:ascii="Calibri" w:hAnsi="Calibri" w:eastAsia="宋体"/>
          <w:b w:val="0"/>
          <w:sz w:val="22"/>
        </w:rPr>
        <w:t xml:space="preserve"> 多题出现“各自为战、信息差、推诿、会议低效、权责不清”。这不是单点流程问题，而是规模化阶段的组织能力短板。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员工体验议题高度集中且情绪明确。</w:t>
      </w:r>
      <w:r>
        <w:rPr>
          <w:rFonts w:ascii="Calibri" w:hAnsi="Calibri" w:eastAsia="宋体"/>
          <w:b w:val="0"/>
          <w:sz w:val="22"/>
        </w:rPr>
        <w:t xml:space="preserve"> 双休/调休、考勤打卡（电梯拥堵）、报销与审批简化，是跨层级最高频诉求。若长期不回应，将直接影响参与调研的可信度与后续建言质量。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5. </w:t>
      </w:r>
      <w:r>
        <w:rPr>
          <w:rFonts w:ascii="Calibri" w:hAnsi="Calibri" w:eastAsia="宋体"/>
          <w:b/>
          <w:sz w:val="22"/>
        </w:rPr>
        <w:t>AI 已具备落地土壤，缺的是工具、场景与机制。</w:t>
      </w:r>
      <w:r>
        <w:rPr>
          <w:rFonts w:ascii="Calibri" w:hAnsi="Calibri" w:eastAsia="宋体"/>
          <w:b w:val="0"/>
          <w:sz w:val="22"/>
        </w:rPr>
        <w:t xml:space="preserve"> 员工不是在讨论概念，而是明确提出知识库、翻译/标书、客户调研、风险预警、办公助手、账号与培训。建议按“试点场景 + 付费工具 + 人工终审 + 数据安全”快速推进。</w:t>
      </w: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二、样本与答题质量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指标</w:t>
            </w:r>
          </w:p>
        </w:tc>
        <w:tc>
          <w:tcPr>
            <w:tcW w:type="dxa" w:w="475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有效答卷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58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实名/署名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少部分（多数匿名，利于真实表达）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平均有效答题数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6.6 / 10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平均有效字数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约 926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深度建言（&gt;800字）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23 份（40%）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中等建言（200–800字）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27 份（47%）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简短反馈（&lt;200字）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8 份（14%）</w:t>
            </w:r>
          </w:p>
        </w:tc>
      </w:tr>
    </w:tbl>
    <w:p>
      <w:pPr>
        <w:spacing w:after="80"/>
      </w:pP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各题有效作答率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题号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主题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有效作答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作答率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解读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品牌宣传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81%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参与度最高，素材与案例供给共识强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核心竞争力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79%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战略认知活跃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项目执行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44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76%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一线痛点表达充分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Q8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工作效率与状态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44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76%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员工体验议题集中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Q2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产品与赛道定位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39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67%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有共识，也有分歧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Q4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项目打单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38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业务/技术交叉意见突出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AI应用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38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场景建议具体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Q9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团队氛围与文化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64%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部门内偏正面，跨部门偏紧张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管理保障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45%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接触面较窄，意见更聚焦报销/服务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Q10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开放题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多为强化前述议题（双休、晋升、执行力）</w:t>
            </w:r>
          </w:p>
        </w:tc>
      </w:tr>
    </w:tbl>
    <w:p>
      <w:pPr>
        <w:spacing w:after="80"/>
      </w:pP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质量判断：</w:t>
      </w:r>
      <w:r>
        <w:rPr>
          <w:rFonts w:ascii="Calibri" w:hAnsi="Calibri" w:eastAsia="宋体"/>
          <w:b w:val="0"/>
          <w:sz w:val="22"/>
        </w:rPr>
        <w:t xml:space="preserve"> 问卷设计以开放题为主，适合“问题导向、畅所欲言”，不利于精确量化满意度；但对管理层诊断经营与组织问题价值很高。后续建议补充少量量表题（满意度/重要性）以便追踪改进效果。</w:t>
      </w: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三、跨题高频议题（按提及人数）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排序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议题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提及人数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占比</w:t>
            </w:r>
          </w:p>
        </w:tc>
        <w:tc>
          <w:tcPr>
            <w:tcW w:type="dxa" w:w="1904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管理含义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标杆项目/案例宣传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47%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品牌资产要从交付现场“长出来”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跨部门协同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45%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组织主矛盾：从个人驱动到团队驱动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数字化/信息化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24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41%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数据底座与流程线上化是AI前提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聚焦行业/赛道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40%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战略收缩与做深，已是多数共识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双休/休息与调休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22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38%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员工体验第一议题，需正式回应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短视频/社媒传播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内容运营要机制化，不能靠单点部门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供应商/质检质量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36%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交付口碑与成本利润直接相关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8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线索分级与成单率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34%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资源错配是打单低效主因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9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EPC/系统交付能力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16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28%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品牌叙事与真实能力要对齐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10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旧仓改造/运维等第二曲线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13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22%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存量服务是较现实的增长选项</w:t>
            </w:r>
          </w:p>
        </w:tc>
      </w:tr>
    </w:tbl>
    <w:p>
      <w:pPr>
        <w:spacing w:after="80"/>
      </w:pP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四、分题分析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Q1 品牌宣传（作答率 81%）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现状共识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最好的宣传是标杆项目与口碑，不是空泛口号。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品牌部“有枪缺子弹”：项目/技术/业务素材供给不足，视频与现场感内容偏少。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对外口径需统一；夸大宣传会被专业客户识破，反而伤信任。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高频建议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1. 建立全公司素材供给机制：重点项目强制采集航拍、节点、客户评价；专项经费可支持现场拍摄。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2. 把交付转化为传播：按行业/仓型做深度案例（数据、对比、痛点解决）。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3. 展会全周期运营（会前预热—会中短视频—会后成果传播），并打通线索沉淀。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4. 海外平台（LinkedIn / YouTube / Facebook）与雇主品牌同步建设。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5. 抖音等账号要有专人负责与内容标准，避免“应付式更新”。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管理启示：</w:t>
      </w:r>
      <w:r>
        <w:rPr>
          <w:rFonts w:ascii="Calibri" w:hAnsi="Calibri" w:eastAsia="宋体"/>
          <w:b w:val="0"/>
          <w:sz w:val="22"/>
        </w:rPr>
        <w:t xml:space="preserve"> 品牌不是品牌部单点工作，应纳入项目交付与业务协同KPI的一部分。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Q2 产品与赛道定位（作答率 67%）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主流定位表述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 xml:space="preserve">从“筒仓设备/工程项目”升级为 </w:t>
      </w:r>
      <w:r>
        <w:rPr>
          <w:rFonts w:ascii="Calibri" w:hAnsi="Calibri" w:eastAsia="宋体"/>
          <w:b/>
          <w:sz w:val="22"/>
        </w:rPr>
        <w:t>大宗散料智慧储运系统解决方案 / EPC</w:t>
      </w:r>
      <w:r>
        <w:rPr>
          <w:rFonts w:ascii="Calibri" w:hAnsi="Calibri" w:eastAsia="宋体"/>
          <w:b w:val="0"/>
          <w:sz w:val="22"/>
        </w:rPr>
        <w:t>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重点行业反复出现：</w:t>
      </w:r>
      <w:r>
        <w:rPr>
          <w:rFonts w:ascii="Calibri" w:hAnsi="Calibri" w:eastAsia="宋体"/>
          <w:b/>
          <w:sz w:val="22"/>
        </w:rPr>
        <w:t>水泥建材、粮食储运、港口散货、矿产/煤炭/能源</w:t>
      </w:r>
      <w:r>
        <w:rPr>
          <w:rFonts w:ascii="Calibri" w:hAnsi="Calibri" w:eastAsia="宋体"/>
          <w:b w:val="0"/>
          <w:sz w:val="22"/>
        </w:rPr>
        <w:t>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第二增长曲线较集中的方向：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旧仓改造、备件与运维、智能化升级（毛利稳、客户粘性强）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工业散料向破碎/烘干/输送/装卸一体化延伸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化工储罐、环保/特殊物料（木屑颗粒、化肥等）差异化场景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技术服务/图纸包输出（轻资产）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主要分歧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一部分建议“继续拓宽钢结构相关业务”；另一部分强烈反对“什么都做”，主张 2–3 个行业做深。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对“是否自建工厂/绑定制造产能”存在明显呼声，认为纯集成商长期缺定价权。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管理启示：</w:t>
      </w:r>
      <w:r>
        <w:rPr>
          <w:rFonts w:ascii="Calibri" w:hAnsi="Calibri" w:eastAsia="宋体"/>
          <w:b w:val="0"/>
          <w:sz w:val="22"/>
        </w:rPr>
        <w:t xml:space="preserve"> 赛道聚焦决策应尽快明确并对外统一表达；第二曲线建议优先验证“存量改造+运维”，投入小、见效快。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Q3 公司核心竞争力（作答率 79%）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共识画像：组合竞争力，而非单一产品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EPC 全流程整合能力</w:t>
      </w:r>
      <w:r>
        <w:rPr>
          <w:rFonts w:ascii="Calibri" w:hAnsi="Calibri" w:eastAsia="宋体"/>
          <w:b w:val="0"/>
          <w:sz w:val="22"/>
        </w:rPr>
        <w:t>（方案—供应链—交付—售后）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细分领域专业深度</w:t>
      </w:r>
      <w:r>
        <w:rPr>
          <w:rFonts w:ascii="Calibri" w:hAnsi="Calibri" w:eastAsia="宋体"/>
          <w:b w:val="0"/>
          <w:sz w:val="22"/>
        </w:rPr>
        <w:t>（物料特性、工艺、特殊工况）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履约与交付口碑</w:t>
      </w:r>
      <w:r>
        <w:rPr>
          <w:rFonts w:ascii="Calibri" w:hAnsi="Calibri" w:eastAsia="宋体"/>
          <w:b w:val="0"/>
          <w:sz w:val="22"/>
        </w:rPr>
        <w:t>（海外圈子小，口碑即获客）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技术研发与差异化</w:t>
      </w:r>
      <w:r>
        <w:rPr>
          <w:rFonts w:ascii="Calibri" w:hAnsi="Calibri" w:eastAsia="宋体"/>
          <w:b w:val="0"/>
          <w:sz w:val="22"/>
        </w:rPr>
        <w:t>（智能监测、防腐/气密/出料、绿色低碳）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5. </w:t>
      </w:r>
      <w:r>
        <w:rPr>
          <w:rFonts w:ascii="Calibri" w:hAnsi="Calibri" w:eastAsia="宋体"/>
          <w:b/>
          <w:sz w:val="22"/>
        </w:rPr>
        <w:t>人才与组织能力</w:t>
      </w:r>
      <w:r>
        <w:rPr>
          <w:rFonts w:ascii="Calibri" w:hAnsi="Calibri" w:eastAsia="宋体"/>
          <w:b w:val="0"/>
          <w:sz w:val="22"/>
        </w:rPr>
        <w:t>（“技术可被追赶，组织能力才是护城河”）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尖锐但有价值的判断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无拳头产品、参观无样品、过度依赖价格与关系，出海已是红海。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深化设计能力、本地化服务、供应链绑定，是集成商现实可建壁垒。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部分同事提出自研抱箍筒仓、参股/租赁产线等具体产能路径，值得专项评估。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Q4 项目打单（作答率 66%）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问题画像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询盘多、有效商机少；比价型线索消耗技术资源。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线索跟进不彻底（渠道单一、过早放弃、公海管理弱）。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方案时间被严重压缩，质量与细节不足，影响专业形象与中标率。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报价偏高或一刀切；缺少分档报价与竞对价格情报。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业务与技术协同不足：需求未澄清就提任务；会议多、真正打磨少。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建设性建议（已可试点）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动作</w:t>
            </w:r>
          </w:p>
        </w:tc>
        <w:tc>
          <w:tcPr>
            <w:tcW w:type="dxa" w:w="475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线索/项目分级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战略/重点/一般，不同响应深度与资源投入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询盘前置审核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业务先澄清物料、流程、范围、品牌要求，再提技术任务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方案库+报价模板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成熟筒仓场景标准化，减少重复劳动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分档报价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高/中/低配置对应不同预算客户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复盘闭环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成单与丢单均复盘，沉淀竞对与失败原因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大客户铁三角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总/组长/技术对战略客户定期项目会</w:t>
            </w:r>
          </w:p>
        </w:tc>
      </w:tr>
    </w:tbl>
    <w:p>
      <w:pPr>
        <w:spacing w:after="80"/>
      </w:pP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Q5 项目执行（作答率 76%）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问题链条（高度一致）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>深化设计滞后或不深 → 采购节奏乱/供应商质量不稳 → 质检与物资信息不对称 → 发货与现场脱节 → 现场赶工返工、劳务质量波动 → 口碑与成本双损。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高频改进方向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1. 强化计划运营总控（全景节点一张图，后端部门对齐节点而非各自为战）。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2. 项目启动交底 + 变更书面纪要 + 完工复盘沉淀“避坑指引”。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3. 供应商分级考核与末位淘汰；质检标准化（尤其焊接与细节）。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4. 发货服从现场进度，避免窝工或积压。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5. 劳务队伍筛选与管理制度化；现场质量纳入项目经理硬考核。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>6. 问题处理优先“止损复产”，复盘追责放后面；同时安全一票否决。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Q6 AI 应用（作答率 66%）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>员工建议已相当具体，可直接形成试点清单：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优先级</w:t>
            </w:r>
          </w:p>
        </w:tc>
        <w:tc>
          <w:tcPr>
            <w:tcW w:type="dxa" w:w="3173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场景</w:t>
            </w:r>
          </w:p>
        </w:tc>
        <w:tc>
          <w:tcPr>
            <w:tcW w:type="dxa" w:w="3173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解决痛点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P0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企业知识库（图纸/方案/制度/案例检索+多语）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经验在个人脑子里，海外响应慢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P0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办公提效（翻译、标书初稿、纪要、排版）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重复劳动占比高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P1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客户/商机调研与公海二次开发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线索浪费、信息搜集慢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P1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项目风险预警与健康度看板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进度/采购/物流偏差滞后发现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P2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设计辅助、合规比对、视觉质检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专业岗提效与质量兜底</w:t>
            </w:r>
          </w:p>
        </w:tc>
      </w:tr>
    </w:tbl>
    <w:p>
      <w:pPr>
        <w:spacing w:after="80"/>
      </w:pP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落地原则（员工原话高度一致）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买账号/额度 + 培训 + 场景试点；AI 辅助、人工终审。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核心工艺参数与商业秘密不上公网。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先打通数据底座，再谈预测类 AI，否则只是“高级搜索”。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Q7 管理保障（作答率 45%）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>意见相对集中，不代表问题少，而代表接触面窄。分部门看：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总经办：</w:t>
      </w:r>
      <w:r>
        <w:rPr>
          <w:rFonts w:ascii="Calibri" w:hAnsi="Calibri" w:eastAsia="宋体"/>
          <w:b w:val="0"/>
          <w:sz w:val="22"/>
        </w:rPr>
        <w:t xml:space="preserve"> 专门点名论述较少（3 份明确提及），但方向清晰——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有同事将总经办与人资、行政、财务、法务、审计并列，定位为统筹协调与风险保障部门，主张整体从“审批管控”转向“业务支持 + 风险保障”；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具体改进意见包括：</w:t>
      </w:r>
      <w:r>
        <w:rPr>
          <w:rFonts w:ascii="Calibri" w:hAnsi="Calibri" w:eastAsia="宋体"/>
          <w:b/>
          <w:sz w:val="22"/>
        </w:rPr>
        <w:t>减少不必要会议</w:t>
      </w:r>
      <w:r>
        <w:rPr>
          <w:rFonts w:ascii="Calibri" w:hAnsi="Calibri" w:eastAsia="宋体"/>
          <w:b w:val="0"/>
          <w:sz w:val="22"/>
        </w:rPr>
        <w:t>；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亦有正面评价：跨部门协调、SOP 流程梳理“很接近优秀大型企业表现”，并建议增加标杆分享与荣誉表彰会；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另有答卷涉及盖章/总经理审批权限分级（非关键合同不必层层到总经理），侧面反映总经办统筹下的审批效率诉求。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财务：</w:t>
      </w:r>
      <w:r>
        <w:rPr>
          <w:rFonts w:ascii="Calibri" w:hAnsi="Calibri" w:eastAsia="宋体"/>
          <w:b w:val="0"/>
          <w:sz w:val="22"/>
        </w:rPr>
        <w:t xml:space="preserve"> 报销过严过繁、粘贴规范、海外汇率/无票场景缺弹性；月报及时性；建议加快财务系统上线。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人力：</w:t>
      </w:r>
      <w:r>
        <w:rPr>
          <w:rFonts w:ascii="Calibri" w:hAnsi="Calibri" w:eastAsia="宋体"/>
          <w:b w:val="0"/>
          <w:sz w:val="22"/>
        </w:rPr>
        <w:t xml:space="preserve"> 新员工带教弱、绩效需部门负责人真正参与、人才画像与梯队、职称支持。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行政：</w:t>
      </w:r>
      <w:r>
        <w:rPr>
          <w:rFonts w:ascii="Calibri" w:hAnsi="Calibri" w:eastAsia="宋体"/>
          <w:b w:val="0"/>
          <w:sz w:val="22"/>
        </w:rPr>
        <w:t xml:space="preserve"> 差旅票务审批过长导致机票涨价；调休规则沟通不足。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5. </w:t>
      </w:r>
      <w:r>
        <w:rPr>
          <w:rFonts w:ascii="Calibri" w:hAnsi="Calibri" w:eastAsia="宋体"/>
          <w:b/>
          <w:sz w:val="22"/>
        </w:rPr>
        <w:t>法务/审计：</w:t>
      </w:r>
      <w:r>
        <w:rPr>
          <w:rFonts w:ascii="Calibri" w:hAnsi="Calibri" w:eastAsia="宋体"/>
          <w:b w:val="0"/>
          <w:sz w:val="22"/>
        </w:rPr>
        <w:t xml:space="preserve"> 要控风险，但避免成为业务“枷锁”；尺度需与经营目标平衡。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6. </w:t>
      </w:r>
      <w:r>
        <w:rPr>
          <w:rFonts w:ascii="Calibri" w:hAnsi="Calibri" w:eastAsia="宋体"/>
          <w:b/>
          <w:sz w:val="22"/>
        </w:rPr>
        <w:t>总原则：</w:t>
      </w:r>
      <w:r>
        <w:rPr>
          <w:rFonts w:ascii="Calibri" w:hAnsi="Calibri" w:eastAsia="宋体"/>
          <w:b w:val="0"/>
          <w:sz w:val="22"/>
        </w:rPr>
        <w:t xml:space="preserve"> 保障部门从“审批管控”转向“业务支持 + 风险保障”。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Q8 工作效率与状态（作答率 76%）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第一梯队诉求（强烈、跨岗位）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双休 / 单双休与调休规则</w:t>
      </w:r>
      <w:r>
        <w:rPr>
          <w:rFonts w:ascii="Calibri" w:hAnsi="Calibri" w:eastAsia="宋体"/>
          <w:b w:val="0"/>
          <w:sz w:val="22"/>
        </w:rPr>
        <w:t>：周六产出低、法定假叠加不合理、驻外调休不对等。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考勤打卡</w:t>
      </w:r>
      <w:r>
        <w:rPr>
          <w:rFonts w:ascii="Calibri" w:hAnsi="Calibri" w:eastAsia="宋体"/>
          <w:b w:val="0"/>
          <w:sz w:val="22"/>
        </w:rPr>
        <w:t>：28 楼电梯拥堵 + 必须连 WiFi，早高峰焦虑明显；建议楼下定位打卡/错峰/弹性。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流程减负</w:t>
      </w:r>
      <w:r>
        <w:rPr>
          <w:rFonts w:ascii="Calibri" w:hAnsi="Calibri" w:eastAsia="宋体"/>
          <w:b w:val="0"/>
          <w:sz w:val="22"/>
        </w:rPr>
        <w:t>：报销、出差计划/报告、多系统重复录入（施工日志等）。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第二梯队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任务穿插导致工作碎片化（技术部尤为突出：打单与执行抢时间）。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跨部门信息差、会议过长且“告状化”。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办公网络/VPN/电脑配置影响效率。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管理启示：</w:t>
      </w:r>
      <w:r>
        <w:rPr>
          <w:rFonts w:ascii="Calibri" w:hAnsi="Calibri" w:eastAsia="宋体"/>
          <w:b w:val="0"/>
          <w:sz w:val="22"/>
        </w:rPr>
        <w:t xml:space="preserve"> 员工体验议题若不正式回应（哪怕分阶段试点），将削弱“建言有用”的组织信任。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Q9 团队氛围与文化建设（作答率 64%）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双面画像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部门内部：多数评价务实、融洽、互助。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公司跨部门：协同紧张、压抑感、各自为战、联谊不足。</w:t>
      </w:r>
    </w:p>
    <w:p>
      <w:pPr>
        <w:spacing w:after="120" w:before="0" w:line="324" w:lineRule="auto"/>
      </w:pPr>
      <w:r>
        <w:rPr>
          <w:rFonts w:ascii="Calibri" w:hAnsi="Calibri" w:eastAsia="宋体"/>
          <w:b/>
          <w:sz w:val="22"/>
        </w:rPr>
        <w:t>活动建议共识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少形式、少纯爬山/纯聚餐；多兴趣运动、亲子游、跨部门联谊、经验分享。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团建不要变成变相开会；文化要服务经营（协作、客户、创新），不是口号。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Q10 开放题（作答率 36%）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>开放题基本是对前述议题的强化：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再次呼吁双休与福利竞争力（司龄假/生日假等）。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晋升通道、提成周期与激励公平。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执行力与优胜劣汰、让肯干的人不吃亏。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 w:val="0"/>
          <w:sz w:val="22"/>
        </w:rPr>
        <w:t>会议效率、过度管理、资料统一归档平台。</w:t>
      </w:r>
    </w:p>
    <w:p>
      <w:pPr>
        <w:spacing w:after="60" w:before="0" w:line="324" w:lineRule="auto"/>
        <w:ind w:left="283"/>
      </w:pPr>
      <w:r>
        <w:rPr>
          <w:rFonts w:ascii="Calibri" w:hAnsi="Calibri" w:eastAsia="宋体"/>
          <w:b w:val="0"/>
          <w:sz w:val="22"/>
        </w:rPr>
        <w:t xml:space="preserve">• </w:t>
      </w:r>
      <w:r>
        <w:rPr>
          <w:rFonts w:ascii="Calibri" w:hAnsi="Calibri" w:eastAsia="宋体"/>
          <w:b/>
          <w:sz w:val="22"/>
        </w:rPr>
        <w:t>关键组织心理：</w:t>
      </w:r>
      <w:r>
        <w:rPr>
          <w:rFonts w:ascii="Calibri" w:hAnsi="Calibri" w:eastAsia="宋体"/>
          <w:b w:val="0"/>
          <w:sz w:val="22"/>
        </w:rPr>
        <w:t xml:space="preserve"> “集中反馈要有正面回应，否则下次没人认真写。”</w:t>
      </w: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五、矛盾与张力（决策时需正视）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张力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一端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另一端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建议处理原则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赛道宽度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聚焦做深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拓展新行业试错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主航道 70% 资源；试验仓 30% 且设退出标准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产能模式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轻资产集成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自有/参股工厂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先评估战略品类（如筒仓）小步试点，勿全面重资产化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管控强度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合规审计严格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业务速度与弹性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按金额/风险分级；小额高频事项简化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打单覆盖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广撒网获线索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重点项目精耕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强制分级；低价值线索标准化快响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休息制度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业务压力与现场节奏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人才吸引与工作日效率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可试点弹性双休：有事在岗、无事真休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追责文化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质量问责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怕错不敢干、先甩锅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先止损复盘，再按制度定责；鼓励担当</w:t>
            </w:r>
          </w:p>
        </w:tc>
      </w:tr>
    </w:tbl>
    <w:p>
      <w:pPr>
        <w:spacing w:after="80"/>
      </w:pP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六、优先行动建议（90 天）</w:t>
      </w: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A. 立刻回应（0–30 天）：建立信任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序号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行动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建议责任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A1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公布调研结果摘要与公司态度（采纳/研究中/暂缓及理由）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总经办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全员通报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A2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评估双休/弹性双休及调休规则优化方案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人力+总经办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试点方案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A3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优化考勤：楼下定位/错峰/电梯拥堵缓解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行政+人力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规则更新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A4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报销与小额费用简化清单（含海外特殊场景例外机制）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财务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流程V2</w:t>
            </w:r>
          </w:p>
        </w:tc>
      </w:tr>
    </w:tbl>
    <w:p>
      <w:pPr>
        <w:spacing w:after="80"/>
      </w:pP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B. 经营提效（30–60 天）：打单—执行闭环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序号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行动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建议责任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B1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正式落地项目/线索三级分类与响应标准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业务+计划运营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SOP+看板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B2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询盘提资前置检查清单（业务必填）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业务+技术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减少无效方案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B3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重点项目复盘机制（成单/丢单/完工）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计划运营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月度经营会输入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B4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供应商分级与质检标准强化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成本合约+质检+工程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考核挂钩份额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B5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品牌素材供给制度（重点项目强制采集）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品牌+工程+业务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案例库起步</w:t>
            </w:r>
          </w:p>
        </w:tc>
      </w:tr>
    </w:tbl>
    <w:p>
      <w:pPr>
        <w:spacing w:after="80"/>
      </w:pPr>
    </w:p>
    <w:p>
      <w:pPr>
        <w:spacing w:after="120" w:before="200" w:line="324" w:lineRule="auto"/>
      </w:pPr>
      <w:r>
        <w:rPr>
          <w:rFonts w:ascii="Arial" w:hAnsi="Arial" w:eastAsia="黑体"/>
          <w:b/>
          <w:sz w:val="24"/>
        </w:rPr>
        <w:t>C. 能力建设（60–90 天）：组织与AI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序号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行动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建议责任</w:t>
            </w:r>
          </w:p>
        </w:tc>
        <w:tc>
          <w:tcPr>
            <w:tcW w:type="dxa" w:w="2379"/>
            <w:shd w:fill="D9E2F3" w:val="clear"/>
          </w:tcPr>
          <w:p>
            <w:r/>
            <w:r>
              <w:rPr>
                <w:rFonts w:ascii="Arial" w:hAnsi="Arial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C1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AI 试点：知识库+翻译/标书+办公账号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数字化牵头+各部门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2–3 个场景上线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C2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新员工带教与关键岗位梯队计划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人力+各部门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师徒激励试点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C3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跨部门联谊与经验分享常态化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人力+各部门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季度计划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C4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明确“聚焦行业清单 + 第二曲线试验清单”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经营层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宋体"/>
                <w:b w:val="0"/>
                <w:sz w:val="18"/>
              </w:rPr>
              <w:t>战略一页纸</w:t>
            </w:r>
          </w:p>
        </w:tc>
      </w:tr>
    </w:tbl>
    <w:p>
      <w:pPr>
        <w:spacing w:after="80"/>
      </w:pP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七、建议奖励与后续机制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>调研动员中已承诺“好建议认真研究并给予奖励”。建议：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1. </w:t>
      </w:r>
      <w:r>
        <w:rPr>
          <w:rFonts w:ascii="Calibri" w:hAnsi="Calibri" w:eastAsia="宋体"/>
          <w:b/>
          <w:sz w:val="22"/>
        </w:rPr>
        <w:t>优秀建言奖（个人）</w:t>
      </w:r>
      <w:r>
        <w:rPr>
          <w:rFonts w:ascii="Calibri" w:hAnsi="Calibri" w:eastAsia="宋体"/>
          <w:b w:val="0"/>
          <w:sz w:val="22"/>
        </w:rPr>
        <w:t>：按“问题清晰度 × 可落地性 × 经营价值”评选 5–10 条，公开表彰并兑现奖励。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2. </w:t>
      </w:r>
      <w:r>
        <w:rPr>
          <w:rFonts w:ascii="Calibri" w:hAnsi="Calibri" w:eastAsia="宋体"/>
          <w:b/>
          <w:sz w:val="22"/>
        </w:rPr>
        <w:t>专项立项奖（团队）</w:t>
      </w:r>
      <w:r>
        <w:rPr>
          <w:rFonts w:ascii="Calibri" w:hAnsi="Calibri" w:eastAsia="宋体"/>
          <w:b w:val="0"/>
          <w:sz w:val="22"/>
        </w:rPr>
        <w:t>：对进入 90 天行动清单并落地见效的建议给予项目奖。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3. </w:t>
      </w:r>
      <w:r>
        <w:rPr>
          <w:rFonts w:ascii="Calibri" w:hAnsi="Calibri" w:eastAsia="宋体"/>
          <w:b/>
          <w:sz w:val="22"/>
        </w:rPr>
        <w:t>闭环机制：</w:t>
      </w:r>
      <w:r>
        <w:rPr>
          <w:rFonts w:ascii="Calibri" w:hAnsi="Calibri" w:eastAsia="宋体"/>
          <w:b w:val="0"/>
          <w:sz w:val="22"/>
        </w:rPr>
        <w:t xml:space="preserve"> 每季度发布《调研建议进展表》（已落地 / 进行中 / 暂缓原因），避免“只收集不反馈”。</w:t>
      </w:r>
    </w:p>
    <w:p>
      <w:pPr>
        <w:spacing w:after="60" w:before="0" w:line="324" w:lineRule="auto"/>
        <w:ind w:left="170"/>
      </w:pPr>
      <w:r>
        <w:rPr>
          <w:rFonts w:ascii="Calibri" w:hAnsi="Calibri" w:eastAsia="宋体"/>
          <w:b w:val="0"/>
          <w:sz w:val="22"/>
        </w:rPr>
        <w:t xml:space="preserve">4. </w:t>
      </w:r>
      <w:r>
        <w:rPr>
          <w:rFonts w:ascii="Calibri" w:hAnsi="Calibri" w:eastAsia="宋体"/>
          <w:b/>
          <w:sz w:val="22"/>
        </w:rPr>
        <w:t>下一次问卷优化：</w:t>
      </w:r>
      <w:r>
        <w:rPr>
          <w:rFonts w:ascii="Calibri" w:hAnsi="Calibri" w:eastAsia="宋体"/>
          <w:b w:val="0"/>
          <w:sz w:val="22"/>
        </w:rPr>
        <w:t xml:space="preserve"> 增加 8–12 道李克特量表（满意度/重要性），保留 3–5 道开放题，便于年度对比。</w:t>
      </w:r>
    </w:p>
    <w:p>
      <w:pPr>
        <w:spacing w:after="160" w:before="280" w:line="324" w:lineRule="auto"/>
      </w:pPr>
      <w:r>
        <w:rPr>
          <w:rFonts w:ascii="Arial" w:hAnsi="Arial" w:eastAsia="黑体"/>
          <w:b/>
          <w:sz w:val="28"/>
        </w:rPr>
        <w:t>八、结语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 xml:space="preserve">本次调研最有价值的信号，不是“大家有意见”，而是 </w:t>
      </w:r>
      <w:r>
        <w:rPr>
          <w:rFonts w:ascii="Calibri" w:hAnsi="Calibri" w:eastAsia="宋体"/>
          <w:b/>
          <w:sz w:val="22"/>
        </w:rPr>
        <w:t>员工已经在用经营者视角思考公司</w:t>
      </w:r>
      <w:r>
        <w:rPr>
          <w:rFonts w:ascii="Calibri" w:hAnsi="Calibri" w:eastAsia="宋体"/>
          <w:b w:val="0"/>
          <w:sz w:val="22"/>
        </w:rPr>
        <w:t>：赛道如何取舍、口碑如何积累、打单如何聚焦、交付如何总控、AI 如何降本增效、组织如何从个人驱动升级为体系驱动。</w:t>
      </w:r>
    </w:p>
    <w:p>
      <w:pPr>
        <w:spacing w:after="120" w:before="0" w:line="324" w:lineRule="auto"/>
      </w:pPr>
      <w:r>
        <w:rPr>
          <w:rFonts w:ascii="Calibri" w:hAnsi="Calibri" w:eastAsia="宋体"/>
          <w:b w:val="0"/>
          <w:sz w:val="22"/>
        </w:rPr>
        <w:t>公司若能在未来一个季度内完成三件事——</w:t>
      </w:r>
      <w:r>
        <w:rPr>
          <w:rFonts w:ascii="Calibri" w:hAnsi="Calibri" w:eastAsia="宋体"/>
          <w:b/>
          <w:sz w:val="22"/>
        </w:rPr>
        <w:t>公开回应、打通打单执行闭环、改善最集中的员工体验痛点</w:t>
      </w:r>
      <w:r>
        <w:rPr>
          <w:rFonts w:ascii="Calibri" w:hAnsi="Calibri" w:eastAsia="宋体"/>
          <w:b w:val="0"/>
          <w:sz w:val="22"/>
        </w:rPr>
        <w:t>——将把这次调研从“意见征集”升级为“管理升级的真实起点”。</w:t>
      </w:r>
    </w:p>
    <w:p>
      <w:pPr>
        <w:spacing w:after="120" w:before="0" w:line="324" w:lineRule="auto"/>
      </w:pPr>
      <w:r>
        <w:rPr>
          <w:rFonts w:ascii="Calibri" w:hAnsi="Calibri" w:eastAsia="楷体"/>
          <w:b w:val="0"/>
          <w:sz w:val="18"/>
        </w:rPr>
        <w:t>报告基于《实荣2026财年内部管理调研》原始答卷文本分析生成；主题频次为关键词统计，供决策参考，不等于精确民意投票。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