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2026年中经营分析会 · 第二阶段经营关键议题</w:t>
      </w:r>
    </w:p>
    <w:p>
      <w:r>
        <w:t>阶段定位： 内部调研已完成。本阶段由管理层围绕经营层面关键议题专题讨论，明确下半年经营策略方向与重点工作。</w:t>
      </w:r>
    </w:p>
    <w:p>
      <w:r>
        <w:rPr>
          <w:b/>
        </w:rPr>
        <w:t>议题原则：</w:t>
      </w:r>
    </w:p>
    <w:p>
      <w:pPr>
        <w:pStyle w:val="ListBullet"/>
      </w:pPr>
      <w:r>
        <w:t>只议**公司经营层面**事项（战略、打单、交付、增长、能力），不把日常行政细则升格为经营议题。</w:t>
      </w:r>
    </w:p>
    <w:p>
      <w:pPr>
        <w:pStyle w:val="ListBullet"/>
      </w:pPr>
      <w:r>
        <w:t>数量控制在 **5 个以内**，每个议题必须能当场形成：方向判断 + 责任部门 + 下半年动作。</w:t>
      </w:r>
    </w:p>
    <w:p>
      <w:pPr>
        <w:pStyle w:val="ListBullet"/>
      </w:pPr>
      <w:r>
        <w:t>员工体验类诉求（双休/考勤/报销等）建议另作“组织回应专题”，不占用本阶段经营议题名额；但会前需明确是否同步通报调研回应口径。</w:t>
      </w:r>
    </w:p>
    <w:p>
      <w:r>
        <w:t>---</w:t>
      </w:r>
    </w:p>
    <w:p>
      <w:pPr>
        <w:pStyle w:val="Heading1"/>
      </w:pPr>
      <w:r>
        <w:t>建议确定的 5 个关键议题</w:t>
      </w:r>
    </w:p>
    <w:p>
      <w:r>
        <w:t>序  |  经营议题  |  一句话要解决的问题  |  调研依据（信号）  |  会上须拍板</w:t>
      </w:r>
    </w:p>
    <w:p>
      <w:r>
        <w:t>1  |  **靠什么赢、做什么与不做什么**  |  竞争力口径与主航道是否收口  |  聚焦赛道 40%；EPC/系统交付 28%；“什么都能做都不精”焦虑强  |  一句话竞争力；主航道 2–3 个；负面清单；第二曲线只选 1 条</w:t>
      </w:r>
    </w:p>
    <w:p>
      <w:r>
        <w:t>2  |  **如何提高成单率**  |  线索筛不筛、资源如何配  |  线索分级与成单率 34%；询盘多、无效方案耗技术  |  三级分类强制规则；提资前置可否退回；分档报价是否试点</w:t>
      </w:r>
    </w:p>
    <w:p>
      <w:r>
        <w:t>3  |  **如何稳交付、保口碑**  |  执行链总控有没有牙齿  |  供应商/质检 36%；设计—采购—质检—发货—现场断链  |  计划运营总控权责；质量闸门；产能触顶规则；复盘强制</w:t>
      </w:r>
    </w:p>
    <w:p>
      <w:r>
        <w:t>4  |  **下半年增长抓手是什么**  |  增量从哪来、投入上限多少  |  第二增长（改造/运维等）22%；品牌案例/展会获客高频；公海浪费  |  选定 1 个增长抓手（如旧仓改造运维 / 重点市场精耕）；投入与退出标准</w:t>
      </w:r>
    </w:p>
    <w:p>
      <w:r>
        <w:t>5  |  **经营提效抓哪两件事**  |  数字化与组织接口先打哪  |  数字化/信息化 41%；跨部门协同 45%；AI 场景建议具体  |  定 2 件：①AI/知识库试点范围；②先打通的 2–3 条跨部门关键接口</w:t>
      </w:r>
    </w:p>
    <w:p>
      <w:r>
        <w:t>---</w:t>
      </w:r>
    </w:p>
    <w:p>
      <w:pPr>
        <w:pStyle w:val="Heading1"/>
      </w:pPr>
      <w:r>
        <w:t>议题说明（讨论提纲）</w:t>
      </w:r>
    </w:p>
    <w:p>
      <w:pPr>
        <w:pStyle w:val="Heading2"/>
      </w:pPr>
      <w:r>
        <w:t>议题 1：靠什么赢、做什么与不做什么</w:t>
      </w:r>
    </w:p>
    <w:p>
      <w:r>
        <w:t>经营本质： 先定“我们是谁、战场在哪”，再谈打单与交付，否则各部门口径与资源投放会持续打架。</w:t>
      </w:r>
    </w:p>
    <w:p>
      <w:r>
        <w:rPr>
          <w:b/>
        </w:rPr>
        <w:t>建议讨论：</w:t>
      </w:r>
    </w:p>
    <w:p>
      <w:pPr>
        <w:pStyle w:val="ListBullet"/>
      </w:pPr>
      <w:r>
        <w:t>竞争力主表述选一为主（如：大宗散料智慧储运 EPC 系统交付 / 重点行业工艺深度 / 履约口碑 / 技术差异化 / 供应链掌控），另至多两项作支撑。</w:t>
      </w:r>
    </w:p>
    <w:p>
      <w:pPr>
        <w:pStyle w:val="ListBullet"/>
      </w:pPr>
      <w:r>
        <w:t>主航道从水泥建材、粮食、港口、矿产/能源中定 **2–3 个**；写清机会型与**不做什么**。</w:t>
      </w:r>
    </w:p>
    <w:p>
      <w:pPr>
        <w:pStyle w:val="ListBullet"/>
      </w:pPr>
      <w:r>
        <w:t>第二曲线只验证 **1 条**（优先旧仓改造+运维，或工业散料延伸），设投入上限与退出标准。</w:t>
      </w:r>
    </w:p>
    <w:p>
      <w:r>
        <w:t>会后产物： 《竞争力定义卡》+《下半年主航道与负面清单一页纸》</w:t>
      </w:r>
    </w:p>
    <w:p>
      <w:r>
        <w:t>---</w:t>
      </w:r>
    </w:p>
    <w:p>
      <w:pPr>
        <w:pStyle w:val="Heading2"/>
      </w:pPr>
      <w:r>
        <w:t>议题 2：如何提高成单率</w:t>
      </w:r>
    </w:p>
    <w:p>
      <w:r>
        <w:t>经营本质： 前端不是缺线索，而是缺筛选与深度投入的标准；成单率上不去，技术与成本资源会被低质询盘拖死。</w:t>
      </w:r>
    </w:p>
    <w:p>
      <w:r>
        <w:rPr>
          <w:b/>
        </w:rPr>
        <w:t>建议讨论：</w:t>
      </w:r>
    </w:p>
    <w:p>
      <w:pPr>
        <w:pStyle w:val="ListBullet"/>
      </w:pPr>
      <w:r>
        <w:t>线索/项目三级（战略/重点/一般）：每级响应深度、时限、谁拍板。</w:t>
      </w:r>
    </w:p>
    <w:p>
      <w:pPr>
        <w:pStyle w:val="ListBullet"/>
      </w:pPr>
      <w:r>
        <w:t>提资前置清单（物料、流程、范围、品牌、决策人等）未齐备可否退回。</w:t>
      </w:r>
    </w:p>
    <w:p>
      <w:pPr>
        <w:pStyle w:val="ListBullet"/>
      </w:pPr>
      <w:r>
        <w:t>一般线索标准化快响；重点项目铁三角吃饱资源。</w:t>
      </w:r>
    </w:p>
    <w:p>
      <w:pPr>
        <w:pStyle w:val="ListBullet"/>
      </w:pPr>
      <w:r>
        <w:t>报价高/中/低分档是否试点；成单/丢单是否进入月度经营会固定复盘。</w:t>
      </w:r>
    </w:p>
    <w:p>
      <w:r>
        <w:t>会后产物： 《项目筛选与响应规则》及上线时间（业务 + 技术 + 计划运营 + 总经办）</w:t>
      </w:r>
    </w:p>
    <w:p>
      <w:r>
        <w:t>---</w:t>
      </w:r>
    </w:p>
    <w:p>
      <w:pPr>
        <w:pStyle w:val="Heading2"/>
      </w:pPr>
      <w:r>
        <w:t>议题 3：如何稳交付、保口碑</w:t>
      </w:r>
    </w:p>
    <w:p>
      <w:r>
        <w:t>经营本质： 海外圈子小，交付口碑即获客；执行断链会直接吃掉前端辛苦拿下的订单利润与信誉。</w:t>
      </w:r>
    </w:p>
    <w:p>
      <w:r>
        <w:rPr>
          <w:b/>
        </w:rPr>
        <w:t>建议讨论：</w:t>
      </w:r>
    </w:p>
    <w:p>
      <w:pPr>
        <w:pStyle w:val="ListBullet"/>
      </w:pPr>
      <w:r>
        <w:t>计划运营是否具备对技术/采购/质检/物流/工程的节点约束与考核挂钩权。</w:t>
      </w:r>
    </w:p>
    <w:p>
      <w:pPr>
        <w:pStyle w:val="ListBullet"/>
      </w:pPr>
      <w:r>
        <w:t>强制动作：启动交底、变更书面纪要、完工复盘。</w:t>
      </w:r>
    </w:p>
    <w:p>
      <w:pPr>
        <w:pStyle w:val="ListBullet"/>
      </w:pPr>
      <w:r>
        <w:t>质量闸门：供应商分级、发货前质检（尤其焊接与细节）能否拦发货。</w:t>
      </w:r>
    </w:p>
    <w:p>
      <w:pPr>
        <w:pStyle w:val="ListBullet"/>
      </w:pPr>
      <w:r>
        <w:t>设计/加工/发货产能触顶后：排产、外协，还是控制接单承诺。</w:t>
      </w:r>
    </w:p>
    <w:p>
      <w:pPr>
        <w:pStyle w:val="ListBullet"/>
      </w:pPr>
      <w:r>
        <w:t>现场问题先止损复产，再复盘定责；安全与重大质量一票否决。</w:t>
      </w:r>
    </w:p>
    <w:p>
      <w:r>
        <w:t>会后产物： 《项目执行总控与质量闸门规则》</w:t>
      </w:r>
    </w:p>
    <w:p>
      <w:r>
        <w:t>---</w:t>
      </w:r>
    </w:p>
    <w:p>
      <w:pPr>
        <w:pStyle w:val="Heading2"/>
      </w:pPr>
      <w:r>
        <w:t>议题 4：下半年增长抓手是什么</w:t>
      </w:r>
    </w:p>
    <w:p>
      <w:r>
        <w:t>经营本质： 主航道守存量与基本盘；年中会还要明确“多出来的增长从哪来”，避免平均用力。</w:t>
      </w:r>
    </w:p>
    <w:p>
      <w:r>
        <w:rPr>
          <w:b/>
        </w:rPr>
        <w:t>建议讨论（三选一为主，勿全开）：</w:t>
      </w:r>
    </w:p>
    <w:p>
      <w:pPr>
        <w:pStyle w:val="ListBullet"/>
      </w:pPr>
      <w:r>
        <w:t>A. **存量服务**：旧仓改造、备件、运维、智能化升级（毛利稳、粘性强）。</w:t>
      </w:r>
    </w:p>
    <w:p>
      <w:pPr>
        <w:pStyle w:val="ListBullet"/>
      </w:pPr>
      <w:r>
        <w:t>B. **市场精耕**：2–3 个重点国别/行业深开发 + 公海二次激活。</w:t>
      </w:r>
    </w:p>
    <w:p>
      <w:pPr>
        <w:pStyle w:val="ListBullet"/>
      </w:pPr>
      <w:r>
        <w:t>C. **产品标签**：选定 1 个可形成差异化的拳头能力/产品（须有样品或可售卖模块时间表）。</w:t>
      </w:r>
    </w:p>
    <w:p>
      <w:r>
        <w:t>同步明确：品牌素材与标杆案例是否纳入重点项目强制动作，服务获客闭环。</w:t>
      </w:r>
    </w:p>
    <w:p>
      <w:r>
        <w:t>会后产物： 《下半年增长抓手一页纸》（目标、投入、责任人、退出条件）</w:t>
      </w:r>
    </w:p>
    <w:p>
      <w:r>
        <w:t>---</w:t>
      </w:r>
    </w:p>
    <w:p>
      <w:pPr>
        <w:pStyle w:val="Heading2"/>
      </w:pPr>
      <w:r>
        <w:t>议题 5：经营提效抓哪两件事</w:t>
      </w:r>
    </w:p>
    <w:p>
      <w:r>
        <w:t>经营本质： 提效不能摊成“全面数字化”；年中只定两件能服务打单与交付的提效工程。</w:t>
      </w:r>
    </w:p>
    <w:p>
      <w:r>
        <w:rPr>
          <w:b/>
        </w:rPr>
        <w:t>建议讨论：</w:t>
      </w:r>
    </w:p>
    <w:p>
      <w:r>
        <w:t>1. AI / 知识库试点：优先场景建议锁定 2–3 个（如技术知识库+多语、标书/翻译、公海/商机调研）；原则：账号培训 + 人工终审 + 商业秘密不上公网。责任可归口品牌运营部协同数字化与各部门。</w:t>
      </w:r>
    </w:p>
    <w:p>
      <w:r>
        <w:t>2. 跨部门关键接口：从调研断点中只选 2–3 条先打通，例如：</w:t>
      </w:r>
    </w:p>
    <w:p>
      <w:r>
        <w:t xml:space="preserve">   - 业务提资前置 ↔ 技术退回机制</w:t>
      </w:r>
    </w:p>
    <w:p>
      <w:r>
        <w:t xml:space="preserve">   - 技术提资 ↔ 物流证书/包装 ↔ 成本招采</w:t>
      </w:r>
    </w:p>
    <w:p>
      <w:r>
        <w:t xml:space="preserve">   - 质检信息 ↔ 物资/发货闸门</w:t>
      </w:r>
    </w:p>
    <w:p>
      <w:r>
        <w:t xml:space="preserve">   - 计划运营节点 ↔ 各部门考核</w:t>
      </w:r>
    </w:p>
    <w:p>
      <w:r>
        <w:t>会后产物： 《提效试点清单》+《关键接口权责时限表》</w:t>
      </w:r>
    </w:p>
    <w:p>
      <w:r>
        <w:t>---</w:t>
      </w:r>
    </w:p>
    <w:p>
      <w:pPr>
        <w:pStyle w:val="Heading1"/>
      </w:pPr>
      <w:r>
        <w:t>建议的会议产出格式（每个议题统一）</w:t>
      </w:r>
    </w:p>
    <w:p>
      <w:r>
        <w:t>字段  |  要求</w:t>
      </w:r>
    </w:p>
    <w:p>
      <w:r>
        <w:t>决议结论  |  一句话（可执行）</w:t>
      </w:r>
    </w:p>
    <w:p>
      <w:r>
        <w:t>下半年动作  |  ≤3 条</w:t>
      </w:r>
    </w:p>
    <w:p>
      <w:r>
        <w:t>责任部门 / 协同  |  主责 1 个，协同列明</w:t>
      </w:r>
    </w:p>
    <w:p>
      <w:r>
        <w:t>节点  |  月内可见进展的时间点</w:t>
      </w:r>
    </w:p>
    <w:p>
      <w:r>
        <w:t>暂缓项  |  若暂缓，写明理由与复评时间</w:t>
      </w:r>
    </w:p>
    <w:p>
      <w:r>
        <w:t>---</w:t>
      </w:r>
    </w:p>
    <w:p>
      <w:pPr>
        <w:pStyle w:val="Heading1"/>
      </w:pPr>
      <w:r>
        <w:t>不纳入本阶段“经营五题”但须同步处理的事项</w:t>
      </w:r>
    </w:p>
    <w:p>
      <w:r>
        <w:t>事项  |  建议处理方式</w:t>
      </w:r>
    </w:p>
    <w:p>
      <w:r>
        <w:t>调研结果全员通报（采纳/研究中/暂缓）  |  总经办牵头，与第二阶段并行，2 周内完成口径</w:t>
      </w:r>
    </w:p>
    <w:p>
      <w:r>
        <w:t>双休 / 调休 / 考勤 / 报销简化  |  单列“组织回应专题”，由人力行政 + 财务出试点/暂缓方案，不与经营五题混议</w:t>
      </w:r>
    </w:p>
    <w:p>
      <w:r>
        <w:t>全面自建重资产工厂  |  专项论证，不在年中五题内拍板</w:t>
      </w:r>
    </w:p>
    <w:p>
      <w:r>
        <w:t>---</w:t>
      </w:r>
    </w:p>
    <w:p>
      <w:pPr>
        <w:pStyle w:val="Heading1"/>
      </w:pPr>
      <w:r>
        <w:t>一句话推荐口径（可用于通知管理层）</w:t>
      </w:r>
    </w:p>
    <w:p>
      <w:r>
        <w:t>第二阶段建议聚焦五题：①竞争力与主航道收口；②成单率与资源配给；③交付总控与口碑；④下半年增长抓手；⑤AI/知识库试点与关键接口打通。 议透这五题，即可支撑第三阶段各部门下半年经营计划对齐公司方向。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