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312" w:lineRule="auto"/>
        <w:jc w:val="center"/>
      </w:pPr>
      <w:r>
        <w:rPr>
          <w:rFonts w:ascii="Calibri" w:hAnsi="Calibri" w:eastAsia="黑体"/>
          <w:b/>
          <w:sz w:val="32"/>
        </w:rPr>
        <w:t>2026财年内部管理调研 · 管理层关键议题清单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背景：</w:t>
      </w:r>
      <w:r>
        <w:rPr>
          <w:rFonts w:ascii="Calibri" w:hAnsi="Calibri" w:eastAsia="宋体"/>
          <w:b w:val="0"/>
          <w:sz w:val="22"/>
        </w:rPr>
        <w:t xml:space="preserve"> 第一阶段员工意见搜集已完成（有效答卷 58 份）。第二阶段需围绕关键议题开展管理层讨论，明确下半年经营策略方向与关键点。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使用方式：</w:t>
      </w:r>
      <w:r>
        <w:rPr>
          <w:rFonts w:ascii="Calibri" w:hAnsi="Calibri" w:eastAsia="宋体"/>
          <w:b w:val="0"/>
          <w:sz w:val="22"/>
        </w:rPr>
        <w:t xml:space="preserve"> 建议管理层会优先讨论【必议】议题并形成结论；【选议】议题可并入专题会或责成部门方案后再决。每个议题给出建议讨论问题与可选决策方向，便于当场拍板或明确下一步责任人。</w:t>
      </w:r>
    </w:p>
    <w:p>
      <w:pPr>
        <w:spacing w:after="120" w:before="240" w:line="312" w:lineRule="auto"/>
      </w:pPr>
      <w:r>
        <w:rPr>
          <w:rFonts w:ascii="Calibri" w:hAnsi="Calibri" w:eastAsia="黑体"/>
          <w:b/>
          <w:sz w:val="26"/>
        </w:rPr>
        <w:t>一、议题总览（建议优先序）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优先级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议题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类型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调研信号强度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建议会时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赛道聚焦与第二增长曲线取舍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必议·战略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高（40%提及聚焦）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40–60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打单资源聚焦：线索/项目分级与成单率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必议·经营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高（成单率/询盘浪费）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40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项目执行总控：计划运营与交付口碑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必议·经营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高（设计—采购—施工断链）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40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核心竞争力路径：EPC深化 vs 自有产能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必议·战略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中高（集成商定价权焦虑）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30–40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员工体验与组织信任：双休/考勤/调休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必议·组织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高（38%提及休息制度）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30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跨部门协同与权责机制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必议·组织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高（45%提及协同）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30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品牌资产沉淀：素材供给与案例体系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选议·增长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高（47%提及标杆/案例）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20–30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AI 与数字化落地节奏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选议·能力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中高（场景建议具体）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20–30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管理保障减负：报销/审批/服务导向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选议·组织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中（财务意见最具体）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20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人才梯队、激励与调研闭环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选议·组织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中（带教/绩效/晋升）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20 分钟</w:t>
            </w:r>
          </w:p>
        </w:tc>
      </w:tr>
    </w:tbl>
    <w:p>
      <w:pPr>
        <w:spacing w:after="60"/>
      </w:pPr>
    </w:p>
    <w:p>
      <w:pPr>
        <w:spacing w:after="120" w:before="240" w:line="312" w:lineRule="auto"/>
      </w:pPr>
      <w:r>
        <w:rPr>
          <w:rFonts w:ascii="Calibri" w:hAnsi="Calibri" w:eastAsia="黑体"/>
          <w:b/>
          <w:sz w:val="26"/>
        </w:rPr>
        <w:t>二、必议议题（建议本轮管理层会完成）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1：赛道聚焦与第二增长曲线取舍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员工侧信号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主流认同：大宗散料智慧储运 / EPC 系统解决方案。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高频行业：水泥建材、粮食、港口散货、矿产/煤炭/能源。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分歧：继续拓宽 vs 2–3 个行业做深；担心“什么都能做、什么都不精”。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第二曲线呼声：旧仓改造/运维/智能化、工业散料一体化延伸、特殊物料（化肥/木屑等）、技术服务输出。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建议讨论问题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1. 下半年主航道行业清单是哪 2–3 个？哪些行业只做机会型、不主动铺资源？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2. 第二增长曲线先验证哪一条（建议优先“存量改造+运维”）？投入上限与退出标准是什么？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3. 对外品牌口径是否统一为“智慧储运系统解决方案/EPC”，并停止发散表述？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可选决策方向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A. 明确《聚焦行业清单 + 试验清单》一页纸，按 70% / 30% 配置资源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B. 维持现状广覆盖，仅加强项目筛选（风险：继续稀释专业口碑）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建议结论产物：</w:t>
      </w:r>
      <w:r>
        <w:rPr>
          <w:rFonts w:ascii="Calibri" w:hAnsi="Calibri" w:eastAsia="宋体"/>
          <w:b w:val="0"/>
          <w:sz w:val="22"/>
        </w:rPr>
        <w:t xml:space="preserve"> 《下半年赛道与第二曲线决议》一页纸（含责任人）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2：打单资源聚焦——线索/项目分级与成单率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员工侧信号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询盘多、有效商机少；比价型线索消耗技术资源。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方案时间被压缩、需求未澄清就提任务；报价一刀切、缺分档与竞对情报。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公海跟进不彻底、过早放弃；业务与技术协同不足。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建议讨论问题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1. 是否正式落地线索/项目三级分类（战略/重点/一般）及差异化响应标准？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2. 询盘提资是否强制前置检查清单（物料、流程、范围、品牌要求）？不达标可否退回？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3. 技术资源如何保护：重点项目深做，低价值线索标准化快响？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4. 成单/丢单复盘是否纳入月度经营会硬环节？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可选决策方向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A. 30–45 天内上线分级 SOP + 提资前置 + 月度复盘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B. 仅口头强调“抓重点”，不改流程（风险：问题复现）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建议结论产物：</w:t>
      </w:r>
      <w:r>
        <w:rPr>
          <w:rFonts w:ascii="Calibri" w:hAnsi="Calibri" w:eastAsia="宋体"/>
          <w:b w:val="0"/>
          <w:sz w:val="22"/>
        </w:rPr>
        <w:t xml:space="preserve"> 《项目分级与打单协同制度》要点 + 落地时间表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3：项目执行总控——计划运营与交付口碑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员工侧信号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典型断链：深化设计滞后 → 采购/质检不同步 → 发货与现场脱节 → 赶工返工。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呼声：计划运营全景节点一张图；供应商分级；劳务队伍制度化；质量纳入项目经理硬考核；先止损后追责；安全一票否决。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建议讨论问题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1. 计划运营部是否明确为后端执行“总控”角色？节点目标是否对后端部门具约束力？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2. 项目启动交底、变更纪要、完工复盘是否强制？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3. 供应商分级与末位淘汰、质检标准（尤其焊接/细节）是否本半年落地？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4. 交付口碑（客户满意度/返工率/节点达成）是否进入项目组织奖金？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可选决策方向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A. 强化计划运营总控 + 复盘制度 + 供应商/质检硬约束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B. 维持部门垂直管理，仅加强协调会（风险：断链难解）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建议结论产物：</w:t>
      </w:r>
      <w:r>
        <w:rPr>
          <w:rFonts w:ascii="Calibri" w:hAnsi="Calibri" w:eastAsia="宋体"/>
          <w:b w:val="0"/>
          <w:sz w:val="22"/>
        </w:rPr>
        <w:t xml:space="preserve"> 《下半年交付提升三项硬措施》（总控、复盘、供应商/质量）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4：核心竞争力路径——EPC 深化 vs 自有产能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员工侧信号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共识：竞争力是组合能力（EPC + 细分专业 + 履约口碑 + 技术差异化 + 组织能力）。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焦虑：无拳头产品、参观无样品、纯集成商缺定价权。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建议：深化设计壁垒、本地化服务、供应链绑定；亦有自研/参股/租赁产线等产能路径提议。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建议讨论问题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1. 近 12–24 个月，公司更押注哪条主路径：做深 EPC/方案交付，还是补齐战略品类产能？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2. 若碰产能，是否只允许“小步试点”（单品类、租赁/参股、设退出门槛），禁止全面重资产化？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3. 哪些技术标签必须从口号变成可售卖能力（智能监测、防腐/气密/出料、绿色低碳等）？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可选决策方向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A. 主路径明确为“EPC+履约口碑+深化设计”，产能为专题论证后试点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B. 同步推进自有产能专项（需配套资金、团队、质量体系决议）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建议结论产物：</w:t>
      </w:r>
      <w:r>
        <w:rPr>
          <w:rFonts w:ascii="Calibri" w:hAnsi="Calibri" w:eastAsia="宋体"/>
          <w:b w:val="0"/>
          <w:sz w:val="22"/>
        </w:rPr>
        <w:t xml:space="preserve"> 《核心竞争力主路径决议》+（如需要）《产能试点立项门槛》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5：员工体验与组织信任——双休 / 考勤 / 调休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员工侧信号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休息制度是最高频员工体验议题之一（约 38%）；周六产出低、法定假叠加不合理、驻外调休不对等。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考勤：电梯拥堵 + WiFi 打卡焦虑；报销/审批繁琐叠加负面体感。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组织心理：集中反馈若无正面回应，下次无人认真写。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建议讨论问题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1. 下半年是否试点弹性双休或优化单双休/调休规则？试点范围与评估周期？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2. 考勤能否改为楼下定位/错峰等低成本改善？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3. 调研结果何时、以何种口径向全员通报（采纳 / 研究中 / 暂缓及理由）？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可选决策方向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A. 2 周内通报 + 30 天内出台休息/考勤试点方案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B. 仅内部研究、暂不对外（风险：信任透支）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建议结论产物：</w:t>
      </w:r>
      <w:r>
        <w:rPr>
          <w:rFonts w:ascii="Calibri" w:hAnsi="Calibri" w:eastAsia="宋体"/>
          <w:b w:val="0"/>
          <w:sz w:val="22"/>
        </w:rPr>
        <w:t xml:space="preserve"> 《调研回应通报稿》+《休息与考勤优化试点决议》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6：跨部门协同与权责机制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员工侧信号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部门内氛围尚可，跨部门紧张、各自为战、信息差、推诿、会议低效。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组织正从“个人英雄”走向“体系作战”，但机制未跟上。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诉求：权责清晰、少无效会议、先解决问题再划责、铁三角真正落地。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建议讨论问题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1. 下半年最痛的 2–3 个跨部门接口是哪些（如业务—技术提资、物资—质检、设计—采购—现场）？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2. 是否按接口出台权责清单 + 升级路径（谁协调、谁拍板、时限）？</w:t>
      </w:r>
    </w:p>
    <w:p>
      <w:pPr>
        <w:spacing w:after="100" w:before="0" w:line="312" w:lineRule="auto"/>
        <w:ind w:left="113"/>
      </w:pPr>
      <w:r>
        <w:rPr>
          <w:rFonts w:ascii="Calibri" w:hAnsi="Calibri" w:eastAsia="宋体"/>
          <w:b w:val="0"/>
          <w:sz w:val="22"/>
        </w:rPr>
        <w:t>3. 会议机制如何改：经营决策会 vs 告状会，如何分流？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可选决策方向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A. 选定 2–3 个接口做权责清单与 SLA，季度复盘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B. 靠文化倡导与团建改善（风险：协同问题难结构性解决）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建议结论产物：</w:t>
      </w:r>
      <w:r>
        <w:rPr>
          <w:rFonts w:ascii="Calibri" w:hAnsi="Calibri" w:eastAsia="宋体"/>
          <w:b w:val="0"/>
          <w:sz w:val="22"/>
        </w:rPr>
        <w:t xml:space="preserve"> 《跨部门关键接口权责清单（下半年版）》</w:t>
      </w:r>
    </w:p>
    <w:p>
      <w:pPr>
        <w:spacing w:after="120" w:before="240" w:line="312" w:lineRule="auto"/>
      </w:pPr>
      <w:r>
        <w:rPr>
          <w:rFonts w:ascii="Calibri" w:hAnsi="Calibri" w:eastAsia="黑体"/>
          <w:b/>
          <w:sz w:val="26"/>
        </w:rPr>
        <w:t>三、选议议题（可专题会或部门方案后决策）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7：品牌资产沉淀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讨论点：重点项目是否强制素材采集；案例库谁建谁维护；品牌是否纳入项目/业务协同考核。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目标：把交付转化为可复用传播资产，服务获客而非“品牌部单点发力”。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8：AI 与数字化落地节奏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讨论点：P0 场景（知识库、翻译/标书、办公账号）是否 60–90 天试点；预算与数据安全红线；是否先上财务/业务数据底座再谈预测型 AI。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目标：避免概念空转，形成 2–3 个可见提效场景。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9：管理保障减负（财务 / 行政 / 法务审计尺度）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讨论点：报销弹性规则（如小额容差）、票务审批流优化、月报时效、财务系统上线节奏；法务审计“保护锁非枷锁”的尺度原则。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目标：降事务摩擦，保障部门转向业务支持。</w:t>
      </w:r>
    </w:p>
    <w:p>
      <w:pPr>
        <w:spacing w:after="100" w:before="160" w:line="312" w:lineRule="auto"/>
      </w:pPr>
      <w:r>
        <w:rPr>
          <w:rFonts w:ascii="Calibri" w:hAnsi="Calibri" w:eastAsia="黑体"/>
          <w:b/>
          <w:sz w:val="23"/>
        </w:rPr>
        <w:t>议题 10：人才梯队、激励与调研闭环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讨论点：新员工带教与师徒激励；绩效是否部门负责人真正经手；提成透明度与周期；优秀建言奖励与季度进展表。</w:t>
      </w:r>
    </w:p>
    <w:p>
      <w:pPr>
        <w:spacing w:after="100" w:before="0" w:line="312" w:lineRule="auto"/>
        <w:ind w:left="198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目标：支撑规模化，并闭环“建言—回应—改进”。</w:t>
      </w:r>
    </w:p>
    <w:p>
      <w:pPr>
        <w:spacing w:after="120" w:before="240" w:line="312" w:lineRule="auto"/>
      </w:pPr>
      <w:r>
        <w:rPr>
          <w:rFonts w:ascii="Calibri" w:hAnsi="Calibri" w:eastAsia="黑体"/>
          <w:b/>
          <w:sz w:val="26"/>
        </w:rPr>
        <w:t>四、建议的管理层会议结构（半天版）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时段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内容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0–10 分钟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调研结论速览（五条判断）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统一认知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10–90 分钟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议题 1–3（赛道、打单、执行）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经营策略主方向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90–130 分钟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议题 4–5（竞争力路径、员工体验）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战略路径 + 信任动作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130–160 分钟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议题 6 + 选议取舍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组织机制与专题授权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160–180 分钟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汇总决议、责任人、时间节点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《下半年关键点决议表》</w:t>
            </w:r>
          </w:p>
        </w:tc>
      </w:tr>
    </w:tbl>
    <w:p>
      <w:pPr>
        <w:spacing w:after="60"/>
      </w:pPr>
    </w:p>
    <w:p>
      <w:pPr>
        <w:spacing w:after="120" w:before="240" w:line="312" w:lineRule="auto"/>
      </w:pPr>
      <w:r>
        <w:rPr>
          <w:rFonts w:ascii="Calibri" w:hAnsi="Calibri" w:eastAsia="黑体"/>
          <w:b/>
          <w:sz w:val="26"/>
        </w:rPr>
        <w:t>五、下半年关键点决议表（会中填写）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序号</w:t>
            </w:r>
          </w:p>
        </w:tc>
        <w:tc>
          <w:tcPr>
            <w:tcW w:type="dxa" w:w="162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决议事项</w:t>
            </w:r>
          </w:p>
        </w:tc>
        <w:tc>
          <w:tcPr>
            <w:tcW w:type="dxa" w:w="162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结论（是/否/试点）</w:t>
            </w:r>
          </w:p>
        </w:tc>
        <w:tc>
          <w:tcPr>
            <w:tcW w:type="dxa" w:w="162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责任人</w:t>
            </w:r>
          </w:p>
        </w:tc>
        <w:tc>
          <w:tcPr>
            <w:tcW w:type="dxa" w:w="162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完成时点</w:t>
            </w:r>
          </w:p>
        </w:tc>
        <w:tc>
          <w:tcPr>
            <w:tcW w:type="dxa" w:w="162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6"/>
              </w:rPr>
              <w:t>成功标准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聚焦行业与第二曲线一页纸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线索/项目分级与提资前置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计划运营总控与复盘硬措施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竞争力主路径（EPC/产能）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调研通报 + 休息/考勤试点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跨部门接口权责清单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品牌素材/案例机制（选）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AI 试点场景与预算（选）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报销/审批减负清单（选）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  <w:t>建言奖励与季度进展表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>
      <w:pPr>
        <w:spacing w:after="60"/>
      </w:pPr>
    </w:p>
    <w:p>
      <w:pPr>
        <w:spacing w:after="120" w:before="240" w:line="312" w:lineRule="auto"/>
      </w:pPr>
      <w:r>
        <w:rPr>
          <w:rFonts w:ascii="Calibri" w:hAnsi="Calibri" w:eastAsia="黑体"/>
          <w:b/>
          <w:sz w:val="26"/>
        </w:rPr>
        <w:t>六、一句话建议</w:t>
      </w:r>
    </w:p>
    <w:p>
      <w:pPr>
        <w:spacing w:after="100" w:before="0" w:line="312" w:lineRule="auto"/>
      </w:pPr>
      <w:r>
        <w:rPr>
          <w:rFonts w:ascii="Calibri" w:hAnsi="Calibri" w:eastAsia="宋体"/>
          <w:b w:val="0"/>
          <w:sz w:val="22"/>
        </w:rPr>
        <w:t>下半年经营策略讨论，建议抓住一条主线：</w:t>
      </w:r>
    </w:p>
    <w:p>
      <w:pPr>
        <w:spacing w:after="100" w:before="0" w:line="312" w:lineRule="auto"/>
      </w:pPr>
      <w:r>
        <w:rPr>
          <w:rFonts w:ascii="Calibri" w:hAnsi="Calibri" w:eastAsia="宋体"/>
          <w:b/>
          <w:sz w:val="22"/>
        </w:rPr>
        <w:t>“赛道做深 + 打单做准 + 交付做稳”</w:t>
      </w:r>
      <w:r>
        <w:rPr>
          <w:rFonts w:ascii="Calibri" w:hAnsi="Calibri" w:eastAsia="宋体"/>
          <w:b w:val="0"/>
          <w:sz w:val="22"/>
        </w:rPr>
        <w:t xml:space="preserve">，同步用 </w:t>
      </w:r>
      <w:r>
        <w:rPr>
          <w:rFonts w:ascii="Calibri" w:hAnsi="Calibri" w:eastAsia="宋体"/>
          <w:b/>
          <w:sz w:val="22"/>
        </w:rPr>
        <w:t>“员工体验回应 + 协同机制”</w:t>
      </w:r>
      <w:r>
        <w:rPr>
          <w:rFonts w:ascii="Calibri" w:hAnsi="Calibri" w:eastAsia="宋体"/>
          <w:b w:val="0"/>
          <w:sz w:val="22"/>
        </w:rPr>
        <w:t xml:space="preserve"> 守住组织信任与执行力；AI、品牌、保障减负作为支撑项，不与主线抢决策带宽。</w:t>
      </w:r>
    </w:p>
    <w:p>
      <w:pPr>
        <w:spacing w:after="100" w:before="0" w:line="312" w:lineRule="auto"/>
      </w:pPr>
      <w:r>
        <w:rPr>
          <w:rFonts w:ascii="Calibri" w:hAnsi="Calibri" w:eastAsia="楷体"/>
          <w:b w:val="0"/>
          <w:sz w:val="18"/>
        </w:rPr>
        <w:t>本清单由《实荣2026财年内部管理调研》员工意见提炼，供第二阶段管理层议题讨论使用。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