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ascii="黑体" w:hAnsi="黑体" w:eastAsia="黑体"/>
          <w:b/>
          <w:sz w:val="36"/>
        </w:rPr>
        <w:t>总经理专项考核制度</w:t>
      </w: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第一部分  总则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一、目的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为强化公司经营重点工作及项目打单、执行过程中关键事项的闭环管理，弥补常规绩效考核对工资影响比例较低、侧重日常工作完成情况的不足，建立清单式、动态化的专项考核机制，压实责任、节点管控、结果兑现，特制定本制度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二、适用范围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本制度适用于公司全体中层及以上管理人员，以及经总经理批准纳入专项考核清单的具体责任人；适用于公司经营工作、项目打单工作及项目执行工作中列入专项考核清单的重点事项。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三、定义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总经理专项考核，是指对公司经营工作以及项目打单及执行工作中的重点工作，实行单列清单式管理，明确事项内容、责任人和完成时间，并依据节点完成情况进行考核兑现的管理方式。专项考核是公司绩效考核体系的有效补充，与常规绩效考核并行实施、分别兑现。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专项考核清单，是指由总经办统一归集、动态维护，经总经理审批后执行的重点工作事项台账，载明事项名称、事项来源、责任部门/责任人、完成节点、完成标准、推进状态及考核结果等内容。</w:t>
      </w: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第二部分  专项考核事项范围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一、可纳入专项考核的事项范围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属于以下情形的，经核实后可纳入专项考核清单：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（一）总经理交办的重大事项；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（二）公司经营重大事项，包括但不限于重大经营决策落地、关键经营指标攻坚、重大客户/重大合同推进、重大风险处置等；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（三）管理层例会及执行例会确定的重点工作事项；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（四）项目打单及项目执行过程中需跨部门协同、节点明确、对公司经营结果有重大影响的重点工作事项；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（五）其他经总经理审批同意纳入专项考核清单的事项。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二、不纳入专项考核的事项范围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属于以下情形，原则上不纳入专项考核清单：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（一）属于常规绩效考核覆盖的日常岗位工作事项；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（二）事项边界不清、责任主体无法明确、完成标准无法量化或无法验收的事项；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（三）未明确完成时间节点，或完成节点明显不具备可执行性的事项；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（四）未经总经理审批，擅自列入清单的事项。</w:t>
      </w: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第三部分  专项考核管理各部门职责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专项考核管理的第一责任部门为总经办，对专项考核事项的归集、动态维护、督办辅导、考核提报及档案管理负统一管理责任。各部门在此基础上按职责分工履行执行与支持职能。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第一条 总经办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（一）负责本制度的组织实施与统一管理；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（二）负责专项考核事项的收集、梳理、建账，形成专项考核清单，报总经理审批后执行；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（三）负责清单动态更新，跟踪事项推进状态，组织节点核查与完成情况确认；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（四）对未按节点完成的事项，组织辅导，协助责任人分析原因并重新匹配完成时间；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（五）按月汇总未完成事项及考核意见，报总经理审批后，移交相关部门兑现；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（六）负责专项考核相关资料的归档与统计分析，定期向总经理及管理层报告。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第二条 事项责任部门/责任人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（一）对纳入清单的事项负直接完成责任，应按明确节点推进并达成完成标准；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（二）及时向总经办反馈推进进展、风险及需协调事项，不得隐瞒延误；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（三）事项因客观原因无法按原节点完成的，应在节点到期前主动说明情况，配合总经办办理重新匹配时间或申诉事宜；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（四）对重新匹配时间后的事项，仍应严格按新节点完成。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第三条 各职能部门负责人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（一）对本部门列入专项考核清单的事项负管理责任，督促责任人按期完成；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（二）配合总经办开展事项核实、辅导及跨部门协调；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（三）在管理层例会、执行例会中提出拟纳入专项考核的重点事项建议。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第四条 人力资源部/财务部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（一）人力资源部负责依据经总经理审批的专项考核结果，办理考核金额在次月工资中的兑现，以及降薪等人事处理手续；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（二）财务部负责配合完成相关薪酬扣减的核算与发放支持；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（三）对考核兑现过程中涉及的数据核对提供专业支持。</w:t>
      </w: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第四部分  专项考核清单管理要求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第一条 清单式管理原则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专项考核事项实行单列清单式管理。每项事项须明确：事项名称、事项来源、责任部门、责任人、完成时间、完成标准、当前状态。不得将责任不清、节点不清的事项笼统列入清单。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第二条 动态管理原则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（一）专项考核清单由总经办实行动态管理，可根据经营需要、会议决议及总经理交办情况增补、调整或销项；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（二）事项完成后，经总经办核实确认，报总经理同意后予以销项关闭；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（三）事项内容、责任人或完成时间发生变更的，须履行审批程序后更新清单，不得擅自变更。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第三条 立项与审批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（一）专项考核事项来源包括：总经理交办、经营重大事项提报、管理层例会及执行例会重点工作提炼等；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（二）总经办汇总拟纳入事项后，形成专项考核清单（或增补清单），报总经理审批；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（三）未经总经理审批的事项，不得作为专项考核依据执行。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第四条 过程跟踪与节点管理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（一）责任人应按节点推进事项，总经办按清单进行督办跟踪；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（二）事项未按照节点完成的，纳入当月未完成事项统计；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（三）对未完成事项，由总经办进行辅导，组织责任人分析原因，重新匹配完成时间，并更新清单；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（四）重新匹配时间后仍未完成的，按本制度第五部分规定进行降薪处理。</w:t>
      </w: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第五部分  考核标准与兑现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第一条 未完成事项考核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事项未按照节点完成的，对事项责任人按300元/个进行考核，考核结果于次月工资兑现。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第二条 重新匹配时间后仍未完成的处理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对未完成事项，由总经办辅导后重新匹配完成时间；如重新匹配时间后仍未完成的，对责任人进行降薪处理。降薪幅度及执行方式由总经办提出建议，报总经理审批后执行。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第三条 不可抗力及非主观原因申诉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过程中如遇不可抗力或非主观原因导致事项未能按节点完成的，可一事一议提出申诉，经总经理批准后，可减免考核、调整节点或不予降薪。申诉应由责任人书面说明原因及证明材料，经总经办核实后报总经理审批执行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第四条 考核结果运用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（一）专项考核结果与常规绩效考核分别核算、分别兑现，互不影响既有绩效考核规则；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（二）专项考核情况可作为干部履职评价、岗位调整及评优评先的重要参考；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（三）连续多次未完成或造成重大经营影响的，除按本制度考核外，可另行提请总经理从重处理。</w:t>
      </w: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第六部分  档案管理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第一条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专项考核档案由总经办统一建档管理，需包含：专项考核清单及历次更新记录、事项完成证明或验收记录、未完成事项统计表、辅导及重新匹配时间记录、考核兑现审批单、申诉及审批材料等。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第二条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专项考核清单实行统一编号管理，事项增补、变更、销项均应留痕，确保可追溯。</w:t>
      </w:r>
    </w:p>
    <w:p>
      <w:pPr>
        <w:spacing w:before="280" w:after="160"/>
        <w:jc w:val="left"/>
      </w:pPr>
      <w:r>
        <w:rPr>
          <w:rFonts w:ascii="黑体" w:hAnsi="黑体" w:eastAsia="黑体"/>
          <w:b/>
          <w:sz w:val="28"/>
        </w:rPr>
        <w:t>第七部分  附则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第一条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本制度由总经办负责解释并组织实施。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第二条</w:t>
      </w:r>
    </w:p>
    <w:p>
      <w:pPr>
        <w:spacing w:before="40" w:after="40" w:line="360" w:lineRule="auto"/>
        <w:ind w:firstLine="420"/>
      </w:pPr>
      <w:r>
        <w:rPr>
          <w:rFonts w:ascii="宋体" w:hAnsi="宋体" w:eastAsia="宋体"/>
          <w:b w:val="0"/>
          <w:sz w:val="24"/>
        </w:rPr>
        <w:t>本制度自发布之日起施行。如与公司其他制度不一致的，涉及专项考核事项的，以本制度为准；其他事项仍按公司相关制度执行。</w:t>
      </w:r>
    </w:p>
    <w:p>
      <w:pPr>
        <w:spacing w:before="720"/>
        <w:jc w:val="right"/>
      </w:pPr>
      <w:r>
        <w:rPr>
          <w:rFonts w:ascii="宋体" w:hAnsi="宋体" w:eastAsia="宋体"/>
          <w:b w:val="0"/>
          <w:sz w:val="24"/>
        </w:rPr>
        <w:t>河南实荣筒仓工程有限公司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2026年07月</w:t>
      </w:r>
    </w:p>
    <w:p>
      <w:r>
        <w:br w:type="page"/>
      </w:r>
    </w:p>
    <w:p>
      <w:pPr>
        <w:spacing w:before="120" w:after="360"/>
        <w:jc w:val="center"/>
      </w:pPr>
      <w:r>
        <w:rPr>
          <w:rFonts w:ascii="黑体" w:hAnsi="黑体" w:eastAsia="黑体"/>
          <w:b/>
          <w:sz w:val="36"/>
        </w:rPr>
        <w:t>附件：总经理专项考核清单（模板）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事项名称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事项来源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责任部门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责任人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完成时间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完成标准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当前状态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考核结果</w:t>
            </w:r>
          </w:p>
        </w:tc>
        <w:tc>
          <w:tcPr>
            <w:tcW w:type="dxa" w:w="87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</w:tbl>
    <w:p>
      <w:pPr>
        <w:spacing w:before="240"/>
      </w:pPr>
      <w:r>
        <w:rPr>
          <w:rFonts w:ascii="黑体" w:hAnsi="黑体" w:eastAsia="黑体"/>
          <w:b/>
          <w:sz w:val="20"/>
        </w:rPr>
        <w:t>填表说明：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事项来源填写：总经理交办 / 经营重大事项 / 管理层例会 / 执行例会 / 其他（需注明）。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当前状态填写：推进中 / 已按期完成 / 逾期未完成 / 已重新匹配时间 / 已销项 等。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3. 考核结果填写：无 / 考核300元 / 降薪（注明幅度） / 申诉减免 等。</w:t>
      </w:r>
    </w:p>
    <w:p>
      <w:pPr>
        <w:spacing w:before="20" w:after="20" w:line="360" w:lineRule="auto"/>
        <w:ind w:firstLine="420"/>
      </w:pPr>
      <w:r>
        <w:rPr>
          <w:rFonts w:ascii="宋体" w:hAnsi="宋体" w:eastAsia="宋体"/>
          <w:b w:val="0"/>
          <w:sz w:val="24"/>
        </w:rPr>
        <w:t>4. 本清单一事一列，由总经办动态维护，报总经理审批后执行。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