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 w:line="300" w:lineRule="auto"/>
        <w:jc w:val="center"/>
      </w:pPr>
      <w:r>
        <w:rPr>
          <w:rFonts w:ascii="Calibri" w:hAnsi="Calibri" w:eastAsia="黑体"/>
          <w:b/>
          <w:sz w:val="32"/>
        </w:rPr>
        <w:t>2026财年内部管理调研 · 管理层关键议题清单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背景：</w:t>
      </w:r>
      <w:r>
        <w:rPr>
          <w:rFonts w:ascii="Calibri" w:hAnsi="Calibri" w:eastAsia="宋体"/>
          <w:b w:val="0"/>
          <w:sz w:val="21"/>
        </w:rPr>
        <w:t xml:space="preserve"> 第一阶段员工意见搜集已完成（有效答卷 58 份）。第二阶段需围绕关键议题开展管理层讨论，明确下半年经营策略方向与关键点。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使用方式：</w:t>
      </w:r>
      <w:r>
        <w:rPr>
          <w:rFonts w:ascii="Calibri" w:hAnsi="Calibri" w:eastAsia="宋体"/>
          <w:b w:val="0"/>
          <w:sz w:val="21"/>
        </w:rPr>
        <w:t xml:space="preserve"> 建议管理层会优先讨论【必议】议题并形成结论；【选议】议题可并入专题会或责成部门方案后再决。每个议题给出建议讨论问题与可选决策方向，便于当场拍板或明确下一步责任人。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6"/>
        </w:rPr>
        <w:t>一、议题总览（建议优先序）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优先级</w:t>
            </w:r>
          </w:p>
        </w:tc>
        <w:tc>
          <w:tcPr>
            <w:tcW w:type="dxa" w:w="199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议题</w:t>
            </w:r>
          </w:p>
        </w:tc>
        <w:tc>
          <w:tcPr>
            <w:tcW w:type="dxa" w:w="199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类型</w:t>
            </w:r>
          </w:p>
        </w:tc>
        <w:tc>
          <w:tcPr>
            <w:tcW w:type="dxa" w:w="199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调研信号强度</w:t>
            </w:r>
          </w:p>
        </w:tc>
        <w:tc>
          <w:tcPr>
            <w:tcW w:type="dxa" w:w="199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建议会时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赛道聚焦与第二增长曲线取舍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必议·战略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高（40%提及聚焦）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40–60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打单资源聚焦：线索/项目分级与成单率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必议·经营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高（成单率/询盘浪费）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项目执行总控：计划运营与交付口碑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必议·经营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高（设计—采购—施工断链）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核心竞争力路径：EPC深化 vs 自有产能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必议·战略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中高（集成商定价权焦虑）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30–40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员工体验与组织信任：双休/考勤/调休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必议·组织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高（38%提及休息制度）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跨部门协同与权责机制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必议·组织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高（45%提及协同）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品牌资产沉淀：素材供给与案例体系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选议·增长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高（47%提及标杆/案例）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20–30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AI 与数字化落地节奏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选议·能力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中高（场景建议具体）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20–30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9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管理保障减负：报销/审批/服务导向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选议·组织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中（财务意见最具体）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人才梯队、激励与调研闭环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选议·组织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中（带教/绩效/晋升）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20 分钟</w:t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6"/>
        </w:rPr>
        <w:t>二、必议议题（细化版·建议本轮管理层会完成）</w:t>
      </w:r>
    </w:p>
    <w:p>
      <w:pPr>
        <w:spacing w:after="120" w:before="40" w:line="300" w:lineRule="auto"/>
      </w:pPr>
      <w:r>
        <w:rPr>
          <w:rFonts w:ascii="Calibri" w:hAnsi="Calibri" w:eastAsia="楷体"/>
          <w:b w:val="0"/>
          <w:sz w:val="19"/>
        </w:rPr>
        <w:t>每个议题按同一结构写清：</w:t>
      </w:r>
      <w:r>
        <w:rPr>
          <w:rFonts w:ascii="Calibri" w:hAnsi="Calibri" w:eastAsia="楷体"/>
          <w:b/>
          <w:sz w:val="19"/>
        </w:rPr>
        <w:t>现在卡在哪 → 会上必须拍板什么 → 可选方案 → 会后产物/责任人</w:t>
      </w:r>
      <w:r>
        <w:rPr>
          <w:rFonts w:ascii="Calibri" w:hAnsi="Calibri" w:eastAsia="楷体"/>
          <w:b w:val="0"/>
          <w:sz w:val="19"/>
        </w:rPr>
        <w:t>。尽量当场形成可执行结论，避免只达成“原则同意”。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1：赛道聚焦与第二增长曲线取舍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1.1 现在卡在哪（结合调研）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对外一会儿讲筒仓设备、一会儿讲散料储运、一会儿讲智慧储运/EPC，</w:t>
      </w:r>
      <w:r>
        <w:rPr>
          <w:rFonts w:ascii="Calibri" w:hAnsi="Calibri" w:eastAsia="宋体"/>
          <w:b/>
          <w:sz w:val="21"/>
        </w:rPr>
        <w:t>口径不统一</w:t>
      </w:r>
      <w:r>
        <w:rPr>
          <w:rFonts w:ascii="Calibri" w:hAnsi="Calibri" w:eastAsia="宋体"/>
          <w:b w:val="0"/>
          <w:sz w:val="21"/>
        </w:rPr>
        <w:t>，客户与员工都不清楚公司到底“主打什么”。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行业铺得宽（水泥、粮食、港口、矿产、能源、甚至钢结构旁支都有人提），技术与案例积累被摊薄，员工原话高频是：</w:t>
      </w:r>
      <w:r>
        <w:rPr>
          <w:rFonts w:ascii="Calibri" w:hAnsi="Calibri" w:eastAsia="宋体"/>
          <w:b/>
          <w:sz w:val="21"/>
        </w:rPr>
        <w:t>“什么都能做，什么都不精。”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第二曲线建议很多（旧仓改造/运维、智能化、特殊物料、技术图纸包等），但</w:t>
      </w:r>
      <w:r>
        <w:rPr>
          <w:rFonts w:ascii="Calibri" w:hAnsi="Calibri" w:eastAsia="宋体"/>
          <w:b/>
          <w:sz w:val="21"/>
        </w:rPr>
        <w:t>没有排序、没有资源上限、没有退出标准</w:t>
      </w:r>
      <w:r>
        <w:rPr>
          <w:rFonts w:ascii="Calibri" w:hAnsi="Calibri" w:eastAsia="宋体"/>
          <w:b w:val="0"/>
          <w:sz w:val="21"/>
        </w:rPr>
        <w:t>，容易同时想做、哪个都做不透。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1.2 会上必须拍板的 4 件事（请逐条勾选）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拍板事项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必须形成的具体结论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下半年主航道行业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明确写出 2–3 个行业名称（建议从水泥建材 / 粮食储运 / 港口散货 / 矿产煤炭能源中选定）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机会型行业边界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哪些行业“客户找上门可做、但不主动投放售前与品牌资源”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不做什么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明确 1–2 类暂不主动拓展的方向（如与储运弱相关的通用钢结构旁支、单机设备纯贸易等）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第二曲线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只选 1 条先验证；写清试点目标、投入上限、3–6 个月退出/加码标准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1.3 可选方案（便于当场二选一/组合）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方案</w:t>
            </w:r>
          </w:p>
        </w:tc>
        <w:tc>
          <w:tcPr>
            <w:tcW w:type="dxa" w:w="2493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内容</w:t>
            </w:r>
          </w:p>
        </w:tc>
        <w:tc>
          <w:tcPr>
            <w:tcW w:type="dxa" w:w="2493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优点</w:t>
            </w:r>
          </w:p>
        </w:tc>
        <w:tc>
          <w:tcPr>
            <w:tcW w:type="dxa" w:w="2493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风险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 聚焦做深（推荐）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主航道 2–3 个行业占约 70% 售前/技术/品牌资源；试验仓 30%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案例与口碑可积累，专业辨识度上升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短期可能放弃部分杂单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B 维持广覆盖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行业不收窄，只靠项目经理个人判断筛单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短期商机面大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继续稀释，成单与交付都难做精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C 第二曲线优先“存量改造+运维”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备件、检修、智能化改造、老仓升级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毛利稳、粘客户、投入相对可控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需业务从“卖新建”转向“卖服务”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D 第二曲线优先“工业散料一体化延伸”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破碎/烘干/输送/装卸等向工艺链前后延伸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客单更大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技术与供应链门槛更高，更吃资源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1.4 会后产物（写到纸上才算议完）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《下半年赛道决议一页纸》：主航道 / 机会型 / 暂缓清单 + 第二曲线试点卡片（目标、负责人、预算上限、评估日）。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建议责任人：经营层拍板；品牌/业务按决议统一对外口径（含官网、方案封面、展会话术）。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2：打单资源聚焦——线索/项目分级与成单率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2.1 现在卡在哪（结合调研）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前端：</w:t>
      </w:r>
      <w:r>
        <w:rPr>
          <w:rFonts w:ascii="Calibri" w:hAnsi="Calibri" w:eastAsia="宋体"/>
          <w:b w:val="0"/>
          <w:sz w:val="21"/>
        </w:rPr>
        <w:t xml:space="preserve"> 询盘多、真项目少；比价型、信息不全的线索仍进入技术方案池。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中段：</w:t>
      </w:r>
      <w:r>
        <w:rPr>
          <w:rFonts w:ascii="Calibri" w:hAnsi="Calibri" w:eastAsia="宋体"/>
          <w:b w:val="0"/>
          <w:sz w:val="21"/>
        </w:rPr>
        <w:t xml:space="preserve"> 业务未澄清物料来源去向、工艺流程、报价范围、品牌要求，就提技术任务；技术多项目并行、方案时间被压，细节做不深。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后端：</w:t>
      </w:r>
      <w:r>
        <w:rPr>
          <w:rFonts w:ascii="Calibri" w:hAnsi="Calibri" w:eastAsia="宋体"/>
          <w:b w:val="0"/>
          <w:sz w:val="21"/>
        </w:rPr>
        <w:t xml:space="preserve"> 报价缺高/中/低分档与竞对价格情报；丢单缺少复盘，同样错误重复发生。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结果：</w:t>
      </w:r>
      <w:r>
        <w:rPr>
          <w:rFonts w:ascii="Calibri" w:hAnsi="Calibri" w:eastAsia="宋体"/>
          <w:b w:val="0"/>
          <w:sz w:val="21"/>
        </w:rPr>
        <w:t xml:space="preserve"> 技术很忙、成单率不高；重点项目反而投入不足。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2.2 会上必须拍板的 5 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拍板事项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具体到可执行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是否实行三级分类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战略客户/项目、重点、一般——名称可改，但必须有三级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每级响应标准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例如：战略=铁三角定期项目会+定制方案；重点=组长+业务+技术；一般=标准资料快响、不深做结构计算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提资前置清单是否强制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清单字段至少含：物料、来源/去向、流程、范围、品牌要求、决策人；缺项可否退回业务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技术资源保护规则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一般类线索是否禁止占用高级工程师长时间；并行询盘上限是否设定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复盘是否进经营会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每月固定议：成单原因 / 丢单原因 / 下月资源调整；谁提交材料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2.3 可选方案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方案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内容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 制度落地（推荐）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45 天内发布分级 SOP + 提资检查表 + 富通/任务系统必填项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真正改变资源分配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B 只宣导不改系统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会上强调“抓大放小”，流程与系统不变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大概率回到原状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C 报价分档同步试点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对重点项目提供高/中/低配置报价（品牌与配套差异）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降低“一刀切高价吓跑客户”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2.4 会后产物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《项目/线索分级标准表》（一页）+《询盘提资必填清单》（一页）+ 落地负责人（业务负责人 + 技术负责人）与上线日。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经营会增加固定议程：“上月重点项目推进与丢单复盘”（计划运营或业务汇总）。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3：项目执行总控——计划运营与交付口碑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3.1 现在卡在哪（结合调研）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员工描述的断链非常具体，不是抽象“协同不好”：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深化设计滞后或不深 → 采购/厂家节奏乱；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物资与质检信息不对称 → 进度与质量各说各话；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发货不贴合现场 → 窝工或货到长期不装；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现场赶工返工、劳务质量不稳 → 口碑与成本双损。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同时存在“出了问题先划责、后解决”的文化摩擦。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3.2 会上必须拍板的 5 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拍板事项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具体到可执行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计划运营总控权限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全景节点计划是否对技术/采购/质检/物流/工程具约束力？延期是否可考核到部门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三项强制动作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①开工/启动交底 ②变更书面纪要 ③完工复盘（含避坑清单）——是否强制、谁召集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供应商管理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是否本半年内完成分级（A/B/C）+ 质量/交期与份额挂钩 + 末位淘汰规则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质检底线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发货前必检项清单（尤其焊接与细节）是否公司级标准；不合格是否可拦发货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考核挂钩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节点达成率、重大返工、客户重大投诉是否进入项目组织奖金/项目经理考核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3.3 可选方案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方案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内容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 总控强化（推荐）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计划运营出“一张图/表”；后端双线管理（部门专业线 + 计划节点线）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直接对应调研高频建议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B 维持现状+加会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仍靠协调会推动，节点无考核牙齿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会议更多，断链难消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C 质量安全一票否决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重大质量/安全问题一票否决评优与奖金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与“先止损后追责”并行：现场先复产，事后复盘定责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3.4 会后产物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《下半年交付提升三项硬措施》：①总控权限说明 ②交底/变更/复盘制度 ③供应商分级与发货前质检标准（附责任人与完成日）。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4：核心竞争力路径——EPC 做深 vs 制造产能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4.1 这句话在说什么（先统一概念）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纯集成商：</w:t>
      </w:r>
      <w:r>
        <w:rPr>
          <w:rFonts w:ascii="Calibri" w:hAnsi="Calibri" w:eastAsia="宋体"/>
          <w:b w:val="0"/>
          <w:sz w:val="21"/>
        </w:rPr>
        <w:t xml:space="preserve"> 自己做方案、设计、采购组织、施工管理，但筒仓等核心制造主要外协，客户参观难见自有产线/样品。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缺定价权：</w:t>
      </w:r>
      <w:r>
        <w:rPr>
          <w:rFonts w:ascii="Calibri" w:hAnsi="Calibri" w:eastAsia="宋体"/>
          <w:b w:val="0"/>
          <w:sz w:val="21"/>
        </w:rPr>
        <w:t xml:space="preserve"> 成本与交期受制于外部工厂；竞标时既难稳利润，也难稳交付承诺；长期容易陷入拼关系、拼价格。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调研里部分同事因此呼吁：</w:t>
      </w:r>
      <w:r>
        <w:rPr>
          <w:rFonts w:ascii="Calibri" w:hAnsi="Calibri" w:eastAsia="宋体"/>
          <w:b/>
          <w:sz w:val="21"/>
        </w:rPr>
        <w:t>自建工厂，或参股/战略协议绑定关键制造产能</w:t>
      </w:r>
      <w:r>
        <w:rPr>
          <w:rFonts w:ascii="Calibri" w:hAnsi="Calibri" w:eastAsia="宋体"/>
          <w:b w:val="0"/>
          <w:sz w:val="21"/>
        </w:rPr>
        <w:t>；也有人主张先把深化设计、履约口碑、本地化服务做成壁垒，不必急着重资产。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4.2 现在卡在哪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员工对“公司到底靠什么赢”并不统一：有人押 EPC 整合，有人押技术研发，有人押制造产能，有人押人才组织。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若战略不表态，下半年资源会在“到处试点”中分散（自研样品、参股工厂、新工艺标签同时推进）。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4.3 会上必须拍板的 4 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拍板事项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具体到可执行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12–24 个月主路径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三选一写死：①EPC+履约+深化设计为主；②制造产能补齐为主；③双轮并行（需同时批预算与团队）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若涉产能，试点边界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只允许：单品类（如某类筒仓）+ 租赁/参股/战略绑定之一 + 投资上限 + 退出条件；是否禁止“全面自建重资产工厂”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必须产品化的技术标签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从智能监测/防腐气密出料/绿色低碳等中选出 1–2 个，要求半年内形成可对外售卖的标准方案包（不是口号）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供应链绑定底线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对关键仓型/关键件，是否要求战略供应商协议（交期、质量、备货、价格公式）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4.4 可选方案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方案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内容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适合条件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 主路径=EPC做深（稳健）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资源优先投深化设计能力、标杆履约、重点市场服务网络；产能仅专题论证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现金流与管理带宽优先稳交付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B 主路径=产能试点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明确一个品类、一种绑定方式、一个负责人、一个季度里程碑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已有明确样品/专利/客户参观痛点且算得过账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C 先绑定后自建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2026 下半年只做战略协议/参股/专线，不拍自建厂房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降低重资产风险，同时回应“定价权”焦虑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4.5 会后产物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《核心竞争力主路径决议》（一段话即可）+ 若选试点则附《产能/供应链试点立项卡》（品类、方式、预算、负责人、评估日）。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5：员工体验与组织信任——双休 / 考勤 / 调休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5.1 现在卡在哪（这不是福利空谈，是经营议题）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约四成答卷提到休息/调休相关诉求：周六产出低、法定假与单休叠加不合理、驻外/出差调休不对等、调休到期一刀切。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考勤痛点非常具体：28 楼电梯拥堵 + 必须连公司 WiFi 打卡 → 早高峰焦虑。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调研动员时承诺会认真研究建议；若只收集不回应，员工明确说：</w:t>
      </w:r>
      <w:r>
        <w:rPr>
          <w:rFonts w:ascii="Calibri" w:hAnsi="Calibri" w:eastAsia="宋体"/>
          <w:b/>
          <w:sz w:val="21"/>
        </w:rPr>
        <w:t>下次没人认真写。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5.2 会上必须拍板的 5 件事（建议当场定“做/试点/不做+理由”）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拍板事项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可选具体口径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调研通报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 2 周内全员通报：已采纳 / 研究试点 / 暂缓及理由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休息制度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①维持单双休；②弹性双休试点（有任务周六到岗，无任务休息）；③逐步双休——三选一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调休规则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是否修订：出差遇双休按实际天数、驻外补偿、到期前提醒、法定假不挪用月休凑长假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考勤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是否启用楼下定位打卡 / 错峰上班 / 弹性上下班中的一项或组合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试点评估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若试点：范围（全员或职能部门）、周期（如 8–10 月）、评估指标（产出、加班、离职意向、投诉）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5.3 可选方案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方案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内容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预期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 通报+低成本先改考勤（必做底座）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 周通报；先改打卡方式缓解电梯问题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快速建立“建言有用”的信任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B 弹性双休试点（推荐讨论）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业务高峰可到岗，不计特殊加班成本；无事真休息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回应最高频诉求，又保留经营弹性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C 暂不改休息制度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必须在通报中给清理由与替代补偿（如调休优化、驻外补贴）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避免“沉默=漠视”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5.4 会后产物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《调研结果与公司态度通报稿》（总经办）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《休息/考勤/调休决议纪要》（人力+行政）：做什么、谁负责、何时生效、如何评估。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6：跨部门协同与权责机制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6.1 现在卡在哪（结合调研中的具体摩擦点）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调研里反复出现、且已具体到接口的问题，建议本轮只啃最痛的，不空谈“加强协同”：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高频摩擦接口</w:t>
            </w:r>
          </w:p>
        </w:tc>
        <w:tc>
          <w:tcPr>
            <w:tcW w:type="dxa" w:w="4986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员工描述的典型现象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 ↔ 技术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需求未澄清就提资；方案反复重启；会议多、打磨少；打单与执行任务互相打断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设计 ↔ 采购 ↔ 质检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提资参数不清；厂家返资慢；物资与质检信息不共享；质量问题到现场才爆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 ↔ 现场施工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发货不听现场节奏，窝工或积压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保障部门 ↔ 业务一线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报销/票务/盖章审批慢；制度与现场脱节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会议机制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会时长、变“告状会”，结论与目标不清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6.2 会上必须拍板的 4 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拍板事项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具体到可执行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本半年只攻坚哪 2–3 个接口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从上表勾选，不要超过 3 个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每个接口的RACI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谁负责（R）、谁审批（A）、谁配合（C）、谁知会（I）；升级找谁、时限多少小时/天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先复产还是先定责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是否明确原则：影响交付的问题 24/48 小时内先形成处置方案，复盘追责放项目节点后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会议分流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经营决策会只谈结论与资源；争议协调走专题会；禁止无结论的互相指控占用经营会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6.3 可选方案（按接口举例，便于直接改成决议）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示例：业务—技术提资接口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业务提交提资单 → 技术预审（4 小时内）→ 缺项退回 / 受理排期 → 战略/重点项目才开碰头会。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禁止：信息不全直接建任务、多业务同时打断同一设计人。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示例：物资—质检接口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统一生产进度与质量台账，一手信息共享；质检拦发货有标准、有记录、有升级路径。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示例：发货—现场接口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发货计划默认听取现场项目经理意见；冲突由计划运营 24 小时内裁决。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6.4 会后产物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《跨部门关键接口权责清单（下半年版）》（最多 3 个接口，每个接口半页）。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指定总协调人（建议计划运营或总经办）与季度复盘日。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6"/>
        </w:rPr>
        <w:t>三、选议议题（可专题会或部门方案后决策）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7：品牌资产沉淀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讨论点：重点项目是否强制素材采集；案例库谁建谁维护；品牌是否纳入项目/业务协同考核。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目标：把交付转化为可复用传播资产，服务获客而非“品牌部单点发力”。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8：AI 与数字化落地节奏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讨论点：P0 场景（知识库、翻译/标书、办公账号）是否 60–90 天试点；预算与数据安全红线；是否先上财务/业务数据底座再谈预测型 AI。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目标：避免概念空转，形成 2–3 个可见提效场景。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9：管理保障减负（财务 / 行政 / 法务审计尺度）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讨论点：报销弹性规则（如小额容差）、票务审批流优化、月报时效、财务系统上线节奏；法务审计“保护锁非枷锁”的尺度原则。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目标：降事务摩擦，保障部门转向业务支持。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10：人才梯队、激励与调研闭环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讨论点：新员工带教与师徒激励；绩效是否部门负责人真正经手；提成透明度与周期；优秀建言奖励与季度进展表。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目标：支撑规模化，并闭环“建言—回应—改进”。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6"/>
        </w:rPr>
        <w:t>四、建议的管理层会议结构（半天版）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时段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内容</w:t>
            </w:r>
          </w:p>
        </w:tc>
        <w:tc>
          <w:tcPr>
            <w:tcW w:type="dxa" w:w="3324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产出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0–10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调研结论速览（五条判断）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统一认知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10–90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1–3（赛道、打单、执行）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经营策略主方向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90–130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4–5（竞争力路径、员工体验）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战略路径 + 信任动作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130–160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6 + 选议取舍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组织机制与专题授权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160–180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汇总决议、责任人、时间节点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《下半年关键点决议表》</w:t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6"/>
        </w:rPr>
        <w:t>五、下半年关键点决议表（会中填写）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序号</w:t>
            </w:r>
          </w:p>
        </w:tc>
        <w:tc>
          <w:tcPr>
            <w:tcW w:type="dxa" w:w="1662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决议事项</w:t>
            </w:r>
          </w:p>
        </w:tc>
        <w:tc>
          <w:tcPr>
            <w:tcW w:type="dxa" w:w="1662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结论（是/否/试点）</w:t>
            </w:r>
          </w:p>
        </w:tc>
        <w:tc>
          <w:tcPr>
            <w:tcW w:type="dxa" w:w="1662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责任人</w:t>
            </w:r>
          </w:p>
        </w:tc>
        <w:tc>
          <w:tcPr>
            <w:tcW w:type="dxa" w:w="1662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完成时点</w:t>
            </w:r>
          </w:p>
        </w:tc>
        <w:tc>
          <w:tcPr>
            <w:tcW w:type="dxa" w:w="1662"/>
            <w:shd w:fill="D9E2F3" w:val="clear"/>
          </w:tcPr>
          <w:p>
            <w:r/>
            <w:r>
              <w:rPr>
                <w:rFonts w:ascii="Calibri" w:hAnsi="Calibri" w:eastAsia="黑体"/>
                <w:b/>
                <w:sz w:val="16"/>
              </w:rPr>
              <w:t>成功标准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聚焦行业与第二曲线一页纸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线索/项目分级与提资前置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计划运营总控与复盘硬措施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竞争力主路径（EPC/产能）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调研通报 + 休息/考勤试点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跨部门接口权责清单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品牌素材/案例机制（选）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AI 试点场景与预算（选）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9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报销/审批减负清单（选）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10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建言奖励与季度进展表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6"/>
        </w:rPr>
        <w:t>六、一句话建议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下半年经营策略讨论，建议抓住一条主线：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“赛道做深 + 打单做准 + 交付做稳”</w:t>
      </w:r>
      <w:r>
        <w:rPr>
          <w:rFonts w:ascii="Calibri" w:hAnsi="Calibri" w:eastAsia="宋体"/>
          <w:b w:val="0"/>
          <w:sz w:val="21"/>
        </w:rPr>
        <w:t xml:space="preserve">，同步用 </w:t>
      </w:r>
      <w:r>
        <w:rPr>
          <w:rFonts w:ascii="Calibri" w:hAnsi="Calibri" w:eastAsia="宋体"/>
          <w:b/>
          <w:sz w:val="21"/>
        </w:rPr>
        <w:t>“员工体验回应 + 协同机制”</w:t>
      </w:r>
      <w:r>
        <w:rPr>
          <w:rFonts w:ascii="Calibri" w:hAnsi="Calibri" w:eastAsia="宋体"/>
          <w:b w:val="0"/>
          <w:sz w:val="21"/>
        </w:rPr>
        <w:t xml:space="preserve"> 守住组织信任与执行力；AI、品牌、保障减负作为支撑项，不与主线抢决策带宽。</w:t>
      </w:r>
    </w:p>
    <w:p>
      <w:pPr>
        <w:spacing w:after="80" w:before="0" w:line="300" w:lineRule="auto"/>
      </w:pPr>
      <w:r>
        <w:rPr>
          <w:rFonts w:ascii="Calibri" w:hAnsi="Calibri" w:eastAsia="楷体"/>
          <w:b w:val="0"/>
          <w:sz w:val="18"/>
        </w:rPr>
        <w:t>本清单由《实荣2026财年内部管理调研》员工意见提炼，供第二阶段管理层议题讨论使用。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