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3154C">
      <w:pPr>
        <w:pStyle w:val="31"/>
        <w:jc w:val="center"/>
      </w:pPr>
      <w:r>
        <w:t>知识库 RAG 问答系统设计方案</w:t>
      </w:r>
    </w:p>
    <w:p w14:paraId="563B727C">
      <w:pPr>
        <w:tabs>
          <w:tab w:val="center" w:pos="5099"/>
          <w:tab w:val="right" w:pos="10080"/>
        </w:tabs>
        <w:jc w:val="left"/>
        <w:rPr>
          <w:rFonts w:hint="eastAsia" w:eastAsia="微软雅黑"/>
          <w:lang w:eastAsia="zh-CN"/>
        </w:rPr>
      </w:pPr>
      <w:r>
        <w:rPr>
          <w:rFonts w:hint="eastAsia"/>
          <w:color w:val="5A5A5A"/>
          <w:lang w:eastAsia="zh-CN"/>
        </w:rPr>
        <w:tab/>
      </w:r>
      <w:r>
        <w:rPr>
          <w:color w:val="5A5A5A"/>
        </w:rPr>
        <w:t>根据 .collab/tasks/002-rag-system.md 中 Claude 架构方案与后续工程调整整理</w:t>
      </w:r>
      <w:r>
        <w:rPr>
          <w:rFonts w:hint="eastAsia"/>
          <w:color w:val="5A5A5A"/>
          <w:lang w:eastAsia="zh-CN"/>
        </w:rPr>
        <w:tab/>
      </w:r>
      <w:bookmarkStart w:id="0" w:name="_GoBack"/>
      <w:bookmarkEnd w:id="0"/>
    </w:p>
    <w:p w14:paraId="0D48E57F">
      <w:r>
        <w:t>日期：2026-06-30</w:t>
      </w:r>
    </w:p>
    <w:p w14:paraId="7E727BBC">
      <w:pPr>
        <w:pStyle w:val="3"/>
      </w:pPr>
      <w:r>
        <w:t>1. 项目背景</w:t>
      </w:r>
    </w:p>
    <w:p w14:paraId="5D096085">
      <w:r>
        <w:t>Amazon Agent 运营台已有 FastAPI 后端与 DeepSeek AI 能力。本次新增知识库 RAG 问答模块，用于上传或批量导入 PDF、TXT、Markdown/Obsidian Vault 文档，并基于向量检索结果调用现有 LLM 进行问答。</w:t>
      </w:r>
    </w:p>
    <w:p w14:paraId="5781933F">
      <w:pPr>
        <w:pStyle w:val="3"/>
      </w:pPr>
      <w:r>
        <w:t>2. 架构目标</w:t>
      </w:r>
    </w:p>
    <w:p w14:paraId="5160586E">
      <w:pPr>
        <w:pStyle w:val="16"/>
      </w:pPr>
      <w:r>
        <w:t>不新建独立项目，在现有 app/ 目录下新增 app/rag/ 模块。</w:t>
      </w:r>
    </w:p>
    <w:p w14:paraId="1CBD8642">
      <w:pPr>
        <w:pStyle w:val="16"/>
      </w:pPr>
      <w:r>
        <w:t>复用现有 LLM 客户端，不在 RAG 模块内单独实现新的 LLM 调用层。</w:t>
      </w:r>
    </w:p>
    <w:p w14:paraId="3E636AF0">
      <w:pPr>
        <w:pStyle w:val="16"/>
      </w:pPr>
      <w:r>
        <w:t>提供 /api/rag 前缀下的健康检查、文档上传、批量导入和问答 API。</w:t>
      </w:r>
    </w:p>
    <w:p w14:paraId="0995EF8B">
      <w:pPr>
        <w:pStyle w:val="16"/>
      </w:pPr>
      <w:r>
        <w:t>文档解析、文本切块、Embedding、向量库、检索和问答编排保持模块化。</w:t>
      </w:r>
    </w:p>
    <w:p w14:paraId="6F0AEC16">
      <w:pPr>
        <w:pStyle w:val="16"/>
      </w:pPr>
      <w:r>
        <w:t>当知识库为空、检索不到足够信息或 LLM 调用失败时，明确返回真实状态，不编造答案。</w:t>
      </w:r>
    </w:p>
    <w:p w14:paraId="73E7ED56">
      <w:pPr>
        <w:pStyle w:val="3"/>
      </w:pPr>
      <w:r>
        <w:t>3. 最终技术选型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1ABEA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49700A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CFE19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D9634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D4B4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20291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后端框架</w:t>
            </w:r>
          </w:p>
        </w:tc>
        <w:tc>
          <w:tcPr>
            <w:tcW w:w="3360" w:type="dxa"/>
            <w:vAlign w:val="center"/>
          </w:tcPr>
          <w:p w14:paraId="33C348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FastAPI</w:t>
            </w:r>
          </w:p>
        </w:tc>
        <w:tc>
          <w:tcPr>
            <w:tcW w:w="3360" w:type="dxa"/>
            <w:vAlign w:val="center"/>
          </w:tcPr>
          <w:p w14:paraId="222B40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沿用项目现有后端架构</w:t>
            </w:r>
          </w:p>
        </w:tc>
      </w:tr>
      <w:tr w14:paraId="4794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5BC57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LLM</w:t>
            </w:r>
          </w:p>
        </w:tc>
        <w:tc>
          <w:tcPr>
            <w:tcW w:w="3360" w:type="dxa"/>
            <w:vAlign w:val="center"/>
          </w:tcPr>
          <w:p w14:paraId="6AEF22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DeepSeek / LangChain ChatOpenAI 兼容客户端</w:t>
            </w:r>
          </w:p>
        </w:tc>
        <w:tc>
          <w:tcPr>
            <w:tcW w:w="3360" w:type="dxa"/>
            <w:vAlign w:val="center"/>
          </w:tcPr>
          <w:p w14:paraId="340FB8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通过现有 build_llm_client() 初始化并注入</w:t>
            </w:r>
          </w:p>
        </w:tc>
      </w:tr>
      <w:tr w14:paraId="58321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10550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Embedding</w:t>
            </w:r>
          </w:p>
        </w:tc>
        <w:tc>
          <w:tcPr>
            <w:tcW w:w="3360" w:type="dxa"/>
            <w:vAlign w:val="center"/>
          </w:tcPr>
          <w:p w14:paraId="61F195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BGE-M3</w:t>
            </w:r>
          </w:p>
        </w:tc>
        <w:tc>
          <w:tcPr>
            <w:tcW w:w="3360" w:type="dxa"/>
            <w:vAlign w:val="center"/>
          </w:tcPr>
          <w:p w14:paraId="49FC0E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本地模型路径默认 D:\ai_models\bge-m3，向量维度 1024</w:t>
            </w:r>
          </w:p>
        </w:tc>
      </w:tr>
      <w:tr w14:paraId="1D51C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BDCB9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向量数据库</w:t>
            </w:r>
          </w:p>
        </w:tc>
        <w:tc>
          <w:tcPr>
            <w:tcW w:w="3360" w:type="dxa"/>
            <w:vAlign w:val="center"/>
          </w:tcPr>
          <w:p w14:paraId="15110A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Qdrant</w:t>
            </w:r>
          </w:p>
        </w:tc>
        <w:tc>
          <w:tcPr>
            <w:tcW w:w="3360" w:type="dxa"/>
            <w:vAlign w:val="center"/>
          </w:tcPr>
          <w:p w14:paraId="5A561868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默认连接Docker Qdrant：http://localhost:6333一定要挂载 volume</w:t>
            </w:r>
          </w:p>
        </w:tc>
      </w:tr>
      <w:tr w14:paraId="49FA8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DF20E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文档格式</w:t>
            </w:r>
          </w:p>
        </w:tc>
        <w:tc>
          <w:tcPr>
            <w:tcW w:w="3360" w:type="dxa"/>
            <w:vAlign w:val="center"/>
          </w:tcPr>
          <w:p w14:paraId="0CE844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PDF / TXT / Markdown</w:t>
            </w:r>
          </w:p>
        </w:tc>
        <w:tc>
          <w:tcPr>
            <w:tcW w:w="3360" w:type="dxa"/>
            <w:vAlign w:val="center"/>
          </w:tcPr>
          <w:p w14:paraId="0A9406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PDF 使用 pypdf，TXT/MD 使用 UTF-8 文本读取</w:t>
            </w:r>
          </w:p>
        </w:tc>
      </w:tr>
      <w:tr w14:paraId="5FE70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51A73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文本切块</w:t>
            </w:r>
          </w:p>
        </w:tc>
        <w:tc>
          <w:tcPr>
            <w:tcW w:w="3360" w:type="dxa"/>
            <w:vAlign w:val="center"/>
          </w:tcPr>
          <w:p w14:paraId="180E2F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字符级切块</w:t>
            </w:r>
          </w:p>
        </w:tc>
        <w:tc>
          <w:tcPr>
            <w:tcW w:w="3360" w:type="dxa"/>
            <w:vAlign w:val="center"/>
          </w:tcPr>
          <w:p w14:paraId="086EDD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chunk_size=500，chunk_overlap=50</w:t>
            </w:r>
          </w:p>
        </w:tc>
      </w:tr>
    </w:tbl>
    <w:p w14:paraId="725EA24E"/>
    <w:p w14:paraId="2B6A9B80">
      <w:pPr>
        <w:pStyle w:val="3"/>
      </w:pPr>
      <w:r>
        <w:t>4. 模块结构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ABC9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DE293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0189A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 w14:paraId="3426F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24714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app/rag/config.py</w:t>
            </w:r>
          </w:p>
        </w:tc>
        <w:tc>
          <w:tcPr>
            <w:tcW w:w="5040" w:type="dxa"/>
            <w:vAlign w:val="center"/>
          </w:tcPr>
          <w:p w14:paraId="7C1E47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RAG 配置常量，支持环境变量覆盖</w:t>
            </w:r>
          </w:p>
        </w:tc>
      </w:tr>
      <w:tr w14:paraId="10162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7FF95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app/rag/document_loader.py</w:t>
            </w:r>
          </w:p>
        </w:tc>
        <w:tc>
          <w:tcPr>
            <w:tcW w:w="5040" w:type="dxa"/>
            <w:vAlign w:val="center"/>
          </w:tcPr>
          <w:p w14:paraId="636B08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PDF/TXT/MD 文档解析</w:t>
            </w:r>
          </w:p>
        </w:tc>
      </w:tr>
      <w:tr w14:paraId="7A5C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58E0A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app/rag/text_splitter.py</w:t>
            </w:r>
          </w:p>
        </w:tc>
        <w:tc>
          <w:tcPr>
            <w:tcW w:w="5040" w:type="dxa"/>
            <w:vAlign w:val="center"/>
          </w:tcPr>
          <w:p w14:paraId="1AAF28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字符级文本切块</w:t>
            </w:r>
          </w:p>
        </w:tc>
      </w:tr>
      <w:tr w14:paraId="2254C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C8B37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app/rag/embeddings.py</w:t>
            </w:r>
          </w:p>
        </w:tc>
        <w:tc>
          <w:tcPr>
            <w:tcW w:w="5040" w:type="dxa"/>
            <w:vAlign w:val="center"/>
          </w:tcPr>
          <w:p w14:paraId="115E17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EmbeddingService，封装 sentence-transformers/BGE-M3</w:t>
            </w:r>
          </w:p>
        </w:tc>
      </w:tr>
      <w:tr w14:paraId="3B9C5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CC708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app/rag/vector_store.py</w:t>
            </w:r>
          </w:p>
        </w:tc>
        <w:tc>
          <w:tcPr>
            <w:tcW w:w="5040" w:type="dxa"/>
            <w:vAlign w:val="center"/>
          </w:tcPr>
          <w:p w14:paraId="25BD2C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VectorStore，封装 Qdrant collection、写入、检索、计数、清空</w:t>
            </w:r>
          </w:p>
        </w:tc>
      </w:tr>
      <w:tr w14:paraId="3BEA3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73663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app/rag/retriever.py</w:t>
            </w:r>
          </w:p>
        </w:tc>
        <w:tc>
          <w:tcPr>
            <w:tcW w:w="5040" w:type="dxa"/>
            <w:vAlign w:val="center"/>
          </w:tcPr>
          <w:p w14:paraId="4EE758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Retriever，封装相似度检索</w:t>
            </w:r>
          </w:p>
        </w:tc>
      </w:tr>
      <w:tr w14:paraId="25DFA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C5E5D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app/rag/rag_engine.py</w:t>
            </w:r>
          </w:p>
        </w:tc>
        <w:tc>
          <w:tcPr>
            <w:tcW w:w="5040" w:type="dxa"/>
            <w:vAlign w:val="center"/>
          </w:tcPr>
          <w:p w14:paraId="31B10A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RAGEngine，编排上传、批量导入、检索、Prompt 和 LLM 调用</w:t>
            </w:r>
          </w:p>
        </w:tc>
      </w:tr>
      <w:tr w14:paraId="6CD8C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BBEEC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app/routes/rag.py</w:t>
            </w:r>
          </w:p>
        </w:tc>
        <w:tc>
          <w:tcPr>
            <w:tcW w:w="5040" w:type="dxa"/>
            <w:vAlign w:val="center"/>
          </w:tcPr>
          <w:p w14:paraId="6BB077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FastAPI 路由，暴露 RAG API</w:t>
            </w:r>
          </w:p>
        </w:tc>
      </w:tr>
      <w:tr w14:paraId="78C0A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0F635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app/main.py</w:t>
            </w:r>
          </w:p>
        </w:tc>
        <w:tc>
          <w:tcPr>
            <w:tcW w:w="5040" w:type="dxa"/>
            <w:vAlign w:val="center"/>
          </w:tcPr>
          <w:p w14:paraId="260D0B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初始化 Embedding、VectorStore、RAGEngine 并注册路由</w:t>
            </w:r>
          </w:p>
        </w:tc>
      </w:tr>
    </w:tbl>
    <w:p w14:paraId="5EB70B82"/>
    <w:p w14:paraId="6096E0B7">
      <w:pPr>
        <w:pStyle w:val="3"/>
      </w:pPr>
      <w:r>
        <w:t>5. 核心流程</w:t>
      </w:r>
    </w:p>
    <w:p w14:paraId="1C25B6F5">
      <w:pPr>
        <w:pStyle w:val="4"/>
      </w:pPr>
      <w:r>
        <w:t>5.1 单文件上传</w:t>
      </w:r>
    </w:p>
    <w:p w14:paraId="43609232">
      <w:pPr>
        <w:spacing w:before="80" w:after="120"/>
        <w:ind w:left="288" w:right="288"/>
      </w:pPr>
      <w:r>
        <w:rPr>
          <w:rFonts w:ascii="Consolas" w:hAnsi="Consolas" w:eastAsia="Consolas"/>
          <w:color w:val="282828"/>
          <w:sz w:val="18"/>
        </w:rPr>
        <w:t>POST /api/rag/upload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校验扩展名 .pdf/.txt/.md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保存到 uploads/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load_document(file_path)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split_text(text)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vector_store.add(chunks, metadata)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返回 { filename, chunks, message }</w:t>
      </w:r>
    </w:p>
    <w:p w14:paraId="3C3787BE">
      <w:pPr>
        <w:pStyle w:val="4"/>
      </w:pPr>
      <w:r>
        <w:t>5.2 文件夹 / Obsidian Vault 批量导入</w:t>
      </w:r>
    </w:p>
    <w:p w14:paraId="64EDD4FC">
      <w:pPr>
        <w:spacing w:before="80" w:after="120"/>
        <w:ind w:left="288" w:right="288"/>
      </w:pPr>
      <w:r>
        <w:rPr>
          <w:rFonts w:ascii="Consolas" w:hAnsi="Consolas" w:eastAsia="Consolas"/>
          <w:color w:val="282828"/>
          <w:sz w:val="18"/>
        </w:rPr>
        <w:t>POST /api/rag/import-folder { "folder_path": "D:/Obsidian/MyVault" }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遍历 .md/.txt/.pdf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跳过 .obsidian/、.git/、.trash/ 等隐藏目录或隐藏文件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每个文件执行 load_document -&gt; split_text -&gt; vector_store.add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单文件失败记录日志并继续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返回 { imported_files, total_chunks, message }</w:t>
      </w:r>
    </w:p>
    <w:p w14:paraId="31F60BB6">
      <w:pPr>
        <w:pStyle w:val="4"/>
      </w:pPr>
      <w:r>
        <w:t>5.3 问答流程</w:t>
      </w:r>
    </w:p>
    <w:p w14:paraId="2C6BF3F2">
      <w:pPr>
        <w:spacing w:before="80" w:after="120"/>
        <w:ind w:left="288" w:right="288"/>
      </w:pPr>
      <w:r>
        <w:rPr>
          <w:rFonts w:ascii="Consolas" w:hAnsi="Consolas" w:eastAsia="Consolas"/>
          <w:color w:val="282828"/>
          <w:sz w:val="18"/>
        </w:rPr>
        <w:t>POST /api/rag/chat { "question": "..." }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vector_store.count() == 0 时返回 请先上传文档到知识库。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retriever.retrieve(question, top_k=5)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检索不足时返回 知识库中没有找到足够信息。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构造固定 System Prompt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llm_client.invoke([SystemMessage, HumanMessage])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返回 { answer, sources }</w:t>
      </w:r>
    </w:p>
    <w:p w14:paraId="5286A9D3">
      <w:pPr>
        <w:pStyle w:val="3"/>
      </w:pPr>
      <w:r>
        <w:t>6. API 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2310"/>
        <w:gridCol w:w="2212"/>
        <w:gridCol w:w="3786"/>
      </w:tblGrid>
      <w:tr w14:paraId="0B563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219036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6263B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5625E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请求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9418D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响应/行为</w:t>
            </w:r>
          </w:p>
        </w:tc>
      </w:tr>
      <w:tr w14:paraId="419AF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29DFE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520" w:type="dxa"/>
            <w:vAlign w:val="center"/>
          </w:tcPr>
          <w:p w14:paraId="36DEC3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/api/rag/health</w:t>
            </w:r>
          </w:p>
        </w:tc>
        <w:tc>
          <w:tcPr>
            <w:tcW w:w="2520" w:type="dxa"/>
            <w:vAlign w:val="center"/>
          </w:tcPr>
          <w:p w14:paraId="564A13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w="2520" w:type="dxa"/>
            <w:vAlign w:val="center"/>
          </w:tcPr>
          <w:p w14:paraId="0E3753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{ status: 'ok' }</w:t>
            </w:r>
          </w:p>
        </w:tc>
      </w:tr>
      <w:tr w14:paraId="7B397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FF6F6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520" w:type="dxa"/>
            <w:vAlign w:val="center"/>
          </w:tcPr>
          <w:p w14:paraId="553BD2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/api/rag/upload</w:t>
            </w:r>
          </w:p>
        </w:tc>
        <w:tc>
          <w:tcPr>
            <w:tcW w:w="2520" w:type="dxa"/>
            <w:vAlign w:val="center"/>
          </w:tcPr>
          <w:p w14:paraId="47BB30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multipart file</w:t>
            </w:r>
          </w:p>
        </w:tc>
        <w:tc>
          <w:tcPr>
            <w:tcW w:w="2520" w:type="dxa"/>
            <w:vAlign w:val="center"/>
          </w:tcPr>
          <w:p w14:paraId="7FEA85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上传并入库，返回 filename/chunks/message</w:t>
            </w:r>
          </w:p>
        </w:tc>
      </w:tr>
      <w:tr w14:paraId="2D718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92DBC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520" w:type="dxa"/>
            <w:vAlign w:val="center"/>
          </w:tcPr>
          <w:p w14:paraId="749EBD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/api/rag/chat</w:t>
            </w:r>
          </w:p>
        </w:tc>
        <w:tc>
          <w:tcPr>
            <w:tcW w:w="2520" w:type="dxa"/>
            <w:vAlign w:val="center"/>
          </w:tcPr>
          <w:p w14:paraId="54BCBC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{ question: string }</w:t>
            </w:r>
          </w:p>
        </w:tc>
        <w:tc>
          <w:tcPr>
            <w:tcW w:w="2520" w:type="dxa"/>
            <w:vAlign w:val="center"/>
          </w:tcPr>
          <w:p w14:paraId="3DACAB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 answer 和 sources</w:t>
            </w:r>
          </w:p>
        </w:tc>
      </w:tr>
      <w:tr w14:paraId="1986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40EA5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520" w:type="dxa"/>
            <w:vAlign w:val="center"/>
          </w:tcPr>
          <w:p w14:paraId="585E8A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/api/rag/import-folder</w:t>
            </w:r>
          </w:p>
        </w:tc>
        <w:tc>
          <w:tcPr>
            <w:tcW w:w="2520" w:type="dxa"/>
            <w:vAlign w:val="center"/>
          </w:tcPr>
          <w:p w14:paraId="5C2B53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{ folder_path: string }</w:t>
            </w:r>
          </w:p>
        </w:tc>
        <w:tc>
          <w:tcPr>
            <w:tcW w:w="2520" w:type="dxa"/>
            <w:vAlign w:val="center"/>
          </w:tcPr>
          <w:p w14:paraId="6A6F9B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批量导入目录，返回 imported_files/total_chunks/message</w:t>
            </w:r>
          </w:p>
        </w:tc>
      </w:tr>
    </w:tbl>
    <w:p w14:paraId="67B9EED9"/>
    <w:p w14:paraId="60EDA165">
      <w:pPr>
        <w:pStyle w:val="3"/>
      </w:pPr>
      <w:r>
        <w:t>7. 配置项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6EAD6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E6151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配置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AFE01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06479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DF94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779C2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RAG_CHUNK_SIZE</w:t>
            </w:r>
          </w:p>
        </w:tc>
        <w:tc>
          <w:tcPr>
            <w:tcW w:w="3360" w:type="dxa"/>
            <w:vAlign w:val="center"/>
          </w:tcPr>
          <w:p w14:paraId="00EB36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w="3360" w:type="dxa"/>
            <w:vAlign w:val="center"/>
          </w:tcPr>
          <w:p w14:paraId="6C685E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文本块字符数</w:t>
            </w:r>
          </w:p>
        </w:tc>
      </w:tr>
      <w:tr w14:paraId="7093B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9BEC9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RAG_CHUNK_OVERLAP</w:t>
            </w:r>
          </w:p>
        </w:tc>
        <w:tc>
          <w:tcPr>
            <w:tcW w:w="3360" w:type="dxa"/>
            <w:vAlign w:val="center"/>
          </w:tcPr>
          <w:p w14:paraId="2F8448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360" w:type="dxa"/>
            <w:vAlign w:val="center"/>
          </w:tcPr>
          <w:p w14:paraId="10DF47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相邻文本块重叠字符数</w:t>
            </w:r>
          </w:p>
        </w:tc>
      </w:tr>
      <w:tr w14:paraId="445B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A7013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RAG_EMBEDDING_MODEL</w:t>
            </w:r>
          </w:p>
        </w:tc>
        <w:tc>
          <w:tcPr>
            <w:tcW w:w="3360" w:type="dxa"/>
            <w:vAlign w:val="center"/>
          </w:tcPr>
          <w:p w14:paraId="288732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D:\ai_models\bge-m3</w:t>
            </w:r>
          </w:p>
        </w:tc>
        <w:tc>
          <w:tcPr>
            <w:tcW w:w="3360" w:type="dxa"/>
            <w:vAlign w:val="center"/>
          </w:tcPr>
          <w:p w14:paraId="7E3EAE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BGE-M3 本地模型路径</w:t>
            </w:r>
          </w:p>
        </w:tc>
      </w:tr>
      <w:tr w14:paraId="12FDE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E3BFB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RAG_EMBEDDING_DIM</w:t>
            </w:r>
          </w:p>
        </w:tc>
        <w:tc>
          <w:tcPr>
            <w:tcW w:w="3360" w:type="dxa"/>
            <w:vAlign w:val="center"/>
          </w:tcPr>
          <w:p w14:paraId="2A17AF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1024</w:t>
            </w:r>
          </w:p>
        </w:tc>
        <w:tc>
          <w:tcPr>
            <w:tcW w:w="3360" w:type="dxa"/>
            <w:vAlign w:val="center"/>
          </w:tcPr>
          <w:p w14:paraId="06CD04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BGE-M3 向量维度</w:t>
            </w:r>
          </w:p>
        </w:tc>
      </w:tr>
      <w:tr w14:paraId="64381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CE663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RAG_VECTOR_DB_DIR</w:t>
            </w:r>
          </w:p>
        </w:tc>
        <w:tc>
          <w:tcPr>
            <w:tcW w:w="3360" w:type="dxa"/>
            <w:vAlign w:val="center"/>
          </w:tcPr>
          <w:p w14:paraId="09C78F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vector_db</w:t>
            </w:r>
          </w:p>
        </w:tc>
        <w:tc>
          <w:tcPr>
            <w:tcW w:w="3360" w:type="dxa"/>
            <w:vAlign w:val="center"/>
          </w:tcPr>
          <w:p w14:paraId="62A68F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向量库相关本地目录</w:t>
            </w:r>
          </w:p>
        </w:tc>
      </w:tr>
      <w:tr w14:paraId="4DB3A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268DC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RAG_QDRANT_URL</w:t>
            </w:r>
          </w:p>
        </w:tc>
        <w:tc>
          <w:tcPr>
            <w:tcW w:w="3360" w:type="dxa"/>
            <w:vAlign w:val="center"/>
          </w:tcPr>
          <w:p w14:paraId="03E0FA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http://localhost:6333</w:t>
            </w:r>
          </w:p>
        </w:tc>
        <w:tc>
          <w:tcPr>
            <w:tcW w:w="3360" w:type="dxa"/>
            <w:vAlign w:val="center"/>
          </w:tcPr>
          <w:p w14:paraId="557A10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Qdrant 服务地址</w:t>
            </w:r>
          </w:p>
        </w:tc>
      </w:tr>
      <w:tr w14:paraId="12A3D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04A28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RAG_QDRANT_COLLECTION</w:t>
            </w:r>
          </w:p>
        </w:tc>
        <w:tc>
          <w:tcPr>
            <w:tcW w:w="3360" w:type="dxa"/>
            <w:vAlign w:val="center"/>
          </w:tcPr>
          <w:p w14:paraId="389CD6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rag_documents</w:t>
            </w:r>
          </w:p>
        </w:tc>
        <w:tc>
          <w:tcPr>
            <w:tcW w:w="3360" w:type="dxa"/>
            <w:vAlign w:val="center"/>
          </w:tcPr>
          <w:p w14:paraId="7AFA35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Qdrant collection 名称</w:t>
            </w:r>
          </w:p>
        </w:tc>
      </w:tr>
      <w:tr w14:paraId="1D23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DCE01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RAG_UPLOAD_DIR</w:t>
            </w:r>
          </w:p>
        </w:tc>
        <w:tc>
          <w:tcPr>
            <w:tcW w:w="3360" w:type="dxa"/>
            <w:vAlign w:val="center"/>
          </w:tcPr>
          <w:p w14:paraId="4E2850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uploads</w:t>
            </w:r>
          </w:p>
        </w:tc>
        <w:tc>
          <w:tcPr>
            <w:tcW w:w="3360" w:type="dxa"/>
            <w:vAlign w:val="center"/>
          </w:tcPr>
          <w:p w14:paraId="0E812B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上传文件保存目录</w:t>
            </w:r>
          </w:p>
        </w:tc>
      </w:tr>
      <w:tr w14:paraId="4EB43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B07BE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RAG_RETRIEVE_TOP_K</w:t>
            </w:r>
          </w:p>
        </w:tc>
        <w:tc>
          <w:tcPr>
            <w:tcW w:w="3360" w:type="dxa"/>
            <w:vAlign w:val="center"/>
          </w:tcPr>
          <w:p w14:paraId="7D6356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6E10EB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检索返回条数</w:t>
            </w:r>
          </w:p>
        </w:tc>
      </w:tr>
    </w:tbl>
    <w:p w14:paraId="7202EF6E"/>
    <w:p w14:paraId="59F20A34">
      <w:pPr>
        <w:pStyle w:val="3"/>
      </w:pPr>
      <w:r>
        <w:t>8. 固定 System Prompt</w:t>
      </w:r>
    </w:p>
    <w:p w14:paraId="7F20866D">
      <w:pPr>
        <w:spacing w:before="80" w:after="120"/>
        <w:ind w:left="288" w:right="288"/>
      </w:pPr>
      <w:r>
        <w:rPr>
          <w:rFonts w:ascii="Consolas" w:hAnsi="Consolas" w:eastAsia="Consolas"/>
          <w:color w:val="282828"/>
          <w:sz w:val="18"/>
        </w:rPr>
        <w:t>你是一个知识库问答助手。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>请只根据下面提供的资料回答用户问题。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>如果资料中没有答案，请回答："知识库中没有找到足够信息。"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>不要编造，不要使用资料外的信息。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>资料：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>{context}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>用户问题：</w:t>
      </w:r>
      <w:r>
        <w:br w:type="textWrapping"/>
      </w:r>
      <w:r>
        <w:rPr>
          <w:rFonts w:ascii="Consolas" w:hAnsi="Consolas" w:eastAsia="Consolas"/>
          <w:color w:val="282828"/>
          <w:sz w:val="18"/>
        </w:rPr>
        <w:t>{question}</w:t>
      </w:r>
    </w:p>
    <w:p w14:paraId="72FF0A67">
      <w:pPr>
        <w:pStyle w:val="3"/>
      </w:pPr>
      <w:r>
        <w:t>9. 错误处理策略</w:t>
      </w:r>
    </w:p>
    <w:p w14:paraId="25E0FA6D">
      <w:pPr>
        <w:pStyle w:val="16"/>
      </w:pPr>
      <w:r>
        <w:t>上传不支持的文件类型返回 400。</w:t>
      </w:r>
    </w:p>
    <w:p w14:paraId="6290976D">
      <w:pPr>
        <w:pStyle w:val="16"/>
      </w:pPr>
      <w:r>
        <w:t>批量导入路径不存在或不是文件夹返回 400。</w:t>
      </w:r>
    </w:p>
    <w:p w14:paraId="11C63108">
      <w:pPr>
        <w:pStyle w:val="16"/>
      </w:pPr>
      <w:r>
        <w:t>知识库为空时问答直接返回“请先上传文档到知识库。”。</w:t>
      </w:r>
    </w:p>
    <w:p w14:paraId="35A6DC0B">
      <w:pPr>
        <w:pStyle w:val="16"/>
      </w:pPr>
      <w:r>
        <w:t>检索结果为空或低相关时返回“知识库中没有找到足够信息。”。</w:t>
      </w:r>
    </w:p>
    <w:p w14:paraId="62A6FC22">
      <w:pPr>
        <w:pStyle w:val="16"/>
      </w:pPr>
      <w:r>
        <w:t>LLM 调用失败时抛出 RuntimeError，并由 API 层转为 500。</w:t>
      </w:r>
    </w:p>
    <w:p w14:paraId="22D91A7A">
      <w:pPr>
        <w:pStyle w:val="16"/>
      </w:pPr>
      <w:r>
        <w:t>批量导入时单个文件失败只记录日志，不阻断整个目录导入。</w:t>
      </w:r>
    </w:p>
    <w:p w14:paraId="12FF5F8A">
      <w:pPr>
        <w:pStyle w:val="3"/>
      </w:pPr>
      <w:r>
        <w:t>10. 分阶段实施计划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3CF7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43949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6A402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目标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42A3D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主要产物</w:t>
            </w:r>
          </w:p>
        </w:tc>
      </w:tr>
      <w:tr w14:paraId="166D7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C3E51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Task 1</w:t>
            </w:r>
          </w:p>
        </w:tc>
        <w:tc>
          <w:tcPr>
            <w:tcW w:w="3360" w:type="dxa"/>
            <w:vAlign w:val="center"/>
          </w:tcPr>
          <w:p w14:paraId="253727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基础依赖 + 配置模块</w:t>
            </w:r>
          </w:p>
        </w:tc>
        <w:tc>
          <w:tcPr>
            <w:tcW w:w="3360" w:type="dxa"/>
            <w:vAlign w:val="center"/>
          </w:tcPr>
          <w:p w14:paraId="03C5CE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requirements.txt、app/rag/__init__.py、config.py</w:t>
            </w:r>
          </w:p>
        </w:tc>
      </w:tr>
      <w:tr w14:paraId="6AF5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9AC93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Task 2</w:t>
            </w:r>
          </w:p>
        </w:tc>
        <w:tc>
          <w:tcPr>
            <w:tcW w:w="3360" w:type="dxa"/>
            <w:vAlign w:val="center"/>
          </w:tcPr>
          <w:p w14:paraId="384C9C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文档解析 + 文本切块</w:t>
            </w:r>
          </w:p>
        </w:tc>
        <w:tc>
          <w:tcPr>
            <w:tcW w:w="3360" w:type="dxa"/>
            <w:vAlign w:val="center"/>
          </w:tcPr>
          <w:p w14:paraId="28A019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document_loader.py、text_splitter.py</w:t>
            </w:r>
          </w:p>
        </w:tc>
      </w:tr>
      <w:tr w14:paraId="1FCAD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880A0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Task 3</w:t>
            </w:r>
          </w:p>
        </w:tc>
        <w:tc>
          <w:tcPr>
            <w:tcW w:w="3360" w:type="dxa"/>
            <w:vAlign w:val="center"/>
          </w:tcPr>
          <w:p w14:paraId="4C6350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Embedding + 向量库</w:t>
            </w:r>
          </w:p>
        </w:tc>
        <w:tc>
          <w:tcPr>
            <w:tcW w:w="3360" w:type="dxa"/>
            <w:vAlign w:val="center"/>
          </w:tcPr>
          <w:p w14:paraId="646C5E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embeddings.py、vector_store.py；BGE-M3 + Qdrant</w:t>
            </w:r>
          </w:p>
        </w:tc>
      </w:tr>
      <w:tr w14:paraId="53F7D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524E4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Task 4</w:t>
            </w:r>
          </w:p>
        </w:tc>
        <w:tc>
          <w:tcPr>
            <w:tcW w:w="3360" w:type="dxa"/>
            <w:vAlign w:val="center"/>
          </w:tcPr>
          <w:p w14:paraId="0F5C2B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检索 + RAG 引擎</w:t>
            </w:r>
          </w:p>
        </w:tc>
        <w:tc>
          <w:tcPr>
            <w:tcW w:w="3360" w:type="dxa"/>
            <w:vAlign w:val="center"/>
          </w:tcPr>
          <w:p w14:paraId="102D7B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retriever.py、rag_engine.py</w:t>
            </w:r>
          </w:p>
        </w:tc>
      </w:tr>
      <w:tr w14:paraId="2EE2B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EAC4B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Task 5</w:t>
            </w:r>
          </w:p>
        </w:tc>
        <w:tc>
          <w:tcPr>
            <w:tcW w:w="3360" w:type="dxa"/>
            <w:vAlign w:val="center"/>
          </w:tcPr>
          <w:p w14:paraId="0A375C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API 路由 + 主应用集成</w:t>
            </w:r>
          </w:p>
        </w:tc>
        <w:tc>
          <w:tcPr>
            <w:tcW w:w="3360" w:type="dxa"/>
            <w:vAlign w:val="center"/>
          </w:tcPr>
          <w:p w14:paraId="77B0D0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app/routes/rag.py、app/main.py</w:t>
            </w:r>
          </w:p>
        </w:tc>
      </w:tr>
      <w:tr w14:paraId="3D70E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0E7E1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Task 6</w:t>
            </w:r>
          </w:p>
        </w:tc>
        <w:tc>
          <w:tcPr>
            <w:tcW w:w="3360" w:type="dxa"/>
            <w:vAlign w:val="center"/>
          </w:tcPr>
          <w:p w14:paraId="6B9CB0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Obsidian Vault 集成</w:t>
            </w:r>
          </w:p>
        </w:tc>
        <w:tc>
          <w:tcPr>
            <w:tcW w:w="3360" w:type="dxa"/>
            <w:vAlign w:val="center"/>
          </w:tcPr>
          <w:p w14:paraId="003296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RAGEngine.import_folder()、POST /api/rag/import-folder</w:t>
            </w:r>
          </w:p>
        </w:tc>
      </w:tr>
    </w:tbl>
    <w:p w14:paraId="1B5C8B55"/>
    <w:p w14:paraId="01B8A0BF">
      <w:pPr>
        <w:pStyle w:val="3"/>
      </w:pPr>
      <w:r>
        <w:t>11. 验收标准</w:t>
      </w:r>
    </w:p>
    <w:p w14:paraId="1EAE8C18">
      <w:pPr>
        <w:pStyle w:val="16"/>
      </w:pPr>
      <w:r>
        <w:t>GET /api/rag/health 返回 200 和 {status: 'ok'}。</w:t>
      </w:r>
    </w:p>
    <w:p w14:paraId="6645F98D">
      <w:pPr>
        <w:pStyle w:val="16"/>
      </w:pPr>
      <w:r>
        <w:t>POST /api/rag/upload 上传 .txt/.md/.pdf 成功，上传 .exe 返回 400。</w:t>
      </w:r>
    </w:p>
    <w:p w14:paraId="3B145C84">
      <w:pPr>
        <w:pStyle w:val="16"/>
      </w:pPr>
      <w:r>
        <w:t>空知识库调用 POST /api/rag/chat 返回“请先上传文档到知识库。”。</w:t>
      </w:r>
    </w:p>
    <w:p w14:paraId="51D325B2">
      <w:pPr>
        <w:pStyle w:val="16"/>
      </w:pPr>
      <w:r>
        <w:t>上传或导入文档后，/api/rag/chat 能基于知识库内容返回答案和 sources。</w:t>
      </w:r>
    </w:p>
    <w:p w14:paraId="1B0AF621">
      <w:pPr>
        <w:pStyle w:val="16"/>
      </w:pPr>
      <w:r>
        <w:t>POST /api/rag/import-folder 能导入 Obsidian Vault，且自动跳过 .obsidian/。</w:t>
      </w:r>
    </w:p>
    <w:p w14:paraId="3473CBCA">
      <w:pPr>
        <w:pStyle w:val="16"/>
      </w:pPr>
      <w:r>
        <w:t>不存在的 folder_path 返回 400。</w:t>
      </w:r>
    </w:p>
    <w:p w14:paraId="1678BF5B">
      <w:pPr>
        <w:pStyle w:val="16"/>
      </w:pPr>
      <w:r>
        <w:t>服务启动无 import 错误，RAG 路由完成注册。</w:t>
      </w:r>
    </w:p>
    <w:p w14:paraId="20FE4011">
      <w:pPr>
        <w:pStyle w:val="3"/>
      </w:pPr>
      <w:r>
        <w:t>12. 已完成验证记录</w:t>
      </w:r>
    </w:p>
    <w:p w14:paraId="1408BE26">
      <w:pPr>
        <w:pStyle w:val="16"/>
      </w:pPr>
      <w:r>
        <w:t>Task 1：配置导入验证通过，依赖安装命令执行成功。</w:t>
      </w:r>
    </w:p>
    <w:p w14:paraId="2FF8F3BA">
      <w:pPr>
        <w:pStyle w:val="16"/>
      </w:pPr>
      <w:r>
        <w:t>Task 2：文档解析与切块验收命令通过，compileall app/rag 成功。</w:t>
      </w:r>
    </w:p>
    <w:p w14:paraId="2992A691">
      <w:pPr>
        <w:pStyle w:val="16"/>
      </w:pPr>
      <w:r>
        <w:t>Task 3：Qdrant 内存模式与 Docker Qdrant 写入/检索测试通过，本地 BGE-M3 配置验证通过。</w:t>
      </w:r>
    </w:p>
    <w:p w14:paraId="2DF5646A">
      <w:pPr>
        <w:pStyle w:val="16"/>
      </w:pPr>
      <w:r>
        <w:t>Task 4：RAGEngine 导入、process_upload、空知识库问答、低相关分支、LLM 异常分支验证通过。</w:t>
      </w:r>
    </w:p>
    <w:p w14:paraId="37BCBE72">
      <w:pPr>
        <w:pStyle w:val="16"/>
      </w:pPr>
      <w:r>
        <w:t>Task 5：RAG 路由 TestClient 验证通过，真实 app.main 路由注册验证通过。</w:t>
      </w:r>
    </w:p>
    <w:p w14:paraId="3FEFB812">
      <w:pPr>
        <w:pStyle w:val="16"/>
      </w:pPr>
      <w:r>
        <w:t>Task 6：tests/test_rag_import_folder.py 通过，compileall app/rag/rag_engine.py app/routes/rag.py 通过。</w:t>
      </w:r>
    </w:p>
    <w:p w14:paraId="1A650D35">
      <w:pPr>
        <w:pStyle w:val="16"/>
      </w:pPr>
      <w:r>
        <w:t>Agent 不允许在 LLM、MCP、图片模型或采集数据不可用时编造示例结果。</w:t>
      </w:r>
    </w:p>
    <w:p w14:paraId="5F01CD3F">
      <w:pPr>
        <w:pStyle w:val="16"/>
        <w:numPr>
          <w:numId w:val="0"/>
        </w:numPr>
        <w:ind w:leftChars="0"/>
      </w:pPr>
    </w:p>
    <w:p w14:paraId="4D6A5C56">
      <w:pPr>
        <w:pStyle w:val="16"/>
        <w:numPr>
          <w:numId w:val="0"/>
        </w:numPr>
        <w:ind w:leftChars="0" w:firstLine="420" w:firstLineChars="200"/>
      </w:pPr>
      <w:r>
        <w:t>本项目选择 BGE-M3 作为 Embedding 模型，主要原因是它更适合中文与中英混合业务场景。Amazon Agent 的知识库内容可能包含中文运营笔记、英文 Listing、供应链资料、广告术语、ASIN、SKU 等混合文本，BGE-M3 对多语言语义检索支持更好，能提升相似内容召回质量。</w:t>
      </w:r>
    </w:p>
    <w:p w14:paraId="28093737">
      <w:pPr>
        <w:pStyle w:val="16"/>
        <w:numPr>
          <w:numId w:val="0"/>
        </w:numPr>
        <w:ind w:leftChars="0" w:firstLine="420" w:firstLineChars="200"/>
      </w:pPr>
      <w:r>
        <w:t>本项目选择 Qdrant 作为向量数据库，主要因为它是专门面向向量检索场景设计的数据库，支持高性能相似度搜索、持久化存储、collection 管理、payload 元数据过滤和 Docker 部署。相比简单本地文件型向量库，Qdrant 更适合后续扩展为长期知识库服务。</w:t>
      </w:r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3DS Fonticon">
    <w:panose1 w:val="02000009000000000000"/>
    <w:charset w:val="00"/>
    <w:family w:val="auto"/>
    <w:pitch w:val="default"/>
    <w:sig w:usb0="00000003" w:usb1="00000000" w:usb2="04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BA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1573</Words>
  <Characters>3864</Characters>
  <Lines>0</Lines>
  <Paragraphs>0</Paragraphs>
  <TotalTime>30</TotalTime>
  <ScaleCrop>false</ScaleCrop>
  <LinksUpToDate>false</LinksUpToDate>
  <CharactersWithSpaces>4183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WPS_1702809123</cp:lastModifiedBy>
  <dcterms:modified xsi:type="dcterms:W3CDTF">2026-06-30T09:45:22Z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eyJoZGlkIjoiZTM5MjQxMTcyZTEzOTBiYTE5ODdiMzE5NWFjNGJkOWQiLCJ1c2VySWQiOiIxNTY1Nzk5OTUxIn0=</vt:lpwstr>
  </property>
  <property fmtid="{D5CDD505-2E9C-101B-9397-08002B2CF9AE}" pid="3" name="KSOProductBuildVer">
    <vt:lpwstr>2052-12.1.0.26884</vt:lpwstr>
  </property>
  <property fmtid="{D5CDD505-2E9C-101B-9397-08002B2CF9AE}" pid="4" name="ICV">
    <vt:lpwstr>5D70AD6660524285B0A3282E78F9B7BB_12</vt:lpwstr>
  </property>
</Properties>
</file>