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8"/>
          <w:szCs w:val="48"/>
        </w:rPr>
        <w:t xml:space="preserve"/>
      </w:r>
    </w:p>
    <w:p>
      <w:pPr>
        <w:spacing w:after="120" w:before="720"/>
        <w:jc w:val="center"/>
      </w:pPr>
      <w:r>
        <w:rPr>
          <w:rFonts w:ascii="Arial" w:cs="Arial" w:eastAsia="Arial" w:hAnsi="Arial"/>
          <w:b/>
          <w:bCs/>
          <w:caps/>
          <w:sz w:val="28"/>
          <w:szCs w:val="28"/>
        </w:rPr>
        <w:t xml:space="preserve">UNIVERSIDAD TECNOLÓGICA DEL PERÚ</w:t>
      </w:r>
    </w:p>
    <w:p>
      <w:pPr>
        <w:spacing w:after="480" w:before="60"/>
        <w:jc w:val="center"/>
      </w:pPr>
      <w:r>
        <w:rPr>
          <w:rFonts w:ascii="Arial" w:cs="Arial" w:eastAsia="Arial" w:hAnsi="Arial"/>
          <w:b/>
          <w:bCs/>
          <w:caps/>
          <w:sz w:val="24"/>
          <w:szCs w:val="24"/>
        </w:rPr>
        <w:t xml:space="preserve">ESCUELA DE POSTGRADO</w:t>
      </w:r>
    </w:p>
    <w:p>
      <w:pPr>
        <w:spacing w:after="480" w:before="60"/>
        <w:jc w:val="center"/>
      </w:pPr>
      <w:r>
        <w:rPr>
          <w:rFonts w:ascii="Arial" w:cs="Arial" w:eastAsia="Arial" w:hAnsi="Arial"/>
          <w:b/>
          <w:bCs/>
          <w:caps/>
          <w:sz w:val="24"/>
          <w:szCs w:val="24"/>
        </w:rPr>
        <w:t xml:space="preserve">TRABAJO DE INVESTIGACIÓN</w:t>
      </w:r>
    </w:p>
    <w:p>
      <w:pPr>
        <w:spacing w:after="480" w:before="60"/>
        <w:jc w:val="center"/>
      </w:pPr>
      <w:r>
        <w:rPr>
          <w:rFonts w:ascii="Arial" w:cs="Arial" w:eastAsia="Arial" w:hAnsi="Arial"/>
          <w:b/>
          <w:bCs/>
          <w:sz w:val="26"/>
          <w:szCs w:val="26"/>
        </w:rPr>
        <w:t xml:space="preserve">Diseño de una metodología de gobernanza para la implementación de startups digitales bajo incertidumbre integrando PMBOK® 7 y Lean Startup. Caso de aplicación: proyecto ALAZAR, Lima, 2026</w:t>
      </w:r>
    </w:p>
    <w:p>
      <w:pPr>
        <w:spacing w:after="60" w:before="60"/>
        <w:jc w:val="center"/>
      </w:pPr>
      <w:r>
        <w:rPr>
          <w:rFonts w:ascii="Arial" w:cs="Arial" w:eastAsia="Arial" w:hAnsi="Arial"/>
          <w:b/>
          <w:bCs/>
          <w:sz w:val="24"/>
          <w:szCs w:val="24"/>
        </w:rPr>
        <w:t xml:space="preserve">PRESENTADO POR:</w:t>
      </w:r>
    </w:p>
    <w:p>
      <w:pPr>
        <w:spacing w:after="240" w:before="60"/>
        <w:jc w:val="center"/>
      </w:pPr>
      <w:r>
        <w:rPr>
          <w:rFonts w:ascii="Arial" w:cs="Arial" w:eastAsia="Arial" w:hAnsi="Arial"/>
          <w:b/>
          <w:bCs/>
          <w:sz w:val="24"/>
          <w:szCs w:val="24"/>
        </w:rPr>
        <w:t xml:space="preserve">ADRIAN ALEXANDER BOCANEGRA MARCHAN</w:t>
      </w:r>
    </w:p>
    <w:p>
      <w:pPr>
        <w:spacing w:after="60" w:before="60"/>
        <w:jc w:val="center"/>
      </w:pPr>
      <w:r>
        <w:rPr>
          <w:rFonts w:ascii="Arial" w:cs="Arial" w:eastAsia="Arial" w:hAnsi="Arial"/>
          <w:sz w:val="24"/>
          <w:szCs w:val="24"/>
        </w:rPr>
        <w:t xml:space="preserve">PARA OPTAR EL GRADO ACADÉMICO DE</w:t>
      </w:r>
    </w:p>
    <w:p>
      <w:pPr>
        <w:spacing w:after="480" w:before="60"/>
        <w:jc w:val="center"/>
      </w:pPr>
      <w:r>
        <w:rPr>
          <w:rFonts w:ascii="Arial" w:cs="Arial" w:eastAsia="Arial" w:hAnsi="Arial"/>
          <w:b/>
          <w:bCs/>
          <w:sz w:val="24"/>
          <w:szCs w:val="24"/>
        </w:rPr>
        <w:t xml:space="preserve">MAESTRO EN DIRECCIÓN DE PROYECTOS</w:t>
      </w:r>
    </w:p>
    <w:p>
      <w:pPr>
        <w:spacing w:after="480" w:before="60"/>
        <w:jc w:val="center"/>
      </w:pPr>
      <w:r>
        <w:rPr>
          <w:rFonts w:ascii="Arial" w:cs="Arial" w:eastAsia="Arial" w:hAnsi="Arial"/>
          <w:b/>
          <w:bCs/>
          <w:sz w:val="24"/>
          <w:szCs w:val="24"/>
        </w:rPr>
        <w:t xml:space="preserve">ASESOR:</w:t>
      </w:r>
    </w:p>
    <w:p>
      <w:pPr>
        <w:spacing w:after="60" w:before="60"/>
        <w:jc w:val="center"/>
      </w:pPr>
      <w:r>
        <w:rPr>
          <w:rFonts w:ascii="Arial" w:cs="Arial" w:eastAsia="Arial" w:hAnsi="Arial"/>
          <w:b/>
          <w:bCs/>
          <w:sz w:val="24"/>
          <w:szCs w:val="24"/>
        </w:rPr>
        <w:t xml:space="preserve">LIMA, PERÚ</w:t>
      </w:r>
    </w:p>
    <w:p>
      <w:pPr>
        <w:spacing w:after="0" w:before="60"/>
        <w:jc w:val="center"/>
      </w:pPr>
      <w:r>
        <w:rPr>
          <w:rFonts w:ascii="Arial" w:cs="Arial" w:eastAsia="Arial" w:hAnsi="Arial"/>
          <w:b/>
          <w:bCs/>
          <w:sz w:val="24"/>
          <w:szCs w:val="24"/>
        </w:rPr>
        <w:t xml:space="preserve">2026</w:t>
      </w:r>
    </w:p>
    <w:p>
      <w:r>
        <w:br w:type="page"/>
      </w:r>
    </w:p>
    <w:p>
      <w:pPr>
        <w:pStyle w:val="Heading1"/>
        <w:spacing w:after="180" w:before="360"/>
        <w:jc w:val="center"/>
      </w:pPr>
      <w:r>
        <w:rPr>
          <w:rFonts w:ascii="Arial" w:cs="Arial" w:eastAsia="Arial" w:hAnsi="Arial"/>
          <w:b/>
          <w:bCs/>
          <w:caps/>
          <w:sz w:val="28"/>
          <w:szCs w:val="28"/>
        </w:rPr>
        <w:t xml:space="preserve">DEDICATORIA</w:t>
      </w:r>
    </w:p>
    <w:p>
      <w:pPr>
        <w:spacing w:after="120" w:before="120" w:line="276"/>
        <w:jc w:val="center"/>
      </w:pPr>
      <w:r>
        <w:rPr>
          <w:rFonts w:ascii="Arial" w:cs="Arial" w:eastAsia="Arial" w:hAnsi="Arial"/>
          <w:i/>
          <w:iCs/>
          <w:sz w:val="24"/>
          <w:szCs w:val="24"/>
        </w:rPr>
        <w:t xml:space="preserve">A mis padres,</w:t>
      </w:r>
    </w:p>
    <w:p>
      <w:pPr>
        <w:spacing w:after="240" w:before="120" w:line="276"/>
        <w:jc w:val="center"/>
      </w:pPr>
      <w:r>
        <w:rPr>
          <w:rFonts w:ascii="Arial" w:cs="Arial" w:eastAsia="Arial" w:hAnsi="Arial"/>
          <w:i/>
          <w:iCs/>
          <w:sz w:val="24"/>
          <w:szCs w:val="24"/>
        </w:rPr>
        <w:t xml:space="preserve">por enseñarme que el trabajo sostenido construye futuros posibles.</w:t>
      </w:r>
    </w:p>
    <w:p>
      <w:pPr>
        <w:spacing w:after="120" w:before="120" w:line="276"/>
        <w:jc w:val="center"/>
      </w:pPr>
      <w:r>
        <w:rPr>
          <w:rFonts w:ascii="Arial" w:cs="Arial" w:eastAsia="Arial" w:hAnsi="Arial"/>
          <w:i/>
          <w:iCs/>
          <w:sz w:val="24"/>
          <w:szCs w:val="24"/>
        </w:rPr>
        <w:t xml:space="preserve">A mis hermanos,</w:t>
      </w:r>
    </w:p>
    <w:p>
      <w:pPr>
        <w:spacing w:after="120" w:before="120" w:line="276"/>
        <w:jc w:val="center"/>
      </w:pPr>
      <w:r>
        <w:rPr>
          <w:rFonts w:ascii="Arial" w:cs="Arial" w:eastAsia="Arial" w:hAnsi="Arial"/>
          <w:i/>
          <w:iCs/>
          <w:sz w:val="24"/>
          <w:szCs w:val="24"/>
        </w:rPr>
        <w:t xml:space="preserve">compañeros de vida y primeros aliados en cada proyecto.</w:t>
      </w:r>
    </w:p>
    <w:p>
      <w:r>
        <w:br w:type="page"/>
      </w:r>
    </w:p>
    <w:p>
      <w:pPr>
        <w:pStyle w:val="Heading1"/>
        <w:spacing w:after="180" w:before="360"/>
        <w:jc w:val="center"/>
      </w:pPr>
      <w:r>
        <w:rPr>
          <w:rFonts w:ascii="Arial" w:cs="Arial" w:eastAsia="Arial" w:hAnsi="Arial"/>
          <w:b/>
          <w:bCs/>
          <w:caps/>
          <w:sz w:val="28"/>
          <w:szCs w:val="28"/>
        </w:rPr>
        <w:t xml:space="preserve">AGRADECIMIENTO</w:t>
      </w:r>
    </w:p>
    <w:p>
      <w:pPr>
        <w:spacing w:after="120" w:before="120" w:line="276"/>
        <w:jc w:val="both"/>
      </w:pPr>
      <w:r>
        <w:rPr>
          <w:rFonts w:ascii="Arial" w:cs="Arial" w:eastAsia="Arial" w:hAnsi="Arial"/>
          <w:sz w:val="24"/>
          <w:szCs w:val="24"/>
        </w:rPr>
        <w:t xml:space="preserve">A la Universidad Tecnológica del Perú y a la Escuela de Postgrado, por el marco académico que hizo posible desarrollar este trabajo de investigación en Dirección de Proyectos.</w:t>
      </w:r>
    </w:p>
    <w:p>
      <w:pPr>
        <w:spacing w:after="120" w:before="120" w:line="276"/>
        <w:jc w:val="both"/>
      </w:pPr>
      <w:r>
        <w:rPr>
          <w:rFonts w:ascii="Arial" w:cs="Arial" w:eastAsia="Arial" w:hAnsi="Arial"/>
          <w:sz w:val="24"/>
          <w:szCs w:val="24"/>
        </w:rPr>
        <w:t xml:space="preserve">A mi asesor y a los docentes del programa, por sus orientaciones metodológicas y observaciones críticas, que fortalecieron la coherencia del problema de investigación, los objetivos y el modelo propuesto.</w:t>
      </w:r>
    </w:p>
    <w:p>
      <w:pPr>
        <w:spacing w:after="120" w:before="120" w:line="276"/>
        <w:jc w:val="both"/>
      </w:pPr>
      <w:r>
        <w:rPr>
          <w:rFonts w:ascii="Arial" w:cs="Arial" w:eastAsia="Arial" w:hAnsi="Arial"/>
          <w:sz w:val="24"/>
          <w:szCs w:val="24"/>
        </w:rPr>
        <w:t xml:space="preserve">A los colegas y profesionales del ecosistema de gestión de proyectos y emprendimiento digital peruano, cuyas conversaciones contribuyeron a contrastar y refinar las ideas que fundamentan el modelo ALAZAR-HPM.</w:t>
      </w:r>
    </w:p>
    <w:p>
      <w:pPr>
        <w:spacing w:after="120" w:before="120" w:line="276"/>
        <w:jc w:val="both"/>
      </w:pPr>
      <w:r>
        <w:rPr>
          <w:rFonts w:ascii="Arial" w:cs="Arial" w:eastAsia="Arial" w:hAnsi="Arial"/>
          <w:sz w:val="24"/>
          <w:szCs w:val="24"/>
        </w:rPr>
        <w:t xml:space="preserve">A mi familia, por el apoyo durante todo el proceso.</w:t>
      </w:r>
    </w:p>
    <w:p>
      <w:r>
        <w:br w:type="page"/>
      </w:r>
    </w:p>
    <w:p>
      <w:pPr>
        <w:pStyle w:val="Heading1"/>
        <w:spacing w:after="180" w:before="360"/>
        <w:jc w:val="center"/>
      </w:pPr>
      <w:r>
        <w:rPr>
          <w:rFonts w:ascii="Arial" w:cs="Arial" w:eastAsia="Arial" w:hAnsi="Arial"/>
          <w:b/>
          <w:bCs/>
          <w:caps/>
          <w:sz w:val="28"/>
          <w:szCs w:val="28"/>
        </w:rPr>
        <w:t xml:space="preserve">RESUMEN EJECUTIVO</w:t>
      </w:r>
    </w:p>
    <w:p>
      <w:pPr>
        <w:spacing w:after="120" w:before="120" w:line="276"/>
        <w:jc w:val="both"/>
      </w:pPr>
      <w:r>
        <w:rPr>
          <w:rFonts w:ascii="Arial" w:cs="Arial" w:eastAsia="Arial" w:hAnsi="Arial"/>
          <w:sz w:val="24"/>
          <w:szCs w:val="24"/>
        </w:rPr>
        <w:t xml:space="preserve">Esta investigación parte de un problema concreto: los equipos fundadores de startups digitales autofinanciadas suelen construir sin estructura, lo que los expone al doble riesgo de construir lo equivocado o de construirlo bien pero sin poder sostener las decisiones que lo hicieron posible. La respuesta propuesta es una metodología de gobernanza que integra el marco PMBOK® 7 con los principios del Lean Startup. El aporte central es el modelo ALAZAR-HPM, articulado por el concepto de Gobernanza Mínima Viable: la cantidad mínima de estructura de dirección necesaria para operar sin caos, tomar decisiones trazables y verificar supuestos de negocio sin burocracia. El caso de aplicación es ALAZAR, un marketplace de sorteos digitales auditables desarrollado sin financiamiento externo en Lima desde 2024.</w:t>
      </w:r>
    </w:p>
    <w:p>
      <w:pPr>
        <w:spacing w:after="120" w:before="120" w:line="276"/>
        <w:jc w:val="both"/>
      </w:pPr>
      <w:r>
        <w:rPr>
          <w:rFonts w:ascii="Arial" w:cs="Arial" w:eastAsia="Arial" w:hAnsi="Arial"/>
          <w:sz w:val="24"/>
          <w:szCs w:val="24"/>
        </w:rPr>
        <w:t xml:space="preserve">El problema que origina la investigación es recurrente en el ecosistema emprendedor y fue experimentado en primera persona por el proyecto ALAZAR: cuando el equipo inició la construcción del MVP, la ausencia de estructura mínima de gobernanza produjo simultáneamente alcance en redefinición permanente, decisiones técnicas revertidas por falta de registro y autoridad ambigua entre los miembros del equipo. Las startups autofinanciadas no pueden permitirse construir meses de producto para descubrir que nadie lo quiere comprar, pero tampoco pueden improvisar cada decisión sin registro porque el caos operativo termina consumiendo más energía que el negocio mismo. Lo que necesitan es una estructura de dirección proporcional a su tamaño: suficiente para ordenar el aprendizaje, insuficiente para convertirse en burocracia.</w:t>
      </w:r>
    </w:p>
    <w:p>
      <w:pPr>
        <w:spacing w:after="120" w:before="120" w:line="276"/>
        <w:jc w:val="both"/>
      </w:pPr>
      <w:r>
        <w:rPr>
          <w:rFonts w:ascii="Arial" w:cs="Arial" w:eastAsia="Arial" w:hAnsi="Arial"/>
          <w:sz w:val="24"/>
          <w:szCs w:val="24"/>
        </w:rPr>
        <w:t xml:space="preserve">El diseño es cualitativo y propositivo. A partir de un diagnóstico estratégico completo del proyecto ALAZAR (análisis PESTEL, Cinco Fuerzas de Porter, matrices MEFE [2.99] y MEFI [2.46], FODA cruzado y Matriz IE) se diseña el modelo de gobernanza con seis componentes operacionales: Capa de Gobernanza, Motor de Validación, Ciclo de Gestión de Riesgos, Capa de Integración de Métricas, Protocolo de Decisión y Ciclo de Ejecución. El modelo opera bajo cuatro principios metodológicos explícitos: proporcionalidad, trazabilidad obligatoria, validación secuenciada y revisión periódica no negociable. Su validación cualitativa opera sobre seis dimensiones: consistencia conceptual, coherencia metodológica, alineamiento teoría-práctica, aplicabilidad operativa, trazabilidad y transferibilidad.</w:t>
      </w:r>
    </w:p>
    <w:p>
      <w:pPr>
        <w:spacing w:after="120" w:before="120" w:line="276"/>
        <w:jc w:val="both"/>
      </w:pPr>
      <w:r>
        <w:rPr>
          <w:rFonts w:ascii="Arial" w:cs="Arial" w:eastAsia="Arial" w:hAnsi="Arial"/>
          <w:sz w:val="24"/>
          <w:szCs w:val="24"/>
        </w:rPr>
        <w:t xml:space="preserve">La conclusión más importante no es que el modelo funciona en teoría, sino que es implementable por un equipo de dos personas con capital limitado. Esa condición de implementabilidad es el criterio de validación más exigente posible para un modelo de gobernanza dirigido a startups. Cualquier framework que requiere una PMO para operar no es una solución para este tipo de proyecto: es un problema adicional.</w:t>
      </w:r>
    </w:p>
    <w:p>
      <w:pPr>
        <w:spacing w:after="120" w:before="120" w:line="276"/>
        <w:jc w:val="both"/>
      </w:pPr>
      <w:r>
        <w:rPr>
          <w:rFonts w:ascii="Arial" w:cs="Arial" w:eastAsia="Arial" w:hAnsi="Arial"/>
          <w:b/>
          <w:bCs/>
          <w:sz w:val="24"/>
          <w:szCs w:val="24"/>
        </w:rPr>
        <w:t xml:space="preserve">Palabras clave: </w:t>
      </w:r>
      <w:r>
        <w:rPr>
          <w:rFonts w:ascii="Arial" w:cs="Arial" w:eastAsia="Arial" w:hAnsi="Arial"/>
          <w:sz w:val="24"/>
          <w:szCs w:val="24"/>
        </w:rPr>
        <w:t xml:space="preserve">metodología de gobernanza; PMBOK® 7; Lean Startup; Gobernanza Mínima Viable; startup digital; MVP; bootstrapping; implementación de proyectos digitales.</w:t>
      </w:r>
    </w:p>
    <w:p>
      <w:r>
        <w:br w:type="page"/>
      </w:r>
    </w:p>
    <w:p>
      <w:pPr>
        <w:pStyle w:val="Heading1"/>
        <w:spacing w:after="180" w:before="360"/>
        <w:jc w:val="center"/>
      </w:pPr>
      <w:r>
        <w:rPr>
          <w:rFonts w:ascii="Arial" w:cs="Arial" w:eastAsia="Arial" w:hAnsi="Arial"/>
          <w:b/>
          <w:bCs/>
          <w:caps/>
          <w:sz w:val="28"/>
          <w:szCs w:val="28"/>
        </w:rPr>
        <w:t xml:space="preserve">ABSTRACT</w:t>
      </w:r>
    </w:p>
    <w:p>
      <w:pPr>
        <w:spacing w:after="120" w:before="120" w:line="276"/>
        <w:jc w:val="both"/>
      </w:pPr>
      <w:r>
        <w:rPr>
          <w:rFonts w:ascii="Arial" w:cs="Arial" w:eastAsia="Arial" w:hAnsi="Arial"/>
          <w:sz w:val="24"/>
          <w:szCs w:val="24"/>
        </w:rPr>
        <w:t xml:space="preserve">This research designs a governance methodology for implementing digital startups under uncertainty, integrating the PMBOK® 7 framework with Lean Startup principles. The main contribution is the ALAZAR-HPM model, structured around the concept of Minimum Viable Governance: the minimum amount of project management structure needed to operate without chaos, make traceable decisions, and validate business hypotheses without bureaucracy. The case of application is ALAZAR, a self-funded auditable digital raffle marketplace developed in Lima, Peru since 2024.</w:t>
      </w:r>
    </w:p>
    <w:p>
      <w:pPr>
        <w:spacing w:after="120" w:before="120" w:line="276"/>
        <w:jc w:val="both"/>
      </w:pPr>
      <w:r>
        <w:rPr>
          <w:rFonts w:ascii="Arial" w:cs="Arial" w:eastAsia="Arial" w:hAnsi="Arial"/>
          <w:sz w:val="24"/>
          <w:szCs w:val="24"/>
        </w:rPr>
        <w:t xml:space="preserve">The research problem is common across digital entrepreneurship ecosystems: self-funded startups cannot afford to build for months and discover that no one wants to buy the product, but they also cannot improvise every decision without records because operational chaos eventually consumes more energy than the business itself. What they need is a management structure proportional to their size: enough to organize learning, not enough to become bureaucracy.</w:t>
      </w:r>
    </w:p>
    <w:p>
      <w:pPr>
        <w:spacing w:after="120" w:before="120" w:line="276"/>
        <w:jc w:val="both"/>
      </w:pPr>
      <w:r>
        <w:rPr>
          <w:rFonts w:ascii="Arial" w:cs="Arial" w:eastAsia="Arial" w:hAnsi="Arial"/>
          <w:sz w:val="24"/>
          <w:szCs w:val="24"/>
        </w:rPr>
        <w:t xml:space="preserve">The methodology adopts a qualitative, instrumental case study design. Starting from a complete strategic diagnosis of the ALAZAR project, the ALAZAR-HPM model is designed with six operational components: Governance Layer, Validation Engine, Risk Management Cycle, Metrics Integration Layer, Decision Protocol, and Execution Cycle. The central concept of Minimum Viable Governance integrates both frameworks by clarifying which system components operate under predictive logic (governance invariants) and which operate under iterative logic (validation variables).</w:t>
      </w:r>
    </w:p>
    <w:p>
      <w:pPr>
        <w:spacing w:after="120" w:before="120" w:line="276"/>
        <w:jc w:val="both"/>
      </w:pPr>
      <w:r>
        <w:rPr>
          <w:rFonts w:ascii="Arial" w:cs="Arial" w:eastAsia="Arial" w:hAnsi="Arial"/>
          <w:sz w:val="24"/>
          <w:szCs w:val="24"/>
        </w:rPr>
        <w:t xml:space="preserve">It is concluded that integrating PMBOK® 7 and Lean Startup under the Minimum Viable Governance principle constitutes a methodologically viable, coherent, and transferable response to the project management challenges of self-funded digital startups in high-uncertainty environments. The model's contribution is not its complexity but its proportionality: it provides the minimum governance structure necessary for a startup to learn systematically without wasting its available capital.</w:t>
      </w:r>
    </w:p>
    <w:p>
      <w:pPr>
        <w:spacing w:after="120" w:before="120" w:line="276"/>
        <w:jc w:val="both"/>
      </w:pPr>
      <w:r>
        <w:rPr>
          <w:rFonts w:ascii="Arial" w:cs="Arial" w:eastAsia="Arial" w:hAnsi="Arial"/>
          <w:b/>
          <w:bCs/>
          <w:sz w:val="24"/>
          <w:szCs w:val="24"/>
        </w:rPr>
        <w:t xml:space="preserve">Keywords: </w:t>
      </w:r>
      <w:r>
        <w:rPr>
          <w:rFonts w:ascii="Arial" w:cs="Arial" w:eastAsia="Arial" w:hAnsi="Arial"/>
          <w:sz w:val="24"/>
          <w:szCs w:val="24"/>
        </w:rPr>
        <w:t xml:space="preserve">governance methodology; PMBOK® 7; Lean Startup; Minimum Viable Governance; digital startup; MVP; bootstrapping; digital project implementation.</w:t>
      </w:r>
    </w:p>
    <w:p>
      <w:r>
        <w:br w:type="page"/>
      </w:r>
    </w:p>
    <w:p>
      <w:pPr>
        <w:pStyle w:val="Heading1"/>
        <w:spacing w:after="180" w:before="360"/>
        <w:jc w:val="center"/>
      </w:pPr>
      <w:r>
        <w:rPr>
          <w:rFonts w:ascii="Arial" w:cs="Arial" w:eastAsia="Arial" w:hAnsi="Arial"/>
          <w:b/>
          <w:bCs/>
          <w:caps/>
          <w:sz w:val="28"/>
          <w:szCs w:val="28"/>
        </w:rPr>
        <w:t xml:space="preserve">ÍNDICE DE CONTENIDO</w:t>
      </w:r>
    </w:p>
    <w:p>
      <w:pPr>
        <w:spacing w:after="120" w:before="120" w:line="276"/>
        <w:jc w:val="both"/>
      </w:pPr>
      <w:r>
        <w:rPr>
          <w:rFonts w:ascii="Arial" w:cs="Arial" w:eastAsia="Arial" w:hAnsi="Arial"/>
          <w:sz w:val="24"/>
          <w:szCs w:val="24"/>
        </w:rPr>
        <w:t xml:space="preserve">DEDICATORIA</w:t>
      </w:r>
    </w:p>
    <w:p>
      <w:pPr>
        <w:spacing w:after="120" w:before="120" w:line="276"/>
        <w:jc w:val="both"/>
      </w:pPr>
      <w:r>
        <w:rPr>
          <w:rFonts w:ascii="Arial" w:cs="Arial" w:eastAsia="Arial" w:hAnsi="Arial"/>
          <w:sz w:val="24"/>
          <w:szCs w:val="24"/>
        </w:rPr>
        <w:t xml:space="preserve">AGRADECIMIENTO</w:t>
      </w:r>
    </w:p>
    <w:p>
      <w:pPr>
        <w:spacing w:after="120" w:before="120" w:line="276"/>
        <w:jc w:val="both"/>
      </w:pPr>
      <w:r>
        <w:rPr>
          <w:rFonts w:ascii="Arial" w:cs="Arial" w:eastAsia="Arial" w:hAnsi="Arial"/>
          <w:sz w:val="24"/>
          <w:szCs w:val="24"/>
        </w:rPr>
        <w:t xml:space="preserve">RESUMEN EJECUTIVO</w:t>
      </w:r>
    </w:p>
    <w:p>
      <w:pPr>
        <w:spacing w:after="120" w:before="120" w:line="276"/>
        <w:jc w:val="both"/>
      </w:pPr>
      <w:r>
        <w:rPr>
          <w:rFonts w:ascii="Arial" w:cs="Arial" w:eastAsia="Arial" w:hAnsi="Arial"/>
          <w:sz w:val="24"/>
          <w:szCs w:val="24"/>
        </w:rPr>
        <w:t xml:space="preserve">ABSTRACT</w:t>
      </w:r>
    </w:p>
    <w:p>
      <w:pPr>
        <w:spacing w:after="120" w:before="120" w:line="276"/>
        <w:jc w:val="both"/>
      </w:pPr>
      <w:r>
        <w:rPr>
          <w:rFonts w:ascii="Arial" w:cs="Arial" w:eastAsia="Arial" w:hAnsi="Arial"/>
          <w:sz w:val="24"/>
          <w:szCs w:val="24"/>
        </w:rPr>
        <w:t xml:space="preserve">ÍNDICE DE CONTENIDO</w:t>
      </w:r>
    </w:p>
    <w:p>
      <w:pPr>
        <w:spacing w:after="120" w:before="120" w:line="276"/>
        <w:jc w:val="both"/>
      </w:pPr>
      <w:r>
        <w:rPr>
          <w:rFonts w:ascii="Arial" w:cs="Arial" w:eastAsia="Arial" w:hAnsi="Arial"/>
          <w:sz w:val="24"/>
          <w:szCs w:val="24"/>
        </w:rPr>
        <w:t xml:space="preserve">ÍNDICE DE TABLAS</w:t>
      </w:r>
    </w:p>
    <w:p>
      <w:pPr>
        <w:spacing w:after="120" w:before="120" w:line="276"/>
        <w:jc w:val="both"/>
      </w:pPr>
      <w:r>
        <w:rPr>
          <w:rFonts w:ascii="Arial" w:cs="Arial" w:eastAsia="Arial" w:hAnsi="Arial"/>
          <w:sz w:val="24"/>
          <w:szCs w:val="24"/>
        </w:rPr>
        <w:t xml:space="preserve">ÍNDICE DE FIGURAS</w:t>
      </w:r>
    </w:p>
    <w:p>
      <w:pPr>
        <w:spacing w:after="120" w:before="120" w:line="276"/>
        <w:jc w:val="both"/>
      </w:pPr>
      <w:r>
        <w:rPr>
          <w:rFonts w:ascii="Arial" w:cs="Arial" w:eastAsia="Arial" w:hAnsi="Arial"/>
          <w:b/>
          <w:bCs/>
          <w:sz w:val="24"/>
          <w:szCs w:val="24"/>
        </w:rPr>
        <w:t xml:space="preserve">CAPÍTULO I. PLANTEAMIENTO DE LA INVESTIGACIÓN</w:t>
      </w:r>
    </w:p>
    <w:p>
      <w:pPr>
        <w:spacing w:after="120" w:before="120" w:line="276"/>
        <w:ind w:left="360"/>
        <w:jc w:val="both"/>
      </w:pPr>
      <w:r>
        <w:rPr>
          <w:rFonts w:ascii="Arial" w:cs="Arial" w:eastAsia="Arial" w:hAnsi="Arial"/>
          <w:sz w:val="24"/>
          <w:szCs w:val="24"/>
        </w:rPr>
        <w:t xml:space="preserve">    1.1. Descripción de la situación problemática</w:t>
      </w:r>
    </w:p>
    <w:p>
      <w:pPr>
        <w:spacing w:after="120" w:before="120" w:line="276"/>
        <w:ind w:left="360"/>
        <w:jc w:val="both"/>
      </w:pPr>
      <w:r>
        <w:rPr>
          <w:rFonts w:ascii="Arial" w:cs="Arial" w:eastAsia="Arial" w:hAnsi="Arial"/>
          <w:sz w:val="24"/>
          <w:szCs w:val="24"/>
        </w:rPr>
        <w:t xml:space="preserve">    1.2. Formulación del problema</w:t>
      </w:r>
    </w:p>
    <w:p>
      <w:pPr>
        <w:spacing w:after="120" w:before="120" w:line="276"/>
        <w:ind w:left="360"/>
        <w:jc w:val="both"/>
      </w:pPr>
      <w:r>
        <w:rPr>
          <w:rFonts w:ascii="Arial" w:cs="Arial" w:eastAsia="Arial" w:hAnsi="Arial"/>
          <w:sz w:val="24"/>
          <w:szCs w:val="24"/>
        </w:rPr>
        <w:t xml:space="preserve">    1.3. Propósito del proyecto</w:t>
      </w:r>
    </w:p>
    <w:p>
      <w:pPr>
        <w:spacing w:after="120" w:before="120" w:line="276"/>
        <w:ind w:left="360"/>
        <w:jc w:val="both"/>
      </w:pPr>
      <w:r>
        <w:rPr>
          <w:rFonts w:ascii="Arial" w:cs="Arial" w:eastAsia="Arial" w:hAnsi="Arial"/>
          <w:sz w:val="24"/>
          <w:szCs w:val="24"/>
        </w:rPr>
        <w:t xml:space="preserve">    1.4. Justificación de la investigación</w:t>
      </w:r>
    </w:p>
    <w:p>
      <w:pPr>
        <w:spacing w:after="120" w:before="120" w:line="276"/>
        <w:jc w:val="both"/>
      </w:pPr>
      <w:r>
        <w:rPr>
          <w:rFonts w:ascii="Arial" w:cs="Arial" w:eastAsia="Arial" w:hAnsi="Arial"/>
          <w:b/>
          <w:bCs/>
          <w:sz w:val="24"/>
          <w:szCs w:val="24"/>
        </w:rPr>
        <w:t xml:space="preserve">CAPÍTULO II. ALCANCE DE LA INVESTIGACIÓN</w:t>
      </w:r>
    </w:p>
    <w:p>
      <w:pPr>
        <w:spacing w:after="120" w:before="120" w:line="276"/>
        <w:ind w:left="360"/>
        <w:jc w:val="both"/>
      </w:pPr>
      <w:r>
        <w:rPr>
          <w:rFonts w:ascii="Arial" w:cs="Arial" w:eastAsia="Arial" w:hAnsi="Arial"/>
          <w:sz w:val="24"/>
          <w:szCs w:val="24"/>
        </w:rPr>
        <w:t xml:space="preserve">    2.1. Objetivos de la investigación</w:t>
      </w:r>
    </w:p>
    <w:p>
      <w:pPr>
        <w:spacing w:after="120" w:before="120" w:line="276"/>
        <w:ind w:left="360"/>
        <w:jc w:val="both"/>
      </w:pPr>
      <w:r>
        <w:rPr>
          <w:rFonts w:ascii="Arial" w:cs="Arial" w:eastAsia="Arial" w:hAnsi="Arial"/>
          <w:sz w:val="24"/>
          <w:szCs w:val="24"/>
        </w:rPr>
        <w:t xml:space="preserve">    2.2. Alcance del estudio</w:t>
      </w:r>
    </w:p>
    <w:p>
      <w:pPr>
        <w:spacing w:after="120" w:before="120" w:line="276"/>
        <w:ind w:left="360"/>
        <w:jc w:val="both"/>
      </w:pPr>
      <w:r>
        <w:rPr>
          <w:rFonts w:ascii="Arial" w:cs="Arial" w:eastAsia="Arial" w:hAnsi="Arial"/>
          <w:sz w:val="24"/>
          <w:szCs w:val="24"/>
        </w:rPr>
        <w:t xml:space="preserve">    2.3. Restricciones y limitaciones</w:t>
      </w:r>
    </w:p>
    <w:p>
      <w:pPr>
        <w:spacing w:after="120" w:before="120" w:line="276"/>
        <w:jc w:val="both"/>
      </w:pPr>
      <w:r>
        <w:rPr>
          <w:rFonts w:ascii="Arial" w:cs="Arial" w:eastAsia="Arial" w:hAnsi="Arial"/>
          <w:b/>
          <w:bCs/>
          <w:sz w:val="24"/>
          <w:szCs w:val="24"/>
        </w:rPr>
        <w:t xml:space="preserve">CAPÍTULO III. MARCO REFERENCIAL</w:t>
      </w:r>
    </w:p>
    <w:p>
      <w:pPr>
        <w:spacing w:after="120" w:before="120" w:line="276"/>
        <w:jc w:val="both"/>
      </w:pPr>
      <w:r>
        <w:rPr>
          <w:rFonts w:ascii="Arial" w:cs="Arial" w:eastAsia="Arial" w:hAnsi="Arial"/>
          <w:b/>
          <w:bCs/>
          <w:sz w:val="24"/>
          <w:szCs w:val="24"/>
        </w:rPr>
        <w:t xml:space="preserve">CAPÍTULO IV. MARCO TEÓRICO</w:t>
      </w:r>
    </w:p>
    <w:p>
      <w:pPr>
        <w:spacing w:after="120" w:before="120" w:line="276"/>
        <w:jc w:val="both"/>
      </w:pPr>
      <w:r>
        <w:rPr>
          <w:rFonts w:ascii="Arial" w:cs="Arial" w:eastAsia="Arial" w:hAnsi="Arial"/>
          <w:b/>
          <w:bCs/>
          <w:sz w:val="24"/>
          <w:szCs w:val="24"/>
        </w:rPr>
        <w:t xml:space="preserve">CAPÍTULO V. MARCO METODOLÓGICO</w:t>
      </w:r>
    </w:p>
    <w:p>
      <w:pPr>
        <w:spacing w:after="120" w:before="120" w:line="276"/>
        <w:ind w:left="360"/>
        <w:jc w:val="both"/>
      </w:pPr>
      <w:r>
        <w:rPr>
          <w:rFonts w:ascii="Arial" w:cs="Arial" w:eastAsia="Arial" w:hAnsi="Arial"/>
          <w:sz w:val="24"/>
          <w:szCs w:val="24"/>
        </w:rPr>
        <w:t xml:space="preserve">    5.1. Enfoque y diseño de la investigación</w:t>
      </w:r>
    </w:p>
    <w:p>
      <w:pPr>
        <w:spacing w:after="120" w:before="120" w:line="276"/>
        <w:ind w:left="360"/>
        <w:jc w:val="both"/>
      </w:pPr>
      <w:r>
        <w:rPr>
          <w:rFonts w:ascii="Arial" w:cs="Arial" w:eastAsia="Arial" w:hAnsi="Arial"/>
          <w:sz w:val="24"/>
          <w:szCs w:val="24"/>
        </w:rPr>
        <w:t xml:space="preserve">    5.2. Fuentes de información</w:t>
      </w:r>
    </w:p>
    <w:p>
      <w:pPr>
        <w:spacing w:after="120" w:before="120" w:line="276"/>
        <w:ind w:left="360"/>
        <w:jc w:val="both"/>
      </w:pPr>
      <w:r>
        <w:rPr>
          <w:rFonts w:ascii="Arial" w:cs="Arial" w:eastAsia="Arial" w:hAnsi="Arial"/>
          <w:sz w:val="24"/>
          <w:szCs w:val="24"/>
        </w:rPr>
        <w:t xml:space="preserve">    5.3. El modelo ALAZAR-HPM: arquitectura y componentes</w:t>
      </w:r>
    </w:p>
    <w:p>
      <w:pPr>
        <w:spacing w:after="120" w:before="120" w:line="276"/>
        <w:ind w:left="360"/>
        <w:jc w:val="both"/>
      </w:pPr>
      <w:r>
        <w:rPr>
          <w:rFonts w:ascii="Arial" w:cs="Arial" w:eastAsia="Arial" w:hAnsi="Arial"/>
          <w:sz w:val="24"/>
          <w:szCs w:val="24"/>
        </w:rPr>
        <w:t xml:space="preserve">    5.4. Gobernanza Mínima Viable: el principio articulador</w:t>
      </w:r>
    </w:p>
    <w:p>
      <w:pPr>
        <w:spacing w:after="120" w:before="120" w:line="276"/>
        <w:ind w:left="360"/>
        <w:jc w:val="both"/>
      </w:pPr>
      <w:r>
        <w:rPr>
          <w:rFonts w:ascii="Arial" w:cs="Arial" w:eastAsia="Arial" w:hAnsi="Arial"/>
          <w:sz w:val="24"/>
          <w:szCs w:val="24"/>
        </w:rPr>
        <w:t xml:space="preserve">    5.5. Validación del modelo</w:t>
      </w:r>
    </w:p>
    <w:p>
      <w:pPr>
        <w:spacing w:after="120" w:before="120" w:line="276"/>
        <w:jc w:val="both"/>
      </w:pPr>
      <w:r>
        <w:rPr>
          <w:rFonts w:ascii="Arial" w:cs="Arial" w:eastAsia="Arial" w:hAnsi="Arial"/>
          <w:b/>
          <w:bCs/>
          <w:sz w:val="24"/>
          <w:szCs w:val="24"/>
        </w:rPr>
        <w:t xml:space="preserve">CAPÍTULO VI. APLICACIÓN EN EL PROYECTO</w:t>
      </w:r>
    </w:p>
    <w:p>
      <w:pPr>
        <w:spacing w:after="120" w:before="120" w:line="276"/>
        <w:ind w:left="360"/>
        <w:jc w:val="both"/>
      </w:pPr>
      <w:r>
        <w:rPr>
          <w:rFonts w:ascii="Arial" w:cs="Arial" w:eastAsia="Arial" w:hAnsi="Arial"/>
          <w:sz w:val="24"/>
          <w:szCs w:val="24"/>
        </w:rPr>
        <w:t xml:space="preserve">    6.1. Qué resuelve el modelo y qué no</w:t>
      </w:r>
    </w:p>
    <w:p>
      <w:pPr>
        <w:spacing w:after="120" w:before="120" w:line="276"/>
        <w:ind w:left="360"/>
        <w:jc w:val="both"/>
      </w:pPr>
      <w:r>
        <w:rPr>
          <w:rFonts w:ascii="Arial" w:cs="Arial" w:eastAsia="Arial" w:hAnsi="Arial"/>
          <w:sz w:val="24"/>
          <w:szCs w:val="24"/>
        </w:rPr>
        <w:t xml:space="preserve">    6.2. Los cuatro instrumentos operacionales</w:t>
      </w:r>
    </w:p>
    <w:p>
      <w:pPr>
        <w:spacing w:after="120" w:before="120" w:line="276"/>
        <w:ind w:left="360"/>
        <w:jc w:val="both"/>
      </w:pPr>
      <w:r>
        <w:rPr>
          <w:rFonts w:ascii="Arial" w:cs="Arial" w:eastAsia="Arial" w:hAnsi="Arial"/>
          <w:sz w:val="24"/>
          <w:szCs w:val="24"/>
        </w:rPr>
        <w:t xml:space="preserve">    6.3. Fase 0: construir la base antes de lanzar</w:t>
      </w:r>
    </w:p>
    <w:p>
      <w:pPr>
        <w:spacing w:after="120" w:before="120" w:line="276"/>
        <w:ind w:left="360"/>
        <w:jc w:val="both"/>
      </w:pPr>
      <w:r>
        <w:rPr>
          <w:rFonts w:ascii="Arial" w:cs="Arial" w:eastAsia="Arial" w:hAnsi="Arial"/>
          <w:sz w:val="24"/>
          <w:szCs w:val="24"/>
        </w:rPr>
        <w:t xml:space="preserve">    6.4. Fase 1: lanzar y aprender con usuarios reales</w:t>
      </w:r>
    </w:p>
    <w:p>
      <w:pPr>
        <w:spacing w:after="120" w:before="120" w:line="276"/>
        <w:ind w:left="360"/>
        <w:jc w:val="both"/>
      </w:pPr>
      <w:r>
        <w:rPr>
          <w:rFonts w:ascii="Arial" w:cs="Arial" w:eastAsia="Arial" w:hAnsi="Arial"/>
          <w:sz w:val="24"/>
          <w:szCs w:val="24"/>
        </w:rPr>
        <w:t xml:space="preserve">    6.5. Fase 2: cerrar el ciclo económico completo</w:t>
      </w:r>
    </w:p>
    <w:p>
      <w:pPr>
        <w:spacing w:after="120" w:before="120" w:line="276"/>
        <w:ind w:left="360"/>
        <w:jc w:val="both"/>
      </w:pPr>
      <w:r>
        <w:rPr>
          <w:rFonts w:ascii="Arial" w:cs="Arial" w:eastAsia="Arial" w:hAnsi="Arial"/>
          <w:sz w:val="24"/>
          <w:szCs w:val="24"/>
        </w:rPr>
        <w:t xml:space="preserve">    6.6. Fase 3: medir, decidir y escalar</w:t>
      </w:r>
    </w:p>
    <w:p>
      <w:pPr>
        <w:spacing w:after="120" w:before="120" w:line="276"/>
        <w:ind w:left="360"/>
        <w:jc w:val="both"/>
      </w:pPr>
      <w:r>
        <w:rPr>
          <w:rFonts w:ascii="Arial" w:cs="Arial" w:eastAsia="Arial" w:hAnsi="Arial"/>
          <w:sz w:val="24"/>
          <w:szCs w:val="24"/>
        </w:rPr>
        <w:t xml:space="preserve">    6.7. Transferibilidad del modelo: adaptación a cualquier startup</w:t>
      </w:r>
    </w:p>
    <w:p>
      <w:pPr>
        <w:spacing w:after="120" w:before="120" w:line="276"/>
        <w:ind w:left="360"/>
        <w:jc w:val="both"/>
      </w:pPr>
      <w:r>
        <w:rPr>
          <w:rFonts w:ascii="Arial" w:cs="Arial" w:eastAsia="Arial" w:hAnsi="Arial"/>
          <w:sz w:val="24"/>
          <w:szCs w:val="24"/>
        </w:rPr>
        <w:t xml:space="preserve">    6.8. Recursos, equipo y sostenibilidad</w:t>
      </w:r>
    </w:p>
    <w:p>
      <w:pPr>
        <w:spacing w:after="120" w:before="120" w:line="276"/>
        <w:ind w:left="360"/>
        <w:jc w:val="both"/>
      </w:pPr>
      <w:r>
        <w:rPr>
          <w:rFonts w:ascii="Arial" w:cs="Arial" w:eastAsia="Arial" w:hAnsi="Arial"/>
          <w:sz w:val="24"/>
          <w:szCs w:val="24"/>
        </w:rPr>
        <w:t xml:space="preserve">    6.9. Indicadores de seguimiento</w:t>
      </w:r>
    </w:p>
    <w:p>
      <w:pPr>
        <w:spacing w:after="120" w:before="120" w:line="276"/>
        <w:jc w:val="both"/>
      </w:pPr>
      <w:r>
        <w:rPr>
          <w:rFonts w:ascii="Arial" w:cs="Arial" w:eastAsia="Arial" w:hAnsi="Arial"/>
          <w:b/>
          <w:bCs/>
          <w:sz w:val="24"/>
          <w:szCs w:val="24"/>
        </w:rPr>
        <w:t xml:space="preserve">CAPÍTULO VII. ANÁLISIS DE RESULTADOS Y PROPUESTA DE MEJORA</w:t>
      </w:r>
    </w:p>
    <w:p>
      <w:pPr>
        <w:spacing w:after="60" w:before="60"/>
        <w:ind w:left="360"/>
      </w:pPr>
      <w:r>
        <w:rPr>
          <w:rFonts w:ascii="Arial" w:cs="Arial" w:eastAsia="Arial" w:hAnsi="Arial"/>
          <w:sz w:val="24"/>
          <w:szCs w:val="24"/>
        </w:rPr>
        <w:t xml:space="preserve">    7.1. Limitaciones metodológicas</w:t>
      </w:r>
    </w:p>
    <w:p>
      <w:pPr>
        <w:spacing w:after="60" w:before="60"/>
        <w:ind w:left="360"/>
      </w:pPr>
      <w:r>
        <w:rPr>
          <w:rFonts w:ascii="Arial" w:cs="Arial" w:eastAsia="Arial" w:hAnsi="Arial"/>
          <w:sz w:val="24"/>
          <w:szCs w:val="24"/>
        </w:rPr>
        <w:t xml:space="preserve">    7.2. Análisis crítico y factores críticos de éxito</w:t>
      </w:r>
    </w:p>
    <w:p>
      <w:pPr>
        <w:spacing w:after="60" w:before="60"/>
        <w:ind w:left="360"/>
      </w:pPr>
      <w:r>
        <w:rPr>
          <w:rFonts w:ascii="Arial" w:cs="Arial" w:eastAsia="Arial" w:hAnsi="Arial"/>
          <w:sz w:val="24"/>
          <w:szCs w:val="24"/>
        </w:rPr>
        <w:t xml:space="preserve">    7.3. Escenarios donde la metodología podría fallar</w:t>
      </w:r>
    </w:p>
    <w:p>
      <w:pPr>
        <w:spacing w:after="60" w:before="60"/>
        <w:ind w:left="360"/>
      </w:pPr>
      <w:r>
        <w:rPr>
          <w:rFonts w:ascii="Arial" w:cs="Arial" w:eastAsia="Arial" w:hAnsi="Arial"/>
          <w:sz w:val="24"/>
          <w:szCs w:val="24"/>
        </w:rPr>
        <w:t xml:space="preserve">    7.4. Implicancias para la gestión de proyectos</w:t>
      </w:r>
    </w:p>
    <w:p>
      <w:pPr>
        <w:spacing w:after="60" w:before="60"/>
        <w:ind w:left="360"/>
      </w:pPr>
      <w:r>
        <w:rPr>
          <w:rFonts w:ascii="Arial" w:cs="Arial" w:eastAsia="Arial" w:hAnsi="Arial"/>
          <w:sz w:val="24"/>
          <w:szCs w:val="24"/>
        </w:rPr>
        <w:t xml:space="preserve">    7.5. Aprendizajes del proceso de diseño metodológico</w:t>
      </w:r>
    </w:p>
    <w:p>
      <w:pPr>
        <w:spacing w:after="60" w:before="60"/>
        <w:ind w:left="360"/>
      </w:pPr>
      <w:r>
        <w:rPr>
          <w:rFonts w:ascii="Arial" w:cs="Arial" w:eastAsia="Arial" w:hAnsi="Arial"/>
          <w:sz w:val="24"/>
          <w:szCs w:val="24"/>
        </w:rPr>
        <w:t xml:space="preserve">    7.6. Propuesta de mejora</w:t>
      </w:r>
    </w:p>
    <w:p>
      <w:pPr>
        <w:spacing w:after="120" w:before="120" w:line="276"/>
        <w:jc w:val="both"/>
      </w:pPr>
      <w:r>
        <w:rPr>
          <w:rFonts w:ascii="Arial" w:cs="Arial" w:eastAsia="Arial" w:hAnsi="Arial"/>
          <w:b/>
          <w:bCs/>
          <w:sz w:val="24"/>
          <w:szCs w:val="24"/>
        </w:rPr>
        <w:t xml:space="preserve">CONCLUSIONES</w:t>
      </w:r>
    </w:p>
    <w:p>
      <w:pPr>
        <w:spacing w:after="120" w:before="120" w:line="276"/>
        <w:jc w:val="both"/>
      </w:pPr>
      <w:r>
        <w:rPr>
          <w:rFonts w:ascii="Arial" w:cs="Arial" w:eastAsia="Arial" w:hAnsi="Arial"/>
          <w:b/>
          <w:bCs/>
          <w:sz w:val="24"/>
          <w:szCs w:val="24"/>
        </w:rPr>
        <w:t xml:space="preserve">RECOMENDACIONES</w:t>
      </w:r>
    </w:p>
    <w:p>
      <w:pPr>
        <w:spacing w:after="120" w:before="120" w:line="276"/>
        <w:jc w:val="both"/>
      </w:pPr>
      <w:r>
        <w:rPr>
          <w:rFonts w:ascii="Arial" w:cs="Arial" w:eastAsia="Arial" w:hAnsi="Arial"/>
          <w:b/>
          <w:bCs/>
          <w:sz w:val="24"/>
          <w:szCs w:val="24"/>
        </w:rPr>
        <w:t xml:space="preserve">BIBLIOGRAFÍA</w:t>
      </w:r>
    </w:p>
    <w:p>
      <w:pPr>
        <w:spacing w:after="120" w:before="120" w:line="276"/>
        <w:jc w:val="both"/>
      </w:pPr>
      <w:r>
        <w:rPr>
          <w:rFonts w:ascii="Arial" w:cs="Arial" w:eastAsia="Arial" w:hAnsi="Arial"/>
          <w:b/>
          <w:bCs/>
          <w:sz w:val="24"/>
          <w:szCs w:val="24"/>
        </w:rPr>
        <w:t xml:space="preserve">ANEXOS</w:t>
      </w:r>
    </w:p>
    <w:p>
      <w:r>
        <w:br w:type="page"/>
      </w:r>
    </w:p>
    <w:p>
      <w:pPr>
        <w:pStyle w:val="Heading1"/>
        <w:spacing w:after="180" w:before="360"/>
        <w:jc w:val="center"/>
      </w:pPr>
      <w:r>
        <w:rPr>
          <w:rFonts w:ascii="Arial" w:cs="Arial" w:eastAsia="Arial" w:hAnsi="Arial"/>
          <w:b/>
          <w:bCs/>
          <w:caps/>
          <w:sz w:val="28"/>
          <w:szCs w:val="28"/>
        </w:rPr>
        <w:t xml:space="preserve">ÍNDICE DE TABLAS</w:t>
      </w:r>
    </w:p>
    <w:p>
      <w:pPr>
        <w:spacing w:after="120" w:before="120" w:line="276"/>
        <w:jc w:val="both"/>
      </w:pPr>
      <w:r>
        <w:rPr>
          <w:rFonts w:ascii="Arial" w:cs="Arial" w:eastAsia="Arial" w:hAnsi="Arial"/>
          <w:sz w:val="24"/>
          <w:szCs w:val="24"/>
        </w:rPr>
        <w:t xml:space="preserve">Tabla 1.    Análisis PESTEL del proyecto ALAZAR: Lima, 2024-2026</w:t>
      </w:r>
    </w:p>
    <w:p>
      <w:pPr>
        <w:spacing w:after="120" w:before="120" w:line="276"/>
        <w:jc w:val="both"/>
      </w:pPr>
      <w:r>
        <w:rPr>
          <w:rFonts w:ascii="Arial" w:cs="Arial" w:eastAsia="Arial" w:hAnsi="Arial"/>
          <w:sz w:val="24"/>
          <w:szCs w:val="24"/>
        </w:rPr>
        <w:t xml:space="preserve">Tabla 2.    Cinco Fuerzas de Porter del proyecto ALAZAR</w:t>
      </w:r>
    </w:p>
    <w:p>
      <w:pPr>
        <w:spacing w:after="120" w:before="120" w:line="276"/>
        <w:jc w:val="both"/>
      </w:pPr>
      <w:r>
        <w:rPr>
          <w:rFonts w:ascii="Arial" w:cs="Arial" w:eastAsia="Arial" w:hAnsi="Arial"/>
          <w:sz w:val="24"/>
          <w:szCs w:val="24"/>
        </w:rPr>
        <w:t xml:space="preserve">Tabla 3.    Análisis del panorama competitivo del sector de sorteos digitales en el Perú (2024-2025)</w:t>
      </w:r>
    </w:p>
    <w:p>
      <w:pPr>
        <w:spacing w:after="120" w:before="120" w:line="276"/>
        <w:jc w:val="both"/>
      </w:pPr>
      <w:r>
        <w:rPr>
          <w:rFonts w:ascii="Arial" w:cs="Arial" w:eastAsia="Arial" w:hAnsi="Arial"/>
          <w:sz w:val="24"/>
          <w:szCs w:val="24"/>
        </w:rPr>
        <w:t xml:space="preserve">Tabla 4.    Matriz de Evaluación de Factores Externos (MEFE) del proyecto ALAZAR</w:t>
      </w:r>
    </w:p>
    <w:p>
      <w:pPr>
        <w:spacing w:after="120" w:before="120" w:line="276"/>
        <w:jc w:val="both"/>
      </w:pPr>
      <w:r>
        <w:rPr>
          <w:rFonts w:ascii="Arial" w:cs="Arial" w:eastAsia="Arial" w:hAnsi="Arial"/>
          <w:sz w:val="24"/>
          <w:szCs w:val="24"/>
        </w:rPr>
        <w:t xml:space="preserve">Tabla 5.    Análisis AMOFHIT del proyecto ALAZAR</w:t>
      </w:r>
    </w:p>
    <w:p>
      <w:pPr>
        <w:spacing w:after="120" w:before="120" w:line="276"/>
        <w:jc w:val="both"/>
      </w:pPr>
      <w:r>
        <w:rPr>
          <w:rFonts w:ascii="Arial" w:cs="Arial" w:eastAsia="Arial" w:hAnsi="Arial"/>
          <w:sz w:val="24"/>
          <w:szCs w:val="24"/>
        </w:rPr>
        <w:t xml:space="preserve">Tabla 6.    Matriz de Evaluación de Factores Internos (MEFI) del proyecto ALAZAR</w:t>
      </w:r>
    </w:p>
    <w:p>
      <w:pPr>
        <w:spacing w:after="120" w:before="120" w:line="276"/>
        <w:jc w:val="both"/>
      </w:pPr>
      <w:r>
        <w:rPr>
          <w:rFonts w:ascii="Arial" w:cs="Arial" w:eastAsia="Arial" w:hAnsi="Arial"/>
          <w:sz w:val="24"/>
          <w:szCs w:val="24"/>
        </w:rPr>
        <w:t xml:space="preserve">Tabla 7.    Análisis FODA integrado del proyecto ALAZAR</w:t>
      </w:r>
    </w:p>
    <w:p>
      <w:pPr>
        <w:spacing w:after="120" w:before="120" w:line="276"/>
        <w:jc w:val="both"/>
      </w:pPr>
      <w:r>
        <w:rPr>
          <w:rFonts w:ascii="Arial" w:cs="Arial" w:eastAsia="Arial" w:hAnsi="Arial"/>
          <w:sz w:val="24"/>
          <w:szCs w:val="24"/>
        </w:rPr>
        <w:t xml:space="preserve">Tabla 8.    Matriz Interna-Externa (IE): posición estratégica del proyecto ALAZAR</w:t>
      </w:r>
    </w:p>
    <w:p>
      <w:pPr>
        <w:spacing w:after="120" w:before="120" w:line="276"/>
        <w:jc w:val="both"/>
      </w:pPr>
      <w:r>
        <w:rPr>
          <w:rFonts w:ascii="Arial" w:cs="Arial" w:eastAsia="Arial" w:hAnsi="Arial"/>
          <w:sz w:val="24"/>
          <w:szCs w:val="24"/>
        </w:rPr>
        <w:t xml:space="preserve">Tabla 9.    Plan de priorización estratégica integrado del proyecto ALAZAR</w:t>
      </w:r>
    </w:p>
    <w:p>
      <w:pPr>
        <w:spacing w:after="120" w:before="120" w:line="276"/>
        <w:jc w:val="both"/>
      </w:pPr>
      <w:r>
        <w:rPr>
          <w:rFonts w:ascii="Arial" w:cs="Arial" w:eastAsia="Arial" w:hAnsi="Arial"/>
          <w:sz w:val="24"/>
          <w:szCs w:val="24"/>
        </w:rPr>
        <w:t xml:space="preserve">Tabla 10.    Beneficios esperados del proyecto y herramientas de gobernanza vinculadas</w:t>
      </w:r>
    </w:p>
    <w:p>
      <w:pPr>
        <w:spacing w:after="120" w:before="120" w:line="276"/>
        <w:jc w:val="both"/>
      </w:pPr>
      <w:r>
        <w:rPr>
          <w:rFonts w:ascii="Arial" w:cs="Arial" w:eastAsia="Arial" w:hAnsi="Arial"/>
          <w:sz w:val="24"/>
          <w:szCs w:val="24"/>
        </w:rPr>
        <w:t xml:space="preserve">Tabla 11.    Marco comparativo de enfoques de gestión de proyectos</w:t>
      </w:r>
    </w:p>
    <w:p>
      <w:pPr>
        <w:spacing w:after="120" w:before="120" w:line="276"/>
        <w:jc w:val="both"/>
      </w:pPr>
      <w:r>
        <w:rPr>
          <w:rFonts w:ascii="Arial" w:cs="Arial" w:eastAsia="Arial" w:hAnsi="Arial"/>
          <w:sz w:val="24"/>
          <w:szCs w:val="24"/>
        </w:rPr>
        <w:t xml:space="preserve">Tabla 12.    Mapa de aplicación del marco teórico al modelo ALAZAR-HPM</w:t>
      </w:r>
    </w:p>
    <w:p>
      <w:pPr>
        <w:spacing w:after="120" w:before="120" w:line="276"/>
        <w:jc w:val="both"/>
      </w:pPr>
      <w:r>
        <w:rPr>
          <w:rFonts w:ascii="Arial" w:cs="Arial" w:eastAsia="Arial" w:hAnsi="Arial"/>
          <w:sz w:val="24"/>
          <w:szCs w:val="24"/>
        </w:rPr>
        <w:t xml:space="preserve">Tabla 13.    Fuentes de elaboración propia del proyecto ALAZAR</w:t>
      </w:r>
    </w:p>
    <w:p>
      <w:pPr>
        <w:spacing w:after="120" w:before="120" w:line="276"/>
        <w:jc w:val="both"/>
      </w:pPr>
      <w:r>
        <w:rPr>
          <w:rFonts w:ascii="Arial" w:cs="Arial" w:eastAsia="Arial" w:hAnsi="Arial"/>
          <w:sz w:val="24"/>
          <w:szCs w:val="24"/>
        </w:rPr>
        <w:t xml:space="preserve">Tabla 14.    Fuentes secundarias de información del proyecto</w:t>
      </w:r>
    </w:p>
    <w:p>
      <w:pPr>
        <w:spacing w:after="120" w:before="120" w:line="276"/>
        <w:jc w:val="both"/>
      </w:pPr>
      <w:r>
        <w:rPr>
          <w:rFonts w:ascii="Arial" w:cs="Arial" w:eastAsia="Arial" w:hAnsi="Arial"/>
          <w:sz w:val="24"/>
          <w:szCs w:val="24"/>
        </w:rPr>
        <w:t xml:space="preserve">Tabla 15.    Contribución de PMBOK® 7 y Lean Startup al modelo ALAZAR-HPM</w:t>
      </w:r>
    </w:p>
    <w:p>
      <w:pPr>
        <w:spacing w:after="120" w:before="120" w:line="276"/>
        <w:jc w:val="both"/>
      </w:pPr>
      <w:r>
        <w:rPr>
          <w:rFonts w:ascii="Arial" w:cs="Arial" w:eastAsia="Arial" w:hAnsi="Arial"/>
          <w:sz w:val="24"/>
          <w:szCs w:val="24"/>
        </w:rPr>
        <w:t xml:space="preserve">Tabla 16.    Los seis componentes del modelo ALAZAR-HPM y qué problema resuelve cada uno</w:t>
      </w:r>
    </w:p>
    <w:p>
      <w:pPr>
        <w:spacing w:after="120" w:before="120" w:line="276"/>
        <w:jc w:val="both"/>
      </w:pPr>
      <w:r>
        <w:rPr>
          <w:rFonts w:ascii="Arial" w:cs="Arial" w:eastAsia="Arial" w:hAnsi="Arial"/>
          <w:sz w:val="24"/>
          <w:szCs w:val="24"/>
        </w:rPr>
        <w:t xml:space="preserve">Tabla 17.    Gobernanza Mínima Viable: implementación en ALAZAR</w:t>
      </w:r>
    </w:p>
    <w:p>
      <w:pPr>
        <w:spacing w:after="120" w:before="120" w:line="276"/>
        <w:jc w:val="both"/>
      </w:pPr>
      <w:r>
        <w:rPr>
          <w:rFonts w:ascii="Arial" w:cs="Arial" w:eastAsia="Arial" w:hAnsi="Arial"/>
          <w:sz w:val="24"/>
          <w:szCs w:val="24"/>
        </w:rPr>
        <w:t xml:space="preserve">Tabla 18.    Criterios de validación del modelo ALAZAR-HPM</w:t>
      </w:r>
    </w:p>
    <w:p>
      <w:pPr>
        <w:spacing w:after="120" w:before="120" w:line="276"/>
        <w:jc w:val="both"/>
      </w:pPr>
      <w:r>
        <w:rPr>
          <w:rFonts w:ascii="Arial" w:cs="Arial" w:eastAsia="Arial" w:hAnsi="Arial"/>
          <w:sz w:val="24"/>
          <w:szCs w:val="24"/>
        </w:rPr>
        <w:t xml:space="preserve">Tabla 19.    Entregables de la Fase 0 con criterios de aceptación</w:t>
      </w:r>
    </w:p>
    <w:p>
      <w:pPr>
        <w:spacing w:after="120" w:before="120" w:line="276"/>
        <w:jc w:val="both"/>
      </w:pPr>
      <w:r>
        <w:rPr>
          <w:rFonts w:ascii="Arial" w:cs="Arial" w:eastAsia="Arial" w:hAnsi="Arial"/>
          <w:sz w:val="24"/>
          <w:szCs w:val="24"/>
        </w:rPr>
        <w:t xml:space="preserve">Tabla 20.    Registro de Supuestos de Validación S1-S6 del proyecto ALAZAR</w:t>
      </w:r>
    </w:p>
    <w:p>
      <w:pPr>
        <w:spacing w:after="120" w:before="120" w:line="276"/>
        <w:jc w:val="both"/>
      </w:pPr>
      <w:r>
        <w:rPr>
          <w:rFonts w:ascii="Arial" w:cs="Arial" w:eastAsia="Arial" w:hAnsi="Arial"/>
          <w:sz w:val="24"/>
          <w:szCs w:val="24"/>
        </w:rPr>
        <w:t xml:space="preserve">Tabla 21.    Registro de Riesgos del proyecto ALAZAR: estado inicial</w:t>
      </w:r>
    </w:p>
    <w:p>
      <w:pPr>
        <w:spacing w:after="120" w:before="120" w:line="276"/>
        <w:jc w:val="both"/>
      </w:pPr>
      <w:r>
        <w:rPr>
          <w:rFonts w:ascii="Arial" w:cs="Arial" w:eastAsia="Arial" w:hAnsi="Arial"/>
          <w:sz w:val="24"/>
          <w:szCs w:val="24"/>
        </w:rPr>
        <w:t xml:space="preserve">Tabla 22.    Cronograma de implementación del modelo ALAZAR-HPM (9 meses)</w:t>
      </w:r>
    </w:p>
    <w:p>
      <w:pPr>
        <w:spacing w:after="120" w:before="120" w:line="276"/>
        <w:jc w:val="both"/>
      </w:pPr>
      <w:r>
        <w:rPr>
          <w:rFonts w:ascii="Arial" w:cs="Arial" w:eastAsia="Arial" w:hAnsi="Arial"/>
          <w:sz w:val="24"/>
          <w:szCs w:val="24"/>
        </w:rPr>
        <w:t xml:space="preserve">Tabla 23.    Roles del equipo mínimo y responsabilidades</w:t>
      </w:r>
    </w:p>
    <w:p>
      <w:pPr>
        <w:spacing w:after="120" w:before="120" w:line="276"/>
        <w:jc w:val="both"/>
      </w:pPr>
      <w:r>
        <w:rPr>
          <w:rFonts w:ascii="Arial" w:cs="Arial" w:eastAsia="Arial" w:hAnsi="Arial"/>
          <w:sz w:val="24"/>
          <w:szCs w:val="24"/>
        </w:rPr>
        <w:t xml:space="preserve">Tabla 24.    Estructura de costos y tasa de gasto mensual estimada del proyecto</w:t>
      </w:r>
    </w:p>
    <w:p>
      <w:pPr>
        <w:spacing w:after="120" w:before="120" w:line="276"/>
        <w:jc w:val="both"/>
      </w:pPr>
      <w:r>
        <w:rPr>
          <w:rFonts w:ascii="Arial" w:cs="Arial" w:eastAsia="Arial" w:hAnsi="Arial"/>
          <w:sz w:val="24"/>
          <w:szCs w:val="24"/>
        </w:rPr>
        <w:t xml:space="preserve">Tabla 25.    Proyección de punto de equilibrio financiero</w:t>
      </w:r>
    </w:p>
    <w:p>
      <w:pPr>
        <w:spacing w:after="120" w:before="120" w:line="276"/>
        <w:jc w:val="both"/>
      </w:pPr>
      <w:r>
        <w:rPr>
          <w:rFonts w:ascii="Arial" w:cs="Arial" w:eastAsia="Arial" w:hAnsi="Arial"/>
          <w:sz w:val="24"/>
          <w:szCs w:val="24"/>
        </w:rPr>
        <w:t xml:space="preserve">Tabla 26.    Alineamiento estratégico: objetivo, estrategia, entregable e indicador</w:t>
      </w:r>
    </w:p>
    <w:p>
      <w:pPr>
        <w:spacing w:after="120" w:before="120" w:line="276"/>
        <w:jc w:val="both"/>
      </w:pPr>
      <w:r>
        <w:rPr>
          <w:rFonts w:ascii="Arial" w:cs="Arial" w:eastAsia="Arial" w:hAnsi="Arial"/>
          <w:sz w:val="24"/>
          <w:szCs w:val="24"/>
        </w:rPr>
        <w:t xml:space="preserve">Tabla 27.    Indicadores de seguimiento del proyecto ALAZAR</w:t>
      </w:r>
    </w:p>
    <w:p>
      <w:pPr>
        <w:spacing w:after="120" w:before="120" w:line="276"/>
        <w:jc w:val="both"/>
      </w:pPr>
      <w:r>
        <w:rPr>
          <w:rFonts w:ascii="Arial" w:cs="Arial" w:eastAsia="Arial" w:hAnsi="Arial"/>
          <w:sz w:val="24"/>
          <w:szCs w:val="24"/>
        </w:rPr>
        <w:t xml:space="preserve">Tabla 28.    Bitácora de Decisiones RC-01 del proyecto ALAZAR: estado inicial, Mes 1
Tabla 29.    Aplicación de los doce principios del PMBOK® 7 al modelo ALAZAR-HPM
Tabla 30.    Aplicación de los ocho dominios de desempeño del PMBOK® 7 al modelo ALAZAR-HPM
Tabla 31.    Adaptación de la metodología de Gobernanza Mínima Viable a distintos tipos de startup digital
Tabla 32.    Dimensiones invariables y variables de la metodología según tipo de startup
Tabla 33.    Evaluación sistemática del modelo ALAZAR-HPM según las seis dimensiones de validación cualitativa</w:t>
      </w:r>
    </w:p>
    <w:p>
      <w:r>
        <w:br w:type="page"/>
      </w:r>
    </w:p>
    <w:p>
      <w:pPr>
        <w:pStyle w:val="Heading1"/>
        <w:spacing w:after="180" w:before="360"/>
        <w:jc w:val="center"/>
      </w:pPr>
      <w:r>
        <w:rPr>
          <w:rFonts w:ascii="Arial" w:cs="Arial" w:eastAsia="Arial" w:hAnsi="Arial"/>
          <w:b/>
          <w:bCs/>
          <w:caps/>
          <w:sz w:val="28"/>
          <w:szCs w:val="28"/>
        </w:rPr>
        <w:t xml:space="preserve">ÍNDICE DE FIGURAS</w:t>
      </w:r>
    </w:p>
    <w:p>
      <w:pPr>
        <w:spacing w:after="120" w:before="120" w:line="276"/>
        <w:jc w:val="both"/>
      </w:pPr>
      <w:r>
        <w:rPr>
          <w:rFonts w:ascii="Arial" w:cs="Arial" w:eastAsia="Arial" w:hAnsi="Arial"/>
          <w:sz w:val="24"/>
          <w:szCs w:val="24"/>
        </w:rPr>
        <w:t xml:space="preserve">Los esquemas, matrices y modelos del trabajo de investigación se presentan como tablas estructuradas dentro del desarrollo de cada capítulo, siguiendo el criterio de claridad metodológica y reproducibilidad del contenido. No se identifican figuras insertadas como objetos gráficos independientes.</w:t>
      </w:r>
    </w:p>
    <w:p>
      <w:r>
        <w:br w:type="page"/>
      </w:r>
    </w:p>
    <w:p>
      <w:pPr>
        <w:pStyle w:val="Heading1"/>
        <w:spacing w:after="180" w:before="360"/>
        <w:jc w:val="center"/>
      </w:pPr>
      <w:r>
        <w:rPr>
          <w:rFonts w:ascii="Arial" w:cs="Arial" w:eastAsia="Arial" w:hAnsi="Arial"/>
          <w:b/>
          <w:bCs/>
          <w:caps/>
          <w:sz w:val="28"/>
          <w:szCs w:val="28"/>
        </w:rPr>
        <w:t xml:space="preserve">CAPÍTULO I. PLANTEAMIENTO DE LA INVESTIGACIÓN</w:t>
      </w:r>
    </w:p>
    <w:p>
      <w:pPr>
        <w:pStyle w:val="Heading2"/>
        <w:spacing w:after="120" w:before="300"/>
      </w:pPr>
      <w:r>
        <w:rPr>
          <w:rFonts w:ascii="Arial" w:cs="Arial" w:eastAsia="Arial" w:hAnsi="Arial"/>
          <w:b/>
          <w:bCs/>
          <w:sz w:val="26"/>
          <w:szCs w:val="26"/>
        </w:rPr>
        <w:t xml:space="preserve">1.1. Descripción de la situación problemática y contexto del proyecto</w:t>
      </w:r>
    </w:p>
    <w:p>
      <w:pPr>
        <w:spacing w:after="120" w:before="120" w:line="276"/>
        <w:jc w:val="both"/>
      </w:pPr>
      <w:r>
        <w:rPr>
          <w:rFonts w:ascii="Arial" w:cs="Arial" w:eastAsia="Arial" w:hAnsi="Arial"/>
          <w:sz w:val="24"/>
          <w:szCs w:val="24"/>
        </w:rPr>
        <w:t xml:space="preserve">Gestionar un proyecto digital hoy no se parece demasiado a lo que describían los manuales de hace quince años, y no principalmente por razones tecnológicas. El contexto es distinto en algo más fundamental: el tipo de incertidumbre. Los proyectos tradicionales tenían requisitos estables que planificar. Un proyecto digital de startup tiene supuestos que verificar. Esa diferencia importa metodológicamente. Una plataforma digital transaccional no tiene requisitos estables que planificar durante meses: tiene supuestos que validar en semanas. Sus riesgos más graves no están en la gestión del alcance sino en si alguien quiere usar el producto. Y su principal restricción no es el tiempo sino la velocidad con que aprende antes de quedarse sin capital.</w:t>
      </w:r>
    </w:p>
    <w:p>
      <w:pPr>
        <w:spacing w:after="120" w:before="120" w:line="276"/>
        <w:jc w:val="both"/>
      </w:pPr>
      <w:r>
        <w:rPr>
          <w:rFonts w:ascii="Arial" w:cs="Arial" w:eastAsia="Arial" w:hAnsi="Arial"/>
          <w:sz w:val="24"/>
          <w:szCs w:val="24"/>
        </w:rPr>
        <w:t xml:space="preserve">La séptima edición del PMBOK® (2021) responde a esa tensión desplazando el centro de gravedad desde los procesos hacia los principios. Doce principios que orientan el juicio del director en cualquier contexto, en lugar de prescribir lo que debe hacer. Para una startup con equipo de dos personas y alta incertidumbre de mercado, esa diferencia importa: no se necesita un manual de procesos que ningún proceso del equipo puede ejecutar. Se necesitan principios que ayuden a decidir bien cuando el contexto cambia cada dos semanas.</w:t>
      </w:r>
    </w:p>
    <w:p>
      <w:pPr>
        <w:spacing w:after="120" w:before="120" w:line="276"/>
        <w:jc w:val="both"/>
      </w:pPr>
      <w:r>
        <w:rPr>
          <w:rFonts w:ascii="Arial" w:cs="Arial" w:eastAsia="Arial" w:hAnsi="Arial"/>
          <w:sz w:val="24"/>
          <w:szCs w:val="24"/>
        </w:rPr>
        <w:t xml:space="preserve">Paralelamente, el enfoque Lean Startup, desarrollado por Ries (2011) y complementado por Blank y Dorf (2012), propone un modelo iterativo basado en el ciclo Construir-Medir-Aprender (BML), orientado a validar supuestos de negocio con el menor consumo posible de recursos. Este enfoque ha ganado relevancia en ecosistemas de emprendimiento digital debido a su capacidad para reducir el riesgo de construir soluciones sin validación real de mercado.</w:t>
      </w:r>
    </w:p>
    <w:p>
      <w:pPr>
        <w:spacing w:after="120" w:before="120" w:line="276"/>
        <w:jc w:val="both"/>
      </w:pPr>
      <w:r>
        <w:rPr>
          <w:rFonts w:ascii="Arial" w:cs="Arial" w:eastAsia="Arial" w:hAnsi="Arial"/>
          <w:sz w:val="24"/>
          <w:szCs w:val="24"/>
        </w:rPr>
        <w:t xml:space="preserve">Esa es la tensión que origina esta investigación y su aporte principal: el modelo ALAZAR-HPM (Hybrid Process Methodology), una metodología de gobernanza diseñada para la implementación de startups digitales bajo incertidumbre. El PMBOK® 7 provee la estructura de gobernanza que el Lean Startup no tiene. El Lean Startup provee el motor de aprendizaje que el PMBOK® necesita para ser adaptativo. La solución no es elegir uno u otro. Es diseñar el principio de integración correcto: qué se gestiona con lógica predictiva y qué se gestiona con lógica iterativa.</w:t>
      </w:r>
    </w:p>
    <w:p>
      <w:pPr>
        <w:spacing w:after="120" w:before="120" w:line="276"/>
        <w:jc w:val="both"/>
      </w:pPr>
      <w:r>
        <w:rPr>
          <w:rFonts w:ascii="Arial" w:cs="Arial" w:eastAsia="Arial" w:hAnsi="Arial"/>
          <w:sz w:val="24"/>
          <w:szCs w:val="24"/>
        </w:rPr>
        <w:t xml:space="preserve">En América Latina estas dificultades se multiplican. El acceso a capital de riesgo es limitado, los marcos regulatorios para negocios digitales están en consolidación y la madurez de los ecosistemas de innovación varía enormemente entre países y ciudades (BID, 2022; OCDE, 2022). En el Perú específicamente, el crecimiento del comercio electrónico y la digitalización financiera de los últimos años abrieron oportunidades reales para startups tecnológicas, pero la evidencia disponible sugiere que esas oportunidades no se están aprovechando con la capacidad de dirección que requieren (PRODUCE, 2023; CONCYTEC, 2022). El problema no es falta de ideas ni de talento técnico: es falta de metodología de proyecto adaptada al contexto.</w:t>
      </w:r>
    </w:p>
    <w:p>
      <w:pPr>
        <w:spacing w:after="120" w:before="120" w:line="276"/>
        <w:jc w:val="both"/>
      </w:pPr>
      <w:r>
        <w:rPr>
          <w:rFonts w:ascii="Arial" w:cs="Arial" w:eastAsia="Arial" w:hAnsi="Arial"/>
          <w:sz w:val="24"/>
          <w:szCs w:val="24"/>
        </w:rPr>
        <w:t xml:space="preserve">ALAZAR es un marketplace de sorteos digitales auditables, desarrollado sin financiamiento externo en Lima desde 2024. Conecta tres actores: el participante que compra tickets, el organizador que publica sorteos para monetizar bienes o servicios, y el administrador que gestiona la operación y resuelve disputas. La plataforma opera en un mercado dominado por rifas informales en redes sociales, sin reglas claras ni mecanismos de verificación del resultado. La oportunidad es evidente; el riesgo también: sin historial operativo, sin marco legal claramente resuelto y sin capital externo, cualquier decisión incorrecta tiene consecuencias directas sobre la viabilidad del proyecto.</w:t>
      </w:r>
    </w:p>
    <w:p>
      <w:pPr>
        <w:spacing w:after="120" w:before="120" w:line="276"/>
        <w:jc w:val="both"/>
      </w:pPr>
      <w:r>
        <w:rPr>
          <w:rFonts w:ascii="Arial" w:cs="Arial" w:eastAsia="Arial" w:hAnsi="Arial"/>
          <w:sz w:val="24"/>
          <w:szCs w:val="24"/>
        </w:rPr>
        <w:t xml:space="preserve">La experiencia concreta del proyecto ALAZAR da forma al problema con una claridad que ningún ejemplo hipotético podría igualar. Cuando el equipo inició la construcción del MVP, tres tipos de dispersión aparecieron al mismo tiempo: falta de acuerdo sobre qué construir primero (el alcance del MVP se renegociaba en cada sesión de trabajo), decisiones técnicas que se revertían constantemente al no existir un registro de las razones que las habían originado, y visiones diferentes del producto entre los miembros del equipo al no haber un documento de gobernanza que estableciera con claridad quién tenía autoridad sobre qué tipo de decisión. El resultado fue semanas de trabajo consumidas en resolución de conflictos internos en lugar de construcción del producto. Ese patrón no es exclusivo de ALAZAR: es el modo de fallo más común en startups de dos a cuatro personas que operan sin estructura mínima de dirección (Blank y Dorf, 2012). La metodología propuesta surge directamente de esa experiencia: cada uno de sus cuatro instrumentos responde a uno de los problemas que paralizaron el avance en esa etapa.
Esa es la brecha que esta investigación busca cerrar: no con un modelo genérico, sino con una metodología diseñada explícitamente para este tipo de proyecto y este tipo de contexto. Una startup digital autofinanciada, con modelo transaccional, equipo mínimo y mercado sin formalizar. Si la metodología funciona aquí, en las condiciones más restrictivas posibles, tiene condiciones para funcionar en proyectos similares. La metodología, en ese sentido, es el argumento.</w:t>
      </w:r>
    </w:p>
    <w:p>
      <w:pPr>
        <w:pStyle w:val="Heading2"/>
        <w:spacing w:after="120" w:before="300"/>
      </w:pPr>
      <w:r>
        <w:rPr>
          <w:rFonts w:ascii="Arial" w:cs="Arial" w:eastAsia="Arial" w:hAnsi="Arial"/>
          <w:b/>
          <w:bCs/>
          <w:sz w:val="26"/>
          <w:szCs w:val="26"/>
        </w:rPr>
        <w:t xml:space="preserve">1.2. Formulación del problema</w:t>
      </w:r>
    </w:p>
    <w:p>
      <w:pPr>
        <w:spacing w:after="120" w:before="120" w:line="276"/>
        <w:jc w:val="both"/>
      </w:pPr>
      <w:r>
        <w:rPr>
          <w:rFonts w:ascii="Arial" w:cs="Arial" w:eastAsia="Arial" w:hAnsi="Arial"/>
          <w:sz w:val="24"/>
          <w:szCs w:val="24"/>
        </w:rPr>
        <w:t xml:space="preserve">¿Cómo diseñar una metodología de gobernanza que integre el marco PMBOK® Séptima Edición con los principios del Lean Startup para permitir que una startup digital autofinanciada implemente su producto mínimo viable de manera ordenada, con decisiones trazables y riesgos controlados, en contextos de alta incertidumbre durante el periodo 2024-2026?</w:t>
      </w:r>
    </w:p>
    <w:p>
      <w:pPr>
        <w:pStyle w:val="Heading2"/>
        <w:spacing w:after="120" w:before="300"/>
      </w:pPr>
      <w:r>
        <w:rPr>
          <w:rFonts w:ascii="Arial" w:cs="Arial" w:eastAsia="Arial" w:hAnsi="Arial"/>
          <w:b/>
          <w:bCs/>
          <w:sz w:val="26"/>
          <w:szCs w:val="26"/>
        </w:rPr>
        <w:t xml:space="preserve">1.3. Propósito del proyecto</w:t>
      </w:r>
    </w:p>
    <w:p>
      <w:pPr>
        <w:spacing w:after="120" w:before="120" w:line="276"/>
        <w:jc w:val="both"/>
      </w:pPr>
      <w:r>
        <w:rPr>
          <w:rFonts w:ascii="Arial" w:cs="Arial" w:eastAsia="Arial" w:hAnsi="Arial"/>
          <w:sz w:val="24"/>
          <w:szCs w:val="24"/>
        </w:rPr>
        <w:t xml:space="preserve">El propósito es diseñar el modelo de gobernanza ALAZAR-HPM como metodología práctica de implementación para MVPs de startups digitales bajo incertidumbre, integrando la gobernanza estructurada del PMBOK® 7 con los mecanismos de validación iterativa del Lean Startup. Esta metodología busca convertir la gobernanza en un mecanismo activo de reducción de incertidumbre y protección del capital, proporcional al tamaño y las restricciones del proyecto.</w:t>
      </w:r>
    </w:p>
    <w:p>
      <w:pPr>
        <w:pStyle w:val="Heading2"/>
        <w:spacing w:after="120" w:before="300"/>
      </w:pPr>
      <w:r>
        <w:rPr>
          <w:rFonts w:ascii="Arial" w:cs="Arial" w:eastAsia="Arial" w:hAnsi="Arial"/>
          <w:b/>
          <w:bCs/>
          <w:sz w:val="26"/>
          <w:szCs w:val="26"/>
        </w:rPr>
        <w:t xml:space="preserve">1.4. Justificación de la investigación</w:t>
      </w:r>
    </w:p>
    <w:p>
      <w:pPr>
        <w:spacing w:after="120" w:before="120" w:line="276"/>
        <w:jc w:val="both"/>
      </w:pPr>
      <w:r>
        <w:rPr>
          <w:rFonts w:ascii="Arial" w:cs="Arial" w:eastAsia="Arial" w:hAnsi="Arial"/>
          <w:b/>
          <w:bCs/>
          <w:sz w:val="24"/>
          <w:szCs w:val="24"/>
        </w:rPr>
        <w:t xml:space="preserve">Justificación teórica: </w:t>
      </w:r>
      <w:r>
        <w:rPr>
          <w:rFonts w:ascii="Arial" w:cs="Arial" w:eastAsia="Arial" w:hAnsi="Arial"/>
          <w:sz w:val="24"/>
          <w:szCs w:val="24"/>
        </w:rPr>
        <w:t xml:space="preserve">La integración entre PMBOK® 7 y Lean Startup no es en sí misma la contribución teórica. Esa integración ya existe en la literatura, con distintos nombres y énfasis. La contribución está en el principio que la hace operativa para un contexto específico: la distinción entre invariantes de gobernanza y variables de validación. Sin ese criterio, un equipo que quiere "combinar PMBOK® con Lean Startup" no sabe qué puede experimentar y qué debe respetar. Con ese criterio, la pregunta tiene respuesta: experimenta con los supuestos de mercado; no experimentes con la auditoría de transacciones.</w:t>
      </w:r>
    </w:p>
    <w:p>
      <w:pPr>
        <w:spacing w:after="120" w:before="120" w:line="276"/>
        <w:jc w:val="both"/>
      </w:pPr>
      <w:r>
        <w:rPr>
          <w:rFonts w:ascii="Arial" w:cs="Arial" w:eastAsia="Arial" w:hAnsi="Arial"/>
          <w:b/>
          <w:bCs/>
          <w:sz w:val="24"/>
          <w:szCs w:val="24"/>
        </w:rPr>
        <w:t xml:space="preserve">Justificación metodológica: </w:t>
      </w:r>
      <w:r>
        <w:rPr>
          <w:rFonts w:ascii="Arial" w:cs="Arial" w:eastAsia="Arial" w:hAnsi="Arial"/>
          <w:sz w:val="24"/>
          <w:szCs w:val="24"/>
        </w:rPr>
        <w:t xml:space="preserve">La contribución metodológica es la sistematización de cuatro instrumentos de trabajo que forman un sistema de gobernanza mínima operativa. Cada instrumento tiene un propósito acotado y un tiempo máximo de mantenimiento semanal. La restricción de tiempo no es un detalle de implementación: es el criterio de diseño que garantiza que el modelo sea sostenible para un fundador que además tiene que construir el producto.</w:t>
      </w:r>
    </w:p>
    <w:p>
      <w:pPr>
        <w:spacing w:after="120" w:before="120" w:line="276"/>
        <w:jc w:val="both"/>
      </w:pPr>
      <w:r>
        <w:rPr>
          <w:rFonts w:ascii="Arial" w:cs="Arial" w:eastAsia="Arial" w:hAnsi="Arial"/>
          <w:b/>
          <w:bCs/>
          <w:sz w:val="24"/>
          <w:szCs w:val="24"/>
        </w:rPr>
        <w:t xml:space="preserve">Justificación práctica: </w:t>
      </w:r>
      <w:r>
        <w:rPr>
          <w:rFonts w:ascii="Arial" w:cs="Arial" w:eastAsia="Arial" w:hAnsi="Arial"/>
          <w:sz w:val="24"/>
          <w:szCs w:val="24"/>
        </w:rPr>
        <w:t xml:space="preserve">La utilidad práctica es directa: alguien con una idea de negocio digital puede leer el Capítulo VI y saber exactamente qué hacer el primer mes, cómo estructurar los ciclos de aprendizaje y cómo registrar las decisiones importantes sin necesitar conocimiento previo de gestión de proyectos. Ese nivel de accesibilidad no sacrifica rigor metodológico: lo construye sobre fundamentos que el emprendedor no necesita dominar para usar el modelo.</w:t>
      </w:r>
    </w:p>
    <w:p>
      <w:pPr>
        <w:spacing w:after="120" w:before="120" w:line="276"/>
        <w:jc w:val="both"/>
      </w:pPr>
      <w:r>
        <w:rPr>
          <w:rFonts w:ascii="Arial" w:cs="Arial" w:eastAsia="Arial" w:hAnsi="Arial"/>
          <w:b/>
          <w:bCs/>
          <w:sz w:val="24"/>
          <w:szCs w:val="24"/>
        </w:rPr>
        <w:t xml:space="preserve">Justificación económica y social: </w:t>
      </w:r>
      <w:r>
        <w:rPr>
          <w:rFonts w:ascii="Arial" w:cs="Arial" w:eastAsia="Arial" w:hAnsi="Arial"/>
          <w:sz w:val="24"/>
          <w:szCs w:val="24"/>
        </w:rPr>
        <w:t xml:space="preserve">El fortalecimiento de las capacidades de dirección de proyectos en startups digitales contribuye al desarrollo del ecosistema emprendedor peruano, promoviendo mayor sostenibilidad empresarial, formalización digital y generación de valor tecnológico.</w:t>
      </w:r>
    </w:p>
    <w:p>
      <w:r>
        <w:br w:type="page"/>
      </w:r>
    </w:p>
    <w:p>
      <w:pPr>
        <w:pStyle w:val="Heading1"/>
        <w:spacing w:after="180" w:before="360"/>
        <w:jc w:val="center"/>
      </w:pPr>
      <w:r>
        <w:rPr>
          <w:rFonts w:ascii="Arial" w:cs="Arial" w:eastAsia="Arial" w:hAnsi="Arial"/>
          <w:b/>
          <w:bCs/>
          <w:caps/>
          <w:sz w:val="28"/>
          <w:szCs w:val="28"/>
        </w:rPr>
        <w:t xml:space="preserve">CAPÍTULO II. ALCANCE DE LA INVESTIGACIÓN</w:t>
      </w:r>
    </w:p>
    <w:p>
      <w:pPr>
        <w:pStyle w:val="Heading2"/>
        <w:spacing w:after="120" w:before="300"/>
      </w:pPr>
      <w:r>
        <w:rPr>
          <w:rFonts w:ascii="Arial" w:cs="Arial" w:eastAsia="Arial" w:hAnsi="Arial"/>
          <w:b/>
          <w:bCs/>
          <w:sz w:val="26"/>
          <w:szCs w:val="26"/>
        </w:rPr>
        <w:t xml:space="preserve">2.1. Objetivos de la investigación</w:t>
      </w:r>
    </w:p>
    <w:p>
      <w:pPr>
        <w:pStyle w:val="Heading3"/>
        <w:spacing w:after="120" w:before="240"/>
      </w:pPr>
      <w:r>
        <w:rPr>
          <w:rFonts w:ascii="Arial" w:cs="Arial" w:eastAsia="Arial" w:hAnsi="Arial"/>
          <w:b/>
          <w:bCs/>
          <w:i/>
          <w:iCs/>
          <w:sz w:val="24"/>
          <w:szCs w:val="24"/>
        </w:rPr>
        <w:t xml:space="preserve">2.1.1. Objetivo general</w:t>
      </w:r>
    </w:p>
    <w:p>
      <w:pPr>
        <w:spacing w:after="120" w:before="120" w:line="276"/>
        <w:jc w:val="both"/>
      </w:pPr>
      <w:r>
        <w:rPr>
          <w:rFonts w:ascii="Arial" w:cs="Arial" w:eastAsia="Arial" w:hAnsi="Arial"/>
          <w:sz w:val="24"/>
          <w:szCs w:val="24"/>
        </w:rPr>
        <w:t xml:space="preserve">Diseñar el modelo de gobernanza híbrida ALAZAR-HPM (Hybrid Process Methodology) como metodología de implementación para startups digitales autofinanciadas, integrando el marco PMBOK® Séptima Edición con los principios del Lean Startup, de modo que provea el marco de dirección para la implementación del proyecto ALAZAR durante el periodo 2024-2026 y constituya una referencia metodológica transferible para proyectos similares en contextos de alta incertidumbre.</w:t>
      </w:r>
    </w:p>
    <w:p>
      <w:pPr>
        <w:pStyle w:val="Heading3"/>
        <w:spacing w:after="120" w:before="240"/>
      </w:pPr>
      <w:r>
        <w:rPr>
          <w:rFonts w:ascii="Arial" w:cs="Arial" w:eastAsia="Arial" w:hAnsi="Arial"/>
          <w:b/>
          <w:bCs/>
          <w:i/>
          <w:iCs/>
          <w:sz w:val="24"/>
          <w:szCs w:val="24"/>
        </w:rPr>
        <w:t xml:space="preserve">2.1.2. Objetivos específicos</w:t>
      </w:r>
    </w:p>
    <w:p>
      <w:pPr>
        <w:pStyle w:val="ListParagraph"/>
        <w:numPr>
          <w:ilvl w:val="0"/>
          <w:numId w:val="2"/>
        </w:numPr>
        <w:spacing w:after="60" w:before="60"/>
      </w:pPr>
      <w:r>
        <w:rPr>
          <w:rFonts w:ascii="Arial" w:cs="Arial" w:eastAsia="Arial" w:hAnsi="Arial"/>
          <w:sz w:val="24"/>
          <w:szCs w:val="24"/>
        </w:rPr>
        <w:t xml:space="preserve">Analizar los principios y dominios de desempeño del PMBOK® 7 aplicables a proyectos digitales autofinanciados de alta incertidumbre.</w:t>
      </w:r>
    </w:p>
    <w:p>
      <w:pPr>
        <w:pStyle w:val="ListParagraph"/>
        <w:numPr>
          <w:ilvl w:val="0"/>
          <w:numId w:val="2"/>
        </w:numPr>
        <w:spacing w:after="60" w:before="60"/>
      </w:pPr>
      <w:r>
        <w:rPr>
          <w:rFonts w:ascii="Arial" w:cs="Arial" w:eastAsia="Arial" w:hAnsi="Arial"/>
          <w:sz w:val="24"/>
          <w:szCs w:val="24"/>
        </w:rPr>
        <w:t xml:space="preserve">Identificar los principios y mecanismos del Lean Startup compatibles con estructuras formales de gobernanza de proyectos.</w:t>
      </w:r>
    </w:p>
    <w:p>
      <w:pPr>
        <w:pStyle w:val="ListParagraph"/>
        <w:numPr>
          <w:ilvl w:val="0"/>
          <w:numId w:val="2"/>
        </w:numPr>
        <w:spacing w:after="60" w:before="60"/>
      </w:pPr>
      <w:r>
        <w:rPr>
          <w:rFonts w:ascii="Arial" w:cs="Arial" w:eastAsia="Arial" w:hAnsi="Arial"/>
          <w:sz w:val="24"/>
          <w:szCs w:val="24"/>
        </w:rPr>
        <w:t xml:space="preserve">Diseñar el modelo híbrido ALAZAR-HPM integrando gobernanza estructurada, validación iterativa y gestión adaptativa del riesgo bajo el principio de Gobernanza Mínima Viable.</w:t>
      </w:r>
    </w:p>
    <w:p>
      <w:pPr>
        <w:pStyle w:val="ListParagraph"/>
        <w:numPr>
          <w:ilvl w:val="0"/>
          <w:numId w:val="2"/>
        </w:numPr>
        <w:spacing w:after="60" w:before="60"/>
      </w:pPr>
      <w:r>
        <w:rPr>
          <w:rFonts w:ascii="Arial" w:cs="Arial" w:eastAsia="Arial" w:hAnsi="Arial"/>
          <w:sz w:val="24"/>
          <w:szCs w:val="24"/>
        </w:rPr>
        <w:t xml:space="preserve">Desarrollar herramientas operacionales de seguimiento, trazabilidad y control de decisiones aplicables por equipos mínimos bajo condiciones de bootstrapping.</w:t>
      </w:r>
    </w:p>
    <w:p>
      <w:pPr>
        <w:pStyle w:val="ListParagraph"/>
        <w:numPr>
          <w:ilvl w:val="0"/>
          <w:numId w:val="2"/>
        </w:numPr>
        <w:spacing w:after="60" w:before="60"/>
      </w:pPr>
      <w:r>
        <w:rPr>
          <w:rFonts w:ascii="Arial" w:cs="Arial" w:eastAsia="Arial" w:hAnsi="Arial"/>
          <w:sz w:val="24"/>
          <w:szCs w:val="24"/>
        </w:rPr>
        <w:t xml:space="preserve">Evaluar la coherencia metodológica y aplicabilidad práctica del modelo ALAZAR-HPM mediante criterios de consistencia interna, adecuación contextual e implementabilidad operacional.</w:t>
      </w:r>
    </w:p>
    <w:p>
      <w:pPr>
        <w:pStyle w:val="Heading2"/>
        <w:spacing w:after="120" w:before="300"/>
      </w:pPr>
      <w:r>
        <w:rPr>
          <w:rFonts w:ascii="Arial" w:cs="Arial" w:eastAsia="Arial" w:hAnsi="Arial"/>
          <w:b/>
          <w:bCs/>
          <w:sz w:val="26"/>
          <w:szCs w:val="26"/>
        </w:rPr>
        <w:t xml:space="preserve">2.2. Alcance del estudio</w:t>
      </w:r>
    </w:p>
    <w:p>
      <w:pPr>
        <w:spacing w:after="120" w:before="120" w:line="276"/>
        <w:jc w:val="both"/>
      </w:pPr>
      <w:r>
        <w:rPr>
          <w:rFonts w:ascii="Arial" w:cs="Arial" w:eastAsia="Arial" w:hAnsi="Arial"/>
          <w:sz w:val="24"/>
          <w:szCs w:val="24"/>
        </w:rPr>
        <w:t xml:space="preserve">El estudio se concentra en el diseño y validación metodológica del modelo ALAZAR-HPM aplicado al proyecto ALAZAR en su fase de diseño e implementación del producto mínimo viable. Quedan fuera del alcance el desarrollo del software del sistema, el análisis financiero de largo plazo y las estrategias de marketing de crecimiento: responden a una etapa posterior que solo tiene sentido abordar una vez que los supuestos críticos del modelo de negocio están verificados con datos reales.</w:t>
      </w:r>
    </w:p>
    <w:p>
      <w:pPr>
        <w:pStyle w:val="Heading2"/>
        <w:spacing w:after="120" w:before="300"/>
      </w:pPr>
      <w:r>
        <w:rPr>
          <w:rFonts w:ascii="Arial" w:cs="Arial" w:eastAsia="Arial" w:hAnsi="Arial"/>
          <w:b/>
          <w:bCs/>
          <w:sz w:val="26"/>
          <w:szCs w:val="26"/>
        </w:rPr>
        <w:t xml:space="preserve">2.3. Restricciones y limitaciones de la investigación</w:t>
      </w:r>
    </w:p>
    <w:p>
      <w:pPr>
        <w:spacing w:after="120" w:before="120" w:line="276"/>
        <w:jc w:val="both"/>
      </w:pPr>
      <w:r>
        <w:rPr>
          <w:rFonts w:ascii="Arial" w:cs="Arial" w:eastAsia="Arial" w:hAnsi="Arial"/>
          <w:sz w:val="24"/>
          <w:szCs w:val="24"/>
        </w:rPr>
        <w:t xml:space="preserve">La investigación presenta restricciones asociadas al carácter autofinanciado del proyecto, lo que limita la disponibilidad de recursos para pruebas de mercado extensivas, adquisición acelerada de usuarios e infraestructura tecnológica avanzada.</w:t>
      </w:r>
    </w:p>
    <w:p>
      <w:pPr>
        <w:spacing w:after="120" w:before="120" w:line="276"/>
        <w:jc w:val="both"/>
      </w:pPr>
      <w:r>
        <w:rPr>
          <w:rFonts w:ascii="Arial" w:cs="Arial" w:eastAsia="Arial" w:hAnsi="Arial"/>
          <w:sz w:val="24"/>
          <w:szCs w:val="24"/>
        </w:rPr>
        <w:t xml:space="preserve">El horizonte temporal 2024-2026 constituye una limitación metodológica: el proyecto se encuentra en etapa temprana de validación, por lo que algunos resultados proyectados corresponden a supuestos estratégicos sujetos a verificación progresiva mediante ciclos iterativos.</w:t>
      </w:r>
    </w:p>
    <w:p>
      <w:pPr>
        <w:spacing w:after="120" w:before="120" w:line="276"/>
        <w:jc w:val="both"/>
      </w:pPr>
      <w:r>
        <w:rPr>
          <w:rFonts w:ascii="Arial" w:cs="Arial" w:eastAsia="Arial" w:hAnsi="Arial"/>
          <w:sz w:val="24"/>
          <w:szCs w:val="24"/>
        </w:rPr>
        <w:t xml:space="preserve">Otra limitación relevante es el acceso restringido a información privada de startups comparables y la ausencia de bases de datos públicas suficientemente detalladas sobre marketplaces de sorteos digitales en el Perú.</w:t>
      </w:r>
    </w:p>
    <w:p>
      <w:pPr>
        <w:spacing w:after="120" w:before="120" w:line="276"/>
        <w:jc w:val="both"/>
      </w:pPr>
      <w:r>
        <w:rPr>
          <w:rFonts w:ascii="Arial" w:cs="Arial" w:eastAsia="Arial" w:hAnsi="Arial"/>
          <w:sz w:val="24"/>
          <w:szCs w:val="24"/>
        </w:rPr>
        <w:t xml:space="preserve">Finalmente, el estudio se concentra en el diseño del modelo de dirección y gobernanza, por lo que no profundiza exhaustivamente en aspectos de ingeniería de software, arquitectura legal avanzada o marketing de crecimiento a escala.</w:t>
      </w:r>
    </w:p>
    <w:p>
      <w:r>
        <w:br w:type="page"/>
      </w:r>
    </w:p>
    <w:p>
      <w:pPr>
        <w:pStyle w:val="Heading1"/>
        <w:spacing w:after="180" w:before="360"/>
        <w:jc w:val="center"/>
      </w:pPr>
      <w:r>
        <w:rPr>
          <w:rFonts w:ascii="Arial" w:cs="Arial" w:eastAsia="Arial" w:hAnsi="Arial"/>
          <w:b/>
          <w:bCs/>
          <w:caps/>
          <w:sz w:val="28"/>
          <w:szCs w:val="28"/>
        </w:rPr>
        <w:t xml:space="preserve">CAPÍTULO III. MARCO REFERENCIAL</w:t>
      </w:r>
    </w:p>
    <w:p>
      <w:pPr>
        <w:spacing w:after="120" w:before="120" w:line="276"/>
        <w:jc w:val="both"/>
      </w:pPr>
      <w:r>
        <w:rPr>
          <w:rFonts w:ascii="Arial" w:cs="Arial" w:eastAsia="Arial" w:hAnsi="Arial"/>
          <w:sz w:val="24"/>
          <w:szCs w:val="24"/>
        </w:rPr>
        <w:t xml:space="preserve">El marco referencial desarrolla el diagnóstico estratégico integral del proyecto ALAZAR, siguiendo una secuencia lógica acumulativa en la que cada herramienta construye sobre los hallazgos de la anterior: (1) análisis PESTEL del macroentorno; (2) Cinco Fuerzas de Porter de la estructura competitiva del sector; (3) Matriz EFE de cuantificación externa; (4) análisis AMOFHIT de factores internos; (5) Matriz EFI de cuantificación interna; (6) análisis FODA con cruces estratégicos; y (7) formulación de la estrategia y conexión con el modelo ALAZAR-HPM. Esta secuencia garantiza que el FODA se construya sobre datos cuantificados y que las estrategias formuladas sean el cruce explícito de factores específicos, no afirmaciones genéricas. El diagnóstico no es un ejercicio académico separado del modelo: es la evidencia que justifica cada decisión de diseño del modelo ALAZAR-HPM.</w:t>
      </w:r>
    </w:p>
    <w:p>
      <w:pPr>
        <w:pStyle w:val="Heading2"/>
        <w:spacing w:after="120" w:before="300"/>
      </w:pPr>
      <w:r>
        <w:rPr>
          <w:rFonts w:ascii="Arial" w:cs="Arial" w:eastAsia="Arial" w:hAnsi="Arial"/>
          <w:b/>
          <w:bCs/>
          <w:sz w:val="26"/>
          <w:szCs w:val="26"/>
        </w:rPr>
        <w:t xml:space="preserve">3.1. Análisis del entorno externo</w:t>
      </w:r>
    </w:p>
    <w:p>
      <w:pPr>
        <w:pStyle w:val="Heading3"/>
        <w:spacing w:after="120" w:before="240"/>
      </w:pPr>
      <w:r>
        <w:rPr>
          <w:rFonts w:ascii="Arial" w:cs="Arial" w:eastAsia="Arial" w:hAnsi="Arial"/>
          <w:b/>
          <w:bCs/>
          <w:i/>
          <w:iCs/>
          <w:sz w:val="24"/>
          <w:szCs w:val="24"/>
        </w:rPr>
        <w:t xml:space="preserve">3.1.1. Análisis PESTEL</w:t>
      </w:r>
    </w:p>
    <w:p>
      <w:pPr>
        <w:spacing w:after="120" w:before="120" w:line="276"/>
        <w:jc w:val="both"/>
      </w:pPr>
      <w:r>
        <w:rPr>
          <w:rFonts w:ascii="Arial" w:cs="Arial" w:eastAsia="Arial" w:hAnsi="Arial"/>
          <w:sz w:val="24"/>
          <w:szCs w:val="24"/>
        </w:rPr>
        <w:t xml:space="preserve">El análisis PESTEL identifica qué factores externos condicionan el proyecto sin que el equipo pueda modificarlos. Lo político, económico, social, tecnológico, ecológico y legal es el escenario en que ALAZAR opera. Entenderlo con claridad es la condición previa para cualquier decisión estratégica.</w:t>
      </w:r>
    </w:p>
    <w:p>
      <w:pPr>
        <w:spacing w:after="60" w:before="240"/>
      </w:pPr>
      <w:r>
        <w:rPr>
          <w:rFonts w:ascii="Arial" w:cs="Arial" w:eastAsia="Arial" w:hAnsi="Arial"/>
          <w:b/>
          <w:bCs/>
          <w:sz w:val="24"/>
          <w:szCs w:val="22"/>
        </w:rPr>
        <w:t xml:space="preserve">Tabla 1</w:t>
      </w:r>
      <w:r>
        <w:br/>
        <w:t xml:space="preserve">
</w:t>
      </w:r>
      <w:r>
        <w:rPr>
          <w:rFonts w:ascii="Arial" w:cs="Arial" w:eastAsia="Arial" w:hAnsi="Arial"/>
          <w:i/>
          <w:iCs/>
          <w:sz w:val="24"/>
          <w:szCs w:val="22"/>
        </w:rPr>
        <w:t xml:space="preserve">Análisis PESTEL del proyecto ALAZAR: Lima, 2024-2026</w:t>
      </w:r>
    </w:p>
    <w:tbl>
      <w:tblPr>
        <w:tblW w:type="dxa" w:w="9360"/>
        <w:tblBorders>
          <w:top w:val="single" w:color="000000" w:sz="6"/>
          <w:left w:val="none" w:sz="0"/>
          <w:bottom w:val="single" w:color="000000" w:sz="6"/>
          <w:right w:val="none" w:sz="0"/>
          <w:insideH w:val="none" w:sz="0"/>
          <w:insideV w:val="none" w:sz="0"/>
        </w:tblBorders>
      </w:tblPr>
      <w:tblGrid>
        <w:gridCol w:w="1300"/>
        <w:gridCol w:w="1800"/>
        <w:gridCol w:w="1800"/>
        <w:gridCol w:w="1800"/>
        <w:gridCol w:w="2660"/>
      </w:tblGrid>
      <w:tr>
        <w:tc>
          <w:tcPr>
            <w:tcW w:type="dxa" w:w="13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Factor</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Variables críticas</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Oportunidades para ALAZAR</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Riesgos para ALAZAR</w:t>
            </w:r>
          </w:p>
        </w:tc>
        <w:tc>
          <w:tcPr>
            <w:tcW w:type="dxa" w:w="26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Implicancia para ALAZAR-HPM</w:t>
            </w:r>
          </w:p>
        </w:tc>
      </w:tr>
      <w:tr>
        <w:tc>
          <w:tcPr>
            <w:tcW w:type="dxa" w:w="13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Político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Inestabilidad institucional, digitalización del Estado, StartUp Perú, PRODUCE</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Programas de fomento a startups digitales e impulso a plataformas formales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Incertidumbre normativa sobre sorteos y posibles cambios de prioridades regulatorias</w:t>
            </w:r>
          </w:p>
        </w:tc>
        <w:tc>
          <w:tcPr>
            <w:tcW w:type="dxa" w:w="2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Gobernanza adaptativa con revisiones periódicas para anticipar cambios normativos</w:t>
            </w:r>
          </w:p>
        </w:tc>
      </w:tr>
      <w:tr>
        <w:tc>
          <w:tcPr>
            <w:tcW w:type="dxa" w:w="13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Económico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Crecimiento e-commerce &gt;25% anual, expansión fintech, billeteras digitales, bootstrapping</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Mercado de pagos digitales en expansión con contexto favorable para plataformas transaccionales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Restricción de capital por autofinanciamiento y ecosistema de capital de riesgo poco desarrollado</w:t>
            </w:r>
          </w:p>
        </w:tc>
        <w:tc>
          <w:tcPr>
            <w:tcW w:type="dxa" w:w="2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Validar la disposición de pago del usuario antes de escalar la inversión</w:t>
            </w:r>
          </w:p>
        </w:tc>
      </w:tr>
      <w:tr>
        <w:tc>
          <w:tcPr>
            <w:tcW w:type="dxa" w:w="13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Social</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Confianza digital, cultura de sorteos arraigada, adopción smartphones &gt;80% Lima</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Familiaridad cultural con sorteos que reduce la barrera de adopción</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Desconfianza del consumidor ante plataformas digitales nuevas sin historial operativo</w:t>
            </w:r>
          </w:p>
        </w:tc>
        <w:tc>
          <w:tcPr>
            <w:tcW w:type="dxa" w:w="2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Mecanismo de sorteo auditable como respuesta directa a la demanda de transparencia</w:t>
            </w:r>
          </w:p>
        </w:tc>
      </w:tr>
      <w:tr>
        <w:tc>
          <w:tcPr>
            <w:tcW w:type="dxa" w:w="13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Tecnológico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Cloud, APIs de pago maduras, ciberseguridad, arquitecturas escalables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Infraestructura cloud de bajo costo que reduce la barrera tecnológica para el MVP</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Dependencia de proveedores de pago y servicios cloud con riesgo de interrupciones</w:t>
            </w:r>
          </w:p>
        </w:tc>
        <w:tc>
          <w:tcPr>
            <w:tcW w:type="dxa" w:w="2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Arquitectura modular que reduce la dependencia de un único proveedor tecnológico</w:t>
            </w:r>
          </w:p>
        </w:tc>
      </w:tr>
      <w:tr>
        <w:tc>
          <w:tcPr>
            <w:tcW w:type="dxa" w:w="13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Ecológico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Sostenibilidad digital, criterios ESG, eficiencia energética</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Modelo digital con baja huella ecológica; eficiencia Lean evita sobreinversión computacional</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Consumo creciente de infraestructura cloud sin optimización activa</w:t>
            </w:r>
          </w:p>
        </w:tc>
        <w:tc>
          <w:tcPr>
            <w:tcW w:type="dxa" w:w="2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Modelo de gobernanza proporcional que evita sobreinversión antes de validar el producto</w:t>
            </w:r>
          </w:p>
        </w:tc>
      </w:tr>
      <w:tr>
        <w:tc>
          <w:tcPr>
            <w:tcW w:type="dxa" w:w="13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Legal</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Regulación de sorteos (Ley 26702, Indecopi), Ley 29733 datos personales, compliance digital</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Diferenciación por formalización y compliance frente a operadores informales sin controles legales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Marco regulatorio de sorteos digitales con ambigüedades que pueden requerir ajustes al modelo</w:t>
            </w:r>
          </w:p>
        </w:tc>
        <w:tc>
          <w:tcPr>
            <w:tcW w:type="dxa" w:w="2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Consulta legal especializada antes del lanzamiento como acción de máxima prioridad (DA-1)</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PRODUCE (2023), BID (2022), PMI (2021).</w:t>
      </w:r>
    </w:p>
    <w:p>
      <w:pPr>
        <w:spacing w:after="120" w:before="120" w:line="276"/>
        <w:jc w:val="both"/>
      </w:pPr>
      <w:r>
        <w:rPr>
          <w:rFonts w:ascii="Arial" w:cs="Arial" w:eastAsia="Arial" w:hAnsi="Arial"/>
          <w:sz w:val="24"/>
          <w:szCs w:val="24"/>
        </w:rPr>
        <w:t xml:space="preserve">El resultado del análisis muestra un entorno de doble cara. El crecimiento del comercio electrónico, la cultura arraigada de sorteos y la ausencia de competidores formales con auditoría verificable generan una ventana de oportunidad real. La ambigüedad del marco regulatorio y la desconfianza del consumidor ante plataformas nuevas son riesgos que el modelo de gobernanza deberá gestionar activamente desde el primer día de operación.</w:t>
      </w:r>
    </w:p>
    <w:p>
      <w:pPr>
        <w:pStyle w:val="Heading3"/>
        <w:spacing w:after="120" w:before="240"/>
      </w:pPr>
      <w:r>
        <w:rPr>
          <w:rFonts w:ascii="Arial" w:cs="Arial" w:eastAsia="Arial" w:hAnsi="Arial"/>
          <w:b/>
          <w:bCs/>
          <w:i/>
          <w:iCs/>
          <w:sz w:val="24"/>
          <w:szCs w:val="24"/>
        </w:rPr>
        <w:t xml:space="preserve">3.1.2. Análisis de las Cinco Fuerzas de Porter</w:t>
      </w:r>
    </w:p>
    <w:p>
      <w:pPr>
        <w:spacing w:after="60" w:before="240"/>
      </w:pPr>
      <w:r>
        <w:rPr>
          <w:rFonts w:ascii="Arial" w:cs="Arial" w:eastAsia="Arial" w:hAnsi="Arial"/>
          <w:b/>
          <w:bCs/>
          <w:sz w:val="24"/>
          <w:szCs w:val="22"/>
        </w:rPr>
        <w:t xml:space="preserve">Tabla 2</w:t>
      </w:r>
      <w:r>
        <w:br/>
        <w:t xml:space="preserve">
</w:t>
      </w:r>
      <w:r>
        <w:rPr>
          <w:rFonts w:ascii="Arial" w:cs="Arial" w:eastAsia="Arial" w:hAnsi="Arial"/>
          <w:i/>
          <w:iCs/>
          <w:sz w:val="24"/>
          <w:szCs w:val="22"/>
        </w:rPr>
        <w:t xml:space="preserve">Cinco Fuerzas de Porter del proyecto ALAZAR</w:t>
      </w:r>
    </w:p>
    <w:tbl>
      <w:tblPr>
        <w:tblW w:type="dxa" w:w="9360"/>
        <w:tblBorders>
          <w:top w:val="single" w:color="000000" w:sz="6"/>
          <w:left w:val="none" w:sz="0"/>
          <w:bottom w:val="single" w:color="000000" w:sz="6"/>
          <w:right w:val="none" w:sz="0"/>
          <w:insideH w:val="none" w:sz="0"/>
          <w:insideV w:val="none" w:sz="0"/>
        </w:tblBorders>
      </w:tblPr>
      <w:tblGrid>
        <w:gridCol w:w="1700"/>
        <w:gridCol w:w="900"/>
        <w:gridCol w:w="2200"/>
        <w:gridCol w:w="1760"/>
        <w:gridCol w:w="2800"/>
      </w:tblGrid>
      <w:tr>
        <w:tc>
          <w:tcPr>
            <w:tcW w:type="dxa" w:w="17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Fuerza</w:t>
            </w:r>
          </w:p>
        </w:tc>
        <w:tc>
          <w:tcPr>
            <w:tcW w:type="dxa" w:w="9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Nivel</w:t>
            </w:r>
          </w:p>
        </w:tc>
        <w:tc>
          <w:tcPr>
            <w:tcW w:type="dxa" w:w="22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Fundamento</w:t>
            </w:r>
          </w:p>
        </w:tc>
        <w:tc>
          <w:tcPr>
            <w:tcW w:type="dxa" w:w="17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Factor EFE vinculado</w:t>
            </w:r>
          </w:p>
        </w:tc>
        <w:tc>
          <w:tcPr>
            <w:tcW w:type="dxa" w:w="2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Respuesta estratégica</w:t>
            </w:r>
          </w:p>
        </w:tc>
      </w:tr>
      <w:tr>
        <w:tc>
          <w:tcPr>
            <w:tcW w:type="dxa" w:w="1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Amenaza de nuevos entrantes</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Alto</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Barreras tecnológicas bajas: cloud y APIs facilitan entrada rápida. La barrera real es la confianza y la trazabilidad del resultado del sorteo.</w:t>
            </w:r>
          </w:p>
        </w:tc>
        <w:tc>
          <w:tcPr>
            <w:tcW w:type="dxa" w:w="1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Oportunidad: brecha de mercado en sorteos formales.</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Gobernanza documentada y mecanismo de sorteo auditable como barreras reputacionales.</w:t>
            </w:r>
          </w:p>
        </w:tc>
      </w:tr>
      <w:tr>
        <w:tc>
          <w:tcPr>
            <w:tcW w:type="dxa" w:w="1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Poder de proveedores</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Medio-Alto</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Dependencia de pasarela de pago, cloud y APIs. Migración costosa en etapa MVP sin volumen suficiente para negociar.</w:t>
            </w:r>
          </w:p>
        </w:tc>
        <w:tc>
          <w:tcPr>
            <w:tcW w:type="dxa" w:w="1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Riesgo: dependencia de proveedores tecnológicos críticos.</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Arquitectura modular con un PSP alternativo documentado.</w:t>
            </w:r>
          </w:p>
        </w:tc>
      </w:tr>
      <w:tr>
        <w:tc>
          <w:tcPr>
            <w:tcW w:type="dxa" w:w="1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Poder de clientes</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Alto</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Dos segmentos con múltiples alternativas y baja tolerancia a fricción en plataforma nueva sin historial.</w:t>
            </w:r>
          </w:p>
        </w:tc>
        <w:tc>
          <w:tcPr>
            <w:tcW w:type="dxa" w:w="1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Riesgo: desconfianza del consumidor en etapa inicial.</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Motor de precios para el organizador y mecanismo verificable para el participante.</w:t>
            </w:r>
          </w:p>
        </w:tc>
      </w:tr>
      <w:tr>
        <w:tc>
          <w:tcPr>
            <w:tcW w:type="dxa" w:w="1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Amenaza de sustitutos</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Alto</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Rifas informales en Instagram/TikTok operan sin costo para el organizador ni fricción de entrada.</w:t>
            </w:r>
          </w:p>
        </w:tc>
        <w:tc>
          <w:tcPr>
            <w:tcW w:type="dxa" w:w="1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Riesgo: competencia de rifas informales de costo cero.</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Diferenciación por transparencia del proceso y garantía de entrega del premio.</w:t>
            </w:r>
          </w:p>
        </w:tc>
      </w:tr>
      <w:tr>
        <w:tc>
          <w:tcPr>
            <w:tcW w:type="dxa" w:w="1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Rivalidad entre competidores</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Alto</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Mercado dinámico con baja fidelidad inicial. Competencia por atención, reputación y velocidad de adopción.</w:t>
            </w:r>
          </w:p>
        </w:tc>
        <w:tc>
          <w:tcPr>
            <w:tcW w:type="dxa" w:w="1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Oportunidad: brecha de mercado en sorteos formales.</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Capacidad de aprendizaje rápido por ciclos cortos como ventaja frente a competidores lentos.</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Porter (1980, 2008).</w:t>
      </w:r>
    </w:p>
    <w:p>
      <w:pPr>
        <w:spacing w:after="120" w:before="120" w:line="276"/>
        <w:jc w:val="both"/>
      </w:pPr>
      <w:r>
        <w:rPr>
          <w:rFonts w:ascii="Arial" w:cs="Arial" w:eastAsia="Arial" w:hAnsi="Arial"/>
          <w:sz w:val="24"/>
          <w:szCs w:val="24"/>
        </w:rPr>
        <w:t xml:space="preserve">El análisis confirma que la barrera de entrada en el sector de sorteos digitales no está en la tecnología ni en el precio. Cualquiera puede montar una rifa en Instagram sin costo. La barrera real está en la confianza: un mecanismo de sorteo verificable, un proceso de resolución de disputas documentado y una plataforma con historial operativo son cosas que los competidores informales no pueden ofrecer.</w:t>
      </w:r>
    </w:p>
    <w:p>
      <w:pPr>
        <w:pStyle w:val="Heading3"/>
        <w:spacing w:after="120" w:before="240"/>
      </w:pPr>
      <w:r>
        <w:rPr>
          <w:rFonts w:ascii="Arial" w:cs="Arial" w:eastAsia="Arial" w:hAnsi="Arial"/>
          <w:b/>
          <w:bCs/>
          <w:i/>
          <w:iCs/>
          <w:sz w:val="24"/>
          <w:szCs w:val="24"/>
        </w:rPr>
        <w:t xml:space="preserve">3.1.3. Análisis del panorama competitivo</w:t>
      </w:r>
    </w:p>
    <w:p>
      <w:pPr>
        <w:spacing w:after="120" w:before="120" w:line="276"/>
        <w:jc w:val="both"/>
      </w:pPr>
      <w:r>
        <w:rPr>
          <w:rFonts w:ascii="Arial" w:cs="Arial" w:eastAsia="Arial" w:hAnsi="Arial"/>
          <w:sz w:val="24"/>
          <w:szCs w:val="24"/>
        </w:rPr>
        <w:t xml:space="preserve">El sector de sorteos digitales en el Perú ha experimentado un crecimiento notable entre 2023 y 2025, impulsado por plataformas de suscripción vinculadas a creadores de contenido e instituciones de consumo masivo. El análisis de los actores más relevantes permite contextualizar la posición competitiva de ALAZAR y fundamentar los factores estratégicos de la Matriz EFE.</w:t>
      </w:r>
    </w:p>
    <w:p>
      <w:pPr>
        <w:spacing w:after="60" w:before="240"/>
      </w:pPr>
      <w:r>
        <w:rPr>
          <w:rFonts w:ascii="Arial" w:cs="Arial" w:eastAsia="Arial" w:hAnsi="Arial"/>
          <w:b/>
          <w:bCs/>
          <w:sz w:val="24"/>
          <w:szCs w:val="22"/>
        </w:rPr>
        <w:t xml:space="preserve">Tabla 3</w:t>
      </w:r>
      <w:r>
        <w:br/>
        <w:t xml:space="preserve">
</w:t>
      </w:r>
      <w:r>
        <w:rPr>
          <w:rFonts w:ascii="Arial" w:cs="Arial" w:eastAsia="Arial" w:hAnsi="Arial"/>
          <w:i/>
          <w:iCs/>
          <w:sz w:val="24"/>
          <w:szCs w:val="22"/>
        </w:rPr>
        <w:t xml:space="preserve">Análisis del panorama competitivo del sector de sorteos digitales en el Perú (2024-2025)</w:t>
      </w:r>
    </w:p>
    <w:tbl>
      <w:tblPr>
        <w:tblW w:type="dxa" w:w="9360"/>
        <w:tblBorders>
          <w:top w:val="single" w:color="000000" w:sz="6"/>
          <w:left w:val="none" w:sz="0"/>
          <w:bottom w:val="single" w:color="000000" w:sz="6"/>
          <w:right w:val="none" w:sz="0"/>
          <w:insideH w:val="none" w:sz="0"/>
          <w:insideV w:val="none" w:sz="0"/>
        </w:tblBorders>
      </w:tblPr>
      <w:tblGrid>
        <w:gridCol w:w="1560"/>
        <w:gridCol w:w="1620"/>
        <w:gridCol w:w="1800"/>
        <w:gridCol w:w="1980"/>
        <w:gridCol w:w="2400"/>
      </w:tblGrid>
      <w:tr>
        <w:tc>
          <w:tcPr>
            <w:tcW w:type="dxa" w:w="15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Actor</w:t>
            </w:r>
          </w:p>
        </w:tc>
        <w:tc>
          <w:tcPr>
            <w:tcW w:type="dxa" w:w="162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Modelo de negocio</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Características principales</w:t>
            </w:r>
          </w:p>
        </w:tc>
        <w:tc>
          <w:tcPr>
            <w:tcW w:type="dxa" w:w="198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Limitaciones observadas</w:t>
            </w:r>
          </w:p>
        </w:tc>
        <w:tc>
          <w:tcPr>
            <w:tcW w:type="dxa" w:w="24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Implicancia para ALAZAR</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"No hay sin suerte" (Jorge Luna)</w:t>
            </w:r>
          </w:p>
        </w:tc>
        <w:tc>
          <w:tcPr>
            <w:tcW w:type="dxa" w:w="16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Suscripción mensual vinculada a comunidad del creador de contenido.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Récords Guinness dic 2025: 14,146 espectadores simultáneos en sorteo en vivo; 5,156 premios en un mes (Infobae, 2025).</w:t>
            </w:r>
          </w:p>
        </w:tc>
        <w:tc>
          <w:tcPr>
            <w:tcW w:type="dxa" w:w="19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modelo es inseparable del creador. No es marketplace abierto. Sin auditoría sistemáticamente verificable por el participante.</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Confirma la demanda real del consumidor peruano por plataformas con respaldo formal. Define la brecha que ALAZAR busca ocupar.</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Phillip Chu Joy (pchujoyweb.com)</w:t>
            </w:r>
          </w:p>
        </w:tc>
        <w:tc>
          <w:tcPr>
            <w:tcW w:type="dxa" w:w="16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Suscripción desde S/8/mes vinculada al canal del influencer tecnológico.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280k+ suscriptores YouTube. 10 premios semanales. 32 autos + 2 departamentos sorteados (El Comercio, 2024).</w:t>
            </w:r>
          </w:p>
        </w:tc>
        <w:tc>
          <w:tcPr>
            <w:tcW w:type="dxa" w:w="19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Depende enteramente del capital reputacional del creador. Sin él, no hay plataforma. El sorteo no es un servicio que un tercero pueda contratar.</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Evidencia la disposición del consumidor peruano a pagar suscripciones recurrentes por sorteos de alto valor.</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YOKI.PE (Jockey Plaza)</w:t>
            </w:r>
          </w:p>
        </w:tc>
        <w:tc>
          <w:tcPr>
            <w:tcW w:type="dxa" w:w="16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Suscripción institucional desde S/5/mes para fidelización de clientes del centro comercial.</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Lanzada sept 2025. 63,000+ seguidores IG en primeros días. 3 planes, 120+ premios anuales (Peru Retail, 2025).</w:t>
            </w:r>
          </w:p>
        </w:tc>
        <w:tc>
          <w:tcPr>
            <w:tcW w:type="dxa" w:w="19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Diseñada para fidelizar clientes de una marca específica. No permite a terceros publicar sus propios sorteos.</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Confirma que el segmento institucional ve valor en los sorteos digitales. Señala que la ventana de posicionamiento tiene horizonte temporal definido.</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Rifas informales (Instagram, TikTok, Facebook)</w:t>
            </w:r>
          </w:p>
        </w:tc>
        <w:tc>
          <w:tcPr>
            <w:tcW w:type="dxa" w:w="16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Sorteos sin plataforma dedicada, sin mecanismo verificable ni garantías.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Sin costo de entrada para el organizador. Penetración masiva entre emprendedores pequeños.</w:t>
            </w:r>
          </w:p>
        </w:tc>
        <w:tc>
          <w:tcPr>
            <w:tcW w:type="dxa" w:w="19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Sin auditoría. Alta incidencia de disputas y fraude. Sin protocolo de entrega ni recurso para el participante.</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Representa el mercado que ALAZAR formaliza. La brecha frente a estos sustitutos es el diferenciador central del modelo.</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información pública disponible (Infobae, 2025; El Comercio, 2024; Peru Retail, 2025). La observación es documental y no implica afiliación ni contacto con los actores mencionados.</w:t>
      </w:r>
    </w:p>
    <w:p>
      <w:pPr>
        <w:pStyle w:val="Heading2"/>
        <w:spacing w:after="120" w:before="300"/>
      </w:pPr>
      <w:r>
        <w:rPr>
          <w:rFonts w:ascii="Arial" w:cs="Arial" w:eastAsia="Arial" w:hAnsi="Arial"/>
          <w:b/>
          <w:bCs/>
          <w:sz w:val="26"/>
          <w:szCs w:val="26"/>
        </w:rPr>
        <w:t xml:space="preserve">3.2. Matriz de Evaluación de Factores Externos (MEFE)</w:t>
      </w:r>
    </w:p>
    <w:p>
      <w:pPr>
        <w:spacing w:after="120" w:before="120" w:line="276"/>
        <w:jc w:val="both"/>
      </w:pPr>
      <w:r>
        <w:rPr>
          <w:rFonts w:ascii="Arial" w:cs="Arial" w:eastAsia="Arial" w:hAnsi="Arial"/>
          <w:sz w:val="24"/>
          <w:szCs w:val="24"/>
        </w:rPr>
        <w:t xml:space="preserve">La Matriz EFE cuantifica la capacidad de respuesta de ALAZAR frente a los factores identificados en el PESTEL y Porter. El peso refleja la importancia de cada factor para el sector. La clasificación refleja la eficacia de la respuesta del proyecto. Criterio de clasificación: 4 = respuesta excelente (superior al sector); 3 = superior al promedio; 2 = igual al promedio; 1 = deficiente.</w:t>
      </w:r>
    </w:p>
    <w:p>
      <w:pPr>
        <w:spacing w:after="60" w:before="240"/>
      </w:pPr>
      <w:r>
        <w:rPr>
          <w:rFonts w:ascii="Arial" w:cs="Arial" w:eastAsia="Arial" w:hAnsi="Arial"/>
          <w:b/>
          <w:bCs/>
          <w:sz w:val="24"/>
          <w:szCs w:val="22"/>
        </w:rPr>
        <w:t xml:space="preserve">Tabla 4</w:t>
      </w:r>
      <w:r>
        <w:br/>
        <w:t xml:space="preserve">
</w:t>
      </w:r>
      <w:r>
        <w:rPr>
          <w:rFonts w:ascii="Arial" w:cs="Arial" w:eastAsia="Arial" w:hAnsi="Arial"/>
          <w:i/>
          <w:iCs/>
          <w:sz w:val="24"/>
          <w:szCs w:val="22"/>
        </w:rPr>
        <w:t xml:space="preserve">Matriz de Evaluación de Factores Externos (MEFE) del proyecto ALAZAR</w:t>
      </w:r>
    </w:p>
    <w:tbl>
      <w:tblPr>
        <w:tblW w:type="dxa" w:w="9360"/>
        <w:tblBorders>
          <w:top w:val="single" w:color="000000" w:sz="6"/>
          <w:left w:val="none" w:sz="0"/>
          <w:bottom w:val="single" w:color="000000" w:sz="6"/>
          <w:right w:val="none" w:sz="0"/>
          <w:insideH w:val="none" w:sz="0"/>
          <w:insideV w:val="none" w:sz="0"/>
        </w:tblBorders>
      </w:tblPr>
      <w:tblGrid>
        <w:gridCol w:w="700"/>
        <w:gridCol w:w="5360"/>
        <w:gridCol w:w="1100"/>
        <w:gridCol w:w="1100"/>
        <w:gridCol w:w="1100"/>
      </w:tblGrid>
      <w:tr>
        <w:tc>
          <w:tcPr>
            <w:tcW w:type="dxa" w:w="7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ID</w:t>
            </w:r>
          </w:p>
        </w:tc>
        <w:tc>
          <w:tcPr>
            <w:tcW w:type="dxa" w:w="53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Factor externo clave</w:t>
            </w:r>
          </w:p>
        </w:tc>
        <w:tc>
          <w:tcPr>
            <w:tcW w:type="dxa" w:w="11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Peso</w:t>
            </w:r>
          </w:p>
        </w:tc>
        <w:tc>
          <w:tcPr>
            <w:tcW w:type="dxa" w:w="11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Clasif.</w:t>
            </w:r>
          </w:p>
        </w:tc>
        <w:tc>
          <w:tcPr>
            <w:tcW w:type="dxa" w:w="11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Punt.</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sz w:val="24"/>
                <w:szCs w:val="24"/>
              </w:rPr>
              <w:t xml:space="preserve"/>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Oportunidades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O1</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Crecimiento acelerado del e-commerce y los pagos digitales en Perú (Mercado Pago, Yape, Plin)</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0.12</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4</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0.48</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O2</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Ausencia de competidores formales auditables en el sector de sorteos digitales peruano</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0.10</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0.30</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O3</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Infraestructura cloud de bajo costo y APIs de pago maduras disponibles para el MVP</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0.08</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4</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0.32</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O4</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Cultura consolidada de sorteos y rifas en el consumidor peruano que reduce barreras de adopción</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0.08</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0.24</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O5</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Programas públicos de fomento al emprendimiento digital (StartUp Perú, PRODUCE, Innóvate)</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0.07</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0.21</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O6</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 penetración de smartphones y redes sociales en Lima (&gt;80%) como canal orgánico</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0.07</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0.21</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O7</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Demanda social creciente de transparencia y trazabilidad en transacciones digitales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0.05</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4</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0.20</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O8</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Potencial de expansión regional con modelo ALAZAR-HPM replicable</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0.06</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Subtotal oportunidades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0.60</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2.02</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Amenazas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A1</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Volatilidad política e institucional en Perú con impacto en regulación digital</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0.07</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0.14</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A2</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Marco regulatorio de sorteos ambiguo (Ley 26702, Indecopi): riesgo de cambios normativos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0.06</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0.12</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A3</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Baja confianza digital del consumidor peruano ante plataformas nuevas sin historial operativo</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0.07</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0.21</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A4</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Competencia de sustitutos informales (rifas en Instagram/TikTok) sin costo de entrada</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0.06</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0.12</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A5</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Riesgo reputacional por disputas, fraudes o fallas en la experiencia del usuario en etapa MVP</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0.05</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0.15</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A6</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Acceso limitado a financiamiento externo en el ecosistema peruano de startups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0.05</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0.15</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A7</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Dependencia de proveedores tecnológicos críticos (pasarela de pago) con riesgo de interrupción</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0.04</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0.08</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Subtotal amenazas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0.40</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0.97</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TOTAL</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1.00</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2.99</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David (2013). Resultado: 2.99 (Fortaleza Externa Alta; rango 2.51-3.49).</w:t>
      </w:r>
    </w:p>
    <w:p>
      <w:pPr>
        <w:spacing w:after="120" w:before="120" w:line="276"/>
        <w:jc w:val="both"/>
      </w:pPr>
      <w:r>
        <w:rPr>
          <w:rFonts w:ascii="Arial" w:cs="Arial" w:eastAsia="Arial" w:hAnsi="Arial"/>
          <w:sz w:val="24"/>
          <w:szCs w:val="24"/>
        </w:rPr>
        <w:t xml:space="preserve">La puntuación de 2.99 ubica al proyecto por encima del promedio sectorial de 2.50. Las calificaciones 4 en crecimiento del e-commerce, infraestructura cloud y demanda de transparencia reflejan áreas donde la propuesta aprovecha bien las condiciones existentes. Las calificaciones 2 en volatilidad política, ambigüedad regulatoria y competencia informal son las señales de alerta que el modelo de gobernanza deberá gestionar activamente.</w:t>
      </w:r>
    </w:p>
    <w:p>
      <w:pPr>
        <w:pStyle w:val="Heading2"/>
        <w:spacing w:after="120" w:before="300"/>
      </w:pPr>
      <w:r>
        <w:rPr>
          <w:rFonts w:ascii="Arial" w:cs="Arial" w:eastAsia="Arial" w:hAnsi="Arial"/>
          <w:b/>
          <w:bCs/>
          <w:sz w:val="26"/>
          <w:szCs w:val="26"/>
        </w:rPr>
        <w:t xml:space="preserve">3.3. Análisis del entorno interno</w:t>
      </w:r>
    </w:p>
    <w:p>
      <w:pPr>
        <w:pStyle w:val="Heading3"/>
        <w:spacing w:after="120" w:before="240"/>
      </w:pPr>
      <w:r>
        <w:rPr>
          <w:rFonts w:ascii="Arial" w:cs="Arial" w:eastAsia="Arial" w:hAnsi="Arial"/>
          <w:b/>
          <w:bCs/>
          <w:i/>
          <w:iCs/>
          <w:sz w:val="24"/>
          <w:szCs w:val="24"/>
        </w:rPr>
        <w:t xml:space="preserve">3.3.1. Descripción de la organización</w:t>
      </w:r>
    </w:p>
    <w:p>
      <w:pPr>
        <w:spacing w:after="120" w:before="120" w:line="276"/>
        <w:jc w:val="both"/>
      </w:pPr>
      <w:r>
        <w:rPr>
          <w:rFonts w:ascii="Arial" w:cs="Arial" w:eastAsia="Arial" w:hAnsi="Arial"/>
          <w:sz w:val="24"/>
          <w:szCs w:val="24"/>
        </w:rPr>
        <w:t xml:space="preserve">ALAZAR es una startup digital en etapa de validación de MVP, desarrollada bajo bootstrapping en el ecosistema digital peruano. Conecta tres actores: el USUARIO (compra tickets), el CLIENTE/organizador (publica sorteos para monetizar bienes o servicios) y el ADMIN (gobernanza, control operativo y resolución de disputas).</w:t>
      </w:r>
    </w:p>
    <w:p>
      <w:pPr>
        <w:spacing w:after="120" w:before="120" w:line="276"/>
        <w:jc w:val="both"/>
      </w:pPr>
      <w:r>
        <w:rPr>
          <w:rFonts w:ascii="Arial" w:cs="Arial" w:eastAsia="Arial" w:hAnsi="Arial"/>
          <w:b/>
          <w:bCs/>
          <w:sz w:val="24"/>
          <w:szCs w:val="24"/>
        </w:rPr>
        <w:t xml:space="preserve">Misión: </w:t>
      </w:r>
      <w:r>
        <w:rPr>
          <w:rFonts w:ascii="Arial" w:cs="Arial" w:eastAsia="Arial" w:hAnsi="Arial"/>
          <w:sz w:val="24"/>
          <w:szCs w:val="24"/>
        </w:rPr>
        <w:t xml:space="preserve">Democratizar el acceso a sorteos digitales transparentes y auditables en el mercado latinoamericano, ofreciendo a clientes y usuarios una plataforma confiable, formal y sin fricción para la monetización de bienes y servicios mediante sorteos con reglas claras y mecanismos verificables de ejecución.</w:t>
      </w:r>
    </w:p>
    <w:p>
      <w:pPr>
        <w:spacing w:after="120" w:before="120" w:line="276"/>
        <w:jc w:val="both"/>
      </w:pPr>
      <w:r>
        <w:rPr>
          <w:rFonts w:ascii="Arial" w:cs="Arial" w:eastAsia="Arial" w:hAnsi="Arial"/>
          <w:b/>
          <w:bCs/>
          <w:sz w:val="24"/>
          <w:szCs w:val="24"/>
        </w:rPr>
        <w:t xml:space="preserve">Visión: </w:t>
      </w:r>
      <w:r>
        <w:rPr>
          <w:rFonts w:ascii="Arial" w:cs="Arial" w:eastAsia="Arial" w:hAnsi="Arial"/>
          <w:sz w:val="24"/>
          <w:szCs w:val="24"/>
        </w:rPr>
        <w:t xml:space="preserve">Consolidarse como la plataforma de referencia de sorteos digitales auditables en América Latina, reconocida por su gobernanza, legitimidad operativa, transparencia y capacidad de expansión regional.</w:t>
      </w:r>
    </w:p>
    <w:p>
      <w:pPr>
        <w:spacing w:after="120" w:before="120" w:line="276"/>
        <w:jc w:val="both"/>
      </w:pPr>
      <w:r>
        <w:rPr>
          <w:rFonts w:ascii="Arial" w:cs="Arial" w:eastAsia="Arial" w:hAnsi="Arial"/>
          <w:b/>
          <w:bCs/>
          <w:sz w:val="24"/>
          <w:szCs w:val="24"/>
        </w:rPr>
        <w:t xml:space="preserve">Estructura organizacional: </w:t>
      </w:r>
      <w:r>
        <w:rPr>
          <w:rFonts w:ascii="Arial" w:cs="Arial" w:eastAsia="Arial" w:hAnsi="Arial"/>
          <w:sz w:val="24"/>
          <w:szCs w:val="24"/>
        </w:rPr>
        <w:t xml:space="preserve">Estructura funcional plana con cuatro roles: Sponsor/Fundador (visión y recursos), Project Manager/Director (coordinación y gobernanza), Responsable de Producto (gestión de supuestos de valor y MVP) y Líder Técnico (arquitectura e implementación). Esta estructura liviana es coherente con el bootstrapping y el principio de gobernanza proporcional del modelo ALAZAR-HPM.</w:t>
      </w:r>
    </w:p>
    <w:p>
      <w:pPr>
        <w:pStyle w:val="Heading3"/>
        <w:spacing w:after="120" w:before="240"/>
      </w:pPr>
      <w:r>
        <w:rPr>
          <w:rFonts w:ascii="Arial" w:cs="Arial" w:eastAsia="Arial" w:hAnsi="Arial"/>
          <w:b/>
          <w:bCs/>
          <w:i/>
          <w:iCs/>
          <w:sz w:val="24"/>
          <w:szCs w:val="24"/>
        </w:rPr>
        <w:t xml:space="preserve">3.3.2. Análisis AMOFHIT</w:t>
      </w:r>
    </w:p>
    <w:p>
      <w:pPr>
        <w:spacing w:after="60" w:before="240"/>
      </w:pPr>
      <w:r>
        <w:rPr>
          <w:rFonts w:ascii="Arial" w:cs="Arial" w:eastAsia="Arial" w:hAnsi="Arial"/>
          <w:b/>
          <w:bCs/>
          <w:sz w:val="24"/>
          <w:szCs w:val="22"/>
        </w:rPr>
        <w:t xml:space="preserve">Tabla 5</w:t>
      </w:r>
      <w:r>
        <w:br/>
        <w:t xml:space="preserve">
</w:t>
      </w:r>
      <w:r>
        <w:rPr>
          <w:rFonts w:ascii="Arial" w:cs="Arial" w:eastAsia="Arial" w:hAnsi="Arial"/>
          <w:i/>
          <w:iCs/>
          <w:sz w:val="24"/>
          <w:szCs w:val="22"/>
        </w:rPr>
        <w:t xml:space="preserve">Análisis AMOFHIT del proyecto ALAZAR</w:t>
      </w:r>
    </w:p>
    <w:tbl>
      <w:tblPr>
        <w:tblW w:type="dxa" w:w="9360"/>
        <w:tblBorders>
          <w:top w:val="single" w:color="000000" w:sz="6"/>
          <w:left w:val="none" w:sz="0"/>
          <w:bottom w:val="single" w:color="000000" w:sz="6"/>
          <w:right w:val="none" w:sz="0"/>
          <w:insideH w:val="none" w:sz="0"/>
          <w:insideV w:val="none" w:sz="0"/>
        </w:tblBorders>
      </w:tblPr>
      <w:tblGrid>
        <w:gridCol w:w="1560"/>
        <w:gridCol w:w="720"/>
        <w:gridCol w:w="2400"/>
        <w:gridCol w:w="1080"/>
        <w:gridCol w:w="3600"/>
      </w:tblGrid>
      <w:tr>
        <w:tc>
          <w:tcPr>
            <w:tcW w:type="dxa" w:w="15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Área AMOFHIT</w:t>
            </w:r>
          </w:p>
        </w:tc>
        <w:tc>
          <w:tcPr>
            <w:tcW w:type="dxa" w:w="72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ID</w:t>
            </w:r>
          </w:p>
        </w:tc>
        <w:tc>
          <w:tcPr>
            <w:tcW w:type="dxa" w:w="24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Factor interno</w:t>
            </w:r>
          </w:p>
        </w:tc>
        <w:tc>
          <w:tcPr>
            <w:tcW w:type="dxa" w:w="108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Tipo</w:t>
            </w:r>
          </w:p>
        </w:tc>
        <w:tc>
          <w:tcPr>
            <w:tcW w:type="dxa" w:w="36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Fundamento estratégico</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 - Administración</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F3</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Gobernanza híbrida ALAZAR-HPM documentada y replicable</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Fortaleza mayor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Diferencia a ALAZAR de todos los competidores informales del sector.</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 - Administración</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F6</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Gestión de riesgos activa con registro documentado y bitácora de decisiones estratégicas</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Fortaleza menor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Convierte la gestión de riesgos en proceso continuo trazable.</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 - Marketing</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F1</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Modelo de negocio diferenciado con sorteos auditables y gobernados</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Fortaleza mayor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La auditabilidad SHA-256 es el diferenciador más difícil de replicar.</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 - Marketing</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F2</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Propuesta de valor dual: organizador con pricing automatizado y participante con sorteo verificable</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Fortaleza mayor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modelo B2B2C cubre ambos lados del marketplace.</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 - Marketing</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D2</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Ausencia de historial operativo y reputación construida en el mercado</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Debilidad mayor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Sin sorteos ejecutados, la confianza parte desde cero.</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 - Marketing</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D7</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Presupuesto de marketing y adquisición de usuarios prácticamente nulo</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Debilidad menor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Obliga a estrategias orgánicas mientras los sustitutos tienen canales gratuitos.</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 - Operaciones</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F4</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Motor de precios automatizado que reduce fricción de adopción B2B</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Fortaleza menor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organizador evalúa la viabilidad económica del sorteo en segundos.</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 - Operaciones</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D8</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Sin PSP alternativo formalizado, con dependencia de un único proveedor de pagos</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Debilidad menor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Una falla del proveedor principal puede paralizar la operación.</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 - Finanzas</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F5</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Sistema de verificación de supuestos críticos que protege el capital antes de escalar</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Fortaleza menor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Protege el capital al exigir evidencia real antes de escalar cualquier inversión.</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 - Finanzas</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D1</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Capital limitado por bootstrapping sin acceso a financiamiento externo</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Debilidad mayor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Restringe velocidad de desarrollo, marketing y tolerancia ante errores estratégicos.</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H - RRHH</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D4</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 dependencia del fundador; equipo mínimo sin redundancia de roles críticos</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Debilidad mayor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fundador concentra roles de sponsor, PM y gobernanza: punto único de fallo.</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IT - Tecnología</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F7</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Arquitectura tecnológica escalable y modular con bajo costo operativo en MVP</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Fortaleza menor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Permite operar con costos mínimos y escalar sin rediseño completo.</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IT - Tecnología</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D3</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Modelo de negocio sin validación empírica completada en mercado real</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Debilidad menor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Los supuestos clave aún no tienen evidencia de usuario real.</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 - Estrategia</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F8</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Potencial de expansión regional con modelo ALAZAR-HPM transferible a LATAM</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Fortaleza menor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modelo está diseñado como replicable en Colombia, Chile y México.</w:t>
            </w:r>
          </w:p>
        </w:tc>
      </w:tr>
      <w:tr>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 - Estrategia</w:t>
            </w:r>
          </w:p>
        </w:tc>
        <w:tc>
          <w:tcPr>
            <w:tcW w:type="dxa" w:w="7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D5+D6</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Sin alianzas comerciales (D5) y sin formalización legal del negocio de sorteos (D6)</w:t>
            </w:r>
          </w:p>
        </w:tc>
        <w:tc>
          <w:tcPr>
            <w:tcW w:type="dxa" w:w="10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D5: menor / D6: mayor</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Sin cliente ancla ni asesoría legal: doble vulnerabilidad antes del lanzamiento.</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D'Alessio (2014). Los códigos F1 a F8 y D1 a D8 son consistentes en el AMOFHIT, la MEFI y el FODA.</w:t>
      </w:r>
    </w:p>
    <w:p>
      <w:pPr>
        <w:pStyle w:val="Heading2"/>
        <w:spacing w:after="120" w:before="300"/>
      </w:pPr>
      <w:r>
        <w:rPr>
          <w:rFonts w:ascii="Arial" w:cs="Arial" w:eastAsia="Arial" w:hAnsi="Arial"/>
          <w:b/>
          <w:bCs/>
          <w:sz w:val="26"/>
          <w:szCs w:val="26"/>
        </w:rPr>
        <w:t xml:space="preserve">3.4. Matriz de Evaluación de Factores Internos (MEFI)</w:t>
      </w:r>
    </w:p>
    <w:p>
      <w:pPr>
        <w:spacing w:after="60" w:before="240"/>
      </w:pPr>
      <w:r>
        <w:rPr>
          <w:rFonts w:ascii="Arial" w:cs="Arial" w:eastAsia="Arial" w:hAnsi="Arial"/>
          <w:b/>
          <w:bCs/>
          <w:sz w:val="24"/>
          <w:szCs w:val="22"/>
        </w:rPr>
        <w:t xml:space="preserve">Tabla 6</w:t>
      </w:r>
      <w:r>
        <w:br/>
        <w:t xml:space="preserve">
</w:t>
      </w:r>
      <w:r>
        <w:rPr>
          <w:rFonts w:ascii="Arial" w:cs="Arial" w:eastAsia="Arial" w:hAnsi="Arial"/>
          <w:i/>
          <w:iCs/>
          <w:sz w:val="24"/>
          <w:szCs w:val="22"/>
        </w:rPr>
        <w:t xml:space="preserve">Matriz de Evaluación de Factores Internos (MEFI) del proyecto ALAZAR</w:t>
      </w:r>
    </w:p>
    <w:tbl>
      <w:tblPr>
        <w:tblW w:type="dxa" w:w="9360"/>
        <w:tblBorders>
          <w:top w:val="single" w:color="000000" w:sz="6"/>
          <w:left w:val="none" w:sz="0"/>
          <w:bottom w:val="single" w:color="000000" w:sz="6"/>
          <w:right w:val="none" w:sz="0"/>
          <w:insideH w:val="none" w:sz="0"/>
          <w:insideV w:val="none" w:sz="0"/>
        </w:tblBorders>
      </w:tblPr>
      <w:tblGrid>
        <w:gridCol w:w="700"/>
        <w:gridCol w:w="5360"/>
        <w:gridCol w:w="1100"/>
        <w:gridCol w:w="1100"/>
        <w:gridCol w:w="1100"/>
      </w:tblGrid>
      <w:tr>
        <w:tc>
          <w:tcPr>
            <w:tcW w:type="dxa" w:w="7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ID</w:t>
            </w:r>
          </w:p>
        </w:tc>
        <w:tc>
          <w:tcPr>
            <w:tcW w:type="dxa" w:w="53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Factor crítico interno</w:t>
            </w:r>
          </w:p>
        </w:tc>
        <w:tc>
          <w:tcPr>
            <w:tcW w:type="dxa" w:w="11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Peso</w:t>
            </w:r>
          </w:p>
        </w:tc>
        <w:tc>
          <w:tcPr>
            <w:tcW w:type="dxa" w:w="11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Clasif.</w:t>
            </w:r>
          </w:p>
        </w:tc>
        <w:tc>
          <w:tcPr>
            <w:tcW w:type="dxa" w:w="11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Punt.</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Fortalezas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F1</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Modelo de negocio diferenciado con sorteos auditables, trazables y formalmente gobernados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0.10</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4</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0.40</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F2</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Propuesta de valor dual: organizador monetiza bienes con pricing automatizado; participante con reglas verificables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0.08</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4</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0.32</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F3</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Modelo de gobernanza híbrida ALAZAR-HPM (PMBOK® 7 + Lean Startup) documentado y replicable</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0.07</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4</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0.28</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F4</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Motor de precios automatizado que calcula escenarios comerciales y reduce fricción de adopción B2B</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0.06</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0.18</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F5</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Sistema de validación iterativa con supuestos críticos de negocio priorizados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0.05</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0.15</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F6</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Gestión de riesgos activa con Registro de Riesgos y Bitácora de Decisiones RC-01 documentados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0.05</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0.15</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F7</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Arquitectura tecnológica escalable y modular con bajo costo operativo en MVP</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0.05</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0.15</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F8</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Potencial de expansión regional con modelo ALAZAR-HPM transferible a mercados latinoamericanos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0.04</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0.12</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Subtotal fortalezas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0.50</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1.75</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Debilidades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D1</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Capital limitado por bootstrapping sin acceso a financiamiento externo o capital de riesgo</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0.10</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0.10</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D2</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Ausencia de historial operativo y reputación construida en el mercado de sorteos digitales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0.08</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0.08</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D3</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Modelo de negocio sin validación empírica completada en mercado real</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0.07</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0.14</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D4</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 dependencia operativa del fundador; equipo mínimo sin redundancia de roles críticos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0.06</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0.06</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D5</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Sin alianzas comerciales formalizadas ni canales de distribución establecidos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0.05</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0.10</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D6</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Marco regulatorio de sorteos no formalizado legalmente (sin consulta especializada ejecutada)</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0.05</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0.05</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D7</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Presupuesto de marketing y adquisición de usuarios prácticamente nulo</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0.04</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0.08</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D8</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Sin proveedor de pagos alternativo formalizado; dependencia de un único PSP</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0.05</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0.10</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Subtotal debilidades</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0.50</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0.71</w:t>
            </w:r>
          </w:p>
        </w:tc>
      </w:tr>
      <w:tr>
        <w:tc>
          <w:tcPr>
            <w:tcW w:type="dxa" w:w="7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TOTAL</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1.00</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2.46</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David (2013). Resultado: 2.46 (posición interna con debilidades que superan a las fortalezas).</w:t>
      </w:r>
    </w:p>
    <w:p>
      <w:pPr>
        <w:spacing w:after="120" w:before="120" w:line="276"/>
        <w:jc w:val="both"/>
      </w:pPr>
      <w:r>
        <w:rPr>
          <w:rFonts w:ascii="Arial" w:cs="Arial" w:eastAsia="Arial" w:hAnsi="Arial"/>
          <w:sz w:val="24"/>
          <w:szCs w:val="24"/>
        </w:rPr>
        <w:t xml:space="preserve">El resultado de 2.46 es inferior al umbral promedio de 2.50, lo que indica que las debilidades internas pesan más que las fortalezas en términos comparativos. Hay una distinción importante: las fortalezas más valiosas (modelo auditable, propuesta de valor dual y gobernanza híbrida, todas con clasificación 4) son estructurales y difíciles de replicar. Las debilidades críticas (capital limitado, ausencia de historial y falta de formalización legal) son reales, pero algunas son resolubles en el corto plazo.</w:t>
      </w:r>
    </w:p>
    <w:p>
      <w:pPr>
        <w:pStyle w:val="Heading2"/>
        <w:spacing w:after="120" w:before="300"/>
      </w:pPr>
      <w:r>
        <w:rPr>
          <w:rFonts w:ascii="Arial" w:cs="Arial" w:eastAsia="Arial" w:hAnsi="Arial"/>
          <w:b/>
          <w:bCs/>
          <w:sz w:val="26"/>
          <w:szCs w:val="26"/>
        </w:rPr>
        <w:t xml:space="preserve">3.5. Análisis FODA integrado con cruces estratégicos</w:t>
      </w:r>
    </w:p>
    <w:p>
      <w:pPr>
        <w:spacing w:after="60" w:before="240"/>
      </w:pPr>
      <w:r>
        <w:rPr>
          <w:rFonts w:ascii="Arial" w:cs="Arial" w:eastAsia="Arial" w:hAnsi="Arial"/>
          <w:b/>
          <w:bCs/>
          <w:sz w:val="24"/>
          <w:szCs w:val="22"/>
        </w:rPr>
        <w:t xml:space="preserve">Tabla 7</w:t>
      </w:r>
      <w:r>
        <w:br/>
        <w:t xml:space="preserve">
</w:t>
      </w:r>
      <w:r>
        <w:rPr>
          <w:rFonts w:ascii="Arial" w:cs="Arial" w:eastAsia="Arial" w:hAnsi="Arial"/>
          <w:i/>
          <w:iCs/>
          <w:sz w:val="24"/>
          <w:szCs w:val="22"/>
        </w:rPr>
        <w:t xml:space="preserve">Análisis FODA integrado del proyecto ALAZAR</w:t>
      </w:r>
    </w:p>
    <w:tbl>
      <w:tblPr>
        <w:tblW w:type="dxa" w:w="9360"/>
        <w:tblBorders>
          <w:top w:val="single" w:color="000000" w:sz="6"/>
          <w:left w:val="none" w:sz="0"/>
          <w:bottom w:val="single" w:color="000000" w:sz="6"/>
          <w:right w:val="none" w:sz="0"/>
          <w:insideH w:val="none" w:sz="0"/>
          <w:insideV w:val="none" w:sz="0"/>
        </w:tblBorders>
      </w:tblPr>
      <w:tblGrid>
        <w:gridCol w:w="1500"/>
        <w:gridCol w:w="2500"/>
        <w:gridCol w:w="5360"/>
      </w:tblGrid>
      <w:tr>
        <w:tc>
          <w:tcPr>
            <w:tcW w:type="dxa" w:w="15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Cuadrante</w:t>
            </w:r>
          </w:p>
        </w:tc>
        <w:tc>
          <w:tcPr>
            <w:tcW w:type="dxa" w:w="25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Factores activos</w:t>
            </w:r>
          </w:p>
        </w:tc>
        <w:tc>
          <w:tcPr>
            <w:tcW w:type="dxa" w:w="53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Estrategias formuladas</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 Usar fortalezas para aprovechar oportunidades</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F1+F2+F3+F4+F5+F7+F8 / O1+O2+O3+O4+O5+O6+O8</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FO-1 [F1+F3 × O1+O2]: Posicionarse como primer entrante formal con sorteo auditable.
FO-2 [F2+F4 × O1+O4]: Activar el motor de precios B2B aprovechando el crecimiento digital.
FO-3 [F5 × O4+O6]: Experimentos BML de bajo costo usando la cultura de sorteos.
FO-4 [F3+F6 × O5]: Postular el proyecto a programas de fomento con gobernanza documentada.
FO-5 [F7+F8 × O3+O8]: Diseñar la arquitectura de escalamiento regional desde el MVP.</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DO: Usar oportunidades para superar debilidades</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D1+D2+D3+D5+D6+D7 / O2+O4+O5</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DO-1 [D1 × O5]: Financiamiento no dilutivo mediante programas públicos.
DO-2 [D2+D5 × O2+O4]: Construir historial con primeros sorteos demostrativos.
DO-3 [D5 × O2]: Capturar el primer cliente ancla en la ventana de primer entrante.
DO-4 [D6 × O5]: Acceder a asesoría legal subsidiada vía ecosistema de fomento.</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 Usar fortalezas para neutralizar amenazas</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F1+F2+F3+F5+F6+F7 / A1+A2+A3+A4+A6+A7</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FA-1 [F1+F2 × A3+A4]: Usar la auditabilidad como argumento frente a sustitutos informales.
FA-2 [F3+F6 × A1+A2]: Anticipar cambios regulatorios con gobernanza adaptativa.
FA-3 [F5+F6 × A6]: Proteger el capital validando progresivamente antes de escalar.
FA-4 [F7 × A7]: Reducir dependencia del PSP con arquitectura modular.</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pPr>
            <w:r>
              <w:rPr>
                <w:rFonts w:ascii="Arial" w:cs="Arial" w:eastAsia="Arial" w:hAnsi="Arial"/>
                <w:b/>
                <w:bCs/>
                <w:sz w:val="24"/>
                <w:szCs w:val="22"/>
              </w:rPr>
              <w:t xml:space="preserve">DA: Reducir debilidades para minimizar amenazas</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D1+D2+D3+D4+D6+D8 / A1+A2+A4+A5+A6+A7</w:t>
            </w:r>
          </w:p>
        </w:tc>
        <w:tc>
          <w:tcPr>
            <w:tcW w:type="dxa" w:w="5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DA-1 [D6 × A2+A1] CRÍTICA: Consulta legal antes del lanzamiento.
DA-2 [D1 × A4+A6] CRÍTICA: MVP al flujo núcleo para proteger el capital.
DA-3 [D8 × A7] CRÍTICA: Formalizar PSP alternativo con protocolo de activación.
DA-4 [D2+D3 × A5] CRÍTICA: Protocolo de disputas antes del primer sorteo externo.
DA-5 [D4 × A1+A5]: Documentar roles y plan de continuidad en la Carta de Gobernanza.</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Andrews (1971) y Weihrich (1982). Todos los factores provienen de los análisis previos.</w:t>
      </w:r>
    </w:p>
    <w:p>
      <w:pPr>
        <w:pStyle w:val="Heading2"/>
        <w:spacing w:after="120" w:before="300"/>
      </w:pPr>
      <w:r>
        <w:rPr>
          <w:rFonts w:ascii="Arial" w:cs="Arial" w:eastAsia="Arial" w:hAnsi="Arial"/>
          <w:b/>
          <w:bCs/>
          <w:sz w:val="26"/>
          <w:szCs w:val="26"/>
        </w:rPr>
        <w:t xml:space="preserve">3.6. Estrategia formulada y conexión con el modelo ALAZAR-HPM</w:t>
      </w:r>
    </w:p>
    <w:p>
      <w:pPr>
        <w:pStyle w:val="Heading3"/>
        <w:spacing w:after="120" w:before="240"/>
      </w:pPr>
      <w:r>
        <w:rPr>
          <w:rFonts w:ascii="Arial" w:cs="Arial" w:eastAsia="Arial" w:hAnsi="Arial"/>
          <w:b/>
          <w:bCs/>
          <w:i/>
          <w:iCs/>
          <w:sz w:val="24"/>
          <w:szCs w:val="24"/>
        </w:rPr>
        <w:t xml:space="preserve">3.6.1. Matriz Interna-Externa (IE)</w:t>
      </w:r>
    </w:p>
    <w:p>
      <w:pPr>
        <w:spacing w:after="60" w:before="240"/>
      </w:pPr>
      <w:r>
        <w:rPr>
          <w:rFonts w:ascii="Arial" w:cs="Arial" w:eastAsia="Arial" w:hAnsi="Arial"/>
          <w:b/>
          <w:bCs/>
          <w:sz w:val="24"/>
          <w:szCs w:val="22"/>
        </w:rPr>
        <w:t xml:space="preserve">Tabla 8</w:t>
      </w:r>
      <w:r>
        <w:br/>
        <w:t xml:space="preserve">
</w:t>
      </w:r>
      <w:r>
        <w:rPr>
          <w:rFonts w:ascii="Arial" w:cs="Arial" w:eastAsia="Arial" w:hAnsi="Arial"/>
          <w:i/>
          <w:iCs/>
          <w:sz w:val="24"/>
          <w:szCs w:val="22"/>
        </w:rPr>
        <w:t xml:space="preserve">Matriz Interna-Externa (IE): posición estratégica del proyecto ALAZAR</w:t>
      </w:r>
    </w:p>
    <w:tbl>
      <w:tblPr>
        <w:tblW w:type="dxa" w:w="9360"/>
        <w:tblBorders>
          <w:top w:val="single" w:color="000000" w:sz="6"/>
          <w:left w:val="none" w:sz="0"/>
          <w:bottom w:val="single" w:color="000000" w:sz="6"/>
          <w:right w:val="none" w:sz="0"/>
          <w:insideH w:val="none" w:sz="0"/>
          <w:insideV w:val="none" w:sz="0"/>
        </w:tblBorders>
      </w:tblPr>
      <w:tblGrid>
        <w:gridCol w:w="2340"/>
        <w:gridCol w:w="2340"/>
        <w:gridCol w:w="2340"/>
        <w:gridCol w:w="2340"/>
      </w:tblGrid>
      <w:tr>
        <w:tc>
          <w:tcPr>
            <w:tcW w:type="dxa" w:w="234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
            </w:r>
          </w:p>
        </w:tc>
        <w:tc>
          <w:tcPr>
            <w:tcW w:type="dxa" w:w="234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MEFI Alta (3.0-4.0)</w:t>
            </w:r>
          </w:p>
        </w:tc>
        <w:tc>
          <w:tcPr>
            <w:tcW w:type="dxa" w:w="234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MEFI Media (2.0-2.99)</w:t>
            </w:r>
          </w:p>
        </w:tc>
        <w:tc>
          <w:tcPr>
            <w:tcW w:type="dxa" w:w="234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MEFI Baja (1.0-1.99)</w:t>
            </w:r>
          </w:p>
        </w:tc>
      </w:tr>
      <w:tr>
        <w:tc>
          <w:tcPr>
            <w:tcW w:type="dxa" w:w="234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MEFE Alta (3.0-4.0)</w:t>
            </w:r>
          </w:p>
        </w:tc>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Celda I: Crecer y construir</w:t>
            </w:r>
          </w:p>
        </w:tc>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Celda II: Crecer y construir</w:t>
            </w:r>
          </w:p>
        </w:tc>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Celda III: Retener</w:t>
            </w:r>
          </w:p>
        </w:tc>
      </w:tr>
      <w:tr>
        <w:tc>
          <w:tcPr>
            <w:tcW w:type="dxa" w:w="234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MEFE Media (2.0-2.99)</w:t>
            </w:r>
          </w:p>
        </w:tc>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Celda IV: Retener</w:t>
            </w:r>
          </w:p>
        </w:tc>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pPr>
            <w:r>
              <w:rPr>
                <w:rFonts w:ascii="Arial" w:cs="Arial" w:eastAsia="Arial" w:hAnsi="Arial"/>
                <w:b/>
                <w:bCs/>
                <w:sz w:val="24"/>
                <w:szCs w:val="22"/>
              </w:rPr>
              <w:t xml:space="preserve">Celda V ◄ ALAZAR</w:t>
            </w:r>
            <w:r>
              <w:rPr>
                <w:rFonts w:ascii="Arial" w:cs="Arial" w:eastAsia="Arial" w:hAnsi="Arial"/>
                <w:sz w:val="20"/>
                <w:szCs w:val="20"/>
              </w:rPr>
              <w:t xml:space="preserve">
EFE 2.99 / EFI 2.46</w:t>
            </w:r>
          </w:p>
        </w:tc>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Celda VI: Cosechar</w:t>
            </w:r>
          </w:p>
        </w:tc>
      </w:tr>
      <w:tr>
        <w:tc>
          <w:tcPr>
            <w:tcW w:type="dxa" w:w="234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MEFE Baja (1.0-1.99)</w:t>
            </w:r>
          </w:p>
        </w:tc>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Celda VII: Cosechar</w:t>
            </w:r>
          </w:p>
        </w:tc>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Celda VIII: Cosechar</w:t>
            </w:r>
          </w:p>
        </w:tc>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Celda IX: Cosechar</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D'Alessio (2014). El proyecto ALAZAR se ubica en la Celda V (EFE = 2.99, EFI = 2.46). Prescripción estratégica: penetración de mercado y desarrollo de producto.</w:t>
      </w:r>
    </w:p>
    <w:p>
      <w:pPr>
        <w:spacing w:after="120" w:before="120" w:line="276"/>
        <w:jc w:val="both"/>
      </w:pPr>
      <w:r>
        <w:rPr>
          <w:rFonts w:ascii="Arial" w:cs="Arial" w:eastAsia="Arial" w:hAnsi="Arial"/>
          <w:iCs/>
          <w:sz w:val="24"/>
          <w:szCs w:val="22"/>
        </w:rPr>
        <w:t xml:space="preserve">Estrategia central: diferenciación por confianza auditable y validación progresiva disciplinada. ALAZAR no puede competir por precio ni velocidad frente a rifas informales de costo cero. Su ventaja real está en un sorteo con resultado verificable, un proceso con reglas claras y una plataforma con respaldo documental. La validación progresiva significa que cada inversión de capital y tiempo está condicionada a evidencia real.</w:t>
      </w:r>
    </w:p>
    <w:p>
      <w:pPr>
        <w:spacing w:after="60" w:before="240"/>
      </w:pPr>
      <w:r>
        <w:rPr>
          <w:rFonts w:ascii="Arial" w:cs="Arial" w:eastAsia="Arial" w:hAnsi="Arial"/>
          <w:b/>
          <w:bCs/>
          <w:sz w:val="24"/>
          <w:szCs w:val="22"/>
        </w:rPr>
        <w:t xml:space="preserve">Tabla 9</w:t>
      </w:r>
      <w:r>
        <w:br/>
        <w:t xml:space="preserve">
</w:t>
      </w:r>
      <w:r>
        <w:rPr>
          <w:rFonts w:ascii="Arial" w:cs="Arial" w:eastAsia="Arial" w:hAnsi="Arial"/>
          <w:i/>
          <w:iCs/>
          <w:sz w:val="24"/>
          <w:szCs w:val="22"/>
        </w:rPr>
        <w:t xml:space="preserve">Plan de priorización estratégica integrado del proyecto ALAZAR</w:t>
      </w:r>
    </w:p>
    <w:tbl>
      <w:tblPr>
        <w:tblW w:type="dxa" w:w="9360"/>
        <w:tblBorders>
          <w:top w:val="single" w:color="000000" w:sz="6"/>
          <w:left w:val="none" w:sz="0"/>
          <w:bottom w:val="single" w:color="000000" w:sz="6"/>
          <w:right w:val="none" w:sz="0"/>
          <w:insideH w:val="none" w:sz="0"/>
          <w:insideV w:val="none" w:sz="0"/>
        </w:tblBorders>
      </w:tblPr>
      <w:tblGrid>
        <w:gridCol w:w="900"/>
        <w:gridCol w:w="3660"/>
        <w:gridCol w:w="2200"/>
        <w:gridCol w:w="1200"/>
        <w:gridCol w:w="1400"/>
      </w:tblGrid>
      <w:tr>
        <w:tc>
          <w:tcPr>
            <w:tcW w:type="dxa" w:w="9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Código</w:t>
            </w:r>
          </w:p>
        </w:tc>
        <w:tc>
          <w:tcPr>
            <w:tcW w:type="dxa" w:w="36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Estrategia</w:t>
            </w:r>
          </w:p>
        </w:tc>
        <w:tc>
          <w:tcPr>
            <w:tcW w:type="dxa" w:w="22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Factores cruzados</w:t>
            </w:r>
          </w:p>
        </w:tc>
        <w:tc>
          <w:tcPr>
            <w:tcW w:type="dxa" w:w="12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Urgencia</w:t>
            </w:r>
          </w:p>
        </w:tc>
        <w:tc>
          <w:tcPr>
            <w:tcW w:type="dxa" w:w="14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Período</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DA-1</w:t>
            </w:r>
          </w:p>
        </w:tc>
        <w:tc>
          <w:tcPr>
            <w:tcW w:type="dxa" w:w="3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Consulta legal sobre sorteos digitales (Ley 26702, Indecopi, Ley 29733)</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D6 × A2+A1</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CRÍTICA</w:t>
            </w:r>
          </w:p>
        </w:tc>
        <w:tc>
          <w:tcPr>
            <w:tcW w:type="dxa" w:w="1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DA-2</w:t>
            </w:r>
          </w:p>
        </w:tc>
        <w:tc>
          <w:tcPr>
            <w:tcW w:type="dxa" w:w="3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MVP al flujo núcleo: compra → sorteo → entrega → liquidación</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D1 × A4+A6</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CRÍTICA</w:t>
            </w:r>
          </w:p>
        </w:tc>
        <w:tc>
          <w:tcPr>
            <w:tcW w:type="dxa" w:w="1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1-2</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DA-3</w:t>
            </w:r>
          </w:p>
        </w:tc>
        <w:tc>
          <w:tcPr>
            <w:tcW w:type="dxa" w:w="3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Formalizar PSP alternativo con protocolo de activación predefinido</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D8 × A7</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CRÍTICA</w:t>
            </w:r>
          </w:p>
        </w:tc>
        <w:tc>
          <w:tcPr>
            <w:tcW w:type="dxa" w:w="1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DA-4</w:t>
            </w:r>
          </w:p>
        </w:tc>
        <w:tc>
          <w:tcPr>
            <w:tcW w:type="dxa" w:w="3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Protocolo de disputas y liquidación antes del primer sorteo externo</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D2+D3 × A5</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CRÍTICA</w:t>
            </w:r>
          </w:p>
        </w:tc>
        <w:tc>
          <w:tcPr>
            <w:tcW w:type="dxa" w:w="1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1-2</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FO-1</w:t>
            </w:r>
          </w:p>
        </w:tc>
        <w:tc>
          <w:tcPr>
            <w:tcW w:type="dxa" w:w="3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Posicionamiento de primer entrante formal con Motor de Sorteo auditable SHA-256</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F1+F3 × O1+O2</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w:t>
            </w:r>
          </w:p>
        </w:tc>
        <w:tc>
          <w:tcPr>
            <w:tcW w:type="dxa" w:w="1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1-3</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DA-5</w:t>
            </w:r>
          </w:p>
        </w:tc>
        <w:tc>
          <w:tcPr>
            <w:tcW w:type="dxa" w:w="3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Documentar roles y plan de continuidad en la Carta de Gobernanza</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D4 × A1+A5</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w:t>
            </w:r>
          </w:p>
        </w:tc>
        <w:tc>
          <w:tcPr>
            <w:tcW w:type="dxa" w:w="1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FA-1</w:t>
            </w:r>
          </w:p>
        </w:tc>
        <w:tc>
          <w:tcPr>
            <w:tcW w:type="dxa" w:w="3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Narrativa de diferenciación activa frente a sustitutos informales</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F1+F2 × A3+A4</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w:t>
            </w:r>
          </w:p>
        </w:tc>
        <w:tc>
          <w:tcPr>
            <w:tcW w:type="dxa" w:w="1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1-4</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FA-3</w:t>
            </w:r>
          </w:p>
        </w:tc>
        <w:tc>
          <w:tcPr>
            <w:tcW w:type="dxa" w:w="3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Activar el Registro de Supuestos: verificar la demanda antes de escalar</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F5+F6 × A6</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w:t>
            </w:r>
          </w:p>
        </w:tc>
        <w:tc>
          <w:tcPr>
            <w:tcW w:type="dxa" w:w="1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3-4</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DO-2</w:t>
            </w:r>
          </w:p>
        </w:tc>
        <w:tc>
          <w:tcPr>
            <w:tcW w:type="dxa" w:w="3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Primeros sorteos demostrativos para construir historial y testimonios reales</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D2+D5 × O2+O4</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w:t>
            </w:r>
          </w:p>
        </w:tc>
        <w:tc>
          <w:tcPr>
            <w:tcW w:type="dxa" w:w="1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2-4</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DO-1</w:t>
            </w:r>
          </w:p>
        </w:tc>
        <w:tc>
          <w:tcPr>
            <w:tcW w:type="dxa" w:w="3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Postular a StartUp Perú / PRODUCE para financiamiento no dilutivo</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D1 × O5</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Media</w:t>
            </w:r>
          </w:p>
        </w:tc>
        <w:tc>
          <w:tcPr>
            <w:tcW w:type="dxa" w:w="1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3-4</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FO-5</w:t>
            </w:r>
          </w:p>
        </w:tc>
        <w:tc>
          <w:tcPr>
            <w:tcW w:type="dxa" w:w="3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Diseñar arquitectura de escalamiento regional desde el MVP</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F7+F8 × O3+O8</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Baja</w:t>
            </w:r>
          </w:p>
        </w:tc>
        <w:tc>
          <w:tcPr>
            <w:tcW w:type="dxa" w:w="1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7-9</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La tabla presenta las once estrategias de mayor prioridad de implementación inmediata. Las estrategias restantes del análisis FODA (Tabla 7) corresponden a acciones de mediano y largo plazo cuya ejecución está condicionada a la verificación de los supuestos críticos S1-S6.</w:t>
      </w:r>
    </w:p>
    <w:p>
      <w:pPr>
        <w:pStyle w:val="Heading2"/>
        <w:spacing w:after="120" w:before="300"/>
      </w:pPr>
      <w:r>
        <w:rPr>
          <w:rFonts w:ascii="Arial" w:cs="Arial" w:eastAsia="Arial" w:hAnsi="Arial"/>
          <w:b/>
          <w:bCs/>
          <w:sz w:val="26"/>
          <w:szCs w:val="26"/>
        </w:rPr>
        <w:t xml:space="preserve">3.7. Alineamiento del proyecto en la organización</w:t>
      </w:r>
    </w:p>
    <w:p>
      <w:pPr>
        <w:spacing w:after="60" w:before="240"/>
      </w:pPr>
      <w:r>
        <w:rPr>
          <w:rFonts w:ascii="Arial" w:cs="Arial" w:eastAsia="Arial" w:hAnsi="Arial"/>
          <w:b/>
          <w:bCs/>
          <w:sz w:val="24"/>
          <w:szCs w:val="22"/>
        </w:rPr>
        <w:t xml:space="preserve">Tabla 10</w:t>
      </w:r>
      <w:r>
        <w:br/>
        <w:t xml:space="preserve">
</w:t>
      </w:r>
      <w:r>
        <w:rPr>
          <w:rFonts w:ascii="Arial" w:cs="Arial" w:eastAsia="Arial" w:hAnsi="Arial"/>
          <w:i/>
          <w:iCs/>
          <w:sz w:val="24"/>
          <w:szCs w:val="22"/>
        </w:rPr>
        <w:t xml:space="preserve">Beneficios esperados del proyecto y herramientas de gobernanza vinculadas</w:t>
      </w:r>
    </w:p>
    <w:tbl>
      <w:tblPr>
        <w:tblW w:type="dxa" w:w="9360"/>
        <w:tblBorders>
          <w:top w:val="single" w:color="000000" w:sz="6"/>
          <w:left w:val="none" w:sz="0"/>
          <w:bottom w:val="single" w:color="000000" w:sz="6"/>
          <w:right w:val="none" w:sz="0"/>
          <w:insideH w:val="none" w:sz="0"/>
          <w:insideV w:val="none" w:sz="0"/>
        </w:tblBorders>
      </w:tblPr>
      <w:tblGrid>
        <w:gridCol w:w="1800"/>
        <w:gridCol w:w="2500"/>
        <w:gridCol w:w="2000"/>
        <w:gridCol w:w="3060"/>
      </w:tblGrid>
      <w:tr>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Dimensión</w:t>
            </w:r>
          </w:p>
        </w:tc>
        <w:tc>
          <w:tcPr>
            <w:tcW w:type="dxa" w:w="25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Beneficio esperado</w:t>
            </w:r>
          </w:p>
        </w:tc>
        <w:tc>
          <w:tcPr>
            <w:tcW w:type="dxa" w:w="20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Estrategia FODA</w:t>
            </w:r>
          </w:p>
        </w:tc>
        <w:tc>
          <w:tcPr>
            <w:tcW w:type="dxa" w:w="30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Herramienta ALAZAR-HPM</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Operativa</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Sistema auditable y trazable para sorteos digitales que genera confianza y diferenciación real.</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DA-4, FA-1</w:t>
            </w:r>
          </w:p>
        </w:tc>
        <w:tc>
          <w:tcPr>
            <w:tcW w:type="dxa" w:w="30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Motor de Sorteo SHA-256, máquina de estados entrega-liquidación, RC-01.</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Estratégica</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Metodología de gobernanza replicable (ALAZAR-HPM) aplicable a otras startups digitales en LATAM.</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FO-5, FO-4</w:t>
            </w:r>
          </w:p>
        </w:tc>
        <w:tc>
          <w:tcPr>
            <w:tcW w:type="dxa" w:w="30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Carta de Gobernanza, Registro de Riesgos, modelo ALAZAR-HPM documentado.</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Económica</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Validación progresiva del modelo antes del escalamiento, protegiendo el capital con decisiones basadas en evidencia.</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FA-3, DO-2</w:t>
            </w:r>
          </w:p>
        </w:tc>
        <w:tc>
          <w:tcPr>
            <w:tcW w:type="dxa" w:w="30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Supuestos, control del gasto mensual, ciclos quincenales.</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Legal / Regulatoria</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Cumplimiento formal del marco de sorteos digitales, eliminando el mayor riesgo existencial antes del lanzamiento.</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DA-1, DO-4</w:t>
            </w:r>
          </w:p>
        </w:tc>
        <w:tc>
          <w:tcPr>
            <w:tcW w:type="dxa" w:w="30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Términos y condiciones, asesoría legal especializada Mes 1.</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p>
      <w:r>
        <w:br w:type="page"/>
      </w:r>
    </w:p>
    <w:p>
      <w:pPr>
        <w:pStyle w:val="Heading1"/>
        <w:spacing w:after="180" w:before="360"/>
        <w:jc w:val="center"/>
      </w:pPr>
      <w:r>
        <w:rPr>
          <w:rFonts w:ascii="Arial" w:cs="Arial" w:eastAsia="Arial" w:hAnsi="Arial"/>
          <w:b/>
          <w:bCs/>
          <w:caps/>
          <w:sz w:val="28"/>
          <w:szCs w:val="28"/>
        </w:rPr>
        <w:t xml:space="preserve">CAPÍTULO IV. MARCO TEÓRICO</w:t>
      </w:r>
    </w:p>
    <w:p>
      <w:pPr>
        <w:spacing w:after="120" w:before="120" w:line="276"/>
        <w:jc w:val="both"/>
      </w:pPr>
      <w:r>
        <w:rPr>
          <w:rFonts w:ascii="Arial" w:cs="Arial" w:eastAsia="Arial" w:hAnsi="Arial"/>
          <w:sz w:val="24"/>
          <w:szCs w:val="24"/>
        </w:rPr>
        <w:t xml:space="preserve">El marco teórico tiene una función específica en este trabajo: justificar cada decisión de diseño del modelo propuesto con respaldo en la literatura especializada. No es un recorrido enciclopédico por la gestión de proyectos. Es la selección de los conceptos que explican por qué el modelo está construido como está, por qué combina lo que combina y por qué excluye lo que excluye.</w:t>
      </w:r>
    </w:p>
    <w:p>
      <w:pPr>
        <w:pStyle w:val="Heading2"/>
        <w:spacing w:after="120" w:before="300"/>
      </w:pPr>
      <w:r>
        <w:rPr>
          <w:rFonts w:ascii="Arial" w:cs="Arial" w:eastAsia="Arial" w:hAnsi="Arial"/>
          <w:b/>
          <w:bCs/>
          <w:sz w:val="26"/>
          <w:szCs w:val="26"/>
        </w:rPr>
        <w:t xml:space="preserve">4.1. Gestión del proyecto</w:t>
      </w:r>
    </w:p>
    <w:p>
      <w:pPr>
        <w:pStyle w:val="Heading3"/>
        <w:spacing w:after="120" w:before="240"/>
      </w:pPr>
      <w:r>
        <w:rPr>
          <w:rFonts w:ascii="Arial" w:cs="Arial" w:eastAsia="Arial" w:hAnsi="Arial"/>
          <w:b/>
          <w:bCs/>
          <w:i/>
          <w:iCs/>
          <w:sz w:val="24"/>
          <w:szCs w:val="24"/>
        </w:rPr>
        <w:t xml:space="preserve">4.1.1. La dirección de proyectos y el PMBOK® 7</w:t>
      </w:r>
    </w:p>
    <w:p>
      <w:pPr>
        <w:spacing w:after="120" w:before="120" w:line="276"/>
        <w:jc w:val="both"/>
      </w:pPr>
      <w:r>
        <w:rPr>
          <w:rFonts w:ascii="Arial" w:cs="Arial" w:eastAsia="Arial" w:hAnsi="Arial"/>
          <w:sz w:val="24"/>
          <w:szCs w:val="24"/>
        </w:rPr>
        <w:t xml:space="preserve">La dirección de proyectos es la aplicación de conocimientos, habilidades, herramientas y técnicas a las actividades de un proyecto para cumplir los requisitos del mismo (PMI, 2021). Esta definición encierra una tensión especialmente relevante para ALAZAR: la palabra "requisitos" supone que son conocidos con antelación suficiente para planificarlos. En una startup digital, esa suposición falla. Los requisitos de mercado son supuestos que deben descubrirse, no planes que deben ejecutarse.</w:t>
      </w:r>
    </w:p>
    <w:p>
      <w:pPr>
        <w:spacing w:after="120" w:before="120" w:line="276"/>
        <w:jc w:val="both"/>
      </w:pPr>
      <w:r>
        <w:rPr>
          <w:rFonts w:ascii="Arial" w:cs="Arial" w:eastAsia="Arial" w:hAnsi="Arial"/>
          <w:sz w:val="24"/>
          <w:szCs w:val="24"/>
        </w:rPr>
        <w:t xml:space="preserve">La séptima edición del PMBOK® Guide (PMI, 2021) reconoce esta tensión al desplazar el foco desde los procesos hacia los principios y dominios de desempeño. Este giro paradigmático es el que hace compatible al PMBOK® 7 con el Lean Startup como marcos complementarios.</w:t>
      </w:r>
    </w:p>
    <w:p>
      <w:pPr>
        <w:spacing w:after="60" w:before="240"/>
      </w:pPr>
      <w:r>
        <w:rPr>
          <w:rFonts w:ascii="Arial" w:cs="Arial" w:eastAsia="Arial" w:hAnsi="Arial"/>
          <w:b/>
          <w:bCs/>
          <w:sz w:val="24"/>
          <w:szCs w:val="22"/>
        </w:rPr>
        <w:t xml:space="preserve">Tabla 11</w:t>
      </w:r>
      <w:r>
        <w:br/>
        <w:t xml:space="preserve">
</w:t>
      </w:r>
      <w:r>
        <w:rPr>
          <w:rFonts w:ascii="Arial" w:cs="Arial" w:eastAsia="Arial" w:hAnsi="Arial"/>
          <w:i/>
          <w:iCs/>
          <w:sz w:val="24"/>
          <w:szCs w:val="22"/>
        </w:rPr>
        <w:t xml:space="preserve">Marco comparativo de enfoques de gestión de proyectos</w:t>
      </w:r>
    </w:p>
    <w:tbl>
      <w:tblPr>
        <w:tblW w:type="dxa" w:w="9360"/>
        <w:tblBorders>
          <w:top w:val="single" w:color="000000" w:sz="6"/>
          <w:left w:val="none" w:sz="0"/>
          <w:bottom w:val="single" w:color="000000" w:sz="6"/>
          <w:right w:val="none" w:sz="0"/>
          <w:insideH w:val="none" w:sz="0"/>
          <w:insideV w:val="none" w:sz="0"/>
        </w:tblBorders>
      </w:tblPr>
      <w:tblGrid>
        <w:gridCol w:w="1800"/>
        <w:gridCol w:w="2400"/>
        <w:gridCol w:w="2400"/>
        <w:gridCol w:w="2760"/>
      </w:tblGrid>
      <w:tr>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Marco</w:t>
            </w:r>
          </w:p>
        </w:tc>
        <w:tc>
          <w:tcPr>
            <w:tcW w:type="dxa" w:w="24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Paradigma central</w:t>
            </w:r>
          </w:p>
        </w:tc>
        <w:tc>
          <w:tcPr>
            <w:tcW w:type="dxa" w:w="24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Enfoque de control</w:t>
            </w:r>
          </w:p>
        </w:tc>
        <w:tc>
          <w:tcPr>
            <w:tcW w:type="dxa" w:w="27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Adecuación para ALAZAR</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PMBOK® 6ta ed.</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Procesos y áreas de conocimiento.</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Planificación detallada, seguimiento por procesos.</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Limitada: asume requisitos estables que una startup no puede garantizar.</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PMBOK® 7ma ed.</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Principios y dominios de desempeño.</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Entrega de valor, adaptabilidad, outcomes.</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 compatible con entornos de alta incertidumbre y aprendizaje iterativo.</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Lean Startup</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Validación de supuestos de negocio (ciclo BML).</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Construir-Medir-Aprender (BML), pivotar o perseverar.</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 diseñado para startups con modelo de negocio no validado.</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ALAZAR-HPM (híbrido) (presente investigación)</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Gobernanza Mínima Viable + validación iterativa.</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Sprints quincenales, Registro de Supuestos, Risk Register dinámico.</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Diseñado específicamente para startups digitales autofinanciadas en mercados emergentes.</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PMI (2021), Ries (2011) y el modelo ALAZAR-HPM propuesto.</w:t>
      </w:r>
    </w:p>
    <w:p>
      <w:pPr>
        <w:pStyle w:val="Heading3"/>
        <w:spacing w:after="120" w:before="240"/>
      </w:pPr>
      <w:r>
        <w:rPr>
          <w:rFonts w:ascii="Arial" w:cs="Arial" w:eastAsia="Arial" w:hAnsi="Arial"/>
          <w:b/>
          <w:bCs/>
          <w:i/>
          <w:iCs/>
          <w:sz w:val="24"/>
          <w:szCs w:val="24"/>
        </w:rPr>
        <w:t xml:space="preserve">4.1.2. Los doce principios del PMBOK® 7 aplicados al modelo</w:t>
      </w:r>
    </w:p>
    <w:p>
      <w:pPr>
        <w:spacing w:after="120" w:before="120" w:line="276"/>
        <w:jc w:val="both"/>
      </w:pPr>
      <w:r>
        <w:rPr>
          <w:rFonts w:ascii="Arial" w:cs="Arial" w:eastAsia="Arial" w:hAnsi="Arial"/>
          <w:sz w:val="24"/>
          <w:szCs w:val="24"/>
        </w:rPr>
        <w:t xml:space="preserve">Los doce principios de la séptima edición del PMBOK® orientan el juicio del director en cualquier contexto. Para ALAZAR, un equipo de dos personas necesita principios que guíen decisiones rápidas, no procesos que requieran áreas funcionales completas.
Tabla 29
Aplicación de los doce principios del PMBOK® 7 al modelo ALAZAR-HPM</w:t>
      </w:r>
    </w:p>
    <w:tbl>
      <w:tblPr>
        <w:tblW w:type="dxa" w:w="9360"/>
        <w:tblBorders>
          <w:top w:val="single" w:color="000000" w:sz="6"/>
          <w:left w:val="none" w:sz="0"/>
          <w:bottom w:val="single" w:color="000000" w:sz="6"/>
          <w:right w:val="none" w:sz="0"/>
          <w:insideH w:val="none" w:sz="0"/>
          <w:insideV w:val="none" w:sz="0"/>
        </w:tblBorders>
      </w:tblPr>
      <w:tblGrid>
        <w:gridCol w:w="3600"/>
        <w:gridCol w:w="5760"/>
      </w:tblGrid>
      <w:tr>
        <w:tc>
          <w:tcPr>
            <w:tcW w:type="dxa" w:w="36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Principio PMBOK® 7</w:t>
            </w:r>
          </w:p>
        </w:tc>
        <w:tc>
          <w:tcPr>
            <w:tcW w:type="dxa" w:w="57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Aplicación en ALAZAR</w:t>
            </w:r>
          </w:p>
        </w:tc>
      </w:tr>
      <w:tr>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 Ser administrador diligente y cuidadoso</w:t>
            </w:r>
          </w:p>
        </w:tc>
        <w:tc>
          <w:tcPr>
            <w:tcW w:type="dxa" w:w="5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fundador actúa como steward del capital del bootstrapping. Cada decisión de inversión se documenta en el RC-01 con su justificación.</w:t>
            </w:r>
          </w:p>
        </w:tc>
      </w:tr>
      <w:tr>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 Crear entorno colaborativo de equipo</w:t>
            </w:r>
          </w:p>
        </w:tc>
        <w:tc>
          <w:tcPr>
            <w:tcW w:type="dxa" w:w="5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La Carta de Gobernanza define roles y protocolos compartidos. En equipo mínimo, la gobernanza explícita reemplaza la coordinación informal que falla bajo presión.</w:t>
            </w:r>
          </w:p>
        </w:tc>
      </w:tr>
      <w:tr>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 Involucrarse con los interesados</w:t>
            </w:r>
          </w:p>
        </w:tc>
        <w:tc>
          <w:tcPr>
            <w:tcW w:type="dxa" w:w="5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Registro de Supuestos prioriza los supuestos de valor del organizador y el participante. Cada supuesto es una pregunta sobre las necesidades reales de un interesado específico.</w:t>
            </w:r>
          </w:p>
        </w:tc>
      </w:tr>
      <w:tr>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4. Enfocarse en el valor</w:t>
            </w:r>
          </w:p>
        </w:tc>
        <w:tc>
          <w:tcPr>
            <w:tcW w:type="dxa" w:w="5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MVP limita el alcance al flujo núcleo (compra → sorteo → entrega → liquidación). Todo lo que no contribuye a verificar supuestos críticos es descartado hasta tener evidencia.</w:t>
            </w:r>
          </w:p>
        </w:tc>
      </w:tr>
      <w:tr>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5. Reconocer interacciones del sistema</w:t>
            </w:r>
          </w:p>
        </w:tc>
        <w:tc>
          <w:tcPr>
            <w:tcW w:type="dxa" w:w="5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Registro de Riesgos identifica cómo los riesgos regulatorios, tecnológicos y reputacionales se amplifican mutuamente en el contexto específico del proyecto.</w:t>
            </w:r>
          </w:p>
        </w:tc>
      </w:tr>
      <w:tr>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6. Liderazgo adaptativo</w:t>
            </w:r>
          </w:p>
        </w:tc>
        <w:tc>
          <w:tcPr>
            <w:tcW w:type="dxa" w:w="5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La metodología propuesta provee instrumentos para que el liderazgo del fundador sea trazable, no dependiente del carisma personal.</w:t>
            </w:r>
          </w:p>
        </w:tc>
      </w:tr>
      <w:tr>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7. Adaptar según el contexto</w:t>
            </w:r>
          </w:p>
        </w:tc>
        <w:tc>
          <w:tcPr>
            <w:tcW w:type="dxa" w:w="5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La metodología híbrida es la respuesta adaptativa al contexto peruano de bootstrapping: bajo capital, alta incertidumbre regulatoria y mercado de sorteos sin formalizar.</w:t>
            </w:r>
          </w:p>
        </w:tc>
      </w:tr>
      <w:tr>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8. Generar calidad en procesos y entregables</w:t>
            </w:r>
          </w:p>
        </w:tc>
        <w:tc>
          <w:tcPr>
            <w:tcW w:type="dxa" w:w="5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Motor de Sorteo SHA-256 y el protocolo de liquidación son invariantes de calidad no negociable. No se experimentan en producción porque un error genera daño legal o reputacional irreversible.</w:t>
            </w:r>
          </w:p>
        </w:tc>
      </w:tr>
      <w:tr>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9. Navegar en la complejidad</w:t>
            </w:r>
          </w:p>
        </w:tc>
        <w:tc>
          <w:tcPr>
            <w:tcW w:type="dxa" w:w="5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PESTEL, la MEFE y la MEFI cuantifican la complejidad del entorno. El Registro de Riesgos la convierte en un sistema de alertas gestionable.</w:t>
            </w:r>
          </w:p>
        </w:tc>
      </w:tr>
      <w:tr>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10. Optimizar respuestas a los riesgos</w:t>
            </w:r>
          </w:p>
        </w:tc>
        <w:tc>
          <w:tcPr>
            <w:tcW w:type="dxa" w:w="5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Registro de Riesgos define para cada riesgo la probabilidad, el impacto, la señal de alerta y la respuesta. No es un ejercicio de inicio: se actualiza en cada sprint.</w:t>
            </w:r>
          </w:p>
        </w:tc>
      </w:tr>
      <w:tr>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11. Adaptabilidad y resiliencia</w:t>
            </w:r>
          </w:p>
        </w:tc>
        <w:tc>
          <w:tcPr>
            <w:tcW w:type="dxa" w:w="5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Los ciclos BML quincenales con protocolo pivot/perseverar convierten la adaptabilidad en un mecanismo gobernado, no en una reacción improvisada.</w:t>
            </w:r>
          </w:p>
        </w:tc>
      </w:tr>
      <w:tr>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12. Permitir el cambio para alcanzar el estado futuro</w:t>
            </w:r>
          </w:p>
        </w:tc>
        <w:tc>
          <w:tcPr>
            <w:tcW w:type="dxa" w:w="5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Registro de Supuestos permite avanzar del estado actual (MVP sin validar) al estado objetivo (plataforma lanzable) aprendiendo en cada sprint qué funciona y qué no.</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PMI (2021).</w:t>
      </w:r>
    </w:p>
    <w:p>
      <w:pPr>
        <w:pStyle w:val="Heading3"/>
        <w:spacing w:after="120" w:before="240"/>
      </w:pPr>
      <w:r>
        <w:rPr>
          <w:rFonts w:ascii="Arial" w:cs="Arial" w:eastAsia="Arial" w:hAnsi="Arial"/>
          <w:b/>
          <w:bCs/>
          <w:i/>
          <w:iCs/>
          <w:sz w:val="24"/>
          <w:szCs w:val="24"/>
        </w:rPr>
        <w:t xml:space="preserve">4.1.3. Los ocho dominios de desempeño del PMBOK® 7</w:t>
      </w:r>
    </w:p>
    <w:p>
      <w:pPr>
        <w:spacing w:after="120" w:before="120" w:line="276"/>
        <w:jc w:val="both"/>
      </w:pPr>
      <w:r>
        <w:rPr>
          <w:rFonts w:ascii="Arial" w:cs="Arial" w:eastAsia="Arial" w:hAnsi="Arial"/>
          <w:sz w:val="24"/>
          <w:szCs w:val="24"/>
        </w:rPr>
        <w:t xml:space="preserve">Los dominios operan simultáneamente durante todo el proyecto. Para ALAZAR, los tres más críticos son Medición, Entrega e Incertidumbre: los que las metodologías puramente predictivas gestionan con menor eficacia en entornos de alta incertidumbre.
Tabla 30
Aplicación de los ocho dominios de desempeño del PMBOK® 7 al modelo ALAZAR-HPM</w:t>
      </w:r>
    </w:p>
    <w:tbl>
      <w:tblPr>
        <w:tblW w:type="dxa" w:w="9360"/>
        <w:tblBorders>
          <w:top w:val="single" w:color="000000" w:sz="6"/>
          <w:left w:val="none" w:sz="0"/>
          <w:bottom w:val="single" w:color="000000" w:sz="6"/>
          <w:right w:val="none" w:sz="0"/>
          <w:insideH w:val="none" w:sz="0"/>
          <w:insideV w:val="none" w:sz="0"/>
        </w:tblBorders>
      </w:tblPr>
      <w:tblGrid>
        <w:gridCol w:w="2200"/>
        <w:gridCol w:w="3480"/>
        <w:gridCol w:w="3680"/>
      </w:tblGrid>
      <w:tr>
        <w:tc>
          <w:tcPr>
            <w:tcW w:type="dxa" w:w="22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Dominio PMBOK® 7</w:t>
            </w:r>
          </w:p>
        </w:tc>
        <w:tc>
          <w:tcPr>
            <w:tcW w:type="dxa" w:w="348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Herramienta ALAZAR-HPM</w:t>
            </w:r>
          </w:p>
        </w:tc>
        <w:tc>
          <w:tcPr>
            <w:tcW w:type="dxa" w:w="368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Resultado esperado</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Interesados</w:t>
            </w:r>
          </w:p>
        </w:tc>
        <w:tc>
          <w:tcPr>
            <w:tcW w:type="dxa" w:w="34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Mapa de actores + Registro de Supuestos</w:t>
            </w:r>
          </w:p>
        </w:tc>
        <w:tc>
          <w:tcPr>
            <w:tcW w:type="dxa" w:w="3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Alineamiento de supuestos con necesidades reales de cada segmento.</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Equipo</w:t>
            </w:r>
          </w:p>
        </w:tc>
        <w:tc>
          <w:tcPr>
            <w:tcW w:type="dxa" w:w="34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Carta de Gobernanza con roles y plan de delegación</w:t>
            </w:r>
          </w:p>
        </w:tc>
        <w:tc>
          <w:tcPr>
            <w:tcW w:type="dxa" w:w="3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Reducción del riesgo D4 (dependencia del fundador).</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Ciclo de vida y desarrollo</w:t>
            </w:r>
          </w:p>
        </w:tc>
        <w:tc>
          <w:tcPr>
            <w:tcW w:type="dxa" w:w="34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Modelo híbrido ALAZAR-HPM: fases de gobernanza + ciclos iterativos BML</w:t>
            </w:r>
          </w:p>
        </w:tc>
        <w:tc>
          <w:tcPr>
            <w:tcW w:type="dxa" w:w="3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MVP entregable con trazabilidad y auditoría de decisiones.</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Planificación</w:t>
            </w:r>
          </w:p>
        </w:tc>
        <w:tc>
          <w:tcPr>
            <w:tcW w:type="dxa" w:w="34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supuestos + cronograma 9 meses + control del gasto</w:t>
            </w:r>
          </w:p>
        </w:tc>
        <w:tc>
          <w:tcPr>
            <w:tcW w:type="dxa" w:w="3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Plan adaptativo que protege el capital y prioriza supuestos críticos.</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Trabajo del proyecto</w:t>
            </w:r>
          </w:p>
        </w:tc>
        <w:tc>
          <w:tcPr>
            <w:tcW w:type="dxa" w:w="34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Sprints quincenales + Informe de Gobernanza</w:t>
            </w:r>
          </w:p>
        </w:tc>
        <w:tc>
          <w:tcPr>
            <w:tcW w:type="dxa" w:w="3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Cadencia que integra ejecución técnica y aprendizaje de mercado.</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Entrega</w:t>
            </w:r>
          </w:p>
        </w:tc>
        <w:tc>
          <w:tcPr>
            <w:tcW w:type="dxa" w:w="34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Flujo núcleo MVP: compra → sorteo → entrega → liquidación</w:t>
            </w:r>
          </w:p>
        </w:tc>
        <w:tc>
          <w:tcPr>
            <w:tcW w:type="dxa" w:w="3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Valor entregable verificable, trazable y reputacionalmente sólido.</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Medición</w:t>
            </w:r>
          </w:p>
        </w:tc>
        <w:tc>
          <w:tcPr>
            <w:tcW w:type="dxa" w:w="34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Tablero de seguimiento + métricas de verificación de supuestos</w:t>
            </w:r>
          </w:p>
        </w:tc>
        <w:tc>
          <w:tcPr>
            <w:tcW w:type="dxa" w:w="3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Decisiones basadas en evidencia sobre la aceptación del modelo.</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Incertidumbre</w:t>
            </w:r>
          </w:p>
        </w:tc>
        <w:tc>
          <w:tcPr>
            <w:tcW w:type="dxa" w:w="34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Riesgos + Registro de Supuestos + ciclos iterativos</w:t>
            </w:r>
          </w:p>
        </w:tc>
        <w:tc>
          <w:tcPr>
            <w:tcW w:type="dxa" w:w="3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Gestión proactiva de los 8 riesgos críticos identificados.</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PMI (2021).</w:t>
      </w:r>
    </w:p>
    <w:p>
      <w:pPr>
        <w:pStyle w:val="Heading3"/>
        <w:spacing w:after="120" w:before="240"/>
      </w:pPr>
      <w:r>
        <w:rPr>
          <w:rFonts w:ascii="Arial" w:cs="Arial" w:eastAsia="Arial" w:hAnsi="Arial"/>
          <w:b/>
          <w:bCs/>
          <w:i/>
          <w:iCs/>
          <w:sz w:val="24"/>
          <w:szCs w:val="24"/>
        </w:rPr>
        <w:t xml:space="preserve">4.1.4. Lean Startup: el método de validación iterativa</w:t>
      </w:r>
    </w:p>
    <w:p>
      <w:pPr>
        <w:spacing w:after="120" w:before="120" w:line="276"/>
        <w:jc w:val="both"/>
      </w:pPr>
      <w:r>
        <w:rPr>
          <w:rFonts w:ascii="Arial" w:cs="Arial" w:eastAsia="Arial" w:hAnsi="Arial"/>
          <w:sz w:val="24"/>
          <w:szCs w:val="24"/>
        </w:rPr>
        <w:t xml:space="preserve">El Lean Startup (Ries, 2011) propone que el mayor riesgo de una startup no es quedarse sin dinero, sino construir algo que nadie quiere con el dinero que tiene. El ciclo Construir-Medir-Aprender (BML) articula el proceso: construir el menor artefacto posible que permita verificar un supuesto de negocio, medir el comportamiento real del usuario con métricas accionables, aprender si el supuesto es válido, y decidir formalmente si perseverar o pivotar. En ALAZAR, este ciclo opera cada dos semanas.</w:t>
      </w:r>
    </w:p>
    <w:tbl>
      <w:tblPr>
        <w:tblW w:type="dxa" w:w="9360"/>
        <w:tblBorders>
          <w:top w:val="single" w:color="000000" w:sz="6"/>
          <w:left w:val="none" w:sz="0"/>
          <w:bottom w:val="single" w:color="000000" w:sz="6"/>
          <w:right w:val="none" w:sz="0"/>
          <w:insideH w:val="none" w:sz="0"/>
          <w:insideV w:val="none" w:sz="0"/>
        </w:tblBorders>
      </w:tblPr>
      <w:tblGrid>
        <w:gridCol w:w="2200"/>
        <w:gridCol w:w="2880"/>
        <w:gridCol w:w="4280"/>
      </w:tblGrid>
      <w:tr>
        <w:tc>
          <w:tcPr>
            <w:tcW w:type="dxa" w:w="22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Concepto Lean Startup</w:t>
            </w:r>
          </w:p>
        </w:tc>
        <w:tc>
          <w:tcPr>
            <w:tcW w:type="dxa" w:w="288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Definición</w:t>
            </w:r>
          </w:p>
        </w:tc>
        <w:tc>
          <w:tcPr>
            <w:tcW w:type="dxa" w:w="428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Implementación en ALAZAR</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Minimum Viable Product (MVP)</w:t>
            </w:r>
          </w:p>
        </w:tc>
        <w:tc>
          <w:tcPr>
            <w:tcW w:type="dxa" w:w="28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menor artefacto que verifica el supuesto más crítico con mínimo gasto.</w:t>
            </w:r>
          </w:p>
        </w:tc>
        <w:tc>
          <w:tcPr>
            <w:tcW w:type="dxa" w:w="42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Flujo núcleo: participante compra un ticket, el sorteo se ejecuta de manera auditable, el organizador recibe el pago. Sin funcionalidades secundarias hasta verificar los supuestos de pago y conversión.</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Ciclo BML</w:t>
            </w:r>
          </w:p>
        </w:tc>
        <w:tc>
          <w:tcPr>
            <w:tcW w:type="dxa" w:w="28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Build → Measure → Learn: construir, medir, aprender.</w:t>
            </w:r>
          </w:p>
        </w:tc>
        <w:tc>
          <w:tcPr>
            <w:tcW w:type="dxa" w:w="42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Sprint quincenal: construir el experimento, medir la métrica de validación, documentar la decisión en RC-01.</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Supuesto de validación</w:t>
            </w:r>
          </w:p>
        </w:tc>
        <w:tc>
          <w:tcPr>
            <w:tcW w:type="dxa" w:w="28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Afirmación cuya falsedad invalida el modelo de negocio.</w:t>
            </w:r>
          </w:p>
        </w:tc>
        <w:tc>
          <w:tcPr>
            <w:tcW w:type="dxa" w:w="42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S1 (disposición de pago ≥ S/10), S2 (interés del organizador en comisión del 20%), S3 (conversión del flujo de compra ≥ 70%).</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Pivot o perseverar</w:t>
            </w:r>
          </w:p>
        </w:tc>
        <w:tc>
          <w:tcPr>
            <w:tcW w:type="dxa" w:w="28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Decisión formal al final de cada ciclo BML.</w:t>
            </w:r>
          </w:p>
        </w:tc>
        <w:tc>
          <w:tcPr>
            <w:tcW w:type="dxa" w:w="42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Protocolo documentado en la Bitácora de Decisiones RC-01 al final de cada sprint quincenal.</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Métricas accionables vs. vanidad</w:t>
            </w:r>
          </w:p>
        </w:tc>
        <w:tc>
          <w:tcPr>
            <w:tcW w:type="dxa" w:w="28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Las accionables revelan si el supuesto se confirma. Las de vanidad crecen pero no informan.</w:t>
            </w:r>
          </w:p>
        </w:tc>
        <w:tc>
          <w:tcPr>
            <w:tcW w:type="dxa" w:w="42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KPIs del tablero: tasa de conversión S1, NPS S4, retención M1 S6, no visitas totales ni seguidores.</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Ries (2011) y Blank y Dorf (2012).</w:t>
      </w:r>
    </w:p>
    <w:p>
      <w:pPr>
        <w:pStyle w:val="Heading2"/>
        <w:spacing w:after="120" w:before="300"/>
      </w:pPr>
      <w:r>
        <w:rPr>
          <w:rFonts w:ascii="Arial" w:cs="Arial" w:eastAsia="Arial" w:hAnsi="Arial"/>
          <w:b/>
          <w:bCs/>
          <w:sz w:val="26"/>
          <w:szCs w:val="26"/>
        </w:rPr>
        <w:t xml:space="preserve">4.2. Bases teóricas de la industria o sector</w:t>
      </w:r>
    </w:p>
    <w:p>
      <w:pPr>
        <w:pStyle w:val="Heading3"/>
        <w:spacing w:after="120" w:before="240"/>
      </w:pPr>
      <w:r>
        <w:rPr>
          <w:rFonts w:ascii="Arial" w:cs="Arial" w:eastAsia="Arial" w:hAnsi="Arial"/>
          <w:b/>
          <w:bCs/>
          <w:i/>
          <w:iCs/>
          <w:sz w:val="24"/>
          <w:szCs w:val="24"/>
        </w:rPr>
        <w:t xml:space="preserve">4.2.1. Marketplaces digitales: efectos de red y secuencia de lanzamiento</w:t>
      </w:r>
    </w:p>
    <w:p>
      <w:pPr>
        <w:spacing w:after="120" w:before="120" w:line="276"/>
        <w:jc w:val="both"/>
      </w:pPr>
      <w:r>
        <w:rPr>
          <w:rFonts w:ascii="Arial" w:cs="Arial" w:eastAsia="Arial" w:hAnsi="Arial"/>
          <w:sz w:val="24"/>
          <w:szCs w:val="24"/>
        </w:rPr>
        <w:t xml:space="preserve">Los marketplaces digitales tienen una propiedad que los distingue de otros modelos de negocio: el valor para cada lado del mercado depende del tamaño del otro (Rochet y Tirole, 2003). Cuantos más organizadores publican sorteos atractivos en ALAZAR, más participantes quieren usar la plataforma. Y cuantos más participantes hay, más organizadores encuentran sentido en publicar. Para ALAZAR esto tiene una implicación concreta de secuencia: si el producto se lanza sin organizadores con sorteos atractivos, los participantes no tendrán razón para registrarse. El supuesto S2 (el organizador acepta publicar con la comisión definida) es entonces una condición previa para que el efecto de red pueda activarse.</w:t>
      </w:r>
    </w:p>
    <w:p>
      <w:pPr>
        <w:pStyle w:val="Heading3"/>
        <w:spacing w:after="120" w:before="240"/>
      </w:pPr>
      <w:r>
        <w:rPr>
          <w:rFonts w:ascii="Arial" w:cs="Arial" w:eastAsia="Arial" w:hAnsi="Arial"/>
          <w:b/>
          <w:bCs/>
          <w:i/>
          <w:iCs/>
          <w:sz w:val="24"/>
          <w:szCs w:val="24"/>
        </w:rPr>
        <w:t xml:space="preserve">4.2.2. Fintech y plataformas transaccionales: principios de diseño</w:t>
      </w:r>
    </w:p>
    <w:p>
      <w:pPr>
        <w:spacing w:after="120" w:before="120" w:line="276"/>
        <w:jc w:val="both"/>
      </w:pPr>
      <w:r>
        <w:rPr>
          <w:rFonts w:ascii="Arial" w:cs="Arial" w:eastAsia="Arial" w:hAnsi="Arial"/>
          <w:sz w:val="24"/>
          <w:szCs w:val="24"/>
        </w:rPr>
        <w:t xml:space="preserve">Cuatro principios del diseño de sistemas transaccionales son invariantes de gobernanza en ALAZAR, es decir, no pueden experimentarse o modificarse en producción sin comprometer la confianza del sistema. El primero es la auditabilidad por diseño: toda operación genera una traza inmutable que permite la reconstrucción posterior de cualquier evento. El segundo es la consistencia financiera: el modelo de doble entrada garantiza que los fondos capturados sean exactamente iguales a los fondos distribuidos, sin residuos ni discrepancias. El tercero es la idempotencia transaccional: la misma operación ejecutada múltiples veces produce el mismo resultado, lo que protege contra el cobro duplicado ante reintentos de red o fallos de comunicación. El cuarto es la verificabilidad del resultado: el mecanismo de selección del ganador debe ser reproducible e independientemente verificable. En ALAZAR esto se implementa mediante el Motor de Sorteo SHA-256. Estos principios son estándares de diseño reconocidos en arquitectura de sistemas de alto rendimiento y plataformas de pago (Kleppmann, 2017; Newman, 2021).</w:t>
      </w:r>
    </w:p>
    <w:p>
      <w:pPr>
        <w:pStyle w:val="Heading3"/>
        <w:spacing w:after="120" w:before="240"/>
      </w:pPr>
      <w:r>
        <w:rPr>
          <w:rFonts w:ascii="Arial" w:cs="Arial" w:eastAsia="Arial" w:hAnsi="Arial"/>
          <w:b/>
          <w:bCs/>
          <w:i/>
          <w:iCs/>
          <w:sz w:val="24"/>
          <w:szCs w:val="24"/>
        </w:rPr>
        <w:t xml:space="preserve">4.2.3. Gestión del riesgo en startups digitales autofinanciadas</w:t>
      </w:r>
    </w:p>
    <w:p>
      <w:pPr>
        <w:spacing w:after="120" w:before="120" w:line="276"/>
        <w:jc w:val="both"/>
      </w:pPr>
      <w:r>
        <w:rPr>
          <w:rFonts w:ascii="Arial" w:cs="Arial" w:eastAsia="Arial" w:hAnsi="Arial"/>
          <w:sz w:val="24"/>
          <w:szCs w:val="24"/>
        </w:rPr>
        <w:t xml:space="preserve">Blank y Dorf (2012) identifican cuatro tipos de riesgo que toda startup debe gestionar antes de escalar: riesgo de producto, de mercado, de canal y de modelo de negocio. ALAZAR añade tres riesgos específicos del contexto peruano: regulatorio (marco ambiguo de sorteos), reputacional (ausencia de historial en sector sin referencias formales) y tecnológico (dependencia de un único PSP). La intersección de estos siete tipos configura el Registro de Riesgos R1-R8 del modelo ALAZAR-HPM.
La literatura sobre gestión híbrida de proyectos tiene antecedentes que vale contrastar con la propuesta de este trabajo. Boehm y Turner (2003) proponen un modelo de equilibrio entre agilidad y disciplina basado en cinco factores de riesgo, pero su diseño asume equipos con cierto nivel de madurez organizacional y acceso a recursos que las startups bootstrapped no tienen. Conforto y Amaral (2016), y Conforto et al. (2014), demuestran que la gestión ágil puede adoptarse en industrias no tecnológicas bajo ciertas condiciones, pero sus marcos fueron concebidos para organizaciones con estructura establecida, no para fundadores que operan sin PMO, sin historial operativo y en contextos regulatorios ambiguos. La distinción que hace ALAZAR-HPM respecto de estos antecedentes es precisa: ninguno de esos modelos aborda explícitamente la coexistencia de componentes que no pueden experimentarse (invariantes de gobernanza fintech) con componentes que deben experimentarse (supuestos de mercado no validados), ni fue diseñado para el contexto latinoamericano de bootstrapping con restricciones legales activas. Esa brecha específica es la que justifica el diseño del modelo propuesto.</w:t>
      </w:r>
    </w:p>
    <w:p>
      <w:pPr>
        <w:pStyle w:val="Heading2"/>
        <w:spacing w:after="120" w:before="300"/>
      </w:pPr>
      <w:r>
        <w:rPr>
          <w:rFonts w:ascii="Arial" w:cs="Arial" w:eastAsia="Arial" w:hAnsi="Arial"/>
          <w:b/>
          <w:bCs/>
          <w:sz w:val="26"/>
          <w:szCs w:val="26"/>
        </w:rPr>
        <w:t xml:space="preserve">4.3. Síntesis del marco teórico</w:t>
      </w:r>
    </w:p>
    <w:p>
      <w:pPr>
        <w:spacing w:after="60" w:before="240"/>
      </w:pPr>
      <w:r>
        <w:rPr>
          <w:rFonts w:ascii="Arial" w:cs="Arial" w:eastAsia="Arial" w:hAnsi="Arial"/>
          <w:b/>
          <w:bCs/>
          <w:sz w:val="24"/>
          <w:szCs w:val="22"/>
        </w:rPr>
        <w:t xml:space="preserve">Tabla 12</w:t>
      </w:r>
      <w:r>
        <w:br/>
        <w:t xml:space="preserve">
</w:t>
      </w:r>
      <w:r>
        <w:rPr>
          <w:rFonts w:ascii="Arial" w:cs="Arial" w:eastAsia="Arial" w:hAnsi="Arial"/>
          <w:i/>
          <w:iCs/>
          <w:sz w:val="24"/>
          <w:szCs w:val="22"/>
        </w:rPr>
        <w:t xml:space="preserve">Mapa de aplicación del marco teórico al modelo ALAZAR-HPM</w:t>
      </w:r>
    </w:p>
    <w:tbl>
      <w:tblPr>
        <w:tblW w:type="dxa" w:w="9360"/>
        <w:tblBorders>
          <w:top w:val="single" w:color="000000" w:sz="6"/>
          <w:left w:val="none" w:sz="0"/>
          <w:bottom w:val="single" w:color="000000" w:sz="6"/>
          <w:right w:val="none" w:sz="0"/>
          <w:insideH w:val="none" w:sz="0"/>
          <w:insideV w:val="none" w:sz="0"/>
        </w:tblBorders>
      </w:tblPr>
      <w:tblGrid>
        <w:gridCol w:w="2400"/>
        <w:gridCol w:w="1800"/>
        <w:gridCol w:w="2760"/>
        <w:gridCol w:w="2400"/>
      </w:tblGrid>
      <w:tr>
        <w:tc>
          <w:tcPr>
            <w:tcW w:type="dxa" w:w="24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Concepto teórico</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Autor / Estándar</w:t>
            </w:r>
          </w:p>
        </w:tc>
        <w:tc>
          <w:tcPr>
            <w:tcW w:type="dxa" w:w="27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Componente ALAZAR-HPM</w:t>
            </w:r>
          </w:p>
        </w:tc>
        <w:tc>
          <w:tcPr>
            <w:tcW w:type="dxa" w:w="24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Capítulo de aplicación</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12 Principios PMBOK® 7</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PMI (2021)</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Carta de Gobernanza, Bitácora RC-01, Registro de Riesgos</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V y VI</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8 Dominios de desempeño PMBOK® 7</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PMI (2021)</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Supuestos, Informe de Gobernanza del Sprint, Tablero de Seguimiento</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V y VI</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Ciclo Construir-Medir-Aprender (BML)</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Ries (2011)</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Sprints quincenales, protocolo pivot/perseverar</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V y VI</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Supuesto crítico y MVP</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Blank y Dorf (2012)</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Supuestos S1-S6, producto mínimo viable al flujo núcleo</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V y VI</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Idempotencia transaccional</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Arquitectura fintech</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Motor de Compras con idempotency-key y webhook deduplication</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VI</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Fairness verificable</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Arquitectura de sistemas distribuidos</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Motor de Sorteo SHA-256 auditable, draw_certificate, pool_hash</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VI</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Gestión de riesgo en bootstrapping</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Blank y Dorf (2012)</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Riesgos con disparadores y respuestas documentadas</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V y VI</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Efectos de red en marketplaces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Rochet y Tirole (2003)</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Estrategia de adquisición del organizador y participante como prioridad del MVP</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VI</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Regulación de sorteos digitales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Ley 26702, Indecopi, Ley 29733</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Estrategia DA-1 FODA: consulta legal como acción Mes 1</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VI</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p>
      <w:r>
        <w:br w:type="page"/>
      </w:r>
    </w:p>
    <w:p>
      <w:pPr>
        <w:pStyle w:val="Heading1"/>
        <w:spacing w:after="180" w:before="360"/>
        <w:jc w:val="center"/>
      </w:pPr>
      <w:r>
        <w:rPr>
          <w:rFonts w:ascii="Arial" w:cs="Arial" w:eastAsia="Arial" w:hAnsi="Arial"/>
          <w:b/>
          <w:bCs/>
          <w:caps/>
          <w:sz w:val="28"/>
          <w:szCs w:val="28"/>
        </w:rPr>
        <w:t xml:space="preserve">CAPÍTULO V. MARCO METODOLÓGICO</w:t>
      </w:r>
    </w:p>
    <w:p>
      <w:pPr>
        <w:spacing w:after="120" w:before="120" w:line="276"/>
        <w:jc w:val="both"/>
      </w:pPr>
      <w:r>
        <w:rPr>
          <w:rFonts w:ascii="Arial" w:cs="Arial" w:eastAsia="Arial" w:hAnsi="Arial"/>
          <w:sz w:val="24"/>
          <w:szCs w:val="24"/>
        </w:rPr>
        <w:t xml:space="preserve">El marco metodológico tiene una función que va más allá de declarar el enfoque: justificar por qué las decisiones de diseño del modelo son las que son y no otras. En ese sentido, este capítulo no es solo epistemológico; es también un argumento sobre la coherencia entre el problema que se investiga, el método que se usa y el tipo de resultado que se produce. El enunciado central es que este trabajo diseña una metodología aplicada de gobernanza para implementar MVPs de startups bajo incertidumbre integrando PMBOK® 7 y Lean Startup. Lo que sigue justifica esa afirmación.</w:t>
      </w:r>
    </w:p>
    <w:p>
      <w:pPr>
        <w:pStyle w:val="Heading2"/>
        <w:spacing w:after="120" w:before="300"/>
      </w:pPr>
      <w:r>
        <w:rPr>
          <w:rFonts w:ascii="Arial" w:cs="Arial" w:eastAsia="Arial" w:hAnsi="Arial"/>
          <w:b/>
          <w:bCs/>
          <w:sz w:val="26"/>
          <w:szCs w:val="26"/>
        </w:rPr>
        <w:t xml:space="preserve">5.1. Enfoque y diseño de la investigación</w:t>
      </w:r>
    </w:p>
    <w:p>
      <w:pPr>
        <w:pStyle w:val="Heading3"/>
        <w:spacing w:after="120" w:before="240"/>
      </w:pPr>
      <w:r>
        <w:rPr>
          <w:rFonts w:ascii="Arial" w:cs="Arial" w:eastAsia="Arial" w:hAnsi="Arial"/>
          <w:b/>
          <w:bCs/>
          <w:i/>
          <w:iCs/>
          <w:sz w:val="24"/>
          <w:szCs w:val="24"/>
        </w:rPr>
        <w:t xml:space="preserve">5.1.1. Una investigación cualitativa, aplicada y de caso instrumental</w:t>
      </w:r>
    </w:p>
    <w:p>
      <w:pPr>
        <w:spacing w:after="120" w:before="120" w:line="276"/>
        <w:jc w:val="both"/>
      </w:pPr>
      <w:r>
        <w:rPr>
          <w:rFonts w:ascii="Arial" w:cs="Arial" w:eastAsia="Arial" w:hAnsi="Arial"/>
          <w:sz w:val="24"/>
          <w:szCs w:val="24"/>
        </w:rPr>
        <w:t xml:space="preserve">El trabajo es cualitativo, aplicado y propositivo. Cualitativo porque el problema central (cómo diseñar una metodología de gobernanza adecuada para un contexto específico) no puede responderse midiendo variables numéricas. Aplicado porque el objetivo no es generar teoría general sino resolver un problema concreto con una propuesta concreta. Propositivo porque la propuesta es el resultado, no la excusa para llegar a él.</w:t>
      </w:r>
    </w:p>
    <w:p>
      <w:pPr>
        <w:spacing w:after="120" w:before="120" w:line="276"/>
        <w:jc w:val="both"/>
      </w:pPr>
      <w:r>
        <w:rPr>
          <w:rFonts w:ascii="Arial" w:cs="Arial" w:eastAsia="Arial" w:hAnsi="Arial"/>
          <w:sz w:val="24"/>
          <w:szCs w:val="24"/>
        </w:rPr>
        <w:t xml:space="preserve">El diseño es un estudio de caso instrumental en el sentido de Stake (1995): el caso ALAZAR no se estudia por lo que tiene de único, sino porque permite iluminar un problema que aparece en muchos proyectos similares. Las conclusiones no son generalizables en sentido estadístico; son transferibles en sentido metodológico. Si la metodología funciona en un proyecto con las restricciones de ALAZAR (bootstrapping, equipo mínimo, mercado sin formalizar, marco regulatorio ambiguo), es razonable esperar que funcione en proyectos con condiciones similares o menos restrictivas.</w:t>
      </w:r>
    </w:p>
    <w:p>
      <w:pPr>
        <w:spacing w:after="120" w:before="120" w:line="276"/>
        <w:jc w:val="both"/>
      </w:pPr>
      <w:r>
        <w:rPr>
          <w:rFonts w:ascii="Arial" w:cs="Arial" w:eastAsia="Arial" w:hAnsi="Arial"/>
          <w:sz w:val="24"/>
          <w:szCs w:val="24"/>
        </w:rPr>
        <w:t xml:space="preserve">La elección de ALAZAR como caso de estudio responde a la lógica del caso crítico de Flyvbjerg (2006): elegir la instancia donde las condiciones son más exigentes para el fenómeno estudiado. Si la metodología funciona en las condiciones más restrictivas posibles, el argumento lógico es más sólido que una muestra estadística de startups con características promedio.</w:t>
      </w:r>
    </w:p>
    <w:p>
      <w:pPr>
        <w:pStyle w:val="Heading3"/>
        <w:spacing w:after="120" w:before="240"/>
      </w:pPr>
      <w:r>
        <w:rPr>
          <w:rFonts w:ascii="Arial" w:cs="Arial" w:eastAsia="Arial" w:hAnsi="Arial"/>
          <w:b/>
          <w:bCs/>
          <w:i/>
          <w:iCs/>
          <w:sz w:val="24"/>
          <w:szCs w:val="24"/>
        </w:rPr>
        <w:t xml:space="preserve">5.1.2. El aporte central: una metodología, no un framework enterprise</w:t>
      </w:r>
    </w:p>
    <w:p>
      <w:pPr>
        <w:spacing w:after="120" w:before="120" w:line="276"/>
        <w:jc w:val="both"/>
      </w:pPr>
      <w:r>
        <w:rPr>
          <w:rFonts w:ascii="Arial" w:cs="Arial" w:eastAsia="Arial" w:hAnsi="Arial"/>
          <w:sz w:val="24"/>
          <w:szCs w:val="24"/>
        </w:rPr>
        <w:t xml:space="preserve">El aporte metodológico de esta investigación puede formularse con precisión a partir de tres preguntas que la literatura preexistente no resuelve de forma integrada.</w:t>
      </w:r>
    </w:p>
    <w:p>
      <w:pPr>
        <w:spacing w:after="120" w:before="120" w:line="276"/>
        <w:jc w:val="both"/>
      </w:pPr>
      <w:r>
        <w:rPr>
          <w:rFonts w:ascii="Arial" w:cs="Arial" w:eastAsia="Arial" w:hAnsi="Arial"/>
          <w:sz w:val="24"/>
          <w:szCs w:val="24"/>
        </w:rPr>
        <w:t xml:space="preserve">La primera pregunta es qué problema metodológico específico resuelve este trabajo. El problema no es la ausencia de marcos de dirección de proyectos ni la ausencia de metodologías de validación de mercado: ambos existen y están bien documentados. El problema es la brecha entre lo que esos marcos prescriben y lo que un equipo de dos personas con capital limitado puede implementar sin que la gobernanza consuma más recursos que el negocio que intenta gobernar. PMBOK® 7 aplicado de forma aislada a una startup bootstrapped tiende a sobredimensionar la estructura: sus principios son sólidos, pero su traducción operacional habitual supone capacidades organizacionales que el contexto no tiene. Lean Startup aplicado de forma aislada tiende a subgobernar: el ciclo BML es poderoso para validar supuestos de mercado, pero carece de mecanismos para distinguir qué componentes del sistema pueden experimentarse sin riesgo irreversible y cuáles no. La metodología propuesta resuelve esa brecha con un principio de integración explícito, no con una suma de ambos marcos.
La segunda pregunta es por qué la integración propuesta constituye un aporte y no una yuxtaposición de marcos preexistentes. La respuesta está en el mecanismo de integración: la distinción entre invariantes de gobernanza y variables de validación. Los invariantes son los componentes del sistema cuyo fallo tiene consecuencias irreversibles para la confianza, la legalidad o la viabilidad financiera del proyecto. Sobre ellos opera la lógica predictiva del PMBOK® 7: se especifican, se prueban y se monitorean de forma continua. Las variables son los supuestos de negocio que solo el mercado puede confirmar. Sobre ellas opera la lógica iterativa del Lean Startup. Lo que diferencia esta integración de los modelos híbridos previos (Boehm y Turner, 2003; Conforto y Amaral, 2016) es que esos modelos mezclan las lógicas sin un criterio de separación claro. Este trabajo propone ese criterio: la reversibilidad del daño potencial. Si el fallo produce daño reversible, corresponde experimentar. Si produce daño irreversible, corresponde gobernar con lógica predictiva.
La tercera pregunta es cuáles son los principios metodológicos del modelo y bajo qué condiciones de aplicación es válido. Los principios son cuatro: proporcionalidad (la gobernanza debe ser proporcional a los recursos del proyecto, no a su ambición); trazabilidad obligatoria (toda decisión estratégica debe quedar registrada con su evidencia antes de considerarse tomada); validación secuenciada (los supuestos de mayor riesgo se verifican primero: técnica S3, luego comercial S1, luego retención S6); y revisión periódica no negociable (el sistema que no se actualiza con evidencia real deja de ser gobernanza y se convierte en documentación histórica).
Las condiciones de aplicación del modelo son tres: el proyecto opera con capital limitado sin financiamiento externo garantizado durante la fase de validación; el equipo tiene entre una y cuatro personas con roles no redundantes; y el modelo de negocio tiene supuestos críticos no verificados con evidencia real de mercado. Fuera de esas condiciones, la metodología puede seguir siendo útil, pero su ventaja comparativa respecto de frameworks más robustos se reduce.</w:t>
      </w:r>
    </w:p>
    <w:p>
      <w:pPr>
        <w:pStyle w:val="Heading3"/>
        <w:spacing w:after="120" w:before="240"/>
      </w:pPr>
      <w:r>
        <w:rPr>
          <w:rFonts w:ascii="Arial" w:cs="Arial" w:eastAsia="Arial" w:hAnsi="Arial"/>
          <w:b/>
          <w:bCs/>
          <w:i/>
          <w:iCs/>
          <w:sz w:val="24"/>
          <w:szCs w:val="24"/>
        </w:rPr>
        <w:t xml:space="preserve">5.1.3. Criterio de validación: coherencia metodológica</w:t>
      </w:r>
    </w:p>
    <w:p>
      <w:pPr>
        <w:spacing w:after="120" w:before="120" w:line="276"/>
        <w:jc w:val="both"/>
      </w:pPr>
      <w:r>
        <w:rPr>
          <w:rFonts w:ascii="Arial" w:cs="Arial" w:eastAsia="Arial" w:hAnsi="Arial"/>
          <w:sz w:val="24"/>
          <w:szCs w:val="24"/>
        </w:rPr>
        <w:t xml:space="preserve">La validación de una metodología propositiva no sigue la lógica de la investigación cuantitativa. No hay una muestra, no hay un coeficiente de confiabilidad, no hay una regresión que confirme el modelo. Lo que existe es un argumento: el modelo es válido si sus componentes son internamente consistentes, si responden al diagnóstico del contexto para el que fueron diseñados y si sus prescripciones son derivables de los marcos teóricos que los sustentan. Esa es la lógica de la coherencia metodológica como criterio de validación (Stake, 1995; Flyvbjerg, 2006).</w:t>
      </w:r>
    </w:p>
    <w:p>
      <w:pPr>
        <w:spacing w:after="120" w:before="120" w:line="276"/>
        <w:jc w:val="both"/>
      </w:pPr>
      <w:r>
        <w:rPr>
          <w:rFonts w:ascii="Arial" w:cs="Arial" w:eastAsia="Arial" w:hAnsi="Arial"/>
          <w:sz w:val="24"/>
          <w:szCs w:val="24"/>
        </w:rPr>
        <w:t xml:space="preserve">La prueba operacional es directa: si se elimina un componente del modelo, ¿qué problema queda sin resolver? Si la respuesta es ninguno, el componente sobra. Si queda un riesgo real sin atender, el componente es necesario. Aplicada a los seis componentes, esa prueba produce exactamente la arquitectura del modelo tal como está diseñada.
Pero la coherencia metodológica no es la única dimensión de validación relevante. La Tabla 18 presenta cuatro niveles progresivos. Aquí conviene añadir que la validación cualitativa del modelo opera sobre seis dimensiones complementarias. La primera es la consistencia conceptual: cada componente del modelo es derivable de los marcos teóricos que lo sustentan, sin contradicciones internas. La segunda es la coherencia metodológica: los seis componentes forman un sistema donde cada uno depende de los demás para producir su efecto, no una lista de herramientas independientes. La tercera es el alineamiento teoría-práctica: las prescripciones del modelo responden a las vulnerabilidades reales identificadas en el diagnóstico estratégico del Capítulo III, no a un contexto genérico. La cuarta es la aplicabilidad operativa: los instrumentos están diseñados para ser mantenidos por un equipo mínimo sin requerir conocimiento especializado en gestión de proyectos. La quinta es la trazabilidad: cualquier decisión operacional del modelo puede rastrearse hasta un supuesto del diagnóstico o un principio del marco teórico. La sexta es la transferibilidad: la arquitectura metodológica puede aplicarse a proyectos con características similares modificando únicamente el contenido de los instrumentos, no su estructura. El caso hipotético de la sección 6.7 y las Tablas 31-32 proveen evidencia inicial de esa transferibilidad.
Esta multidimensionalidad de la validación cualitativa no es una estrategia para evitar el rigor: es la respuesta adecuada al tipo de contribución que este trabajo hace. Una metodología no se valida midiendo un coeficiente; se valida demostrando que funciona como sistema coherente, que responde al problema que dice resolver y que puede ser aplicada por otros en contextos similares.
La Tabla 33 aplica sistemáticamente esas seis dimensiones al modelo propuesto, identificando la evidencia concreta que sustenta cada evaluación.</w:t>
      </w:r>
    </w:p>
    <w:p>
      <w:pPr>
        <w:spacing w:before="240" w:after="60"/>
      </w:pPr>
      <w:r>
        <w:rPr>
          <w:rFonts w:ascii="Arial" w:cs="Arial" w:eastAsia="Arial" w:hAnsi="Arial"/>
          <w:b/>
          <w:bCs/>
          <w:sz w:val="24"/>
          <w:color w:val="000000"/>
        </w:rPr>
        <w:t xml:space="preserve">Tabla 33</w:t>
      </w:r>
      <w:r>
        <w:rPr>
          <w:rFonts w:ascii="Arial" w:cs="Arial" w:eastAsia="Arial" w:hAnsi="Arial"/>
          <w:sz w:val="24"/>
        </w:rPr>
        <w:br/>
      </w:r>
      <w:r>
        <w:rPr>
          <w:rFonts w:ascii="Arial" w:cs="Arial" w:eastAsia="Arial" w:hAnsi="Arial"/>
          <w:i/>
          <w:sz w:val="24"/>
          <w:color w:val="000000"/>
        </w:rPr>
        <w:t xml:space="preserve">Evaluación sistemática del modelo ALAZAR-HPM según las seis dimensiones de validación cualitativa</w:t>
      </w:r>
    </w:p>
    <w:tbl>
      <w:tblPr>
        <w:tblW w:type="dxa" w:w="9360"/>
        <w:tblBorders>
          <w:top w:val="single" w:color="000000" w:sz="6"/>
          <w:left w:val="none" w:sz="0"/>
          <w:bottom w:val="single" w:color="000000" w:sz="6"/>
          <w:right w:val="none" w:sz="0"/>
          <w:insideH w:val="none" w:sz="0"/>
          <w:insideV w:val="none" w:sz="0"/>
        </w:tblBorders>
      </w:tblPr>
      <w:tblGrid>
        <w:gridCol w:w="1800"/>
        <w:gridCol w:w="2400"/>
        <w:gridCol w:w="2760"/>
        <w:gridCol w:w="2400"/>
      </w:tblGrid>
      <w:tr>
        <w:tc>
          <w:tcPr>
            <w:tcW w:type="dxa" w:w="1800"/>
            <w:tcBorders>
              <w:top w:val="none" w:sz="0"/>
              <w:left w:val="none" w:sz="0"/>
              <w:bottom w:val="single" w:color="000000" w:sz="8"/>
              <w:right w:val="none" w:sz="0"/>
            </w:tcBorders>
            <w:vAlign w:val="center"/>
          </w:tcPr>
          <w:p>
            <w:pPr>
              <w:spacing w:before="60" w:after="60"/>
              <w:jc w:val="center"/>
            </w:pPr>
            <w:r>
              <w:rPr>
                <w:rFonts w:ascii="Arial" w:cs="Arial" w:eastAsia="Arial" w:hAnsi="Arial"/>
                <w:b/>
                <w:bCs/>
                <w:sz w:val="24"/>
                <w:color w:val="000000"/>
              </w:rPr>
              <w:t xml:space="preserve">Dimensión</w:t>
            </w:r>
          </w:p>
        </w:tc>
        <w:tc>
          <w:tcPr>
            <w:tcW w:type="dxa" w:w="2400"/>
            <w:tcBorders>
              <w:top w:val="none" w:sz="0"/>
              <w:left w:val="none" w:sz="0"/>
              <w:bottom w:val="single" w:color="000000" w:sz="8"/>
              <w:right w:val="none" w:sz="0"/>
            </w:tcBorders>
            <w:vAlign w:val="center"/>
          </w:tcPr>
          <w:p>
            <w:pPr>
              <w:spacing w:before="60" w:after="60"/>
              <w:jc w:val="center"/>
            </w:pPr>
            <w:r>
              <w:rPr>
                <w:rFonts w:ascii="Arial" w:cs="Arial" w:eastAsia="Arial" w:hAnsi="Arial"/>
                <w:b/>
                <w:bCs/>
                <w:sz w:val="24"/>
                <w:color w:val="000000"/>
              </w:rPr>
              <w:t xml:space="preserve">Pregunta clave de evaluación</w:t>
            </w:r>
          </w:p>
        </w:tc>
        <w:tc>
          <w:tcPr>
            <w:tcW w:type="dxa" w:w="2760"/>
            <w:tcBorders>
              <w:top w:val="none" w:sz="0"/>
              <w:left w:val="none" w:sz="0"/>
              <w:bottom w:val="single" w:color="000000" w:sz="8"/>
              <w:right w:val="none" w:sz="0"/>
            </w:tcBorders>
            <w:vAlign w:val="center"/>
          </w:tcPr>
          <w:p>
            <w:pPr>
              <w:spacing w:before="60" w:after="60"/>
              <w:jc w:val="center"/>
            </w:pPr>
            <w:r>
              <w:rPr>
                <w:rFonts w:ascii="Arial" w:cs="Arial" w:eastAsia="Arial" w:hAnsi="Arial"/>
                <w:b/>
                <w:bCs/>
                <w:sz w:val="24"/>
                <w:color w:val="000000"/>
              </w:rPr>
              <w:t xml:space="preserve">Evidencia en el trabajo</w:t>
            </w:r>
          </w:p>
        </w:tc>
        <w:tc>
          <w:tcPr>
            <w:tcW w:type="dxa" w:w="2400"/>
            <w:tcBorders>
              <w:top w:val="none" w:sz="0"/>
              <w:left w:val="none" w:sz="0"/>
              <w:bottom w:val="single" w:color="000000" w:sz="8"/>
              <w:right w:val="none" w:sz="0"/>
            </w:tcBorders>
            <w:vAlign w:val="center"/>
          </w:tcPr>
          <w:p>
            <w:pPr>
              <w:spacing w:before="60" w:after="60"/>
              <w:jc w:val="center"/>
            </w:pPr>
            <w:r>
              <w:rPr>
                <w:rFonts w:ascii="Arial" w:cs="Arial" w:eastAsia="Arial" w:hAnsi="Arial"/>
                <w:b/>
                <w:bCs/>
                <w:sz w:val="24"/>
                <w:color w:val="000000"/>
              </w:rPr>
              <w:t xml:space="preserve">Evaluación</w:t>
            </w:r>
          </w:p>
        </w:tc>
      </w:tr>
      <w:tr>
        <w:tc>
          <w:tcPr>
            <w:tcW w:type="dxa" w:w="18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1. Consistencia conceptual</w:t>
            </w:r>
          </w:p>
        </w:tc>
        <w:tc>
          <w:tcPr>
            <w:tcW w:type="dxa" w:w="24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¿Cada componente es derivable de sus marcos teóricos sin contradicciones internas?</w:t>
            </w:r>
          </w:p>
        </w:tc>
        <w:tc>
          <w:tcPr>
            <w:tcW w:type="dxa" w:w="276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Tabla 12 mapea cada componente del modelo a su fundamento teórico (PMI, 2021; Ries, 2011; Blank y Dorf, 2012; Rochet y Tirole, 2003). La Tabla 15 explicita cómo PMBOK® 7 y Lean Startup se integran sin contradicción bajo el principio invariantes/variables.</w:t>
            </w:r>
          </w:p>
        </w:tc>
        <w:tc>
          <w:tcPr>
            <w:tcW w:type="dxa" w:w="24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Satisfecha. No se identifican contradicciones entre componentes ni con sus fuentes teóricas.</w:t>
            </w:r>
          </w:p>
        </w:tc>
      </w:tr>
      <w:tr>
        <w:tc>
          <w:tcPr>
            <w:tcW w:type="dxa" w:w="18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2. Coherencia metodológica</w:t>
            </w:r>
          </w:p>
        </w:tc>
        <w:tc>
          <w:tcPr>
            <w:tcW w:type="dxa" w:w="24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¿Los seis componentes forman un sistema donde cada uno depende de los demás, no una lista independiente?</w:t>
            </w:r>
          </w:p>
        </w:tc>
        <w:tc>
          <w:tcPr>
            <w:tcW w:type="dxa" w:w="276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La prueba de eliminación de la sección 5.1.3: si se elimina cualquier componente, queda un riesgo sin atender. La Capa de Gobernanza sin el Motor de Validación produce estructura sin aprendizaje. El Motor de Validación sin el Registro de Riesgos produce experimentos sin contexto de riesgo.</w:t>
            </w:r>
          </w:p>
        </w:tc>
        <w:tc>
          <w:tcPr>
            <w:tcW w:type="dxa" w:w="24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Satisfecha. Los seis componentes son mutuamente necesarios, demostrado por la prueba de eliminación.</w:t>
            </w:r>
          </w:p>
        </w:tc>
      </w:tr>
      <w:tr>
        <w:tc>
          <w:tcPr>
            <w:tcW w:type="dxa" w:w="18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3. Alineamiento teoría-práctica</w:t>
            </w:r>
          </w:p>
        </w:tc>
        <w:tc>
          <w:tcPr>
            <w:tcW w:type="dxa" w:w="24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¿Las prescripciones responden a las vulnerabilidades del diagnóstico, no a un contexto genérico?</w:t>
            </w:r>
          </w:p>
        </w:tc>
        <w:tc>
          <w:tcPr>
            <w:tcW w:type="dxa" w:w="276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Tabla 16 vincula cada componente a un problema específico del AMOFHIT/MEFI. Las estrategias DA críticas (DA-1 a DA-4) del FODA se convierten directamente en acciones obligatorias de la Fase 0. La trazabilidad es completa desde el diagnóstico hasta la prescripción.</w:t>
            </w:r>
          </w:p>
        </w:tc>
        <w:tc>
          <w:tcPr>
            <w:tcW w:type="dxa" w:w="24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Satisfecha. Cada componente tiene un origen trazable en el diagnóstico estratégico.</w:t>
            </w:r>
          </w:p>
        </w:tc>
      </w:tr>
      <w:tr>
        <w:tc>
          <w:tcPr>
            <w:tcW w:type="dxa" w:w="18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4. Aplicabilidad operativa</w:t>
            </w:r>
          </w:p>
        </w:tc>
        <w:tc>
          <w:tcPr>
            <w:tcW w:type="dxa" w:w="24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¿Los instrumentos pueden ser mantenidos por un equipo mínimo sin conocimiento especializado?</w:t>
            </w:r>
          </w:p>
        </w:tc>
        <w:tc>
          <w:tcPr>
            <w:tcW w:type="dxa" w:w="276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La Fase 0 (Tabla 19) define los entregables con criterios de aceptación concretos. El Capítulo VI describe los instrumentos con lenguaje operativo accesible. El RC-01 (Anexo C) demuestra que tres decisiones estratégicas complejas caben en una tabla de nueve columnas.</w:t>
            </w:r>
          </w:p>
        </w:tc>
        <w:tc>
          <w:tcPr>
            <w:tcW w:type="dxa" w:w="24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Satisfecha con reserva. La aplicabilidad está demostrada en diseño; la validación empírica de la carga real de mantenimiento es trabajo futuro.</w:t>
            </w:r>
          </w:p>
        </w:tc>
      </w:tr>
      <w:tr>
        <w:tc>
          <w:tcPr>
            <w:tcW w:type="dxa" w:w="18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5. Trazabilidad</w:t>
            </w:r>
          </w:p>
        </w:tc>
        <w:tc>
          <w:tcPr>
            <w:tcW w:type="dxa" w:w="24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¿Cualquier decisión operacional puede rastrearse hasta el diagnóstico o el marco teórico?</w:t>
            </w:r>
          </w:p>
        </w:tc>
        <w:tc>
          <w:tcPr>
            <w:tcW w:type="dxa" w:w="276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Los códigos F/D/O/A son consistentes a través de AMOFHIT, MEFI y FODA. S1-S6 y R1-R8 son consistentes entre Registro de Supuestos, Registro de Riesgos, cronograma e indicadores de seguimiento. La Tabla 26 mapea objetivos, estrategias, entregables e indicadores.</w:t>
            </w:r>
          </w:p>
        </w:tc>
        <w:tc>
          <w:tcPr>
            <w:tcW w:type="dxa" w:w="24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Satisfecha. La cadena de trazabilidad es completa y verificable en el propio documento.</w:t>
            </w:r>
          </w:p>
        </w:tc>
      </w:tr>
      <w:tr>
        <w:tc>
          <w:tcPr>
            <w:tcW w:type="dxa" w:w="18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6. Transferibilidad</w:t>
            </w:r>
          </w:p>
        </w:tc>
        <w:tc>
          <w:tcPr>
            <w:tcW w:type="dxa" w:w="24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¿La arquitectura metodológica puede aplicarse en otros contextos modificando solo el contenido?</w:t>
            </w:r>
          </w:p>
        </w:tc>
        <w:tc>
          <w:tcPr>
            <w:tcW w:type="dxa" w:w="276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Caso hipotético Colombia (sección 6.7): la estructura de los cuatro instrumentos se mantiene intacta al cambiar PSP, organismo regulador y modelo de precios. Tablas 31-32: demuestran qué permanece invariable (estructura, principios, secuencia de validación) y qué cambia (contenido, umbrales, riesgos sectoriales) en cinco tipos de startup.</w:t>
            </w:r>
          </w:p>
        </w:tc>
        <w:tc>
          <w:tcPr>
            <w:tcW w:type="dxa" w:w="24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Parcialmente satisfecha. La transferibilidad estructural está argumentada; la evidencia empírica comparativa es la línea de investigación más relevante del trabajo futuro.</w:t>
            </w:r>
          </w:p>
        </w:tc>
      </w:tr>
    </w:tbl>
    <w:p>
      <w:pPr>
        <w:spacing w:before="60" w:after="180"/>
      </w:pPr>
      <w:r>
        <w:rPr>
          <w:rFonts w:ascii="Arial" w:cs="Arial" w:eastAsia="Arial" w:hAnsi="Arial"/>
          <w:i/>
          <w:sz w:val="20"/>
          <w:color w:val="000000"/>
        </w:rPr>
        <w:t xml:space="preserve">Nota. </w:t>
      </w:r>
      <w:r>
        <w:rPr>
          <w:rFonts w:ascii="Arial" w:cs="Arial" w:eastAsia="Arial" w:hAnsi="Arial"/>
          <w:sz w:val="20"/>
          <w:color w:val="000000"/>
        </w:rPr>
        <w:t xml:space="preserve">Elaboración propia. La dimensión 4 y la dimensión 6 presentan resultado parcial porque su validación completa requiere evidencia empírica posterior al diseño. Eso no las debilita como criterios: las sitúa en la agenda de la siguiente fase de investigación.</w:t>
      </w:r>
    </w:p>
    <w:p>
      <w:pPr>
        <w:pStyle w:val="Heading2"/>
        <w:spacing w:after="120" w:before="300"/>
      </w:pPr>
      <w:r>
        <w:rPr>
          <w:rFonts w:ascii="Arial" w:cs="Arial" w:eastAsia="Arial" w:hAnsi="Arial"/>
          <w:b/>
          <w:bCs/>
          <w:sz w:val="26"/>
          <w:szCs w:val="26"/>
        </w:rPr>
        <w:t xml:space="preserve">5.2. Fuentes de información</w:t>
      </w:r>
    </w:p>
    <w:p>
      <w:pPr>
        <w:pStyle w:val="Heading3"/>
        <w:spacing w:after="120" w:before="240"/>
      </w:pPr>
      <w:r>
        <w:rPr>
          <w:rFonts w:ascii="Arial" w:cs="Arial" w:eastAsia="Arial" w:hAnsi="Arial"/>
          <w:b/>
          <w:bCs/>
          <w:i/>
          <w:iCs/>
          <w:sz w:val="24"/>
          <w:szCs w:val="24"/>
        </w:rPr>
        <w:t xml:space="preserve">5.2.1. Fuentes de elaboración propia</w:t>
      </w:r>
    </w:p>
    <w:p>
      <w:pPr>
        <w:spacing w:after="60" w:before="240"/>
      </w:pPr>
      <w:r>
        <w:rPr>
          <w:rFonts w:ascii="Arial" w:cs="Arial" w:eastAsia="Arial" w:hAnsi="Arial"/>
          <w:b/>
          <w:bCs/>
          <w:sz w:val="24"/>
          <w:szCs w:val="22"/>
        </w:rPr>
        <w:t xml:space="preserve">Tabla 13</w:t>
      </w:r>
      <w:r>
        <w:br/>
        <w:t xml:space="preserve">
</w:t>
      </w:r>
      <w:r>
        <w:rPr>
          <w:rFonts w:ascii="Arial" w:cs="Arial" w:eastAsia="Arial" w:hAnsi="Arial"/>
          <w:i/>
          <w:iCs/>
          <w:sz w:val="24"/>
          <w:szCs w:val="22"/>
        </w:rPr>
        <w:t xml:space="preserve">Fuentes de elaboración propia del proyecto ALAZAR</w:t>
      </w:r>
    </w:p>
    <w:tbl>
      <w:tblPr>
        <w:tblW w:type="dxa" w:w="9360"/>
        <w:tblBorders>
          <w:top w:val="single" w:color="000000" w:sz="6"/>
          <w:left w:val="none" w:sz="0"/>
          <w:bottom w:val="single" w:color="000000" w:sz="6"/>
          <w:right w:val="none" w:sz="0"/>
          <w:insideH w:val="none" w:sz="0"/>
          <w:insideV w:val="none" w:sz="0"/>
        </w:tblBorders>
      </w:tblPr>
      <w:tblGrid>
        <w:gridCol w:w="2400"/>
        <w:gridCol w:w="3600"/>
        <w:gridCol w:w="3360"/>
      </w:tblGrid>
      <w:tr>
        <w:tc>
          <w:tcPr>
            <w:tcW w:type="dxa" w:w="24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Documento</w:t>
            </w:r>
          </w:p>
        </w:tc>
        <w:tc>
          <w:tcPr>
            <w:tcW w:type="dxa" w:w="36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Descripción</w:t>
            </w:r>
          </w:p>
        </w:tc>
        <w:tc>
          <w:tcPr>
            <w:tcW w:type="dxa" w:w="33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Cómo contribuye al modelo</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Diagnóstico estratégico (Cap. III)</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PESTEL, Porter, MEFE (2.99), MEFI (2.46), FODA cruzado (18 estrategias) y Matriz IE.</w:t>
            </w:r>
          </w:p>
        </w:tc>
        <w:tc>
          <w:tcPr>
            <w:tcW w:type="dxa" w:w="3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Define el contexto de aplicación. Las estrategias DA de urgencia crítica (DA-1 a DA-4) se convierten directamente en prescripciones del modelo ALAZAR-HPM.</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PRD ALAZAR V11 (Bocanegra, 2024)</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Especificación técnica del sistema: Motor de Compras, Motor de Sorteo, Entrega y Liquidación, auditoría y métricas.</w:t>
            </w:r>
          </w:p>
        </w:tc>
        <w:tc>
          <w:tcPr>
            <w:tcW w:type="dxa" w:w="3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Base de diseño para los entregables técnicos del Cap. VI. Define los indicadores de desempeño del producto.</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Bitácora de Decisiones RC-01 (versión inicial)</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las primeras decisiones estratégicas: stack tecnológico, modelo de precios y proveedor de pagos.</w:t>
            </w:r>
          </w:p>
        </w:tc>
        <w:tc>
          <w:tcPr>
            <w:tcW w:type="dxa" w:w="3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Instancia concreta del instrumento de trazabilidad. Permitió verificar que el instrumento es operable por un equipo mínimo.</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Supuestos S1-S6 (versión inicial)</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Seis supuestos críticos del modelo de negocio con métricas, umbrales y sprints objetivo.</w:t>
            </w:r>
          </w:p>
        </w:tc>
        <w:tc>
          <w:tcPr>
            <w:tcW w:type="dxa" w:w="3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Operacionaliza el Motor de Validación. Su diseño permitió verificar que la secuencia es lógicamente consistente con la estructura del negocio.</w:t>
            </w:r>
          </w:p>
        </w:tc>
      </w:tr>
      <w:tr>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Riesgos R1-R8 (versión inicial)</w:t>
            </w:r>
          </w:p>
        </w:tc>
        <w:tc>
          <w:tcPr>
            <w:tcW w:type="dxa" w:w="3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Ocho riesgos más probables con probabilidad, gravedad, disparador y respuesta. Derivado del AMOFHIT, MEFI y FODA.</w:t>
            </w:r>
          </w:p>
        </w:tc>
        <w:tc>
          <w:tcPr>
            <w:tcW w:type="dxa" w:w="3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Operacionaliza el Ciclo de Gestión de Riesgos. Los riesgos son trazables a vulnerabilidades específicas del diagnóstico.</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Todos los documentos listados fueron producidos en el marco de este trabajo de investigación.</w:t>
      </w:r>
    </w:p>
    <w:p>
      <w:pPr>
        <w:pStyle w:val="Heading3"/>
        <w:spacing w:after="120" w:before="240"/>
      </w:pPr>
      <w:r>
        <w:rPr>
          <w:rFonts w:ascii="Arial" w:cs="Arial" w:eastAsia="Arial" w:hAnsi="Arial"/>
          <w:b/>
          <w:bCs/>
          <w:i/>
          <w:iCs/>
          <w:sz w:val="24"/>
          <w:szCs w:val="24"/>
        </w:rPr>
        <w:t xml:space="preserve">5.2.2. Fuentes secundarias</w:t>
      </w:r>
    </w:p>
    <w:p>
      <w:pPr>
        <w:spacing w:after="60" w:before="240"/>
      </w:pPr>
      <w:r>
        <w:rPr>
          <w:rFonts w:ascii="Arial" w:cs="Arial" w:eastAsia="Arial" w:hAnsi="Arial"/>
          <w:b/>
          <w:bCs/>
          <w:sz w:val="24"/>
          <w:szCs w:val="22"/>
        </w:rPr>
        <w:t xml:space="preserve">Tabla 14</w:t>
      </w:r>
      <w:r>
        <w:br/>
        <w:t xml:space="preserve">
</w:t>
      </w:r>
      <w:r>
        <w:rPr>
          <w:rFonts w:ascii="Arial" w:cs="Arial" w:eastAsia="Arial" w:hAnsi="Arial"/>
          <w:i/>
          <w:iCs/>
          <w:sz w:val="24"/>
          <w:szCs w:val="22"/>
        </w:rPr>
        <w:t xml:space="preserve">Fuentes secundarias de información del proyecto</w:t>
      </w:r>
    </w:p>
    <w:tbl>
      <w:tblPr>
        <w:tblW w:type="dxa" w:w="9360"/>
        <w:tblBorders>
          <w:top w:val="single" w:color="000000" w:sz="6"/>
          <w:left w:val="none" w:sz="0"/>
          <w:bottom w:val="single" w:color="000000" w:sz="6"/>
          <w:right w:val="none" w:sz="0"/>
          <w:insideH w:val="none" w:sz="0"/>
          <w:insideV w:val="none" w:sz="0"/>
        </w:tblBorders>
      </w:tblPr>
      <w:tblGrid>
        <w:gridCol w:w="2800"/>
        <w:gridCol w:w="3400"/>
        <w:gridCol w:w="3160"/>
      </w:tblGrid>
      <w:tr>
        <w:tc>
          <w:tcPr>
            <w:tcW w:type="dxa" w:w="2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Fuente secundaria</w:t>
            </w:r>
          </w:p>
        </w:tc>
        <w:tc>
          <w:tcPr>
            <w:tcW w:type="dxa" w:w="34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Contenido principal</w:t>
            </w:r>
          </w:p>
        </w:tc>
        <w:tc>
          <w:tcPr>
            <w:tcW w:type="dxa" w:w="31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Uso en el proyecto</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PMBOK® Guide 7ma ed. (PMI, 2021)</w:t>
            </w:r>
          </w:p>
        </w:tc>
        <w:tc>
          <w:tcPr>
            <w:tcW w:type="dxa" w:w="3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12 principios y 8 dominios de desempeño.</w:t>
            </w:r>
          </w:p>
        </w:tc>
        <w:tc>
          <w:tcPr>
            <w:tcW w:type="dxa" w:w="3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Marco de gobernanza de la Capa 1 del modelo ALAZAR-HPM.</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The Lean Startup (Ries, 2011)</w:t>
            </w:r>
          </w:p>
        </w:tc>
        <w:tc>
          <w:tcPr>
            <w:tcW w:type="dxa" w:w="3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Metodología BML, supuesto crítico y MVP.</w:t>
            </w:r>
          </w:p>
        </w:tc>
        <w:tc>
          <w:tcPr>
            <w:tcW w:type="dxa" w:w="3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Motor de validación de la Capa 2 del modelo.</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The Startup Owner's Manual (Blank y Dorf, 2012)</w:t>
            </w:r>
          </w:p>
        </w:tc>
        <w:tc>
          <w:tcPr>
            <w:tcW w:type="dxa" w:w="3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Customer Development Process y validación de mercado.</w:t>
            </w:r>
          </w:p>
        </w:tc>
        <w:tc>
          <w:tcPr>
            <w:tcW w:type="dxa" w:w="3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Base para el diseño del Registro de Supuestos y los experimentos de verificación.</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Informes BID (2022), PRODUCE (2023)</w:t>
            </w:r>
          </w:p>
        </w:tc>
        <w:tc>
          <w:tcPr>
            <w:tcW w:type="dxa" w:w="3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Estadísticas del ecosistema digital peruano.</w:t>
            </w:r>
          </w:p>
        </w:tc>
        <w:tc>
          <w:tcPr>
            <w:tcW w:type="dxa" w:w="3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Contexto para el análisis PESTEL.</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D'Alessio (2014)</w:t>
            </w:r>
          </w:p>
        </w:tc>
        <w:tc>
          <w:tcPr>
            <w:tcW w:type="dxa" w:w="3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Marco AMOFHIT para análisis interno.</w:t>
            </w:r>
          </w:p>
        </w:tc>
        <w:tc>
          <w:tcPr>
            <w:tcW w:type="dxa" w:w="3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Fundamento del análisis AMOFHIT del Cap. III.</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David (2013)</w:t>
            </w:r>
          </w:p>
        </w:tc>
        <w:tc>
          <w:tcPr>
            <w:tcW w:type="dxa" w:w="3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Metodología MEFE y MEFI.</w:t>
            </w:r>
          </w:p>
        </w:tc>
        <w:tc>
          <w:tcPr>
            <w:tcW w:type="dxa" w:w="3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Construcción de las matrices MEFE (2.99) y MEFI (2.46).</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Fuentes periodísticas (Infobae, El Comercio, Peru Retail, 2024-2025)</w:t>
            </w:r>
          </w:p>
        </w:tc>
        <w:tc>
          <w:tcPr>
            <w:tcW w:type="dxa" w:w="3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Cobertura sobre plataformas de sorteos digitales en el Perú.</w:t>
            </w:r>
          </w:p>
        </w:tc>
        <w:tc>
          <w:tcPr>
            <w:tcW w:type="dxa" w:w="3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Análisis del panorama competitivo (sección 3.1.3).</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p>
      <w:pPr>
        <w:pStyle w:val="Heading2"/>
        <w:spacing w:after="120" w:before="300"/>
      </w:pPr>
      <w:r>
        <w:rPr>
          <w:rFonts w:ascii="Arial" w:cs="Arial" w:eastAsia="Arial" w:hAnsi="Arial"/>
          <w:b/>
          <w:bCs/>
          <w:sz w:val="26"/>
          <w:szCs w:val="26"/>
        </w:rPr>
        <w:t xml:space="preserve">5.3. El modelo ALAZAR-HPM: arquitectura y componentes</w:t>
      </w:r>
    </w:p>
    <w:p>
      <w:pPr>
        <w:pStyle w:val="Heading3"/>
        <w:spacing w:after="120" w:before="240"/>
      </w:pPr>
      <w:r>
        <w:rPr>
          <w:rFonts w:ascii="Arial" w:cs="Arial" w:eastAsia="Arial" w:hAnsi="Arial"/>
          <w:b/>
          <w:bCs/>
          <w:i/>
          <w:iCs/>
          <w:sz w:val="24"/>
          <w:szCs w:val="24"/>
        </w:rPr>
        <w:t xml:space="preserve">5.3.1. El problema que resuelve la metodología</w:t>
      </w:r>
    </w:p>
    <w:p>
      <w:pPr>
        <w:spacing w:after="120" w:before="120" w:line="276"/>
        <w:jc w:val="both"/>
      </w:pPr>
      <w:r>
        <w:rPr>
          <w:rFonts w:ascii="Arial" w:cs="Arial" w:eastAsia="Arial" w:hAnsi="Arial"/>
          <w:sz w:val="24"/>
          <w:szCs w:val="24"/>
        </w:rPr>
        <w:t xml:space="preserve">El punto de partida es un diagnóstico que el Capítulo III confirma: ALAZAR opera con alta incertidumbre de mercado, capital limitado, sin historial operativo y en un marco regulatorio ambiguo. En ese contexto existen dos errores simétricos que pueden comprometer el proyecto.</w:t>
      </w:r>
    </w:p>
    <w:p>
      <w:pPr>
        <w:spacing w:after="120" w:before="120" w:line="276"/>
        <w:jc w:val="both"/>
      </w:pPr>
      <w:r>
        <w:rPr>
          <w:rFonts w:ascii="Arial" w:cs="Arial" w:eastAsia="Arial" w:hAnsi="Arial"/>
          <w:sz w:val="24"/>
          <w:szCs w:val="24"/>
        </w:rPr>
        <w:t xml:space="preserve">El primero es sobregobernar: adoptar un framework de dirección diseñado para proyectos con requisitos conocidos, equipo numeroso y presupuesto garantizado. El resultado es burocracia que consume el capital sin generar aprendizaje. El segundo es bajo-gobernar: operar sin ninguna estructura formal, asumir que la agilidad significa ausencia de proceso y descubrir tarde que las decisiones estratégicas fueron tomadas de manera inconsistente y sin posibilidad de aprender de ellas.</w:t>
      </w:r>
    </w:p>
    <w:p>
      <w:pPr>
        <w:spacing w:after="120" w:before="120" w:line="276"/>
        <w:jc w:val="both"/>
      </w:pPr>
      <w:r>
        <w:rPr>
          <w:rFonts w:ascii="Arial" w:cs="Arial" w:eastAsia="Arial" w:hAnsi="Arial"/>
          <w:sz w:val="24"/>
          <w:szCs w:val="24"/>
        </w:rPr>
        <w:t xml:space="preserve">La respuesta de diseño es deliberadamente simple: incluir solo lo que no puede omitirse sin riesgo real. Así como una startup necesita un MVP, también necesita una Gobernanza Mínima Viable. La evidencia de partida no es solo teórica: como se describe en la sección 1.1, el propio proyecto ALAZAR experimentó durante la construcción de su MVP los tres modos de fallo que la metodología está diseñada para prevenir: alcance indefinido, decisiones sin registro y autoridad ambigua. Esa experiencia concreta es la que convierte el diagnóstico estratégico del Capítulo III en prescripciones operacionales, y no en recomendaciones genéricas.
Los mecanismos de operación del modelo son cuatro. El primero es la gobernanza anticipatoria: los instrumentos se construyen antes de que el proyecto necesite usarlos, no en respuesta a una crisis que ya ocurrió. El segundo es el aprendizaje documentado: cada ciclo quincenal produce un registro de lo que se construyó, lo que se midió, lo que se aprendió y la decisión que se tomó en consecuencia. Sin ese registro, los ciclos se repiten sin acumulación. El tercero es el control por evidencia: ninguna decisión de escalar, pivotar o continuar se toma sin que exista un umbral predefinido y una métrica que lo mida. El cuarto es la proporcionalidad dinámica: el nivel de gobernanza crece con la madurez del proyecto. Un registro de riesgos de ocho líneas en el Mes 1 puede y debe expandirse a veinte líneas en el Mes 7 si el proyecto ha acumulado suficiente experiencia operacional para justificarlo.</w:t>
      </w:r>
    </w:p>
    <w:p>
      <w:pPr>
        <w:pStyle w:val="Heading3"/>
        <w:spacing w:after="120" w:before="240"/>
      </w:pPr>
      <w:r>
        <w:rPr>
          <w:rFonts w:ascii="Arial" w:cs="Arial" w:eastAsia="Arial" w:hAnsi="Arial"/>
          <w:b/>
          <w:bCs/>
          <w:i/>
          <w:iCs/>
          <w:sz w:val="24"/>
          <w:szCs w:val="24"/>
        </w:rPr>
        <w:t xml:space="preserve">5.3.2. Qué aporta cada marco a la metodología híbrida</w:t>
      </w:r>
    </w:p>
    <w:p>
      <w:pPr>
        <w:spacing w:after="60" w:before="240"/>
      </w:pPr>
      <w:r>
        <w:rPr>
          <w:rFonts w:ascii="Arial" w:cs="Arial" w:eastAsia="Arial" w:hAnsi="Arial"/>
          <w:b/>
          <w:bCs/>
          <w:sz w:val="24"/>
          <w:szCs w:val="22"/>
        </w:rPr>
        <w:t xml:space="preserve">Tabla 15</w:t>
      </w:r>
      <w:r>
        <w:br/>
        <w:t xml:space="preserve">
</w:t>
      </w:r>
      <w:r>
        <w:rPr>
          <w:rFonts w:ascii="Arial" w:cs="Arial" w:eastAsia="Arial" w:hAnsi="Arial"/>
          <w:i/>
          <w:iCs/>
          <w:sz w:val="24"/>
          <w:szCs w:val="22"/>
        </w:rPr>
        <w:t xml:space="preserve">Contribución de PMBOK® 7 y Lean Startup al modelo ALAZAR-HPM</w:t>
      </w:r>
    </w:p>
    <w:tbl>
      <w:tblPr>
        <w:tblW w:type="dxa" w:w="9360"/>
        <w:tblBorders>
          <w:top w:val="single" w:color="000000" w:sz="6"/>
          <w:left w:val="none" w:sz="0"/>
          <w:bottom w:val="single" w:color="000000" w:sz="6"/>
          <w:right w:val="none" w:sz="0"/>
          <w:insideH w:val="none" w:sz="0"/>
          <w:insideV w:val="none" w:sz="0"/>
        </w:tblBorders>
      </w:tblPr>
      <w:tblGrid>
        <w:gridCol w:w="1800"/>
        <w:gridCol w:w="2520"/>
        <w:gridCol w:w="2520"/>
        <w:gridCol w:w="2520"/>
      </w:tblGrid>
      <w:tr>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Marco</w:t>
            </w:r>
          </w:p>
        </w:tc>
        <w:tc>
          <w:tcPr>
            <w:tcW w:type="dxa" w:w="252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Qué aporta</w:t>
            </w:r>
          </w:p>
        </w:tc>
        <w:tc>
          <w:tcPr>
            <w:tcW w:type="dxa" w:w="252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Qué no puede hacer solo</w:t>
            </w:r>
          </w:p>
        </w:tc>
        <w:tc>
          <w:tcPr>
            <w:tcW w:type="dxa" w:w="252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Cómo complementa al otro</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PMBOK® 7</w:t>
            </w:r>
          </w:p>
        </w:tc>
        <w:tc>
          <w:tcPr>
            <w:tcW w:type="dxa" w:w="25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Gobernanza, trazabilidad de decisiones, gestión estructurada del riesgo, accountability de roles.</w:t>
            </w:r>
          </w:p>
        </w:tc>
        <w:tc>
          <w:tcPr>
            <w:tcW w:type="dxa" w:w="25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No prescribe cómo verificar supuestos de mercado no probados. No tiene mecanismo de MVP ni de pivot controlado.</w:t>
            </w:r>
          </w:p>
        </w:tc>
        <w:tc>
          <w:tcPr>
            <w:tcW w:type="dxa" w:w="25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La estructura del PMBOK® 7 contiene y le da forma a la experimentación del Lean Startup. Define los invariantes para liberar el espacio de las variables.</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Lean Startup</w:t>
            </w:r>
          </w:p>
        </w:tc>
        <w:tc>
          <w:tcPr>
            <w:tcW w:type="dxa" w:w="25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Ciclo BML, MVP, experimentación iterativa, aprendizaje validado, decisiones pivot/perseverar basadas en evidencia real.</w:t>
            </w:r>
          </w:p>
        </w:tc>
        <w:tc>
          <w:tcPr>
            <w:tcW w:type="dxa" w:w="25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No provee gobernanza formal, trazabilidad ni gestión del riesgo. En contextos transaccionales, la experimentación irrestricta puede generar daño real.</w:t>
            </w:r>
          </w:p>
        </w:tc>
        <w:tc>
          <w:tcPr>
            <w:tcW w:type="dxa" w:w="25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La experimentación opera dentro de los límites de gobernanza del PMBOK® 7. Provee el mecanismo de aprendizaje que el PMBOK® necesita para ser adaptativo.</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ALAZAR-HPM (híbrido) (presente investigación)</w:t>
            </w:r>
          </w:p>
        </w:tc>
        <w:tc>
          <w:tcPr>
            <w:tcW w:type="dxa" w:w="25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Gobernanza Mínima Viable: mínima estructura de dirección para operar sin caos, tomar decisiones trazables y verificar supuestos sin burocracia.</w:t>
            </w:r>
          </w:p>
        </w:tc>
        <w:tc>
          <w:tcPr>
            <w:tcW w:type="dxa" w:w="25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No es un marco de gestión de propósito general. Fue diseñado para startups digitales autofinanciadas en mercados emergentes.</w:t>
            </w:r>
          </w:p>
        </w:tc>
        <w:tc>
          <w:tcPr>
            <w:tcW w:type="dxa" w:w="25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Integra ambos marcos resolviendo explícitamente qué opera bajo lógica predictiva (invariantes) y qué bajo lógica iterativa (variables).</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PMI (2021), Ries (2011) y Boehm y Turner (2003).</w:t>
      </w:r>
    </w:p>
    <w:p>
      <w:pPr>
        <w:pStyle w:val="Heading3"/>
        <w:spacing w:after="120" w:before="240"/>
      </w:pPr>
      <w:r>
        <w:rPr>
          <w:rFonts w:ascii="Arial" w:cs="Arial" w:eastAsia="Arial" w:hAnsi="Arial"/>
          <w:b/>
          <w:bCs/>
          <w:i/>
          <w:iCs/>
          <w:sz w:val="24"/>
          <w:szCs w:val="24"/>
        </w:rPr>
        <w:t xml:space="preserve">5.3.3. Los seis componentes operacionales</w:t>
      </w:r>
    </w:p>
    <w:p>
      <w:pPr>
        <w:spacing w:after="120" w:before="120" w:line="276"/>
        <w:jc w:val="both"/>
      </w:pPr>
      <w:r>
        <w:rPr>
          <w:rFonts w:ascii="Arial" w:cs="Arial" w:eastAsia="Arial" w:hAnsi="Arial"/>
          <w:sz w:val="24"/>
          <w:szCs w:val="24"/>
        </w:rPr>
        <w:t xml:space="preserve">El modelo de Gobernanza Mínima Viable tiene seis componentes. Cada uno responde a un problema diferente que, si no se atiende, puede comprometer el proyecto de una manera específica. Seis preguntas. Seis respuestas. Si alguna de esas preguntas no tiene respuesta en el proyecto, hay un riesgo activo. El modelo no es complejo: es completo.</w:t>
      </w:r>
    </w:p>
    <w:p>
      <w:pPr>
        <w:spacing w:after="60" w:before="240"/>
      </w:pPr>
      <w:r>
        <w:rPr>
          <w:rFonts w:ascii="Arial" w:cs="Arial" w:eastAsia="Arial" w:hAnsi="Arial"/>
          <w:b/>
          <w:bCs/>
          <w:sz w:val="24"/>
          <w:szCs w:val="22"/>
        </w:rPr>
        <w:t xml:space="preserve">Tabla 16</w:t>
      </w:r>
      <w:r>
        <w:br/>
        <w:t xml:space="preserve">
</w:t>
      </w:r>
      <w:r>
        <w:rPr>
          <w:rFonts w:ascii="Arial" w:cs="Arial" w:eastAsia="Arial" w:hAnsi="Arial"/>
          <w:i/>
          <w:iCs/>
          <w:sz w:val="24"/>
          <w:szCs w:val="22"/>
        </w:rPr>
        <w:t xml:space="preserve">Los seis componentes del modelo ALAZAR-HPM y qué problema resuelve cada uno</w:t>
      </w:r>
    </w:p>
    <w:tbl>
      <w:tblPr>
        <w:tblW w:type="dxa" w:w="9360"/>
        <w:tblBorders>
          <w:top w:val="single" w:color="000000" w:sz="6"/>
          <w:left w:val="none" w:sz="0"/>
          <w:bottom w:val="single" w:color="000000" w:sz="6"/>
          <w:right w:val="none" w:sz="0"/>
          <w:insideH w:val="none" w:sz="0"/>
          <w:insideV w:val="none" w:sz="0"/>
        </w:tblBorders>
      </w:tblPr>
      <w:tblGrid>
        <w:gridCol w:w="1900"/>
        <w:gridCol w:w="2200"/>
        <w:gridCol w:w="2860"/>
        <w:gridCol w:w="2400"/>
      </w:tblGrid>
      <w:tr>
        <w:tc>
          <w:tcPr>
            <w:tcW w:type="dxa" w:w="19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Componente</w:t>
            </w:r>
          </w:p>
        </w:tc>
        <w:tc>
          <w:tcPr>
            <w:tcW w:type="dxa" w:w="22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Función central</w:t>
            </w:r>
          </w:p>
        </w:tc>
        <w:tc>
          <w:tcPr>
            <w:tcW w:type="dxa" w:w="28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Problema que resuelve</w:t>
            </w:r>
          </w:p>
        </w:tc>
        <w:tc>
          <w:tcPr>
            <w:tcW w:type="dxa" w:w="24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Herramienta operacional</w:t>
            </w:r>
          </w:p>
        </w:tc>
      </w:tr>
      <w:tr>
        <w:tc>
          <w:tcPr>
            <w:tcW w:type="dxa" w:w="1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 Capa de Gobernanza</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Define quién tiene autoridad para qué y qué pasa si el fundador no puede operar.</w:t>
            </w:r>
          </w:p>
        </w:tc>
        <w:tc>
          <w:tcPr>
            <w:tcW w:type="dxa" w:w="28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Riesgo D4: dependencia del fundador y ausencia de trazabilidad de decisiones en equipo mínimo.</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Carta de Gobernanza, Bitácora RC-01, RACI simplificado, plan de continuidad.</w:t>
            </w:r>
          </w:p>
        </w:tc>
      </w:tr>
      <w:tr>
        <w:tc>
          <w:tcPr>
            <w:tcW w:type="dxa" w:w="1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 Motor de Validación</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Transforma los supuestos de negocio en experimentos con criterios medibles.</w:t>
            </w:r>
          </w:p>
        </w:tc>
        <w:tc>
          <w:tcPr>
            <w:tcW w:type="dxa" w:w="28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Riesgo de construir funcionalidades que nadie quiere con el capital limitado del bootstrapping.</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Supuestos S1-S6 con métrica, umbral y sprint objetivo.</w:t>
            </w:r>
          </w:p>
        </w:tc>
      </w:tr>
      <w:tr>
        <w:tc>
          <w:tcPr>
            <w:tcW w:type="dxa" w:w="1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 Ciclo de Gestión de Riesgos</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Monitorea los riesgos y los actualiza con evidencia real de cada sprint.</w:t>
            </w:r>
          </w:p>
        </w:tc>
        <w:tc>
          <w:tcPr>
            <w:tcW w:type="dxa" w:w="28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Ausencia de sistema de alerta temprana: los riesgos R1-R8 evolucionan con la operación real.</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Riesgos con probabilidad, impacto, disparador y respuesta.</w:t>
            </w:r>
          </w:p>
        </w:tc>
      </w:tr>
      <w:tr>
        <w:tc>
          <w:tcPr>
            <w:tcW w:type="dxa" w:w="1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4. Capa de Integración de Métricas</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Integra métricas de gobernanza, validación y producto en una vista única.</w:t>
            </w:r>
          </w:p>
        </w:tc>
        <w:tc>
          <w:tcPr>
            <w:tcW w:type="dxa" w:w="28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Dispersión de métricas que impide tener una imagen completa del estado del proyecto.</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Tablero de Seguimiento con KPIs de gobernanza, validación S1-S6 y producto.</w:t>
            </w:r>
          </w:p>
        </w:tc>
      </w:tr>
      <w:tr>
        <w:tc>
          <w:tcPr>
            <w:tcW w:type="dxa" w:w="1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5. Protocolo de Decisión</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Define cuándo perseverar, iterar y pivotar con criterios basados en evidencia.</w:t>
            </w:r>
          </w:p>
        </w:tc>
        <w:tc>
          <w:tcPr>
            <w:tcW w:type="dxa" w:w="28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Decisiones de pivot tomadas por intuición o presión contextual en lugar de por datos.</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Protocolo con umbrales de evidencia, registro en RC-01 y criterios de activación.</w:t>
            </w:r>
          </w:p>
        </w:tc>
      </w:tr>
      <w:tr>
        <w:tc>
          <w:tcPr>
            <w:tcW w:type="dxa" w:w="1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6. Ciclo de Ejecución</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Define la cadencia quincenal que integra todos los componentes.</w:t>
            </w:r>
          </w:p>
        </w:tc>
        <w:tc>
          <w:tcPr>
            <w:tcW w:type="dxa" w:w="28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Ausencia de ritmo: en equipos mínimos, el trabajo reactivo desplaza al estratégico.</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Sprint quincenal con Planning, Ejecución, Experimento y Governance Review.</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p>
      <w:pPr>
        <w:pStyle w:val="Heading2"/>
        <w:spacing w:after="120" w:before="300"/>
      </w:pPr>
      <w:r>
        <w:rPr>
          <w:rFonts w:ascii="Arial" w:cs="Arial" w:eastAsia="Arial" w:hAnsi="Arial"/>
          <w:b/>
          <w:bCs/>
          <w:sz w:val="26"/>
          <w:szCs w:val="26"/>
        </w:rPr>
        <w:t xml:space="preserve">5.4. Gobernanza Mínima Viable: el principio articulador</w:t>
      </w:r>
    </w:p>
    <w:p>
      <w:pPr>
        <w:spacing w:after="120" w:before="120" w:line="276"/>
        <w:jc w:val="both"/>
      </w:pPr>
      <w:r>
        <w:rPr>
          <w:rFonts w:ascii="Arial" w:cs="Arial" w:eastAsia="Arial" w:hAnsi="Arial"/>
          <w:sz w:val="24"/>
          <w:szCs w:val="24"/>
        </w:rPr>
        <w:t xml:space="preserve">La Gobernanza Mínima Viable (GMV) es el concepto articulador de la metodología propuesta. La analogía con el MVP del Lean Startup es intencional y exacta: así como una startup necesita un MVP (la mínima cantidad de producto que permite verificar un supuesto crítico de negocio), también necesita una Gobernanza Mínima Viable (la mínima cantidad de estructura de dirección que permite operar sin caos, tomar decisiones trazables y aprender sistemáticamente).</w:t>
      </w:r>
    </w:p>
    <w:p>
      <w:pPr>
        <w:spacing w:after="120" w:before="120" w:line="276"/>
        <w:jc w:val="both"/>
      </w:pPr>
      <w:r>
        <w:rPr>
          <w:rFonts w:ascii="Arial" w:cs="Arial" w:eastAsia="Arial" w:hAnsi="Arial"/>
          <w:sz w:val="24"/>
          <w:szCs w:val="24"/>
        </w:rPr>
        <w:t xml:space="preserve">La pregunta práctica que orienta la GMV es: dado que el fundador tiene tiempo limitado, capital limitado y atención limitada, ¿cuáles son los mecanismos de gobernanza que no pueden omitirse sin poner en riesgo la continuidad o la credibilidad del proyecto?</w:t>
      </w:r>
    </w:p>
    <w:p>
      <w:pPr>
        <w:spacing w:after="120" w:before="120" w:line="276"/>
        <w:jc w:val="both"/>
      </w:pPr>
      <w:r>
        <w:rPr>
          <w:rFonts w:ascii="Arial" w:cs="Arial" w:eastAsia="Arial" w:hAnsi="Arial"/>
          <w:sz w:val="24"/>
          <w:szCs w:val="24"/>
        </w:rPr>
        <w:t xml:space="preserve">La diferencia entre la GMV y la gobernanza corporativa no está en la presencia o ausencia de estructura: está en la proporcionalidad. Una empresa con cien empleados necesita comités de riesgo, actas formales y procesos de escalamiento. Una startup de dos personas con ocho meses de capital necesita saber quién decide qué, por qué se decidió así y cómo el proyecto puede seguir funcionando si el fundador se enferma una semana.</w:t>
      </w:r>
    </w:p>
    <w:p>
      <w:pPr>
        <w:spacing w:after="60" w:before="240"/>
      </w:pPr>
      <w:r>
        <w:rPr>
          <w:rFonts w:ascii="Arial" w:cs="Arial" w:eastAsia="Arial" w:hAnsi="Arial"/>
          <w:b/>
          <w:bCs/>
          <w:sz w:val="24"/>
          <w:szCs w:val="22"/>
        </w:rPr>
        <w:t xml:space="preserve">Tabla 17</w:t>
      </w:r>
      <w:r>
        <w:br/>
        <w:t xml:space="preserve">
</w:t>
      </w:r>
      <w:r>
        <w:rPr>
          <w:rFonts w:ascii="Arial" w:cs="Arial" w:eastAsia="Arial" w:hAnsi="Arial"/>
          <w:i/>
          <w:iCs/>
          <w:sz w:val="24"/>
          <w:szCs w:val="22"/>
        </w:rPr>
        <w:t xml:space="preserve">Gobernanza Mínima Viable: implementación en ALAZAR</w:t>
      </w:r>
    </w:p>
    <w:tbl>
      <w:tblPr>
        <w:tblW w:type="dxa" w:w="9360"/>
        <w:tblBorders>
          <w:top w:val="single" w:color="000000" w:sz="6"/>
          <w:left w:val="none" w:sz="0"/>
          <w:bottom w:val="single" w:color="000000" w:sz="6"/>
          <w:right w:val="none" w:sz="0"/>
          <w:insideH w:val="none" w:sz="0"/>
          <w:insideV w:val="none" w:sz="0"/>
        </w:tblBorders>
      </w:tblPr>
      <w:tblGrid>
        <w:gridCol w:w="1800"/>
        <w:gridCol w:w="2500"/>
        <w:gridCol w:w="2560"/>
        <w:gridCol w:w="2500"/>
      </w:tblGrid>
      <w:tr>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Elemento GMV</w:t>
            </w:r>
          </w:p>
        </w:tc>
        <w:tc>
          <w:tcPr>
            <w:tcW w:type="dxa" w:w="25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Qué es</w:t>
            </w:r>
          </w:p>
        </w:tc>
        <w:tc>
          <w:tcPr>
            <w:tcW w:type="dxa" w:w="25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Por qué es mínimo e irrenunciable</w:t>
            </w:r>
          </w:p>
        </w:tc>
        <w:tc>
          <w:tcPr>
            <w:tcW w:type="dxa" w:w="25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Cómo evita el caos operacional</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Carta de Gobernanza</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Documento de una página que define la misión, los roles clave y quién tiene autoridad para qué tipo de decisión.</w:t>
            </w:r>
          </w:p>
        </w:tc>
        <w:tc>
          <w:tcPr>
            <w:tcW w:type="dxa" w:w="2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Sin él, el equipo toma decisiones inconsistentes bajo presión. En un equipo de dos personas, la ambigüedad de roles es una fuente recurrente de conflictos operacionales, especialmente bajo presión de tiempo y capital limitado (Blank y Dorf, 2012).</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Define qué decisiones puede tomar el Líder Técnico sin consultar al fundador, evitando cuellos de botella y parálisis decisional.</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Bitácora RC-01</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estructurado de las decisiones estratégicas: qué se decidió, con qué evidencia, quién lo decidió y por qué.</w:t>
            </w:r>
          </w:p>
        </w:tc>
        <w:tc>
          <w:tcPr>
            <w:tcW w:type="dxa" w:w="2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Sin él, las decisiones importantes son recuerdos del fundador. Si sale del proyecto, el equipo no puede entender por qué el sistema funciona como funciona.</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Cada decisión de pivot o ajuste de arquitectura queda documentada. Convierte la experiencia en conocimiento organizacional.</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Plan de continuidad</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Protocolo mínimo de qué hacer si el fundador no puede operar: procesos críticos, quién los ejecuta y cómo acceder a los sistemas.</w:t>
            </w:r>
          </w:p>
        </w:tc>
        <w:tc>
          <w:tcPr>
            <w:tcW w:type="dxa" w:w="2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 D4 (dependencia del fundador) como debilidad mayor, una ausencia no planificada puede paralizar el proyecto sin protocolo escrito.</w:t>
            </w:r>
          </w:p>
        </w:tc>
        <w:tc>
          <w:tcPr>
            <w:tcW w:type="dxa" w:w="2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Define operación mínima para 5-10 días hábiles: el Líder Técnico mantiene el sistema y documenta las decisiones urgentes en RC-01.</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p>
      <w:pPr>
        <w:pStyle w:val="Heading3"/>
        <w:spacing w:after="120" w:before="240"/>
      </w:pPr>
      <w:r>
        <w:rPr>
          <w:rFonts w:ascii="Arial" w:cs="Arial" w:eastAsia="Arial" w:hAnsi="Arial"/>
          <w:b/>
          <w:bCs/>
          <w:i/>
          <w:iCs/>
          <w:sz w:val="24"/>
          <w:szCs w:val="24"/>
        </w:rPr>
        <w:t xml:space="preserve">5.4.1. Invariantes vs. variables: la regla de diseño central</w:t>
      </w:r>
    </w:p>
    <w:p>
      <w:pPr>
        <w:spacing w:after="120" w:before="120" w:line="276"/>
        <w:jc w:val="both"/>
      </w:pPr>
      <w:r>
        <w:rPr>
          <w:rFonts w:ascii="Arial" w:cs="Arial" w:eastAsia="Arial" w:hAnsi="Arial"/>
          <w:sz w:val="24"/>
          <w:szCs w:val="24"/>
        </w:rPr>
        <w:t xml:space="preserve">El principio que hace operativa la integración entre PMBOK® 7 y Lean Startup es la distinción entre invariantes y variables. Los invariantes son los componentes cuyo fallo tiene consecuencias irreversibles: la auditoría de transacciones, el mecanismo de sorteo verificable, el protocolo de disputas, la arquitectura de pagos. Se gestionan con lógica PMBOK® 7: se especifican, prueban y monitorean de manera continua. No se experimenta con ellos en producción.</w:t>
      </w:r>
    </w:p>
    <w:p>
      <w:pPr>
        <w:spacing w:after="120" w:before="120" w:line="276"/>
        <w:jc w:val="both"/>
      </w:pPr>
      <w:r>
        <w:rPr>
          <w:rFonts w:ascii="Arial" w:cs="Arial" w:eastAsia="Arial" w:hAnsi="Arial"/>
          <w:sz w:val="24"/>
          <w:szCs w:val="24"/>
        </w:rPr>
        <w:t xml:space="preserve">Las variables son los supuestos de negocio que solo el mercado puede confirmar: si el participante paga S/10 o necesita un precio menor, si el organizador acepta la comisión del 20%, si la retención llega al 20%. Sobre estas variables opera el Lean Startup. Se construye el experimento más barato posible, se mide con datos reales y se decide en consecuencia. La gobernanza del PMBOK® 7 contiene ese ciclo de experimentación; no lo reemplaza.</w:t>
      </w:r>
    </w:p>
    <w:p>
      <w:pPr>
        <w:pStyle w:val="Heading2"/>
        <w:spacing w:after="120" w:before="300"/>
      </w:pPr>
      <w:r>
        <w:rPr>
          <w:rFonts w:ascii="Arial" w:cs="Arial" w:eastAsia="Arial" w:hAnsi="Arial"/>
          <w:b/>
          <w:bCs/>
          <w:sz w:val="26"/>
          <w:szCs w:val="26"/>
        </w:rPr>
        <w:t xml:space="preserve">5.5. Validación del modelo</w:t>
      </w:r>
    </w:p>
    <w:p>
      <w:pPr>
        <w:spacing w:after="120" w:before="120" w:line="276"/>
        <w:jc w:val="both"/>
      </w:pPr>
      <w:r>
        <w:rPr>
          <w:rFonts w:ascii="Arial" w:cs="Arial" w:eastAsia="Arial" w:hAnsi="Arial"/>
          <w:sz w:val="24"/>
          <w:szCs w:val="24"/>
        </w:rPr>
        <w:t xml:space="preserve">La metodología se valida en cuatro niveles progresivos.</w:t>
      </w:r>
    </w:p>
    <w:p>
      <w:pPr>
        <w:spacing w:after="60" w:before="240"/>
      </w:pPr>
      <w:r>
        <w:rPr>
          <w:rFonts w:ascii="Arial" w:cs="Arial" w:eastAsia="Arial" w:hAnsi="Arial"/>
          <w:b/>
          <w:bCs/>
          <w:sz w:val="24"/>
          <w:szCs w:val="22"/>
        </w:rPr>
        <w:t xml:space="preserve">Tabla 18</w:t>
      </w:r>
      <w:r>
        <w:br/>
        <w:t xml:space="preserve">
</w:t>
      </w:r>
      <w:r>
        <w:rPr>
          <w:rFonts w:ascii="Arial" w:cs="Arial" w:eastAsia="Arial" w:hAnsi="Arial"/>
          <w:i/>
          <w:iCs/>
          <w:sz w:val="24"/>
          <w:szCs w:val="22"/>
        </w:rPr>
        <w:t xml:space="preserve">Criterios de validación del modelo ALAZAR-HPM</w:t>
      </w:r>
    </w:p>
    <w:tbl>
      <w:tblPr>
        <w:tblW w:type="dxa" w:w="9360"/>
        <w:tblBorders>
          <w:top w:val="single" w:color="000000" w:sz="6"/>
          <w:left w:val="none" w:sz="0"/>
          <w:bottom w:val="single" w:color="000000" w:sz="6"/>
          <w:right w:val="none" w:sz="0"/>
          <w:insideH w:val="none" w:sz="0"/>
          <w:insideV w:val="none" w:sz="0"/>
        </w:tblBorders>
      </w:tblPr>
      <w:tblGrid>
        <w:gridCol w:w="1800"/>
        <w:gridCol w:w="1800"/>
        <w:gridCol w:w="2760"/>
        <w:gridCol w:w="2800"/>
      </w:tblGrid>
      <w:tr>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Nivel</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Criterio</w:t>
            </w:r>
          </w:p>
        </w:tc>
        <w:tc>
          <w:tcPr>
            <w:tcW w:type="dxa" w:w="27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Pregunta de evaluación</w:t>
            </w:r>
          </w:p>
        </w:tc>
        <w:tc>
          <w:tcPr>
            <w:tcW w:type="dxa" w:w="2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Evidencia en el trabajo</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 Validación teórica</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Consistencia con marcos de referencia</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¿Cada componente es derivable del PMBOK® 7, Lean Startup o de la teoría de gobernanza digital?</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IV: los doce principios del PMBOK® 7 se mapean uno a uno con herramientas del modelo (Tabla 12).</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 Validación contextual</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Adecuación al diagnóstico estratégico</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modelo responde a los problemas identificados en el PESTEL, MEFE, MEFI y FODA?</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III: las estrategias DA críticas (DA-1 a DA-4) son prescripciones directas del modelo que responden a vulnerabilidades específicas.</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 Validación operacional</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Implementabilidad con recursos mínimos</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¿Puede un equipo de dos personas implementar y mantener el modelo durante nueve meses con el presupuesto del bootstrapping?</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VI: la Fase 0 define la implementación en el Mes 1 con recursos documentados. Los instrumentos están diseñados para su mantenimiento por un equipo mínimo.</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4. Validación empírica (futura)</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Coherencia con resultados reales</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¿Los resultados de los sprints quincenales son coherentes con las predicciones del Registro de Supuestos y el Registro de Riesgos?</w:t>
            </w:r>
          </w:p>
        </w:tc>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 VII (fase de implementación): análisis basado en los Informes de Gobernanza de los sprints reales.</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Stake (1995), Flyvbjerg (2006) y los criterios de validación de modelos propositivos.</w:t>
      </w:r>
    </w:p>
    <w:p>
      <w:r>
        <w:br w:type="page"/>
      </w:r>
    </w:p>
    <w:p>
      <w:pPr>
        <w:pStyle w:val="Heading1"/>
        <w:spacing w:after="180" w:before="360"/>
        <w:jc w:val="center"/>
      </w:pPr>
      <w:r>
        <w:rPr>
          <w:rFonts w:ascii="Arial" w:cs="Arial" w:eastAsia="Arial" w:hAnsi="Arial"/>
          <w:b/>
          <w:bCs/>
          <w:caps/>
          <w:sz w:val="28"/>
          <w:szCs w:val="28"/>
        </w:rPr>
        <w:t xml:space="preserve">CAPÍTULO VI. APLICACIÓN EN EL PROYECTO</w:t>
      </w:r>
    </w:p>
    <w:p>
      <w:pPr>
        <w:spacing w:after="120" w:before="120" w:line="276"/>
        <w:jc w:val="both"/>
      </w:pPr>
      <w:r>
        <w:rPr>
          <w:rFonts w:ascii="Arial" w:cs="Arial" w:eastAsia="Arial" w:hAnsi="Arial"/>
          <w:sz w:val="24"/>
          <w:szCs w:val="24"/>
        </w:rPr>
        <w:t xml:space="preserve">Este capítulo es una guía de implementación. Responde la pregunta central del trabajo: ¿cómo implementar una startup desde la idea hasta un MVP utilizando PMBOK® 7 y Lean Startup? Al terminar este capítulo, el lector debe entender: (1) cómo iniciar, (2) cómo validar, (3) cómo tomar decisiones, (4) cómo controlar riesgos, (5) cómo documentar aprendizajes, (6) cómo evitar el caos operacional, (7) cómo iterar, y (8) cómo escalar progresivamente. El modelo no construye el producto por el emprendedor, pero le da la estructura mínima para construir y aprender de manera ordenada.</w:t>
      </w:r>
    </w:p>
    <w:p>
      <w:pPr>
        <w:pStyle w:val="Heading2"/>
        <w:spacing w:after="120" w:before="300"/>
      </w:pPr>
      <w:r>
        <w:rPr>
          <w:rFonts w:ascii="Arial" w:cs="Arial" w:eastAsia="Arial" w:hAnsi="Arial"/>
          <w:b/>
          <w:bCs/>
          <w:sz w:val="26"/>
          <w:szCs w:val="26"/>
        </w:rPr>
        <w:t xml:space="preserve">6.1. Qué resuelve el modelo y qué no</w:t>
      </w:r>
    </w:p>
    <w:p>
      <w:pPr>
        <w:spacing w:after="120" w:before="120" w:line="276"/>
        <w:jc w:val="both"/>
      </w:pPr>
      <w:r>
        <w:rPr>
          <w:rFonts w:ascii="Arial" w:cs="Arial" w:eastAsia="Arial" w:hAnsi="Arial"/>
          <w:sz w:val="24"/>
          <w:szCs w:val="24"/>
        </w:rPr>
        <w:t xml:space="preserve">El modelo no construye el producto ni valida la idea de negocio en lugar del emprendedor. Lo que hace es proveer la estructura mínima para construir y aprender de manera ordenada, sin improvisar cada decisión y sin gastar el capital antes de saber si la idea funciona. Tres condiciones de partida que el modelo asume: primero, que existe una idea de negocio que todavía no ha sido probada en el mercado real. Segundo, que el capital es limitado. Tercero, que el principal responsable del proyecto es el propio emprendedor, con un equipo pequeño.</w:t>
      </w:r>
    </w:p>
    <w:p>
      <w:pPr>
        <w:spacing w:after="120" w:before="120" w:line="276"/>
        <w:jc w:val="both"/>
      </w:pPr>
      <w:r>
        <w:rPr>
          <w:rFonts w:ascii="Arial" w:cs="Arial" w:eastAsia="Arial" w:hAnsi="Arial"/>
          <w:sz w:val="24"/>
          <w:szCs w:val="24"/>
        </w:rPr>
        <w:t xml:space="preserve">La lógica del modelo es la misma para cualquier startup porque el problema que resuelve es el mismo: cómo avanzar de manera inteligente cuando hay poco dinero y mucha incertidumbre. Lo que cambia entre proyectos son los supuestos específicos, los riesgos concretos y las métricas relevantes. La estructura es la misma.</w:t>
      </w:r>
    </w:p>
    <w:p>
      <w:pPr>
        <w:pStyle w:val="Heading2"/>
        <w:spacing w:after="120" w:before="300"/>
      </w:pPr>
      <w:r>
        <w:rPr>
          <w:rFonts w:ascii="Arial" w:cs="Arial" w:eastAsia="Arial" w:hAnsi="Arial"/>
          <w:b/>
          <w:bCs/>
          <w:sz w:val="26"/>
          <w:szCs w:val="26"/>
        </w:rPr>
        <w:t xml:space="preserve">6.2. Los cuatro instrumentos operacionales</w:t>
      </w:r>
    </w:p>
    <w:p>
      <w:pPr>
        <w:spacing w:after="120" w:before="120" w:line="276"/>
        <w:jc w:val="both"/>
      </w:pPr>
      <w:r>
        <w:rPr>
          <w:rFonts w:ascii="Arial" w:cs="Arial" w:eastAsia="Arial" w:hAnsi="Arial"/>
          <w:sz w:val="24"/>
          <w:szCs w:val="24"/>
        </w:rPr>
        <w:t xml:space="preserve">La metodología funciona con cuatro documentos de trabajo activos. Se llaman instrumentos porque se usan y actualizan constantemente, no se escriben una vez y se archivan. Cada uno tiene un propósito específico y juntos forman el sistema de gobernanza mínima del proyecto.</w:t>
      </w:r>
    </w:p>
    <w:p>
      <w:pPr>
        <w:spacing w:after="120" w:before="120" w:line="276"/>
        <w:jc w:val="both"/>
      </w:pPr>
      <w:r>
        <w:rPr>
          <w:rFonts w:ascii="Arial" w:cs="Arial" w:eastAsia="Arial" w:hAnsi="Arial"/>
          <w:iCs/>
          <w:sz w:val="24"/>
          <w:szCs w:val="22"/>
        </w:rPr>
        <w:t xml:space="preserve">INSTRUMENTO 1: La Carta de Gobernanza. Una página. Tres preguntas: ¿quién hace qué? ¿Quién puede decidir qué sin consultar? ¿Qué pasa si el responsable principal no puede trabajar por unos días? Por qué existe: la mayoría de los conflictos en equipos pequeños no vienen de falta de talento sino de ambigüedad sobre quién tiene autoridad sobre qué. Cómo se hace: roles del equipo, tipos de decisión y quién las toma, y un párrafo sobre qué ocurre si el fundador no está disponible por cinco días o más.</w:t>
      </w:r>
    </w:p>
    <w:p>
      <w:pPr>
        <w:spacing w:after="120" w:before="120" w:line="276"/>
        <w:jc w:val="both"/>
      </w:pPr>
      <w:r>
        <w:rPr>
          <w:rFonts w:ascii="Arial" w:cs="Arial" w:eastAsia="Arial" w:hAnsi="Arial"/>
          <w:iCs/>
          <w:sz w:val="24"/>
          <w:szCs w:val="22"/>
        </w:rPr>
        <w:t xml:space="preserve">INSTRUMENTO 2: La Bitácora de Decisiones RC-01. Un registro de las decisiones importantes. Cada decisión estratégica se anota con cuatro datos: qué se decidió, qué información había disponible, qué alternativas se consideraron y por qué se eligió esa opción. Por qué existe: sin este registro, las decisiones viven solo en la cabeza del fundador. La bitácora convierte la experiencia del fundador en conocimiento del equipo. Cómo se usa: solo para decisiones que cambian el rumbo del proyecto.</w:t>
      </w:r>
    </w:p>
    <w:p>
      <w:pPr>
        <w:spacing w:after="120" w:before="120" w:line="276"/>
        <w:jc w:val="both"/>
      </w:pPr>
      <w:r>
        <w:rPr>
          <w:rFonts w:ascii="Arial" w:cs="Arial" w:eastAsia="Arial" w:hAnsi="Arial"/>
          <w:iCs/>
          <w:sz w:val="24"/>
          <w:szCs w:val="22"/>
        </w:rPr>
        <w:t xml:space="preserve">INSTRUMENTO 3: El Registro de Supuestos S1-S6. Una lista de las seis cosas más importantes que no se saben todavía sobre el negocio. Cada una de esas preguntas es un supuesto: algo que se cree que es verdad pero que todavía no ha podido confirmarse con datos reales. Por qué existe: la mayoría de las startups no fracasan por falta de talento técnico. Fracasan porque invirtieron meses en construir basándose en supuestos que nunca verificaron. Cómo se usa: ordenar de más a menos crítico. El más crítico es aquel cuya falsedad haría que todo el modelo de negocio colapsara.</w:t>
      </w:r>
    </w:p>
    <w:p>
      <w:pPr>
        <w:spacing w:after="120" w:before="120" w:line="276"/>
        <w:jc w:val="both"/>
      </w:pPr>
      <w:r>
        <w:rPr>
          <w:rFonts w:ascii="Arial" w:cs="Arial" w:eastAsia="Arial" w:hAnsi="Arial"/>
          <w:iCs/>
          <w:sz w:val="24"/>
          <w:szCs w:val="22"/>
        </w:rPr>
        <w:t xml:space="preserve">INSTRUMENTO 4: El Registro de Riesgos R1-R8. Una lista de los ocho problemas más probables que podrían hacer fracasar el proyecto antes de llegar al mercado. Para cada uno: probabilidad, gravedad, señal de alerta y qué hacer si ocurre. Por qué existe: los problemas que destruyen startups casi nunca son sorpresas. Son cosas predecibles que nadie se tomó el tiempo de pensar antes. Un plan de respuesta escrito convierte esos problemas en obstáculos manejables. Cómo se usa: elaborar al inicio y revisar al final de cada sprint quincenal.</w:t>
      </w:r>
    </w:p>
    <w:p>
      <w:pPr>
        <w:pStyle w:val="Heading2"/>
        <w:spacing w:after="120" w:before="300"/>
      </w:pPr>
      <w:r>
        <w:rPr>
          <w:rFonts w:ascii="Arial" w:cs="Arial" w:eastAsia="Arial" w:hAnsi="Arial"/>
          <w:b/>
          <w:bCs/>
          <w:sz w:val="26"/>
          <w:szCs w:val="26"/>
        </w:rPr>
        <w:t xml:space="preserve">6.3. Fase 0: construir la base antes de lanzar (Meses 1 y 2)</w:t>
      </w:r>
    </w:p>
    <w:p>
      <w:pPr>
        <w:spacing w:after="120" w:before="120" w:line="276"/>
        <w:jc w:val="both"/>
      </w:pPr>
      <w:r>
        <w:rPr>
          <w:rFonts w:ascii="Arial" w:cs="Arial" w:eastAsia="Arial" w:hAnsi="Arial"/>
          <w:sz w:val="24"/>
          <w:szCs w:val="24"/>
        </w:rPr>
        <w:t xml:space="preserve">La Fase 0 no produce funcionalidades del producto. Produce la base sobre la que todo lo demás se va a construir. Esta fase tiene cuatro acciones de cumplimiento obligatorio antes de que el primer usuario externo use el producto. Si alguna de estas cuatro no está hecha cuando el producto llega al mercado, el proyecto tiene un riesgo existencial activo.</w:t>
      </w:r>
    </w:p>
    <w:p>
      <w:pPr>
        <w:pStyle w:val="Heading3"/>
        <w:spacing w:after="120" w:before="240"/>
      </w:pPr>
      <w:r>
        <w:rPr>
          <w:rFonts w:ascii="Arial" w:cs="Arial" w:eastAsia="Arial" w:hAnsi="Arial"/>
          <w:b/>
          <w:bCs/>
          <w:i/>
          <w:iCs/>
          <w:sz w:val="24"/>
          <w:szCs w:val="24"/>
        </w:rPr>
        <w:t xml:space="preserve">6.3.1. Las cuatro acciones obligatorias de la Fase 0</w:t>
      </w:r>
    </w:p>
    <w:p>
      <w:pPr>
        <w:spacing w:after="120" w:before="120" w:line="276"/>
        <w:jc w:val="both"/>
      </w:pPr>
      <w:r>
        <w:rPr>
          <w:rFonts w:ascii="Arial" w:cs="Arial" w:eastAsia="Arial" w:hAnsi="Arial"/>
          <w:b/>
          <w:bCs/>
          <w:sz w:val="24"/>
          <w:szCs w:val="24"/>
        </w:rPr>
        <w:t xml:space="preserve">Acción 1. Consulta legal antes de lanzar. </w:t>
      </w:r>
      <w:r>
        <w:rPr>
          <w:rFonts w:ascii="Arial" w:cs="Arial" w:eastAsia="Arial" w:hAnsi="Arial"/>
          <w:sz w:val="24"/>
          <w:szCs w:val="24"/>
        </w:rPr>
        <w:t xml:space="preserve">Si la startup opera en un sector regulado, se necesita una opinión legal sobre qué reglas aplican al modelo de negocio antes de lanzar. En el caso de ALAZAR, el marco legal de sorteos digitales en el Perú tiene ambigüedades que un abogado especialista puede resolver en pocas horas. El costo de la consulta (entre S/800 y S/1,500) es insignificante comparado con el costo de rediseñar el modelo de negocio completo después de meses de desarrollo.</w:t>
      </w:r>
    </w:p>
    <w:p>
      <w:pPr>
        <w:spacing w:after="120" w:before="120" w:line="276"/>
        <w:jc w:val="both"/>
      </w:pPr>
      <w:r>
        <w:rPr>
          <w:rFonts w:ascii="Arial" w:cs="Arial" w:eastAsia="Arial" w:hAnsi="Arial"/>
          <w:b/>
          <w:bCs/>
          <w:sz w:val="24"/>
          <w:szCs w:val="24"/>
        </w:rPr>
        <w:t xml:space="preserve">Acción 2. Construir solo el flujo núcleo del producto. </w:t>
      </w:r>
      <w:r>
        <w:rPr>
          <w:rFonts w:ascii="Arial" w:cs="Arial" w:eastAsia="Arial" w:hAnsi="Arial"/>
          <w:sz w:val="24"/>
          <w:szCs w:val="24"/>
        </w:rPr>
        <w:t xml:space="preserve">El flujo núcleo es la secuencia mínima de pasos que un usuario debe poder hacer para que el modelo de negocio funcione. En ALAZAR: el participante compra un ticket, el sistema realiza el sorteo verificablemente, se identifica al ganador, el organizador entrega el premio y recibe su pago neto. Nada más hasta que ese flujo esté validado.</w:t>
      </w:r>
    </w:p>
    <w:p>
      <w:pPr>
        <w:spacing w:after="120" w:before="120" w:line="276"/>
        <w:jc w:val="both"/>
      </w:pPr>
      <w:r>
        <w:rPr>
          <w:rFonts w:ascii="Arial" w:cs="Arial" w:eastAsia="Arial" w:hAnsi="Arial"/>
          <w:b/>
          <w:bCs/>
          <w:sz w:val="24"/>
          <w:szCs w:val="24"/>
        </w:rPr>
        <w:t xml:space="preserve">Acción 3. Tener un plan B para los proveedores críticos. </w:t>
      </w:r>
      <w:r>
        <w:rPr>
          <w:rFonts w:ascii="Arial" w:cs="Arial" w:eastAsia="Arial" w:hAnsi="Arial"/>
          <w:sz w:val="24"/>
          <w:szCs w:val="24"/>
        </w:rPr>
        <w:t xml:space="preserve">Si el negocio depende de un proveedor externo, se necesita saber qué se haría si ese proveedor falla o cambia sus condiciones. No es necesario implementarlo todavía, pero sí documentarlo. En ALAZAR: identificar un PSP alternativo con los pasos para activarlo, disponible antes del primer sorteo real.</w:t>
      </w:r>
    </w:p>
    <w:p>
      <w:pPr>
        <w:spacing w:after="120" w:before="120" w:line="276"/>
        <w:jc w:val="both"/>
      </w:pPr>
      <w:r>
        <w:rPr>
          <w:rFonts w:ascii="Arial" w:cs="Arial" w:eastAsia="Arial" w:hAnsi="Arial"/>
          <w:b/>
          <w:bCs/>
          <w:sz w:val="24"/>
          <w:szCs w:val="24"/>
        </w:rPr>
        <w:t xml:space="preserve">Acción 4. Definir cómo se resuelven los problemas con los clientes. </w:t>
      </w:r>
      <w:r>
        <w:rPr>
          <w:rFonts w:ascii="Arial" w:cs="Arial" w:eastAsia="Arial" w:hAnsi="Arial"/>
          <w:sz w:val="24"/>
          <w:szCs w:val="24"/>
        </w:rPr>
        <w:t xml:space="preserve">Antes de que llegue el primer cliente real, se debe saber qué hacer cuando algo salga mal. Para cada tipo de problema probable: quién lo recibe, qué información se necesita, quién tiene la autoridad final y en qué plazo se resuelve. Ese protocolo debe existir antes del primer usuario externo.</w:t>
      </w:r>
    </w:p>
    <w:p>
      <w:pPr>
        <w:spacing w:after="60" w:before="240"/>
      </w:pPr>
      <w:r>
        <w:rPr>
          <w:rFonts w:ascii="Arial" w:cs="Arial" w:eastAsia="Arial" w:hAnsi="Arial"/>
          <w:b/>
          <w:bCs/>
          <w:sz w:val="24"/>
          <w:szCs w:val="22"/>
        </w:rPr>
        <w:t xml:space="preserve">Tabla 19</w:t>
      </w:r>
      <w:r>
        <w:br/>
        <w:t xml:space="preserve">
</w:t>
      </w:r>
      <w:r>
        <w:rPr>
          <w:rFonts w:ascii="Arial" w:cs="Arial" w:eastAsia="Arial" w:hAnsi="Arial"/>
          <w:i/>
          <w:iCs/>
          <w:sz w:val="24"/>
          <w:szCs w:val="22"/>
        </w:rPr>
        <w:t xml:space="preserve">Entregables de la Fase 0 con criterios de aceptación</w:t>
      </w:r>
    </w:p>
    <w:tbl>
      <w:tblPr>
        <w:tblW w:type="dxa" w:w="9360"/>
        <w:tblBorders>
          <w:top w:val="single" w:color="000000" w:sz="6"/>
          <w:left w:val="none" w:sz="0"/>
          <w:bottom w:val="single" w:color="000000" w:sz="6"/>
          <w:right w:val="none" w:sz="0"/>
          <w:insideH w:val="none" w:sz="0"/>
          <w:insideV w:val="none" w:sz="0"/>
        </w:tblBorders>
      </w:tblPr>
      <w:tblGrid>
        <w:gridCol w:w="2600"/>
        <w:gridCol w:w="4960"/>
        <w:gridCol w:w="1800"/>
      </w:tblGrid>
      <w:tr>
        <w:tc>
          <w:tcPr>
            <w:tcW w:type="dxa" w:w="26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Entregable</w:t>
            </w:r>
          </w:p>
        </w:tc>
        <w:tc>
          <w:tcPr>
            <w:tcW w:type="dxa" w:w="49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Qué debe contener para considerarse completo</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Cuándo</w:t>
            </w:r>
          </w:p>
        </w:tc>
      </w:tr>
      <w:tr>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Carta de Gobernanza V1.0</w:t>
            </w:r>
          </w:p>
        </w:tc>
        <w:tc>
          <w:tcPr>
            <w:tcW w:type="dxa" w:w="49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Roles del equipo, protocolo de autoridad para decisiones estratégicas y tácticas, plan de continuidad para ausencias de hasta 10 días.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w:t>
            </w:r>
          </w:p>
        </w:tc>
      </w:tr>
      <w:tr>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Bitácora RC-01 inicializada</w:t>
            </w:r>
          </w:p>
        </w:tc>
        <w:tc>
          <w:tcPr>
            <w:tcW w:type="dxa" w:w="49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Mínimo 3 decisiones estratégicas registradas con evidencia y justificación.</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w:t>
            </w:r>
          </w:p>
        </w:tc>
      </w:tr>
      <w:tr>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Resultado de la consulta legal</w:t>
            </w:r>
          </w:p>
        </w:tc>
        <w:tc>
          <w:tcPr>
            <w:tcW w:type="dxa" w:w="49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Opinión escrita sobre qué regulaciones aplican y qué se necesita para operar legalmente.</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w:t>
            </w:r>
          </w:p>
        </w:tc>
      </w:tr>
      <w:tr>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Riesgos completo</w:t>
            </w:r>
          </w:p>
        </w:tc>
        <w:tc>
          <w:tcPr>
            <w:tcW w:type="dxa" w:w="49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8 riesgos con probabilidad, gravedad, disparador y respuesta. Los 3 más graves con plan listo.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w:t>
            </w:r>
          </w:p>
        </w:tc>
      </w:tr>
      <w:tr>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Plan B del proveedor crítico</w:t>
            </w:r>
          </w:p>
        </w:tc>
        <w:tc>
          <w:tcPr>
            <w:tcW w:type="dxa" w:w="49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Proveedor alternativo identificado y pasos de activación documentados en la Bitácora.</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1-2</w:t>
            </w:r>
          </w:p>
        </w:tc>
      </w:tr>
      <w:tr>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Protocolo de resolución de problemas</w:t>
            </w:r>
          </w:p>
        </w:tc>
        <w:tc>
          <w:tcPr>
            <w:tcW w:type="dxa" w:w="49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Flujo para los problemas más probables: quién lo recibe, qué evidencia se necesita, quién decide, en qué plazo.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1-2</w:t>
            </w:r>
          </w:p>
        </w:tc>
      </w:tr>
      <w:tr>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Producto en entorno de prueba</w:t>
            </w:r>
          </w:p>
        </w:tc>
        <w:tc>
          <w:tcPr>
            <w:tcW w:type="dxa" w:w="49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flujo núcleo funciona sin errores. El equipo ha ejecutado el ciclo completo al menos tres veces.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2</w:t>
            </w:r>
          </w:p>
        </w:tc>
      </w:tr>
      <w:tr>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Términos y condiciones</w:t>
            </w:r>
          </w:p>
        </w:tc>
        <w:tc>
          <w:tcPr>
            <w:tcW w:type="dxa" w:w="49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Documento revisado por el asesor legal, publicado antes del primer usuario externo.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2</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p>
      <w:pPr>
        <w:pStyle w:val="Heading2"/>
        <w:spacing w:after="120" w:before="300"/>
      </w:pPr>
      <w:r>
        <w:rPr>
          <w:rFonts w:ascii="Arial" w:cs="Arial" w:eastAsia="Arial" w:hAnsi="Arial"/>
          <w:b/>
          <w:bCs/>
          <w:sz w:val="26"/>
          <w:szCs w:val="26"/>
        </w:rPr>
        <w:t xml:space="preserve">6.4. Fase 1: lanzar y aprender con usuarios reales (Meses 3 y 4)</w:t>
      </w:r>
    </w:p>
    <w:p>
      <w:pPr>
        <w:spacing w:after="120" w:before="120" w:line="276"/>
        <w:jc w:val="both"/>
      </w:pPr>
      <w:r>
        <w:rPr>
          <w:rFonts w:ascii="Arial" w:cs="Arial" w:eastAsia="Arial" w:hAnsi="Arial"/>
          <w:sz w:val="24"/>
          <w:szCs w:val="24"/>
        </w:rPr>
        <w:t xml:space="preserve">La Fase 1 es cuando el producto sale del laboratorio y entra en contacto con la realidad. El objetivo no es crecer ni escalar: es aprender dos cosas concretas. Primero: ¿el usuario completa el proceso de compra sin abandonar por problemas técnicos? Segundo: ¿el usuario está dispuesto a pagar el precio definido?</w:t>
      </w:r>
    </w:p>
    <w:p>
      <w:pPr>
        <w:pStyle w:val="Heading3"/>
        <w:spacing w:after="120" w:before="240"/>
      </w:pPr>
      <w:r>
        <w:rPr>
          <w:rFonts w:ascii="Arial" w:cs="Arial" w:eastAsia="Arial" w:hAnsi="Arial"/>
          <w:b/>
          <w:bCs/>
          <w:i/>
          <w:iCs/>
          <w:sz w:val="24"/>
          <w:szCs w:val="24"/>
        </w:rPr>
        <w:t xml:space="preserve">6.4.1. El ciclo quincenal de implementación</w:t>
      </w:r>
    </w:p>
    <w:p>
      <w:pPr>
        <w:spacing w:after="120" w:before="120" w:line="276"/>
        <w:jc w:val="both"/>
      </w:pPr>
      <w:r>
        <w:rPr>
          <w:rFonts w:ascii="Arial" w:cs="Arial" w:eastAsia="Arial" w:hAnsi="Arial"/>
          <w:sz w:val="24"/>
          <w:szCs w:val="24"/>
        </w:rPr>
        <w:t xml:space="preserve">El ciclo quincenal es la unidad de trabajo de la metodología. Dura exactamente dos semanas y tiene cuatro momentos: planificación, ejecución, experimento y revisión de gobernanza. Este ritmo obliga al equipo a parar cada dos semanas, revisar lo que aprendió y decidir con datos antes de comprometer el siguiente ciclo.</w:t>
      </w:r>
    </w:p>
    <w:p>
      <w:pPr>
        <w:spacing w:after="120" w:before="120" w:line="276"/>
        <w:jc w:val="both"/>
      </w:pPr>
      <w:r>
        <w:rPr>
          <w:rFonts w:ascii="Arial" w:cs="Arial" w:eastAsia="Arial" w:hAnsi="Arial"/>
          <w:b/>
          <w:bCs/>
          <w:sz w:val="24"/>
          <w:szCs w:val="24"/>
        </w:rPr>
        <w:t xml:space="preserve">Día 1. Planificación: </w:t>
      </w:r>
      <w:r>
        <w:rPr>
          <w:rFonts w:ascii="Arial" w:cs="Arial" w:eastAsia="Arial" w:hAnsi="Arial"/>
          <w:sz w:val="24"/>
          <w:szCs w:val="24"/>
        </w:rPr>
        <w:t xml:space="preserve">Reunión de una hora. Decidir qué supuesto del Registro se va a verificar. Definir el experimento (qué se mide, con cuántos usuarios). Actualizar la Bitácora.</w:t>
      </w:r>
    </w:p>
    <w:p>
      <w:pPr>
        <w:spacing w:after="120" w:before="120" w:line="276"/>
        <w:jc w:val="both"/>
      </w:pPr>
      <w:r>
        <w:rPr>
          <w:rFonts w:ascii="Arial" w:cs="Arial" w:eastAsia="Arial" w:hAnsi="Arial"/>
          <w:b/>
          <w:bCs/>
          <w:sz w:val="24"/>
          <w:szCs w:val="24"/>
        </w:rPr>
        <w:t xml:space="preserve">Días 2 a 8. Ejecución: </w:t>
      </w:r>
      <w:r>
        <w:rPr>
          <w:rFonts w:ascii="Arial" w:cs="Arial" w:eastAsia="Arial" w:hAnsi="Arial"/>
          <w:sz w:val="24"/>
          <w:szCs w:val="24"/>
        </w:rPr>
        <w:t xml:space="preserve">Construir lo mínimo necesario para ejecutar el experimento. No más. El objetivo es tener todo listo para medir.</w:t>
      </w:r>
    </w:p>
    <w:p>
      <w:pPr>
        <w:spacing w:after="120" w:before="120" w:line="276"/>
        <w:jc w:val="both"/>
      </w:pPr>
      <w:r>
        <w:rPr>
          <w:rFonts w:ascii="Arial" w:cs="Arial" w:eastAsia="Arial" w:hAnsi="Arial"/>
          <w:b/>
          <w:bCs/>
          <w:sz w:val="24"/>
          <w:szCs w:val="24"/>
        </w:rPr>
        <w:t xml:space="preserve">Día 9. Experimento: </w:t>
      </w:r>
      <w:r>
        <w:rPr>
          <w:rFonts w:ascii="Arial" w:cs="Arial" w:eastAsia="Arial" w:hAnsi="Arial"/>
          <w:sz w:val="24"/>
          <w:szCs w:val="24"/>
        </w:rPr>
        <w:t xml:space="preserve">Ejecutar el experimento con usuarios reales o potenciales. Registrar el dato sin interpretar todavía.</w:t>
      </w:r>
    </w:p>
    <w:p>
      <w:pPr>
        <w:spacing w:after="120" w:before="120" w:line="276"/>
        <w:jc w:val="both"/>
      </w:pPr>
      <w:r>
        <w:rPr>
          <w:rFonts w:ascii="Arial" w:cs="Arial" w:eastAsia="Arial" w:hAnsi="Arial"/>
          <w:b/>
          <w:bCs/>
          <w:sz w:val="24"/>
          <w:szCs w:val="24"/>
        </w:rPr>
        <w:t xml:space="preserve">Día 10. Revisión de gobernanza: </w:t>
      </w:r>
      <w:r>
        <w:rPr>
          <w:rFonts w:ascii="Arial" w:cs="Arial" w:eastAsia="Arial" w:hAnsi="Arial"/>
          <w:sz w:val="24"/>
          <w:szCs w:val="24"/>
        </w:rPr>
        <w:t xml:space="preserve">Reunión de no más de una hora. Comparar el resultado con el umbral del Registro de Supuestos. Decidir: ¿confirmar y avanzar (perseverar)? ¿ajustar y repetir (iterar)? ¿cambiar algo fundamental (pivotar)? Registrar la decisión en la Bitácora. No importa cuál sea el resultado: lo que importa es que fue una decisión basada en datos reales, no en intuición.</w:t>
      </w:r>
    </w:p>
    <w:p>
      <w:pPr>
        <w:pStyle w:val="Heading3"/>
        <w:spacing w:after="120" w:before="240"/>
      </w:pPr>
      <w:r>
        <w:rPr>
          <w:rFonts w:ascii="Arial" w:cs="Arial" w:eastAsia="Arial" w:hAnsi="Arial"/>
          <w:b/>
          <w:bCs/>
          <w:i/>
          <w:iCs/>
          <w:sz w:val="24"/>
          <w:szCs w:val="24"/>
        </w:rPr>
        <w:t xml:space="preserve">6.4.2. El Registro de Supuestos en la práctica</w:t>
      </w:r>
    </w:p>
    <w:p>
      <w:pPr>
        <w:spacing w:after="60" w:before="240"/>
      </w:pPr>
      <w:r>
        <w:rPr>
          <w:rFonts w:ascii="Arial" w:cs="Arial" w:eastAsia="Arial" w:hAnsi="Arial"/>
          <w:b/>
          <w:bCs/>
          <w:sz w:val="24"/>
          <w:szCs w:val="22"/>
        </w:rPr>
        <w:t xml:space="preserve">Tabla 20</w:t>
      </w:r>
      <w:r>
        <w:br/>
        <w:t xml:space="preserve">
</w:t>
      </w:r>
      <w:r>
        <w:rPr>
          <w:rFonts w:ascii="Arial" w:cs="Arial" w:eastAsia="Arial" w:hAnsi="Arial"/>
          <w:i/>
          <w:iCs/>
          <w:sz w:val="24"/>
          <w:szCs w:val="22"/>
        </w:rPr>
        <w:t xml:space="preserve">Registro de Supuestos de Validación S1-S6 del proyecto ALAZAR</w:t>
      </w:r>
    </w:p>
    <w:tbl>
      <w:tblPr>
        <w:tblW w:type="dxa" w:w="9360"/>
        <w:tblBorders>
          <w:top w:val="single" w:color="000000" w:sz="6"/>
          <w:left w:val="none" w:sz="0"/>
          <w:bottom w:val="single" w:color="000000" w:sz="6"/>
          <w:right w:val="none" w:sz="0"/>
          <w:insideH w:val="none" w:sz="0"/>
          <w:insideV w:val="none" w:sz="0"/>
        </w:tblBorders>
      </w:tblPr>
      <w:tblGrid>
        <w:gridCol w:w="900"/>
        <w:gridCol w:w="1560"/>
        <w:gridCol w:w="1560"/>
        <w:gridCol w:w="1560"/>
        <w:gridCol w:w="1560"/>
        <w:gridCol w:w="1560"/>
        <w:gridCol w:w="660"/>
      </w:tblGrid>
      <w:tr>
        <w:tc>
          <w:tcPr>
            <w:tcW w:type="dxa" w:w="9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ID</w:t>
            </w:r>
          </w:p>
        </w:tc>
        <w:tc>
          <w:tcPr>
            <w:tcW w:type="dxa" w:w="15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Supuesto</w:t>
            </w:r>
          </w:p>
        </w:tc>
        <w:tc>
          <w:tcPr>
            <w:tcW w:type="dxa" w:w="15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Pregunta que responde</w:t>
            </w:r>
          </w:p>
        </w:tc>
        <w:tc>
          <w:tcPr>
            <w:tcW w:type="dxa" w:w="15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Cómo se mide</w:t>
            </w:r>
          </w:p>
        </w:tc>
        <w:tc>
          <w:tcPr>
            <w:tcW w:type="dxa" w:w="15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Se confirma si...</w:t>
            </w:r>
          </w:p>
        </w:tc>
        <w:tc>
          <w:tcPr>
            <w:tcW w:type="dxa" w:w="15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Falla si...</w:t>
            </w:r>
          </w:p>
        </w:tc>
        <w:tc>
          <w:tcPr>
            <w:tcW w:type="dxa" w:w="6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Ciclo</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S1</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Disposición de pago</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participante paga el precio definido en una plataforma nueva?</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de usuarios que completan la compra después de ver el precio. Precio promedio pagado.</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≥30% completan la compra con precio ≥ S/10.</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&lt;15% completan o el precio promedio está muy por debajo del punto de equilibrio.</w:t>
            </w:r>
          </w:p>
        </w:tc>
        <w:tc>
          <w:tcPr>
            <w:tcW w:type="dxa" w:w="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Ciclos 3-4 (Mes 4)</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S2</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Aceptación del organizador</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organizador publica sorteos pagando la comisión definida?</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de organizadores que completan publicación (draft → activo). % de abandono por paso.</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≥5 organizadores activan un sorteo en el plazo. Abandono &lt;50%.</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&lt;3 completam o &gt;70% abandona antes de activar.</w:t>
            </w:r>
          </w:p>
        </w:tc>
        <w:tc>
          <w:tcPr>
            <w:tcW w:type="dxa" w:w="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Ciclos 5-6 (Mes 5)</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S3</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Fluidez técnica del proceso de compra</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proceso técnico funciona sin errores que generen abandono?</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de intentos de compra que llegan hasta confirmación del ticket sin errores.</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≥70% de intentos llegan hasta la confirmación sin errores.</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&gt;30% fallan por errores técnicos o de diseño.</w:t>
            </w:r>
          </w:p>
        </w:tc>
        <w:tc>
          <w:tcPr>
            <w:tcW w:type="dxa" w:w="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Ciclo 1 (Mes 3), primero en verificarse</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S4</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Confianza en el sorteo</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participante percibe el resultado como justo y verificable?</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Satisfacción post-sorteo (1-10). % de disputas sobre el resultado.</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Puntuación ≥7/10 y &lt;5% disputas.</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Puntuación &lt;5/10 o &gt;10% disputas.</w:t>
            </w:r>
          </w:p>
        </w:tc>
        <w:tc>
          <w:tcPr>
            <w:tcW w:type="dxa" w:w="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Ciclos 7-8 (Mes 6)</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S5</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Entrega y cobro del premio</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ciclo completo funciona dentro del plazo prometido?</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Tiempo promedio ciclo completo. % de entregas con disputa.</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&lt;7 días ciclo y &lt;10% disputas.</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&gt;14 días o &gt;20% disputas.</w:t>
            </w:r>
          </w:p>
        </w:tc>
        <w:tc>
          <w:tcPr>
            <w:tcW w:type="dxa" w:w="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Ciclos 9-10 (Mes 7)</w:t>
            </w:r>
          </w:p>
        </w:tc>
      </w:tr>
      <w:tr>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S6</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Retención de participantes</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¿Los participantes regresan en el primer mes?</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 de participantes con ≥2 compras en los primeros 30 días.</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≥20% regresa.</w:t>
            </w:r>
          </w:p>
        </w:tc>
        <w:tc>
          <w:tcPr>
            <w:tcW w:type="dxa" w:w="1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&lt;10% regresa.</w:t>
            </w:r>
          </w:p>
        </w:tc>
        <w:tc>
          <w:tcPr>
            <w:tcW w:type="dxa" w:w="6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Ciclos 11-12 (Mes 8)</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S3 se verifica antes que S1 porque no tiene sentido medir disposición de pago si el proceso técnico tiene errores que generan abandono. Los umbrales cuantitativos de cada supuesto (30%, 70%, cinco organizadores) son supuestos de diseño derivados de la lógica del modelo de negocio: representan el nivel mínimo de respuesta necesario para que el ciclo económico funcione, no estándares del sector. Su calibración definitiva depende de la evidencia empírica de los primeros sprints; si los datos reales muestran que el umbral no es alcanzable o que el negocio funciona con valores más bajos, deben revisarse en la Bitácora RC-01 con la justificación correspondiente.</w:t>
      </w:r>
    </w:p>
    <w:p>
      <w:pPr>
        <w:pStyle w:val="Heading2"/>
        <w:spacing w:after="120" w:before="300"/>
      </w:pPr>
      <w:r>
        <w:rPr>
          <w:rFonts w:ascii="Arial" w:cs="Arial" w:eastAsia="Arial" w:hAnsi="Arial"/>
          <w:b/>
          <w:bCs/>
          <w:sz w:val="26"/>
          <w:szCs w:val="26"/>
        </w:rPr>
        <w:t xml:space="preserve">6.5. Fase 2: cerrar el ciclo económico completo (Meses 5, 6 y 7)</w:t>
      </w:r>
    </w:p>
    <w:p>
      <w:pPr>
        <w:spacing w:after="120" w:before="120" w:line="276"/>
        <w:jc w:val="both"/>
      </w:pPr>
      <w:r>
        <w:rPr>
          <w:rFonts w:ascii="Arial" w:cs="Arial" w:eastAsia="Arial" w:hAnsi="Arial"/>
          <w:sz w:val="24"/>
          <w:szCs w:val="24"/>
        </w:rPr>
        <w:t xml:space="preserve">La Fase 1 responde si el participante quiere comprar. La Fase 2 responde si el modelo de negocio completo funciona: si el organizador acepta las condiciones, si el premio llega al ganador, si el organizador recibe su pago y si el ciclo puede repetirse. El hito de esta fase es el primer ciclo completo ejecutado sin intervención manual.</w:t>
      </w:r>
    </w:p>
    <w:p>
      <w:pPr>
        <w:pStyle w:val="Heading3"/>
        <w:spacing w:after="120" w:before="240"/>
      </w:pPr>
      <w:r>
        <w:rPr>
          <w:rFonts w:ascii="Arial" w:cs="Arial" w:eastAsia="Arial" w:hAnsi="Arial"/>
          <w:b/>
          <w:bCs/>
          <w:i/>
          <w:iCs/>
          <w:sz w:val="24"/>
          <w:szCs w:val="24"/>
        </w:rPr>
        <w:t xml:space="preserve">6.5.1. Qué hacer cuando un supuesto falla</w:t>
      </w:r>
    </w:p>
    <w:p>
      <w:pPr>
        <w:spacing w:after="120" w:before="120" w:line="276"/>
        <w:jc w:val="both"/>
      </w:pPr>
      <w:r>
        <w:rPr>
          <w:rFonts w:ascii="Arial" w:cs="Arial" w:eastAsia="Arial" w:hAnsi="Arial"/>
          <w:sz w:val="24"/>
          <w:szCs w:val="24"/>
        </w:rPr>
        <w:t xml:space="preserve">El protocolo de decisión tiene tres respuestas posibles cuando un supuesto no se confirma:</w:t>
      </w:r>
    </w:p>
    <w:p>
      <w:pPr>
        <w:spacing w:after="120" w:before="120" w:line="276"/>
        <w:jc w:val="both"/>
      </w:pPr>
      <w:r>
        <w:rPr>
          <w:rFonts w:ascii="Arial" w:cs="Arial" w:eastAsia="Arial" w:hAnsi="Arial"/>
          <w:b/>
          <w:bCs/>
          <w:sz w:val="24"/>
          <w:szCs w:val="24"/>
        </w:rPr>
        <w:t xml:space="preserve">Continuar con ajuste (iterar): </w:t>
      </w:r>
      <w:r>
        <w:rPr>
          <w:rFonts w:ascii="Arial" w:cs="Arial" w:eastAsia="Arial" w:hAnsi="Arial"/>
          <w:sz w:val="24"/>
          <w:szCs w:val="24"/>
        </w:rPr>
        <w:t xml:space="preserve">si el resultado está cerca del umbral y el equipo identifica una causa concreta corregible, se ajusta ese factor específico y se repite el experimento. Es la respuesta más común y la que produce mayor aprendizaje.</w:t>
      </w:r>
    </w:p>
    <w:p>
      <w:pPr>
        <w:spacing w:after="120" w:before="120" w:line="276"/>
        <w:jc w:val="both"/>
      </w:pPr>
      <w:r>
        <w:rPr>
          <w:rFonts w:ascii="Arial" w:cs="Arial" w:eastAsia="Arial" w:hAnsi="Arial"/>
          <w:b/>
          <w:bCs/>
          <w:sz w:val="24"/>
          <w:szCs w:val="24"/>
        </w:rPr>
        <w:t xml:space="preserve">Cambiar algo fundamental (pivotar): </w:t>
      </w:r>
      <w:r>
        <w:rPr>
          <w:rFonts w:ascii="Arial" w:cs="Arial" w:eastAsia="Arial" w:hAnsi="Arial"/>
          <w:sz w:val="24"/>
          <w:szCs w:val="24"/>
        </w:rPr>
        <w:t xml:space="preserve">si el resultado está muy lejos del umbral después de dos ciclos de ajuste, el supuesto es probablemente falso. Eso no significa fracaso: significa que se aprendió algo valioso antes de gastar más. Se cambia una variable fundamental del modelo y se documenta en la Bitácora como pivot formal.</w:t>
      </w:r>
    </w:p>
    <w:p>
      <w:pPr>
        <w:spacing w:after="120" w:before="120" w:line="276"/>
        <w:jc w:val="both"/>
      </w:pPr>
      <w:r>
        <w:rPr>
          <w:rFonts w:ascii="Arial" w:cs="Arial" w:eastAsia="Arial" w:hAnsi="Arial"/>
          <w:b/>
          <w:bCs/>
          <w:sz w:val="24"/>
          <w:szCs w:val="24"/>
        </w:rPr>
        <w:t xml:space="preserve">Confirmar y avanzar (perseverar): </w:t>
      </w:r>
      <w:r>
        <w:rPr>
          <w:rFonts w:ascii="Arial" w:cs="Arial" w:eastAsia="Arial" w:hAnsi="Arial"/>
          <w:sz w:val="24"/>
          <w:szCs w:val="24"/>
        </w:rPr>
        <w:t xml:space="preserve">si el resultado supera el umbral, el supuesto está confirmado. Se documenta con la evidencia correspondiente y se avanza al siguiente.</w:t>
      </w:r>
    </w:p>
    <w:p>
      <w:pPr>
        <w:spacing w:after="60" w:before="240"/>
      </w:pPr>
      <w:r>
        <w:rPr>
          <w:rFonts w:ascii="Arial" w:cs="Arial" w:eastAsia="Arial" w:hAnsi="Arial"/>
          <w:b/>
          <w:bCs/>
          <w:sz w:val="24"/>
          <w:szCs w:val="22"/>
        </w:rPr>
        <w:t xml:space="preserve">Tabla 21</w:t>
      </w:r>
      <w:r>
        <w:br/>
        <w:t xml:space="preserve">
</w:t>
      </w:r>
      <w:r>
        <w:rPr>
          <w:rFonts w:ascii="Arial" w:cs="Arial" w:eastAsia="Arial" w:hAnsi="Arial"/>
          <w:i/>
          <w:iCs/>
          <w:sz w:val="24"/>
          <w:szCs w:val="22"/>
        </w:rPr>
        <w:t xml:space="preserve">Registro de Riesgos del proyecto ALAZAR: estado inicial</w:t>
      </w:r>
    </w:p>
    <w:tbl>
      <w:tblPr>
        <w:tblW w:type="dxa" w:w="9360"/>
        <w:tblBorders>
          <w:top w:val="single" w:color="000000" w:sz="6"/>
          <w:left w:val="none" w:sz="0"/>
          <w:bottom w:val="single" w:color="000000" w:sz="6"/>
          <w:right w:val="none" w:sz="0"/>
          <w:insideH w:val="none" w:sz="0"/>
          <w:insideV w:val="none" w:sz="0"/>
        </w:tblBorders>
      </w:tblPr>
      <w:tblGrid>
        <w:gridCol w:w="2200"/>
        <w:gridCol w:w="900"/>
        <w:gridCol w:w="1100"/>
        <w:gridCol w:w="2560"/>
        <w:gridCol w:w="2600"/>
      </w:tblGrid>
      <w:tr>
        <w:tc>
          <w:tcPr>
            <w:tcW w:type="dxa" w:w="22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Riesgo</w:t>
            </w:r>
          </w:p>
        </w:tc>
        <w:tc>
          <w:tcPr>
            <w:tcW w:type="dxa" w:w="9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Prob.</w:t>
            </w:r>
          </w:p>
        </w:tc>
        <w:tc>
          <w:tcPr>
            <w:tcW w:type="dxa" w:w="11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Gravedad</w:t>
            </w:r>
          </w:p>
        </w:tc>
        <w:tc>
          <w:tcPr>
            <w:tcW w:type="dxa" w:w="25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Señal de alerta</w:t>
            </w:r>
          </w:p>
        </w:tc>
        <w:tc>
          <w:tcPr>
            <w:tcW w:type="dxa" w:w="26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Qué hacer si ocurre</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participante no paga el precio definido (S1 falla)</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Muy alta</w:t>
            </w:r>
          </w:p>
        </w:tc>
        <w:tc>
          <w:tcPr>
            <w:tcW w:type="dxa" w:w="2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&lt;15% completan la compra después de dos semanas.</w:t>
            </w:r>
          </w:p>
        </w:tc>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Probar con precio 30% menor. Si no mejora, revisar el segmento objetivo.</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organizador no acepta la comisión del 20% (S2 falla)</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Media</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Muy alta</w:t>
            </w:r>
          </w:p>
        </w:tc>
        <w:tc>
          <w:tcPr>
            <w:tcW w:type="dxa" w:w="2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&lt;3 organizadores completan el onboarding en el primer mes.</w:t>
            </w:r>
          </w:p>
        </w:tc>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Período introductorio de comisión reducida o simplificar el proceso de publicación.</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proceso de compra tiene errores técnicos graves (S3 falla)</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Media</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w:t>
            </w:r>
          </w:p>
        </w:tc>
        <w:tc>
          <w:tcPr>
            <w:tcW w:type="dxa" w:w="2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&gt;30% de intentos de compra fallan por errores técnicos.</w:t>
            </w:r>
          </w:p>
        </w:tc>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Detener el lanzamiento. Documentar y corregir. No avanzar a S1 hasta que S3 esté confirmado.</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Se agota el capital antes de completar el ciclo económico</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Media</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Muy alta</w:t>
            </w:r>
          </w:p>
        </w:tc>
        <w:tc>
          <w:tcPr>
            <w:tcW w:type="dxa" w:w="2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Capital disponible baja de 3 meses de gasto antes del Mes 7.</w:t>
            </w:r>
          </w:p>
        </w:tc>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Postular a fondos de fomento. Reducir gasto no esencial. Acelerar el primer ingreso real.</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organizador no entrega el premio al ganador</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Media</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w:t>
            </w:r>
          </w:p>
        </w:tc>
        <w:tc>
          <w:tcPr>
            <w:tcW w:type="dxa" w:w="2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&gt;10% de los sorteos genera disputa sobre la entrega en los primeros 60 días.</w:t>
            </w:r>
          </w:p>
        </w:tc>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Activar protocolo de resolución de disputas. Revisar el proceso de selección de organizadores.</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Un cambio regulatorio invalida el modelo</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Media</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Muy alta</w:t>
            </w:r>
          </w:p>
        </w:tc>
        <w:tc>
          <w:tcPr>
            <w:tcW w:type="dxa" w:w="2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Nueva normativa sobre sorteos digitales o pagos electrónicos en el Perú.</w:t>
            </w:r>
          </w:p>
        </w:tc>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Consultar inmediatamente con el asesor legal. Documentar opciones de adaptación en la Bitácora.</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fundador no puede trabajar más de una semana</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Media</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w:t>
            </w:r>
          </w:p>
        </w:tc>
        <w:tc>
          <w:tcPr>
            <w:tcW w:type="dxa" w:w="2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Ausencia no planificada por más de 5 días hábiles.</w:t>
            </w:r>
          </w:p>
        </w:tc>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Activar el plan de continuidad de la Carta de Gobernanza.</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proveedor de pagos presenta fallas</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Baja</w:t>
            </w:r>
          </w:p>
        </w:tc>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Alta</w:t>
            </w:r>
          </w:p>
        </w:tc>
        <w:tc>
          <w:tcPr>
            <w:tcW w:type="dxa" w:w="2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Tasa de error &gt;5% en cualquier ventana de una hora.</w:t>
            </w:r>
          </w:p>
        </w:tc>
        <w:tc>
          <w:tcPr>
            <w:tcW w:type="dxa" w:w="2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Activar el PSP alternativo documentado. Comunicar a usuarios activos. Documentar el incidente.</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El Registro de Riesgos se actualiza al final de cada ciclo quincenal con la evidencia acumulada.</w:t>
      </w:r>
    </w:p>
    <w:p>
      <w:pPr>
        <w:pStyle w:val="Heading2"/>
        <w:spacing w:after="120" w:before="300"/>
      </w:pPr>
      <w:r>
        <w:rPr>
          <w:rFonts w:ascii="Arial" w:cs="Arial" w:eastAsia="Arial" w:hAnsi="Arial"/>
          <w:b/>
          <w:bCs/>
          <w:sz w:val="26"/>
          <w:szCs w:val="26"/>
        </w:rPr>
        <w:t xml:space="preserve">6.6. Fase 3: medir, decidir y escalar (Meses 8 y 9)</w:t>
      </w:r>
    </w:p>
    <w:p>
      <w:pPr>
        <w:spacing w:after="120" w:before="120" w:line="276"/>
        <w:jc w:val="both"/>
      </w:pPr>
      <w:r>
        <w:rPr>
          <w:rFonts w:ascii="Arial" w:cs="Arial" w:eastAsia="Arial" w:hAnsi="Arial"/>
          <w:sz w:val="24"/>
          <w:szCs w:val="24"/>
        </w:rPr>
        <w:t xml:space="preserve">La Fase 3 no es la fase de "todo funcionó perfectamente". Es la fase donde el equipo evalúa con honestidad qué aprendió en los ocho meses anteriores y decide qué hace en consecuencia. Esa decisión puede ser escalar, ajustar el modelo, o pivotar. Ninguna de las tres es un fracaso. El fracaso real sería no saber cuál aplica porque nunca se midió nada.</w:t>
      </w:r>
    </w:p>
    <w:p>
      <w:pPr>
        <w:spacing w:after="60" w:before="240"/>
      </w:pPr>
      <w:r>
        <w:rPr>
          <w:rFonts w:ascii="Arial" w:cs="Arial" w:eastAsia="Arial" w:hAnsi="Arial"/>
          <w:b/>
          <w:bCs/>
          <w:sz w:val="24"/>
          <w:szCs w:val="22"/>
        </w:rPr>
        <w:t xml:space="preserve">Tabla 22</w:t>
      </w:r>
      <w:r>
        <w:br/>
        <w:t xml:space="preserve">
</w:t>
      </w:r>
      <w:r>
        <w:rPr>
          <w:rFonts w:ascii="Arial" w:cs="Arial" w:eastAsia="Arial" w:hAnsi="Arial"/>
          <w:i/>
          <w:iCs/>
          <w:sz w:val="24"/>
          <w:szCs w:val="22"/>
        </w:rPr>
        <w:t xml:space="preserve">Cronograma de implementación del modelo ALAZAR-HPM (9 meses)</w:t>
      </w:r>
    </w:p>
    <w:tbl>
      <w:tblPr>
        <w:tblW w:type="dxa" w:w="9360"/>
        <w:tblBorders>
          <w:top w:val="single" w:color="000000" w:sz="6"/>
          <w:left w:val="none" w:sz="0"/>
          <w:bottom w:val="single" w:color="000000" w:sz="6"/>
          <w:right w:val="none" w:sz="0"/>
          <w:insideH w:val="none" w:sz="0"/>
          <w:insideV w:val="none" w:sz="0"/>
        </w:tblBorders>
      </w:tblPr>
      <w:tblGrid>
        <w:gridCol w:w="1100"/>
        <w:gridCol w:w="900"/>
        <w:gridCol w:w="2360"/>
        <w:gridCol w:w="2000"/>
        <w:gridCol w:w="3000"/>
      </w:tblGrid>
      <w:tr>
        <w:tc>
          <w:tcPr>
            <w:tcW w:type="dxa" w:w="11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Fase</w:t>
            </w:r>
          </w:p>
        </w:tc>
        <w:tc>
          <w:tcPr>
            <w:tcW w:type="dxa" w:w="9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Mes</w:t>
            </w:r>
          </w:p>
        </w:tc>
        <w:tc>
          <w:tcPr>
            <w:tcW w:type="dxa" w:w="23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Objetivo principal</w:t>
            </w:r>
          </w:p>
        </w:tc>
        <w:tc>
          <w:tcPr>
            <w:tcW w:type="dxa" w:w="20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Supuesto a verificar</w:t>
            </w:r>
          </w:p>
        </w:tc>
        <w:tc>
          <w:tcPr>
            <w:tcW w:type="dxa" w:w="30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Entregable clave</w:t>
            </w:r>
          </w:p>
        </w:tc>
      </w:tr>
      <w:tr>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Fase 0</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w:t>
            </w:r>
          </w:p>
        </w:tc>
        <w:tc>
          <w:tcPr>
            <w:tcW w:type="dxa" w:w="2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Construir la base de gobernanza antes de lanzar.</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(No aplica; esta fase construye la estructura para implementar bien.)</w:t>
            </w:r>
          </w:p>
        </w:tc>
        <w:tc>
          <w:tcPr>
            <w:tcW w:type="dxa" w:w="3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Carta de Gobernanza V1.0, Bitácora RC-01, Registro de Riesgos completo, resultado de la consulta legal.</w:t>
            </w:r>
          </w:p>
        </w:tc>
      </w:tr>
      <w:tr>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Fase 0</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2</w:t>
            </w:r>
          </w:p>
        </w:tc>
        <w:tc>
          <w:tcPr>
            <w:tcW w:type="dxa" w:w="2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Construir y probar el flujo núcleo internamente.</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(No aplica; pruebas internas, sin usuarios externos.)</w:t>
            </w:r>
          </w:p>
        </w:tc>
        <w:tc>
          <w:tcPr>
            <w:tcW w:type="dxa" w:w="3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Flujo núcleo en entorno de prueba. T&amp;C aprobados. PSP alternativo documentado.</w:t>
            </w:r>
          </w:p>
        </w:tc>
      </w:tr>
      <w:tr>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Fase 1</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3</w:t>
            </w:r>
          </w:p>
        </w:tc>
        <w:tc>
          <w:tcPr>
            <w:tcW w:type="dxa" w:w="2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Lanzar el primer sorteo real y verificar fluidez técnica.</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S3: ¿El proceso de compra funciona sin errores?</w:t>
            </w:r>
          </w:p>
        </w:tc>
        <w:tc>
          <w:tcPr>
            <w:tcW w:type="dxa" w:w="3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Primer sorteo ejecutado. Informe del ciclo 1 con resultado de S3.</w:t>
            </w:r>
          </w:p>
        </w:tc>
      </w:tr>
      <w:tr>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Fase 1</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4</w:t>
            </w:r>
          </w:p>
        </w:tc>
        <w:tc>
          <w:tcPr>
            <w:tcW w:type="dxa" w:w="2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Medir si el usuario paga el precio definido.</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S1: ¿El participante paga el precio?</w:t>
            </w:r>
          </w:p>
        </w:tc>
        <w:tc>
          <w:tcPr>
            <w:tcW w:type="dxa" w:w="3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Informe del ciclo 2 con tasa de conversión real. Primer organizador ancla activo.</w:t>
            </w:r>
          </w:p>
        </w:tc>
      </w:tr>
      <w:tr>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Fase 2</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5</w:t>
            </w:r>
          </w:p>
        </w:tc>
        <w:tc>
          <w:tcPr>
            <w:tcW w:type="dxa" w:w="2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Ciclo económico completo: medir si el organizador acepta las condiciones.</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S2: ¿El organizador publica con la comisión?</w:t>
            </w:r>
          </w:p>
        </w:tc>
        <w:tc>
          <w:tcPr>
            <w:tcW w:type="dxa" w:w="3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Primer ciclo completo ejecutado. Informe del ciclo 3 con resultado de S2.</w:t>
            </w:r>
          </w:p>
        </w:tc>
      </w:tr>
      <w:tr>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Fase 2</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6</w:t>
            </w:r>
          </w:p>
        </w:tc>
        <w:tc>
          <w:tcPr>
            <w:tcW w:type="dxa" w:w="2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Medir si los participantes confían en el resultado.</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S4: ¿El participante percibe el sorteo como justo?</w:t>
            </w:r>
          </w:p>
        </w:tc>
        <w:tc>
          <w:tcPr>
            <w:tcW w:type="dxa" w:w="3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Informe del ciclo 4 con satisfacción y tasa de disputas.</w:t>
            </w:r>
          </w:p>
        </w:tc>
      </w:tr>
      <w:tr>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Fase 2</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7</w:t>
            </w:r>
          </w:p>
        </w:tc>
        <w:tc>
          <w:tcPr>
            <w:tcW w:type="dxa" w:w="2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Verificar que entrega y pago funcionan en el plazo prometido.</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S5: ¿La entrega y el pago se completan a tiempo?</w:t>
            </w:r>
          </w:p>
        </w:tc>
        <w:tc>
          <w:tcPr>
            <w:tcW w:type="dxa" w:w="3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Informe del ciclo 5 con tiempo promedio y disputas en entrega.</w:t>
            </w:r>
          </w:p>
        </w:tc>
      </w:tr>
      <w:tr>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Fase 3</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8</w:t>
            </w:r>
          </w:p>
        </w:tc>
        <w:tc>
          <w:tcPr>
            <w:tcW w:type="dxa" w:w="2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Medir si los participantes regresan.</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S6: ¿Los participantes regresan en el primer mes?</w:t>
            </w:r>
          </w:p>
        </w:tc>
        <w:tc>
          <w:tcPr>
            <w:tcW w:type="dxa" w:w="3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Informe del ciclo 6 con tasa de retención a 30 días.</w:t>
            </w:r>
          </w:p>
        </w:tc>
      </w:tr>
      <w:tr>
        <w:tc>
          <w:tcPr>
            <w:tcW w:type="dxa" w:w="11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Fase 3</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9</w:t>
            </w:r>
          </w:p>
        </w:tc>
        <w:tc>
          <w:tcPr>
            <w:tcW w:type="dxa" w:w="23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Evaluar todos los supuestos y decidir qué sigue.</w:t>
            </w:r>
          </w:p>
        </w:tc>
        <w:tc>
          <w:tcPr>
            <w:tcW w:type="dxa" w:w="2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Evaluación S1-S6 completa.</w:t>
            </w:r>
          </w:p>
        </w:tc>
        <w:tc>
          <w:tcPr>
            <w:tcW w:type="dxa" w:w="30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Informe de evaluación estratégica. Bitácora completa. Decisión: escalar, ajustar o pivotar.</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p>
      <w:pPr>
        <w:pStyle w:val="Heading2"/>
        <w:spacing w:after="120" w:before="300"/>
      </w:pPr>
      <w:r>
        <w:rPr>
          <w:rFonts w:ascii="Arial" w:cs="Arial" w:eastAsia="Arial" w:hAnsi="Arial"/>
          <w:b/>
          <w:bCs/>
          <w:sz w:val="26"/>
          <w:szCs w:val="26"/>
        </w:rPr>
        <w:t xml:space="preserve">6.7. Transferibilidad del modelo: adaptación a cualquier startup</w:t>
      </w:r>
    </w:p>
    <w:p>
      <w:pPr>
        <w:spacing w:after="120" w:before="120" w:line="276"/>
        <w:jc w:val="both"/>
      </w:pPr>
      <w:r>
        <w:rPr>
          <w:rFonts w:ascii="Arial" w:cs="Arial" w:eastAsia="Arial" w:hAnsi="Arial"/>
          <w:sz w:val="24"/>
          <w:szCs w:val="24"/>
        </w:rPr>
        <w:t xml:space="preserve">El modelo fue diseñado para ALAZAR, pero el problema que resuelve no es exclusivo de ALAZAR. Cualquier startup que todavía no ha verificado en el mercado si su idea funciona tiene el mismo problema de fondo: cómo avanzar de manera ordenada cuando hay poco capital, alta incertidumbre y presión para construir rápido. Lo que cambia entre proyectos son los supuestos específicos, los riesgos concretos y las métricas relevantes. La arquitectura metodológica es la misma.
Vale detenerse en qué significa exactamente que algo sea "transferible" en el sentido metodológico. No significa que el Registro de Supuestos de ALAZAR pueda copiarse y pegarse en una Edtech colombiana. Significa que el principio que organiza ese registro (verificar primero lo que puede destruir el negocio antes de escalar la inversión) es igualmente válido en una Edtech, una Fintech o una Proptech. Lo que viaja entre contextos es la lógica de la pregunta, no la respuesta concreta. Las Tablas 31 y 32 formalizan esa distinción.
Para ilustrar la transferibilidad del modelo, considérese el siguiente caso hipotético. Una startup colombiana decide lanzar una plataforma de sorteos digitales auditables orientada a pequeñas y medianas empresas que desean rifar productos como estrategia de marketing. El equipo opera con bootstrapping y no tiene historial operativo. El contexto es diferente al de ALAZAR en dos aspectos críticos: (a) el marco regulatorio de sorteos en Colombia es distinto al peruano, con regulaciones específicas de la Superintendencia de Industria y Comercio y requisitos de autorización previa para determinadas modalidades de sorteo; y (b) el proveedor de pagos dominante en el mercado B2C colombiano no es Mercado Pago sino PSE (Pagos Seguros en Línea), con integraciones distintas.
La aplicación de la metodología a este caso seguiría exactamente la misma estructura, adaptando únicamente el contenido de los instrumentos al contexto local. La Carta de Gobernanza definiría los mismos tres tipos de decisión (estratégicas, tácticas, operativas) con los roles del equipo colombiano. La acción DA-1 equivalente sería la consulta a un abogado especializado en derecho comercial colombiano antes de lanzar, con foco en los requisitos de autorización de la SIC. El Registro de Supuestos S1-S6 mantendría la misma secuencia lógica: primero verificar que el flujo técnico funciona (S3), luego la disposición de pago del participante colombiano (S1, calibrando el precio en pesos colombianos al equivalente de poder adquisitivo), luego la aceptación del modelo de comisión por parte de las pymes organizadoras (S2). Los riesgos R1-R8 cambiarían en su contenido (regulación SIC en lugar de Indecopi, PSE en lugar de Mercado Pago como PSP principal) pero no en su estructura ni en su lógica de disparador-respuesta. El cronograma de nueve meses (diseñado como supuesto de diseño proporcional a una Fase 0 de gobernanza + tres fases de validación con ciclos quincenales) y la cadencia quincenal operarían sin modificación. Este ejercicio de trasposición demuestra que lo que se transfiere de ALAZAR-HPM no es el contenido específico de cada instrumento, sino la arquitectura de decisiones que ese contenido organiza: qué preguntarse primero, en qué orden verificar los supuestos y qué mecanismos de gobernanza no pueden omitirse sin riesgo existencial para el proyecto.</w:t>
      </w:r>
    </w:p>
    <w:p>
      <w:pPr>
        <w:spacing w:before="240" w:after="60"/>
      </w:pPr>
      <w:r>
        <w:rPr>
          <w:rFonts w:ascii="Arial" w:cs="Arial" w:eastAsia="Arial" w:hAnsi="Arial"/>
          <w:b/>
          <w:bCs/>
          <w:sz w:val="24"/>
          <w:color w:val="000000"/>
        </w:rPr>
        <w:t xml:space="preserve">Tabla 31</w:t>
      </w:r>
      <w:r>
        <w:rPr>
          <w:rFonts w:ascii="Arial" w:cs="Arial" w:eastAsia="Arial" w:hAnsi="Arial"/>
          <w:sz w:val="24"/>
        </w:rPr>
        <w:br/>
      </w:r>
      <w:r>
        <w:rPr>
          <w:rFonts w:ascii="Arial" w:cs="Arial" w:eastAsia="Arial" w:hAnsi="Arial"/>
          <w:i/>
          <w:sz w:val="24"/>
          <w:color w:val="000000"/>
        </w:rPr>
        <w:t xml:space="preserve">Adaptación de la metodología de Gobernanza Mínima Viable a distintos tipos de startup digital</w:t>
      </w:r>
    </w:p>
    <w:tbl>
      <w:tblPr>
        <w:tblW w:type="dxa" w:w="9360"/>
        <w:tblBorders>
          <w:top w:val="single" w:color="000000" w:sz="6"/>
          <w:left w:val="none" w:sz="0"/>
          <w:bottom w:val="single" w:color="000000" w:sz="6"/>
          <w:right w:val="none" w:sz="0"/>
          <w:insideH w:val="none" w:sz="0"/>
          <w:insideV w:val="none" w:sz="0"/>
        </w:tblBorders>
      </w:tblPr>
      <w:tblGrid>
        <w:gridCol w:w="1440"/>
        <w:gridCol w:w="1700"/>
        <w:gridCol w:w="1700"/>
        <w:gridCol w:w="2280"/>
        <w:gridCol w:w="2240"/>
      </w:tblGrid>
      <w:tr>
        <w:tc>
          <w:tcPr>
            <w:tcW w:type="dxa" w:w="1440"/>
            <w:tcBorders>
              <w:top w:val="none" w:sz="0"/>
              <w:left w:val="none" w:sz="0"/>
              <w:bottom w:val="single" w:color="000000" w:sz="8"/>
              <w:right w:val="none" w:sz="0"/>
            </w:tcBorders>
            <w:vAlign w:val="center"/>
          </w:tcPr>
          <w:p>
            <w:pPr>
              <w:spacing w:before="60" w:after="60"/>
              <w:jc w:val="center"/>
            </w:pPr>
            <w:r>
              <w:rPr>
                <w:rFonts w:ascii="Arial" w:cs="Arial" w:eastAsia="Arial" w:hAnsi="Arial"/>
                <w:b/>
                <w:bCs/>
                <w:sz w:val="24"/>
                <w:color w:val="000000"/>
              </w:rPr>
              <w:t xml:space="preserve">Tipo de startup</w:t>
            </w:r>
          </w:p>
        </w:tc>
        <w:tc>
          <w:tcPr>
            <w:tcW w:type="dxa" w:w="1700"/>
            <w:tcBorders>
              <w:top w:val="none" w:sz="0"/>
              <w:left w:val="none" w:sz="0"/>
              <w:bottom w:val="single" w:color="000000" w:sz="8"/>
              <w:right w:val="none" w:sz="0"/>
            </w:tcBorders>
            <w:vAlign w:val="center"/>
          </w:tcPr>
          <w:p>
            <w:pPr>
              <w:spacing w:before="60" w:after="60"/>
              <w:jc w:val="center"/>
            </w:pPr>
            <w:r>
              <w:rPr>
                <w:rFonts w:ascii="Arial" w:cs="Arial" w:eastAsia="Arial" w:hAnsi="Arial"/>
                <w:b/>
                <w:bCs/>
                <w:sz w:val="24"/>
                <w:color w:val="000000"/>
              </w:rPr>
              <w:t xml:space="preserve">Qué permanece igual</w:t>
            </w:r>
          </w:p>
        </w:tc>
        <w:tc>
          <w:tcPr>
            <w:tcW w:type="dxa" w:w="1700"/>
            <w:tcBorders>
              <w:top w:val="none" w:sz="0"/>
              <w:left w:val="none" w:sz="0"/>
              <w:bottom w:val="single" w:color="000000" w:sz="8"/>
              <w:right w:val="none" w:sz="0"/>
            </w:tcBorders>
            <w:vAlign w:val="center"/>
          </w:tcPr>
          <w:p>
            <w:pPr>
              <w:spacing w:before="60" w:after="60"/>
              <w:jc w:val="center"/>
            </w:pPr>
            <w:r>
              <w:rPr>
                <w:rFonts w:ascii="Arial" w:cs="Arial" w:eastAsia="Arial" w:hAnsi="Arial"/>
                <w:b/>
                <w:bCs/>
                <w:sz w:val="24"/>
                <w:color w:val="000000"/>
              </w:rPr>
              <w:t xml:space="preserve">Qué cambia</w:t>
            </w:r>
          </w:p>
        </w:tc>
        <w:tc>
          <w:tcPr>
            <w:tcW w:type="dxa" w:w="2280"/>
            <w:tcBorders>
              <w:top w:val="none" w:sz="0"/>
              <w:left w:val="none" w:sz="0"/>
              <w:bottom w:val="single" w:color="000000" w:sz="8"/>
              <w:right w:val="none" w:sz="0"/>
            </w:tcBorders>
            <w:vAlign w:val="center"/>
          </w:tcPr>
          <w:p>
            <w:pPr>
              <w:spacing w:before="60" w:after="60"/>
              <w:jc w:val="center"/>
            </w:pPr>
            <w:r>
              <w:rPr>
                <w:rFonts w:ascii="Arial" w:cs="Arial" w:eastAsia="Arial" w:hAnsi="Arial"/>
                <w:b/>
                <w:bCs/>
                <w:sz w:val="24"/>
                <w:color w:val="000000"/>
              </w:rPr>
              <w:t xml:space="preserve">Supuestos críticos adaptados</w:t>
            </w:r>
          </w:p>
        </w:tc>
        <w:tc>
          <w:tcPr>
            <w:tcW w:type="dxa" w:w="2240"/>
            <w:tcBorders>
              <w:top w:val="none" w:sz="0"/>
              <w:left w:val="none" w:sz="0"/>
              <w:bottom w:val="single" w:color="000000" w:sz="8"/>
              <w:right w:val="none" w:sz="0"/>
            </w:tcBorders>
            <w:vAlign w:val="center"/>
          </w:tcPr>
          <w:p>
            <w:pPr>
              <w:spacing w:before="60" w:after="60"/>
              <w:jc w:val="center"/>
            </w:pPr>
            <w:r>
              <w:rPr>
                <w:rFonts w:ascii="Arial" w:cs="Arial" w:eastAsia="Arial" w:hAnsi="Arial"/>
                <w:b/>
                <w:bCs/>
                <w:sz w:val="24"/>
                <w:color w:val="000000"/>
              </w:rPr>
              <w:t xml:space="preserve">Riesgos principales adaptados</w:t>
            </w:r>
          </w:p>
        </w:tc>
      </w:tr>
      <w:tr>
        <w:tc>
          <w:tcPr>
            <w:tcW w:type="dxa" w:w="14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Marketplace (caso base: ALAZAR)</w:t>
            </w:r>
          </w:p>
        </w:tc>
        <w:tc>
          <w:tcPr>
            <w:tcW w:type="dxa" w:w="17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Carta de Gobernanza, Bitácora RC-01, ciclos BML quincenales, Registro de Riesgos, cronograma de 9 meses.</w:t>
            </w:r>
          </w:p>
        </w:tc>
        <w:tc>
          <w:tcPr>
            <w:tcW w:type="dxa" w:w="17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Contenido de supuestos (comisión, precio, flujo de entrega); riesgos sectoriales; PSP; marco regulatorio.</w:t>
            </w:r>
          </w:p>
        </w:tc>
        <w:tc>
          <w:tcPr>
            <w:tcW w:type="dxa" w:w="228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S1: disposición de pago del usuario. S2: aceptación del modelo de comisión por el organizador. S3: fluidez técnica del flujo de transacción.</w:t>
            </w:r>
          </w:p>
        </w:tc>
        <w:tc>
          <w:tcPr>
            <w:tcW w:type="dxa" w:w="22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Riesgo regulatorio del sector. Dependencia de PSP específico. Gestión de disputas entre dos lados del mercado.</w:t>
            </w:r>
          </w:p>
        </w:tc>
      </w:tr>
      <w:tr>
        <w:tc>
          <w:tcPr>
            <w:tcW w:type="dxa" w:w="14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SaaS (Software as a Service)</w:t>
            </w:r>
          </w:p>
        </w:tc>
        <w:tc>
          <w:tcPr>
            <w:tcW w:type="dxa" w:w="17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Estructura de 4 instrumentos, ciclo quincenal, protocolo pivot/perseverar, Capa de Gobernanza.</w:t>
            </w:r>
          </w:p>
        </w:tc>
        <w:tc>
          <w:tcPr>
            <w:tcW w:type="dxa" w:w="17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Supuesto de retención más crítico que en marketplace. Sin riesgo de entrega física ni disputas entre dos partes.</w:t>
            </w:r>
          </w:p>
        </w:tc>
        <w:tc>
          <w:tcPr>
            <w:tcW w:type="dxa" w:w="228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S1: disposición a pagar suscripción mensual. S2: activación del feature core en primeros 7 días. S6: retención al segundo mes como proxy de valor percibido.</w:t>
            </w:r>
          </w:p>
        </w:tc>
        <w:tc>
          <w:tcPr>
            <w:tcW w:type="dxa" w:w="22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Churn temprano por baja activación. Riesgo de construir funcionalidades que nadie usa. Dependencia de integraciones de terceros.</w:t>
            </w:r>
          </w:p>
        </w:tc>
      </w:tr>
      <w:tr>
        <w:tc>
          <w:tcPr>
            <w:tcW w:type="dxa" w:w="14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Fintech (pagos, crédito, ahorro)</w:t>
            </w:r>
          </w:p>
        </w:tc>
        <w:tc>
          <w:tcPr>
            <w:tcW w:type="dxa" w:w="17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Distinción invariantes/variables. Fase 0 obligatoria con consulta legal. Registro de Riesgos con plan de respuesta.</w:t>
            </w:r>
          </w:p>
        </w:tc>
        <w:tc>
          <w:tcPr>
            <w:tcW w:type="dxa" w:w="17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El peso de los invariantes es mayor: auditoría, idempotencia y compliance son no negociables. Validación regulatoria previa al MVP, no posterior.</w:t>
            </w:r>
          </w:p>
        </w:tc>
        <w:tc>
          <w:tcPr>
            <w:tcW w:type="dxa" w:w="228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S1: onboarding completo sin fricción regulatoria (KYC). S2: primera transacción completada sin error técnico. S3: tasa de error bajo umbral regulatorio aplicable.</w:t>
            </w:r>
          </w:p>
        </w:tc>
        <w:tc>
          <w:tcPr>
            <w:tcW w:type="dxa" w:w="22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Cambio regulatorio (banco central, SBS, CNBV). Fraude en onboarding. Sanciones por incumplimiento antes de validar el modelo de negocio.</w:t>
            </w:r>
          </w:p>
        </w:tc>
      </w:tr>
      <w:tr>
        <w:tc>
          <w:tcPr>
            <w:tcW w:type="dxa" w:w="14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Edtech (educación digital)</w:t>
            </w:r>
          </w:p>
        </w:tc>
        <w:tc>
          <w:tcPr>
            <w:tcW w:type="dxa" w:w="17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Ciclo de validación progresiva, Carta de Gobernanza, Bitácora de decisiones, cronograma de 9 meses.</w:t>
            </w:r>
          </w:p>
        </w:tc>
        <w:tc>
          <w:tcPr>
            <w:tcW w:type="dxa" w:w="17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Sin componentes fintech críticos. Supuesto de retención/completación reemplaza al de disposición de pago como prioritario.</w:t>
            </w:r>
          </w:p>
        </w:tc>
        <w:tc>
          <w:tcPr>
            <w:tcW w:type="dxa" w:w="228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S1: el estudiante completa el módulo introductorio antes de pedir reembolso. S2: el creador de contenido acepta la comisión. S4: NPS del estudiante al final del primer curso.</w:t>
            </w:r>
          </w:p>
        </w:tc>
        <w:tc>
          <w:tcPr>
            <w:tcW w:type="dxa" w:w="22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Abandono temprano del curso. Baja conversión de usuario gratuito a pagado. Dependencia de creadores de contenido como canal principal.</w:t>
            </w:r>
          </w:p>
        </w:tc>
      </w:tr>
      <w:tr>
        <w:tc>
          <w:tcPr>
            <w:tcW w:type="dxa" w:w="14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Proptech (bienes raíces digital)</w:t>
            </w:r>
          </w:p>
        </w:tc>
        <w:tc>
          <w:tcPr>
            <w:tcW w:type="dxa" w:w="17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Estructura de gobernanza, fase de validación regulatoria, protocolo de disputas.</w:t>
            </w:r>
          </w:p>
        </w:tc>
        <w:tc>
          <w:tcPr>
            <w:tcW w:type="dxa" w:w="170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Ciclos de venta más largos: los sprints quincenales pueden agruparse en ciclos de mayor duración. S1 tarda más en verificarse.</w:t>
            </w:r>
          </w:p>
        </w:tc>
        <w:tc>
          <w:tcPr>
            <w:tcW w:type="dxa" w:w="228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S1: propietario acepta publicar y pagar la comisión de gestión. S2: usuario completa el flujo de solicitud sin abandono. S5: ciclo de cierre de contrato dentro del plazo prometido.</w:t>
            </w:r>
          </w:p>
        </w:tc>
        <w:tc>
          <w:tcPr>
            <w:tcW w:type="dxa" w:w="22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Marco legal de arrendamiento que puede invalidar el modelo de comisión. Ciclos de validación más largos que consumen capital antes de evidencia.</w:t>
            </w:r>
          </w:p>
        </w:tc>
      </w:tr>
    </w:tbl>
    <w:p>
      <w:pPr>
        <w:spacing w:before="60" w:after="180"/>
      </w:pPr>
      <w:r>
        <w:rPr>
          <w:rFonts w:ascii="Arial" w:cs="Arial" w:eastAsia="Arial" w:hAnsi="Arial"/>
          <w:i/>
          <w:sz w:val="20"/>
          <w:color w:val="000000"/>
        </w:rPr>
        <w:t xml:space="preserve">Nota. </w:t>
      </w:r>
      <w:r>
        <w:rPr>
          <w:rFonts w:ascii="Arial" w:cs="Arial" w:eastAsia="Arial" w:hAnsi="Arial"/>
          <w:sz w:val="20"/>
          <w:color w:val="000000"/>
        </w:rPr>
        <w:t xml:space="preserve">Elaboración propia. Los supuestos críticos y riesgos de cada tipo son ilustrativos; su contenido específico debe adaptarse al diagnóstico estratégico del proyecto concreto.</w:t>
      </w:r>
    </w:p>
    <w:p>
      <w:pPr>
        <w:spacing w:before="240" w:after="60"/>
      </w:pPr>
      <w:r>
        <w:rPr>
          <w:rFonts w:ascii="Arial" w:cs="Arial" w:eastAsia="Arial" w:hAnsi="Arial"/>
          <w:b/>
          <w:bCs/>
          <w:sz w:val="24"/>
          <w:color w:val="000000"/>
        </w:rPr>
        <w:t xml:space="preserve">Tabla 32</w:t>
      </w:r>
      <w:r>
        <w:rPr>
          <w:rFonts w:ascii="Arial" w:cs="Arial" w:eastAsia="Arial" w:hAnsi="Arial"/>
          <w:sz w:val="24"/>
        </w:rPr>
        <w:br/>
      </w:r>
      <w:r>
        <w:rPr>
          <w:rFonts w:ascii="Arial" w:cs="Arial" w:eastAsia="Arial" w:hAnsi="Arial"/>
          <w:i/>
          <w:sz w:val="24"/>
          <w:color w:val="000000"/>
        </w:rPr>
        <w:t xml:space="preserve">Dimensiones invariables y variables de la metodología según tipo de startup</w:t>
      </w:r>
    </w:p>
    <w:tbl>
      <w:tblPr>
        <w:tblW w:type="dxa" w:w="9360"/>
        <w:tblBorders>
          <w:top w:val="single" w:color="000000" w:sz="6"/>
          <w:left w:val="none" w:sz="0"/>
          <w:bottom w:val="single" w:color="000000" w:sz="6"/>
          <w:right w:val="none" w:sz="0"/>
          <w:insideH w:val="none" w:sz="0"/>
          <w:insideV w:val="none" w:sz="0"/>
        </w:tblBorders>
      </w:tblPr>
      <w:tblGrid>
        <w:gridCol w:w="2340"/>
        <w:gridCol w:w="3510"/>
        <w:gridCol w:w="3510"/>
      </w:tblGrid>
      <w:tr>
        <w:tc>
          <w:tcPr>
            <w:tcW w:type="dxa" w:w="2340"/>
            <w:tcBorders>
              <w:top w:val="none" w:sz="0"/>
              <w:left w:val="none" w:sz="0"/>
              <w:bottom w:val="single" w:color="000000" w:sz="8"/>
              <w:right w:val="none" w:sz="0"/>
            </w:tcBorders>
            <w:vAlign w:val="center"/>
          </w:tcPr>
          <w:p>
            <w:pPr>
              <w:spacing w:before="60" w:after="60"/>
              <w:jc w:val="center"/>
            </w:pPr>
            <w:r>
              <w:rPr>
                <w:rFonts w:ascii="Arial" w:cs="Arial" w:eastAsia="Arial" w:hAnsi="Arial"/>
                <w:b/>
                <w:bCs/>
                <w:sz w:val="24"/>
                <w:color w:val="000000"/>
              </w:rPr>
              <w:t xml:space="preserve">Dimensión</w:t>
            </w:r>
          </w:p>
        </w:tc>
        <w:tc>
          <w:tcPr>
            <w:tcW w:type="dxa" w:w="3510"/>
            <w:tcBorders>
              <w:top w:val="none" w:sz="0"/>
              <w:left w:val="none" w:sz="0"/>
              <w:bottom w:val="single" w:color="000000" w:sz="8"/>
              <w:right w:val="none" w:sz="0"/>
            </w:tcBorders>
            <w:vAlign w:val="center"/>
          </w:tcPr>
          <w:p>
            <w:pPr>
              <w:spacing w:before="60" w:after="60"/>
              <w:jc w:val="center"/>
            </w:pPr>
            <w:r>
              <w:rPr>
                <w:rFonts w:ascii="Arial" w:cs="Arial" w:eastAsia="Arial" w:hAnsi="Arial"/>
                <w:b/>
                <w:bCs/>
                <w:sz w:val="24"/>
                <w:color w:val="000000"/>
              </w:rPr>
              <w:t xml:space="preserve">Invariable en todos los contextos</w:t>
            </w:r>
          </w:p>
        </w:tc>
        <w:tc>
          <w:tcPr>
            <w:tcW w:type="dxa" w:w="3510"/>
            <w:tcBorders>
              <w:top w:val="none" w:sz="0"/>
              <w:left w:val="none" w:sz="0"/>
              <w:bottom w:val="single" w:color="000000" w:sz="8"/>
              <w:right w:val="none" w:sz="0"/>
            </w:tcBorders>
            <w:vAlign w:val="center"/>
          </w:tcPr>
          <w:p>
            <w:pPr>
              <w:spacing w:before="60" w:after="60"/>
              <w:jc w:val="center"/>
            </w:pPr>
            <w:r>
              <w:rPr>
                <w:rFonts w:ascii="Arial" w:cs="Arial" w:eastAsia="Arial" w:hAnsi="Arial"/>
                <w:b/>
                <w:bCs/>
                <w:sz w:val="24"/>
                <w:color w:val="000000"/>
              </w:rPr>
              <w:t xml:space="preserve">Variable según el tipo de startup</w:t>
            </w:r>
          </w:p>
        </w:tc>
      </w:tr>
      <w:tr>
        <w:tc>
          <w:tcPr>
            <w:tcW w:type="dxa" w:w="23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Estructura del modelo</w:t>
            </w:r>
          </w:p>
        </w:tc>
        <w:tc>
          <w:tcPr>
            <w:tcW w:type="dxa" w:w="351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6 componentes operacionales. 4 instrumentos. Ciclo quincenal. Fases 0-1-2-3.</w:t>
            </w:r>
          </w:p>
        </w:tc>
        <w:tc>
          <w:tcPr>
            <w:tcW w:type="dxa" w:w="351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La secuencia de fases puede extenderse en mercados con ciclos de decisión más largos (Proptech, B2B enterprise). Lo que no cambia es el orden de las fases ni la lógica de validación secuenciada.</w:t>
            </w:r>
          </w:p>
        </w:tc>
      </w:tr>
      <w:tr>
        <w:tc>
          <w:tcPr>
            <w:tcW w:type="dxa" w:w="23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Gobernanza</w:t>
            </w:r>
          </w:p>
        </w:tc>
        <w:tc>
          <w:tcPr>
            <w:tcW w:type="dxa" w:w="351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Carta de Gobernanza con roles, autoridad y plan de continuidad. Bitácora RC-01 para decisiones estratégicas.</w:t>
            </w:r>
          </w:p>
        </w:tc>
        <w:tc>
          <w:tcPr>
            <w:tcW w:type="dxa" w:w="351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Roles específicos del equipo. Número y tipo de decisiones. Protocolo de continuidad adaptado al equipo.</w:t>
            </w:r>
          </w:p>
        </w:tc>
      </w:tr>
      <w:tr>
        <w:tc>
          <w:tcPr>
            <w:tcW w:type="dxa" w:w="23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Validación de supuestos</w:t>
            </w:r>
          </w:p>
        </w:tc>
        <w:tc>
          <w:tcPr>
            <w:tcW w:type="dxa" w:w="351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Secuencia lógica: técnica (S3) antes que comercial (S1) antes que retención (S6). Ciclo BML por sprint.</w:t>
            </w:r>
          </w:p>
        </w:tc>
        <w:tc>
          <w:tcPr>
            <w:tcW w:type="dxa" w:w="351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Contenido de cada supuesto. Métricas de verificación. Umbrales de decisión. Número de ciclos requeridos.</w:t>
            </w:r>
          </w:p>
        </w:tc>
      </w:tr>
      <w:tr>
        <w:tc>
          <w:tcPr>
            <w:tcW w:type="dxa" w:w="23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Gestión de riesgos</w:t>
            </w:r>
          </w:p>
        </w:tc>
        <w:tc>
          <w:tcPr>
            <w:tcW w:type="dxa" w:w="351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Registro de Riesgos con probabilidad, gravedad, disparador y respuesta. Actualización quincenal.</w:t>
            </w:r>
          </w:p>
        </w:tc>
        <w:tc>
          <w:tcPr>
            <w:tcW w:type="dxa" w:w="351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Riesgos específicos del sector. PSP y proveedores críticos. Marco regulatorio aplicable.</w:t>
            </w:r>
          </w:p>
        </w:tc>
      </w:tr>
      <w:tr>
        <w:tc>
          <w:tcPr>
            <w:tcW w:type="dxa" w:w="23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Fase 0 obligatoria</w:t>
            </w:r>
          </w:p>
        </w:tc>
        <w:tc>
          <w:tcPr>
            <w:tcW w:type="dxa" w:w="351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Consulta legal antes del lanzamiento. PSP alternativo documentado. Protocolo de disputas activo.</w:t>
            </w:r>
          </w:p>
        </w:tc>
        <w:tc>
          <w:tcPr>
            <w:tcW w:type="dxa" w:w="351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Organismo regulador relevante. Tipo de consulta legal. Naturaleza de las disputas probables.</w:t>
            </w:r>
          </w:p>
        </w:tc>
      </w:tr>
      <w:tr>
        <w:tc>
          <w:tcPr>
            <w:tcW w:type="dxa" w:w="234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Cronograma</w:t>
            </w:r>
          </w:p>
        </w:tc>
        <w:tc>
          <w:tcPr>
            <w:tcW w:type="dxa" w:w="351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9 meses como supuesto de diseño. Ciclo quincenal como unidad de aprendizaje.</w:t>
            </w:r>
          </w:p>
        </w:tc>
        <w:tc>
          <w:tcPr>
            <w:tcW w:type="dxa" w:w="3510"/>
            <w:tcBorders>
              <w:top w:val="none" w:sz="0"/>
              <w:left w:val="none" w:sz="0"/>
              <w:bottom w:val="none" w:sz="0"/>
              <w:right w:val="none" w:sz="0"/>
            </w:tcBorders>
            <w:vAlign w:val="top"/>
          </w:tcPr>
          <w:p>
            <w:pPr>
              <w:spacing w:before="60" w:after="60"/>
              <w:jc w:val="both"/>
            </w:pPr>
            <w:r>
              <w:rPr>
                <w:rFonts w:ascii="Arial" w:cs="Arial" w:eastAsia="Arial" w:hAnsi="Arial"/>
                <w:sz w:val="24"/>
                <w:color w:val="000000"/>
              </w:rPr>
              <w:t xml:space="preserve">Duración real de cada fase (en mercados con ciclos de decisión más largos, puede extenderse).</w:t>
            </w:r>
          </w:p>
        </w:tc>
      </w:tr>
    </w:tbl>
    <w:p>
      <w:pPr>
        <w:spacing w:before="60" w:after="180"/>
      </w:pPr>
      <w:r>
        <w:rPr>
          <w:rFonts w:ascii="Arial" w:cs="Arial" w:eastAsia="Arial" w:hAnsi="Arial"/>
          <w:i/>
          <w:sz w:val="20"/>
          <w:color w:val="000000"/>
        </w:rPr>
        <w:t xml:space="preserve">Nota. </w:t>
      </w:r>
      <w:r>
        <w:rPr>
          <w:rFonts w:ascii="Arial" w:cs="Arial" w:eastAsia="Arial" w:hAnsi="Arial"/>
          <w:sz w:val="20"/>
          <w:color w:val="000000"/>
        </w:rPr>
        <w:t xml:space="preserve">Elaboración propia.</w:t>
      </w:r>
    </w:p>
    <w:p>
      <w:pPr>
        <w:spacing w:before="120" w:after="120" w:line="276"/>
        <w:jc w:val="both"/>
      </w:pPr>
      <w:r>
        <w:rPr>
          <w:rFonts w:ascii="Arial" w:cs="Arial" w:eastAsia="Arial" w:hAnsi="Arial"/>
          <w:sz w:val="24"/>
          <w:color w:val="000000"/>
        </w:rPr>
        <w:t xml:space="preserve">Lo que se transfiere entre contextos no es el contenido de los instrumentos sino la estructura de preguntas que los organiza: qué preguntarse primero, en qué orden verificar los supuestos y qué mecanismos de gobernanza no pueden omitirse sin riesgo existencial para el proyecto. En una plataforma SaaS la pregunta sobre disposición de pago se traduce en si el usuario acepta la suscripción mensual. En una Edtech, si el estudiante completa el curso antes de solicitar reembolso. En una Proptech, si el propietario acepta la comisión de gestión. La arquitectura de validación progresiva es la misma en todos los casos; el contenido de cada supuesto es específico del negocio.</w:t>
      </w:r>
    </w:p>
    <w:p>
      <w:pPr>
        <w:spacing w:after="120" w:before="120" w:line="276"/>
        <w:jc w:val="both"/>
      </w:pPr>
      <w:r>
        <w:rPr>
          <w:rFonts w:ascii="Arial" w:cs="Arial" w:eastAsia="Arial" w:hAnsi="Arial"/>
          <w:b/>
          <w:bCs/>
          <w:sz w:val="24"/>
          <w:szCs w:val="24"/>
        </w:rPr>
        <w:t xml:space="preserve">Paso 2. Identifica tus seis supuestos más críticos. </w:t>
      </w:r>
      <w:r>
        <w:rPr>
          <w:rFonts w:ascii="Arial" w:cs="Arial" w:eastAsia="Arial" w:hAnsi="Arial"/>
          <w:sz w:val="24"/>
          <w:szCs w:val="24"/>
        </w:rPr>
        <w:t xml:space="preserve">¿Qué es lo que no sabes con certeza sobre tus clientes? ¿Cuánto están dispuestos a pagar? ¿Con qué frecuencia usarían el servicio? Ordénalos de más a menos crítico.</w:t>
      </w:r>
    </w:p>
    <w:p>
      <w:pPr>
        <w:spacing w:after="120" w:before="120" w:line="276"/>
        <w:jc w:val="both"/>
      </w:pPr>
      <w:r>
        <w:rPr>
          <w:rFonts w:ascii="Arial" w:cs="Arial" w:eastAsia="Arial" w:hAnsi="Arial"/>
          <w:b/>
          <w:bCs/>
          <w:sz w:val="24"/>
          <w:szCs w:val="24"/>
        </w:rPr>
        <w:t xml:space="preserve">Paso 3. Identifica tus ocho riesgos más probables. </w:t>
      </w:r>
      <w:r>
        <w:rPr>
          <w:rFonts w:ascii="Arial" w:cs="Arial" w:eastAsia="Arial" w:hAnsi="Arial"/>
          <w:sz w:val="24"/>
          <w:szCs w:val="24"/>
        </w:rPr>
        <w:t xml:space="preserve">¿Qué podría salir mal antes de llegar al mercado? Para cada riesgo escribe qué harías si ocurriera antes de que ocurra.</w:t>
      </w:r>
    </w:p>
    <w:p>
      <w:pPr>
        <w:spacing w:after="120" w:before="120" w:line="276"/>
        <w:jc w:val="both"/>
      </w:pPr>
      <w:r>
        <w:rPr>
          <w:rFonts w:ascii="Arial" w:cs="Arial" w:eastAsia="Arial" w:hAnsi="Arial"/>
          <w:b/>
          <w:bCs/>
          <w:sz w:val="24"/>
          <w:szCs w:val="24"/>
        </w:rPr>
        <w:t xml:space="preserve">Paso 4. Redacta tu Carta de Gobernanza. </w:t>
      </w:r>
      <w:r>
        <w:rPr>
          <w:rFonts w:ascii="Arial" w:cs="Arial" w:eastAsia="Arial" w:hAnsi="Arial"/>
          <w:sz w:val="24"/>
          <w:szCs w:val="24"/>
        </w:rPr>
        <w:t xml:space="preserve">Una página. Roles, decisiones y plan de continuidad. No necesita ser perfecta desde el primer día. Necesita existir.</w:t>
      </w:r>
    </w:p>
    <w:p>
      <w:pPr>
        <w:spacing w:after="120" w:before="120" w:line="276"/>
        <w:jc w:val="both"/>
      </w:pPr>
      <w:r>
        <w:rPr>
          <w:rFonts w:ascii="Arial" w:cs="Arial" w:eastAsia="Arial" w:hAnsi="Arial"/>
          <w:b/>
          <w:bCs/>
          <w:sz w:val="24"/>
          <w:szCs w:val="24"/>
        </w:rPr>
        <w:t xml:space="preserve">Paso 5. Ejecuta ciclos quincenales. </w:t>
      </w:r>
      <w:r>
        <w:rPr>
          <w:rFonts w:ascii="Arial" w:cs="Arial" w:eastAsia="Arial" w:hAnsi="Arial"/>
          <w:sz w:val="24"/>
          <w:szCs w:val="24"/>
        </w:rPr>
        <w:t xml:space="preserve">Cada dos semanas: planifica el experimento, ejecútalo, mide el resultado, decide con datos. Registra cada decisión importante en la Bitácora. Actualiza los registros con lo que aprendiste. Repite.</w:t>
      </w:r>
    </w:p>
    <w:p>
      <w:pPr>
        <w:spacing w:after="120" w:before="120" w:line="276"/>
        <w:jc w:val="both"/>
      </w:pPr>
      <w:r>
        <w:rPr>
          <w:rFonts w:ascii="Arial" w:cs="Arial" w:eastAsia="Arial" w:hAnsi="Arial"/>
          <w:iCs/>
          <w:sz w:val="24"/>
          <w:szCs w:val="22"/>
        </w:rPr>
        <w:t xml:space="preserve">Una startup que improvisa puede tener suerte. Una startup que aprende de manera sistemática no necesita tanta. La diferencia no está en el talento ni en el capital. Está en si cada decisión importante quedó registrada, si cada supuesto se verificó con datos antes de escalar y si cada riesgo tenía un plan antes de convertirse en crisis. El modelo ALAZAR-HPM es la estructura mínima para que eso ocurra.</w:t>
      </w:r>
    </w:p>
    <w:p>
      <w:pPr>
        <w:pStyle w:val="Heading2"/>
        <w:spacing w:after="120" w:before="300"/>
      </w:pPr>
      <w:r>
        <w:rPr>
          <w:rFonts w:ascii="Arial" w:cs="Arial" w:eastAsia="Arial" w:hAnsi="Arial"/>
          <w:b/>
          <w:bCs/>
          <w:sz w:val="26"/>
          <w:szCs w:val="26"/>
        </w:rPr>
        <w:t xml:space="preserve">6.8. Recursos, equipo y sostenibilidad</w:t>
      </w:r>
    </w:p>
    <w:p>
      <w:pPr>
        <w:pStyle w:val="Heading3"/>
        <w:spacing w:after="120" w:before="240"/>
      </w:pPr>
      <w:r>
        <w:rPr>
          <w:rFonts w:ascii="Arial" w:cs="Arial" w:eastAsia="Arial" w:hAnsi="Arial"/>
          <w:b/>
          <w:bCs/>
          <w:i/>
          <w:iCs/>
          <w:sz w:val="24"/>
          <w:szCs w:val="24"/>
        </w:rPr>
        <w:t xml:space="preserve">6.8.1. Equipo mínimo y roles</w:t>
      </w:r>
    </w:p>
    <w:p>
      <w:pPr>
        <w:spacing w:after="60" w:before="240"/>
      </w:pPr>
      <w:r>
        <w:rPr>
          <w:rFonts w:ascii="Arial" w:cs="Arial" w:eastAsia="Arial" w:hAnsi="Arial"/>
          <w:b/>
          <w:bCs/>
          <w:sz w:val="24"/>
          <w:szCs w:val="22"/>
        </w:rPr>
        <w:t xml:space="preserve">Tabla 23</w:t>
      </w:r>
      <w:r>
        <w:br/>
        <w:t xml:space="preserve">
</w:t>
      </w:r>
      <w:r>
        <w:rPr>
          <w:rFonts w:ascii="Arial" w:cs="Arial" w:eastAsia="Arial" w:hAnsi="Arial"/>
          <w:i/>
          <w:iCs/>
          <w:sz w:val="24"/>
          <w:szCs w:val="22"/>
        </w:rPr>
        <w:t xml:space="preserve">Roles del equipo mínimo y responsabilidades</w:t>
      </w:r>
    </w:p>
    <w:tbl>
      <w:tblPr>
        <w:tblW w:type="dxa" w:w="9360"/>
        <w:tblBorders>
          <w:top w:val="single" w:color="000000" w:sz="6"/>
          <w:left w:val="none" w:sz="0"/>
          <w:bottom w:val="single" w:color="000000" w:sz="6"/>
          <w:right w:val="none" w:sz="0"/>
          <w:insideH w:val="none" w:sz="0"/>
          <w:insideV w:val="none" w:sz="0"/>
        </w:tblBorders>
      </w:tblPr>
      <w:tblGrid>
        <w:gridCol w:w="2200"/>
        <w:gridCol w:w="2760"/>
        <w:gridCol w:w="2200"/>
        <w:gridCol w:w="2200"/>
      </w:tblGrid>
      <w:tr>
        <w:tc>
          <w:tcPr>
            <w:tcW w:type="dxa" w:w="22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Rol</w:t>
            </w:r>
          </w:p>
        </w:tc>
        <w:tc>
          <w:tcPr>
            <w:tcW w:type="dxa" w:w="27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Qué hace</w:t>
            </w:r>
          </w:p>
        </w:tc>
        <w:tc>
          <w:tcPr>
            <w:tcW w:type="dxa" w:w="22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Cómo se vincula</w:t>
            </w:r>
          </w:p>
        </w:tc>
        <w:tc>
          <w:tcPr>
            <w:tcW w:type="dxa" w:w="22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Qué puede decidir solo</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Fundador / responsable del proyecto</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Define la visión, gestiona el capital, aprueba las decisiones estratégicas, actualiza la Bitácora y el Registro de Supuestos al final de cada ciclo.</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Autofinanciado. Sin remuneración en la etapa inicial.</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Ninguna decisión estratégica sin registro en la Bitácora. Las decisiones operativas del día a día no requieren aprobación formal.</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Responsable técnico</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Construye el producto, corrige errores, mantiene la infraestructura y ejecuta los ciclos de prueba.</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Acuerdo por proyecto o participación. Remuneración parcial desde el Mes 3 si el gasto lo permite.</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Decisiones técnicas de implementación dentro del alcance del ciclo aprobado.</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Responsable de producto (puede ser el fundador al inicio)</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Diseña los experimentos del Registro de Supuestos, analiza resultados y propone ajustes.</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Colaborador a tiempo parcial o por entregable.</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Ajustes menores de diseño que no afectan el experimento en curso.</w:t>
            </w:r>
          </w:p>
        </w:tc>
      </w:tr>
      <w:tr>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Asesor legal (externo)</w:t>
            </w:r>
          </w:p>
        </w:tc>
        <w:tc>
          <w:tcPr>
            <w:tcW w:type="dxa" w:w="27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Opina sobre la regulación y revisa documentos legales antes del lanzamiento.</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Servicio por consulta puntual.</w:t>
            </w:r>
          </w:p>
        </w:tc>
        <w:tc>
          <w:tcPr>
            <w:tcW w:type="dxa" w:w="2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No aplica. Rol consultivo.</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p>
      <w:pPr>
        <w:pStyle w:val="Heading3"/>
        <w:spacing w:after="120" w:before="240"/>
      </w:pPr>
      <w:r>
        <w:rPr>
          <w:rFonts w:ascii="Arial" w:cs="Arial" w:eastAsia="Arial" w:hAnsi="Arial"/>
          <w:b/>
          <w:bCs/>
          <w:i/>
          <w:iCs/>
          <w:sz w:val="24"/>
          <w:szCs w:val="24"/>
        </w:rPr>
        <w:t xml:space="preserve">6.8.2. Costos y punto de equilibrio</w:t>
      </w:r>
    </w:p>
    <w:p>
      <w:pPr>
        <w:spacing w:after="60" w:before="240"/>
      </w:pPr>
      <w:r>
        <w:rPr>
          <w:rFonts w:ascii="Arial" w:cs="Arial" w:eastAsia="Arial" w:hAnsi="Arial"/>
          <w:b/>
          <w:bCs/>
          <w:sz w:val="24"/>
          <w:szCs w:val="22"/>
        </w:rPr>
        <w:t xml:space="preserve">Tabla 24</w:t>
      </w:r>
      <w:r>
        <w:br/>
        <w:t xml:space="preserve">
</w:t>
      </w:r>
      <w:r>
        <w:rPr>
          <w:rFonts w:ascii="Arial" w:cs="Arial" w:eastAsia="Arial" w:hAnsi="Arial"/>
          <w:i/>
          <w:iCs/>
          <w:sz w:val="24"/>
          <w:szCs w:val="22"/>
        </w:rPr>
        <w:t xml:space="preserve">Estructura de costos y tasa de gasto mensual estimada del proyecto</w:t>
      </w:r>
    </w:p>
    <w:tbl>
      <w:tblPr>
        <w:tblW w:type="dxa" w:w="9360"/>
        <w:tblBorders>
          <w:top w:val="single" w:color="000000" w:sz="6"/>
          <w:left w:val="none" w:sz="0"/>
          <w:bottom w:val="single" w:color="000000" w:sz="6"/>
          <w:right w:val="none" w:sz="0"/>
          <w:insideH w:val="none" w:sz="0"/>
          <w:insideV w:val="none" w:sz="0"/>
        </w:tblBorders>
      </w:tblPr>
      <w:tblGrid>
        <w:gridCol w:w="1800"/>
        <w:gridCol w:w="2160"/>
        <w:gridCol w:w="1800"/>
        <w:gridCol w:w="1800"/>
        <w:gridCol w:w="1800"/>
      </w:tblGrid>
      <w:tr>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Categoría</w:t>
            </w:r>
          </w:p>
        </w:tc>
        <w:tc>
          <w:tcPr>
            <w:tcW w:type="dxa" w:w="21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Detalle</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Costo estimado/mes</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Cuándo aplica</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Cómo reducirlo</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Infraestructura digital</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Servidor, base de datos, despliegue.</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150 - 300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Desde Mes 1</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Comenzar con servicios cloud de bajo costo. Escalar solo cuando el volumen lo justifique.</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Proveedor de pagos</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Comisión por transacción (sin costo fijo mensual).</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Variable: % de cada venta</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Desde Mes 3</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La comisión se incluye en el precio al organizador. No genera costo fijo.</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Herramientas de trabajo</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Software de gestión, comunicación, control de versiones.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80 - 120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Desde Mes 1</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Usar planes gratuitos mientras el equipo sea pequeño.</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Consulta legal</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Honorarios del asesor legal (pago único al inicio).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800 - 1,500 (único)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Buscar asesoría a través de programas de apoyo o incubadoras que subsidian el servicio.</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Adquisición de primeros clientes</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Sorteos demostrativos, contenido en redes. Sin publicidad pagada al inicio.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200 - 400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Desde Mes 3</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Los primeros clientes se consiguen por contacto directo, no por publicidad.</w:t>
            </w:r>
          </w:p>
        </w:tc>
      </w:tr>
      <w:tr>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Total (Fases 0 y 1)</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Gasto mensual promedio en los primeros 4 meses.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1,300 - 2,300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Meses 1 a 4</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Mantener siempre ≥4 meses de capital disponible.</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Costos en soles peruanos (S/) para el periodo 2024-2026.</w:t>
      </w:r>
    </w:p>
    <w:p>
      <w:pPr>
        <w:spacing w:after="60" w:before="240"/>
      </w:pPr>
      <w:r>
        <w:rPr>
          <w:rFonts w:ascii="Arial" w:cs="Arial" w:eastAsia="Arial" w:hAnsi="Arial"/>
          <w:b/>
          <w:bCs/>
          <w:sz w:val="24"/>
          <w:szCs w:val="22"/>
        </w:rPr>
        <w:t xml:space="preserve">Tabla 25</w:t>
      </w:r>
      <w:r>
        <w:br/>
        <w:t xml:space="preserve">
</w:t>
      </w:r>
      <w:r>
        <w:rPr>
          <w:rFonts w:ascii="Arial" w:cs="Arial" w:eastAsia="Arial" w:hAnsi="Arial"/>
          <w:i/>
          <w:iCs/>
          <w:sz w:val="24"/>
          <w:szCs w:val="22"/>
        </w:rPr>
        <w:t xml:space="preserve">Proyección de punto de equilibrio financiero</w:t>
      </w:r>
    </w:p>
    <w:tbl>
      <w:tblPr>
        <w:tblW w:type="dxa" w:w="9360"/>
        <w:tblBorders>
          <w:top w:val="single" w:color="000000" w:sz="6"/>
          <w:left w:val="none" w:sz="0"/>
          <w:bottom w:val="single" w:color="000000" w:sz="6"/>
          <w:right w:val="none" w:sz="0"/>
          <w:insideH w:val="none" w:sz="0"/>
          <w:insideV w:val="none" w:sz="0"/>
        </w:tblBorders>
      </w:tblPr>
      <w:tblGrid>
        <w:gridCol w:w="2340"/>
        <w:gridCol w:w="1800"/>
        <w:gridCol w:w="1800"/>
        <w:gridCol w:w="1800"/>
        <w:gridCol w:w="1620"/>
      </w:tblGrid>
      <w:tr>
        <w:tc>
          <w:tcPr>
            <w:tcW w:type="dxa" w:w="234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Período</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Sorteos activos/mes</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Ingreso est./mes</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Gasto est./mes</w:t>
            </w:r>
          </w:p>
        </w:tc>
        <w:tc>
          <w:tcPr>
            <w:tcW w:type="dxa" w:w="162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Resultado</w:t>
            </w:r>
          </w:p>
        </w:tc>
      </w:tr>
      <w:tr>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Meses 3-4 (primeros sorteos)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 a 3</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300 - 480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1,500</w:t>
            </w:r>
          </w:p>
        </w:tc>
        <w:tc>
          <w:tcPr>
            <w:tcW w:type="dxa" w:w="16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Negativo. Etapa de aprendizaje.</w:t>
            </w:r>
          </w:p>
        </w:tc>
      </w:tr>
      <w:tr>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Meses 5-6 (ciclo completo)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5 a 8</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1,000 - 1,600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1,800</w:t>
            </w:r>
          </w:p>
        </w:tc>
        <w:tc>
          <w:tcPr>
            <w:tcW w:type="dxa" w:w="16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Neutro. Ingresos cubren parte del gasto.</w:t>
            </w:r>
          </w:p>
        </w:tc>
      </w:tr>
      <w:tr>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Meses 7-9 (operación establecida)</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10 a 15</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2,000 - 3,600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2,000</w:t>
            </w:r>
          </w:p>
        </w:tc>
        <w:tc>
          <w:tcPr>
            <w:tcW w:type="dxa" w:w="16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Positivo.</w:t>
            </w:r>
          </w:p>
        </w:tc>
      </w:tr>
      <w:tr>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Mes 12+ (crecimiento)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25 a 40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5,000 - 8,000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 2,500</w:t>
            </w:r>
          </w:p>
        </w:tc>
        <w:tc>
          <w:tcPr>
            <w:tcW w:type="dxa" w:w="162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Positivo sostenido con margen para reinversión.</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Cifras en soles peruanos. Se actualizan con los datos reales de cada ciclo.</w:t>
      </w:r>
    </w:p>
    <w:p>
      <w:pPr>
        <w:pStyle w:val="Heading2"/>
        <w:spacing w:after="120" w:before="300"/>
      </w:pPr>
      <w:r>
        <w:rPr>
          <w:rFonts w:ascii="Arial" w:cs="Arial" w:eastAsia="Arial" w:hAnsi="Arial"/>
          <w:b/>
          <w:bCs/>
          <w:sz w:val="26"/>
          <w:szCs w:val="26"/>
        </w:rPr>
        <w:t xml:space="preserve">6.9. Indicadores de seguimiento</w:t>
      </w:r>
    </w:p>
    <w:p>
      <w:pPr>
        <w:spacing w:after="60" w:before="240"/>
      </w:pPr>
      <w:r>
        <w:rPr>
          <w:rFonts w:ascii="Arial" w:cs="Arial" w:eastAsia="Arial" w:hAnsi="Arial"/>
          <w:b/>
          <w:bCs/>
          <w:sz w:val="24"/>
          <w:szCs w:val="22"/>
        </w:rPr>
        <w:t xml:space="preserve">Tabla 26</w:t>
      </w:r>
      <w:r>
        <w:br/>
        <w:t xml:space="preserve">
</w:t>
      </w:r>
      <w:r>
        <w:rPr>
          <w:rFonts w:ascii="Arial" w:cs="Arial" w:eastAsia="Arial" w:hAnsi="Arial"/>
          <w:i/>
          <w:iCs/>
          <w:sz w:val="24"/>
          <w:szCs w:val="22"/>
        </w:rPr>
        <w:t xml:space="preserve">Alineamiento estratégico: objetivo, estrategia, entregable e indicador</w:t>
      </w:r>
    </w:p>
    <w:tbl>
      <w:tblPr>
        <w:tblW w:type="dxa" w:w="9360"/>
        <w:tblBorders>
          <w:top w:val="single" w:color="000000" w:sz="6"/>
          <w:left w:val="none" w:sz="0"/>
          <w:bottom w:val="single" w:color="000000" w:sz="6"/>
          <w:right w:val="none" w:sz="0"/>
          <w:insideH w:val="none" w:sz="0"/>
          <w:insideV w:val="none" w:sz="0"/>
        </w:tblBorders>
      </w:tblPr>
      <w:tblGrid>
        <w:gridCol w:w="2340"/>
        <w:gridCol w:w="1800"/>
        <w:gridCol w:w="2160"/>
        <w:gridCol w:w="3060"/>
      </w:tblGrid>
      <w:tr>
        <w:tc>
          <w:tcPr>
            <w:tcW w:type="dxa" w:w="234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Objetivo (Cap. II)</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Estrategia vinculada</w:t>
            </w:r>
          </w:p>
        </w:tc>
        <w:tc>
          <w:tcPr>
            <w:tcW w:type="dxa" w:w="21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Entregable</w:t>
            </w:r>
          </w:p>
        </w:tc>
        <w:tc>
          <w:tcPr>
            <w:tcW w:type="dxa" w:w="30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Cómo se sabe que está cumplido</w:t>
            </w:r>
          </w:p>
        </w:tc>
      </w:tr>
      <w:tr>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Diseñar el modelo ALAZAR-HPM.</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Diferenciación por confianza auditable (Celda V, Matriz IE).</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Modelo con 4 instrumentos operativos desde el Mes 1.</w:t>
            </w:r>
          </w:p>
        </w:tc>
        <w:tc>
          <w:tcPr>
            <w:tcW w:type="dxa" w:w="30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Los 4 instrumentos están activos y actualizados al cierre del Mes 9.</w:t>
            </w:r>
          </w:p>
        </w:tc>
      </w:tr>
      <w:tr>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Verificar los supuestos críticos antes de escalar.</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Validar antes de escalar (FA-3, DA-2).</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de Supuestos S1-S6 con resultados.</w:t>
            </w:r>
          </w:p>
        </w:tc>
        <w:tc>
          <w:tcPr>
            <w:tcW w:type="dxa" w:w="30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Los 6 supuestos tienen resultado documentado al cierre del Mes 9.</w:t>
            </w:r>
          </w:p>
        </w:tc>
      </w:tr>
      <w:tr>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Implementar seguimiento y trazabilidad de decisiones.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Gobernanza adaptativa (FA-2, FO-4).</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Bitácora RC-01 y Registro de Riesgos activos.</w:t>
            </w:r>
          </w:p>
        </w:tc>
        <w:tc>
          <w:tcPr>
            <w:tcW w:type="dxa" w:w="30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100% de las decisiones estratégicas está en la Bitácora.</w:t>
            </w:r>
          </w:p>
        </w:tc>
      </w:tr>
      <w:tr>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Cumplir el marco regulatorio antes del lanzamiento.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Consulta legal Mes 1 (DA-1).</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Resultado de consulta legal y T&amp;C aprobados.</w:t>
            </w:r>
          </w:p>
        </w:tc>
        <w:tc>
          <w:tcPr>
            <w:tcW w:type="dxa" w:w="30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Consulta completada antes del primer usuario externo.</w:t>
            </w:r>
          </w:p>
        </w:tc>
      </w:tr>
      <w:tr>
        <w:tc>
          <w:tcPr>
            <w:tcW w:type="dxa" w:w="23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Generar primeros ingresos y alcanzar el punto de equilibrio.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Primer cliente ancla (DO-3) y motor de precios (FO-2).</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Primer sorteo con ingreso real. 5 organizadores activos.</w:t>
            </w:r>
          </w:p>
        </w:tc>
        <w:tc>
          <w:tcPr>
            <w:tcW w:type="dxa" w:w="30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Punto de equilibrio alcanzado en el Mes 7-8.</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p>
      <w:pPr>
        <w:spacing w:after="60" w:before="240"/>
      </w:pPr>
      <w:r>
        <w:rPr>
          <w:rFonts w:ascii="Arial" w:cs="Arial" w:eastAsia="Arial" w:hAnsi="Arial"/>
          <w:b/>
          <w:bCs/>
          <w:sz w:val="24"/>
          <w:szCs w:val="22"/>
        </w:rPr>
        <w:t xml:space="preserve">Tabla 27</w:t>
      </w:r>
      <w:r>
        <w:br/>
        <w:t xml:space="preserve">
</w:t>
      </w:r>
      <w:r>
        <w:rPr>
          <w:rFonts w:ascii="Arial" w:cs="Arial" w:eastAsia="Arial" w:hAnsi="Arial"/>
          <w:i/>
          <w:iCs/>
          <w:sz w:val="24"/>
          <w:szCs w:val="22"/>
        </w:rPr>
        <w:t xml:space="preserve">Indicadores de seguimiento del proyecto ALAZAR</w:t>
      </w:r>
    </w:p>
    <w:tbl>
      <w:tblPr>
        <w:tblW w:type="dxa" w:w="9360"/>
        <w:tblBorders>
          <w:top w:val="single" w:color="000000" w:sz="6"/>
          <w:left w:val="none" w:sz="0"/>
          <w:bottom w:val="single" w:color="000000" w:sz="6"/>
          <w:right w:val="none" w:sz="0"/>
          <w:insideH w:val="none" w:sz="0"/>
          <w:insideV w:val="none" w:sz="0"/>
        </w:tblBorders>
      </w:tblPr>
      <w:tblGrid>
        <w:gridCol w:w="1500"/>
        <w:gridCol w:w="2400"/>
        <w:gridCol w:w="1500"/>
        <w:gridCol w:w="1800"/>
        <w:gridCol w:w="2160"/>
      </w:tblGrid>
      <w:tr>
        <w:tc>
          <w:tcPr>
            <w:tcW w:type="dxa" w:w="15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Área</w:t>
            </w:r>
          </w:p>
        </w:tc>
        <w:tc>
          <w:tcPr>
            <w:tcW w:type="dxa" w:w="24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Indicador</w:t>
            </w:r>
          </w:p>
        </w:tc>
        <w:tc>
          <w:tcPr>
            <w:tcW w:type="dxa" w:w="15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Meta</w:t>
            </w:r>
          </w:p>
        </w:tc>
        <w:tc>
          <w:tcPr>
            <w:tcW w:type="dxa" w:w="1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Cuándo se mide</w:t>
            </w:r>
          </w:p>
        </w:tc>
        <w:tc>
          <w:tcPr>
            <w:tcW w:type="dxa" w:w="21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Qué hacer si no se alcanza</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Gobernanza</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Capital disponible restante (meses de gasto)</w:t>
            </w:r>
          </w:p>
        </w:tc>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Siempre &gt;4 meses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Cada mes</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Reducir gastos. Activar postulación a fondos.</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Gobernanza</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Supuestos del Registro verificados</w:t>
            </w:r>
          </w:p>
        </w:tc>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≥1 por mes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Cada ciclo quincenal</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Revisar si el experimento está bien diseñado.</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Gobernanza</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Riesgos críticos sin plan activo</w:t>
            </w:r>
          </w:p>
        </w:tc>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Siempre cero</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Cada ciclo quincenal</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Detener hasta que el riesgo tenga plan documentado.</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S1</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Tasa de conversión (participantes que compran)</w:t>
            </w:r>
          </w:p>
        </w:tc>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≥30%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Cada semana en Meses 3-4</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Ajustar precio o proceso. Documentar en Bitácora.</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S2</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Organizadores con sorteo activo</w:t>
            </w:r>
          </w:p>
        </w:tc>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≥5 al cierre del Mes 5</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Cada mes en Meses 4-5</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Revisar si el problema es la comisión o el proceso.</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S3</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Compras completadas sin error técnico</w:t>
            </w:r>
          </w:p>
        </w:tc>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≥70%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Cada semana en Mes 3</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Identificar el paso con mayor abandono. Corregir antes de medir S1.</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S4</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Satisfacción post-sorteo</w:t>
            </w:r>
          </w:p>
        </w:tc>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≥7/10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Por cada sorteo</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Mejorar comunicación del proceso de verificación.</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S5</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Días del ciclo completo hasta el pago</w:t>
            </w:r>
          </w:p>
        </w:tc>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≤7 días</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Por cada sorteo</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Revisar proceso de entrega y protocolo de disputas.</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S6</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Participantes que regresan en el primer mes</w:t>
            </w:r>
          </w:p>
        </w:tc>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≥20%</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Cada mes desde Mes 5</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Mejorar comunicación post-sorteo. Nuevos sorteos disponibles.</w:t>
            </w:r>
          </w:p>
        </w:tc>
      </w:tr>
      <w:tr>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Producto</w:t>
            </w:r>
          </w:p>
        </w:tc>
        <w:tc>
          <w:tcPr>
            <w:tcW w:type="dxa" w:w="24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Compras completadas sin error del sistema</w:t>
            </w:r>
          </w:p>
        </w:tc>
        <w:tc>
          <w:tcPr>
            <w:tcW w:type="dxa" w:w="15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≥95%</w:t>
            </w:r>
          </w:p>
        </w:tc>
        <w:tc>
          <w:tcPr>
            <w:tcW w:type="dxa" w:w="1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En tiempo real desde Mes 3</w:t>
            </w:r>
          </w:p>
        </w:tc>
        <w:tc>
          <w:tcPr>
            <w:tcW w:type="dxa" w:w="21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Detener hasta que el error esté corregido.</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basada en la metodología propuesta y los dominios de Medición e Incertidumbre del PMBOK® 7 (PMI, 2021).</w:t>
      </w:r>
    </w:p>
    <w:p>
      <w:r>
        <w:br w:type="page"/>
      </w:r>
    </w:p>
    <w:p>
      <w:pPr>
        <w:pStyle w:val="Heading1"/>
        <w:spacing w:after="180" w:before="360"/>
        <w:jc w:val="center"/>
      </w:pPr>
      <w:r>
        <w:rPr>
          <w:rFonts w:ascii="Arial" w:cs="Arial" w:eastAsia="Arial" w:hAnsi="Arial"/>
          <w:b/>
          <w:bCs/>
          <w:caps/>
          <w:sz w:val="28"/>
          <w:szCs w:val="28"/>
        </w:rPr>
        <w:t xml:space="preserve">CAPÍTULO VII. ANÁLISIS DE RESULTADOS Y PROPUESTA DE MEJORA</w:t>
      </w:r>
    </w:p>
    <w:p>
      <w:pPr>
        <w:pStyle w:val="Heading2"/>
        <w:spacing w:after="120" w:before="300"/>
      </w:pPr>
      <w:r>
        <w:rPr>
          <w:rFonts w:ascii="Arial" w:cs="Arial" w:eastAsia="Arial" w:hAnsi="Arial"/>
          <w:b/>
          <w:bCs/>
          <w:sz w:val="26"/>
          <w:szCs w:val="26"/>
        </w:rPr>
        <w:t xml:space="preserve">7.1. Limitaciones metodológicas</w:t>
      </w:r>
    </w:p>
    <w:p>
      <w:pPr>
        <w:spacing w:after="120" w:before="120" w:line="276"/>
        <w:jc w:val="both"/>
      </w:pPr>
      <w:r>
        <w:rPr>
          <w:rFonts w:ascii="Arial" w:cs="Arial" w:eastAsia="Arial" w:hAnsi="Arial"/>
          <w:sz w:val="24"/>
          <w:szCs w:val="24"/>
          <w:color w:val="000000"/>
        </w:rPr>
        <w:t xml:space="preserve">Todo modelo propositivo tiene límites, y reconocerlos con precisión no debilita el argumento: lo hace honesto. Las limitaciones de esta investigación son de tres tipos y vale la pena distinguirlas, porque cada una abre una pregunta de investigación diferente.</w:t>
      </w:r>
    </w:p>
    <w:p>
      <w:pPr>
        <w:pStyle w:val="Heading3"/>
        <w:spacing w:after="120" w:before="240"/>
      </w:pPr>
      <w:r>
        <w:rPr>
          <w:rFonts w:ascii="Arial" w:cs="Arial" w:eastAsia="Arial" w:hAnsi="Arial"/>
          <w:b/>
          <w:bCs/>
          <w:i/>
          <w:sz w:val="24"/>
          <w:szCs w:val="24"/>
        </w:rPr>
        <w:t xml:space="preserve">7.1.1. Limitaciones del estudio de caso único</w:t>
      </w:r>
    </w:p>
    <w:p>
      <w:pPr>
        <w:spacing w:after="120" w:before="120" w:line="276"/>
        <w:jc w:val="both"/>
      </w:pPr>
      <w:r>
        <w:rPr>
          <w:rFonts w:ascii="Arial" w:cs="Arial" w:eastAsia="Arial" w:hAnsi="Arial"/>
          <w:sz w:val="24"/>
          <w:szCs w:val="24"/>
          <w:color w:val="000000"/>
        </w:rPr>
        <w:t xml:space="preserve">El diseño metodológico del trabajo es un estudio de caso instrumental (Stake, 1995), lo que implica que las conclusiones son transferibles en sentido metodológico pero no generalizables en sentido estadístico. El caso ALAZAR fue seleccionado precisamente por representar condiciones extremas: bootstrapping, equipo mínimo, mercado sin formalizar y marco regulatorio ambiguo. Esa elección fortalece el argumento lógico de la metodología (si funciona aquí, tiene condiciones para funcionar en contextos menos restrictivos), pero no reemplaza la evidencia que solo puede producir un estudio comparativo con múltiples casos. Un evaluador que pregunte si la metodología funcionaría diferente en una startup con financiamiento externo, equipo más grande o mercado regulado tiene razón en preguntarlo: esa pregunta excede el alcance de este trabajo.</w:t>
      </w:r>
    </w:p>
    <w:p>
      <w:pPr>
        <w:pStyle w:val="Heading3"/>
        <w:spacing w:after="120" w:before="240"/>
      </w:pPr>
      <w:r>
        <w:rPr>
          <w:rFonts w:ascii="Arial" w:cs="Arial" w:eastAsia="Arial" w:hAnsi="Arial"/>
          <w:b/>
          <w:bCs/>
          <w:i/>
          <w:sz w:val="24"/>
          <w:szCs w:val="24"/>
        </w:rPr>
        <w:t xml:space="preserve">7.1.2. Limitaciones del diseño propositivo sin validación empírica completada</w:t>
      </w:r>
    </w:p>
    <w:p>
      <w:pPr>
        <w:spacing w:after="120" w:before="120" w:line="276"/>
        <w:jc w:val="both"/>
      </w:pPr>
      <w:r>
        <w:rPr>
          <w:rFonts w:ascii="Arial" w:cs="Arial" w:eastAsia="Arial" w:hAnsi="Arial"/>
          <w:sz w:val="24"/>
          <w:szCs w:val="24"/>
          <w:color w:val="000000"/>
        </w:rPr>
        <w:t xml:space="preserve">El modelo ALAZAR-HPM fue diseñado para operar durante nueve meses. Al momento de cierre de este trabajo, la metodología ha sido aplicada en la Fase 0 del proyecto ALAZAR, es decir, en la construcción de la base de gobernanza. Las Fases 1 a 3, donde los supuestos S1-S6 se verifican con usuarios reales y el ciclo económico se cierra, están programadas pero no completadas. Esto significa que la validación operacional del modelo (nivel 3 de la Tabla 18) está parcialmente satisfecha, y la validación empírica (nivel 4) está pendiente. El trabajo diseña la metodología con rigor; no puede todavía demostrar que produce los resultados que predice. Esa distinción entre diseño y evidencia de resultados es metodológicamente honesta y debe serlo.</w:t>
      </w:r>
    </w:p>
    <w:p>
      <w:pPr>
        <w:pStyle w:val="Heading3"/>
        <w:spacing w:after="120" w:before="240"/>
      </w:pPr>
      <w:r>
        <w:rPr>
          <w:rFonts w:ascii="Arial" w:cs="Arial" w:eastAsia="Arial" w:hAnsi="Arial"/>
          <w:b/>
          <w:bCs/>
          <w:i/>
          <w:sz w:val="24"/>
          <w:szCs w:val="24"/>
        </w:rPr>
        <w:t xml:space="preserve">7.1.3. Limitaciones de la fuente de datos</w:t>
      </w:r>
    </w:p>
    <w:p>
      <w:pPr>
        <w:spacing w:after="120" w:before="120" w:line="276"/>
        <w:jc w:val="both"/>
      </w:pPr>
      <w:r>
        <w:rPr>
          <w:rFonts w:ascii="Arial" w:cs="Arial" w:eastAsia="Arial" w:hAnsi="Arial"/>
          <w:sz w:val="24"/>
          <w:szCs w:val="24"/>
          <w:color w:val="000000"/>
        </w:rPr>
        <w:t xml:space="preserve">Las fuentes de elaboración propia de este trabajo (Tabla 13) son documentos generados por el mismo equipo que diseñó la metodología. No existe validación por actores externos al proyecto, entrevistas con otros fundadores de startups comparables ni revisión por pares del modelo antes de su publicación. Esta limitación es común en la investigación propositiva aplicada y no invalida las conclusiones, pero sí establece un techo epistémico claro: lo que este trabajo puede afirmar es que la metodología es coherente, derivable de sus marcos teóricos y adecuada al diagnóstico del contexto. Lo que no puede afirmar es que esa coherencia se traduzca necesariamente en mejores resultados operacionales que las alternativas existentes.
Hay una cuarta limitación que merece nombrarse aunque es estructural a este tipo de investigación: la del investigador como diseñador del objeto de estudio. El modelo ALAZAR-HPM fue diseñado por el mismo investigador que lo evalúa en este trabajo. Eso no es una anomalía metodológica en la investigación propositiva aplicada, que por definición produce como resultado un artefacto diseñado, no un fenómeno observado. Pero sí implica que la evaluación crítica del capítulo VII, por más honesta que sea, no puede sustituir la mirada de un evaluador externo que no participó en el diseño. Esa limitación refuerza la importancia de los niveles 3 y 4 de la Tabla 18: la validación operacional y la validación empírica son las que pueden producir evidencia genuinamente independiente del proceso de diseño.</w:t>
      </w:r>
    </w:p>
    <w:p>
      <w:pPr>
        <w:pStyle w:val="Heading2"/>
        <w:spacing w:after="120" w:before="300"/>
      </w:pPr>
      <w:r>
        <w:rPr>
          <w:rFonts w:ascii="Arial" w:cs="Arial" w:eastAsia="Arial" w:hAnsi="Arial"/>
          <w:b/>
          <w:bCs/>
          <w:sz w:val="26"/>
          <w:szCs w:val="26"/>
        </w:rPr>
        <w:t xml:space="preserve">7.2. Análisis crítico y factores críticos de éxito</w:t>
      </w:r>
    </w:p>
    <w:p>
      <w:pPr>
        <w:spacing w:after="120" w:before="120" w:line="276"/>
        <w:jc w:val="both"/>
      </w:pPr>
      <w:r>
        <w:rPr>
          <w:rFonts w:ascii="Arial" w:cs="Arial" w:eastAsia="Arial" w:hAnsi="Arial"/>
          <w:sz w:val="24"/>
          <w:szCs w:val="24"/>
          <w:color w:val="000000"/>
        </w:rPr>
        <w:t xml:space="preserve">Hay una tentación en la investigación propositiva de presentar el modelo que se diseñó como si fuera mejor que las alternativas existentes. Este capítulo intenta resistir esa tentación. El análisis que sigue identifica las tensiones internas del modelo, los supuestos que da por válidos sin demostración empírica y las condiciones en que es más probable que falle.</w:t>
      </w:r>
    </w:p>
    <w:p>
      <w:pPr>
        <w:spacing w:after="120" w:before="120" w:line="276"/>
        <w:jc w:val="both"/>
      </w:pPr>
      <w:r>
        <w:rPr>
          <w:rFonts w:ascii="Arial" w:cs="Arial" w:eastAsia="Arial" w:hAnsi="Arial"/>
          <w:sz w:val="24"/>
          <w:szCs w:val="24"/>
          <w:color w:val="000000"/>
        </w:rPr>
        <w:t xml:space="preserve">La principal fortaleza del modelo propuesto es su coherencia con el diagnóstico estratégico. Cada uno de sus seis componentes puede rastrearse directamente a una vulnerabilidad o fortaleza identificada en el AMOFHIT y el FODA. La Capa de Gobernanza responde a D4 (dependencia del fundador) y D6 (ausencia de formalización legal). El Motor de Validación responde a D3 (supuestos sin evidencia real) y a la estrategia FA-3. El Ciclo de Gestión de Riesgos responde a A1, A2 y A7. Esta trazabilidad no es decorativa: es la prueba de que el modelo fue diseñado desde el problema, no desde la teoría.</w:t>
      </w:r>
    </w:p>
    <w:p>
      <w:pPr>
        <w:spacing w:after="120" w:before="120" w:line="276"/>
        <w:jc w:val="both"/>
      </w:pPr>
      <w:r>
        <w:rPr>
          <w:rFonts w:ascii="Arial" w:cs="Arial" w:eastAsia="Arial" w:hAnsi="Arial"/>
          <w:sz w:val="24"/>
          <w:szCs w:val="24"/>
          <w:color w:val="000000"/>
        </w:rPr>
        <w:t xml:space="preserve">La principal tensión del modelo es la que existe entre la necesidad de gobernanza formal, que requiere tiempo y atención del fundador, y la presión del bootstrapping por avanzar rápidamente. Una Carta de Gobernanza que, por su complejidad, requiere más tiempo del que el fundador puede dedicarle sin desatender el producto, un Registro de Riesgos que nadie actualiza después del Mes 1, un Tablero que se construye pero no se consulta: estos son los modos de fallo más probables. La Gobernanza Mínima Viable es la respuesta a esa tensión, pero su efectividad depende de que los instrumentos estén diseñados para su mantenimiento real.</w:t>
      </w:r>
    </w:p>
    <w:p>
      <w:pPr>
        <w:spacing w:after="120" w:before="120" w:line="276"/>
        <w:jc w:val="both"/>
      </w:pPr>
      <w:r>
        <w:rPr>
          <w:rFonts w:ascii="Arial" w:cs="Arial" w:eastAsia="Arial" w:hAnsi="Arial"/>
          <w:sz w:val="24"/>
          <w:szCs w:val="24"/>
          <w:color w:val="000000"/>
        </w:rPr>
        <w:t xml:space="preserve">Los factores críticos de éxito de la metodología no son técnicos: son conductuales. El primero es la disciplina de actualización documental. Los cuatro instrumentos del modelo tienen valor en la medida en que se actualizan al cierre de cada sprint quincenal; su mero diseño no garantiza nada. Un Registro de Supuestos que nadie actualiza después del Mes 2 no es un instrumento de gobernanza: es un documento de inicio que no cumplió su función. El segundo factor crítico es el liderazgo del fundador como garante de la coherencia metodológica. En un equipo de dos personas, si el fundador decide que "documentar la decisión después" es aceptable, la Bitácora RC-01 pierde su razón de ser en pocas semanas. El tercer factor es la consistencia de los ciclos de validación: la cadencia quincenal solo produce aprendizaje acumulado si se respeta como unidad de tiempo inviolable, no como un ideal que cede ante la presión operativa. El cuarto factor, menos evidente, es la capacidad de tolerar resultados negativos sin abandonar el proceso. Un supuesto que falla no es una señal de que el modelo no funciona: es exactamente la información que el modelo estaba diseñado para producir.</w:t>
      </w:r>
    </w:p>
    <w:p>
      <w:pPr>
        <w:spacing w:after="120" w:before="120" w:line="276"/>
        <w:jc w:val="both"/>
      </w:pPr>
      <w:r>
        <w:rPr>
          <w:rFonts w:ascii="Arial" w:cs="Arial" w:eastAsia="Arial" w:hAnsi="Arial"/>
          <w:sz w:val="24"/>
          <w:szCs w:val="24"/>
          <w:color w:val="000000"/>
        </w:rPr>
        <w:t xml:space="preserve">La principal limitación del análisis es que el trabajo no puede evaluar el modelo en condiciones de operación real completada: los supuestos S1-S6 no tienen evidencia empírica al cierre de este documento. El análisis de este capítulo es prospectivo: evalúa coherencia y adecuación contextual, no resultados operacionales. Esa evaluación es la tarea del siguiente ciclo de investigación.</w:t>
      </w:r>
    </w:p>
    <w:p>
      <w:pPr>
        <w:pStyle w:val="Heading2"/>
        <w:spacing w:after="120" w:before="300"/>
      </w:pPr>
      <w:r>
        <w:rPr>
          <w:rFonts w:ascii="Arial" w:cs="Arial" w:eastAsia="Arial" w:hAnsi="Arial"/>
          <w:b/>
          <w:bCs/>
          <w:sz w:val="26"/>
          <w:szCs w:val="26"/>
        </w:rPr>
        <w:t xml:space="preserve">7.3. Escenarios donde la metodología podría fallar</w:t>
      </w:r>
    </w:p>
    <w:p>
      <w:pPr>
        <w:spacing w:after="120" w:before="120" w:line="276"/>
        <w:jc w:val="both"/>
      </w:pPr>
      <w:r>
        <w:rPr>
          <w:rFonts w:ascii="Arial" w:cs="Arial" w:eastAsia="Arial" w:hAnsi="Arial"/>
          <w:sz w:val="24"/>
          <w:szCs w:val="24"/>
          <w:color w:val="000000"/>
        </w:rPr>
        <w:t xml:space="preserve">Un modelo de gobernanza que no anticipa sus propios escenarios de fallo tiene un problema serio de diseño. Los siguientes cuatro escenarios no son hipotéticos remotos: son los modos de fallo que el diseño de la metodología intentó prevenir y que, si se materializan, la invalidarían en la práctica.</w:t>
      </w:r>
    </w:p>
    <w:p>
      <w:pPr>
        <w:spacing w:after="120" w:before="120" w:line="276"/>
        <w:jc w:val="both"/>
      </w:pPr>
      <w:r>
        <w:rPr>
          <w:rFonts w:ascii="Arial" w:cs="Arial" w:eastAsia="Arial" w:hAnsi="Arial"/>
          <w:sz w:val="24"/>
          <w:szCs w:val="24"/>
          <w:color w:val="000000"/>
        </w:rPr>
        <w:t xml:space="preserve">El primero es el exceso de burocracia por acumulación. La Gobernanza Mínima Viable es mínima en el diseño, pero puede dejar de serlo si el equipo añade instrumentos, plantillas o controles que no estaban previstos sin eliminar los que dejan de ser útiles. Una metodología que empieza con cuatro instrumentos y termina el Mes 4 con doce ha dejado de ser viable. El principio de proporcionalidad no es una declaración de intenciones: es un criterio de diseño que debe revisarse activamente en cada Governance Review.</w:t>
      </w:r>
    </w:p>
    <w:p>
      <w:pPr>
        <w:spacing w:after="120" w:before="120" w:line="276"/>
        <w:jc w:val="both"/>
      </w:pPr>
      <w:r>
        <w:rPr>
          <w:rFonts w:ascii="Arial" w:cs="Arial" w:eastAsia="Arial" w:hAnsi="Arial"/>
          <w:sz w:val="24"/>
          <w:szCs w:val="24"/>
          <w:color w:val="000000"/>
        </w:rPr>
        <w:t xml:space="preserve">El segundo escenario de fallo es la ausencia de actualización de instrumentos. Si el Registro de Supuestos no se actualiza con los resultados reales de cada sprint, el modelo pierde su función de sistema de aprendizaje y se convierte en un documento de inicio con fecha de caducidad. Este fallo es el más frecuente y el más difícil de detectar porque no produce un error visible: produce silencio. El equipo sigue operando, pero sin la información que el modelo estaba diseñado para generar.</w:t>
      </w:r>
    </w:p>
    <w:p>
      <w:pPr>
        <w:spacing w:after="120" w:before="120" w:line="276"/>
        <w:jc w:val="both"/>
      </w:pPr>
      <w:r>
        <w:rPr>
          <w:rFonts w:ascii="Arial" w:cs="Arial" w:eastAsia="Arial" w:hAnsi="Arial"/>
          <w:sz w:val="24"/>
          <w:szCs w:val="24"/>
          <w:color w:val="000000"/>
        </w:rPr>
        <w:t xml:space="preserve">El tercer escenario es el diseño deficiente de los experimentos de validación. El ciclo BML solo produce aprendizaje útil si el experimento está bien diseñado: si la métrica mide lo que dice medir, si el umbral de decisión fue definido antes de ver los resultados y si el número de observaciones es suficiente para tomar una decisión razonada. Un supuesto "verificado" con tres usuarios en condiciones no representativas no es una validación: es una confirmación de lo que el equipo ya quería creer. Este riesgo es especialmente relevante en la verificación de S1 (disposición de pago), donde la presión por obtener una confirmación positiva puede sesgar el diseño del experimento.</w:t>
      </w:r>
    </w:p>
    <w:p>
      <w:pPr>
        <w:spacing w:after="120" w:before="120" w:line="276"/>
        <w:jc w:val="both"/>
      </w:pPr>
      <w:r>
        <w:rPr>
          <w:rFonts w:ascii="Arial" w:cs="Arial" w:eastAsia="Arial" w:hAnsi="Arial"/>
          <w:sz w:val="24"/>
          <w:szCs w:val="24"/>
          <w:color w:val="000000"/>
        </w:rPr>
        <w:t xml:space="preserve">El cuarto escenario es un entorno regulatorio que cambia de manera abrupta y estructural durante la implementación. La metodología incorpora el riesgo regulatorio como R8 en el Registro de Riesgos, pero ese registro asume que el cambio es identificable con antelación suficiente para activar el plan de respuesta. Un cambio regulatorio que prohíbe el modelo de negocio completo (no solo lo modifica) no es gestionable con los instrumentos de la metodología: requiere una decisión estratégica de nivel superior que la GMV no está diseñada para tomar. En ese escenario, el valor de la metodología no está en haber evitado el problema, sino en haber documentado suficiente evidencia del proceso para que la decisión de cierre o pivote mayor sea informada y trazable.</w:t>
      </w:r>
    </w:p>
    <w:p>
      <w:pPr>
        <w:pStyle w:val="Heading2"/>
        <w:spacing w:after="120" w:before="300"/>
      </w:pPr>
      <w:r>
        <w:rPr>
          <w:rFonts w:ascii="Arial" w:cs="Arial" w:eastAsia="Arial" w:hAnsi="Arial"/>
          <w:b/>
          <w:bCs/>
          <w:sz w:val="26"/>
          <w:szCs w:val="26"/>
        </w:rPr>
        <w:t xml:space="preserve">7.4. Implicancias para la gestión de proyectos y el emprendimiento digital</w:t>
      </w:r>
    </w:p>
    <w:p>
      <w:pPr>
        <w:spacing w:after="120" w:before="120" w:line="276"/>
        <w:jc w:val="both"/>
      </w:pPr>
      <w:r>
        <w:rPr>
          <w:rFonts w:ascii="Arial" w:cs="Arial" w:eastAsia="Arial" w:hAnsi="Arial"/>
          <w:sz w:val="24"/>
          <w:szCs w:val="24"/>
          <w:color w:val="000000"/>
        </w:rPr>
        <w:t xml:space="preserve">Los aportes de este trabajo exceden el caso ALAZAR. Hay tres implicancias que merecen desarrollarse con algo más de detalle porque tocan debates activos en la literatura de gestión de proyectos y emprendimiento.</w:t>
      </w:r>
    </w:p>
    <w:p>
      <w:pPr>
        <w:spacing w:after="120" w:before="120" w:line="276"/>
        <w:jc w:val="both"/>
      </w:pPr>
      <w:r>
        <w:rPr>
          <w:rFonts w:ascii="Arial" w:cs="Arial" w:eastAsia="Arial" w:hAnsi="Arial"/>
          <w:sz w:val="24"/>
          <w:szCs w:val="24"/>
          <w:color w:val="000000"/>
        </w:rPr>
        <w:t xml:space="preserve">La primera implicancia es sobre el PMBOK® 7. La séptima edición desplazó el centro de gravedad desde los procesos hacia los principios, y ese desplazamiento fue criticado por algunos practicantes como una pérdida de prescriptividad operacional. Lo que este trabajo sugiere es que esa tensión es falsa: los principios del PMBOK® 7 no son menos operacionales que los procesos de la sexta edición; son operacionales de una manera diferente. En lugar de prescribir qué hacer, orientan cómo pensar para decidir qué hacer en contextos que la prescripción no puede anticipar. La distinción invariantes/variables de este trabajo es, en ese sentido, una forma de operacionalizar el principio de adaptación del PMBOK® 7: define qué parte del sistema debe mantenerse estable (gobernanza, auditoría, disputas) para que el resto pueda ser adaptado sin riesgo.</w:t>
      </w:r>
    </w:p>
    <w:p>
      <w:pPr>
        <w:spacing w:after="120" w:before="120" w:line="276"/>
        <w:jc w:val="both"/>
      </w:pPr>
      <w:r>
        <w:rPr>
          <w:rFonts w:ascii="Arial" w:cs="Arial" w:eastAsia="Arial" w:hAnsi="Arial"/>
          <w:sz w:val="24"/>
          <w:szCs w:val="24"/>
          <w:color w:val="000000"/>
        </w:rPr>
        <w:t xml:space="preserve">La segunda implicancia es sobre el Lean Startup. El enfoque BML tiene una limitación que Ries (2011) reconoce pero no resuelve: no distingue entre los componentes del sistema que pueden experimentarse y los que no deben experimentarse. En un e-commerce de ropa esa distinción es poco relevante: casi todo puede ajustarse sin consecuencias irreversibles. En una plataforma transaccional con componentes financieros y legales, experimentar con la auditoría de transacciones o el protocolo de disputas puede generar daño real a usuarios antes de que el experimento produzca aprendizaje. La metodología propuesta sugiere que la integración PMBOK®-Lean Startup no es solo un problema de compatibilidad de marcos: es un problema de diseño que requiere definir explícitamente el perímetro de la experimentación.</w:t>
      </w:r>
    </w:p>
    <w:p>
      <w:pPr>
        <w:spacing w:after="120" w:before="120" w:line="276"/>
        <w:jc w:val="both"/>
      </w:pPr>
      <w:r>
        <w:rPr>
          <w:rFonts w:ascii="Arial" w:cs="Arial" w:eastAsia="Arial" w:hAnsi="Arial"/>
          <w:sz w:val="24"/>
          <w:szCs w:val="24"/>
          <w:color w:val="000000"/>
        </w:rPr>
        <w:t xml:space="preserve">La tercera implicancia es para el ecosistema emprendedor latinoamericano de bootstrapping. La evidencia del BID (2022) y PRODUCE (2023) indica que el problema de las startups en la región no suele ser falta de ideas ni falta de capital inicial, sino falta de capacidad de dirección proporcional a la etapa del proyecto. Los frameworks disponibles (PMBOK®, Scrum, OKRs) fueron diseñados para organizaciones con recursos y madurez que la mayoría de startups bootstrapped no tiene. Existe una brecha metodológica real entre lo que la literatura recomienda y lo que un equipo de dos personas puede implementar sin que la gobernanza consuma más energía que el negocio. La Gobernanza Mínima Viable no pretende ser la solución definitiva a ese problema: es una propuesta concreta y acotada para un contexto específico.
Hay una cuarta implicancia que atraviesa las tres anteriores y que tiene que ver con la disciplina de Dirección de Proyectos en su conjunto. La tendencia dominante en la gestión de proyectos durante las últimas dos décadas ha sido la de producir marcos cada vez más completos: primero procesos, luego áreas de conocimiento, luego principios, ahora dominios. Cada generación de framework incorpora más dimensiones del problema. Lo que no se ha discutido con suficiente profundidad es el problema de la adopción: un framework que un equipo de dos personas no puede implementar no es un framework aplicable a ese equipo, independientemente de su rigor teórico. La investigación en gestión de proyectos tiene una deuda pendiente con los proyectos pequeños, autofinanciados y de alta incertidumbre: esos contextos representan la mayoría de los proyectos que realmente se ejecutan en economías emergentes, pero producen una minoría de los artículos académicos y las propuestas metodológicas del campo. Este trabajo es, entre otras cosas, un argumento en favor de que esa deuda merece atención sistemática.</w:t>
      </w:r>
    </w:p>
    <w:p>
      <w:pPr>
        <w:pStyle w:val="Heading2"/>
        <w:spacing w:after="120" w:before="300"/>
      </w:pPr>
      <w:r>
        <w:rPr>
          <w:rFonts w:ascii="Arial" w:cs="Arial" w:eastAsia="Arial" w:hAnsi="Arial"/>
          <w:b/>
          <w:bCs/>
          <w:sz w:val="26"/>
          <w:szCs w:val="26"/>
        </w:rPr>
        <w:t xml:space="preserve">7.5. Aprendizajes del proceso de diseño metodológico</w:t>
      </w:r>
    </w:p>
    <w:p>
      <w:pPr>
        <w:spacing w:after="120" w:before="120" w:line="276"/>
        <w:jc w:val="both"/>
      </w:pPr>
      <w:r>
        <w:rPr>
          <w:rFonts w:ascii="Arial" w:cs="Arial" w:eastAsia="Arial" w:hAnsi="Arial"/>
          <w:sz w:val="24"/>
          <w:szCs w:val="24"/>
          <w:color w:val="000000"/>
        </w:rPr>
        <w:t xml:space="preserve">La dispersión operacional del MVP de ALAZAR es la fuente de aprendizaje más relevante del proceso de diseño de esta metodología. La experiencia concreta de operar sin estructura mínima de gobernanza produjo tres patrones de fallo simultáneos: alcance del MVP en redefinición permanente, decisiones técnicas revertidas por ausencia de registro y autoridad no definida entre los miembros del equipo. Esos tres patrones son los que motivaron el diseño de los cuatro instrumentos del modelo: la Carta de Gobernanza responde a la autoridad ambigua, la Bitácora RC-01 responde a las decisiones sin registro, el Registro de Supuestos responde al alcance indefinido, y el Registro de Riesgos responde a la ausencia de anticipación. Esta conexión directa entre experiencia real y diseño metodológico es lo que diferencia al modelo propuesto de los marcos híbridos previos construidos exclusivamente desde la teoría.</w:t>
      </w:r>
    </w:p>
    <w:p>
      <w:pPr>
        <w:spacing w:after="120" w:before="120" w:line="276"/>
        <w:jc w:val="both"/>
      </w:pPr>
      <w:r>
        <w:rPr>
          <w:rFonts w:ascii="Arial" w:cs="Arial" w:eastAsia="Arial" w:hAnsi="Arial"/>
          <w:sz w:val="24"/>
          <w:szCs w:val="24"/>
          <w:color w:val="000000"/>
        </w:rPr>
        <w:t xml:space="preserve">La Gobernanza Mínima Viable no es un concepto intuitivo para emprendedores. La tendencia natural oscila entre dos extremos: ignorar completamente la gobernanza durante la construcción del MVP ("eso lo documentamos después") o adoptar un framework corporativo completo que resulta insostenible para un equipo de dos personas bajo presión. Ninguno de esos extremos resuelve el problema; solo lo traslada. La GMV requiere un principio de diseño explícito y repetido: ¿qué instrumentos son necesarios para que el proyecto pueda aprender y tomar decisiones sin el fundador disponible en ese momento?</w:t>
      </w:r>
    </w:p>
    <w:p>
      <w:pPr>
        <w:spacing w:after="120" w:before="120" w:line="276"/>
        <w:jc w:val="both"/>
      </w:pPr>
      <w:r>
        <w:rPr>
          <w:rFonts w:ascii="Arial" w:cs="Arial" w:eastAsia="Arial" w:hAnsi="Arial"/>
          <w:sz w:val="24"/>
          <w:szCs w:val="24"/>
          <w:color w:val="000000"/>
        </w:rPr>
        <w:t xml:space="preserve">La distinción entre invariantes y variables de gobernanza es el concepto más difícil de operacionalizar en la práctica. Los fundadores tienden a querer experimentar con todo, incluyendo componentes cuyo fallo tiene consecuencias irreversibles, o a no experimentar con nada, congelando el modelo de negocio en sus suposiciones iniciales. El principio que diferencia qué se puede cambiar de qué no requiere ser ejercitado explícitamente en cada ciclo de revisión, no asumido como algo que el equipo entenderá intuitivamente.</w:t>
      </w:r>
    </w:p>
    <w:p>
      <w:pPr>
        <w:spacing w:after="120" w:before="120" w:line="276"/>
        <w:jc w:val="both"/>
      </w:pPr>
      <w:r>
        <w:rPr>
          <w:rFonts w:ascii="Arial" w:cs="Arial" w:eastAsia="Arial" w:hAnsi="Arial"/>
          <w:sz w:val="24"/>
          <w:szCs w:val="24"/>
          <w:color w:val="000000"/>
        </w:rPr>
        <w:t xml:space="preserve">Los análisis estratégicos (PESTEL, MEFE, MEFI, FODA) no son ejercicios académicos separados de la metodología: son la fuente de información que determina el diseño de los instrumentos. Una metodología de gobernanza construida sin diagnóstico estratégico previo es un modelo diseñado para un contexto imaginario. En ALAZAR, cada estrategia DA de urgencia crítica se convirtió directamente en una acción obligatoria del modelo; esa trazabilidad directa de diagnóstico a prescripción es lo que garantiza que los instrumentos respondan al problema real y no a un problema genérico.</w:t>
      </w:r>
    </w:p>
    <w:p>
      <w:pPr>
        <w:spacing w:after="120" w:before="120" w:line="276"/>
        <w:jc w:val="both"/>
      </w:pPr>
      <w:r>
        <w:rPr>
          <w:rFonts w:ascii="Arial" w:cs="Arial" w:eastAsia="Arial" w:hAnsi="Arial"/>
          <w:sz w:val="24"/>
          <w:szCs w:val="24"/>
          <w:color w:val="000000"/>
        </w:rPr>
        <w:t xml:space="preserve">La consistencia terminológica a lo largo del trabajo, los mismos códigos F/D/O/A en el AMOFHIT, la MEFI y el FODA, los mismos identificadores S1-S6 en el Registro de Supuestos y los KPIs, los mismos códigos R1-R8 en el Registro de Riesgos y las estrategias FA y DA, no es un detalle de presentación. Es la arquitectura de trazabilidad que permite a cualquier miembro del equipo, o a un evaluador externo, seguir el hilo desde el diagnóstico hasta cada decisión operacional del modelo.</w:t>
      </w:r>
    </w:p>
    <w:p>
      <w:pPr>
        <w:pStyle w:val="Heading2"/>
        <w:spacing w:after="120" w:before="300"/>
      </w:pPr>
      <w:r>
        <w:rPr>
          <w:rFonts w:ascii="Arial" w:cs="Arial" w:eastAsia="Arial" w:hAnsi="Arial"/>
          <w:b/>
          <w:bCs/>
          <w:sz w:val="26"/>
          <w:szCs w:val="26"/>
        </w:rPr>
        <w:t xml:space="preserve">7.6. Propuesta de mejora</w:t>
      </w:r>
    </w:p>
    <w:p>
      <w:pPr>
        <w:pStyle w:val="Heading3"/>
        <w:spacing w:after="120" w:before="240"/>
      </w:pPr>
      <w:r>
        <w:rPr>
          <w:rFonts w:ascii="Arial" w:cs="Arial" w:eastAsia="Arial" w:hAnsi="Arial"/>
          <w:b/>
          <w:bCs/>
          <w:i/>
          <w:sz w:val="24"/>
          <w:szCs w:val="24"/>
        </w:rPr>
        <w:t xml:space="preserve">7.6.1. Mejoras al modelo de gobernanza</w:t>
      </w:r>
    </w:p>
    <w:p>
      <w:pPr>
        <w:spacing w:after="120" w:before="120" w:line="276"/>
        <w:jc w:val="both"/>
      </w:pPr>
      <w:r>
        <w:rPr>
          <w:rFonts w:ascii="Arial" w:cs="Arial" w:eastAsia="Arial" w:hAnsi="Arial"/>
          <w:sz w:val="24"/>
          <w:szCs w:val="24"/>
          <w:color w:val="000000"/>
        </w:rPr>
        <w:t xml:space="preserve">La primera mejora propuesta es el desarrollo de una guía de implementación de la Gobernanza Mínima Viable para la etapa preoperacional del proyecto: qué hacer antes de que exista el primer usuario externo, en qué orden construir los instrumentos y qué condiciones de gobernanza deben cumplirse para que el lanzamiento sea metodológicamente responsable. Esa guía reduciría la barrera de adopción de la metodología en proyectos similares.</w:t>
      </w:r>
    </w:p>
    <w:p>
      <w:pPr>
        <w:spacing w:after="120" w:before="120" w:line="276"/>
        <w:jc w:val="both"/>
      </w:pPr>
      <w:r>
        <w:rPr>
          <w:rFonts w:ascii="Arial" w:cs="Arial" w:eastAsia="Arial" w:hAnsi="Arial"/>
          <w:sz w:val="24"/>
          <w:szCs w:val="24"/>
          <w:color w:val="000000"/>
        </w:rPr>
        <w:t xml:space="preserve">La segunda mejora es la incorporación de un mecanismo de calibración dinámica del nivel de gobernanza en función de la madurez del proyecto. En la Fase 0 la GMV es el mínimo necesario. En la Fase 3, después de tres meses de operación real con evidencia acumulada, la gobernanza debe crecer proporcionalmente: más organizadores activos implican más disputas potenciales, lo que justifica un protocolo de resolución más detallado. El modelo actual define los componentes, pero no prescribe cómo evolucionarlos a medida que el proyecto madura.</w:t>
      </w:r>
    </w:p>
    <w:p>
      <w:pPr>
        <w:pStyle w:val="Heading3"/>
        <w:spacing w:after="120" w:before="240"/>
      </w:pPr>
      <w:r>
        <w:rPr>
          <w:rFonts w:ascii="Arial" w:cs="Arial" w:eastAsia="Arial" w:hAnsi="Arial"/>
          <w:b/>
          <w:bCs/>
          <w:i/>
          <w:sz w:val="24"/>
          <w:szCs w:val="24"/>
        </w:rPr>
        <w:t xml:space="preserve">7.6.2. Mejoras al proceso de validación</w:t>
      </w:r>
    </w:p>
    <w:p>
      <w:pPr>
        <w:spacing w:after="120" w:before="120" w:line="276"/>
        <w:jc w:val="both"/>
      </w:pPr>
      <w:r>
        <w:rPr>
          <w:rFonts w:ascii="Arial" w:cs="Arial" w:eastAsia="Arial" w:hAnsi="Arial"/>
          <w:sz w:val="24"/>
          <w:szCs w:val="24"/>
          <w:color w:val="000000"/>
        </w:rPr>
        <w:t xml:space="preserve">La mejora más relevante al proceso de validación es el desarrollo de un protocolo explícito para el análisis post-sprint: qué preguntas deben responderse en el Governance Review, cómo se documenta el aprendizaje en el RC-01 y cómo se actualiza el Registro de Supuestos en función de los resultados. El modelo describe la cadencia del sprint, pero el contenido exacto del Governance Review puede beneficiarse de mayor especificidad.</w:t>
      </w:r>
    </w:p>
    <w:p>
      <w:pPr>
        <w:spacing w:after="120" w:before="120" w:line="276"/>
        <w:jc w:val="both"/>
      </w:pPr>
      <w:r>
        <w:rPr>
          <w:rFonts w:ascii="Arial" w:cs="Arial" w:eastAsia="Arial" w:hAnsi="Arial"/>
          <w:sz w:val="24"/>
          <w:szCs w:val="24"/>
          <w:color w:val="000000"/>
        </w:rPr>
        <w:t xml:space="preserve">Una segunda mejora es el diseño de un protocolo de validación cruzada entre el modelo y los resultados del proyecto: al final del Mes 9, qué predicciones del Registro de Riesgos se materializaron, qué supuestos del Registro se verificaron en el sprint proyectado o requirieron más ciclos, y si las acciones DA de urgencia crítica se ejecutaron efectivamente antes del primer sorteo real. Ese análisis de calibración retroactiva es el que convierte la metodología de una propuesta de diseño en un marco con evidencia empírica propia.</w:t>
      </w:r>
    </w:p>
    <w:p>
      <w:pPr>
        <w:pStyle w:val="Heading3"/>
        <w:spacing w:after="120" w:before="240"/>
      </w:pPr>
      <w:r>
        <w:rPr>
          <w:rFonts w:ascii="Arial" w:cs="Arial" w:eastAsia="Arial" w:hAnsi="Arial"/>
          <w:b/>
          <w:bCs/>
          <w:i/>
          <w:sz w:val="24"/>
          <w:szCs w:val="24"/>
        </w:rPr>
        <w:t xml:space="preserve">7.6.3. Líneas futuras de investigación</w:t>
      </w:r>
    </w:p>
    <w:p>
      <w:pPr>
        <w:spacing w:after="120" w:before="120" w:line="276"/>
        <w:jc w:val="both"/>
      </w:pPr>
      <w:r>
        <w:rPr>
          <w:rFonts w:ascii="Arial" w:cs="Arial" w:eastAsia="Arial" w:hAnsi="Arial"/>
          <w:sz w:val="24"/>
          <w:szCs w:val="24"/>
          <w:color w:val="000000"/>
        </w:rPr>
        <w:t xml:space="preserve">El presente trabajo abre al menos tres líneas de investigación que no pueden ser abordadas dentro de su alcance pero son relevantes para el desarrollo del campo. La primera es la validación empírica de la metodología a través de los nueve meses de operación del proyecto: los Informes de Gobernanza de los sprints reales son el insumo que permitirá evaluar si las predicciones del modelo se confirman en la práctica y bajo qué condiciones específicas.</w:t>
      </w:r>
    </w:p>
    <w:p>
      <w:pPr>
        <w:spacing w:after="120" w:before="120" w:line="276"/>
        <w:jc w:val="both"/>
      </w:pPr>
      <w:r>
        <w:rPr>
          <w:rFonts w:ascii="Arial" w:cs="Arial" w:eastAsia="Arial" w:hAnsi="Arial"/>
          <w:sz w:val="24"/>
          <w:szCs w:val="24"/>
          <w:color w:val="000000"/>
        </w:rPr>
        <w:t xml:space="preserve">La segunda línea es la transferibilidad del modelo a otros contextos de startup digital. El caso hipotético de la sección 6.7 y la Tabla 31 ofrecen un primer marco de análisis, pero la evidencia real sobre qué componentes del modelo son universales y cuáles son específicos al contexto fintech-transaccional de ALAZAR requiere aplicaciones comparativas en otros sectores.</w:t>
      </w:r>
    </w:p>
    <w:p>
      <w:pPr>
        <w:spacing w:before="120" w:after="120" w:line="276"/>
        <w:jc w:val="both"/>
      </w:pPr>
      <w:r>
        <w:rPr>
          <w:rFonts w:ascii="Arial" w:cs="Arial" w:eastAsia="Arial" w:hAnsi="Arial"/>
          <w:sz w:val="24"/>
          <w:color w:val="000000"/>
        </w:rPr>
        <w:t xml:space="preserve">La tercera línea es la relación entre la Gobernanza Mínima Viable y la velocidad de aprendizaje organizacional en startups bootstrapped. La pregunta empírica de fondo es si los proyectos que implementan una GMV aprenden más rápido que los que no tienen estructura de gobernanza, y si esa diferencia es estadísticamente significativa en muestras más grandes. Esa pregunta requiere estudios comparativos que trascienden el estudio de caso único de este trabajo.</w:t>
      </w:r>
    </w:p>
    <w:p>
      <w:pPr>
        <w:pStyle w:val="Heading1"/>
        <w:spacing w:after="180" w:before="480"/>
        <w:jc w:val="center"/>
      </w:pPr>
      <w:r>
        <w:rPr>
          <w:rFonts w:ascii="Arial" w:cs="Arial" w:eastAsia="Arial" w:hAnsi="Arial"/>
          <w:b/>
          <w:bCs/>
          <w:caps/>
          <w:sz w:val="28"/>
          <w:szCs w:val="28"/>
        </w:rPr>
        <w:t>CONCLUSIONES</w:t>
      </w:r>
    </w:p>
    <w:p>
      <w:pPr>
        <w:spacing w:before="120" w:after="120" w:line="276"/>
        <w:jc w:val="both"/>
      </w:pPr>
      <w:r>
        <w:rPr>
          <w:rFonts w:ascii="Arial" w:cs="Arial" w:eastAsia="Arial" w:hAnsi="Arial"/>
          <w:sz w:val="24"/>
          <w:szCs w:val="24"/>
          <w:color w:val="000000"/>
        </w:rPr>
        <w:t xml:space="preserve">Diseñar una metodología no es lo mismo que proponer una lista de herramientas. Una metodología tiene una lógica interna: sus componentes se necesitan mutuamente, responden a un diagnóstico específico y operan bajo principios que pueden defenderse. Este trabajo intentó producir exactamente eso: una metodología de gobernanza para implementar startups digitales bajo incertidumbre, cuyo nombre técnico es ALAZAR-HPM y cuyo principio articulador es la Gobernanza Mínima Viable. Las conclusiones que siguen no son un resumen del documento: son el argumento que el trabajo construye.</w:t>
      </w:r>
    </w:p>
    <w:p>
      <w:pPr>
        <w:spacing w:before="120" w:after="120" w:line="276"/>
        <w:jc w:val="both"/>
      </w:pPr>
      <w:r>
        <w:rPr>
          <w:rFonts w:ascii="Arial" w:cs="Arial" w:eastAsia="Arial" w:hAnsi="Arial"/>
          <w:sz w:val="24"/>
          <w:szCs w:val="24"/>
          <w:color w:val="000000"/>
        </w:rPr>
        <w:t xml:space="preserve">Lo que más sorprende al terminar este trabajo no es que la integración entre PMBOK® 7 y Lean Startup funcione: es que la razón por la que funciona sea tan simple. La séptima edición del PMBOK® desplazó el foco desde los procesos hacia los principios precisamente porque los procesos no pueden anticipar todos los contextos. Ese desplazamiento crea el espacio para que el Lean Startup opere, no como rival del PMBOK® sino como el mecanismo de aprendizaje que el PMBOK® necesita para ser genuinamente adaptativo. El punto de integración es operacional. La pregunta concreta es cuáles componentes del sistema pueden someterse a experimentación y cuáles no. La distinción invariantes/variables responde eso con un criterio defendible: la reversibilidad del daño potencial. Sobre los invariantes opera la lógica predictiva del PMBOK® 7. Sobre las variables opera la lógica iterativa del Lean Startup.</w:t>
      </w:r>
    </w:p>
    <w:p>
      <w:pPr>
        <w:spacing w:before="120" w:after="120" w:line="276"/>
        <w:jc w:val="both"/>
      </w:pPr>
      <w:r>
        <w:rPr>
          <w:rFonts w:ascii="Arial" w:cs="Arial" w:eastAsia="Arial" w:hAnsi="Arial"/>
          <w:sz w:val="24"/>
          <w:szCs w:val="24"/>
          <w:color w:val="000000"/>
        </w:rPr>
        <w:t xml:space="preserve">La contribución más importante de este trabajo no es el modelo en sí sino el argumento de que la gobernanza y la agilidad no son conceptos en tensión. Son conceptos que se resuelven con buen diseño. Una Gobernanza Mínima Viable no es menos gobernanza: es gobernanza proporcional. Cuatro instrumentos, cuatro principios metodológicos explícitos (proporcionalidad, trazabilidad obligatoria, validación secuenciada y revisión periódica), seis supuestos críticos de negocio, ocho riesgos documentados con plan de respuesta. No más, no porque el problema sea simple, sino porque agregar más estructura en un proyecto de dos personas con capital limitado no reduce la incertidumbre: la desplaza hacia dentro del equipo. Los instrumentos desarrollados (Bitácora RC-01, Registro de Supuestos S1-S6, Registro de Riesgos R1-R8, Tablero de Seguimiento) responden a necesidades operacionales concretas del diagnóstico. No son entregables académicos: son los mecanismos que convierten la experiencia en conocimiento organizacional.</w:t>
      </w:r>
    </w:p>
    <w:p>
      <w:pPr>
        <w:spacing w:before="120" w:after="120" w:line="276"/>
        <w:jc w:val="both"/>
      </w:pPr>
      <w:r>
        <w:rPr>
          <w:rFonts w:ascii="Arial" w:cs="Arial" w:eastAsia="Arial" w:hAnsi="Arial"/>
          <w:sz w:val="24"/>
          <w:szCs w:val="24"/>
          <w:color w:val="000000"/>
        </w:rPr>
        <w:t xml:space="preserve">Hay un resultado del trabajo que merece nombrarse con cuidado: la validación está incompleta. No como admisión de derrota, sino como posicionamiento preciso. Cinco de las seis dimensiones de validación cualitativa están satisfechas; la transferibilidad está argumentada pero no demostrada empíricamente, y la validación empírica de los supuestos S1-S6 con usuarios reales todavía no ha ocurrido. Lo que este trabajo puede afirmar con rigor es que la metodología es coherente, derivable de sus marcos teóricos y adecuada al diagnóstico del contexto en que fue diseñada. Eso es una base sólida. No es un resultado final. Los Informes de Gobernanza de los sprints reales del proyecto ALAZAR son los documentos que convertirán esta propuesta en un marco con evidencia empírica propia. Si los supuestos se confirman, la metodología gana credibilidad operacional. Si requieren ajustes, esos ajustes son exactamente el tipo de aprendizaje que la metodología está diseñada para producir.</w:t>
      </w:r>
    </w:p>
    <w:p>
      <w:r>
        <w:br w:type="page"/>
      </w:r>
    </w:p>
    <w:p>
      <w:pPr>
        <w:pStyle w:val="Heading1"/>
        <w:spacing w:after="180" w:before="360"/>
        <w:jc w:val="center"/>
      </w:pPr>
      <w:r>
        <w:rPr>
          <w:rFonts w:ascii="Arial" w:cs="Arial" w:eastAsia="Arial" w:hAnsi="Arial"/>
          <w:b/>
          <w:bCs/>
          <w:caps/>
          <w:sz w:val="28"/>
          <w:szCs w:val="28"/>
        </w:rPr>
        <w:t xml:space="preserve">RECOMENDACIONES</w:t>
      </w:r>
    </w:p>
    <w:p>
      <w:pPr>
        <w:spacing w:before="120" w:after="120" w:line="276"/>
        <w:jc w:val="both"/>
      </w:pPr>
      <w:r>
        <w:rPr>
          <w:rFonts w:ascii="Arial" w:cs="Arial" w:eastAsia="Arial" w:hAnsi="Arial"/>
          <w:sz w:val="24"/>
          <w:szCs w:val="24"/>
          <w:color w:val="000000"/>
        </w:rPr>
        <w:t xml:space="preserve">Para los directores de proyectos digitales autofinanciados, la recomendación más práctica que este trabajo puede ofrecer es resistir la tentación de elegir un framework antes de hacerse la pregunta correcta. La pregunta no es "¿PMBOK® o Scrum?" sino "¿cuánta estructura necesita este proyecto para operar sin caos y aprender de manera sistemática?" Esa pregunta, respondida honestamente con el diagnóstico estratégico en mano, orienta mejor la selección que cualquier comparativa de frameworks.</w:t>
      </w:r>
    </w:p>
    <w:p>
      <w:pPr>
        <w:spacing w:before="120" w:after="120" w:line="276"/>
        <w:jc w:val="both"/>
      </w:pPr>
      <w:r>
        <w:rPr>
          <w:rFonts w:ascii="Arial" w:cs="Arial" w:eastAsia="Arial" w:hAnsi="Arial"/>
          <w:sz w:val="24"/>
          <w:szCs w:val="24"/>
          <w:color w:val="000000"/>
        </w:rPr>
        <w:t xml:space="preserve">Para los equipos emprendedores bajo bootstrapping, hay una acción con retorno claro antes del primer usuario externo: la consulta legal especializada. La estrategia DA-1 del FODA de este trabajo no es una formalidad académica. En mercados con regulación ambigua sobre sorteos, pagos digitales o modelos de comisión, operar sin una opinión legal escrita es asumir un riesgo que podría invalidar el modelo de negocio completo después de meses de construcción. Una hora con el especialista correcto en el Mes 1 es materialmente más barata que un rediseño forzado en el Mes 6.</w:t>
      </w:r>
    </w:p>
    <w:p>
      <w:pPr>
        <w:spacing w:before="120" w:after="120" w:line="276"/>
        <w:jc w:val="both"/>
      </w:pPr>
      <w:r>
        <w:rPr>
          <w:rFonts w:ascii="Arial" w:cs="Arial" w:eastAsia="Arial" w:hAnsi="Arial"/>
          <w:sz w:val="24"/>
          <w:szCs w:val="24"/>
          <w:color w:val="000000"/>
        </w:rPr>
        <w:t xml:space="preserve">Para la academia en gestión de proyectos, este trabajo sugiere una agenda pendiente: los proyectos pequeños, autofinanciados y de alta incertidumbre representan la mayoría de los proyectos que realmente se ejecutan en América Latina, pero producen una minoría de los artículos académicos del campo. Las líneas de investigación abiertas en la sección 7.6.3 no son listas de deseos: son preguntas con diseños de investigación posibles que el campo podría abordar en los próximos años.</w:t>
      </w:r>
    </w:p>
    <w:p>
      <w:pPr>
        <w:spacing w:before="120" w:after="120" w:line="276"/>
        <w:jc w:val="both"/>
      </w:pPr>
      <w:r>
        <w:rPr>
          <w:rFonts w:ascii="Arial" w:cs="Arial" w:eastAsia="Arial" w:hAnsi="Arial"/>
          <w:sz w:val="24"/>
          <w:szCs w:val="24"/>
          <w:color w:val="000000"/>
        </w:rPr>
        <w:t xml:space="preserve">Para las instituciones de fomento del ecosistema emprendedor peruano (StartUp Perú, PRODUCE, CONCYTEC), la recomendación apunta a un criterio de evaluación que hoy está ausente: la madurez de gobernanza del proyecto. Que un equipo pueda demostrar trazabilidad de decisiones, gestión documentada de riesgos y verificación progresiva de supuestos antes de pedir financiamiento no es un requisito burocrático adicional. Es el indicador más predictivo disponible de que ese equipo sabrá qué hacer con los recursos cuando los reciba.</w:t>
      </w:r>
    </w:p>
    <w:p>
      <w:r>
        <w:br w:type="page"/>
      </w:r>
    </w:p>
    <w:p>
      <w:pPr>
        <w:pStyle w:val="Heading1"/>
        <w:spacing w:after="180" w:before="360"/>
        <w:jc w:val="center"/>
      </w:pPr>
      <w:r>
        <w:rPr>
          <w:rFonts w:ascii="Arial" w:cs="Arial" w:eastAsia="Arial" w:hAnsi="Arial"/>
          <w:b/>
          <w:bCs/>
          <w:caps/>
          <w:sz w:val="28"/>
          <w:szCs w:val="28"/>
        </w:rPr>
        <w:t xml:space="preserve">BIBLIOGRAFÍA</w:t>
      </w:r>
    </w:p>
    <w:p>
      <w:pPr>
        <w:spacing w:before="60" w:after="60"/>
        <w:ind w:left="720" w:hanging="720"/>
        <w:jc w:val="both"/>
      </w:pPr>
      <w:r>
        <w:rPr>
          <w:rFonts w:ascii="Arial" w:cs="Arial" w:eastAsia="Arial" w:hAnsi="Arial"/>
          <w:sz w:val="24"/>
          <w:szCs w:val="24"/>
          <w:color w:val="000000"/>
        </w:rPr>
        <w:t xml:space="preserve">Andrews, K. R. (1971). The concept of corporate strategy. Richard D. Irwin.</w:t>
      </w:r>
    </w:p>
    <w:p>
      <w:pPr>
        <w:spacing w:before="60" w:after="60"/>
        <w:ind w:left="720" w:hanging="720"/>
        <w:jc w:val="both"/>
      </w:pPr>
      <w:r>
        <w:rPr>
          <w:rFonts w:ascii="Arial" w:cs="Arial" w:eastAsia="Arial" w:hAnsi="Arial"/>
          <w:sz w:val="24"/>
          <w:szCs w:val="24"/>
          <w:color w:val="000000"/>
        </w:rPr>
        <w:t xml:space="preserve">Banco Interamericano de Desarrollo [BID]. (2022). El ecosistema emprendedor de América Latina y el Caribe. BID. https://publications.iadb.org</w:t>
      </w:r>
    </w:p>
    <w:p>
      <w:pPr>
        <w:spacing w:before="60" w:after="60"/>
        <w:ind w:left="720" w:hanging="720"/>
        <w:jc w:val="both"/>
      </w:pPr>
      <w:r>
        <w:rPr>
          <w:rFonts w:ascii="Arial" w:cs="Arial" w:eastAsia="Arial" w:hAnsi="Arial"/>
          <w:sz w:val="24"/>
          <w:szCs w:val="24"/>
          <w:color w:val="000000"/>
        </w:rPr>
        <w:t xml:space="preserve">Blank, S., &amp; Dorf, B. (2012). The startup owner's manual: The step-by-step guide for building a great company. K&amp;S Ranch Press.</w:t>
      </w:r>
    </w:p>
    <w:p>
      <w:pPr>
        <w:spacing w:before="60" w:after="60"/>
        <w:ind w:left="720" w:hanging="720"/>
        <w:jc w:val="both"/>
      </w:pPr>
      <w:r>
        <w:rPr>
          <w:rFonts w:ascii="Arial" w:cs="Arial" w:eastAsia="Arial" w:hAnsi="Arial"/>
          <w:sz w:val="24"/>
          <w:szCs w:val="24"/>
          <w:color w:val="000000"/>
        </w:rPr>
        <w:t xml:space="preserve">Bocanegra, A. A. (2024). ALAZAR PRD Maestro Enterprise V11 [Documento técnico interno]. Proyecto ALAZAR.</w:t>
      </w:r>
    </w:p>
    <w:p>
      <w:pPr>
        <w:spacing w:before="60" w:after="60"/>
        <w:ind w:left="720" w:hanging="720"/>
        <w:jc w:val="both"/>
      </w:pPr>
      <w:r>
        <w:rPr>
          <w:rFonts w:ascii="Arial" w:cs="Arial" w:eastAsia="Arial" w:hAnsi="Arial"/>
          <w:sz w:val="24"/>
          <w:szCs w:val="24"/>
          <w:color w:val="000000"/>
        </w:rPr>
        <w:t xml:space="preserve">Boehm, B., &amp; Turner, R. (2003). Balancing agility and discipline: A guide for the perplexed. Addison-Wesley.</w:t>
      </w:r>
    </w:p>
    <w:p>
      <w:pPr>
        <w:spacing w:before="60" w:after="60"/>
        <w:ind w:left="720" w:hanging="720"/>
        <w:jc w:val="both"/>
      </w:pPr>
      <w:r>
        <w:rPr>
          <w:rFonts w:ascii="Arial" w:cs="Arial" w:eastAsia="Arial" w:hAnsi="Arial"/>
          <w:sz w:val="24"/>
          <w:szCs w:val="24"/>
          <w:color w:val="000000"/>
        </w:rPr>
        <w:t xml:space="preserve">Congreso de la República del Perú. (1996). Ley N° 26702: Ley General del Sistema Financiero y del Sistema de Seguros y Orgánica de la Superintendencia de Banca y Seguros. Diario Oficial El Peruano.</w:t>
      </w:r>
    </w:p>
    <w:p>
      <w:pPr>
        <w:spacing w:before="60" w:after="60"/>
        <w:ind w:left="720" w:hanging="720"/>
        <w:jc w:val="both"/>
      </w:pPr>
      <w:r>
        <w:rPr>
          <w:rFonts w:ascii="Arial" w:cs="Arial" w:eastAsia="Arial" w:hAnsi="Arial"/>
          <w:sz w:val="24"/>
          <w:szCs w:val="24"/>
          <w:color w:val="000000"/>
        </w:rPr>
        <w:t xml:space="preserve">Congreso de la República del Perú. (2011). Ley N° 29733: Ley de Protección de Datos Personales. Diario Oficial El Peruano.</w:t>
      </w:r>
    </w:p>
    <w:p>
      <w:pPr>
        <w:spacing w:before="60" w:after="60"/>
        <w:ind w:left="720" w:hanging="720"/>
        <w:jc w:val="both"/>
      </w:pPr>
      <w:r>
        <w:rPr>
          <w:rFonts w:ascii="Arial" w:cs="Arial" w:eastAsia="Arial" w:hAnsi="Arial"/>
          <w:sz w:val="24"/>
          <w:szCs w:val="24"/>
          <w:color w:val="000000"/>
        </w:rPr>
        <w:t xml:space="preserve">Consejo Nacional de Ciencia, Tecnología e Innovación Tecnológica [CONCYTEC]. (2022). Informe de estado de la ciencia, tecnología e innovación en el Perú 2022. CONCYTEC.</w:t>
      </w:r>
    </w:p>
    <w:p>
      <w:pPr>
        <w:spacing w:before="60" w:after="60"/>
        <w:ind w:left="720" w:hanging="720"/>
        <w:jc w:val="both"/>
      </w:pPr>
      <w:r>
        <w:rPr>
          <w:rFonts w:ascii="Arial" w:cs="Arial" w:eastAsia="Arial" w:hAnsi="Arial"/>
          <w:sz w:val="24"/>
          <w:szCs w:val="24"/>
          <w:color w:val="000000"/>
        </w:rPr>
        <w:t xml:space="preserve">Conforto, E. C., &amp; Amaral, D. C. (2016). Agile project management and stage-gate model: A hybrid framework for technology-based companies. Journal of Engineering and Technology Management, 40, 1-14. https://doi.org/10.1016/j.jengtecman.2016.02.003</w:t>
      </w:r>
    </w:p>
    <w:p>
      <w:pPr>
        <w:spacing w:before="60" w:after="60"/>
        <w:ind w:left="720" w:hanging="720"/>
        <w:jc w:val="both"/>
      </w:pPr>
      <w:r>
        <w:rPr>
          <w:rFonts w:ascii="Arial" w:cs="Arial" w:eastAsia="Arial" w:hAnsi="Arial"/>
          <w:sz w:val="24"/>
          <w:szCs w:val="24"/>
          <w:color w:val="000000"/>
        </w:rPr>
        <w:t xml:space="preserve">Conforto, E. C., Salum, F., Amaral, D. C., da Silva, S. L., &amp; de Almeida, L. F. M. (2014). Can agile project management be adopted by industries other than software development? Project Management Journal, 45(3), 21-34. https://doi.org/10.1002/pmj.21413</w:t>
      </w:r>
    </w:p>
    <w:p>
      <w:pPr>
        <w:spacing w:before="60" w:after="60"/>
        <w:ind w:left="720" w:hanging="720"/>
        <w:jc w:val="both"/>
      </w:pPr>
      <w:r>
        <w:rPr>
          <w:rFonts w:ascii="Arial" w:cs="Arial" w:eastAsia="Arial" w:hAnsi="Arial"/>
          <w:sz w:val="24"/>
          <w:szCs w:val="24"/>
          <w:color w:val="000000"/>
        </w:rPr>
        <w:t xml:space="preserve">D'Alessio Ipinza, F. A. (2014). El proceso estratégico: Un enfoque de gerencia (3.a ed.). Pearson Educación del Perú.</w:t>
      </w:r>
    </w:p>
    <w:p>
      <w:pPr>
        <w:spacing w:before="60" w:after="60"/>
        <w:ind w:left="720" w:hanging="720"/>
        <w:jc w:val="both"/>
      </w:pPr>
      <w:r>
        <w:rPr>
          <w:rFonts w:ascii="Arial" w:cs="Arial" w:eastAsia="Arial" w:hAnsi="Arial"/>
          <w:sz w:val="24"/>
          <w:szCs w:val="24"/>
          <w:color w:val="000000"/>
        </w:rPr>
        <w:t xml:space="preserve">David, F. R. (2013). Administración estratégica (14.a ed.). Pearson Educación.</w:t>
      </w:r>
    </w:p>
    <w:p>
      <w:pPr>
        <w:spacing w:before="60" w:after="60"/>
        <w:ind w:left="720" w:hanging="720"/>
        <w:jc w:val="both"/>
      </w:pPr>
      <w:r>
        <w:rPr>
          <w:rFonts w:ascii="Arial" w:cs="Arial" w:eastAsia="Arial" w:hAnsi="Arial"/>
          <w:sz w:val="24"/>
          <w:szCs w:val="24"/>
          <w:color w:val="000000"/>
        </w:rPr>
        <w:t xml:space="preserve">El Comercio. (2024, agosto 24). Phillip Chu Joy va tras nuevos sueños y aclara que costosos premios que regala los financia con dinero de las suscripciones. El Comercio. https://elcomercio.pe</w:t>
      </w:r>
    </w:p>
    <w:p>
      <w:pPr>
        <w:spacing w:before="60" w:after="60"/>
        <w:ind w:left="720" w:hanging="720"/>
        <w:jc w:val="both"/>
      </w:pPr>
      <w:r>
        <w:rPr>
          <w:rFonts w:ascii="Arial" w:cs="Arial" w:eastAsia="Arial" w:hAnsi="Arial"/>
          <w:sz w:val="24"/>
          <w:szCs w:val="24"/>
          <w:color w:val="000000"/>
        </w:rPr>
        <w:t xml:space="preserve">Flyvbjerg, B. (2006). Five misunderstandings about case-study research. Qualitative Inquiry, 12(2), 219-245. https://doi.org/10.1177/1077800405284363</w:t>
      </w:r>
    </w:p>
    <w:p>
      <w:pPr>
        <w:spacing w:before="60" w:after="60"/>
        <w:ind w:left="720" w:hanging="720"/>
        <w:jc w:val="both"/>
      </w:pPr>
      <w:r>
        <w:rPr>
          <w:rFonts w:ascii="Arial" w:cs="Arial" w:eastAsia="Arial" w:hAnsi="Arial"/>
          <w:sz w:val="24"/>
          <w:szCs w:val="24"/>
          <w:color w:val="000000"/>
        </w:rPr>
        <w:t xml:space="preserve">Infobae Perú. (2025, diciembre 3). Jorge Luna celebra que ganó dos Récords Guinness: "Un sueño más cumplido". Infobae. https://www.infobae.com/peru</w:t>
      </w:r>
    </w:p>
    <w:p>
      <w:pPr>
        <w:spacing w:before="60" w:after="60"/>
        <w:ind w:left="720" w:hanging="720"/>
        <w:jc w:val="both"/>
      </w:pPr>
      <w:r>
        <w:rPr>
          <w:rFonts w:ascii="Arial" w:cs="Arial" w:eastAsia="Arial" w:hAnsi="Arial"/>
          <w:sz w:val="24"/>
          <w:szCs w:val="24"/>
          <w:color w:val="000000"/>
        </w:rPr>
        <w:t xml:space="preserve">Infobae Perú. (2026, febrero 11). Fiebre por plataformas de suscripción con sorteos semanales: ¿De qué se tratan? Infobae. https://www.infobae.com/peru</w:t>
      </w:r>
    </w:p>
    <w:p>
      <w:pPr>
        <w:spacing w:before="60" w:after="60"/>
        <w:ind w:left="720" w:hanging="720"/>
        <w:jc w:val="both"/>
      </w:pPr>
      <w:r>
        <w:rPr>
          <w:rFonts w:ascii="Arial" w:cs="Arial" w:eastAsia="Arial" w:hAnsi="Arial"/>
          <w:sz w:val="24"/>
          <w:szCs w:val="24"/>
          <w:color w:val="000000"/>
        </w:rPr>
        <w:t xml:space="preserve">Instituto Nacional de Defensa de la Competencia y de la Protección de la Propiedad Intelectual [Indecopi]. (2023). Marco normativo aplicable a promociones comerciales y sorteos en plataformas digitales. Indecopi.</w:t>
      </w:r>
    </w:p>
    <w:p>
      <w:pPr>
        <w:spacing w:before="60" w:after="60"/>
        <w:ind w:left="720" w:hanging="720"/>
        <w:jc w:val="both"/>
      </w:pPr>
      <w:r>
        <w:rPr>
          <w:rFonts w:ascii="Arial" w:cs="Arial" w:eastAsia="Arial" w:hAnsi="Arial"/>
          <w:sz w:val="24"/>
          <w:szCs w:val="24"/>
          <w:color w:val="000000"/>
        </w:rPr>
        <w:t xml:space="preserve">Kleppmann, M. (2017). Designing data-intensive applications: The big ideas behind reliable, scalable, and maintainable systems. O'Reilly Media.</w:t>
      </w:r>
    </w:p>
    <w:p>
      <w:pPr>
        <w:spacing w:before="60" w:after="60"/>
        <w:ind w:left="720" w:hanging="720"/>
        <w:jc w:val="both"/>
      </w:pPr>
      <w:r>
        <w:rPr>
          <w:rFonts w:ascii="Arial" w:cs="Arial" w:eastAsia="Arial" w:hAnsi="Arial"/>
          <w:sz w:val="24"/>
          <w:szCs w:val="24"/>
          <w:color w:val="000000"/>
        </w:rPr>
        <w:t xml:space="preserve">Ministerio de la Producción [PRODUCE]. (2023). Anuario estadístico industrial, mipyme y comercio interno 2023. Ministerio de la Producción del Perú.</w:t>
      </w:r>
    </w:p>
    <w:p>
      <w:pPr>
        <w:spacing w:before="60" w:after="60"/>
        <w:ind w:left="720" w:hanging="720"/>
        <w:jc w:val="both"/>
      </w:pPr>
      <w:r>
        <w:rPr>
          <w:rFonts w:ascii="Arial" w:cs="Arial" w:eastAsia="Arial" w:hAnsi="Arial"/>
          <w:sz w:val="24"/>
          <w:szCs w:val="24"/>
          <w:color w:val="000000"/>
        </w:rPr>
        <w:t xml:space="preserve">Newman, S. (2021). Building microservices: Designing fine-grained systems (2nd ed.). O'Reilly Media.</w:t>
      </w:r>
    </w:p>
    <w:p>
      <w:pPr>
        <w:spacing w:before="60" w:after="60"/>
        <w:ind w:left="720" w:hanging="720"/>
        <w:jc w:val="both"/>
      </w:pPr>
      <w:r>
        <w:rPr>
          <w:rFonts w:ascii="Arial" w:cs="Arial" w:eastAsia="Arial" w:hAnsi="Arial"/>
          <w:sz w:val="24"/>
          <w:szCs w:val="24"/>
          <w:color w:val="000000"/>
        </w:rPr>
        <w:t xml:space="preserve">Organización para la Cooperación y el Desarrollo Económicos [OCDE]. (2019). Going digital: Shaping policies, improving lives. OCDE Publishing. https://doi.org/10.1787/9789264312012-en</w:t>
      </w:r>
    </w:p>
    <w:p>
      <w:pPr>
        <w:spacing w:before="60" w:after="60"/>
        <w:ind w:left="720" w:hanging="720"/>
        <w:jc w:val="both"/>
      </w:pPr>
      <w:r>
        <w:rPr>
          <w:rFonts w:ascii="Arial" w:cs="Arial" w:eastAsia="Arial" w:hAnsi="Arial"/>
          <w:sz w:val="24"/>
          <w:szCs w:val="24"/>
          <w:color w:val="000000"/>
        </w:rPr>
        <w:t xml:space="preserve">Organización para la Cooperación y el Desarrollo Económicos [OCDE]. (2022). OCDE SME and entrepreneurship outlook 2022. OCDE Publishing. https://doi.org/10.1787/e98a6a65-en</w:t>
      </w:r>
    </w:p>
    <w:p>
      <w:pPr>
        <w:spacing w:before="60" w:after="60"/>
        <w:ind w:left="720" w:hanging="720"/>
        <w:jc w:val="both"/>
      </w:pPr>
      <w:r>
        <w:rPr>
          <w:rFonts w:ascii="Arial" w:cs="Arial" w:eastAsia="Arial" w:hAnsi="Arial"/>
          <w:sz w:val="24"/>
          <w:szCs w:val="24"/>
          <w:color w:val="000000"/>
        </w:rPr>
        <w:t xml:space="preserve">Peru Retail. (2025, septiembre 9). Jockey Plaza lanza YOKI.PE, su programa de suscripción con grandes premios y beneficios. Peru Retail. https://www.peru-retail.com</w:t>
      </w:r>
    </w:p>
    <w:p>
      <w:pPr>
        <w:spacing w:before="60" w:after="60"/>
        <w:ind w:left="720" w:hanging="720"/>
        <w:jc w:val="both"/>
      </w:pPr>
      <w:r>
        <w:rPr>
          <w:rFonts w:ascii="Arial" w:cs="Arial" w:eastAsia="Arial" w:hAnsi="Arial"/>
          <w:sz w:val="24"/>
          <w:szCs w:val="24"/>
          <w:color w:val="000000"/>
        </w:rPr>
        <w:t xml:space="preserve">Porter, M. E. (1980). Competitive strategy: Techniques for analyzing industries and competitors. Free Press.</w:t>
      </w:r>
    </w:p>
    <w:p>
      <w:pPr>
        <w:spacing w:before="60" w:after="60"/>
        <w:ind w:left="720" w:hanging="720"/>
        <w:jc w:val="both"/>
      </w:pPr>
      <w:r>
        <w:rPr>
          <w:rFonts w:ascii="Arial" w:cs="Arial" w:eastAsia="Arial" w:hAnsi="Arial"/>
          <w:sz w:val="24"/>
          <w:szCs w:val="24"/>
          <w:color w:val="000000"/>
        </w:rPr>
        <w:t xml:space="preserve">Porter, M. E. (2008). The five competitive forces that shape strategy. Harvard Business Review, 86(1), 78-93.</w:t>
      </w:r>
    </w:p>
    <w:p>
      <w:pPr>
        <w:spacing w:before="60" w:after="60"/>
        <w:ind w:left="720" w:hanging="720"/>
        <w:jc w:val="both"/>
      </w:pPr>
      <w:r>
        <w:rPr>
          <w:rFonts w:ascii="Arial" w:cs="Arial" w:eastAsia="Arial" w:hAnsi="Arial"/>
          <w:sz w:val="24"/>
          <w:szCs w:val="24"/>
          <w:color w:val="000000"/>
        </w:rPr>
        <w:t xml:space="preserve">Project Management Institute [PMI]. (2021). A guide to the project management body of knowledge (PMBOK® guide) (7.a ed.). Project Management Institute.</w:t>
      </w:r>
    </w:p>
    <w:p>
      <w:pPr>
        <w:spacing w:before="60" w:after="60"/>
        <w:ind w:left="720" w:hanging="720"/>
        <w:jc w:val="both"/>
      </w:pPr>
      <w:r>
        <w:rPr>
          <w:rFonts w:ascii="Arial" w:cs="Arial" w:eastAsia="Arial" w:hAnsi="Arial"/>
          <w:sz w:val="24"/>
          <w:szCs w:val="24"/>
          <w:color w:val="000000"/>
        </w:rPr>
        <w:t xml:space="preserve">Ries, E. (2011). The lean startup: How today's entrepreneurs use continuous innovation to create radically successful businesses. Crown Business.</w:t>
      </w:r>
    </w:p>
    <w:p>
      <w:pPr>
        <w:spacing w:before="60" w:after="60"/>
        <w:ind w:left="720" w:hanging="720"/>
        <w:jc w:val="both"/>
      </w:pPr>
      <w:r>
        <w:rPr>
          <w:rFonts w:ascii="Arial" w:cs="Arial" w:eastAsia="Arial" w:hAnsi="Arial"/>
          <w:sz w:val="24"/>
          <w:szCs w:val="24"/>
          <w:color w:val="000000"/>
        </w:rPr>
        <w:t xml:space="preserve">Rochet, J.-C., &amp; Tirole, J. (2003). Platform competition in two-sided markets. Journal of the European Economic Association, 1(4), 990-1029. https://doi.org/10.1162/154247603322493212</w:t>
      </w:r>
    </w:p>
    <w:p>
      <w:pPr>
        <w:spacing w:before="60" w:after="60"/>
        <w:ind w:left="720" w:hanging="720"/>
        <w:jc w:val="both"/>
      </w:pPr>
      <w:r>
        <w:rPr>
          <w:rFonts w:ascii="Arial" w:cs="Arial" w:eastAsia="Arial" w:hAnsi="Arial"/>
          <w:sz w:val="24"/>
          <w:szCs w:val="24"/>
          <w:color w:val="000000"/>
        </w:rPr>
        <w:t xml:space="preserve">Stake, R. E. (1995). The art of case study research. SAGE Publications.</w:t>
      </w:r>
    </w:p>
    <w:p>
      <w:pPr>
        <w:spacing w:before="60" w:after="60"/>
        <w:ind w:left="720" w:hanging="720"/>
        <w:jc w:val="both"/>
      </w:pPr>
      <w:r>
        <w:rPr>
          <w:rFonts w:ascii="Arial" w:cs="Arial" w:eastAsia="Arial" w:hAnsi="Arial"/>
          <w:sz w:val="24"/>
          <w:szCs w:val="24"/>
          <w:color w:val="000000"/>
        </w:rPr>
        <w:t xml:space="preserve">Weihrich, H. (1982). The TOWS matrix: A tool for situational analysis. Long Range Planning, 15(2), 54-66. https://doi.org/10.1016/0024-6301(82)90120-0</w:t>
      </w:r>
    </w:p>
    <w:p>
      <w:r>
        <w:br w:type="page"/>
      </w:r>
    </w:p>
    <w:p>
      <w:pPr>
        <w:pStyle w:val="Heading1"/>
        <w:spacing w:after="180" w:before="360"/>
        <w:jc w:val="center"/>
      </w:pPr>
      <w:r>
        <w:rPr>
          <w:rFonts w:ascii="Arial" w:cs="Arial" w:eastAsia="Arial" w:hAnsi="Arial"/>
          <w:b/>
          <w:bCs/>
          <w:caps/>
          <w:sz w:val="28"/>
          <w:szCs w:val="28"/>
        </w:rPr>
        <w:t xml:space="preserve">ANEXOS</w:t>
      </w:r>
    </w:p>
    <w:p>
      <w:pPr>
        <w:pStyle w:val="Heading2"/>
        <w:spacing w:after="120" w:before="300"/>
      </w:pPr>
      <w:r>
        <w:rPr>
          <w:rFonts w:ascii="Arial" w:cs="Arial" w:eastAsia="Arial" w:hAnsi="Arial"/>
          <w:b/>
          <w:bCs/>
          <w:sz w:val="26"/>
          <w:szCs w:val="26"/>
        </w:rPr>
        <w:t xml:space="preserve">Anexo A. Protocolo de validación cualitativa del modelo ALAZAR-HPM</w:t>
      </w:r>
    </w:p>
    <w:p>
      <w:pPr>
        <w:spacing w:after="120" w:before="120" w:line="276"/>
        <w:jc w:val="both"/>
      </w:pPr>
      <w:r>
        <w:rPr>
          <w:rFonts w:ascii="Arial" w:cs="Arial" w:eastAsia="Arial" w:hAnsi="Arial"/>
          <w:sz w:val="24"/>
          <w:szCs w:val="24"/>
        </w:rPr>
        <w:t xml:space="preserve">El presente protocolo define los criterios de evaluación cualitativa de la metodología propuesta. Está diseñado para orientar revisiones académicas o profesionales futuras, basadas en coherencia metodológica, adecuación contextual e implementabilidad práctica. Utiliza preguntas de análisis argumentativo que permiten evaluar la consistencia interna del modelo.</w:t>
      </w:r>
    </w:p>
    <w:p>
      <w:pPr>
        <w:spacing w:after="120" w:before="120" w:line="276"/>
        <w:jc w:val="both"/>
      </w:pPr>
      <w:r>
        <w:rPr>
          <w:rFonts w:ascii="Arial" w:cs="Arial" w:eastAsia="Arial" w:hAnsi="Arial"/>
          <w:b/>
          <w:bCs/>
          <w:sz w:val="24"/>
          <w:szCs w:val="24"/>
        </w:rPr>
        <w:t xml:space="preserve">Dimensión 1: Coherencia con PMBOK® 7. </w:t>
      </w:r>
      <w:r>
        <w:rPr>
          <w:rFonts w:ascii="Arial" w:cs="Arial" w:eastAsia="Arial" w:hAnsi="Arial"/>
          <w:sz w:val="24"/>
          <w:szCs w:val="24"/>
        </w:rPr>
        <w:t xml:space="preserve">¿El Carta de Gobernanza es coherente con el principio 2 y el principio 6 del PMBOK® 7? ¿El Protocolo de Decisión responde al dominio de Incertidumbre? ¿El Ciclo de Ejecución quincenal es coherente con los dominios de Planificación y Entrega?</w:t>
      </w:r>
    </w:p>
    <w:p>
      <w:pPr>
        <w:spacing w:after="120" w:before="120" w:line="276"/>
        <w:jc w:val="both"/>
      </w:pPr>
      <w:r>
        <w:rPr>
          <w:rFonts w:ascii="Arial" w:cs="Arial" w:eastAsia="Arial" w:hAnsi="Arial"/>
          <w:b/>
          <w:bCs/>
          <w:sz w:val="24"/>
          <w:szCs w:val="24"/>
        </w:rPr>
        <w:t xml:space="preserve">Dimensión 2: Coherencia con Lean Startup. </w:t>
      </w:r>
      <w:r>
        <w:rPr>
          <w:rFonts w:ascii="Arial" w:cs="Arial" w:eastAsia="Arial" w:hAnsi="Arial"/>
          <w:sz w:val="24"/>
          <w:szCs w:val="24"/>
        </w:rPr>
        <w:t xml:space="preserve">¿El Registro de Supuestos S1-S6 prioriza los supuestos de mayor riesgo de invalidación del modelo de negocio? ¿El protocolo pivot/perseverar es equivalente al mecanismo de decisión de Ries (2011)? ¿Las métricas del tablero distinguen entre métricas accionables y de vanidad?</w:t>
      </w:r>
    </w:p>
    <w:p>
      <w:pPr>
        <w:spacing w:after="120" w:before="120" w:line="276"/>
        <w:jc w:val="both"/>
      </w:pPr>
      <w:r>
        <w:rPr>
          <w:rFonts w:ascii="Arial" w:cs="Arial" w:eastAsia="Arial" w:hAnsi="Arial"/>
          <w:b/>
          <w:bCs/>
          <w:sz w:val="24"/>
          <w:szCs w:val="24"/>
        </w:rPr>
        <w:t xml:space="preserve">Dimensión 3: Adecuación al contexto de bootstrapping. </w:t>
      </w:r>
      <w:r>
        <w:rPr>
          <w:rFonts w:ascii="Arial" w:cs="Arial" w:eastAsia="Arial" w:hAnsi="Arial"/>
          <w:sz w:val="24"/>
          <w:szCs w:val="24"/>
        </w:rPr>
        <w:t xml:space="preserve">¿Los instrumentos pueden ser mantenidos por el equipo con una carga de actualización proporcional al avance del proyecto, sin convertir la gobernanza en el principal consumidor de tiempo disponible? ¿El cronograma de nueve meses es realista con el perfil de restricciones del proyecto? ¿La GMV provee un criterio operativo útil para seleccionar qué instrumentos implementar primero?
Dimensión 4: Trazabilidad del modelo. ¿Cada componente del modelo puede rastrearse hasta una vulnerabilidad específica del diagnóstico estratégico del Capítulo III? ¿La Bitácora RC-01 permite seguir el hilo desde la decisión tomada hasta la evidencia que la respaldó? ¿Los códigos F/D/O/A del AMOFHIT son consistentes con los factores de la MEFI y los cruces del FODA?
Dimensión 5: Gobernanza adaptativa. ¿El modelo incluye un mecanismo explícito para revisar y ajustar el nivel de gobernanza en función de la madurez del proyecto? ¿La distinción invariantes/variables se aplica de forma consistente en los seis componentes? ¿El Protocolo de Decisión produce decisiones registradas y razonadas, no solo actos de voluntad del fundador?
Dimensión 6: Transferibilidad de la arquitectura. ¿La estructura de los cuatro instrumentos puede mantenerse intacta al cambiar el contenido específico del proyecto? ¿Los principios del modelo (proporcionalidad, trazabilidad, validación secuenciada, revisión periódica) son aplicables a proyectos con características distintas a ALAZAR? ¿Las Tablas 31-32 demuestran que la arquitectura metodológica es separable de los artefactos específicos del caso?</w:t>
      </w:r>
    </w:p>
    <w:p>
      <w:pPr>
        <w:pStyle w:val="Heading2"/>
        <w:spacing w:after="120" w:before="300"/>
      </w:pPr>
      <w:r>
        <w:rPr>
          <w:rFonts w:ascii="Arial" w:cs="Arial" w:eastAsia="Arial" w:hAnsi="Arial"/>
          <w:b/>
          <w:bCs/>
          <w:sz w:val="26"/>
          <w:szCs w:val="26"/>
        </w:rPr>
        <w:t xml:space="preserve">Anexo B. Glosario de términos del modelo ALAZAR-HPM</w:t>
      </w:r>
    </w:p>
    <w:tbl>
      <w:tblPr>
        <w:tblW w:type="dxa" w:w="9360"/>
        <w:tblBorders>
          <w:top w:val="single" w:color="000000" w:sz="6"/>
          <w:left w:val="none" w:sz="0"/>
          <w:bottom w:val="single" w:color="000000" w:sz="6"/>
          <w:right w:val="none" w:sz="0"/>
          <w:insideH w:val="none" w:sz="0"/>
          <w:insideV w:val="none" w:sz="0"/>
        </w:tblBorders>
      </w:tblPr>
      <w:tblGrid>
        <w:gridCol w:w="2800"/>
        <w:gridCol w:w="6560"/>
      </w:tblGrid>
      <w:tr>
        <w:tc>
          <w:tcPr>
            <w:tcW w:type="dxa" w:w="28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Término</w:t>
            </w:r>
          </w:p>
        </w:tc>
        <w:tc>
          <w:tcPr>
            <w:tcW w:type="dxa" w:w="656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Definición en el contexto del modelo ALAZAR-HPM</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ALAZAR-HPM (Hybrid Process Methodology)
Modelo de gobernanza híbrida diseñado como metodología de implementación para startups digitales autofinanciadas bajo incertidumbre, que integra los principios del PMBOK® 7 con el ciclo de validación del Lean Startup bajo el principio articulador de la Gobernanza Mínima Viable.
Bootstrapping</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Modelo de autofinanciamiento en que el proyecto opera exclusivamente con capital propio del fundador, sin inversión externa.</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Burn rate</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Tasa mensual de consumo del capital disponible. Indicador crítico de supervivencia bajo bootstrapping.</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Bitácora de Decisiones RC-01</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Registro estructurado de las decisiones estratégicas: qué se decidió, con qué evidencia, quién lo decidió y por qué.</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Ciclo BML</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Build-Measure-Learn: ciclo iterativo de construcción del experimento, medición de la métrica de validación y aprendizaje documentado.</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Gobernanza Mínima Viable (GMV)</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La mínima cantidad de estructura de dirección necesaria para que un proyecto pueda operar sin caos, tomar decisiones trazables y aprender sistemáticamente.</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Carta de Gobernanza</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Documento de una página que define la misión del proyecto, los roles, el protocolo de autoridad y el plan de continuidad ante ausencia del fundador.</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Supuesto de validación</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Afirmación sobre el modelo de negocio cuya no confirmación lo invalidaría completa o significativamente. Debe verificarse antes de escalar.</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Invariante de gobernanza</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Componente del sistema cuyo fallo tiene consecuencias irreversibles para la confianza o viabilidad del proyecto. No puede ser modificado experimentalmente.</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MVP (Minimum Viable Product)</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menor artefacto que permite verificar un supuesto crítico de negocio con el mínimo consumo de recursos.</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Pivot</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Cambio formal en una variable crítica del modelo de negocio, basado en evidencia de que el supuesto vigente no puede alcanzar su umbral de verificación.</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PSP (Payment Service Provider)</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Proveedor de servicios de pago que procesa las transacciones de compra de tickets en la plataforma ALAZAR.</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Runway</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Número de meses de operación que puede sostenerse el proyecto con el capital disponible al ritmo actual del burn rate.</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Informe de Gobernanza del Sprint</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Documento que sintetiza el resultado de cada sprint quincenal: supuesto evaluado, métrica obtenida, decisión tomada y estado actualizado.</w:t>
            </w:r>
          </w:p>
        </w:tc>
      </w:tr>
      <w:tr>
        <w:tc>
          <w:tcPr>
            <w:tcW w:type="dxa" w:w="28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Variable de validación</w:t>
            </w:r>
          </w:p>
        </w:tc>
        <w:tc>
          <w:tcPr>
            <w:tcW w:type="dxa" w:w="656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Aspecto del modelo de negocio que puede modificarse experimentalmente sin comprometer los invariantes de gobernanza.</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w:t>
      </w:r>
    </w:p>
    <w:p>
      <w:pPr>
        <w:pStyle w:val="Heading2"/>
        <w:spacing w:after="120" w:before="300"/>
      </w:pPr>
      <w:r>
        <w:rPr>
          <w:rFonts w:ascii="Arial" w:cs="Arial" w:eastAsia="Arial" w:hAnsi="Arial"/>
          <w:b/>
          <w:bCs/>
          <w:sz w:val="26"/>
          <w:szCs w:val="26"/>
        </w:rPr>
        <w:t xml:space="preserve">Anexo C. Bitácora de Decisiones RC-01: Registro de Control de Decisiones del Proyecto ALAZAR</w:t>
      </w:r>
    </w:p>
    <w:p>
      <w:pPr>
        <w:spacing w:after="120" w:before="120" w:line="276"/>
        <w:jc w:val="both"/>
      </w:pPr>
      <w:r>
        <w:rPr>
          <w:rFonts w:ascii="Arial" w:cs="Arial" w:eastAsia="Arial" w:hAnsi="Arial"/>
          <w:sz w:val="24"/>
          <w:szCs w:val="24"/>
        </w:rPr>
        <w:t xml:space="preserve">El RC-01 es el instrumento de trazabilidad de decisiones de la metodología de gobernanza propuesta. No es una tabla de control de cambios técnico: es el registro que convierte las decisiones del fundador en conocimiento organizacional. Cada entrada responde a: ¿qué se decidió? ¿qué información existía? ¿qué alternativas se consideraron? ¿por qué se eligió esta opción? ¿quién lo decidió? ¿cómo se sabrá si fue correcta? Se inicializa en el Mes 1 con las tres primeras decisiones estratégicas.</w:t>
      </w:r>
    </w:p>
    <w:p>
      <w:pPr>
        <w:spacing w:after="60" w:before="240"/>
      </w:pPr>
      <w:r>
        <w:rPr>
          <w:rFonts w:ascii="Arial" w:cs="Arial" w:eastAsia="Arial" w:hAnsi="Arial"/>
          <w:b/>
          <w:bCs/>
          <w:sz w:val="24"/>
          <w:szCs w:val="22"/>
        </w:rPr>
        <w:t xml:space="preserve">Tabla 28</w:t>
      </w:r>
      <w:r>
        <w:br/>
        <w:t xml:space="preserve">
</w:t>
      </w:r>
      <w:r>
        <w:rPr>
          <w:rFonts w:ascii="Arial" w:cs="Arial" w:eastAsia="Arial" w:hAnsi="Arial"/>
          <w:i/>
          <w:iCs/>
          <w:sz w:val="24"/>
          <w:szCs w:val="22"/>
        </w:rPr>
        <w:t xml:space="preserve">Bitácora de Decisiones RC-01 del proyecto ALAZAR: estado inicial, Mes 1</w:t>
      </w:r>
    </w:p>
    <w:tbl>
      <w:tblPr>
        <w:tblW w:type="dxa" w:w="9360"/>
        <w:tblBorders>
          <w:top w:val="single" w:color="000000" w:sz="6"/>
          <w:left w:val="none" w:sz="0"/>
          <w:bottom w:val="single" w:color="000000" w:sz="6"/>
          <w:right w:val="none" w:sz="0"/>
          <w:insideH w:val="none" w:sz="0"/>
          <w:insideV w:val="none" w:sz="0"/>
        </w:tblBorders>
      </w:tblPr>
      <w:tblGrid>
        <w:gridCol w:w="600"/>
        <w:gridCol w:w="780"/>
        <w:gridCol w:w="1680"/>
        <w:gridCol w:w="1680"/>
        <w:gridCol w:w="1200"/>
        <w:gridCol w:w="1380"/>
        <w:gridCol w:w="900"/>
        <w:gridCol w:w="1140"/>
        <w:gridCol w:w="900"/>
      </w:tblGrid>
      <w:tr>
        <w:tc>
          <w:tcPr>
            <w:tcW w:type="dxa" w:w="6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ID</w:t>
            </w:r>
          </w:p>
        </w:tc>
        <w:tc>
          <w:tcPr>
            <w:tcW w:type="dxa" w:w="78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Fecha</w:t>
            </w:r>
          </w:p>
        </w:tc>
        <w:tc>
          <w:tcPr>
            <w:tcW w:type="dxa" w:w="168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Decisión tomada</w:t>
            </w:r>
          </w:p>
        </w:tc>
        <w:tc>
          <w:tcPr>
            <w:tcW w:type="dxa" w:w="168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Evidencia disponible</w:t>
            </w:r>
          </w:p>
        </w:tc>
        <w:tc>
          <w:tcPr>
            <w:tcW w:type="dxa" w:w="12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Alternativas</w:t>
            </w:r>
          </w:p>
        </w:tc>
        <w:tc>
          <w:tcPr>
            <w:tcW w:type="dxa" w:w="138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Justificación</w:t>
            </w:r>
          </w:p>
        </w:tc>
        <w:tc>
          <w:tcPr>
            <w:tcW w:type="dxa" w:w="9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Responsable</w:t>
            </w:r>
          </w:p>
        </w:tc>
        <w:tc>
          <w:tcPr>
            <w:tcW w:type="dxa" w:w="114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Indicador de resultado</w:t>
            </w:r>
          </w:p>
        </w:tc>
        <w:tc>
          <w:tcPr>
            <w:tcW w:type="dxa" w:w="900"/>
            <w:tcBorders>
              <w:top w:val="none" w:sz="0"/>
              <w:left w:val="none" w:sz="0"/>
              <w:bottom w:val="single" w:color="000000" w:sz="8"/>
              <w:right w:val="none" w:sz="0"/>
            </w:tcBorders>
            <w:tcMar>
              <w:top w:type="dxa" w:w="80"/>
              <w:left w:type="dxa" w:w="120"/>
              <w:bottom w:type="dxa" w:w="80"/>
              <w:right w:type="dxa" w:w="120"/>
            </w:tcMar>
            <w:vAlign w:val="center"/>
          </w:tcPr>
          <w:p>
            <w:pPr>
              <w:spacing w:after="60" w:before="60"/>
              <w:jc w:val="center"/>
            </w:pPr>
            <w:r>
              <w:rPr>
                <w:rFonts w:ascii="Arial" w:cs="Arial" w:eastAsia="Arial" w:hAnsi="Arial"/>
                <w:b/>
                <w:bCs/>
                <w:color w:val="000000"/>
                <w:sz w:val="24"/>
                <w:szCs w:val="22"/>
              </w:rPr>
              <w:t xml:space="preserve">Estado</w:t>
            </w:r>
          </w:p>
        </w:tc>
      </w:tr>
      <w:tr>
        <w:tc>
          <w:tcPr>
            <w:tcW w:type="dxa" w:w="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RC-01-001</w:t>
            </w:r>
          </w:p>
        </w:tc>
        <w:tc>
          <w:tcPr>
            <w:tcW w:type="dxa" w:w="7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Enero 2026</w:t>
            </w:r>
          </w:p>
        </w:tc>
        <w:tc>
          <w:tcPr>
            <w:tcW w:type="dxa" w:w="1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Adoptar .NET 8 + PostgreSQL + Redis + React/Next.js como stack tecnológico del MVP.</w:t>
            </w:r>
          </w:p>
        </w:tc>
        <w:tc>
          <w:tcPr>
            <w:tcW w:type="dxa" w:w="1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PRD V11. Costos Railway. Experiencia previa del Líder Técnico en .NET.</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Laravel + MySQL; Node.js + MongoDB.</w:t>
            </w:r>
          </w:p>
        </w:tc>
        <w:tc>
          <w:tcPr>
            <w:tcW w:type="dxa" w:w="13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.NET 8 es el stack más maduro para sistemas transaccionales con auditoría. PostgreSQL garantiza ACID.</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Fundador / Líder Técnico</w:t>
            </w:r>
          </w:p>
        </w:tc>
        <w:tc>
          <w:tcPr>
            <w:tcW w:type="dxa" w:w="11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purchase_success_rate ≥95% en pruebas internas antes del Mes 3.</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Cerrada</w:t>
            </w:r>
          </w:p>
        </w:tc>
      </w:tr>
      <w:tr>
        <w:tc>
          <w:tcPr>
            <w:tcW w:type="dxa" w:w="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RC-01-002</w:t>
            </w:r>
          </w:p>
        </w:tc>
        <w:tc>
          <w:tcPr>
            <w:tcW w:type="dxa" w:w="7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Enero 2026</w:t>
            </w:r>
          </w:p>
        </w:tc>
        <w:tc>
          <w:tcPr>
            <w:tcW w:type="dxa" w:w="1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Comisión fija del 20% sobre el gross del sorteo como modelo de ingresos del MVP.</w:t>
            </w:r>
          </w:p>
        </w:tc>
        <w:tc>
          <w:tcPr>
            <w:tcW w:type="dxa" w:w="1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Análisis del sector. Benchmarking de comisiones en marketplaces peruanos: rango 8%-25%. F4 (pricing) como fortaleza (MEFI).</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Comisión del 15%; fee fijo por sorteo.</w:t>
            </w:r>
          </w:p>
        </w:tc>
        <w:tc>
          <w:tcPr>
            <w:tcW w:type="dxa" w:w="13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20% es coherente con el modelo de costos proyectado. El punto de equilibrio financiero se proyecta para el Mes 7-8 como supuesto de diseño, sujeto a verificación por el supuesto S2 en el Sprint 3.</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Fundador</w:t>
            </w:r>
          </w:p>
        </w:tc>
        <w:tc>
          <w:tcPr>
            <w:tcW w:type="dxa" w:w="11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≥5 organizadores activos aceptando la comisión al cierre del Mes 5 (S2 verificado).</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sz w:val="24"/>
                <w:szCs w:val="24"/>
              </w:rPr>
              <w:t xml:space="preserve">Abierta</w:t>
            </w:r>
          </w:p>
        </w:tc>
      </w:tr>
      <w:tr>
        <w:tc>
          <w:tcPr>
            <w:tcW w:type="dxa" w:w="6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RC-01-003</w:t>
            </w:r>
          </w:p>
        </w:tc>
        <w:tc>
          <w:tcPr>
            <w:tcW w:type="dxa" w:w="7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Enero 2026</w:t>
            </w:r>
          </w:p>
        </w:tc>
        <w:tc>
          <w:tcPr>
            <w:tcW w:type="dxa" w:w="1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Seleccionar Mercado Pago como PSP principal para el MVP.</w:t>
            </w:r>
          </w:p>
        </w:tc>
        <w:tc>
          <w:tcPr>
            <w:tcW w:type="dxa" w:w="16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Mercado Pago lidera el mercado peruano. Integración nativa de Yape y Plin. Cuota &gt;60% transacciones B2C (BID, 2022).</w:t>
            </w:r>
          </w:p>
        </w:tc>
        <w:tc>
          <w:tcPr>
            <w:tcW w:type="dxa" w:w="12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Culqi (menor fee, menor soporte); Izipay (nuevo, menor adopción).</w:t>
            </w:r>
          </w:p>
        </w:tc>
        <w:tc>
          <w:tcPr>
            <w:tcW w:type="dxa" w:w="138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El participante reconoce Mercado Pago y tiene mayor disposición a ingresar datos. DA-3 exige PSP alternativo documentado.</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Fundador / Líder Técnico</w:t>
            </w:r>
          </w:p>
        </w:tc>
        <w:tc>
          <w:tcPr>
            <w:tcW w:type="dxa" w:w="1140"/>
            <w:tcBorders>
              <w:top w:val="none" w:sz="0"/>
              <w:left w:val="none" w:sz="0"/>
              <w:bottom w:val="none" w:sz="0"/>
              <w:right w:val="none" w:sz="0"/>
            </w:tcBorders>
            <w:tcMar>
              <w:top w:type="dxa" w:w="80"/>
              <w:left w:type="dxa" w:w="120"/>
              <w:bottom w:type="dxa" w:w="80"/>
              <w:right w:type="dxa" w:w="120"/>
            </w:tcMar>
            <w:vAlign w:val="center"/>
          </w:tcPr>
          <w:p>
            <w:pPr>
              <w:spacing w:after="60" w:before="60" w:line="276"/>
              <w:jc w:val="both"/>
            </w:pPr>
            <w:r>
              <w:rPr>
                <w:rFonts w:ascii="Arial" w:cs="Arial" w:eastAsia="Arial" w:hAnsi="Arial"/>
                <w:sz w:val="24"/>
                <w:szCs w:val="22"/>
              </w:rPr>
              <w:t xml:space="preserve">PSP alternativo documentado en RC-01 antes del fin del Mes 2. S1 verificado en Sprint 2.</w:t>
            </w:r>
          </w:p>
        </w:tc>
        <w:tc>
          <w:tcPr>
            <w:tcW w:type="dxa" w:w="900"/>
            <w:tcBorders>
              <w:top w:val="none" w:sz="0"/>
              <w:left w:val="none" w:sz="0"/>
              <w:bottom w:val="none" w:sz="0"/>
              <w:right w:val="none" w:sz="0"/>
            </w:tcBorders>
            <w:tcMar>
              <w:top w:type="dxa" w:w="80"/>
              <w:left w:type="dxa" w:w="120"/>
              <w:bottom w:type="dxa" w:w="80"/>
              <w:right w:type="dxa" w:w="120"/>
            </w:tcMar>
            <w:vAlign w:val="center"/>
          </w:tcPr>
          <w:p>
            <w:pPr>
              <w:spacing w:after="40" w:before="40" w:line="276"/>
              <w:jc w:val="both"/>
            </w:pPr>
            <w:r>
              <w:rPr>
                <w:rFonts w:ascii="Arial" w:cs="Arial" w:eastAsia="Arial" w:hAnsi="Arial"/>
                <w:b/>
                <w:bCs/>
                <w:sz w:val="24"/>
                <w:szCs w:val="24"/>
              </w:rPr>
              <w:t xml:space="preserve">Cerrada</w:t>
            </w:r>
          </w:p>
        </w:tc>
      </w:tr>
    </w:tbl>
    <w:p>
      <w:pPr>
        <w:spacing w:after="180" w:before="60"/>
      </w:pPr>
      <w:r>
        <w:rPr>
          <w:rFonts w:ascii="Arial" w:cs="Arial" w:eastAsia="Arial" w:hAnsi="Arial"/>
          <w:i/>
          <w:iCs/>
          <w:sz w:val="20"/>
          <w:szCs w:val="20"/>
        </w:rPr>
        <w:t xml:space="preserve">Nota. </w:t>
      </w:r>
      <w:r>
        <w:rPr>
          <w:rFonts w:ascii="Arial" w:cs="Arial" w:eastAsia="Arial" w:hAnsi="Arial"/>
          <w:sz w:val="20"/>
          <w:szCs w:val="20"/>
        </w:rPr>
        <w:t xml:space="preserve">Elaboración propia. "Cerrada" indica que la decisión fue tomada y su resultado puede evaluarse. "Abierta" indica que está vigente y su indicador está en proceso de verificación.</w:t>
      </w:r>
    </w:p>
    <w:p>
      <w:pPr>
        <w:spacing w:after="120" w:before="120" w:line="276"/>
        <w:jc w:val="both"/>
      </w:pPr>
      <w:r>
        <w:rPr>
          <w:rFonts w:ascii="Arial" w:cs="Arial" w:eastAsia="Arial" w:hAnsi="Arial"/>
          <w:iCs/>
          <w:sz w:val="24"/>
          <w:szCs w:val="22"/>
        </w:rPr>
        <w:t xml:space="preserve">CÓMO USAR EL RC-01 EN LA PRÁCTICA: (1) Antes de cada Planificación del Sprint, revisar las entradas abiertas para confirmar que sus indicadores están siendo monitoreados. (2) Al final de cada Revisión del Sprint, registrar las decisiones estratégicas del sprint. Una decisión táctica no requiere entrada. Una decisión estratégica (cambiar el modelo de comisión, pivotar el segmento, incorporar nuevo PSP) sí la requiere. (3) Al cierre del Mes 9, el RC-01 completo es el insumo principal del análisis crítico del Capítulo VII.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Arial" w:cs="Arial" w:eastAsia="Arial" w:hAnsi="Arial"/>
      <w:b/>
      <w:bCs/>
      <w:caps/>
      <w:color w:val="000000"/>
      <w:sz w:val="28"/>
      <w:szCs w:val="28"/>
    </w:rPr>
  </w:style>
  <w:style w:type="paragraph" w:styleId="Heading2">
    <w:name w:val="Heading 2"/>
    <w:basedOn w:val="Normal"/>
    <w:next w:val="Normal"/>
    <w:qFormat/>
    <w:pPr>
      <w:spacing w:after="180" w:before="36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4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2026-06-02T23:26:07.504Z</dcterms:created>
  <dcterms:modified xsi:type="dcterms:W3CDTF">2026-06-02T23:26:07.519Z</dcterms:modified>
</cp:coreProperties>
</file>

<file path=docProps/custom.xml><?xml version="1.0" encoding="utf-8"?>
<Properties xmlns="http://schemas.openxmlformats.org/officeDocument/2006/custom-properties" xmlns:vt="http://schemas.openxmlformats.org/officeDocument/2006/docPropsVTypes"/>
</file>