
<file path=[Content_Types].xml><?xml version="1.0" encoding="utf-8"?>
<Types xmlns="http://schemas.openxmlformats.org/package/2006/content-types">
  <Override PartName="/_rels/.rels" ContentType="application/vnd.openxmlformats-package.relationships+xml"/>
  <Override PartName="/customXml/itemProps4.xml" ContentType="application/vnd.openxmlformats-officedocument.customXmlProperties+xml"/>
  <Override PartName="/customXml/item1.xml" ContentType="application/xml"/>
  <Override PartName="/customXml/itemProps1.xml" ContentType="application/vnd.openxmlformats-officedocument.customXmlProperties+xml"/>
  <Override PartName="/customXml/item2.xml" ContentType="application/xml"/>
  <Override PartName="/customXml/item4.xml" ContentType="application/xml"/>
  <Override PartName="/customXml/itemProps3.xml" ContentType="application/vnd.openxmlformats-officedocument.customXmlProperties+xml"/>
  <Override PartName="/customXml/_rels/item4.xml.rels" ContentType="application/vnd.openxmlformats-package.relationships+xml"/>
  <Override PartName="/customXml/_rels/item3.xml.rels" ContentType="application/vnd.openxmlformats-package.relationships+xml"/>
  <Override PartName="/customXml/_rels/item1.xml.rels" ContentType="application/vnd.openxmlformats-package.relationships+xml"/>
  <Override PartName="/customXml/_rels/item2.xml.rels" ContentType="application/vnd.openxmlformats-package.relationships+xml"/>
  <Override PartName="/customXml/itemProps2.xml" ContentType="application/vnd.openxmlformats-officedocument.customXmlProperties+xml"/>
  <Override PartName="/customXml/item3.xml" ContentType="application/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footnotes.xml.rels" ContentType="application/vnd.openxmlformats-package.relationship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footer2.xml" ContentType="application/vnd.openxmlformats-officedocument.wordprocessingml.footer+xml"/>
  <Override PartName="/word/media/image5.jpeg" ContentType="image/jpeg"/>
  <Override PartName="/word/media/image4.jpeg" ContentType="image/jpeg"/>
  <Override PartName="/word/media/image3.jpeg" ContentType="image/jpeg"/>
  <Override PartName="/word/media/image1.png" ContentType="image/png"/>
  <Override PartName="/word/media/image2.jpeg" ContentType="image/jpeg"/>
  <Override PartName="/word/footer1.xml" ContentType="application/vnd.openxmlformats-officedocument.wordprocessingml.footer+xml"/>
  <Override PartName="/word/settings.xml" ContentType="application/vnd.openxmlformats-officedocument.wordprocessingml.setting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drawing>
          <wp:inline distT="0" distB="0" distL="0" distR="0">
            <wp:extent cx="3366135" cy="660400"/>
            <wp:effectExtent l="0" t="0" r="0" b="0"/>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3366135" cy="660400"/>
                    </a:xfrm>
                    <a:prstGeom prst="rect">
                      <a:avLst/>
                    </a:prstGeom>
                  </pic:spPr>
                </pic:pic>
              </a:graphicData>
            </a:graphic>
          </wp:inline>
        </w:drawing>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Header"/>
        <w:jc w:val="center"/>
        <w:rPr/>
      </w:pPr>
      <w:r>
        <w:rPr/>
        <mc:AlternateContent>
          <mc:Choice Requires="wps">
            <w:drawing>
              <wp:inline distT="0" distB="0" distL="0" distR="0">
                <wp:extent cx="1905" cy="20320"/>
                <wp:effectExtent l="0" t="0" r="0" b="0"/>
                <wp:docPr id="2" name=""/>
                <a:graphic xmlns:a="http://schemas.openxmlformats.org/drawingml/2006/main">
                  <a:graphicData uri="http://schemas.microsoft.com/office/word/2010/wordprocessingShape">
                    <wps:wsp>
                      <wps:cNvSpPr/>
                      <wps:spPr>
                        <a:xfrm>
                          <a:off x="0" y="0"/>
                          <a:ext cx="1440" cy="19800"/>
                        </a:xfrm>
                        <a:prstGeom prst="rect">
                          <a:avLst/>
                        </a:prstGeom>
                        <a:solidFill>
                          <a:srgbClr val="808080"/>
                        </a:solidFill>
                        <a:ln>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gray" stroked="f" style="position:absolute;margin-left:0pt;margin-top:-1.6pt;width:0.05pt;height:1.5pt;mso-position-vertical:top">
                <w10:wrap type="none"/>
                <v:fill o:detectmouseclick="t" type="solid" color2="#7f7f7f"/>
                <v:stroke color="#3465a4" joinstyle="round" endcap="flat"/>
              </v:rect>
            </w:pict>
          </mc:Fallback>
        </mc:AlternateContent>
      </w:r>
    </w:p>
    <w:p>
      <w:pPr>
        <w:pStyle w:val="Normal"/>
        <w:jc w:val="center"/>
        <w:rPr/>
      </w:pPr>
      <w:r>
        <w:rPr>
          <w:b/>
          <w:smallCaps/>
          <w:sz w:val="72"/>
        </w:rPr>
        <w:t>Digital Security Program (DSP)</w:t>
      </w:r>
      <w:r>
        <w:rPr>
          <w:b/>
          <w:smallCaps/>
          <w:sz w:val="72"/>
        </w:rPr>
        <mc:AlternateContent>
          <mc:Choice Requires="wps">
            <w:drawing>
              <wp:inline distT="0" distB="0" distL="0" distR="0">
                <wp:extent cx="1905" cy="20320"/>
                <wp:effectExtent l="0" t="0" r="0" b="0"/>
                <wp:docPr id="3" name=""/>
                <a:graphic xmlns:a="http://schemas.openxmlformats.org/drawingml/2006/main">
                  <a:graphicData uri="http://schemas.microsoft.com/office/word/2010/wordprocessingShape">
                    <wps:wsp>
                      <wps:cNvSpPr/>
                      <wps:spPr>
                        <a:xfrm>
                          <a:off x="0" y="0"/>
                          <a:ext cx="1440" cy="19800"/>
                        </a:xfrm>
                        <a:prstGeom prst="rect">
                          <a:avLst/>
                        </a:prstGeom>
                        <a:solidFill>
                          <a:srgbClr val="808080"/>
                        </a:solidFill>
                        <a:ln>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gray" stroked="f" style="position:absolute;margin-left:0pt;margin-top:-1.6pt;width:0.05pt;height:1.5pt;mso-position-vertical:top">
                <w10:wrap type="none"/>
                <v:fill o:detectmouseclick="t" type="solid" color2="#7f7f7f"/>
                <v:stroke color="#3465a4" joinstyle="round" endcap="flat"/>
              </v:rect>
            </w:pict>
          </mc:Fallback>
        </mc:AlternateContent>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sz w:val="24"/>
        </w:rPr>
      </w:pPr>
      <w:r>
        <w:rPr>
          <w:b/>
          <w:sz w:val="52"/>
        </w:rPr>
        <w:t>Neverfail Continuous Controls, LLC</w:t>
      </w:r>
      <w:bookmarkStart w:id="0" w:name="_Hlk486257277"/>
      <w:bookmarkEnd w:id="0"/>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Footer"/>
        <w:jc w:val="center"/>
        <w:rPr/>
      </w:pPr>
      <w:r>
        <w:rPr/>
      </w:r>
    </w:p>
    <w:p>
      <w:pPr>
        <w:pStyle w:val="Footer"/>
        <w:jc w:val="center"/>
        <w:rPr/>
      </w:pPr>
      <w:r>
        <w:rPr/>
      </w:r>
      <w:bookmarkStart w:id="1" w:name="_Hlk486257403"/>
      <w:bookmarkStart w:id="2" w:name="_Hlk486257403"/>
      <w:bookmarkEnd w:id="2"/>
    </w:p>
    <w:p>
      <w:pPr>
        <w:pStyle w:val="Normal"/>
        <w:jc w:val="center"/>
        <w:rPr/>
      </w:pPr>
      <w:r>
        <w:rPr/>
      </w:r>
      <w:r>
        <w:br w:type="page"/>
      </w:r>
    </w:p>
    <w:p>
      <w:pPr>
        <w:pStyle w:val="Normal"/>
        <w:jc w:val="center"/>
        <w:rPr/>
      </w:pPr>
      <w:r>
        <w:rPr/>
        <w:t xml:space="preserve"> </w:t>
      </w:r>
      <w:r>
        <w:rPr>
          <w:rFonts w:cs="Calibri"/>
          <w:b/>
          <w:smallCaps/>
          <w:sz w:val="24"/>
        </w:rPr>
        <w:t>Table of Contents</w:t>
      </w:r>
    </w:p>
    <w:p>
      <w:pPr>
        <w:pStyle w:val="Contents1"/>
        <w:rPr>
          <w:rFonts w:eastAsia="" w:cs="" w:cstheme="minorBidi" w:eastAsiaTheme="minorEastAsia"/>
          <w:b w:val="false"/>
          <w:b w:val="false"/>
          <w:caps w:val="false"/>
          <w:smallCaps w:val="false"/>
          <w:color w:val="auto"/>
          <w:sz w:val="22"/>
          <w:szCs w:val="22"/>
          <w:u w:val="none"/>
        </w:rPr>
      </w:pPr>
      <w:r>
        <w:fldChar w:fldCharType="begin"/>
      </w:r>
      <w:r>
        <w:rPr>
          <w:webHidden/>
          <w:rStyle w:val="IndexLink"/>
          <w:vanish w:val="false"/>
        </w:rPr>
        <w:instrText> TOC \z \o "1-3" \u \h</w:instrText>
      </w:r>
      <w:r>
        <w:rPr>
          <w:webHidden/>
          <w:rStyle w:val="IndexLink"/>
          <w:vanish w:val="false"/>
        </w:rPr>
        <w:fldChar w:fldCharType="separate"/>
      </w:r>
      <w:hyperlink w:anchor="_Toc34920470">
        <w:r>
          <w:rPr>
            <w:webHidden/>
          </w:rPr>
          <w:fldChar w:fldCharType="begin"/>
        </w:r>
        <w:r>
          <w:rPr>
            <w:webHidden/>
          </w:rPr>
          <w:instrText>PAGEREF _Toc34920470 \h</w:instrText>
        </w:r>
        <w:r>
          <w:rPr>
            <w:webHidden/>
          </w:rPr>
          <w:fldChar w:fldCharType="separate"/>
        </w:r>
        <w:r>
          <w:rPr>
            <w:webHidden/>
            <w:rStyle w:val="IndexLink"/>
            <w:vanish w:val="false"/>
          </w:rPr>
          <w:t>Notice – Referenced Frameworks &amp; Supporting Practices</w:t>
          <w:tab/>
          <w:t>19</w:t>
        </w:r>
        <w:r>
          <w:rPr>
            <w:webHidden/>
          </w:rPr>
          <w:fldChar w:fldCharType="end"/>
        </w:r>
      </w:hyperlink>
    </w:p>
    <w:p>
      <w:pPr>
        <w:pStyle w:val="Contents1"/>
        <w:rPr>
          <w:rFonts w:eastAsia="" w:cs="" w:cstheme="minorBidi" w:eastAsiaTheme="minorEastAsia"/>
          <w:b w:val="false"/>
          <w:b w:val="false"/>
          <w:caps w:val="false"/>
          <w:smallCaps w:val="false"/>
          <w:color w:val="auto"/>
          <w:sz w:val="22"/>
          <w:szCs w:val="22"/>
          <w:u w:val="none"/>
        </w:rPr>
      </w:pPr>
      <w:hyperlink w:anchor="_Toc34920471">
        <w:r>
          <w:rPr>
            <w:webHidden/>
          </w:rPr>
          <w:fldChar w:fldCharType="begin"/>
        </w:r>
        <w:r>
          <w:rPr>
            <w:webHidden/>
          </w:rPr>
          <w:instrText>PAGEREF _Toc34920471 \h</w:instrText>
        </w:r>
        <w:r>
          <w:rPr>
            <w:webHidden/>
          </w:rPr>
          <w:fldChar w:fldCharType="separate"/>
        </w:r>
        <w:r>
          <w:rPr>
            <w:webHidden/>
            <w:rStyle w:val="IndexLink"/>
            <w:vanish w:val="false"/>
          </w:rPr>
          <w:t>Digital Security Program (DSP) Overview</w:t>
          <w:tab/>
          <w:t>20</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472">
        <w:r>
          <w:rPr>
            <w:webHidden/>
          </w:rPr>
          <w:fldChar w:fldCharType="begin"/>
        </w:r>
        <w:r>
          <w:rPr>
            <w:webHidden/>
          </w:rPr>
          <w:instrText>PAGEREF _Toc34920472 \h</w:instrText>
        </w:r>
        <w:r>
          <w:rPr>
            <w:webHidden/>
          </w:rPr>
          <w:fldChar w:fldCharType="separate"/>
        </w:r>
        <w:r>
          <w:rPr>
            <w:webHidden/>
            <w:rStyle w:val="IndexLink"/>
            <w:vanish w:val="false"/>
          </w:rPr>
          <w:t>Introduction</w:t>
          <w:tab/>
          <w:t>20</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473">
        <w:r>
          <w:rPr>
            <w:webHidden/>
          </w:rPr>
          <w:fldChar w:fldCharType="begin"/>
        </w:r>
        <w:r>
          <w:rPr>
            <w:webHidden/>
          </w:rPr>
          <w:instrText>PAGEREF _Toc34920473 \h</w:instrText>
        </w:r>
        <w:r>
          <w:rPr>
            <w:webHidden/>
          </w:rPr>
          <w:fldChar w:fldCharType="separate"/>
        </w:r>
        <w:r>
          <w:rPr>
            <w:webHidden/>
            <w:rStyle w:val="IndexLink"/>
            <w:vanish w:val="false"/>
          </w:rPr>
          <w:t>Purpose</w:t>
          <w:tab/>
          <w:t>20</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474">
        <w:r>
          <w:rPr>
            <w:webHidden/>
          </w:rPr>
          <w:fldChar w:fldCharType="begin"/>
        </w:r>
        <w:r>
          <w:rPr>
            <w:webHidden/>
          </w:rPr>
          <w:instrText>PAGEREF _Toc34920474 \h</w:instrText>
        </w:r>
        <w:r>
          <w:rPr>
            <w:webHidden/>
          </w:rPr>
          <w:fldChar w:fldCharType="separate"/>
        </w:r>
        <w:r>
          <w:rPr>
            <w:webHidden/>
            <w:rStyle w:val="IndexLink"/>
            <w:vanish w:val="false"/>
          </w:rPr>
          <w:t>Scope &amp; Applicability</w:t>
          <w:tab/>
          <w:t>21</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475">
        <w:r>
          <w:rPr>
            <w:webHidden/>
          </w:rPr>
          <w:fldChar w:fldCharType="begin"/>
        </w:r>
        <w:r>
          <w:rPr>
            <w:webHidden/>
          </w:rPr>
          <w:instrText>PAGEREF _Toc34920475 \h</w:instrText>
        </w:r>
        <w:r>
          <w:rPr>
            <w:webHidden/>
          </w:rPr>
          <w:fldChar w:fldCharType="separate"/>
        </w:r>
        <w:r>
          <w:rPr>
            <w:webHidden/>
            <w:rStyle w:val="IndexLink"/>
            <w:vanish w:val="false"/>
          </w:rPr>
          <w:t>Policy Overview</w:t>
          <w:tab/>
          <w:t>21</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476">
        <w:r>
          <w:rPr>
            <w:webHidden/>
          </w:rPr>
          <w:fldChar w:fldCharType="begin"/>
        </w:r>
        <w:r>
          <w:rPr>
            <w:webHidden/>
          </w:rPr>
          <w:instrText>PAGEREF _Toc34920476 \h</w:instrText>
        </w:r>
        <w:r>
          <w:rPr>
            <w:webHidden/>
          </w:rPr>
          <w:fldChar w:fldCharType="separate"/>
        </w:r>
        <w:r>
          <w:rPr>
            <w:webHidden/>
            <w:rStyle w:val="IndexLink"/>
            <w:vanish w:val="false"/>
          </w:rPr>
          <w:t>Violations of Policies, Standards and/or Procedures</w:t>
          <w:tab/>
          <w:t>21</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477">
        <w:r>
          <w:rPr>
            <w:webHidden/>
          </w:rPr>
          <w:fldChar w:fldCharType="begin"/>
        </w:r>
        <w:r>
          <w:rPr>
            <w:webHidden/>
          </w:rPr>
          <w:instrText>PAGEREF _Toc34920477 \h</w:instrText>
        </w:r>
        <w:r>
          <w:rPr>
            <w:webHidden/>
          </w:rPr>
          <w:fldChar w:fldCharType="separate"/>
        </w:r>
        <w:r>
          <w:rPr>
            <w:webHidden/>
            <w:rStyle w:val="IndexLink"/>
            <w:vanish w:val="false"/>
          </w:rPr>
          <w:t>Exception To Standards</w:t>
          <w:tab/>
          <w:t>21</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478">
        <w:r>
          <w:rPr>
            <w:webHidden/>
          </w:rPr>
          <w:fldChar w:fldCharType="begin"/>
        </w:r>
        <w:r>
          <w:rPr>
            <w:webHidden/>
          </w:rPr>
          <w:instrText>PAGEREF _Toc34920478 \h</w:instrText>
        </w:r>
        <w:r>
          <w:rPr>
            <w:webHidden/>
          </w:rPr>
          <w:fldChar w:fldCharType="separate"/>
        </w:r>
        <w:r>
          <w:rPr>
            <w:webHidden/>
            <w:rStyle w:val="IndexLink"/>
            <w:vanish w:val="false"/>
          </w:rPr>
          <w:t>Updates To Policies &amp; Standards</w:t>
          <w:tab/>
          <w:t>21</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479">
        <w:r>
          <w:rPr>
            <w:webHidden/>
          </w:rPr>
          <w:fldChar w:fldCharType="begin"/>
        </w:r>
        <w:r>
          <w:rPr>
            <w:webHidden/>
          </w:rPr>
          <w:instrText>PAGEREF _Toc34920479 \h</w:instrText>
        </w:r>
        <w:r>
          <w:rPr>
            <w:webHidden/>
          </w:rPr>
          <w:fldChar w:fldCharType="separate"/>
        </w:r>
        <w:r>
          <w:rPr>
            <w:webHidden/>
            <w:rStyle w:val="IndexLink"/>
            <w:vanish w:val="false"/>
          </w:rPr>
          <w:t>Key Terminology</w:t>
          <w:tab/>
          <w:t>22</w:t>
        </w:r>
        <w:r>
          <w:rPr>
            <w:webHidden/>
          </w:rPr>
          <w:fldChar w:fldCharType="end"/>
        </w:r>
      </w:hyperlink>
    </w:p>
    <w:p>
      <w:pPr>
        <w:pStyle w:val="Contents1"/>
        <w:rPr>
          <w:rFonts w:eastAsia="" w:cs="" w:cstheme="minorBidi" w:eastAsiaTheme="minorEastAsia"/>
          <w:b w:val="false"/>
          <w:b w:val="false"/>
          <w:caps w:val="false"/>
          <w:smallCaps w:val="false"/>
          <w:color w:val="auto"/>
          <w:sz w:val="22"/>
          <w:szCs w:val="22"/>
          <w:u w:val="none"/>
        </w:rPr>
      </w:pPr>
      <w:hyperlink w:anchor="_Toc34920480">
        <w:r>
          <w:rPr>
            <w:webHidden/>
          </w:rPr>
          <w:fldChar w:fldCharType="begin"/>
        </w:r>
        <w:r>
          <w:rPr>
            <w:webHidden/>
          </w:rPr>
          <w:instrText>PAGEREF _Toc34920480 \h</w:instrText>
        </w:r>
        <w:r>
          <w:rPr>
            <w:webHidden/>
          </w:rPr>
          <w:fldChar w:fldCharType="separate"/>
        </w:r>
        <w:r>
          <w:rPr>
            <w:webHidden/>
            <w:rStyle w:val="IndexLink"/>
            <w:vanish w:val="false"/>
          </w:rPr>
          <w:t>Information Security Program Structure</w:t>
          <w:tab/>
          <w:t>24</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481">
        <w:r>
          <w:rPr>
            <w:webHidden/>
          </w:rPr>
          <w:fldChar w:fldCharType="begin"/>
        </w:r>
        <w:r>
          <w:rPr>
            <w:webHidden/>
          </w:rPr>
          <w:instrText>PAGEREF _Toc34920481 \h</w:instrText>
        </w:r>
        <w:r>
          <w:rPr>
            <w:webHidden/>
          </w:rPr>
          <w:fldChar w:fldCharType="separate"/>
        </w:r>
        <w:r>
          <w:rPr>
            <w:webHidden/>
            <w:rStyle w:val="IndexLink"/>
            <w:vanish w:val="false"/>
          </w:rPr>
          <w:t>Management Direction for Information Security</w:t>
          <w:tab/>
          <w:t>24</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482">
        <w:r>
          <w:rPr>
            <w:webHidden/>
          </w:rPr>
          <w:fldChar w:fldCharType="begin"/>
        </w:r>
        <w:r>
          <w:rPr>
            <w:webHidden/>
          </w:rPr>
          <w:instrText>PAGEREF _Toc34920482 \h</w:instrText>
        </w:r>
        <w:r>
          <w:rPr>
            <w:webHidden/>
          </w:rPr>
          <w:fldChar w:fldCharType="separate"/>
        </w:r>
        <w:r>
          <w:rPr>
            <w:webHidden/>
            <w:rStyle w:val="IndexLink"/>
            <w:vanish w:val="false"/>
          </w:rPr>
          <w:t>Policies, Standards, Procedures &amp; Guidelines Structure</w:t>
          <w:tab/>
          <w:t>24</w:t>
        </w:r>
        <w:r>
          <w:rPr>
            <w:webHidden/>
          </w:rPr>
          <w:fldChar w:fldCharType="end"/>
        </w:r>
      </w:hyperlink>
    </w:p>
    <w:p>
      <w:pPr>
        <w:pStyle w:val="Contents1"/>
        <w:rPr>
          <w:rFonts w:eastAsia="" w:cs="" w:cstheme="minorBidi" w:eastAsiaTheme="minorEastAsia"/>
          <w:b w:val="false"/>
          <w:b w:val="false"/>
          <w:caps w:val="false"/>
          <w:smallCaps w:val="false"/>
          <w:color w:val="auto"/>
          <w:sz w:val="22"/>
          <w:szCs w:val="22"/>
          <w:u w:val="none"/>
        </w:rPr>
      </w:pPr>
      <w:hyperlink w:anchor="_Toc34920483">
        <w:r>
          <w:rPr>
            <w:webHidden/>
          </w:rPr>
          <w:fldChar w:fldCharType="begin"/>
        </w:r>
        <w:r>
          <w:rPr>
            <w:webHidden/>
          </w:rPr>
          <w:instrText>PAGEREF _Toc34920483 \h</w:instrText>
        </w:r>
        <w:r>
          <w:rPr>
            <w:webHidden/>
          </w:rPr>
          <w:fldChar w:fldCharType="separate"/>
        </w:r>
        <w:r>
          <w:rPr>
            <w:webHidden/>
            <w:rStyle w:val="IndexLink"/>
            <w:vanish w:val="false"/>
          </w:rPr>
          <w:t>Security &amp; Privacy Governance (GOV) Policy &amp; Standards</w:t>
          <w:tab/>
          <w:t>25</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484">
        <w:r>
          <w:rPr>
            <w:webHidden/>
          </w:rPr>
          <w:fldChar w:fldCharType="begin"/>
        </w:r>
        <w:r>
          <w:rPr>
            <w:webHidden/>
          </w:rPr>
          <w:instrText>PAGEREF _Toc34920484 \h</w:instrText>
        </w:r>
        <w:r>
          <w:rPr>
            <w:webHidden/>
          </w:rPr>
          <w:fldChar w:fldCharType="separate"/>
        </w:r>
        <w:r>
          <w:rPr>
            <w:webHidden/>
            <w:rStyle w:val="IndexLink"/>
            <w:vanish w:val="false"/>
          </w:rPr>
          <w:t>GOV-01: Digital Security Governance Program</w:t>
          <w:tab/>
          <w:t>25</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485">
        <w:r>
          <w:rPr>
            <w:webHidden/>
          </w:rPr>
          <w:fldChar w:fldCharType="begin"/>
        </w:r>
        <w:r>
          <w:rPr>
            <w:webHidden/>
          </w:rPr>
          <w:instrText>PAGEREF _Toc34920485 \h</w:instrText>
        </w:r>
        <w:r>
          <w:rPr>
            <w:webHidden/>
          </w:rPr>
          <w:fldChar w:fldCharType="separate"/>
        </w:r>
        <w:r>
          <w:rPr>
            <w:webHidden/>
            <w:rStyle w:val="IndexLink"/>
            <w:vanish w:val="false"/>
          </w:rPr>
          <w:t>GOV-02: Publishing Security &amp; Privacy Policies</w:t>
          <w:tab/>
          <w:t>25</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486">
        <w:r>
          <w:rPr>
            <w:webHidden/>
          </w:rPr>
          <w:fldChar w:fldCharType="begin"/>
        </w:r>
        <w:r>
          <w:rPr>
            <w:webHidden/>
          </w:rPr>
          <w:instrText>PAGEREF _Toc34920486 \h</w:instrText>
        </w:r>
        <w:r>
          <w:rPr>
            <w:webHidden/>
          </w:rPr>
          <w:fldChar w:fldCharType="separate"/>
        </w:r>
        <w:r>
          <w:rPr>
            <w:webHidden/>
            <w:rStyle w:val="IndexLink"/>
            <w:vanish w:val="false"/>
          </w:rPr>
          <w:t>GOV-03: Periodic Review &amp; Update of Security &amp; Privacy Documentation</w:t>
          <w:tab/>
          <w:t>25</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487">
        <w:r>
          <w:rPr>
            <w:webHidden/>
          </w:rPr>
          <w:fldChar w:fldCharType="begin"/>
        </w:r>
        <w:r>
          <w:rPr>
            <w:webHidden/>
          </w:rPr>
          <w:instrText>PAGEREF _Toc34920487 \h</w:instrText>
        </w:r>
        <w:r>
          <w:rPr>
            <w:webHidden/>
          </w:rPr>
          <w:fldChar w:fldCharType="separate"/>
        </w:r>
        <w:r>
          <w:rPr>
            <w:webHidden/>
            <w:rStyle w:val="IndexLink"/>
            <w:vanish w:val="false"/>
          </w:rPr>
          <w:t>GOV-04: Assigned Security &amp; Privacy Responsibilities</w:t>
          <w:tab/>
          <w:t>26</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488">
        <w:r>
          <w:rPr>
            <w:webHidden/>
          </w:rPr>
          <w:fldChar w:fldCharType="begin"/>
        </w:r>
        <w:r>
          <w:rPr>
            <w:webHidden/>
          </w:rPr>
          <w:instrText>PAGEREF _Toc34920488 \h</w:instrText>
        </w:r>
        <w:r>
          <w:rPr>
            <w:webHidden/>
          </w:rPr>
          <w:fldChar w:fldCharType="separate"/>
        </w:r>
        <w:r>
          <w:rPr>
            <w:webHidden/>
            <w:rStyle w:val="IndexLink"/>
            <w:vanish w:val="false"/>
          </w:rPr>
          <w:t>GOV-05: Measures of Performance</w:t>
          <w:tab/>
          <w:t>26</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489">
        <w:r>
          <w:rPr>
            <w:webHidden/>
          </w:rPr>
          <w:fldChar w:fldCharType="begin"/>
        </w:r>
        <w:r>
          <w:rPr>
            <w:webHidden/>
          </w:rPr>
          <w:instrText>PAGEREF _Toc34920489 \h</w:instrText>
        </w:r>
        <w:r>
          <w:rPr>
            <w:webHidden/>
          </w:rPr>
          <w:fldChar w:fldCharType="separate"/>
        </w:r>
        <w:r>
          <w:rPr>
            <w:webHidden/>
            <w:rStyle w:val="IndexLink"/>
            <w:vanish w:val="false"/>
          </w:rPr>
          <w:t>GOV-05(a): Measures of Performance | Key Performance Indicators (KPIs)</w:t>
          <w:tab/>
          <w:t>26</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490">
        <w:r>
          <w:rPr>
            <w:webHidden/>
          </w:rPr>
          <w:fldChar w:fldCharType="begin"/>
        </w:r>
        <w:r>
          <w:rPr>
            <w:webHidden/>
          </w:rPr>
          <w:instrText>PAGEREF _Toc34920490 \h</w:instrText>
        </w:r>
        <w:r>
          <w:rPr>
            <w:webHidden/>
          </w:rPr>
          <w:fldChar w:fldCharType="separate"/>
        </w:r>
        <w:r>
          <w:rPr>
            <w:webHidden/>
            <w:rStyle w:val="IndexLink"/>
            <w:vanish w:val="false"/>
          </w:rPr>
          <w:t>GOV-05(b): Measures of Performance | Key Risk Indicators (KRIs)</w:t>
          <w:tab/>
          <w:t>26</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491">
        <w:r>
          <w:rPr>
            <w:webHidden/>
          </w:rPr>
          <w:fldChar w:fldCharType="begin"/>
        </w:r>
        <w:r>
          <w:rPr>
            <w:webHidden/>
          </w:rPr>
          <w:instrText>PAGEREF _Toc34920491 \h</w:instrText>
        </w:r>
        <w:r>
          <w:rPr>
            <w:webHidden/>
          </w:rPr>
          <w:fldChar w:fldCharType="separate"/>
        </w:r>
        <w:r>
          <w:rPr>
            <w:webHidden/>
            <w:rStyle w:val="IndexLink"/>
            <w:vanish w:val="false"/>
          </w:rPr>
          <w:t>GOV-06: Contacts With Authorities</w:t>
          <w:tab/>
          <w:t>27</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492">
        <w:r>
          <w:rPr>
            <w:webHidden/>
          </w:rPr>
          <w:fldChar w:fldCharType="begin"/>
        </w:r>
        <w:r>
          <w:rPr>
            <w:webHidden/>
          </w:rPr>
          <w:instrText>PAGEREF _Toc34920492 \h</w:instrText>
        </w:r>
        <w:r>
          <w:rPr>
            <w:webHidden/>
          </w:rPr>
          <w:fldChar w:fldCharType="separate"/>
        </w:r>
        <w:r>
          <w:rPr>
            <w:webHidden/>
            <w:rStyle w:val="IndexLink"/>
            <w:vanish w:val="false"/>
          </w:rPr>
          <w:t>GOV-07: Contacts With Security Groups &amp; Associations</w:t>
          <w:tab/>
          <w:t>27</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493">
        <w:r>
          <w:rPr>
            <w:webHidden/>
          </w:rPr>
          <w:fldChar w:fldCharType="begin"/>
        </w:r>
        <w:r>
          <w:rPr>
            <w:webHidden/>
          </w:rPr>
          <w:instrText>PAGEREF _Toc34920493 \h</w:instrText>
        </w:r>
        <w:r>
          <w:rPr>
            <w:webHidden/>
          </w:rPr>
          <w:fldChar w:fldCharType="separate"/>
        </w:r>
        <w:r>
          <w:rPr>
            <w:webHidden/>
            <w:rStyle w:val="IndexLink"/>
            <w:vanish w:val="false"/>
          </w:rPr>
          <w:t>GOV-08: Defined Business Context &amp; Mission</w:t>
          <w:tab/>
          <w:t>27</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494">
        <w:r>
          <w:rPr>
            <w:webHidden/>
          </w:rPr>
          <w:fldChar w:fldCharType="begin"/>
        </w:r>
        <w:r>
          <w:rPr>
            <w:webHidden/>
          </w:rPr>
          <w:instrText>PAGEREF _Toc34920494 \h</w:instrText>
        </w:r>
        <w:r>
          <w:rPr>
            <w:webHidden/>
          </w:rPr>
          <w:fldChar w:fldCharType="separate"/>
        </w:r>
        <w:r>
          <w:rPr>
            <w:webHidden/>
            <w:rStyle w:val="IndexLink"/>
            <w:vanish w:val="false"/>
          </w:rPr>
          <w:t>GOV-09: Defined Control Objectives</w:t>
          <w:tab/>
          <w:t>28</w:t>
        </w:r>
        <w:r>
          <w:rPr>
            <w:webHidden/>
          </w:rPr>
          <w:fldChar w:fldCharType="end"/>
        </w:r>
      </w:hyperlink>
    </w:p>
    <w:p>
      <w:pPr>
        <w:pStyle w:val="Contents1"/>
        <w:rPr>
          <w:rFonts w:eastAsia="" w:cs="" w:cstheme="minorBidi" w:eastAsiaTheme="minorEastAsia"/>
          <w:b w:val="false"/>
          <w:b w:val="false"/>
          <w:caps w:val="false"/>
          <w:smallCaps w:val="false"/>
          <w:color w:val="auto"/>
          <w:sz w:val="22"/>
          <w:szCs w:val="22"/>
          <w:u w:val="none"/>
        </w:rPr>
      </w:pPr>
      <w:hyperlink w:anchor="_Toc34920495">
        <w:r>
          <w:rPr>
            <w:webHidden/>
          </w:rPr>
          <w:fldChar w:fldCharType="begin"/>
        </w:r>
        <w:r>
          <w:rPr>
            <w:webHidden/>
          </w:rPr>
          <w:instrText>PAGEREF _Toc34920495 \h</w:instrText>
        </w:r>
        <w:r>
          <w:rPr>
            <w:webHidden/>
          </w:rPr>
          <w:fldChar w:fldCharType="separate"/>
        </w:r>
        <w:r>
          <w:rPr>
            <w:webHidden/>
            <w:rStyle w:val="IndexLink"/>
            <w:vanish w:val="false"/>
          </w:rPr>
          <w:t>Asset Management (AST) Policy &amp; Standards</w:t>
          <w:tab/>
          <w:t>29</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496">
        <w:r>
          <w:rPr>
            <w:webHidden/>
          </w:rPr>
          <w:fldChar w:fldCharType="begin"/>
        </w:r>
        <w:r>
          <w:rPr>
            <w:webHidden/>
          </w:rPr>
          <w:instrText>PAGEREF _Toc34920496 \h</w:instrText>
        </w:r>
        <w:r>
          <w:rPr>
            <w:webHidden/>
          </w:rPr>
          <w:fldChar w:fldCharType="separate"/>
        </w:r>
        <w:r>
          <w:rPr>
            <w:webHidden/>
            <w:rStyle w:val="IndexLink"/>
            <w:vanish w:val="false"/>
          </w:rPr>
          <w:t>AST-01: Asset Governance</w:t>
          <w:tab/>
          <w:t>29</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497">
        <w:r>
          <w:rPr>
            <w:webHidden/>
          </w:rPr>
          <w:fldChar w:fldCharType="begin"/>
        </w:r>
        <w:r>
          <w:rPr>
            <w:webHidden/>
          </w:rPr>
          <w:instrText>PAGEREF _Toc34920497 \h</w:instrText>
        </w:r>
        <w:r>
          <w:rPr>
            <w:webHidden/>
          </w:rPr>
          <w:fldChar w:fldCharType="separate"/>
        </w:r>
        <w:r>
          <w:rPr>
            <w:webHidden/>
            <w:rStyle w:val="IndexLink"/>
            <w:vanish w:val="false"/>
          </w:rPr>
          <w:t>AST-01(a): Asset Governance | Asset-Service Dependencies</w:t>
          <w:tab/>
          <w:t>29</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498">
        <w:r>
          <w:rPr>
            <w:webHidden/>
          </w:rPr>
          <w:fldChar w:fldCharType="begin"/>
        </w:r>
        <w:r>
          <w:rPr>
            <w:webHidden/>
          </w:rPr>
          <w:instrText>PAGEREF _Toc34920498 \h</w:instrText>
        </w:r>
        <w:r>
          <w:rPr>
            <w:webHidden/>
          </w:rPr>
          <w:fldChar w:fldCharType="separate"/>
        </w:r>
        <w:r>
          <w:rPr>
            <w:webHidden/>
            <w:rStyle w:val="IndexLink"/>
            <w:vanish w:val="false"/>
          </w:rPr>
          <w:t>AST-01(b): Asset Governance | Stakeholder Identification &amp; Involvement</w:t>
          <w:tab/>
          <w:t>29</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499">
        <w:r>
          <w:rPr>
            <w:webHidden/>
          </w:rPr>
          <w:fldChar w:fldCharType="begin"/>
        </w:r>
        <w:r>
          <w:rPr>
            <w:webHidden/>
          </w:rPr>
          <w:instrText>PAGEREF _Toc34920499 \h</w:instrText>
        </w:r>
        <w:r>
          <w:rPr>
            <w:webHidden/>
          </w:rPr>
          <w:fldChar w:fldCharType="separate"/>
        </w:r>
        <w:r>
          <w:rPr>
            <w:webHidden/>
            <w:rStyle w:val="IndexLink"/>
            <w:vanish w:val="false"/>
          </w:rPr>
          <w:t>AST-02: Asset Inventories</w:t>
          <w:tab/>
          <w:t>29</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500">
        <w:r>
          <w:rPr>
            <w:webHidden/>
          </w:rPr>
          <w:fldChar w:fldCharType="begin"/>
        </w:r>
        <w:r>
          <w:rPr>
            <w:webHidden/>
          </w:rPr>
          <w:instrText>PAGEREF _Toc34920500 \h</w:instrText>
        </w:r>
        <w:r>
          <w:rPr>
            <w:webHidden/>
          </w:rPr>
          <w:fldChar w:fldCharType="separate"/>
        </w:r>
        <w:r>
          <w:rPr>
            <w:webHidden/>
            <w:rStyle w:val="IndexLink"/>
            <w:vanish w:val="false"/>
          </w:rPr>
          <w:t>AST-02(a): Asset Inventories | Updates During Installations / Removals</w:t>
          <w:tab/>
          <w:t>30</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501">
        <w:r>
          <w:rPr>
            <w:webHidden/>
          </w:rPr>
          <w:fldChar w:fldCharType="begin"/>
        </w:r>
        <w:r>
          <w:rPr>
            <w:webHidden/>
          </w:rPr>
          <w:instrText>PAGEREF _Toc34920501 \h</w:instrText>
        </w:r>
        <w:r>
          <w:rPr>
            <w:webHidden/>
          </w:rPr>
          <w:fldChar w:fldCharType="separate"/>
        </w:r>
        <w:r>
          <w:rPr>
            <w:webHidden/>
            <w:rStyle w:val="IndexLink"/>
            <w:vanish w:val="false"/>
          </w:rPr>
          <w:t>AST-02(b): Asset Inventories | Automated Unauthorized Component Detection</w:t>
          <w:tab/>
          <w:t>30</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502">
        <w:r>
          <w:rPr>
            <w:webHidden/>
          </w:rPr>
          <w:fldChar w:fldCharType="begin"/>
        </w:r>
        <w:r>
          <w:rPr>
            <w:webHidden/>
          </w:rPr>
          <w:instrText>PAGEREF _Toc34920502 \h</w:instrText>
        </w:r>
        <w:r>
          <w:rPr>
            <w:webHidden/>
          </w:rPr>
          <w:fldChar w:fldCharType="separate"/>
        </w:r>
        <w:r>
          <w:rPr>
            <w:webHidden/>
            <w:rStyle w:val="IndexLink"/>
            <w:vanish w:val="false"/>
          </w:rPr>
          <w:t>AST-02(c): Asset Inventories | Component Duplication Avoidance</w:t>
          <w:tab/>
          <w:t>30</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503">
        <w:r>
          <w:rPr>
            <w:webHidden/>
          </w:rPr>
          <w:fldChar w:fldCharType="begin"/>
        </w:r>
        <w:r>
          <w:rPr>
            <w:webHidden/>
          </w:rPr>
          <w:instrText>PAGEREF _Toc34920503 \h</w:instrText>
        </w:r>
        <w:r>
          <w:rPr>
            <w:webHidden/>
          </w:rPr>
          <w:fldChar w:fldCharType="separate"/>
        </w:r>
        <w:r>
          <w:rPr>
            <w:webHidden/>
            <w:rStyle w:val="IndexLink"/>
            <w:vanish w:val="false"/>
          </w:rPr>
          <w:t>AST-02(d): Asset Inventories | Approved Deviations</w:t>
          <w:tab/>
          <w:t>31</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504">
        <w:r>
          <w:rPr>
            <w:webHidden/>
          </w:rPr>
          <w:fldChar w:fldCharType="begin"/>
        </w:r>
        <w:r>
          <w:rPr>
            <w:webHidden/>
          </w:rPr>
          <w:instrText>PAGEREF _Toc34920504 \h</w:instrText>
        </w:r>
        <w:r>
          <w:rPr>
            <w:webHidden/>
          </w:rPr>
          <w:fldChar w:fldCharType="separate"/>
        </w:r>
        <w:r>
          <w:rPr>
            <w:webHidden/>
            <w:rStyle w:val="IndexLink"/>
            <w:vanish w:val="false"/>
          </w:rPr>
          <w:t>AST-02(e): Asset Inventories | Network Access Control (NAC)</w:t>
          <w:tab/>
          <w:t>31</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505">
        <w:r>
          <w:rPr>
            <w:webHidden/>
          </w:rPr>
          <w:fldChar w:fldCharType="begin"/>
        </w:r>
        <w:r>
          <w:rPr>
            <w:webHidden/>
          </w:rPr>
          <w:instrText>PAGEREF _Toc34920505 \h</w:instrText>
        </w:r>
        <w:r>
          <w:rPr>
            <w:webHidden/>
          </w:rPr>
          <w:fldChar w:fldCharType="separate"/>
        </w:r>
        <w:r>
          <w:rPr>
            <w:webHidden/>
            <w:rStyle w:val="IndexLink"/>
            <w:vanish w:val="false"/>
          </w:rPr>
          <w:t>AST-02(f): Asset Inventories | Dynamic Host Configuration Protocol (DHCP) Server Logging</w:t>
          <w:tab/>
          <w:t>31</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506">
        <w:r>
          <w:rPr>
            <w:webHidden/>
          </w:rPr>
          <w:fldChar w:fldCharType="begin"/>
        </w:r>
        <w:r>
          <w:rPr>
            <w:webHidden/>
          </w:rPr>
          <w:instrText>PAGEREF _Toc34920506 \h</w:instrText>
        </w:r>
        <w:r>
          <w:rPr>
            <w:webHidden/>
          </w:rPr>
          <w:fldChar w:fldCharType="separate"/>
        </w:r>
        <w:r>
          <w:rPr>
            <w:webHidden/>
            <w:rStyle w:val="IndexLink"/>
            <w:vanish w:val="false"/>
          </w:rPr>
          <w:t>AST-02(g): Asset Inventories | Software Licensing Restrictions</w:t>
          <w:tab/>
          <w:t>31</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507">
        <w:r>
          <w:rPr>
            <w:webHidden/>
          </w:rPr>
          <w:fldChar w:fldCharType="begin"/>
        </w:r>
        <w:r>
          <w:rPr>
            <w:webHidden/>
          </w:rPr>
          <w:instrText>PAGEREF _Toc34920507 \h</w:instrText>
        </w:r>
        <w:r>
          <w:rPr>
            <w:webHidden/>
          </w:rPr>
          <w:fldChar w:fldCharType="separate"/>
        </w:r>
        <w:r>
          <w:rPr>
            <w:webHidden/>
            <w:rStyle w:val="IndexLink"/>
            <w:vanish w:val="false"/>
          </w:rPr>
          <w:t>AST-02(h): Asset Inventories | Data Action Mapping</w:t>
          <w:tab/>
          <w:t>31</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508">
        <w:r>
          <w:rPr>
            <w:webHidden/>
          </w:rPr>
          <w:fldChar w:fldCharType="begin"/>
        </w:r>
        <w:r>
          <w:rPr>
            <w:webHidden/>
          </w:rPr>
          <w:instrText>PAGEREF _Toc34920508 \h</w:instrText>
        </w:r>
        <w:r>
          <w:rPr>
            <w:webHidden/>
          </w:rPr>
          <w:fldChar w:fldCharType="separate"/>
        </w:r>
        <w:r>
          <w:rPr>
            <w:webHidden/>
            <w:rStyle w:val="IndexLink"/>
            <w:vanish w:val="false"/>
          </w:rPr>
          <w:t>AST-02(i): Asset Inventories | Configuration Management Database  (CMDB)</w:t>
          <w:tab/>
          <w:t>32</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509">
        <w:r>
          <w:rPr>
            <w:webHidden/>
          </w:rPr>
          <w:fldChar w:fldCharType="begin"/>
        </w:r>
        <w:r>
          <w:rPr>
            <w:webHidden/>
          </w:rPr>
          <w:instrText>PAGEREF _Toc34920509 \h</w:instrText>
        </w:r>
        <w:r>
          <w:rPr>
            <w:webHidden/>
          </w:rPr>
          <w:fldChar w:fldCharType="separate"/>
        </w:r>
        <w:r>
          <w:rPr>
            <w:webHidden/>
            <w:rStyle w:val="IndexLink"/>
            <w:vanish w:val="false"/>
          </w:rPr>
          <w:t>AST-03: Assigning Ownership of Assets</w:t>
          <w:tab/>
          <w:t>32</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510">
        <w:r>
          <w:rPr>
            <w:webHidden/>
          </w:rPr>
          <w:fldChar w:fldCharType="begin"/>
        </w:r>
        <w:r>
          <w:rPr>
            <w:webHidden/>
          </w:rPr>
          <w:instrText>PAGEREF _Toc34920510 \h</w:instrText>
        </w:r>
        <w:r>
          <w:rPr>
            <w:webHidden/>
          </w:rPr>
          <w:fldChar w:fldCharType="separate"/>
        </w:r>
        <w:r>
          <w:rPr>
            <w:webHidden/>
            <w:rStyle w:val="IndexLink"/>
            <w:vanish w:val="false"/>
          </w:rPr>
          <w:t>AST-03(a): Assigning Ownership of Assets | Accountability Information</w:t>
          <w:tab/>
          <w:t>32</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511">
        <w:r>
          <w:rPr>
            <w:webHidden/>
          </w:rPr>
          <w:fldChar w:fldCharType="begin"/>
        </w:r>
        <w:r>
          <w:rPr>
            <w:webHidden/>
          </w:rPr>
          <w:instrText>PAGEREF _Toc34920511 \h</w:instrText>
        </w:r>
        <w:r>
          <w:rPr>
            <w:webHidden/>
          </w:rPr>
          <w:fldChar w:fldCharType="separate"/>
        </w:r>
        <w:r>
          <w:rPr>
            <w:webHidden/>
            <w:rStyle w:val="IndexLink"/>
            <w:vanish w:val="false"/>
          </w:rPr>
          <w:t>AST-04: Network Diagrams &amp; Data Flow Diagrams (DFDs)</w:t>
          <w:tab/>
          <w:t>33</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512">
        <w:r>
          <w:rPr>
            <w:webHidden/>
          </w:rPr>
          <w:fldChar w:fldCharType="begin"/>
        </w:r>
        <w:r>
          <w:rPr>
            <w:webHidden/>
          </w:rPr>
          <w:instrText>PAGEREF _Toc34920512 \h</w:instrText>
        </w:r>
        <w:r>
          <w:rPr>
            <w:webHidden/>
          </w:rPr>
          <w:fldChar w:fldCharType="separate"/>
        </w:r>
        <w:r>
          <w:rPr>
            <w:webHidden/>
            <w:rStyle w:val="IndexLink"/>
            <w:vanish w:val="false"/>
          </w:rPr>
          <w:t>AST-05: Security of Assets &amp; Media</w:t>
          <w:tab/>
          <w:t>33</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513">
        <w:r>
          <w:rPr>
            <w:webHidden/>
          </w:rPr>
          <w:fldChar w:fldCharType="begin"/>
        </w:r>
        <w:r>
          <w:rPr>
            <w:webHidden/>
          </w:rPr>
          <w:instrText>PAGEREF _Toc34920513 \h</w:instrText>
        </w:r>
        <w:r>
          <w:rPr>
            <w:webHidden/>
          </w:rPr>
          <w:fldChar w:fldCharType="separate"/>
        </w:r>
        <w:r>
          <w:rPr>
            <w:webHidden/>
            <w:rStyle w:val="IndexLink"/>
            <w:vanish w:val="false"/>
          </w:rPr>
          <w:t>AST-06: Unattended End-User Equipment</w:t>
          <w:tab/>
          <w:t>33</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514">
        <w:r>
          <w:rPr>
            <w:webHidden/>
          </w:rPr>
          <w:fldChar w:fldCharType="begin"/>
        </w:r>
        <w:r>
          <w:rPr>
            <w:webHidden/>
          </w:rPr>
          <w:instrText>PAGEREF _Toc34920514 \h</w:instrText>
        </w:r>
        <w:r>
          <w:rPr>
            <w:webHidden/>
          </w:rPr>
          <w:fldChar w:fldCharType="separate"/>
        </w:r>
        <w:r>
          <w:rPr>
            <w:webHidden/>
            <w:rStyle w:val="IndexLink"/>
            <w:vanish w:val="false"/>
          </w:rPr>
          <w:t>AST-06(a): Unattended End-User Equipment | Asset Storage In Automobiles</w:t>
          <w:tab/>
          <w:t>33</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515">
        <w:r>
          <w:rPr>
            <w:webHidden/>
          </w:rPr>
          <w:fldChar w:fldCharType="begin"/>
        </w:r>
        <w:r>
          <w:rPr>
            <w:webHidden/>
          </w:rPr>
          <w:instrText>PAGEREF _Toc34920515 \h</w:instrText>
        </w:r>
        <w:r>
          <w:rPr>
            <w:webHidden/>
          </w:rPr>
          <w:fldChar w:fldCharType="separate"/>
        </w:r>
        <w:r>
          <w:rPr>
            <w:webHidden/>
            <w:rStyle w:val="IndexLink"/>
            <w:vanish w:val="false"/>
          </w:rPr>
          <w:t>AST-07: Kiosks &amp; Point of Sale (PoS) Devices</w:t>
          <w:tab/>
          <w:t>34</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516">
        <w:r>
          <w:rPr>
            <w:webHidden/>
          </w:rPr>
          <w:fldChar w:fldCharType="begin"/>
        </w:r>
        <w:r>
          <w:rPr>
            <w:webHidden/>
          </w:rPr>
          <w:instrText>PAGEREF _Toc34920516 \h</w:instrText>
        </w:r>
        <w:r>
          <w:rPr>
            <w:webHidden/>
          </w:rPr>
          <w:fldChar w:fldCharType="separate"/>
        </w:r>
        <w:r>
          <w:rPr>
            <w:webHidden/>
            <w:rStyle w:val="IndexLink"/>
            <w:vanish w:val="false"/>
          </w:rPr>
          <w:t>AST-08: Tamper Protection &amp; Detection</w:t>
          <w:tab/>
          <w:t>34</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517">
        <w:r>
          <w:rPr>
            <w:webHidden/>
          </w:rPr>
          <w:fldChar w:fldCharType="begin"/>
        </w:r>
        <w:r>
          <w:rPr>
            <w:webHidden/>
          </w:rPr>
          <w:instrText>PAGEREF _Toc34920517 \h</w:instrText>
        </w:r>
        <w:r>
          <w:rPr>
            <w:webHidden/>
          </w:rPr>
          <w:fldChar w:fldCharType="separate"/>
        </w:r>
        <w:r>
          <w:rPr>
            <w:webHidden/>
            <w:rStyle w:val="IndexLink"/>
            <w:vanish w:val="false"/>
          </w:rPr>
          <w:t>AST-09: Secure Disposal or Re-Use of Equipment</w:t>
          <w:tab/>
          <w:t>35</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518">
        <w:r>
          <w:rPr>
            <w:webHidden/>
          </w:rPr>
          <w:fldChar w:fldCharType="begin"/>
        </w:r>
        <w:r>
          <w:rPr>
            <w:webHidden/>
          </w:rPr>
          <w:instrText>PAGEREF _Toc34920518 \h</w:instrText>
        </w:r>
        <w:r>
          <w:rPr>
            <w:webHidden/>
          </w:rPr>
          <w:fldChar w:fldCharType="separate"/>
        </w:r>
        <w:r>
          <w:rPr>
            <w:webHidden/>
            <w:rStyle w:val="IndexLink"/>
            <w:vanish w:val="false"/>
          </w:rPr>
          <w:t>AST-10: Return of Assets</w:t>
          <w:tab/>
          <w:t>35</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519">
        <w:r>
          <w:rPr>
            <w:webHidden/>
          </w:rPr>
          <w:fldChar w:fldCharType="begin"/>
        </w:r>
        <w:r>
          <w:rPr>
            <w:webHidden/>
          </w:rPr>
          <w:instrText>PAGEREF _Toc34920519 \h</w:instrText>
        </w:r>
        <w:r>
          <w:rPr>
            <w:webHidden/>
          </w:rPr>
          <w:fldChar w:fldCharType="separate"/>
        </w:r>
        <w:r>
          <w:rPr>
            <w:webHidden/>
            <w:rStyle w:val="IndexLink"/>
            <w:vanish w:val="false"/>
          </w:rPr>
          <w:t>AST-11: Removal of Assets</w:t>
          <w:tab/>
          <w:t>35</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520">
        <w:r>
          <w:rPr>
            <w:webHidden/>
          </w:rPr>
          <w:fldChar w:fldCharType="begin"/>
        </w:r>
        <w:r>
          <w:rPr>
            <w:webHidden/>
          </w:rPr>
          <w:instrText>PAGEREF _Toc34920520 \h</w:instrText>
        </w:r>
        <w:r>
          <w:rPr>
            <w:webHidden/>
          </w:rPr>
          <w:fldChar w:fldCharType="separate"/>
        </w:r>
        <w:r>
          <w:rPr>
            <w:webHidden/>
            <w:rStyle w:val="IndexLink"/>
            <w:vanish w:val="false"/>
          </w:rPr>
          <w:t>AST-12: Use of Personal Devices</w:t>
          <w:tab/>
          <w:t>35</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521">
        <w:r>
          <w:rPr>
            <w:webHidden/>
          </w:rPr>
          <w:fldChar w:fldCharType="begin"/>
        </w:r>
        <w:r>
          <w:rPr>
            <w:webHidden/>
          </w:rPr>
          <w:instrText>PAGEREF _Toc34920521 \h</w:instrText>
        </w:r>
        <w:r>
          <w:rPr>
            <w:webHidden/>
          </w:rPr>
          <w:fldChar w:fldCharType="separate"/>
        </w:r>
        <w:r>
          <w:rPr>
            <w:webHidden/>
            <w:rStyle w:val="IndexLink"/>
            <w:vanish w:val="false"/>
          </w:rPr>
          <w:t>AST-13: Use of Third-Party Devices</w:t>
          <w:tab/>
          <w:t>36</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522">
        <w:r>
          <w:rPr>
            <w:webHidden/>
          </w:rPr>
          <w:fldChar w:fldCharType="begin"/>
        </w:r>
        <w:r>
          <w:rPr>
            <w:webHidden/>
          </w:rPr>
          <w:instrText>PAGEREF _Toc34920522 \h</w:instrText>
        </w:r>
        <w:r>
          <w:rPr>
            <w:webHidden/>
          </w:rPr>
          <w:fldChar w:fldCharType="separate"/>
        </w:r>
        <w:r>
          <w:rPr>
            <w:webHidden/>
            <w:rStyle w:val="IndexLink"/>
            <w:vanish w:val="false"/>
          </w:rPr>
          <w:t>AST-14: Usage Parameters</w:t>
          <w:tab/>
          <w:t>36</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523">
        <w:r>
          <w:rPr>
            <w:webHidden/>
          </w:rPr>
          <w:fldChar w:fldCharType="begin"/>
        </w:r>
        <w:r>
          <w:rPr>
            <w:webHidden/>
          </w:rPr>
          <w:instrText>PAGEREF _Toc34920523 \h</w:instrText>
        </w:r>
        <w:r>
          <w:rPr>
            <w:webHidden/>
          </w:rPr>
          <w:fldChar w:fldCharType="separate"/>
        </w:r>
        <w:r>
          <w:rPr>
            <w:webHidden/>
            <w:rStyle w:val="IndexLink"/>
            <w:vanish w:val="false"/>
          </w:rPr>
          <w:t>AST-15: Tamper Protection</w:t>
          <w:tab/>
          <w:t>36</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524">
        <w:r>
          <w:rPr>
            <w:webHidden/>
          </w:rPr>
          <w:fldChar w:fldCharType="begin"/>
        </w:r>
        <w:r>
          <w:rPr>
            <w:webHidden/>
          </w:rPr>
          <w:instrText>PAGEREF _Toc34920524 \h</w:instrText>
        </w:r>
        <w:r>
          <w:rPr>
            <w:webHidden/>
          </w:rPr>
          <w:fldChar w:fldCharType="separate"/>
        </w:r>
        <w:r>
          <w:rPr>
            <w:webHidden/>
            <w:rStyle w:val="IndexLink"/>
            <w:vanish w:val="false"/>
          </w:rPr>
          <w:t>AST-15(a): Tamper Protection | Inspection of Systems, Components &amp; Devices</w:t>
          <w:tab/>
          <w:t>37</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525">
        <w:r>
          <w:rPr>
            <w:webHidden/>
          </w:rPr>
          <w:fldChar w:fldCharType="begin"/>
        </w:r>
        <w:r>
          <w:rPr>
            <w:webHidden/>
          </w:rPr>
          <w:instrText>PAGEREF _Toc34920525 \h</w:instrText>
        </w:r>
        <w:r>
          <w:rPr>
            <w:webHidden/>
          </w:rPr>
          <w:fldChar w:fldCharType="separate"/>
        </w:r>
        <w:r>
          <w:rPr>
            <w:webHidden/>
            <w:rStyle w:val="IndexLink"/>
            <w:vanish w:val="false"/>
          </w:rPr>
          <w:t>AST-16: Bring Your Own Device (BYOD) Usage</w:t>
          <w:tab/>
          <w:t>37</w:t>
        </w:r>
        <w:r>
          <w:rPr>
            <w:webHidden/>
          </w:rPr>
          <w:fldChar w:fldCharType="end"/>
        </w:r>
      </w:hyperlink>
    </w:p>
    <w:p>
      <w:pPr>
        <w:pStyle w:val="Contents1"/>
        <w:rPr>
          <w:rFonts w:eastAsia="" w:cs="" w:cstheme="minorBidi" w:eastAsiaTheme="minorEastAsia"/>
          <w:b w:val="false"/>
          <w:b w:val="false"/>
          <w:caps w:val="false"/>
          <w:smallCaps w:val="false"/>
          <w:color w:val="auto"/>
          <w:sz w:val="22"/>
          <w:szCs w:val="22"/>
          <w:u w:val="none"/>
        </w:rPr>
      </w:pPr>
      <w:hyperlink w:anchor="_Toc34920526">
        <w:r>
          <w:rPr>
            <w:webHidden/>
          </w:rPr>
          <w:fldChar w:fldCharType="begin"/>
        </w:r>
        <w:r>
          <w:rPr>
            <w:webHidden/>
          </w:rPr>
          <w:instrText>PAGEREF _Toc34920526 \h</w:instrText>
        </w:r>
        <w:r>
          <w:rPr>
            <w:webHidden/>
          </w:rPr>
          <w:fldChar w:fldCharType="separate"/>
        </w:r>
        <w:r>
          <w:rPr>
            <w:webHidden/>
            <w:rStyle w:val="IndexLink"/>
            <w:vanish w:val="false"/>
          </w:rPr>
          <w:t>Business Continuity &amp; Disaster Recovery (BCD) Policy &amp; Standards</w:t>
          <w:tab/>
          <w:t>38</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527">
        <w:r>
          <w:rPr>
            <w:webHidden/>
          </w:rPr>
          <w:fldChar w:fldCharType="begin"/>
        </w:r>
        <w:r>
          <w:rPr>
            <w:webHidden/>
          </w:rPr>
          <w:instrText>PAGEREF _Toc34920527 \h</w:instrText>
        </w:r>
        <w:r>
          <w:rPr>
            <w:webHidden/>
          </w:rPr>
          <w:fldChar w:fldCharType="separate"/>
        </w:r>
        <w:r>
          <w:rPr>
            <w:webHidden/>
            <w:rStyle w:val="IndexLink"/>
            <w:vanish w:val="false"/>
          </w:rPr>
          <w:t>BCD-01: Business Continuity Management System (BCMS)</w:t>
          <w:tab/>
          <w:t>38</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528">
        <w:r>
          <w:rPr>
            <w:webHidden/>
          </w:rPr>
          <w:fldChar w:fldCharType="begin"/>
        </w:r>
        <w:r>
          <w:rPr>
            <w:webHidden/>
          </w:rPr>
          <w:instrText>PAGEREF _Toc34920528 \h</w:instrText>
        </w:r>
        <w:r>
          <w:rPr>
            <w:webHidden/>
          </w:rPr>
          <w:fldChar w:fldCharType="separate"/>
        </w:r>
        <w:r>
          <w:rPr>
            <w:webHidden/>
            <w:rStyle w:val="IndexLink"/>
            <w:vanish w:val="false"/>
          </w:rPr>
          <w:t>BCD-01(a): Business Continuity Management System (BCMS) | Coordinate with Related Plans</w:t>
          <w:tab/>
          <w:t>38</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529">
        <w:r>
          <w:rPr>
            <w:webHidden/>
          </w:rPr>
          <w:fldChar w:fldCharType="begin"/>
        </w:r>
        <w:r>
          <w:rPr>
            <w:webHidden/>
          </w:rPr>
          <w:instrText>PAGEREF _Toc34920529 \h</w:instrText>
        </w:r>
        <w:r>
          <w:rPr>
            <w:webHidden/>
          </w:rPr>
          <w:fldChar w:fldCharType="separate"/>
        </w:r>
        <w:r>
          <w:rPr>
            <w:webHidden/>
            <w:rStyle w:val="IndexLink"/>
            <w:vanish w:val="false"/>
          </w:rPr>
          <w:t>BCD-01(b): Business Continuity Management System (BCMS) | Coordinate With External Service Providers</w:t>
          <w:tab/>
          <w:t>39</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530">
        <w:r>
          <w:rPr>
            <w:webHidden/>
          </w:rPr>
          <w:fldChar w:fldCharType="begin"/>
        </w:r>
        <w:r>
          <w:rPr>
            <w:webHidden/>
          </w:rPr>
          <w:instrText>PAGEREF _Toc34920530 \h</w:instrText>
        </w:r>
        <w:r>
          <w:rPr>
            <w:webHidden/>
          </w:rPr>
          <w:fldChar w:fldCharType="separate"/>
        </w:r>
        <w:r>
          <w:rPr>
            <w:webHidden/>
            <w:rStyle w:val="IndexLink"/>
            <w:vanish w:val="false"/>
          </w:rPr>
          <w:t>BCD-01(c): Business Continuity Management System (BCMS) | Transfer To Alternate Processing / Storage Site</w:t>
          <w:tab/>
          <w:t>39</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531">
        <w:r>
          <w:rPr>
            <w:webHidden/>
          </w:rPr>
          <w:fldChar w:fldCharType="begin"/>
        </w:r>
        <w:r>
          <w:rPr>
            <w:webHidden/>
          </w:rPr>
          <w:instrText>PAGEREF _Toc34920531 \h</w:instrText>
        </w:r>
        <w:r>
          <w:rPr>
            <w:webHidden/>
          </w:rPr>
          <w:fldChar w:fldCharType="separate"/>
        </w:r>
        <w:r>
          <w:rPr>
            <w:webHidden/>
            <w:rStyle w:val="IndexLink"/>
            <w:vanish w:val="false"/>
          </w:rPr>
          <w:t>BCD-01(d): Business Continuity Management System (BCMS) | Recovery Time / Point Objectives</w:t>
          <w:tab/>
          <w:t>39</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532">
        <w:r>
          <w:rPr>
            <w:webHidden/>
          </w:rPr>
          <w:fldChar w:fldCharType="begin"/>
        </w:r>
        <w:r>
          <w:rPr>
            <w:webHidden/>
          </w:rPr>
          <w:instrText>PAGEREF _Toc34920532 \h</w:instrText>
        </w:r>
        <w:r>
          <w:rPr>
            <w:webHidden/>
          </w:rPr>
          <w:fldChar w:fldCharType="separate"/>
        </w:r>
        <w:r>
          <w:rPr>
            <w:webHidden/>
            <w:rStyle w:val="IndexLink"/>
            <w:vanish w:val="false"/>
          </w:rPr>
          <w:t>BCD-02: Identify Critical Assets</w:t>
          <w:tab/>
          <w:t>40</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533">
        <w:r>
          <w:rPr>
            <w:webHidden/>
          </w:rPr>
          <w:fldChar w:fldCharType="begin"/>
        </w:r>
        <w:r>
          <w:rPr>
            <w:webHidden/>
          </w:rPr>
          <w:instrText>PAGEREF _Toc34920533 \h</w:instrText>
        </w:r>
        <w:r>
          <w:rPr>
            <w:webHidden/>
          </w:rPr>
          <w:fldChar w:fldCharType="separate"/>
        </w:r>
        <w:r>
          <w:rPr>
            <w:webHidden/>
            <w:rStyle w:val="IndexLink"/>
            <w:vanish w:val="false"/>
          </w:rPr>
          <w:t>BCD-02(a): Identify Critical Assets | Resume All Missions &amp; Business Functions</w:t>
          <w:tab/>
          <w:t>40</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534">
        <w:r>
          <w:rPr>
            <w:webHidden/>
          </w:rPr>
          <w:fldChar w:fldCharType="begin"/>
        </w:r>
        <w:r>
          <w:rPr>
            <w:webHidden/>
          </w:rPr>
          <w:instrText>PAGEREF _Toc34920534 \h</w:instrText>
        </w:r>
        <w:r>
          <w:rPr>
            <w:webHidden/>
          </w:rPr>
          <w:fldChar w:fldCharType="separate"/>
        </w:r>
        <w:r>
          <w:rPr>
            <w:webHidden/>
            <w:rStyle w:val="IndexLink"/>
            <w:vanish w:val="false"/>
          </w:rPr>
          <w:t>BCD-02(b): Identify Critical Assets | Continue Essential Mission &amp; Business Functions</w:t>
          <w:tab/>
          <w:t>40</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535">
        <w:r>
          <w:rPr>
            <w:webHidden/>
          </w:rPr>
          <w:fldChar w:fldCharType="begin"/>
        </w:r>
        <w:r>
          <w:rPr>
            <w:webHidden/>
          </w:rPr>
          <w:instrText>PAGEREF _Toc34920535 \h</w:instrText>
        </w:r>
        <w:r>
          <w:rPr>
            <w:webHidden/>
          </w:rPr>
          <w:fldChar w:fldCharType="separate"/>
        </w:r>
        <w:r>
          <w:rPr>
            <w:webHidden/>
            <w:rStyle w:val="IndexLink"/>
            <w:vanish w:val="false"/>
          </w:rPr>
          <w:t>BCD-02(c): Identify Critical Assets | Resume Essential Mission &amp; Business Functions</w:t>
          <w:tab/>
          <w:t>41</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536">
        <w:r>
          <w:rPr>
            <w:webHidden/>
          </w:rPr>
          <w:fldChar w:fldCharType="begin"/>
        </w:r>
        <w:r>
          <w:rPr>
            <w:webHidden/>
          </w:rPr>
          <w:instrText>PAGEREF _Toc34920536 \h</w:instrText>
        </w:r>
        <w:r>
          <w:rPr>
            <w:webHidden/>
          </w:rPr>
          <w:fldChar w:fldCharType="separate"/>
        </w:r>
        <w:r>
          <w:rPr>
            <w:webHidden/>
            <w:rStyle w:val="IndexLink"/>
            <w:vanish w:val="false"/>
          </w:rPr>
          <w:t>BCD-03: Contingency Training</w:t>
          <w:tab/>
          <w:t>41</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537">
        <w:r>
          <w:rPr>
            <w:webHidden/>
          </w:rPr>
          <w:fldChar w:fldCharType="begin"/>
        </w:r>
        <w:r>
          <w:rPr>
            <w:webHidden/>
          </w:rPr>
          <w:instrText>PAGEREF _Toc34920537 \h</w:instrText>
        </w:r>
        <w:r>
          <w:rPr>
            <w:webHidden/>
          </w:rPr>
          <w:fldChar w:fldCharType="separate"/>
        </w:r>
        <w:r>
          <w:rPr>
            <w:webHidden/>
            <w:rStyle w:val="IndexLink"/>
            <w:vanish w:val="false"/>
          </w:rPr>
          <w:t>BCD-03(a): Contingency Training | Simulated Events</w:t>
          <w:tab/>
          <w:t>41</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538">
        <w:r>
          <w:rPr>
            <w:webHidden/>
          </w:rPr>
          <w:fldChar w:fldCharType="begin"/>
        </w:r>
        <w:r>
          <w:rPr>
            <w:webHidden/>
          </w:rPr>
          <w:instrText>PAGEREF _Toc34920538 \h</w:instrText>
        </w:r>
        <w:r>
          <w:rPr>
            <w:webHidden/>
          </w:rPr>
          <w:fldChar w:fldCharType="separate"/>
        </w:r>
        <w:r>
          <w:rPr>
            <w:webHidden/>
            <w:rStyle w:val="IndexLink"/>
            <w:vanish w:val="false"/>
          </w:rPr>
          <w:t>BCD-03(b): Contingency Training | Automated Training Environments</w:t>
          <w:tab/>
          <w:t>41</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539">
        <w:r>
          <w:rPr>
            <w:webHidden/>
          </w:rPr>
          <w:fldChar w:fldCharType="begin"/>
        </w:r>
        <w:r>
          <w:rPr>
            <w:webHidden/>
          </w:rPr>
          <w:instrText>PAGEREF _Toc34920539 \h</w:instrText>
        </w:r>
        <w:r>
          <w:rPr>
            <w:webHidden/>
          </w:rPr>
          <w:fldChar w:fldCharType="separate"/>
        </w:r>
        <w:r>
          <w:rPr>
            <w:webHidden/>
            <w:rStyle w:val="IndexLink"/>
            <w:vanish w:val="false"/>
          </w:rPr>
          <w:t>BCD-04: Contingency Plan Testing &amp; Exercises</w:t>
          <w:tab/>
          <w:t>41</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540">
        <w:r>
          <w:rPr>
            <w:webHidden/>
          </w:rPr>
          <w:fldChar w:fldCharType="begin"/>
        </w:r>
        <w:r>
          <w:rPr>
            <w:webHidden/>
          </w:rPr>
          <w:instrText>PAGEREF _Toc34920540 \h</w:instrText>
        </w:r>
        <w:r>
          <w:rPr>
            <w:webHidden/>
          </w:rPr>
          <w:fldChar w:fldCharType="separate"/>
        </w:r>
        <w:r>
          <w:rPr>
            <w:webHidden/>
            <w:rStyle w:val="IndexLink"/>
            <w:vanish w:val="false"/>
          </w:rPr>
          <w:t>BCD-04(a): Contingency Plan Testing &amp; Exercises | Coordinated Testing with Related Plans</w:t>
          <w:tab/>
          <w:t>42</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541">
        <w:r>
          <w:rPr>
            <w:webHidden/>
          </w:rPr>
          <w:fldChar w:fldCharType="begin"/>
        </w:r>
        <w:r>
          <w:rPr>
            <w:webHidden/>
          </w:rPr>
          <w:instrText>PAGEREF _Toc34920541 \h</w:instrText>
        </w:r>
        <w:r>
          <w:rPr>
            <w:webHidden/>
          </w:rPr>
          <w:fldChar w:fldCharType="separate"/>
        </w:r>
        <w:r>
          <w:rPr>
            <w:webHidden/>
            <w:rStyle w:val="IndexLink"/>
            <w:vanish w:val="false"/>
          </w:rPr>
          <w:t>BCD-04(b): Contingency Plan Testing &amp; Exercises | Alternate Storage &amp; Processing Sites</w:t>
          <w:tab/>
          <w:t>42</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542">
        <w:r>
          <w:rPr>
            <w:webHidden/>
          </w:rPr>
          <w:fldChar w:fldCharType="begin"/>
        </w:r>
        <w:r>
          <w:rPr>
            <w:webHidden/>
          </w:rPr>
          <w:instrText>PAGEREF _Toc34920542 \h</w:instrText>
        </w:r>
        <w:r>
          <w:rPr>
            <w:webHidden/>
          </w:rPr>
          <w:fldChar w:fldCharType="separate"/>
        </w:r>
        <w:r>
          <w:rPr>
            <w:webHidden/>
            <w:rStyle w:val="IndexLink"/>
            <w:vanish w:val="false"/>
          </w:rPr>
          <w:t>BCD-05: Contingency Plan Root Cause Analysis (RCA) &amp; Lessons Learned</w:t>
          <w:tab/>
          <w:t>42</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543">
        <w:r>
          <w:rPr>
            <w:webHidden/>
          </w:rPr>
          <w:fldChar w:fldCharType="begin"/>
        </w:r>
        <w:r>
          <w:rPr>
            <w:webHidden/>
          </w:rPr>
          <w:instrText>PAGEREF _Toc34920543 \h</w:instrText>
        </w:r>
        <w:r>
          <w:rPr>
            <w:webHidden/>
          </w:rPr>
          <w:fldChar w:fldCharType="separate"/>
        </w:r>
        <w:r>
          <w:rPr>
            <w:webHidden/>
            <w:rStyle w:val="IndexLink"/>
            <w:vanish w:val="false"/>
          </w:rPr>
          <w:t>BCD-06: Contingency Planning &amp; Updates</w:t>
          <w:tab/>
          <w:t>42</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544">
        <w:r>
          <w:rPr>
            <w:webHidden/>
          </w:rPr>
          <w:fldChar w:fldCharType="begin"/>
        </w:r>
        <w:r>
          <w:rPr>
            <w:webHidden/>
          </w:rPr>
          <w:instrText>PAGEREF _Toc34920544 \h</w:instrText>
        </w:r>
        <w:r>
          <w:rPr>
            <w:webHidden/>
          </w:rPr>
          <w:fldChar w:fldCharType="separate"/>
        </w:r>
        <w:r>
          <w:rPr>
            <w:webHidden/>
            <w:rStyle w:val="IndexLink"/>
            <w:vanish w:val="false"/>
          </w:rPr>
          <w:t>BCD-07: Alternative Security Measures</w:t>
          <w:tab/>
          <w:t>43</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545">
        <w:r>
          <w:rPr>
            <w:webHidden/>
          </w:rPr>
          <w:fldChar w:fldCharType="begin"/>
        </w:r>
        <w:r>
          <w:rPr>
            <w:webHidden/>
          </w:rPr>
          <w:instrText>PAGEREF _Toc34920545 \h</w:instrText>
        </w:r>
        <w:r>
          <w:rPr>
            <w:webHidden/>
          </w:rPr>
          <w:fldChar w:fldCharType="separate"/>
        </w:r>
        <w:r>
          <w:rPr>
            <w:webHidden/>
            <w:rStyle w:val="IndexLink"/>
            <w:vanish w:val="false"/>
          </w:rPr>
          <w:t>BCD-08: Alternate Storage Site</w:t>
          <w:tab/>
          <w:t>43</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546">
        <w:r>
          <w:rPr>
            <w:webHidden/>
          </w:rPr>
          <w:fldChar w:fldCharType="begin"/>
        </w:r>
        <w:r>
          <w:rPr>
            <w:webHidden/>
          </w:rPr>
          <w:instrText>PAGEREF _Toc34920546 \h</w:instrText>
        </w:r>
        <w:r>
          <w:rPr>
            <w:webHidden/>
          </w:rPr>
          <w:fldChar w:fldCharType="separate"/>
        </w:r>
        <w:r>
          <w:rPr>
            <w:webHidden/>
            <w:rStyle w:val="IndexLink"/>
            <w:vanish w:val="false"/>
          </w:rPr>
          <w:t>BCD-08(a): Alternate Storage Site | Separation from Primary Site</w:t>
          <w:tab/>
          <w:t>43</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547">
        <w:r>
          <w:rPr>
            <w:webHidden/>
          </w:rPr>
          <w:fldChar w:fldCharType="begin"/>
        </w:r>
        <w:r>
          <w:rPr>
            <w:webHidden/>
          </w:rPr>
          <w:instrText>PAGEREF _Toc34920547 \h</w:instrText>
        </w:r>
        <w:r>
          <w:rPr>
            <w:webHidden/>
          </w:rPr>
          <w:fldChar w:fldCharType="separate"/>
        </w:r>
        <w:r>
          <w:rPr>
            <w:webHidden/>
            <w:rStyle w:val="IndexLink"/>
            <w:vanish w:val="false"/>
          </w:rPr>
          <w:t>BCD-08(b): Alternate Storage Site | Accessibility</w:t>
          <w:tab/>
          <w:t>43</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548">
        <w:r>
          <w:rPr>
            <w:webHidden/>
          </w:rPr>
          <w:fldChar w:fldCharType="begin"/>
        </w:r>
        <w:r>
          <w:rPr>
            <w:webHidden/>
          </w:rPr>
          <w:instrText>PAGEREF _Toc34920548 \h</w:instrText>
        </w:r>
        <w:r>
          <w:rPr>
            <w:webHidden/>
          </w:rPr>
          <w:fldChar w:fldCharType="separate"/>
        </w:r>
        <w:r>
          <w:rPr>
            <w:webHidden/>
            <w:rStyle w:val="IndexLink"/>
            <w:vanish w:val="false"/>
          </w:rPr>
          <w:t>BCD-09: Alternate Processing Site</w:t>
          <w:tab/>
          <w:t>44</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549">
        <w:r>
          <w:rPr>
            <w:webHidden/>
          </w:rPr>
          <w:fldChar w:fldCharType="begin"/>
        </w:r>
        <w:r>
          <w:rPr>
            <w:webHidden/>
          </w:rPr>
          <w:instrText>PAGEREF _Toc34920549 \h</w:instrText>
        </w:r>
        <w:r>
          <w:rPr>
            <w:webHidden/>
          </w:rPr>
          <w:fldChar w:fldCharType="separate"/>
        </w:r>
        <w:r>
          <w:rPr>
            <w:webHidden/>
            <w:rStyle w:val="IndexLink"/>
            <w:vanish w:val="false"/>
          </w:rPr>
          <w:t>BCD-09(a): Alternate Processing Site | Separation from Primary Site</w:t>
          <w:tab/>
          <w:t>44</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550">
        <w:r>
          <w:rPr>
            <w:webHidden/>
          </w:rPr>
          <w:fldChar w:fldCharType="begin"/>
        </w:r>
        <w:r>
          <w:rPr>
            <w:webHidden/>
          </w:rPr>
          <w:instrText>PAGEREF _Toc34920550 \h</w:instrText>
        </w:r>
        <w:r>
          <w:rPr>
            <w:webHidden/>
          </w:rPr>
          <w:fldChar w:fldCharType="separate"/>
        </w:r>
        <w:r>
          <w:rPr>
            <w:webHidden/>
            <w:rStyle w:val="IndexLink"/>
            <w:vanish w:val="false"/>
          </w:rPr>
          <w:t>BCD-09(b): Alternate Processing Site | Accessibility</w:t>
          <w:tab/>
          <w:t>44</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551">
        <w:r>
          <w:rPr>
            <w:webHidden/>
          </w:rPr>
          <w:fldChar w:fldCharType="begin"/>
        </w:r>
        <w:r>
          <w:rPr>
            <w:webHidden/>
          </w:rPr>
          <w:instrText>PAGEREF _Toc34920551 \h</w:instrText>
        </w:r>
        <w:r>
          <w:rPr>
            <w:webHidden/>
          </w:rPr>
          <w:fldChar w:fldCharType="separate"/>
        </w:r>
        <w:r>
          <w:rPr>
            <w:webHidden/>
            <w:rStyle w:val="IndexLink"/>
            <w:vanish w:val="false"/>
          </w:rPr>
          <w:t>BCD-09(c): Alternate Processing Site | Priority of Service</w:t>
          <w:tab/>
          <w:t>44</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552">
        <w:r>
          <w:rPr>
            <w:webHidden/>
          </w:rPr>
          <w:fldChar w:fldCharType="begin"/>
        </w:r>
        <w:r>
          <w:rPr>
            <w:webHidden/>
          </w:rPr>
          <w:instrText>PAGEREF _Toc34920552 \h</w:instrText>
        </w:r>
        <w:r>
          <w:rPr>
            <w:webHidden/>
          </w:rPr>
          <w:fldChar w:fldCharType="separate"/>
        </w:r>
        <w:r>
          <w:rPr>
            <w:webHidden/>
            <w:rStyle w:val="IndexLink"/>
            <w:vanish w:val="false"/>
          </w:rPr>
          <w:t>BCD-09(d): Alternate Processing Site | Preparation for Use</w:t>
          <w:tab/>
          <w:t>45</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553">
        <w:r>
          <w:rPr>
            <w:webHidden/>
          </w:rPr>
          <w:fldChar w:fldCharType="begin"/>
        </w:r>
        <w:r>
          <w:rPr>
            <w:webHidden/>
          </w:rPr>
          <w:instrText>PAGEREF _Toc34920553 \h</w:instrText>
        </w:r>
        <w:r>
          <w:rPr>
            <w:webHidden/>
          </w:rPr>
          <w:fldChar w:fldCharType="separate"/>
        </w:r>
        <w:r>
          <w:rPr>
            <w:webHidden/>
            <w:rStyle w:val="IndexLink"/>
            <w:vanish w:val="false"/>
          </w:rPr>
          <w:t>BCD-09(e): Alternate Processing Site | Inability to Return to Primary Site</w:t>
          <w:tab/>
          <w:t>45</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554">
        <w:r>
          <w:rPr>
            <w:webHidden/>
          </w:rPr>
          <w:fldChar w:fldCharType="begin"/>
        </w:r>
        <w:r>
          <w:rPr>
            <w:webHidden/>
          </w:rPr>
          <w:instrText>PAGEREF _Toc34920554 \h</w:instrText>
        </w:r>
        <w:r>
          <w:rPr>
            <w:webHidden/>
          </w:rPr>
          <w:fldChar w:fldCharType="separate"/>
        </w:r>
        <w:r>
          <w:rPr>
            <w:webHidden/>
            <w:rStyle w:val="IndexLink"/>
            <w:vanish w:val="false"/>
          </w:rPr>
          <w:t>BCD-10: Telecommunications Services Availability</w:t>
          <w:tab/>
          <w:t>45</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555">
        <w:r>
          <w:rPr>
            <w:webHidden/>
          </w:rPr>
          <w:fldChar w:fldCharType="begin"/>
        </w:r>
        <w:r>
          <w:rPr>
            <w:webHidden/>
          </w:rPr>
          <w:instrText>PAGEREF _Toc34920555 \h</w:instrText>
        </w:r>
        <w:r>
          <w:rPr>
            <w:webHidden/>
          </w:rPr>
          <w:fldChar w:fldCharType="separate"/>
        </w:r>
        <w:r>
          <w:rPr>
            <w:webHidden/>
            <w:rStyle w:val="IndexLink"/>
            <w:vanish w:val="false"/>
          </w:rPr>
          <w:t>BCD-10(a): Telecommunications Services Availability | Priority of Service Provisions</w:t>
          <w:tab/>
          <w:t>45</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556">
        <w:r>
          <w:rPr>
            <w:webHidden/>
          </w:rPr>
          <w:fldChar w:fldCharType="begin"/>
        </w:r>
        <w:r>
          <w:rPr>
            <w:webHidden/>
          </w:rPr>
          <w:instrText>PAGEREF _Toc34920556 \h</w:instrText>
        </w:r>
        <w:r>
          <w:rPr>
            <w:webHidden/>
          </w:rPr>
          <w:fldChar w:fldCharType="separate"/>
        </w:r>
        <w:r>
          <w:rPr>
            <w:webHidden/>
            <w:rStyle w:val="IndexLink"/>
            <w:vanish w:val="false"/>
          </w:rPr>
          <w:t>BCD-10(b): Telecommunications Services Availability | Separation of Primary / Alternate Providers</w:t>
          <w:tab/>
          <w:t>46</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557">
        <w:r>
          <w:rPr>
            <w:webHidden/>
          </w:rPr>
          <w:fldChar w:fldCharType="begin"/>
        </w:r>
        <w:r>
          <w:rPr>
            <w:webHidden/>
          </w:rPr>
          <w:instrText>PAGEREF _Toc34920557 \h</w:instrText>
        </w:r>
        <w:r>
          <w:rPr>
            <w:webHidden/>
          </w:rPr>
          <w:fldChar w:fldCharType="separate"/>
        </w:r>
        <w:r>
          <w:rPr>
            <w:webHidden/>
            <w:rStyle w:val="IndexLink"/>
            <w:vanish w:val="false"/>
          </w:rPr>
          <w:t>BCD-10(c): Telecommunications Services Availability | Provider Contingency Plan</w:t>
          <w:tab/>
          <w:t>46</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558">
        <w:r>
          <w:rPr>
            <w:webHidden/>
          </w:rPr>
          <w:fldChar w:fldCharType="begin"/>
        </w:r>
        <w:r>
          <w:rPr>
            <w:webHidden/>
          </w:rPr>
          <w:instrText>PAGEREF _Toc34920558 \h</w:instrText>
        </w:r>
        <w:r>
          <w:rPr>
            <w:webHidden/>
          </w:rPr>
          <w:fldChar w:fldCharType="separate"/>
        </w:r>
        <w:r>
          <w:rPr>
            <w:webHidden/>
            <w:rStyle w:val="IndexLink"/>
            <w:vanish w:val="false"/>
          </w:rPr>
          <w:t>BCD-11: Data Backups</w:t>
          <w:tab/>
          <w:t>46</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559">
        <w:r>
          <w:rPr>
            <w:webHidden/>
          </w:rPr>
          <w:fldChar w:fldCharType="begin"/>
        </w:r>
        <w:r>
          <w:rPr>
            <w:webHidden/>
          </w:rPr>
          <w:instrText>PAGEREF _Toc34920559 \h</w:instrText>
        </w:r>
        <w:r>
          <w:rPr>
            <w:webHidden/>
          </w:rPr>
          <w:fldChar w:fldCharType="separate"/>
        </w:r>
        <w:r>
          <w:rPr>
            <w:webHidden/>
            <w:rStyle w:val="IndexLink"/>
            <w:vanish w:val="false"/>
          </w:rPr>
          <w:t>BCD-11(a): Data Backups | Testing for Reliability &amp; Integrity</w:t>
          <w:tab/>
          <w:t>48</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560">
        <w:r>
          <w:rPr>
            <w:webHidden/>
          </w:rPr>
          <w:fldChar w:fldCharType="begin"/>
        </w:r>
        <w:r>
          <w:rPr>
            <w:webHidden/>
          </w:rPr>
          <w:instrText>PAGEREF _Toc34920560 \h</w:instrText>
        </w:r>
        <w:r>
          <w:rPr>
            <w:webHidden/>
          </w:rPr>
          <w:fldChar w:fldCharType="separate"/>
        </w:r>
        <w:r>
          <w:rPr>
            <w:webHidden/>
            <w:rStyle w:val="IndexLink"/>
            <w:vanish w:val="false"/>
          </w:rPr>
          <w:t>BCD-11(b): Data Backups | Separate Storage for Critical Information</w:t>
          <w:tab/>
          <w:t>48</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561">
        <w:r>
          <w:rPr>
            <w:webHidden/>
          </w:rPr>
          <w:fldChar w:fldCharType="begin"/>
        </w:r>
        <w:r>
          <w:rPr>
            <w:webHidden/>
          </w:rPr>
          <w:instrText>PAGEREF _Toc34920561 \h</w:instrText>
        </w:r>
        <w:r>
          <w:rPr>
            <w:webHidden/>
          </w:rPr>
          <w:fldChar w:fldCharType="separate"/>
        </w:r>
        <w:r>
          <w:rPr>
            <w:webHidden/>
            <w:rStyle w:val="IndexLink"/>
            <w:vanish w:val="false"/>
          </w:rPr>
          <w:t>BCD-11(c): Data Backups | Information System Imaging</w:t>
          <w:tab/>
          <w:t>48</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562">
        <w:r>
          <w:rPr>
            <w:webHidden/>
          </w:rPr>
          <w:fldChar w:fldCharType="begin"/>
        </w:r>
        <w:r>
          <w:rPr>
            <w:webHidden/>
          </w:rPr>
          <w:instrText>PAGEREF _Toc34920562 \h</w:instrText>
        </w:r>
        <w:r>
          <w:rPr>
            <w:webHidden/>
          </w:rPr>
          <w:fldChar w:fldCharType="separate"/>
        </w:r>
        <w:r>
          <w:rPr>
            <w:webHidden/>
            <w:rStyle w:val="IndexLink"/>
            <w:vanish w:val="false"/>
          </w:rPr>
          <w:t>BCD-11(d): Data Backups | Cryptographic Protection</w:t>
          <w:tab/>
          <w:t>48</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563">
        <w:r>
          <w:rPr>
            <w:webHidden/>
          </w:rPr>
          <w:fldChar w:fldCharType="begin"/>
        </w:r>
        <w:r>
          <w:rPr>
            <w:webHidden/>
          </w:rPr>
          <w:instrText>PAGEREF _Toc34920563 \h</w:instrText>
        </w:r>
        <w:r>
          <w:rPr>
            <w:webHidden/>
          </w:rPr>
          <w:fldChar w:fldCharType="separate"/>
        </w:r>
        <w:r>
          <w:rPr>
            <w:webHidden/>
            <w:rStyle w:val="IndexLink"/>
            <w:vanish w:val="false"/>
          </w:rPr>
          <w:t>BCD-11(e): Data Backups | Test Restoration Using Sampling</w:t>
          <w:tab/>
          <w:t>49</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564">
        <w:r>
          <w:rPr>
            <w:webHidden/>
          </w:rPr>
          <w:fldChar w:fldCharType="begin"/>
        </w:r>
        <w:r>
          <w:rPr>
            <w:webHidden/>
          </w:rPr>
          <w:instrText>PAGEREF _Toc34920564 \h</w:instrText>
        </w:r>
        <w:r>
          <w:rPr>
            <w:webHidden/>
          </w:rPr>
          <w:fldChar w:fldCharType="separate"/>
        </w:r>
        <w:r>
          <w:rPr>
            <w:webHidden/>
            <w:rStyle w:val="IndexLink"/>
            <w:vanish w:val="false"/>
          </w:rPr>
          <w:t>BCD-11(f): Data Backups | Transfer to Alternate Storage Site</w:t>
          <w:tab/>
          <w:t>49</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565">
        <w:r>
          <w:rPr>
            <w:webHidden/>
          </w:rPr>
          <w:fldChar w:fldCharType="begin"/>
        </w:r>
        <w:r>
          <w:rPr>
            <w:webHidden/>
          </w:rPr>
          <w:instrText>PAGEREF _Toc34920565 \h</w:instrText>
        </w:r>
        <w:r>
          <w:rPr>
            <w:webHidden/>
          </w:rPr>
          <w:fldChar w:fldCharType="separate"/>
        </w:r>
        <w:r>
          <w:rPr>
            <w:webHidden/>
            <w:rStyle w:val="IndexLink"/>
            <w:vanish w:val="false"/>
          </w:rPr>
          <w:t>BCD-11(g): Data Backups | Redundant Secondary System</w:t>
          <w:tab/>
          <w:t>49</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566">
        <w:r>
          <w:rPr>
            <w:webHidden/>
          </w:rPr>
          <w:fldChar w:fldCharType="begin"/>
        </w:r>
        <w:r>
          <w:rPr>
            <w:webHidden/>
          </w:rPr>
          <w:instrText>PAGEREF _Toc34920566 \h</w:instrText>
        </w:r>
        <w:r>
          <w:rPr>
            <w:webHidden/>
          </w:rPr>
          <w:fldChar w:fldCharType="separate"/>
        </w:r>
        <w:r>
          <w:rPr>
            <w:webHidden/>
            <w:rStyle w:val="IndexLink"/>
            <w:vanish w:val="false"/>
          </w:rPr>
          <w:t>BCD-11(h): Data Backups | Dual Authorization</w:t>
          <w:tab/>
          <w:t>49</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567">
        <w:r>
          <w:rPr>
            <w:webHidden/>
          </w:rPr>
          <w:fldChar w:fldCharType="begin"/>
        </w:r>
        <w:r>
          <w:rPr>
            <w:webHidden/>
          </w:rPr>
          <w:instrText>PAGEREF _Toc34920567 \h</w:instrText>
        </w:r>
        <w:r>
          <w:rPr>
            <w:webHidden/>
          </w:rPr>
          <w:fldChar w:fldCharType="separate"/>
        </w:r>
        <w:r>
          <w:rPr>
            <w:webHidden/>
            <w:rStyle w:val="IndexLink"/>
            <w:vanish w:val="false"/>
          </w:rPr>
          <w:t>BCD-12: Information System Recovery &amp; Reconstitution</w:t>
          <w:tab/>
          <w:t>50</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568">
        <w:r>
          <w:rPr>
            <w:webHidden/>
          </w:rPr>
          <w:fldChar w:fldCharType="begin"/>
        </w:r>
        <w:r>
          <w:rPr>
            <w:webHidden/>
          </w:rPr>
          <w:instrText>PAGEREF _Toc34920568 \h</w:instrText>
        </w:r>
        <w:r>
          <w:rPr>
            <w:webHidden/>
          </w:rPr>
          <w:fldChar w:fldCharType="separate"/>
        </w:r>
        <w:r>
          <w:rPr>
            <w:webHidden/>
            <w:rStyle w:val="IndexLink"/>
            <w:vanish w:val="false"/>
          </w:rPr>
          <w:t>BCD-12(a): Information System Recovery &amp; Reconstitution | Transaction Recovery</w:t>
          <w:tab/>
          <w:t>50</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569">
        <w:r>
          <w:rPr>
            <w:webHidden/>
          </w:rPr>
          <w:fldChar w:fldCharType="begin"/>
        </w:r>
        <w:r>
          <w:rPr>
            <w:webHidden/>
          </w:rPr>
          <w:instrText>PAGEREF _Toc34920569 \h</w:instrText>
        </w:r>
        <w:r>
          <w:rPr>
            <w:webHidden/>
          </w:rPr>
          <w:fldChar w:fldCharType="separate"/>
        </w:r>
        <w:r>
          <w:rPr>
            <w:webHidden/>
            <w:rStyle w:val="IndexLink"/>
            <w:vanish w:val="false"/>
          </w:rPr>
          <w:t>BCD-12(b): Information System Recovery &amp; Reconstitution | Failover Capability</w:t>
          <w:tab/>
          <w:t>50</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570">
        <w:r>
          <w:rPr>
            <w:webHidden/>
          </w:rPr>
          <w:fldChar w:fldCharType="begin"/>
        </w:r>
        <w:r>
          <w:rPr>
            <w:webHidden/>
          </w:rPr>
          <w:instrText>PAGEREF _Toc34920570 \h</w:instrText>
        </w:r>
        <w:r>
          <w:rPr>
            <w:webHidden/>
          </w:rPr>
          <w:fldChar w:fldCharType="separate"/>
        </w:r>
        <w:r>
          <w:rPr>
            <w:webHidden/>
            <w:rStyle w:val="IndexLink"/>
            <w:vanish w:val="false"/>
          </w:rPr>
          <w:t>BCD-12(c): Information System Recovery &amp; Reconstitution | Electronic Discovery (eDiscovery)</w:t>
          <w:tab/>
          <w:t>50</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571">
        <w:r>
          <w:rPr>
            <w:webHidden/>
          </w:rPr>
          <w:fldChar w:fldCharType="begin"/>
        </w:r>
        <w:r>
          <w:rPr>
            <w:webHidden/>
          </w:rPr>
          <w:instrText>PAGEREF _Toc34920571 \h</w:instrText>
        </w:r>
        <w:r>
          <w:rPr>
            <w:webHidden/>
          </w:rPr>
          <w:fldChar w:fldCharType="separate"/>
        </w:r>
        <w:r>
          <w:rPr>
            <w:webHidden/>
            <w:rStyle w:val="IndexLink"/>
            <w:vanish w:val="false"/>
          </w:rPr>
          <w:t>BCD-12(d): Information System Recovery &amp; Reconstitution | Restore Within Time Period</w:t>
          <w:tab/>
          <w:t>50</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572">
        <w:r>
          <w:rPr>
            <w:webHidden/>
          </w:rPr>
          <w:fldChar w:fldCharType="begin"/>
        </w:r>
        <w:r>
          <w:rPr>
            <w:webHidden/>
          </w:rPr>
          <w:instrText>PAGEREF _Toc34920572 \h</w:instrText>
        </w:r>
        <w:r>
          <w:rPr>
            <w:webHidden/>
          </w:rPr>
          <w:fldChar w:fldCharType="separate"/>
        </w:r>
        <w:r>
          <w:rPr>
            <w:webHidden/>
            <w:rStyle w:val="IndexLink"/>
            <w:vanish w:val="false"/>
          </w:rPr>
          <w:t>BCD-13: Backup &amp; Restoration Hardware Protection</w:t>
          <w:tab/>
          <w:t>51</w:t>
        </w:r>
        <w:r>
          <w:rPr>
            <w:webHidden/>
          </w:rPr>
          <w:fldChar w:fldCharType="end"/>
        </w:r>
      </w:hyperlink>
    </w:p>
    <w:p>
      <w:pPr>
        <w:pStyle w:val="Contents1"/>
        <w:rPr>
          <w:rFonts w:eastAsia="" w:cs="" w:cstheme="minorBidi" w:eastAsiaTheme="minorEastAsia"/>
          <w:b w:val="false"/>
          <w:b w:val="false"/>
          <w:caps w:val="false"/>
          <w:smallCaps w:val="false"/>
          <w:color w:val="auto"/>
          <w:sz w:val="22"/>
          <w:szCs w:val="22"/>
          <w:u w:val="none"/>
        </w:rPr>
      </w:pPr>
      <w:hyperlink w:anchor="_Toc34920573">
        <w:r>
          <w:rPr>
            <w:webHidden/>
          </w:rPr>
          <w:fldChar w:fldCharType="begin"/>
        </w:r>
        <w:r>
          <w:rPr>
            <w:webHidden/>
          </w:rPr>
          <w:instrText>PAGEREF _Toc34920573 \h</w:instrText>
        </w:r>
        <w:r>
          <w:rPr>
            <w:webHidden/>
          </w:rPr>
          <w:fldChar w:fldCharType="separate"/>
        </w:r>
        <w:r>
          <w:rPr>
            <w:webHidden/>
            <w:rStyle w:val="IndexLink"/>
            <w:vanish w:val="false"/>
          </w:rPr>
          <w:t>Capacity &amp; Performance Planning (CAP) Policy &amp; Standards</w:t>
          <w:tab/>
          <w:t>52</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574">
        <w:r>
          <w:rPr>
            <w:webHidden/>
          </w:rPr>
          <w:fldChar w:fldCharType="begin"/>
        </w:r>
        <w:r>
          <w:rPr>
            <w:webHidden/>
          </w:rPr>
          <w:instrText>PAGEREF _Toc34920574 \h</w:instrText>
        </w:r>
        <w:r>
          <w:rPr>
            <w:webHidden/>
          </w:rPr>
          <w:fldChar w:fldCharType="separate"/>
        </w:r>
        <w:r>
          <w:rPr>
            <w:webHidden/>
            <w:rStyle w:val="IndexLink"/>
            <w:vanish w:val="false"/>
          </w:rPr>
          <w:t>CAP-01: Capacity &amp; Performance Management</w:t>
          <w:tab/>
          <w:t>52</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575">
        <w:r>
          <w:rPr>
            <w:webHidden/>
          </w:rPr>
          <w:fldChar w:fldCharType="begin"/>
        </w:r>
        <w:r>
          <w:rPr>
            <w:webHidden/>
          </w:rPr>
          <w:instrText>PAGEREF _Toc34920575 \h</w:instrText>
        </w:r>
        <w:r>
          <w:rPr>
            <w:webHidden/>
          </w:rPr>
          <w:fldChar w:fldCharType="separate"/>
        </w:r>
        <w:r>
          <w:rPr>
            <w:webHidden/>
            <w:rStyle w:val="IndexLink"/>
            <w:vanish w:val="false"/>
          </w:rPr>
          <w:t>CAP-02: Resource Priority</w:t>
          <w:tab/>
          <w:t>52</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576">
        <w:r>
          <w:rPr>
            <w:webHidden/>
          </w:rPr>
          <w:fldChar w:fldCharType="begin"/>
        </w:r>
        <w:r>
          <w:rPr>
            <w:webHidden/>
          </w:rPr>
          <w:instrText>PAGEREF _Toc34920576 \h</w:instrText>
        </w:r>
        <w:r>
          <w:rPr>
            <w:webHidden/>
          </w:rPr>
          <w:fldChar w:fldCharType="separate"/>
        </w:r>
        <w:r>
          <w:rPr>
            <w:webHidden/>
            <w:rStyle w:val="IndexLink"/>
            <w:vanish w:val="false"/>
          </w:rPr>
          <w:t>CAP-03: Capacity Planning</w:t>
          <w:tab/>
          <w:t>52</w:t>
        </w:r>
        <w:r>
          <w:rPr>
            <w:webHidden/>
          </w:rPr>
          <w:fldChar w:fldCharType="end"/>
        </w:r>
      </w:hyperlink>
    </w:p>
    <w:p>
      <w:pPr>
        <w:pStyle w:val="Contents1"/>
        <w:rPr>
          <w:rFonts w:eastAsia="" w:cs="" w:cstheme="minorBidi" w:eastAsiaTheme="minorEastAsia"/>
          <w:b w:val="false"/>
          <w:b w:val="false"/>
          <w:caps w:val="false"/>
          <w:smallCaps w:val="false"/>
          <w:color w:val="auto"/>
          <w:sz w:val="22"/>
          <w:szCs w:val="22"/>
          <w:u w:val="none"/>
        </w:rPr>
      </w:pPr>
      <w:hyperlink w:anchor="_Toc34920577">
        <w:r>
          <w:rPr>
            <w:webHidden/>
          </w:rPr>
          <w:fldChar w:fldCharType="begin"/>
        </w:r>
        <w:r>
          <w:rPr>
            <w:webHidden/>
          </w:rPr>
          <w:instrText>PAGEREF _Toc34920577 \h</w:instrText>
        </w:r>
        <w:r>
          <w:rPr>
            <w:webHidden/>
          </w:rPr>
          <w:fldChar w:fldCharType="separate"/>
        </w:r>
        <w:r>
          <w:rPr>
            <w:webHidden/>
            <w:rStyle w:val="IndexLink"/>
            <w:vanish w:val="false"/>
          </w:rPr>
          <w:t>Change Management (CHG) Policy &amp; Standards</w:t>
          <w:tab/>
          <w:t>53</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578">
        <w:r>
          <w:rPr>
            <w:webHidden/>
          </w:rPr>
          <w:fldChar w:fldCharType="begin"/>
        </w:r>
        <w:r>
          <w:rPr>
            <w:webHidden/>
          </w:rPr>
          <w:instrText>PAGEREF _Toc34920578 \h</w:instrText>
        </w:r>
        <w:r>
          <w:rPr>
            <w:webHidden/>
          </w:rPr>
          <w:fldChar w:fldCharType="separate"/>
        </w:r>
        <w:r>
          <w:rPr>
            <w:webHidden/>
            <w:rStyle w:val="IndexLink"/>
            <w:vanish w:val="false"/>
          </w:rPr>
          <w:t>CHG-01: Change Management Program</w:t>
          <w:tab/>
          <w:t>53</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579">
        <w:r>
          <w:rPr>
            <w:webHidden/>
          </w:rPr>
          <w:fldChar w:fldCharType="begin"/>
        </w:r>
        <w:r>
          <w:rPr>
            <w:webHidden/>
          </w:rPr>
          <w:instrText>PAGEREF _Toc34920579 \h</w:instrText>
        </w:r>
        <w:r>
          <w:rPr>
            <w:webHidden/>
          </w:rPr>
          <w:fldChar w:fldCharType="separate"/>
        </w:r>
        <w:r>
          <w:rPr>
            <w:webHidden/>
            <w:rStyle w:val="IndexLink"/>
            <w:vanish w:val="false"/>
          </w:rPr>
          <w:t>CHG-02: Configuration Change Control</w:t>
          <w:tab/>
          <w:t>53</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580">
        <w:r>
          <w:rPr>
            <w:webHidden/>
          </w:rPr>
          <w:fldChar w:fldCharType="begin"/>
        </w:r>
        <w:r>
          <w:rPr>
            <w:webHidden/>
          </w:rPr>
          <w:instrText>PAGEREF _Toc34920580 \h</w:instrText>
        </w:r>
        <w:r>
          <w:rPr>
            <w:webHidden/>
          </w:rPr>
          <w:fldChar w:fldCharType="separate"/>
        </w:r>
        <w:r>
          <w:rPr>
            <w:webHidden/>
            <w:rStyle w:val="IndexLink"/>
            <w:vanish w:val="false"/>
          </w:rPr>
          <w:t>CHG-02(a): Configuration Change Control | Prohibition Of Changes</w:t>
          <w:tab/>
          <w:t>54</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581">
        <w:r>
          <w:rPr>
            <w:webHidden/>
          </w:rPr>
          <w:fldChar w:fldCharType="begin"/>
        </w:r>
        <w:r>
          <w:rPr>
            <w:webHidden/>
          </w:rPr>
          <w:instrText>PAGEREF _Toc34920581 \h</w:instrText>
        </w:r>
        <w:r>
          <w:rPr>
            <w:webHidden/>
          </w:rPr>
          <w:fldChar w:fldCharType="separate"/>
        </w:r>
        <w:r>
          <w:rPr>
            <w:webHidden/>
            <w:rStyle w:val="IndexLink"/>
            <w:vanish w:val="false"/>
          </w:rPr>
          <w:t>CHG-02(b): Configuration Change Control | Test, Validate &amp; Document Changes</w:t>
          <w:tab/>
          <w:t>54</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582">
        <w:r>
          <w:rPr>
            <w:webHidden/>
          </w:rPr>
          <w:fldChar w:fldCharType="begin"/>
        </w:r>
        <w:r>
          <w:rPr>
            <w:webHidden/>
          </w:rPr>
          <w:instrText>PAGEREF _Toc34920582 \h</w:instrText>
        </w:r>
        <w:r>
          <w:rPr>
            <w:webHidden/>
          </w:rPr>
          <w:fldChar w:fldCharType="separate"/>
        </w:r>
        <w:r>
          <w:rPr>
            <w:webHidden/>
            <w:rStyle w:val="IndexLink"/>
            <w:vanish w:val="false"/>
          </w:rPr>
          <w:t>CHG-02(c): Configuration Change Control | Security Representative for Change</w:t>
          <w:tab/>
          <w:t>54</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583">
        <w:r>
          <w:rPr>
            <w:webHidden/>
          </w:rPr>
          <w:fldChar w:fldCharType="begin"/>
        </w:r>
        <w:r>
          <w:rPr>
            <w:webHidden/>
          </w:rPr>
          <w:instrText>PAGEREF _Toc34920583 \h</w:instrText>
        </w:r>
        <w:r>
          <w:rPr>
            <w:webHidden/>
          </w:rPr>
          <w:fldChar w:fldCharType="separate"/>
        </w:r>
        <w:r>
          <w:rPr>
            <w:webHidden/>
            <w:rStyle w:val="IndexLink"/>
            <w:vanish w:val="false"/>
          </w:rPr>
          <w:t>CHG-02(d): Configuration Change Control | Automated Security Response</w:t>
          <w:tab/>
          <w:t>54</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584">
        <w:r>
          <w:rPr>
            <w:webHidden/>
          </w:rPr>
          <w:fldChar w:fldCharType="begin"/>
        </w:r>
        <w:r>
          <w:rPr>
            <w:webHidden/>
          </w:rPr>
          <w:instrText>PAGEREF _Toc34920584 \h</w:instrText>
        </w:r>
        <w:r>
          <w:rPr>
            <w:webHidden/>
          </w:rPr>
          <w:fldChar w:fldCharType="separate"/>
        </w:r>
        <w:r>
          <w:rPr>
            <w:webHidden/>
            <w:rStyle w:val="IndexLink"/>
            <w:vanish w:val="false"/>
          </w:rPr>
          <w:t>CHG-02(e): Configuration Change Control | Cryptographic Management</w:t>
          <w:tab/>
          <w:t>54</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585">
        <w:r>
          <w:rPr>
            <w:webHidden/>
          </w:rPr>
          <w:fldChar w:fldCharType="begin"/>
        </w:r>
        <w:r>
          <w:rPr>
            <w:webHidden/>
          </w:rPr>
          <w:instrText>PAGEREF _Toc34920585 \h</w:instrText>
        </w:r>
        <w:r>
          <w:rPr>
            <w:webHidden/>
          </w:rPr>
          <w:fldChar w:fldCharType="separate"/>
        </w:r>
        <w:r>
          <w:rPr>
            <w:webHidden/>
            <w:rStyle w:val="IndexLink"/>
            <w:vanish w:val="false"/>
          </w:rPr>
          <w:t>CHG-03: Security Impact Analysis for Changes</w:t>
          <w:tab/>
          <w:t>55</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586">
        <w:r>
          <w:rPr>
            <w:webHidden/>
          </w:rPr>
          <w:fldChar w:fldCharType="begin"/>
        </w:r>
        <w:r>
          <w:rPr>
            <w:webHidden/>
          </w:rPr>
          <w:instrText>PAGEREF _Toc34920586 \h</w:instrText>
        </w:r>
        <w:r>
          <w:rPr>
            <w:webHidden/>
          </w:rPr>
          <w:fldChar w:fldCharType="separate"/>
        </w:r>
        <w:r>
          <w:rPr>
            <w:webHidden/>
            <w:rStyle w:val="IndexLink"/>
            <w:vanish w:val="false"/>
          </w:rPr>
          <w:t>CHG-04: Access Restriction For Change</w:t>
          <w:tab/>
          <w:t>55</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587">
        <w:r>
          <w:rPr>
            <w:webHidden/>
          </w:rPr>
          <w:fldChar w:fldCharType="begin"/>
        </w:r>
        <w:r>
          <w:rPr>
            <w:webHidden/>
          </w:rPr>
          <w:instrText>PAGEREF _Toc34920587 \h</w:instrText>
        </w:r>
        <w:r>
          <w:rPr>
            <w:webHidden/>
          </w:rPr>
          <w:fldChar w:fldCharType="separate"/>
        </w:r>
        <w:r>
          <w:rPr>
            <w:webHidden/>
            <w:rStyle w:val="IndexLink"/>
            <w:vanish w:val="false"/>
          </w:rPr>
          <w:t>CHG-04(a): Access Restrictions For Change | Automated Access Enforcement / Auditing</w:t>
          <w:tab/>
          <w:t>55</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588">
        <w:r>
          <w:rPr>
            <w:webHidden/>
          </w:rPr>
          <w:fldChar w:fldCharType="begin"/>
        </w:r>
        <w:r>
          <w:rPr>
            <w:webHidden/>
          </w:rPr>
          <w:instrText>PAGEREF _Toc34920588 \h</w:instrText>
        </w:r>
        <w:r>
          <w:rPr>
            <w:webHidden/>
          </w:rPr>
          <w:fldChar w:fldCharType="separate"/>
        </w:r>
        <w:r>
          <w:rPr>
            <w:webHidden/>
            <w:rStyle w:val="IndexLink"/>
            <w:vanish w:val="false"/>
          </w:rPr>
          <w:t>CHG-04(b): Access Restrictions For Change | Signed Components</w:t>
          <w:tab/>
          <w:t>55</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589">
        <w:r>
          <w:rPr>
            <w:webHidden/>
          </w:rPr>
          <w:fldChar w:fldCharType="begin"/>
        </w:r>
        <w:r>
          <w:rPr>
            <w:webHidden/>
          </w:rPr>
          <w:instrText>PAGEREF _Toc34920589 \h</w:instrText>
        </w:r>
        <w:r>
          <w:rPr>
            <w:webHidden/>
          </w:rPr>
          <w:fldChar w:fldCharType="separate"/>
        </w:r>
        <w:r>
          <w:rPr>
            <w:webHidden/>
            <w:rStyle w:val="IndexLink"/>
            <w:vanish w:val="false"/>
          </w:rPr>
          <w:t>CHG-04(c): Access Restrictions For Change | Dual Authorization for Change</w:t>
          <w:tab/>
          <w:t>56</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590">
        <w:r>
          <w:rPr>
            <w:webHidden/>
          </w:rPr>
          <w:fldChar w:fldCharType="begin"/>
        </w:r>
        <w:r>
          <w:rPr>
            <w:webHidden/>
          </w:rPr>
          <w:instrText>PAGEREF _Toc34920590 \h</w:instrText>
        </w:r>
        <w:r>
          <w:rPr>
            <w:webHidden/>
          </w:rPr>
          <w:fldChar w:fldCharType="separate"/>
        </w:r>
        <w:r>
          <w:rPr>
            <w:webHidden/>
            <w:rStyle w:val="IndexLink"/>
            <w:vanish w:val="false"/>
          </w:rPr>
          <w:t>CHG-04(d): Access Restrictions For Change | Limit Production / Operational Privileges (Incompatible Roles)</w:t>
          <w:tab/>
          <w:t>56</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591">
        <w:r>
          <w:rPr>
            <w:webHidden/>
          </w:rPr>
          <w:fldChar w:fldCharType="begin"/>
        </w:r>
        <w:r>
          <w:rPr>
            <w:webHidden/>
          </w:rPr>
          <w:instrText>PAGEREF _Toc34920591 \h</w:instrText>
        </w:r>
        <w:r>
          <w:rPr>
            <w:webHidden/>
          </w:rPr>
          <w:fldChar w:fldCharType="separate"/>
        </w:r>
        <w:r>
          <w:rPr>
            <w:webHidden/>
            <w:rStyle w:val="IndexLink"/>
            <w:vanish w:val="false"/>
          </w:rPr>
          <w:t>CHG-04(e): Access Restrictions For Change | Library Privileges</w:t>
          <w:tab/>
          <w:t>56</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592">
        <w:r>
          <w:rPr>
            <w:webHidden/>
          </w:rPr>
          <w:fldChar w:fldCharType="begin"/>
        </w:r>
        <w:r>
          <w:rPr>
            <w:webHidden/>
          </w:rPr>
          <w:instrText>PAGEREF _Toc34920592 \h</w:instrText>
        </w:r>
        <w:r>
          <w:rPr>
            <w:webHidden/>
          </w:rPr>
          <w:fldChar w:fldCharType="separate"/>
        </w:r>
        <w:r>
          <w:rPr>
            <w:webHidden/>
            <w:rStyle w:val="IndexLink"/>
            <w:vanish w:val="false"/>
          </w:rPr>
          <w:t>CHG-05: Stakeholder Notification of Changes</w:t>
          <w:tab/>
          <w:t>56</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593">
        <w:r>
          <w:rPr>
            <w:webHidden/>
          </w:rPr>
          <w:fldChar w:fldCharType="begin"/>
        </w:r>
        <w:r>
          <w:rPr>
            <w:webHidden/>
          </w:rPr>
          <w:instrText>PAGEREF _Toc34920593 \h</w:instrText>
        </w:r>
        <w:r>
          <w:rPr>
            <w:webHidden/>
          </w:rPr>
          <w:fldChar w:fldCharType="separate"/>
        </w:r>
        <w:r>
          <w:rPr>
            <w:webHidden/>
            <w:rStyle w:val="IndexLink"/>
            <w:vanish w:val="false"/>
          </w:rPr>
          <w:t>CHG-06: Security Functionality Verification</w:t>
          <w:tab/>
          <w:t>57</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594">
        <w:r>
          <w:rPr>
            <w:webHidden/>
          </w:rPr>
          <w:fldChar w:fldCharType="begin"/>
        </w:r>
        <w:r>
          <w:rPr>
            <w:webHidden/>
          </w:rPr>
          <w:instrText>PAGEREF _Toc34920594 \h</w:instrText>
        </w:r>
        <w:r>
          <w:rPr>
            <w:webHidden/>
          </w:rPr>
          <w:fldChar w:fldCharType="separate"/>
        </w:r>
        <w:r>
          <w:rPr>
            <w:webHidden/>
            <w:rStyle w:val="IndexLink"/>
            <w:vanish w:val="false"/>
          </w:rPr>
          <w:t>CHG-06(a): Security Functionality Verification | Report Verification Results</w:t>
          <w:tab/>
          <w:t>57</w:t>
        </w:r>
        <w:r>
          <w:rPr>
            <w:webHidden/>
          </w:rPr>
          <w:fldChar w:fldCharType="end"/>
        </w:r>
      </w:hyperlink>
    </w:p>
    <w:p>
      <w:pPr>
        <w:pStyle w:val="Contents1"/>
        <w:rPr>
          <w:rFonts w:eastAsia="" w:cs="" w:cstheme="minorBidi" w:eastAsiaTheme="minorEastAsia"/>
          <w:b w:val="false"/>
          <w:b w:val="false"/>
          <w:caps w:val="false"/>
          <w:smallCaps w:val="false"/>
          <w:color w:val="auto"/>
          <w:sz w:val="22"/>
          <w:szCs w:val="22"/>
          <w:u w:val="none"/>
        </w:rPr>
      </w:pPr>
      <w:hyperlink w:anchor="_Toc34920595">
        <w:r>
          <w:rPr>
            <w:webHidden/>
          </w:rPr>
          <w:fldChar w:fldCharType="begin"/>
        </w:r>
        <w:r>
          <w:rPr>
            <w:webHidden/>
          </w:rPr>
          <w:instrText>PAGEREF _Toc34920595 \h</w:instrText>
        </w:r>
        <w:r>
          <w:rPr>
            <w:webHidden/>
          </w:rPr>
          <w:fldChar w:fldCharType="separate"/>
        </w:r>
        <w:r>
          <w:rPr>
            <w:webHidden/>
            <w:rStyle w:val="IndexLink"/>
            <w:vanish w:val="false"/>
          </w:rPr>
          <w:t>Cloud Security (CLD) Policy &amp; Standards</w:t>
          <w:tab/>
          <w:t>58</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596">
        <w:r>
          <w:rPr>
            <w:webHidden/>
          </w:rPr>
          <w:fldChar w:fldCharType="begin"/>
        </w:r>
        <w:r>
          <w:rPr>
            <w:webHidden/>
          </w:rPr>
          <w:instrText>PAGEREF _Toc34920596 \h</w:instrText>
        </w:r>
        <w:r>
          <w:rPr>
            <w:webHidden/>
          </w:rPr>
          <w:fldChar w:fldCharType="separate"/>
        </w:r>
        <w:r>
          <w:rPr>
            <w:webHidden/>
            <w:rStyle w:val="IndexLink"/>
            <w:vanish w:val="false"/>
          </w:rPr>
          <w:t>CLD-01: Cloud Services</w:t>
          <w:tab/>
          <w:t>58</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597">
        <w:r>
          <w:rPr>
            <w:webHidden/>
          </w:rPr>
          <w:fldChar w:fldCharType="begin"/>
        </w:r>
        <w:r>
          <w:rPr>
            <w:webHidden/>
          </w:rPr>
          <w:instrText>PAGEREF _Toc34920597 \h</w:instrText>
        </w:r>
        <w:r>
          <w:rPr>
            <w:webHidden/>
          </w:rPr>
          <w:fldChar w:fldCharType="separate"/>
        </w:r>
        <w:r>
          <w:rPr>
            <w:webHidden/>
            <w:rStyle w:val="IndexLink"/>
            <w:vanish w:val="false"/>
          </w:rPr>
          <w:t>CLD-02: Cloud Security Architecture</w:t>
          <w:tab/>
          <w:t>58</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598">
        <w:r>
          <w:rPr>
            <w:webHidden/>
          </w:rPr>
          <w:fldChar w:fldCharType="begin"/>
        </w:r>
        <w:r>
          <w:rPr>
            <w:webHidden/>
          </w:rPr>
          <w:instrText>PAGEREF _Toc34920598 \h</w:instrText>
        </w:r>
        <w:r>
          <w:rPr>
            <w:webHidden/>
          </w:rPr>
          <w:fldChar w:fldCharType="separate"/>
        </w:r>
        <w:r>
          <w:rPr>
            <w:webHidden/>
            <w:rStyle w:val="IndexLink"/>
            <w:vanish w:val="false"/>
          </w:rPr>
          <w:t>CLD-03: Security Management Subnet</w:t>
          <w:tab/>
          <w:t>59</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599">
        <w:r>
          <w:rPr>
            <w:webHidden/>
          </w:rPr>
          <w:fldChar w:fldCharType="begin"/>
        </w:r>
        <w:r>
          <w:rPr>
            <w:webHidden/>
          </w:rPr>
          <w:instrText>PAGEREF _Toc34920599 \h</w:instrText>
        </w:r>
        <w:r>
          <w:rPr>
            <w:webHidden/>
          </w:rPr>
          <w:fldChar w:fldCharType="separate"/>
        </w:r>
        <w:r>
          <w:rPr>
            <w:webHidden/>
            <w:rStyle w:val="IndexLink"/>
            <w:vanish w:val="false"/>
          </w:rPr>
          <w:t>CLD-04: Application &amp; Program Interface (API) Security</w:t>
          <w:tab/>
          <w:t>59</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600">
        <w:r>
          <w:rPr>
            <w:webHidden/>
          </w:rPr>
          <w:fldChar w:fldCharType="begin"/>
        </w:r>
        <w:r>
          <w:rPr>
            <w:webHidden/>
          </w:rPr>
          <w:instrText>PAGEREF _Toc34920600 \h</w:instrText>
        </w:r>
        <w:r>
          <w:rPr>
            <w:webHidden/>
          </w:rPr>
          <w:fldChar w:fldCharType="separate"/>
        </w:r>
        <w:r>
          <w:rPr>
            <w:webHidden/>
            <w:rStyle w:val="IndexLink"/>
            <w:vanish w:val="false"/>
          </w:rPr>
          <w:t>CLD-05: Virtual Machine Images</w:t>
          <w:tab/>
          <w:t>59</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601">
        <w:r>
          <w:rPr>
            <w:webHidden/>
          </w:rPr>
          <w:fldChar w:fldCharType="begin"/>
        </w:r>
        <w:r>
          <w:rPr>
            <w:webHidden/>
          </w:rPr>
          <w:instrText>PAGEREF _Toc34920601 \h</w:instrText>
        </w:r>
        <w:r>
          <w:rPr>
            <w:webHidden/>
          </w:rPr>
          <w:fldChar w:fldCharType="separate"/>
        </w:r>
        <w:r>
          <w:rPr>
            <w:webHidden/>
            <w:rStyle w:val="IndexLink"/>
            <w:vanish w:val="false"/>
          </w:rPr>
          <w:t>CLD-06: Multi-Tenant Environments</w:t>
          <w:tab/>
          <w:t>59</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602">
        <w:r>
          <w:rPr>
            <w:webHidden/>
          </w:rPr>
          <w:fldChar w:fldCharType="begin"/>
        </w:r>
        <w:r>
          <w:rPr>
            <w:webHidden/>
          </w:rPr>
          <w:instrText>PAGEREF _Toc34920602 \h</w:instrText>
        </w:r>
        <w:r>
          <w:rPr>
            <w:webHidden/>
          </w:rPr>
          <w:fldChar w:fldCharType="separate"/>
        </w:r>
        <w:r>
          <w:rPr>
            <w:webHidden/>
            <w:rStyle w:val="IndexLink"/>
            <w:vanish w:val="false"/>
          </w:rPr>
          <w:t>CLD-07: Data Handling &amp; Portability</w:t>
          <w:tab/>
          <w:t>60</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603">
        <w:r>
          <w:rPr>
            <w:webHidden/>
          </w:rPr>
          <w:fldChar w:fldCharType="begin"/>
        </w:r>
        <w:r>
          <w:rPr>
            <w:webHidden/>
          </w:rPr>
          <w:instrText>PAGEREF _Toc34920603 \h</w:instrText>
        </w:r>
        <w:r>
          <w:rPr>
            <w:webHidden/>
          </w:rPr>
          <w:fldChar w:fldCharType="separate"/>
        </w:r>
        <w:r>
          <w:rPr>
            <w:webHidden/>
            <w:rStyle w:val="IndexLink"/>
            <w:vanish w:val="false"/>
          </w:rPr>
          <w:t>CLD-08: Standardized Virtualization Formats</w:t>
          <w:tab/>
          <w:t>60</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604">
        <w:r>
          <w:rPr>
            <w:webHidden/>
          </w:rPr>
          <w:fldChar w:fldCharType="begin"/>
        </w:r>
        <w:r>
          <w:rPr>
            <w:webHidden/>
          </w:rPr>
          <w:instrText>PAGEREF _Toc34920604 \h</w:instrText>
        </w:r>
        <w:r>
          <w:rPr>
            <w:webHidden/>
          </w:rPr>
          <w:fldChar w:fldCharType="separate"/>
        </w:r>
        <w:r>
          <w:rPr>
            <w:webHidden/>
            <w:rStyle w:val="IndexLink"/>
            <w:vanish w:val="false"/>
          </w:rPr>
          <w:t>CLD-09: Geolocation Requirements for Processing, Storage and Service Locations</w:t>
          <w:tab/>
          <w:t>60</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605">
        <w:r>
          <w:rPr>
            <w:webHidden/>
          </w:rPr>
          <w:fldChar w:fldCharType="begin"/>
        </w:r>
        <w:r>
          <w:rPr>
            <w:webHidden/>
          </w:rPr>
          <w:instrText>PAGEREF _Toc34920605 \h</w:instrText>
        </w:r>
        <w:r>
          <w:rPr>
            <w:webHidden/>
          </w:rPr>
          <w:fldChar w:fldCharType="separate"/>
        </w:r>
        <w:r>
          <w:rPr>
            <w:webHidden/>
            <w:rStyle w:val="IndexLink"/>
            <w:vanish w:val="false"/>
          </w:rPr>
          <w:t>CLD-10: Sensitive Data In Public Cloud Providers</w:t>
          <w:tab/>
          <w:t>60</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606">
        <w:r>
          <w:rPr>
            <w:webHidden/>
          </w:rPr>
          <w:fldChar w:fldCharType="begin"/>
        </w:r>
        <w:r>
          <w:rPr>
            <w:webHidden/>
          </w:rPr>
          <w:instrText>PAGEREF _Toc34920606 \h</w:instrText>
        </w:r>
        <w:r>
          <w:rPr>
            <w:webHidden/>
          </w:rPr>
          <w:fldChar w:fldCharType="separate"/>
        </w:r>
        <w:r>
          <w:rPr>
            <w:webHidden/>
            <w:rStyle w:val="IndexLink"/>
            <w:vanish w:val="false"/>
          </w:rPr>
          <w:t>CLD-11: Cloud Access Point (CAP)</w:t>
          <w:tab/>
          <w:t>61</w:t>
        </w:r>
        <w:r>
          <w:rPr>
            <w:webHidden/>
          </w:rPr>
          <w:fldChar w:fldCharType="end"/>
        </w:r>
      </w:hyperlink>
    </w:p>
    <w:p>
      <w:pPr>
        <w:pStyle w:val="Contents1"/>
        <w:rPr>
          <w:rFonts w:eastAsia="" w:cs="" w:cstheme="minorBidi" w:eastAsiaTheme="minorEastAsia"/>
          <w:b w:val="false"/>
          <w:b w:val="false"/>
          <w:caps w:val="false"/>
          <w:smallCaps w:val="false"/>
          <w:color w:val="auto"/>
          <w:sz w:val="22"/>
          <w:szCs w:val="22"/>
          <w:u w:val="none"/>
        </w:rPr>
      </w:pPr>
      <w:hyperlink w:anchor="_Toc34920607">
        <w:r>
          <w:rPr>
            <w:webHidden/>
          </w:rPr>
          <w:fldChar w:fldCharType="begin"/>
        </w:r>
        <w:r>
          <w:rPr>
            <w:webHidden/>
          </w:rPr>
          <w:instrText>PAGEREF _Toc34920607 \h</w:instrText>
        </w:r>
        <w:r>
          <w:rPr>
            <w:webHidden/>
          </w:rPr>
          <w:fldChar w:fldCharType="separate"/>
        </w:r>
        <w:r>
          <w:rPr>
            <w:webHidden/>
            <w:rStyle w:val="IndexLink"/>
            <w:vanish w:val="false"/>
          </w:rPr>
          <w:t>Compliance (CPL) Policy &amp; Standards</w:t>
          <w:tab/>
          <w:t>62</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608">
        <w:r>
          <w:rPr>
            <w:webHidden/>
          </w:rPr>
          <w:fldChar w:fldCharType="begin"/>
        </w:r>
        <w:r>
          <w:rPr>
            <w:webHidden/>
          </w:rPr>
          <w:instrText>PAGEREF _Toc34920608 \h</w:instrText>
        </w:r>
        <w:r>
          <w:rPr>
            <w:webHidden/>
          </w:rPr>
          <w:fldChar w:fldCharType="separate"/>
        </w:r>
        <w:r>
          <w:rPr>
            <w:webHidden/>
            <w:rStyle w:val="IndexLink"/>
            <w:vanish w:val="false"/>
          </w:rPr>
          <w:t>CPL-01: Statutory, Regulatory &amp; Contractual Compliance</w:t>
          <w:tab/>
          <w:t>62</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609">
        <w:r>
          <w:rPr>
            <w:webHidden/>
          </w:rPr>
          <w:fldChar w:fldCharType="begin"/>
        </w:r>
        <w:r>
          <w:rPr>
            <w:webHidden/>
          </w:rPr>
          <w:instrText>PAGEREF _Toc34920609 \h</w:instrText>
        </w:r>
        <w:r>
          <w:rPr>
            <w:webHidden/>
          </w:rPr>
          <w:fldChar w:fldCharType="separate"/>
        </w:r>
        <w:r>
          <w:rPr>
            <w:webHidden/>
            <w:rStyle w:val="IndexLink"/>
            <w:vanish w:val="false"/>
          </w:rPr>
          <w:t>CPL-02: Security Controls Oversight</w:t>
          <w:tab/>
          <w:t>62</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610">
        <w:r>
          <w:rPr>
            <w:webHidden/>
          </w:rPr>
          <w:fldChar w:fldCharType="begin"/>
        </w:r>
        <w:r>
          <w:rPr>
            <w:webHidden/>
          </w:rPr>
          <w:instrText>PAGEREF _Toc34920610 \h</w:instrText>
        </w:r>
        <w:r>
          <w:rPr>
            <w:webHidden/>
          </w:rPr>
          <w:fldChar w:fldCharType="separate"/>
        </w:r>
        <w:r>
          <w:rPr>
            <w:webHidden/>
            <w:rStyle w:val="IndexLink"/>
            <w:vanish w:val="false"/>
          </w:rPr>
          <w:t>CPL-02(a): Security Controls Oversight | Internal Audit Function</w:t>
          <w:tab/>
          <w:t>63</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611">
        <w:r>
          <w:rPr>
            <w:webHidden/>
          </w:rPr>
          <w:fldChar w:fldCharType="begin"/>
        </w:r>
        <w:r>
          <w:rPr>
            <w:webHidden/>
          </w:rPr>
          <w:instrText>PAGEREF _Toc34920611 \h</w:instrText>
        </w:r>
        <w:r>
          <w:rPr>
            <w:webHidden/>
          </w:rPr>
          <w:fldChar w:fldCharType="separate"/>
        </w:r>
        <w:r>
          <w:rPr>
            <w:webHidden/>
            <w:rStyle w:val="IndexLink"/>
            <w:vanish w:val="false"/>
          </w:rPr>
          <w:t>CPL-03: Security Assessments</w:t>
          <w:tab/>
          <w:t>63</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612">
        <w:r>
          <w:rPr>
            <w:webHidden/>
          </w:rPr>
          <w:fldChar w:fldCharType="begin"/>
        </w:r>
        <w:r>
          <w:rPr>
            <w:webHidden/>
          </w:rPr>
          <w:instrText>PAGEREF _Toc34920612 \h</w:instrText>
        </w:r>
        <w:r>
          <w:rPr>
            <w:webHidden/>
          </w:rPr>
          <w:fldChar w:fldCharType="separate"/>
        </w:r>
        <w:r>
          <w:rPr>
            <w:webHidden/>
            <w:rStyle w:val="IndexLink"/>
            <w:vanish w:val="false"/>
          </w:rPr>
          <w:t>CPL-03(a): Security Assessments | Independent Assessors</w:t>
          <w:tab/>
          <w:t>64</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613">
        <w:r>
          <w:rPr>
            <w:webHidden/>
          </w:rPr>
          <w:fldChar w:fldCharType="begin"/>
        </w:r>
        <w:r>
          <w:rPr>
            <w:webHidden/>
          </w:rPr>
          <w:instrText>PAGEREF _Toc34920613 \h</w:instrText>
        </w:r>
        <w:r>
          <w:rPr>
            <w:webHidden/>
          </w:rPr>
          <w:fldChar w:fldCharType="separate"/>
        </w:r>
        <w:r>
          <w:rPr>
            <w:webHidden/>
            <w:rStyle w:val="IndexLink"/>
            <w:vanish w:val="false"/>
          </w:rPr>
          <w:t>CPL-03(b): Security Assessments | Functional Review Of Security Controls</w:t>
          <w:tab/>
          <w:t>64</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614">
        <w:r>
          <w:rPr>
            <w:webHidden/>
          </w:rPr>
          <w:fldChar w:fldCharType="begin"/>
        </w:r>
        <w:r>
          <w:rPr>
            <w:webHidden/>
          </w:rPr>
          <w:instrText>PAGEREF _Toc34920614 \h</w:instrText>
        </w:r>
        <w:r>
          <w:rPr>
            <w:webHidden/>
          </w:rPr>
          <w:fldChar w:fldCharType="separate"/>
        </w:r>
        <w:r>
          <w:rPr>
            <w:webHidden/>
            <w:rStyle w:val="IndexLink"/>
            <w:vanish w:val="false"/>
          </w:rPr>
          <w:t>CPL-04: Audit Activities</w:t>
          <w:tab/>
          <w:t>64</w:t>
        </w:r>
        <w:r>
          <w:rPr>
            <w:webHidden/>
          </w:rPr>
          <w:fldChar w:fldCharType="end"/>
        </w:r>
      </w:hyperlink>
    </w:p>
    <w:p>
      <w:pPr>
        <w:pStyle w:val="Contents1"/>
        <w:rPr>
          <w:rFonts w:eastAsia="" w:cs="" w:cstheme="minorBidi" w:eastAsiaTheme="minorEastAsia"/>
          <w:b w:val="false"/>
          <w:b w:val="false"/>
          <w:caps w:val="false"/>
          <w:smallCaps w:val="false"/>
          <w:color w:val="auto"/>
          <w:sz w:val="22"/>
          <w:szCs w:val="22"/>
          <w:u w:val="none"/>
        </w:rPr>
      </w:pPr>
      <w:hyperlink w:anchor="_Toc34920615">
        <w:r>
          <w:rPr>
            <w:webHidden/>
          </w:rPr>
          <w:fldChar w:fldCharType="begin"/>
        </w:r>
        <w:r>
          <w:rPr>
            <w:webHidden/>
          </w:rPr>
          <w:instrText>PAGEREF _Toc34920615 \h</w:instrText>
        </w:r>
        <w:r>
          <w:rPr>
            <w:webHidden/>
          </w:rPr>
          <w:fldChar w:fldCharType="separate"/>
        </w:r>
        <w:r>
          <w:rPr>
            <w:webHidden/>
            <w:rStyle w:val="IndexLink"/>
            <w:vanish w:val="false"/>
          </w:rPr>
          <w:t>Configuration Management (CFG) Policy &amp; Standards</w:t>
          <w:tab/>
          <w:t>65</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616">
        <w:r>
          <w:rPr>
            <w:webHidden/>
          </w:rPr>
          <w:fldChar w:fldCharType="begin"/>
        </w:r>
        <w:r>
          <w:rPr>
            <w:webHidden/>
          </w:rPr>
          <w:instrText>PAGEREF _Toc34920616 \h</w:instrText>
        </w:r>
        <w:r>
          <w:rPr>
            <w:webHidden/>
          </w:rPr>
          <w:fldChar w:fldCharType="separate"/>
        </w:r>
        <w:r>
          <w:rPr>
            <w:webHidden/>
            <w:rStyle w:val="IndexLink"/>
            <w:vanish w:val="false"/>
          </w:rPr>
          <w:t>CFG-01: Configuration Management Program</w:t>
          <w:tab/>
          <w:t>65</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617">
        <w:r>
          <w:rPr>
            <w:webHidden/>
          </w:rPr>
          <w:fldChar w:fldCharType="begin"/>
        </w:r>
        <w:r>
          <w:rPr>
            <w:webHidden/>
          </w:rPr>
          <w:instrText>PAGEREF _Toc34920617 \h</w:instrText>
        </w:r>
        <w:r>
          <w:rPr>
            <w:webHidden/>
          </w:rPr>
          <w:fldChar w:fldCharType="separate"/>
        </w:r>
        <w:r>
          <w:rPr>
            <w:webHidden/>
            <w:rStyle w:val="IndexLink"/>
            <w:vanish w:val="false"/>
          </w:rPr>
          <w:t>CFG-01(a): Configuration Management Program | Assignment of Responsibility</w:t>
          <w:tab/>
          <w:t>65</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618">
        <w:r>
          <w:rPr>
            <w:webHidden/>
          </w:rPr>
          <w:fldChar w:fldCharType="begin"/>
        </w:r>
        <w:r>
          <w:rPr>
            <w:webHidden/>
          </w:rPr>
          <w:instrText>PAGEREF _Toc34920618 \h</w:instrText>
        </w:r>
        <w:r>
          <w:rPr>
            <w:webHidden/>
          </w:rPr>
          <w:fldChar w:fldCharType="separate"/>
        </w:r>
        <w:r>
          <w:rPr>
            <w:webHidden/>
            <w:rStyle w:val="IndexLink"/>
            <w:vanish w:val="false"/>
          </w:rPr>
          <w:t>CFG-02: System Hardening Through Baseline Configurations</w:t>
          <w:tab/>
          <w:t>65</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619">
        <w:r>
          <w:rPr>
            <w:webHidden/>
          </w:rPr>
          <w:fldChar w:fldCharType="begin"/>
        </w:r>
        <w:r>
          <w:rPr>
            <w:webHidden/>
          </w:rPr>
          <w:instrText>PAGEREF _Toc34920619 \h</w:instrText>
        </w:r>
        <w:r>
          <w:rPr>
            <w:webHidden/>
          </w:rPr>
          <w:fldChar w:fldCharType="separate"/>
        </w:r>
        <w:r>
          <w:rPr>
            <w:webHidden/>
            <w:rStyle w:val="IndexLink"/>
            <w:vanish w:val="false"/>
          </w:rPr>
          <w:t>CFG-02(a): System Hardening Through Baseline Configurations | Reviews &amp; Updates</w:t>
          <w:tab/>
          <w:t>66</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620">
        <w:r>
          <w:rPr>
            <w:webHidden/>
          </w:rPr>
          <w:fldChar w:fldCharType="begin"/>
        </w:r>
        <w:r>
          <w:rPr>
            <w:webHidden/>
          </w:rPr>
          <w:instrText>PAGEREF _Toc34920620 \h</w:instrText>
        </w:r>
        <w:r>
          <w:rPr>
            <w:webHidden/>
          </w:rPr>
          <w:fldChar w:fldCharType="separate"/>
        </w:r>
        <w:r>
          <w:rPr>
            <w:webHidden/>
            <w:rStyle w:val="IndexLink"/>
            <w:vanish w:val="false"/>
          </w:rPr>
          <w:t>CFG-02(b): System Hardening Through Baseline Configurations | Automated Central Management &amp; Verification</w:t>
          <w:tab/>
          <w:t>67</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621">
        <w:r>
          <w:rPr>
            <w:webHidden/>
          </w:rPr>
          <w:fldChar w:fldCharType="begin"/>
        </w:r>
        <w:r>
          <w:rPr>
            <w:webHidden/>
          </w:rPr>
          <w:instrText>PAGEREF _Toc34920621 \h</w:instrText>
        </w:r>
        <w:r>
          <w:rPr>
            <w:webHidden/>
          </w:rPr>
          <w:fldChar w:fldCharType="separate"/>
        </w:r>
        <w:r>
          <w:rPr>
            <w:webHidden/>
            <w:rStyle w:val="IndexLink"/>
            <w:vanish w:val="false"/>
          </w:rPr>
          <w:t>CFG-02(c): System Hardening Through Baseline Configurations | Retention Of Previous Configurations</w:t>
          <w:tab/>
          <w:t>67</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622">
        <w:r>
          <w:rPr>
            <w:webHidden/>
          </w:rPr>
          <w:fldChar w:fldCharType="begin"/>
        </w:r>
        <w:r>
          <w:rPr>
            <w:webHidden/>
          </w:rPr>
          <w:instrText>PAGEREF _Toc34920622 \h</w:instrText>
        </w:r>
        <w:r>
          <w:rPr>
            <w:webHidden/>
          </w:rPr>
          <w:fldChar w:fldCharType="separate"/>
        </w:r>
        <w:r>
          <w:rPr>
            <w:webHidden/>
            <w:rStyle w:val="IndexLink"/>
            <w:vanish w:val="false"/>
          </w:rPr>
          <w:t>CFG-02(d): System Hardening Through Baseline Configurations | Development &amp; Test Environments</w:t>
          <w:tab/>
          <w:t>67</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623">
        <w:r>
          <w:rPr>
            <w:webHidden/>
          </w:rPr>
          <w:fldChar w:fldCharType="begin"/>
        </w:r>
        <w:r>
          <w:rPr>
            <w:webHidden/>
          </w:rPr>
          <w:instrText>PAGEREF _Toc34920623 \h</w:instrText>
        </w:r>
        <w:r>
          <w:rPr>
            <w:webHidden/>
          </w:rPr>
          <w:fldChar w:fldCharType="separate"/>
        </w:r>
        <w:r>
          <w:rPr>
            <w:webHidden/>
            <w:rStyle w:val="IndexLink"/>
            <w:vanish w:val="false"/>
          </w:rPr>
          <w:t>CFG-02(e): System Hardening Through Baseline Configurations | Configure Systems, Components or Devices for High-Risk Areas</w:t>
          <w:tab/>
          <w:t>68</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624">
        <w:r>
          <w:rPr>
            <w:webHidden/>
          </w:rPr>
          <w:fldChar w:fldCharType="begin"/>
        </w:r>
        <w:r>
          <w:rPr>
            <w:webHidden/>
          </w:rPr>
          <w:instrText>PAGEREF _Toc34920624 \h</w:instrText>
        </w:r>
        <w:r>
          <w:rPr>
            <w:webHidden/>
          </w:rPr>
          <w:fldChar w:fldCharType="separate"/>
        </w:r>
        <w:r>
          <w:rPr>
            <w:webHidden/>
            <w:rStyle w:val="IndexLink"/>
            <w:vanish w:val="false"/>
          </w:rPr>
          <w:t>CFG-02(f): System Hardening Through Baseline Configurations | Network Device Configuration File Synchronization</w:t>
          <w:tab/>
          <w:t>68</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625">
        <w:r>
          <w:rPr>
            <w:webHidden/>
          </w:rPr>
          <w:fldChar w:fldCharType="begin"/>
        </w:r>
        <w:r>
          <w:rPr>
            <w:webHidden/>
          </w:rPr>
          <w:instrText>PAGEREF _Toc34920625 \h</w:instrText>
        </w:r>
        <w:r>
          <w:rPr>
            <w:webHidden/>
          </w:rPr>
          <w:fldChar w:fldCharType="separate"/>
        </w:r>
        <w:r>
          <w:rPr>
            <w:webHidden/>
            <w:rStyle w:val="IndexLink"/>
            <w:vanish w:val="false"/>
          </w:rPr>
          <w:t>CFG-02(g): System Hardening Through Baseline Configurations | Approved Deviations</w:t>
          <w:tab/>
          <w:t>68</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626">
        <w:r>
          <w:rPr>
            <w:webHidden/>
          </w:rPr>
          <w:fldChar w:fldCharType="begin"/>
        </w:r>
        <w:r>
          <w:rPr>
            <w:webHidden/>
          </w:rPr>
          <w:instrText>PAGEREF _Toc34920626 \h</w:instrText>
        </w:r>
        <w:r>
          <w:rPr>
            <w:webHidden/>
          </w:rPr>
          <w:fldChar w:fldCharType="separate"/>
        </w:r>
        <w:r>
          <w:rPr>
            <w:webHidden/>
            <w:rStyle w:val="IndexLink"/>
            <w:vanish w:val="false"/>
          </w:rPr>
          <w:t>CFG-02(h): System Hardening Through Baseline Configurations | Respond To Unauthorized Changes</w:t>
          <w:tab/>
          <w:t>69</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627">
        <w:r>
          <w:rPr>
            <w:webHidden/>
          </w:rPr>
          <w:fldChar w:fldCharType="begin"/>
        </w:r>
        <w:r>
          <w:rPr>
            <w:webHidden/>
          </w:rPr>
          <w:instrText>PAGEREF _Toc34920627 \h</w:instrText>
        </w:r>
        <w:r>
          <w:rPr>
            <w:webHidden/>
          </w:rPr>
          <w:fldChar w:fldCharType="separate"/>
        </w:r>
        <w:r>
          <w:rPr>
            <w:webHidden/>
            <w:rStyle w:val="IndexLink"/>
            <w:vanish w:val="false"/>
          </w:rPr>
          <w:t>CFG-02(i): System Hardening Through Baseline Configurations | Baseline Tailoring</w:t>
          <w:tab/>
          <w:t>69</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628">
        <w:r>
          <w:rPr>
            <w:webHidden/>
          </w:rPr>
          <w:fldChar w:fldCharType="begin"/>
        </w:r>
        <w:r>
          <w:rPr>
            <w:webHidden/>
          </w:rPr>
          <w:instrText>PAGEREF _Toc34920628 \h</w:instrText>
        </w:r>
        <w:r>
          <w:rPr>
            <w:webHidden/>
          </w:rPr>
          <w:fldChar w:fldCharType="separate"/>
        </w:r>
        <w:r>
          <w:rPr>
            <w:webHidden/>
            <w:rStyle w:val="IndexLink"/>
            <w:vanish w:val="false"/>
          </w:rPr>
          <w:t>CFG-03: Least Functionality</w:t>
          <w:tab/>
          <w:t>69</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629">
        <w:r>
          <w:rPr>
            <w:webHidden/>
          </w:rPr>
          <w:fldChar w:fldCharType="begin"/>
        </w:r>
        <w:r>
          <w:rPr>
            <w:webHidden/>
          </w:rPr>
          <w:instrText>PAGEREF _Toc34920629 \h</w:instrText>
        </w:r>
        <w:r>
          <w:rPr>
            <w:webHidden/>
          </w:rPr>
          <w:fldChar w:fldCharType="separate"/>
        </w:r>
        <w:r>
          <w:rPr>
            <w:webHidden/>
            <w:rStyle w:val="IndexLink"/>
            <w:vanish w:val="false"/>
          </w:rPr>
          <w:t>CFG-03(a): Least Functionality | Periodic Review</w:t>
          <w:tab/>
          <w:t>70</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630">
        <w:r>
          <w:rPr>
            <w:webHidden/>
          </w:rPr>
          <w:fldChar w:fldCharType="begin"/>
        </w:r>
        <w:r>
          <w:rPr>
            <w:webHidden/>
          </w:rPr>
          <w:instrText>PAGEREF _Toc34920630 \h</w:instrText>
        </w:r>
        <w:r>
          <w:rPr>
            <w:webHidden/>
          </w:rPr>
          <w:fldChar w:fldCharType="separate"/>
        </w:r>
        <w:r>
          <w:rPr>
            <w:webHidden/>
            <w:rStyle w:val="IndexLink"/>
            <w:vanish w:val="false"/>
          </w:rPr>
          <w:t>CFG-03(b): Least Functionality | Prevent Program Execution</w:t>
          <w:tab/>
          <w:t>70</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631">
        <w:r>
          <w:rPr>
            <w:webHidden/>
          </w:rPr>
          <w:fldChar w:fldCharType="begin"/>
        </w:r>
        <w:r>
          <w:rPr>
            <w:webHidden/>
          </w:rPr>
          <w:instrText>PAGEREF _Toc34920631 \h</w:instrText>
        </w:r>
        <w:r>
          <w:rPr>
            <w:webHidden/>
          </w:rPr>
          <w:fldChar w:fldCharType="separate"/>
        </w:r>
        <w:r>
          <w:rPr>
            <w:webHidden/>
            <w:rStyle w:val="IndexLink"/>
            <w:vanish w:val="false"/>
          </w:rPr>
          <w:t>CFG-03(c): Least Functionality | Unauthorized or Authorized Software (Blacklisting or Whitelisting)</w:t>
          <w:tab/>
          <w:t>70</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632">
        <w:r>
          <w:rPr>
            <w:webHidden/>
          </w:rPr>
          <w:fldChar w:fldCharType="begin"/>
        </w:r>
        <w:r>
          <w:rPr>
            <w:webHidden/>
          </w:rPr>
          <w:instrText>PAGEREF _Toc34920632 \h</w:instrText>
        </w:r>
        <w:r>
          <w:rPr>
            <w:webHidden/>
          </w:rPr>
          <w:fldChar w:fldCharType="separate"/>
        </w:r>
        <w:r>
          <w:rPr>
            <w:webHidden/>
            <w:rStyle w:val="IndexLink"/>
            <w:vanish w:val="false"/>
          </w:rPr>
          <w:t>CFG-03(d): Least Functionality | Split Tunneling</w:t>
          <w:tab/>
          <w:t>70</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633">
        <w:r>
          <w:rPr>
            <w:webHidden/>
          </w:rPr>
          <w:fldChar w:fldCharType="begin"/>
        </w:r>
        <w:r>
          <w:rPr>
            <w:webHidden/>
          </w:rPr>
          <w:instrText>PAGEREF _Toc34920633 \h</w:instrText>
        </w:r>
        <w:r>
          <w:rPr>
            <w:webHidden/>
          </w:rPr>
          <w:fldChar w:fldCharType="separate"/>
        </w:r>
        <w:r>
          <w:rPr>
            <w:webHidden/>
            <w:rStyle w:val="IndexLink"/>
            <w:vanish w:val="false"/>
          </w:rPr>
          <w:t>CFG-04: Software Usage Restrictions</w:t>
          <w:tab/>
          <w:t>71</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634">
        <w:r>
          <w:rPr>
            <w:webHidden/>
          </w:rPr>
          <w:fldChar w:fldCharType="begin"/>
        </w:r>
        <w:r>
          <w:rPr>
            <w:webHidden/>
          </w:rPr>
          <w:instrText>PAGEREF _Toc34920634 \h</w:instrText>
        </w:r>
        <w:r>
          <w:rPr>
            <w:webHidden/>
          </w:rPr>
          <w:fldChar w:fldCharType="separate"/>
        </w:r>
        <w:r>
          <w:rPr>
            <w:webHidden/>
            <w:rStyle w:val="IndexLink"/>
            <w:vanish w:val="false"/>
          </w:rPr>
          <w:t>CFG-04(a): Software Usage Restrictions | Open Source Software</w:t>
          <w:tab/>
          <w:t>71</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635">
        <w:r>
          <w:rPr>
            <w:webHidden/>
          </w:rPr>
          <w:fldChar w:fldCharType="begin"/>
        </w:r>
        <w:r>
          <w:rPr>
            <w:webHidden/>
          </w:rPr>
          <w:instrText>PAGEREF _Toc34920635 \h</w:instrText>
        </w:r>
        <w:r>
          <w:rPr>
            <w:webHidden/>
          </w:rPr>
          <w:fldChar w:fldCharType="separate"/>
        </w:r>
        <w:r>
          <w:rPr>
            <w:webHidden/>
            <w:rStyle w:val="IndexLink"/>
            <w:vanish w:val="false"/>
          </w:rPr>
          <w:t>CFG-04(b): Software Usage Restrictions | Unsupported Internet Browsers &amp; Email Clients</w:t>
          <w:tab/>
          <w:t>71</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636">
        <w:r>
          <w:rPr>
            <w:webHidden/>
          </w:rPr>
          <w:fldChar w:fldCharType="begin"/>
        </w:r>
        <w:r>
          <w:rPr>
            <w:webHidden/>
          </w:rPr>
          <w:instrText>PAGEREF _Toc34920636 \h</w:instrText>
        </w:r>
        <w:r>
          <w:rPr>
            <w:webHidden/>
          </w:rPr>
          <w:fldChar w:fldCharType="separate"/>
        </w:r>
        <w:r>
          <w:rPr>
            <w:webHidden/>
            <w:rStyle w:val="IndexLink"/>
            <w:vanish w:val="false"/>
          </w:rPr>
          <w:t>CFG-05: User-Installed Software</w:t>
          <w:tab/>
          <w:t>72</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637">
        <w:r>
          <w:rPr>
            <w:webHidden/>
          </w:rPr>
          <w:fldChar w:fldCharType="begin"/>
        </w:r>
        <w:r>
          <w:rPr>
            <w:webHidden/>
          </w:rPr>
          <w:instrText>PAGEREF _Toc34920637 \h</w:instrText>
        </w:r>
        <w:r>
          <w:rPr>
            <w:webHidden/>
          </w:rPr>
          <w:fldChar w:fldCharType="separate"/>
        </w:r>
        <w:r>
          <w:rPr>
            <w:webHidden/>
            <w:rStyle w:val="IndexLink"/>
            <w:vanish w:val="false"/>
          </w:rPr>
          <w:t>CFG-05(a): User-Installed Software | Unauthorized Installation Alerts</w:t>
          <w:tab/>
          <w:t>72</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638">
        <w:r>
          <w:rPr>
            <w:webHidden/>
          </w:rPr>
          <w:fldChar w:fldCharType="begin"/>
        </w:r>
        <w:r>
          <w:rPr>
            <w:webHidden/>
          </w:rPr>
          <w:instrText>PAGEREF _Toc34920638 \h</w:instrText>
        </w:r>
        <w:r>
          <w:rPr>
            <w:webHidden/>
          </w:rPr>
          <w:fldChar w:fldCharType="separate"/>
        </w:r>
        <w:r>
          <w:rPr>
            <w:webHidden/>
            <w:rStyle w:val="IndexLink"/>
            <w:vanish w:val="false"/>
          </w:rPr>
          <w:t>CFG-05(b): User-Installed Software | Prohibit Installation Without Privileged Status</w:t>
          <w:tab/>
          <w:t>72</w:t>
        </w:r>
        <w:r>
          <w:rPr>
            <w:webHidden/>
          </w:rPr>
          <w:fldChar w:fldCharType="end"/>
        </w:r>
      </w:hyperlink>
    </w:p>
    <w:p>
      <w:pPr>
        <w:pStyle w:val="Contents1"/>
        <w:rPr>
          <w:rFonts w:eastAsia="" w:cs="" w:cstheme="minorBidi" w:eastAsiaTheme="minorEastAsia"/>
          <w:b w:val="false"/>
          <w:b w:val="false"/>
          <w:caps w:val="false"/>
          <w:smallCaps w:val="false"/>
          <w:color w:val="auto"/>
          <w:sz w:val="22"/>
          <w:szCs w:val="22"/>
          <w:u w:val="none"/>
        </w:rPr>
      </w:pPr>
      <w:hyperlink w:anchor="_Toc34920639">
        <w:r>
          <w:rPr>
            <w:webHidden/>
          </w:rPr>
          <w:fldChar w:fldCharType="begin"/>
        </w:r>
        <w:r>
          <w:rPr>
            <w:webHidden/>
          </w:rPr>
          <w:instrText>PAGEREF _Toc34920639 \h</w:instrText>
        </w:r>
        <w:r>
          <w:rPr>
            <w:webHidden/>
          </w:rPr>
          <w:fldChar w:fldCharType="separate"/>
        </w:r>
        <w:r>
          <w:rPr>
            <w:webHidden/>
            <w:rStyle w:val="IndexLink"/>
            <w:vanish w:val="false"/>
          </w:rPr>
          <w:t>Continuous Monitoring (MON) Policy &amp; Standards</w:t>
          <w:tab/>
          <w:t>73</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640">
        <w:r>
          <w:rPr>
            <w:webHidden/>
          </w:rPr>
          <w:fldChar w:fldCharType="begin"/>
        </w:r>
        <w:r>
          <w:rPr>
            <w:webHidden/>
          </w:rPr>
          <w:instrText>PAGEREF _Toc34920640 \h</w:instrText>
        </w:r>
        <w:r>
          <w:rPr>
            <w:webHidden/>
          </w:rPr>
          <w:fldChar w:fldCharType="separate"/>
        </w:r>
        <w:r>
          <w:rPr>
            <w:webHidden/>
            <w:rStyle w:val="IndexLink"/>
            <w:vanish w:val="false"/>
          </w:rPr>
          <w:t>MON-01: Continuous Monitoring</w:t>
          <w:tab/>
          <w:t>73</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641">
        <w:r>
          <w:rPr>
            <w:webHidden/>
          </w:rPr>
          <w:fldChar w:fldCharType="begin"/>
        </w:r>
        <w:r>
          <w:rPr>
            <w:webHidden/>
          </w:rPr>
          <w:instrText>PAGEREF _Toc34920641 \h</w:instrText>
        </w:r>
        <w:r>
          <w:rPr>
            <w:webHidden/>
          </w:rPr>
          <w:fldChar w:fldCharType="separate"/>
        </w:r>
        <w:r>
          <w:rPr>
            <w:webHidden/>
            <w:rStyle w:val="IndexLink"/>
            <w:vanish w:val="false"/>
          </w:rPr>
          <w:t>MON-01(a): Continuous Monitoring | Intrusion Detection &amp; Prevention Systems (IDS &amp; IPS)</w:t>
          <w:tab/>
          <w:t>74</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642">
        <w:r>
          <w:rPr>
            <w:webHidden/>
          </w:rPr>
          <w:fldChar w:fldCharType="begin"/>
        </w:r>
        <w:r>
          <w:rPr>
            <w:webHidden/>
          </w:rPr>
          <w:instrText>PAGEREF _Toc34920642 \h</w:instrText>
        </w:r>
        <w:r>
          <w:rPr>
            <w:webHidden/>
          </w:rPr>
          <w:fldChar w:fldCharType="separate"/>
        </w:r>
        <w:r>
          <w:rPr>
            <w:webHidden/>
            <w:rStyle w:val="IndexLink"/>
            <w:vanish w:val="false"/>
          </w:rPr>
          <w:t>MON-01(b): Continuous Monitoring | Automated Tools for Real-Time Analysis</w:t>
          <w:tab/>
          <w:t>74</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643">
        <w:r>
          <w:rPr>
            <w:webHidden/>
          </w:rPr>
          <w:fldChar w:fldCharType="begin"/>
        </w:r>
        <w:r>
          <w:rPr>
            <w:webHidden/>
          </w:rPr>
          <w:instrText>PAGEREF _Toc34920643 \h</w:instrText>
        </w:r>
        <w:r>
          <w:rPr>
            <w:webHidden/>
          </w:rPr>
          <w:fldChar w:fldCharType="separate"/>
        </w:r>
        <w:r>
          <w:rPr>
            <w:webHidden/>
            <w:rStyle w:val="IndexLink"/>
            <w:vanish w:val="false"/>
          </w:rPr>
          <w:t>MON-01(c): Continuous Monitoring | Inbound &amp; Outbound Communications Traffic</w:t>
          <w:tab/>
          <w:t>74</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644">
        <w:r>
          <w:rPr>
            <w:webHidden/>
          </w:rPr>
          <w:fldChar w:fldCharType="begin"/>
        </w:r>
        <w:r>
          <w:rPr>
            <w:webHidden/>
          </w:rPr>
          <w:instrText>PAGEREF _Toc34920644 \h</w:instrText>
        </w:r>
        <w:r>
          <w:rPr>
            <w:webHidden/>
          </w:rPr>
          <w:fldChar w:fldCharType="separate"/>
        </w:r>
        <w:r>
          <w:rPr>
            <w:webHidden/>
            <w:rStyle w:val="IndexLink"/>
            <w:vanish w:val="false"/>
          </w:rPr>
          <w:t>MON-01(d): Continuous Monitoring | System Generated Alerts</w:t>
          <w:tab/>
          <w:t>74</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645">
        <w:r>
          <w:rPr>
            <w:webHidden/>
          </w:rPr>
          <w:fldChar w:fldCharType="begin"/>
        </w:r>
        <w:r>
          <w:rPr>
            <w:webHidden/>
          </w:rPr>
          <w:instrText>PAGEREF _Toc34920645 \h</w:instrText>
        </w:r>
        <w:r>
          <w:rPr>
            <w:webHidden/>
          </w:rPr>
          <w:fldChar w:fldCharType="separate"/>
        </w:r>
        <w:r>
          <w:rPr>
            <w:webHidden/>
            <w:rStyle w:val="IndexLink"/>
            <w:vanish w:val="false"/>
          </w:rPr>
          <w:t>MON-01(e): Continuous Monitoring | Wireless Intrusion Detection System (WIDS)</w:t>
          <w:tab/>
          <w:t>75</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646">
        <w:r>
          <w:rPr>
            <w:webHidden/>
          </w:rPr>
          <w:fldChar w:fldCharType="begin"/>
        </w:r>
        <w:r>
          <w:rPr>
            <w:webHidden/>
          </w:rPr>
          <w:instrText>PAGEREF _Toc34920646 \h</w:instrText>
        </w:r>
        <w:r>
          <w:rPr>
            <w:webHidden/>
          </w:rPr>
          <w:fldChar w:fldCharType="separate"/>
        </w:r>
        <w:r>
          <w:rPr>
            <w:webHidden/>
            <w:rStyle w:val="IndexLink"/>
            <w:vanish w:val="false"/>
          </w:rPr>
          <w:t>MON-01(f): Continuous Monitoring | Host-Based Devices</w:t>
          <w:tab/>
          <w:t>75</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647">
        <w:r>
          <w:rPr>
            <w:webHidden/>
          </w:rPr>
          <w:fldChar w:fldCharType="begin"/>
        </w:r>
        <w:r>
          <w:rPr>
            <w:webHidden/>
          </w:rPr>
          <w:instrText>PAGEREF _Toc34920647 \h</w:instrText>
        </w:r>
        <w:r>
          <w:rPr>
            <w:webHidden/>
          </w:rPr>
          <w:fldChar w:fldCharType="separate"/>
        </w:r>
        <w:r>
          <w:rPr>
            <w:webHidden/>
            <w:rStyle w:val="IndexLink"/>
            <w:vanish w:val="false"/>
          </w:rPr>
          <w:t>MON-01(g): Continuous Monitoring | File Integrity Monitoring (FIM)</w:t>
          <w:tab/>
          <w:t>75</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648">
        <w:r>
          <w:rPr>
            <w:webHidden/>
          </w:rPr>
          <w:fldChar w:fldCharType="begin"/>
        </w:r>
        <w:r>
          <w:rPr>
            <w:webHidden/>
          </w:rPr>
          <w:instrText>PAGEREF _Toc34920648 \h</w:instrText>
        </w:r>
        <w:r>
          <w:rPr>
            <w:webHidden/>
          </w:rPr>
          <w:fldChar w:fldCharType="separate"/>
        </w:r>
        <w:r>
          <w:rPr>
            <w:webHidden/>
            <w:rStyle w:val="IndexLink"/>
            <w:vanish w:val="false"/>
          </w:rPr>
          <w:t>MON-01(h): Continuous Monitoring | Reviews &amp; Updates</w:t>
          <w:tab/>
          <w:t>75</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649">
        <w:r>
          <w:rPr>
            <w:webHidden/>
          </w:rPr>
          <w:fldChar w:fldCharType="begin"/>
        </w:r>
        <w:r>
          <w:rPr>
            <w:webHidden/>
          </w:rPr>
          <w:instrText>PAGEREF _Toc34920649 \h</w:instrText>
        </w:r>
        <w:r>
          <w:rPr>
            <w:webHidden/>
          </w:rPr>
          <w:fldChar w:fldCharType="separate"/>
        </w:r>
        <w:r>
          <w:rPr>
            <w:webHidden/>
            <w:rStyle w:val="IndexLink"/>
            <w:vanish w:val="false"/>
          </w:rPr>
          <w:t>MON-01(i): Continuous Monitoring | Proxy Logging</w:t>
          <w:tab/>
          <w:t>76</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650">
        <w:r>
          <w:rPr>
            <w:webHidden/>
          </w:rPr>
          <w:fldChar w:fldCharType="begin"/>
        </w:r>
        <w:r>
          <w:rPr>
            <w:webHidden/>
          </w:rPr>
          <w:instrText>PAGEREF _Toc34920650 \h</w:instrText>
        </w:r>
        <w:r>
          <w:rPr>
            <w:webHidden/>
          </w:rPr>
          <w:fldChar w:fldCharType="separate"/>
        </w:r>
        <w:r>
          <w:rPr>
            <w:webHidden/>
            <w:rStyle w:val="IndexLink"/>
            <w:vanish w:val="false"/>
          </w:rPr>
          <w:t>MON-01(j): Continuous Monitoring | Deactivated Account Activity</w:t>
          <w:tab/>
          <w:t>76</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651">
        <w:r>
          <w:rPr>
            <w:webHidden/>
          </w:rPr>
          <w:fldChar w:fldCharType="begin"/>
        </w:r>
        <w:r>
          <w:rPr>
            <w:webHidden/>
          </w:rPr>
          <w:instrText>PAGEREF _Toc34920651 \h</w:instrText>
        </w:r>
        <w:r>
          <w:rPr>
            <w:webHidden/>
          </w:rPr>
          <w:fldChar w:fldCharType="separate"/>
        </w:r>
        <w:r>
          <w:rPr>
            <w:webHidden/>
            <w:rStyle w:val="IndexLink"/>
            <w:vanish w:val="false"/>
          </w:rPr>
          <w:t>MON-01(k): Continuous Monitoring | Automated Response To Suspicious Events</w:t>
          <w:tab/>
          <w:t>76</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652">
        <w:r>
          <w:rPr>
            <w:webHidden/>
          </w:rPr>
          <w:fldChar w:fldCharType="begin"/>
        </w:r>
        <w:r>
          <w:rPr>
            <w:webHidden/>
          </w:rPr>
          <w:instrText>PAGEREF _Toc34920652 \h</w:instrText>
        </w:r>
        <w:r>
          <w:rPr>
            <w:webHidden/>
          </w:rPr>
          <w:fldChar w:fldCharType="separate"/>
        </w:r>
        <w:r>
          <w:rPr>
            <w:webHidden/>
            <w:rStyle w:val="IndexLink"/>
            <w:vanish w:val="false"/>
          </w:rPr>
          <w:t>MON-01(l): Continuous Monitoring | Automated Alerts</w:t>
          <w:tab/>
          <w:t>76</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653">
        <w:r>
          <w:rPr>
            <w:webHidden/>
          </w:rPr>
          <w:fldChar w:fldCharType="begin"/>
        </w:r>
        <w:r>
          <w:rPr>
            <w:webHidden/>
          </w:rPr>
          <w:instrText>PAGEREF _Toc34920653 \h</w:instrText>
        </w:r>
        <w:r>
          <w:rPr>
            <w:webHidden/>
          </w:rPr>
          <w:fldChar w:fldCharType="separate"/>
        </w:r>
        <w:r>
          <w:rPr>
            <w:webHidden/>
            <w:rStyle w:val="IndexLink"/>
            <w:vanish w:val="false"/>
          </w:rPr>
          <w:t>MON-01(m): Continuous Monitoring | Analyze Traffic / Event Patterns</w:t>
          <w:tab/>
          <w:t>76</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654">
        <w:r>
          <w:rPr>
            <w:webHidden/>
          </w:rPr>
          <w:fldChar w:fldCharType="begin"/>
        </w:r>
        <w:r>
          <w:rPr>
            <w:webHidden/>
          </w:rPr>
          <w:instrText>PAGEREF _Toc34920654 \h</w:instrText>
        </w:r>
        <w:r>
          <w:rPr>
            <w:webHidden/>
          </w:rPr>
          <w:fldChar w:fldCharType="separate"/>
        </w:r>
        <w:r>
          <w:rPr>
            <w:webHidden/>
            <w:rStyle w:val="IndexLink"/>
            <w:vanish w:val="false"/>
          </w:rPr>
          <w:t>MON-01(n): Continuous Monitoring | Individuals Posing Greater Risk</w:t>
          <w:tab/>
          <w:t>77</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655">
        <w:r>
          <w:rPr>
            <w:webHidden/>
          </w:rPr>
          <w:fldChar w:fldCharType="begin"/>
        </w:r>
        <w:r>
          <w:rPr>
            <w:webHidden/>
          </w:rPr>
          <w:instrText>PAGEREF _Toc34920655 \h</w:instrText>
        </w:r>
        <w:r>
          <w:rPr>
            <w:webHidden/>
          </w:rPr>
          <w:fldChar w:fldCharType="separate"/>
        </w:r>
        <w:r>
          <w:rPr>
            <w:webHidden/>
            <w:rStyle w:val="IndexLink"/>
            <w:vanish w:val="false"/>
          </w:rPr>
          <w:t>MON-01(o): Continuous Monitoring | Privileged User Oversight</w:t>
          <w:tab/>
          <w:t>77</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656">
        <w:r>
          <w:rPr>
            <w:webHidden/>
          </w:rPr>
          <w:fldChar w:fldCharType="begin"/>
        </w:r>
        <w:r>
          <w:rPr>
            <w:webHidden/>
          </w:rPr>
          <w:instrText>PAGEREF _Toc34920656 \h</w:instrText>
        </w:r>
        <w:r>
          <w:rPr>
            <w:webHidden/>
          </w:rPr>
          <w:fldChar w:fldCharType="separate"/>
        </w:r>
        <w:r>
          <w:rPr>
            <w:webHidden/>
            <w:rStyle w:val="IndexLink"/>
            <w:vanish w:val="false"/>
          </w:rPr>
          <w:t>MON-01(p): Continuous Monitoring | Analyze &amp; Prioritize Monitoring Requirements</w:t>
          <w:tab/>
          <w:t>77</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657">
        <w:r>
          <w:rPr>
            <w:webHidden/>
          </w:rPr>
          <w:fldChar w:fldCharType="begin"/>
        </w:r>
        <w:r>
          <w:rPr>
            <w:webHidden/>
          </w:rPr>
          <w:instrText>PAGEREF _Toc34920657 \h</w:instrText>
        </w:r>
        <w:r>
          <w:rPr>
            <w:webHidden/>
          </w:rPr>
          <w:fldChar w:fldCharType="separate"/>
        </w:r>
        <w:r>
          <w:rPr>
            <w:webHidden/>
            <w:rStyle w:val="IndexLink"/>
            <w:vanish w:val="false"/>
          </w:rPr>
          <w:t>MON-02: Centralized Event Log Collection</w:t>
          <w:tab/>
          <w:t>78</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658">
        <w:r>
          <w:rPr>
            <w:webHidden/>
          </w:rPr>
          <w:fldChar w:fldCharType="begin"/>
        </w:r>
        <w:r>
          <w:rPr>
            <w:webHidden/>
          </w:rPr>
          <w:instrText>PAGEREF _Toc34920658 \h</w:instrText>
        </w:r>
        <w:r>
          <w:rPr>
            <w:webHidden/>
          </w:rPr>
          <w:fldChar w:fldCharType="separate"/>
        </w:r>
        <w:r>
          <w:rPr>
            <w:webHidden/>
            <w:rStyle w:val="IndexLink"/>
            <w:vanish w:val="false"/>
          </w:rPr>
          <w:t>MON-02(a): Centralized Security Event Log Collection | Correlate Monitoring Information</w:t>
          <w:tab/>
          <w:t>78</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659">
        <w:r>
          <w:rPr>
            <w:webHidden/>
          </w:rPr>
          <w:fldChar w:fldCharType="begin"/>
        </w:r>
        <w:r>
          <w:rPr>
            <w:webHidden/>
          </w:rPr>
          <w:instrText>PAGEREF _Toc34920659 \h</w:instrText>
        </w:r>
        <w:r>
          <w:rPr>
            <w:webHidden/>
          </w:rPr>
          <w:fldChar w:fldCharType="separate"/>
        </w:r>
        <w:r>
          <w:rPr>
            <w:webHidden/>
            <w:rStyle w:val="IndexLink"/>
            <w:vanish w:val="false"/>
          </w:rPr>
          <w:t>MON-02(b): Centralized Security Event Log Collection | Central Review &amp; Analysis</w:t>
          <w:tab/>
          <w:t>78</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660">
        <w:r>
          <w:rPr>
            <w:webHidden/>
          </w:rPr>
          <w:fldChar w:fldCharType="begin"/>
        </w:r>
        <w:r>
          <w:rPr>
            <w:webHidden/>
          </w:rPr>
          <w:instrText>PAGEREF _Toc34920660 \h</w:instrText>
        </w:r>
        <w:r>
          <w:rPr>
            <w:webHidden/>
          </w:rPr>
          <w:fldChar w:fldCharType="separate"/>
        </w:r>
        <w:r>
          <w:rPr>
            <w:webHidden/>
            <w:rStyle w:val="IndexLink"/>
            <w:vanish w:val="false"/>
          </w:rPr>
          <w:t>MON-02(c): Centralized Security Event Log Collection | Integration of Scanning &amp; Other Monitoring Information</w:t>
          <w:tab/>
          <w:t>79</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661">
        <w:r>
          <w:rPr>
            <w:webHidden/>
          </w:rPr>
          <w:fldChar w:fldCharType="begin"/>
        </w:r>
        <w:r>
          <w:rPr>
            <w:webHidden/>
          </w:rPr>
          <w:instrText>PAGEREF _Toc34920661 \h</w:instrText>
        </w:r>
        <w:r>
          <w:rPr>
            <w:webHidden/>
          </w:rPr>
          <w:fldChar w:fldCharType="separate"/>
        </w:r>
        <w:r>
          <w:rPr>
            <w:webHidden/>
            <w:rStyle w:val="IndexLink"/>
            <w:vanish w:val="false"/>
          </w:rPr>
          <w:t>MON-02(d): Centralized Security Event Log Collection | Correlation with Physical Monitoring</w:t>
          <w:tab/>
          <w:t>79</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662">
        <w:r>
          <w:rPr>
            <w:webHidden/>
          </w:rPr>
          <w:fldChar w:fldCharType="begin"/>
        </w:r>
        <w:r>
          <w:rPr>
            <w:webHidden/>
          </w:rPr>
          <w:instrText>PAGEREF _Toc34920662 \h</w:instrText>
        </w:r>
        <w:r>
          <w:rPr>
            <w:webHidden/>
          </w:rPr>
          <w:fldChar w:fldCharType="separate"/>
        </w:r>
        <w:r>
          <w:rPr>
            <w:webHidden/>
            <w:rStyle w:val="IndexLink"/>
            <w:vanish w:val="false"/>
          </w:rPr>
          <w:t>MON-02(e): Centralized Security Event Log Collection | Permitted Actions</w:t>
          <w:tab/>
          <w:t>79</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663">
        <w:r>
          <w:rPr>
            <w:webHidden/>
          </w:rPr>
          <w:fldChar w:fldCharType="begin"/>
        </w:r>
        <w:r>
          <w:rPr>
            <w:webHidden/>
          </w:rPr>
          <w:instrText>PAGEREF _Toc34920663 \h</w:instrText>
        </w:r>
        <w:r>
          <w:rPr>
            <w:webHidden/>
          </w:rPr>
          <w:fldChar w:fldCharType="separate"/>
        </w:r>
        <w:r>
          <w:rPr>
            <w:webHidden/>
            <w:rStyle w:val="IndexLink"/>
            <w:vanish w:val="false"/>
          </w:rPr>
          <w:t>MON-02(f): Centralized Security Event Log Collection | Audit Level Adjustment</w:t>
          <w:tab/>
          <w:t>80</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664">
        <w:r>
          <w:rPr>
            <w:webHidden/>
          </w:rPr>
          <w:fldChar w:fldCharType="begin"/>
        </w:r>
        <w:r>
          <w:rPr>
            <w:webHidden/>
          </w:rPr>
          <w:instrText>PAGEREF _Toc34920664 \h</w:instrText>
        </w:r>
        <w:r>
          <w:rPr>
            <w:webHidden/>
          </w:rPr>
          <w:fldChar w:fldCharType="separate"/>
        </w:r>
        <w:r>
          <w:rPr>
            <w:webHidden/>
            <w:rStyle w:val="IndexLink"/>
            <w:vanish w:val="false"/>
          </w:rPr>
          <w:t>MON-02(g): Centralized Security Event Log Collection | System-Wide / Time-Correlated Audit Trail</w:t>
          <w:tab/>
          <w:t>80</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665">
        <w:r>
          <w:rPr>
            <w:webHidden/>
          </w:rPr>
          <w:fldChar w:fldCharType="begin"/>
        </w:r>
        <w:r>
          <w:rPr>
            <w:webHidden/>
          </w:rPr>
          <w:instrText>PAGEREF _Toc34920665 \h</w:instrText>
        </w:r>
        <w:r>
          <w:rPr>
            <w:webHidden/>
          </w:rPr>
          <w:fldChar w:fldCharType="separate"/>
        </w:r>
        <w:r>
          <w:rPr>
            <w:webHidden/>
            <w:rStyle w:val="IndexLink"/>
            <w:vanish w:val="false"/>
          </w:rPr>
          <w:t>MON-02(h): Centralized Security Event Log Collection | Changes by Authorized Individuals</w:t>
          <w:tab/>
          <w:t>80</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666">
        <w:r>
          <w:rPr>
            <w:webHidden/>
          </w:rPr>
          <w:fldChar w:fldCharType="begin"/>
        </w:r>
        <w:r>
          <w:rPr>
            <w:webHidden/>
          </w:rPr>
          <w:instrText>PAGEREF _Toc34920666 \h</w:instrText>
        </w:r>
        <w:r>
          <w:rPr>
            <w:webHidden/>
          </w:rPr>
          <w:fldChar w:fldCharType="separate"/>
        </w:r>
        <w:r>
          <w:rPr>
            <w:webHidden/>
            <w:rStyle w:val="IndexLink"/>
            <w:vanish w:val="false"/>
          </w:rPr>
          <w:t>MON-03: Content of Audit Records</w:t>
          <w:tab/>
          <w:t>80</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667">
        <w:r>
          <w:rPr>
            <w:webHidden/>
          </w:rPr>
          <w:fldChar w:fldCharType="begin"/>
        </w:r>
        <w:r>
          <w:rPr>
            <w:webHidden/>
          </w:rPr>
          <w:instrText>PAGEREF _Toc34920667 \h</w:instrText>
        </w:r>
        <w:r>
          <w:rPr>
            <w:webHidden/>
          </w:rPr>
          <w:fldChar w:fldCharType="separate"/>
        </w:r>
        <w:r>
          <w:rPr>
            <w:webHidden/>
            <w:rStyle w:val="IndexLink"/>
            <w:vanish w:val="false"/>
          </w:rPr>
          <w:t>MON-03(a): Content Of Audit Records | Sensitive Audit Information</w:t>
          <w:tab/>
          <w:t>81</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668">
        <w:r>
          <w:rPr>
            <w:webHidden/>
          </w:rPr>
          <w:fldChar w:fldCharType="begin"/>
        </w:r>
        <w:r>
          <w:rPr>
            <w:webHidden/>
          </w:rPr>
          <w:instrText>PAGEREF _Toc34920668 \h</w:instrText>
        </w:r>
        <w:r>
          <w:rPr>
            <w:webHidden/>
          </w:rPr>
          <w:fldChar w:fldCharType="separate"/>
        </w:r>
        <w:r>
          <w:rPr>
            <w:webHidden/>
            <w:rStyle w:val="IndexLink"/>
            <w:vanish w:val="false"/>
          </w:rPr>
          <w:t>MON-03(b): Content Of Audit Records | Audit Trails</w:t>
          <w:tab/>
          <w:t>81</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669">
        <w:r>
          <w:rPr>
            <w:webHidden/>
          </w:rPr>
          <w:fldChar w:fldCharType="begin"/>
        </w:r>
        <w:r>
          <w:rPr>
            <w:webHidden/>
          </w:rPr>
          <w:instrText>PAGEREF _Toc34920669 \h</w:instrText>
        </w:r>
        <w:r>
          <w:rPr>
            <w:webHidden/>
          </w:rPr>
          <w:fldChar w:fldCharType="separate"/>
        </w:r>
        <w:r>
          <w:rPr>
            <w:webHidden/>
            <w:rStyle w:val="IndexLink"/>
            <w:vanish w:val="false"/>
          </w:rPr>
          <w:t>MON-03(c): Content Of Audit Records | Privileged Functions Logging</w:t>
          <w:tab/>
          <w:t>81</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670">
        <w:r>
          <w:rPr>
            <w:webHidden/>
          </w:rPr>
          <w:fldChar w:fldCharType="begin"/>
        </w:r>
        <w:r>
          <w:rPr>
            <w:webHidden/>
          </w:rPr>
          <w:instrText>PAGEREF _Toc34920670 \h</w:instrText>
        </w:r>
        <w:r>
          <w:rPr>
            <w:webHidden/>
          </w:rPr>
          <w:fldChar w:fldCharType="separate"/>
        </w:r>
        <w:r>
          <w:rPr>
            <w:webHidden/>
            <w:rStyle w:val="IndexLink"/>
            <w:vanish w:val="false"/>
          </w:rPr>
          <w:t>MON-03(d): Content Of Audit Records | Verbosity Logging for Boundary Devices</w:t>
          <w:tab/>
          <w:t>82</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671">
        <w:r>
          <w:rPr>
            <w:webHidden/>
          </w:rPr>
          <w:fldChar w:fldCharType="begin"/>
        </w:r>
        <w:r>
          <w:rPr>
            <w:webHidden/>
          </w:rPr>
          <w:instrText>PAGEREF _Toc34920671 \h</w:instrText>
        </w:r>
        <w:r>
          <w:rPr>
            <w:webHidden/>
          </w:rPr>
          <w:fldChar w:fldCharType="separate"/>
        </w:r>
        <w:r>
          <w:rPr>
            <w:webHidden/>
            <w:rStyle w:val="IndexLink"/>
            <w:vanish w:val="false"/>
          </w:rPr>
          <w:t>MON-03(e): Content Of Audit Records | Limit Personal Data (PD) In Audit Records</w:t>
          <w:tab/>
          <w:t>82</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672">
        <w:r>
          <w:rPr>
            <w:webHidden/>
          </w:rPr>
          <w:fldChar w:fldCharType="begin"/>
        </w:r>
        <w:r>
          <w:rPr>
            <w:webHidden/>
          </w:rPr>
          <w:instrText>PAGEREF _Toc34920672 \h</w:instrText>
        </w:r>
        <w:r>
          <w:rPr>
            <w:webHidden/>
          </w:rPr>
          <w:fldChar w:fldCharType="separate"/>
        </w:r>
        <w:r>
          <w:rPr>
            <w:webHidden/>
            <w:rStyle w:val="IndexLink"/>
            <w:vanish w:val="false"/>
          </w:rPr>
          <w:t>MON-03(f): Content of Audit Records | Centralized Management of Planned Audit Record Content</w:t>
          <w:tab/>
          <w:t>82</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673">
        <w:r>
          <w:rPr>
            <w:webHidden/>
          </w:rPr>
          <w:fldChar w:fldCharType="begin"/>
        </w:r>
        <w:r>
          <w:rPr>
            <w:webHidden/>
          </w:rPr>
          <w:instrText>PAGEREF _Toc34920673 \h</w:instrText>
        </w:r>
        <w:r>
          <w:rPr>
            <w:webHidden/>
          </w:rPr>
          <w:fldChar w:fldCharType="separate"/>
        </w:r>
        <w:r>
          <w:rPr>
            <w:webHidden/>
            <w:rStyle w:val="IndexLink"/>
            <w:vanish w:val="false"/>
          </w:rPr>
          <w:t>MON-04: Audit Storage Capacity</w:t>
          <w:tab/>
          <w:t>82</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674">
        <w:r>
          <w:rPr>
            <w:webHidden/>
          </w:rPr>
          <w:fldChar w:fldCharType="begin"/>
        </w:r>
        <w:r>
          <w:rPr>
            <w:webHidden/>
          </w:rPr>
          <w:instrText>PAGEREF _Toc34920674 \h</w:instrText>
        </w:r>
        <w:r>
          <w:rPr>
            <w:webHidden/>
          </w:rPr>
          <w:fldChar w:fldCharType="separate"/>
        </w:r>
        <w:r>
          <w:rPr>
            <w:webHidden/>
            <w:rStyle w:val="IndexLink"/>
            <w:vanish w:val="false"/>
          </w:rPr>
          <w:t>MON-05: Response To Audit Processing Failures</w:t>
          <w:tab/>
          <w:t>82</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675">
        <w:r>
          <w:rPr>
            <w:webHidden/>
          </w:rPr>
          <w:fldChar w:fldCharType="begin"/>
        </w:r>
        <w:r>
          <w:rPr>
            <w:webHidden/>
          </w:rPr>
          <w:instrText>PAGEREF _Toc34920675 \h</w:instrText>
        </w:r>
        <w:r>
          <w:rPr>
            <w:webHidden/>
          </w:rPr>
          <w:fldChar w:fldCharType="separate"/>
        </w:r>
        <w:r>
          <w:rPr>
            <w:webHidden/>
            <w:rStyle w:val="IndexLink"/>
            <w:vanish w:val="false"/>
          </w:rPr>
          <w:t>MON-05(a): Response To Audit Processing Failures | Real-Time Alerts of Audit Failure</w:t>
          <w:tab/>
          <w:t>83</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676">
        <w:r>
          <w:rPr>
            <w:webHidden/>
          </w:rPr>
          <w:fldChar w:fldCharType="begin"/>
        </w:r>
        <w:r>
          <w:rPr>
            <w:webHidden/>
          </w:rPr>
          <w:instrText>PAGEREF _Toc34920676 \h</w:instrText>
        </w:r>
        <w:r>
          <w:rPr>
            <w:webHidden/>
          </w:rPr>
          <w:fldChar w:fldCharType="separate"/>
        </w:r>
        <w:r>
          <w:rPr>
            <w:webHidden/>
            <w:rStyle w:val="IndexLink"/>
            <w:vanish w:val="false"/>
          </w:rPr>
          <w:t>MON-05(b): Response To Audit Processing Failures | Audit Storage Capacity Alerting</w:t>
          <w:tab/>
          <w:t>83</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677">
        <w:r>
          <w:rPr>
            <w:webHidden/>
          </w:rPr>
          <w:fldChar w:fldCharType="begin"/>
        </w:r>
        <w:r>
          <w:rPr>
            <w:webHidden/>
          </w:rPr>
          <w:instrText>PAGEREF _Toc34920677 \h</w:instrText>
        </w:r>
        <w:r>
          <w:rPr>
            <w:webHidden/>
          </w:rPr>
          <w:fldChar w:fldCharType="separate"/>
        </w:r>
        <w:r>
          <w:rPr>
            <w:webHidden/>
            <w:rStyle w:val="IndexLink"/>
            <w:vanish w:val="false"/>
          </w:rPr>
          <w:t>MON-06: Monitoring Reporting</w:t>
          <w:tab/>
          <w:t>83</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678">
        <w:r>
          <w:rPr>
            <w:webHidden/>
          </w:rPr>
          <w:fldChar w:fldCharType="begin"/>
        </w:r>
        <w:r>
          <w:rPr>
            <w:webHidden/>
          </w:rPr>
          <w:instrText>PAGEREF _Toc34920678 \h</w:instrText>
        </w:r>
        <w:r>
          <w:rPr>
            <w:webHidden/>
          </w:rPr>
          <w:fldChar w:fldCharType="separate"/>
        </w:r>
        <w:r>
          <w:rPr>
            <w:webHidden/>
            <w:rStyle w:val="IndexLink"/>
            <w:vanish w:val="false"/>
          </w:rPr>
          <w:t>MON-06(a): Monitoring Reporting | Query Parameter Audits of Personal Data (PD)</w:t>
          <w:tab/>
          <w:t>83</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679">
        <w:r>
          <w:rPr>
            <w:webHidden/>
          </w:rPr>
          <w:fldChar w:fldCharType="begin"/>
        </w:r>
        <w:r>
          <w:rPr>
            <w:webHidden/>
          </w:rPr>
          <w:instrText>PAGEREF _Toc34920679 \h</w:instrText>
        </w:r>
        <w:r>
          <w:rPr>
            <w:webHidden/>
          </w:rPr>
          <w:fldChar w:fldCharType="separate"/>
        </w:r>
        <w:r>
          <w:rPr>
            <w:webHidden/>
            <w:rStyle w:val="IndexLink"/>
            <w:vanish w:val="false"/>
          </w:rPr>
          <w:t>MON-06(b): Monitoring Reporting | Trend Analysis Reporting</w:t>
          <w:tab/>
          <w:t>84</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680">
        <w:r>
          <w:rPr>
            <w:webHidden/>
          </w:rPr>
          <w:fldChar w:fldCharType="begin"/>
        </w:r>
        <w:r>
          <w:rPr>
            <w:webHidden/>
          </w:rPr>
          <w:instrText>PAGEREF _Toc34920680 \h</w:instrText>
        </w:r>
        <w:r>
          <w:rPr>
            <w:webHidden/>
          </w:rPr>
          <w:fldChar w:fldCharType="separate"/>
        </w:r>
        <w:r>
          <w:rPr>
            <w:webHidden/>
            <w:rStyle w:val="IndexLink"/>
            <w:vanish w:val="false"/>
          </w:rPr>
          <w:t>MON-07: Time Stamps</w:t>
          <w:tab/>
          <w:t>84</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681">
        <w:r>
          <w:rPr>
            <w:webHidden/>
          </w:rPr>
          <w:fldChar w:fldCharType="begin"/>
        </w:r>
        <w:r>
          <w:rPr>
            <w:webHidden/>
          </w:rPr>
          <w:instrText>PAGEREF _Toc34920681 \h</w:instrText>
        </w:r>
        <w:r>
          <w:rPr>
            <w:webHidden/>
          </w:rPr>
          <w:fldChar w:fldCharType="separate"/>
        </w:r>
        <w:r>
          <w:rPr>
            <w:webHidden/>
            <w:rStyle w:val="IndexLink"/>
            <w:vanish w:val="false"/>
          </w:rPr>
          <w:t>MON-07(a): Time Stamps | Synchronization With Authoritative Time Source</w:t>
          <w:tab/>
          <w:t>84</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682">
        <w:r>
          <w:rPr>
            <w:webHidden/>
          </w:rPr>
          <w:fldChar w:fldCharType="begin"/>
        </w:r>
        <w:r>
          <w:rPr>
            <w:webHidden/>
          </w:rPr>
          <w:instrText>PAGEREF _Toc34920682 \h</w:instrText>
        </w:r>
        <w:r>
          <w:rPr>
            <w:webHidden/>
          </w:rPr>
          <w:fldChar w:fldCharType="separate"/>
        </w:r>
        <w:r>
          <w:rPr>
            <w:webHidden/>
            <w:rStyle w:val="IndexLink"/>
            <w:vanish w:val="false"/>
          </w:rPr>
          <w:t>MON-08: Protection of Audit Information</w:t>
          <w:tab/>
          <w:t>84</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683">
        <w:r>
          <w:rPr>
            <w:webHidden/>
          </w:rPr>
          <w:fldChar w:fldCharType="begin"/>
        </w:r>
        <w:r>
          <w:rPr>
            <w:webHidden/>
          </w:rPr>
          <w:instrText>PAGEREF _Toc34920683 \h</w:instrText>
        </w:r>
        <w:r>
          <w:rPr>
            <w:webHidden/>
          </w:rPr>
          <w:fldChar w:fldCharType="separate"/>
        </w:r>
        <w:r>
          <w:rPr>
            <w:webHidden/>
            <w:rStyle w:val="IndexLink"/>
            <w:vanish w:val="false"/>
          </w:rPr>
          <w:t>MON-08(a): Protection of Audit Information | Audit Backup on Separate Physical Systems / Components</w:t>
          <w:tab/>
          <w:t>85</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684">
        <w:r>
          <w:rPr>
            <w:webHidden/>
          </w:rPr>
          <w:fldChar w:fldCharType="begin"/>
        </w:r>
        <w:r>
          <w:rPr>
            <w:webHidden/>
          </w:rPr>
          <w:instrText>PAGEREF _Toc34920684 \h</w:instrText>
        </w:r>
        <w:r>
          <w:rPr>
            <w:webHidden/>
          </w:rPr>
          <w:fldChar w:fldCharType="separate"/>
        </w:r>
        <w:r>
          <w:rPr>
            <w:webHidden/>
            <w:rStyle w:val="IndexLink"/>
            <w:vanish w:val="false"/>
          </w:rPr>
          <w:t>MON-08(b): Protection of Audit Information | Access by Subset of Privileged Users</w:t>
          <w:tab/>
          <w:t>85</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685">
        <w:r>
          <w:rPr>
            <w:webHidden/>
          </w:rPr>
          <w:fldChar w:fldCharType="begin"/>
        </w:r>
        <w:r>
          <w:rPr>
            <w:webHidden/>
          </w:rPr>
          <w:instrText>PAGEREF _Toc34920685 \h</w:instrText>
        </w:r>
        <w:r>
          <w:rPr>
            <w:webHidden/>
          </w:rPr>
          <w:fldChar w:fldCharType="separate"/>
        </w:r>
        <w:r>
          <w:rPr>
            <w:webHidden/>
            <w:rStyle w:val="IndexLink"/>
            <w:vanish w:val="false"/>
          </w:rPr>
          <w:t>MON-08(c): Protection of Audit Information | Cryptographic Protection of Audit Information</w:t>
          <w:tab/>
          <w:t>85</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686">
        <w:r>
          <w:rPr>
            <w:webHidden/>
          </w:rPr>
          <w:fldChar w:fldCharType="begin"/>
        </w:r>
        <w:r>
          <w:rPr>
            <w:webHidden/>
          </w:rPr>
          <w:instrText>PAGEREF _Toc34920686 \h</w:instrText>
        </w:r>
        <w:r>
          <w:rPr>
            <w:webHidden/>
          </w:rPr>
          <w:fldChar w:fldCharType="separate"/>
        </w:r>
        <w:r>
          <w:rPr>
            <w:webHidden/>
            <w:rStyle w:val="IndexLink"/>
            <w:vanish w:val="false"/>
          </w:rPr>
          <w:t>MON-08(d): Protection of Audit Information | Dual Authorization</w:t>
          <w:tab/>
          <w:t>86</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687">
        <w:r>
          <w:rPr>
            <w:webHidden/>
          </w:rPr>
          <w:fldChar w:fldCharType="begin"/>
        </w:r>
        <w:r>
          <w:rPr>
            <w:webHidden/>
          </w:rPr>
          <w:instrText>PAGEREF _Toc34920687 \h</w:instrText>
        </w:r>
        <w:r>
          <w:rPr>
            <w:webHidden/>
          </w:rPr>
          <w:fldChar w:fldCharType="separate"/>
        </w:r>
        <w:r>
          <w:rPr>
            <w:webHidden/>
            <w:rStyle w:val="IndexLink"/>
            <w:vanish w:val="false"/>
          </w:rPr>
          <w:t>MON-09: Non-Repudiation</w:t>
          <w:tab/>
          <w:t>86</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688">
        <w:r>
          <w:rPr>
            <w:webHidden/>
          </w:rPr>
          <w:fldChar w:fldCharType="begin"/>
        </w:r>
        <w:r>
          <w:rPr>
            <w:webHidden/>
          </w:rPr>
          <w:instrText>PAGEREF _Toc34920688 \h</w:instrText>
        </w:r>
        <w:r>
          <w:rPr>
            <w:webHidden/>
          </w:rPr>
          <w:fldChar w:fldCharType="separate"/>
        </w:r>
        <w:r>
          <w:rPr>
            <w:webHidden/>
            <w:rStyle w:val="IndexLink"/>
            <w:vanish w:val="false"/>
          </w:rPr>
          <w:t>MON-10: Audit Record Retention</w:t>
          <w:tab/>
          <w:t>86</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689">
        <w:r>
          <w:rPr>
            <w:webHidden/>
          </w:rPr>
          <w:fldChar w:fldCharType="begin"/>
        </w:r>
        <w:r>
          <w:rPr>
            <w:webHidden/>
          </w:rPr>
          <w:instrText>PAGEREF _Toc34920689 \h</w:instrText>
        </w:r>
        <w:r>
          <w:rPr>
            <w:webHidden/>
          </w:rPr>
          <w:fldChar w:fldCharType="separate"/>
        </w:r>
        <w:r>
          <w:rPr>
            <w:webHidden/>
            <w:rStyle w:val="IndexLink"/>
            <w:vanish w:val="false"/>
          </w:rPr>
          <w:t>MON-11: Monitoring For Information Disclosure</w:t>
          <w:tab/>
          <w:t>87</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690">
        <w:r>
          <w:rPr>
            <w:webHidden/>
          </w:rPr>
          <w:fldChar w:fldCharType="begin"/>
        </w:r>
        <w:r>
          <w:rPr>
            <w:webHidden/>
          </w:rPr>
          <w:instrText>PAGEREF _Toc34920690 \h</w:instrText>
        </w:r>
        <w:r>
          <w:rPr>
            <w:webHidden/>
          </w:rPr>
          <w:fldChar w:fldCharType="separate"/>
        </w:r>
        <w:r>
          <w:rPr>
            <w:webHidden/>
            <w:rStyle w:val="IndexLink"/>
            <w:vanish w:val="false"/>
          </w:rPr>
          <w:t>MON-11(a): Monitoring For Information Disclosure | Analyze Traffic for Covert Exfiltration)</w:t>
          <w:tab/>
          <w:t>87</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691">
        <w:r>
          <w:rPr>
            <w:webHidden/>
          </w:rPr>
          <w:fldChar w:fldCharType="begin"/>
        </w:r>
        <w:r>
          <w:rPr>
            <w:webHidden/>
          </w:rPr>
          <w:instrText>PAGEREF _Toc34920691 \h</w:instrText>
        </w:r>
        <w:r>
          <w:rPr>
            <w:webHidden/>
          </w:rPr>
          <w:fldChar w:fldCharType="separate"/>
        </w:r>
        <w:r>
          <w:rPr>
            <w:webHidden/>
            <w:rStyle w:val="IndexLink"/>
            <w:vanish w:val="false"/>
          </w:rPr>
          <w:t>MON-11(b): Monitoring For Information Disclosure | Unauthorized Network Services</w:t>
          <w:tab/>
          <w:t>87</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692">
        <w:r>
          <w:rPr>
            <w:webHidden/>
          </w:rPr>
          <w:fldChar w:fldCharType="begin"/>
        </w:r>
        <w:r>
          <w:rPr>
            <w:webHidden/>
          </w:rPr>
          <w:instrText>PAGEREF _Toc34920692 \h</w:instrText>
        </w:r>
        <w:r>
          <w:rPr>
            <w:webHidden/>
          </w:rPr>
          <w:fldChar w:fldCharType="separate"/>
        </w:r>
        <w:r>
          <w:rPr>
            <w:webHidden/>
            <w:rStyle w:val="IndexLink"/>
            <w:vanish w:val="false"/>
          </w:rPr>
          <w:t>MON-11(c): Monitoring For Information Disclosure | Monitoring for Indicators of Compromise (IOC)</w:t>
          <w:tab/>
          <w:t>87</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693">
        <w:r>
          <w:rPr>
            <w:webHidden/>
          </w:rPr>
          <w:fldChar w:fldCharType="begin"/>
        </w:r>
        <w:r>
          <w:rPr>
            <w:webHidden/>
          </w:rPr>
          <w:instrText>PAGEREF _Toc34920693 \h</w:instrText>
        </w:r>
        <w:r>
          <w:rPr>
            <w:webHidden/>
          </w:rPr>
          <w:fldChar w:fldCharType="separate"/>
        </w:r>
        <w:r>
          <w:rPr>
            <w:webHidden/>
            <w:rStyle w:val="IndexLink"/>
            <w:vanish w:val="false"/>
          </w:rPr>
          <w:t>MON-12: Session Audit</w:t>
          <w:tab/>
          <w:t>88</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694">
        <w:r>
          <w:rPr>
            <w:webHidden/>
          </w:rPr>
          <w:fldChar w:fldCharType="begin"/>
        </w:r>
        <w:r>
          <w:rPr>
            <w:webHidden/>
          </w:rPr>
          <w:instrText>PAGEREF _Toc34920694 \h</w:instrText>
        </w:r>
        <w:r>
          <w:rPr>
            <w:webHidden/>
          </w:rPr>
          <w:fldChar w:fldCharType="separate"/>
        </w:r>
        <w:r>
          <w:rPr>
            <w:webHidden/>
            <w:rStyle w:val="IndexLink"/>
            <w:vanish w:val="false"/>
          </w:rPr>
          <w:t>MON-13: Alternate Audit Capability</w:t>
          <w:tab/>
          <w:t>88</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695">
        <w:r>
          <w:rPr>
            <w:webHidden/>
          </w:rPr>
          <w:fldChar w:fldCharType="begin"/>
        </w:r>
        <w:r>
          <w:rPr>
            <w:webHidden/>
          </w:rPr>
          <w:instrText>PAGEREF _Toc34920695 \h</w:instrText>
        </w:r>
        <w:r>
          <w:rPr>
            <w:webHidden/>
          </w:rPr>
          <w:fldChar w:fldCharType="separate"/>
        </w:r>
        <w:r>
          <w:rPr>
            <w:webHidden/>
            <w:rStyle w:val="IndexLink"/>
            <w:vanish w:val="false"/>
          </w:rPr>
          <w:t>MON-14: Cross-Organizational Monitoring</w:t>
          <w:tab/>
          <w:t>88</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696">
        <w:r>
          <w:rPr>
            <w:webHidden/>
          </w:rPr>
          <w:fldChar w:fldCharType="begin"/>
        </w:r>
        <w:r>
          <w:rPr>
            <w:webHidden/>
          </w:rPr>
          <w:instrText>PAGEREF _Toc34920696 \h</w:instrText>
        </w:r>
        <w:r>
          <w:rPr>
            <w:webHidden/>
          </w:rPr>
          <w:fldChar w:fldCharType="separate"/>
        </w:r>
        <w:r>
          <w:rPr>
            <w:webHidden/>
            <w:rStyle w:val="IndexLink"/>
            <w:vanish w:val="false"/>
          </w:rPr>
          <w:t>MON-14(a): Cross-Organizational Monitoring | Sharing of Audit Information</w:t>
          <w:tab/>
          <w:t>88</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697">
        <w:r>
          <w:rPr>
            <w:webHidden/>
          </w:rPr>
          <w:fldChar w:fldCharType="begin"/>
        </w:r>
        <w:r>
          <w:rPr>
            <w:webHidden/>
          </w:rPr>
          <w:instrText>PAGEREF _Toc34920697 \h</w:instrText>
        </w:r>
        <w:r>
          <w:rPr>
            <w:webHidden/>
          </w:rPr>
          <w:fldChar w:fldCharType="separate"/>
        </w:r>
        <w:r>
          <w:rPr>
            <w:webHidden/>
            <w:rStyle w:val="IndexLink"/>
            <w:vanish w:val="false"/>
          </w:rPr>
          <w:t>MON-15: Covert Channel Analysis</w:t>
          <w:tab/>
          <w:t>89</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698">
        <w:r>
          <w:rPr>
            <w:webHidden/>
          </w:rPr>
          <w:fldChar w:fldCharType="begin"/>
        </w:r>
        <w:r>
          <w:rPr>
            <w:webHidden/>
          </w:rPr>
          <w:instrText>PAGEREF _Toc34920698 \h</w:instrText>
        </w:r>
        <w:r>
          <w:rPr>
            <w:webHidden/>
          </w:rPr>
          <w:fldChar w:fldCharType="separate"/>
        </w:r>
        <w:r>
          <w:rPr>
            <w:webHidden/>
            <w:rStyle w:val="IndexLink"/>
            <w:vanish w:val="false"/>
          </w:rPr>
          <w:t>MON-16: Anomalous Behavior</w:t>
          <w:tab/>
          <w:t>89</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699">
        <w:r>
          <w:rPr>
            <w:webHidden/>
          </w:rPr>
          <w:fldChar w:fldCharType="begin"/>
        </w:r>
        <w:r>
          <w:rPr>
            <w:webHidden/>
          </w:rPr>
          <w:instrText>PAGEREF _Toc34920699 \h</w:instrText>
        </w:r>
        <w:r>
          <w:rPr>
            <w:webHidden/>
          </w:rPr>
          <w:fldChar w:fldCharType="separate"/>
        </w:r>
        <w:r>
          <w:rPr>
            <w:webHidden/>
            <w:rStyle w:val="IndexLink"/>
            <w:vanish w:val="false"/>
          </w:rPr>
          <w:t>MON-16(a): Anomalous Behavior | Insider Threats</w:t>
          <w:tab/>
          <w:t>89</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700">
        <w:r>
          <w:rPr>
            <w:webHidden/>
          </w:rPr>
          <w:fldChar w:fldCharType="begin"/>
        </w:r>
        <w:r>
          <w:rPr>
            <w:webHidden/>
          </w:rPr>
          <w:instrText>PAGEREF _Toc34920700 \h</w:instrText>
        </w:r>
        <w:r>
          <w:rPr>
            <w:webHidden/>
          </w:rPr>
          <w:fldChar w:fldCharType="separate"/>
        </w:r>
        <w:r>
          <w:rPr>
            <w:webHidden/>
            <w:rStyle w:val="IndexLink"/>
            <w:vanish w:val="false"/>
          </w:rPr>
          <w:t>MON-16(b): Anomalous Behavior | Third-Party Threats</w:t>
          <w:tab/>
          <w:t>90</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701">
        <w:r>
          <w:rPr>
            <w:webHidden/>
          </w:rPr>
          <w:fldChar w:fldCharType="begin"/>
        </w:r>
        <w:r>
          <w:rPr>
            <w:webHidden/>
          </w:rPr>
          <w:instrText>PAGEREF _Toc34920701 \h</w:instrText>
        </w:r>
        <w:r>
          <w:rPr>
            <w:webHidden/>
          </w:rPr>
          <w:fldChar w:fldCharType="separate"/>
        </w:r>
        <w:r>
          <w:rPr>
            <w:webHidden/>
            <w:rStyle w:val="IndexLink"/>
            <w:vanish w:val="false"/>
          </w:rPr>
          <w:t>MON-16(c): Anomalous Behavior | Unauthorized Activities</w:t>
          <w:tab/>
          <w:t>90</w:t>
        </w:r>
        <w:r>
          <w:rPr>
            <w:webHidden/>
          </w:rPr>
          <w:fldChar w:fldCharType="end"/>
        </w:r>
      </w:hyperlink>
    </w:p>
    <w:p>
      <w:pPr>
        <w:pStyle w:val="Contents1"/>
        <w:rPr>
          <w:rFonts w:eastAsia="" w:cs="" w:cstheme="minorBidi" w:eastAsiaTheme="minorEastAsia"/>
          <w:b w:val="false"/>
          <w:b w:val="false"/>
          <w:caps w:val="false"/>
          <w:smallCaps w:val="false"/>
          <w:color w:val="auto"/>
          <w:sz w:val="22"/>
          <w:szCs w:val="22"/>
          <w:u w:val="none"/>
        </w:rPr>
      </w:pPr>
      <w:hyperlink w:anchor="_Toc34920702">
        <w:r>
          <w:rPr>
            <w:webHidden/>
          </w:rPr>
          <w:fldChar w:fldCharType="begin"/>
        </w:r>
        <w:r>
          <w:rPr>
            <w:webHidden/>
          </w:rPr>
          <w:instrText>PAGEREF _Toc34920702 \h</w:instrText>
        </w:r>
        <w:r>
          <w:rPr>
            <w:webHidden/>
          </w:rPr>
          <w:fldChar w:fldCharType="separate"/>
        </w:r>
        <w:r>
          <w:rPr>
            <w:webHidden/>
            <w:rStyle w:val="IndexLink"/>
            <w:vanish w:val="false"/>
          </w:rPr>
          <w:t>Cryptographic Protections (CRY) Policy &amp; Standards</w:t>
          <w:tab/>
          <w:t>91</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703">
        <w:r>
          <w:rPr>
            <w:webHidden/>
          </w:rPr>
          <w:fldChar w:fldCharType="begin"/>
        </w:r>
        <w:r>
          <w:rPr>
            <w:webHidden/>
          </w:rPr>
          <w:instrText>PAGEREF _Toc34920703 \h</w:instrText>
        </w:r>
        <w:r>
          <w:rPr>
            <w:webHidden/>
          </w:rPr>
          <w:fldChar w:fldCharType="separate"/>
        </w:r>
        <w:r>
          <w:rPr>
            <w:webHidden/>
            <w:rStyle w:val="IndexLink"/>
            <w:vanish w:val="false"/>
          </w:rPr>
          <w:t>CRY-01: Use of Cryptographic Controls</w:t>
          <w:tab/>
          <w:t>91</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704">
        <w:r>
          <w:rPr>
            <w:webHidden/>
          </w:rPr>
          <w:fldChar w:fldCharType="begin"/>
        </w:r>
        <w:r>
          <w:rPr>
            <w:webHidden/>
          </w:rPr>
          <w:instrText>PAGEREF _Toc34920704 \h</w:instrText>
        </w:r>
        <w:r>
          <w:rPr>
            <w:webHidden/>
          </w:rPr>
          <w:fldChar w:fldCharType="separate"/>
        </w:r>
        <w:r>
          <w:rPr>
            <w:webHidden/>
            <w:rStyle w:val="IndexLink"/>
            <w:vanish w:val="false"/>
          </w:rPr>
          <w:t>CRY-01(a): Use of Cryptographic Controls | Alternate Physical Protection</w:t>
          <w:tab/>
          <w:t>91</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705">
        <w:r>
          <w:rPr>
            <w:webHidden/>
          </w:rPr>
          <w:fldChar w:fldCharType="begin"/>
        </w:r>
        <w:r>
          <w:rPr>
            <w:webHidden/>
          </w:rPr>
          <w:instrText>PAGEREF _Toc34920705 \h</w:instrText>
        </w:r>
        <w:r>
          <w:rPr>
            <w:webHidden/>
          </w:rPr>
          <w:fldChar w:fldCharType="separate"/>
        </w:r>
        <w:r>
          <w:rPr>
            <w:webHidden/>
            <w:rStyle w:val="IndexLink"/>
            <w:vanish w:val="false"/>
          </w:rPr>
          <w:t>CRY-01(b): Use of Cryptographic Controls | Export-Controlled Technology</w:t>
          <w:tab/>
          <w:t>92</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706">
        <w:r>
          <w:rPr>
            <w:webHidden/>
          </w:rPr>
          <w:fldChar w:fldCharType="begin"/>
        </w:r>
        <w:r>
          <w:rPr>
            <w:webHidden/>
          </w:rPr>
          <w:instrText>PAGEREF _Toc34920706 \h</w:instrText>
        </w:r>
        <w:r>
          <w:rPr>
            <w:webHidden/>
          </w:rPr>
          <w:fldChar w:fldCharType="separate"/>
        </w:r>
        <w:r>
          <w:rPr>
            <w:webHidden/>
            <w:rStyle w:val="IndexLink"/>
            <w:vanish w:val="false"/>
          </w:rPr>
          <w:t>CRY-01(c): Use of Cryptographic Controls | Pre / Post Transmission Handling</w:t>
          <w:tab/>
          <w:t>92</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707">
        <w:r>
          <w:rPr>
            <w:webHidden/>
          </w:rPr>
          <w:fldChar w:fldCharType="begin"/>
        </w:r>
        <w:r>
          <w:rPr>
            <w:webHidden/>
          </w:rPr>
          <w:instrText>PAGEREF _Toc34920707 \h</w:instrText>
        </w:r>
        <w:r>
          <w:rPr>
            <w:webHidden/>
          </w:rPr>
          <w:fldChar w:fldCharType="separate"/>
        </w:r>
        <w:r>
          <w:rPr>
            <w:webHidden/>
            <w:rStyle w:val="IndexLink"/>
            <w:vanish w:val="false"/>
          </w:rPr>
          <w:t>CRY-01(d): Use of Cryptographic Controls | Conceal / Randomize Communications</w:t>
          <w:tab/>
          <w:t>92</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708">
        <w:r>
          <w:rPr>
            <w:webHidden/>
          </w:rPr>
          <w:fldChar w:fldCharType="begin"/>
        </w:r>
        <w:r>
          <w:rPr>
            <w:webHidden/>
          </w:rPr>
          <w:instrText>PAGEREF _Toc34920708 \h</w:instrText>
        </w:r>
        <w:r>
          <w:rPr>
            <w:webHidden/>
          </w:rPr>
          <w:fldChar w:fldCharType="separate"/>
        </w:r>
        <w:r>
          <w:rPr>
            <w:webHidden/>
            <w:rStyle w:val="IndexLink"/>
            <w:vanish w:val="false"/>
          </w:rPr>
          <w:t>CRY-02: Cryptographic Module Authentication</w:t>
          <w:tab/>
          <w:t>92</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709">
        <w:r>
          <w:rPr>
            <w:webHidden/>
          </w:rPr>
          <w:fldChar w:fldCharType="begin"/>
        </w:r>
        <w:r>
          <w:rPr>
            <w:webHidden/>
          </w:rPr>
          <w:instrText>PAGEREF _Toc34920709 \h</w:instrText>
        </w:r>
        <w:r>
          <w:rPr>
            <w:webHidden/>
          </w:rPr>
          <w:fldChar w:fldCharType="separate"/>
        </w:r>
        <w:r>
          <w:rPr>
            <w:webHidden/>
            <w:rStyle w:val="IndexLink"/>
            <w:vanish w:val="false"/>
          </w:rPr>
          <w:t>CRY-03: Transmission Confidentiality</w:t>
          <w:tab/>
          <w:t>93</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710">
        <w:r>
          <w:rPr>
            <w:webHidden/>
          </w:rPr>
          <w:fldChar w:fldCharType="begin"/>
        </w:r>
        <w:r>
          <w:rPr>
            <w:webHidden/>
          </w:rPr>
          <w:instrText>PAGEREF _Toc34920710 \h</w:instrText>
        </w:r>
        <w:r>
          <w:rPr>
            <w:webHidden/>
          </w:rPr>
          <w:fldChar w:fldCharType="separate"/>
        </w:r>
        <w:r>
          <w:rPr>
            <w:webHidden/>
            <w:rStyle w:val="IndexLink"/>
            <w:vanish w:val="false"/>
          </w:rPr>
          <w:t>CRY-04: Transmission Integrity</w:t>
          <w:tab/>
          <w:t>93</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711">
        <w:r>
          <w:rPr>
            <w:webHidden/>
          </w:rPr>
          <w:fldChar w:fldCharType="begin"/>
        </w:r>
        <w:r>
          <w:rPr>
            <w:webHidden/>
          </w:rPr>
          <w:instrText>PAGEREF _Toc34920711 \h</w:instrText>
        </w:r>
        <w:r>
          <w:rPr>
            <w:webHidden/>
          </w:rPr>
          <w:fldChar w:fldCharType="separate"/>
        </w:r>
        <w:r>
          <w:rPr>
            <w:webHidden/>
            <w:rStyle w:val="IndexLink"/>
            <w:vanish w:val="false"/>
          </w:rPr>
          <w:t>CRY-05: Encrypting Data At Rest</w:t>
          <w:tab/>
          <w:t>93</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712">
        <w:r>
          <w:rPr>
            <w:webHidden/>
          </w:rPr>
          <w:fldChar w:fldCharType="begin"/>
        </w:r>
        <w:r>
          <w:rPr>
            <w:webHidden/>
          </w:rPr>
          <w:instrText>PAGEREF _Toc34920712 \h</w:instrText>
        </w:r>
        <w:r>
          <w:rPr>
            <w:webHidden/>
          </w:rPr>
          <w:fldChar w:fldCharType="separate"/>
        </w:r>
        <w:r>
          <w:rPr>
            <w:webHidden/>
            <w:rStyle w:val="IndexLink"/>
            <w:vanish w:val="false"/>
          </w:rPr>
          <w:t>CRY-05(a): Encrypting Data At Rest | Storage Media</w:t>
          <w:tab/>
          <w:t>94</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713">
        <w:r>
          <w:rPr>
            <w:webHidden/>
          </w:rPr>
          <w:fldChar w:fldCharType="begin"/>
        </w:r>
        <w:r>
          <w:rPr>
            <w:webHidden/>
          </w:rPr>
          <w:instrText>PAGEREF _Toc34920713 \h</w:instrText>
        </w:r>
        <w:r>
          <w:rPr>
            <w:webHidden/>
          </w:rPr>
          <w:fldChar w:fldCharType="separate"/>
        </w:r>
        <w:r>
          <w:rPr>
            <w:webHidden/>
            <w:rStyle w:val="IndexLink"/>
            <w:vanish w:val="false"/>
          </w:rPr>
          <w:t>CRY-05(b): Encrypting Data at Rest | Offline Storage</w:t>
          <w:tab/>
          <w:t>94</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714">
        <w:r>
          <w:rPr>
            <w:webHidden/>
          </w:rPr>
          <w:fldChar w:fldCharType="begin"/>
        </w:r>
        <w:r>
          <w:rPr>
            <w:webHidden/>
          </w:rPr>
          <w:instrText>PAGEREF _Toc34920714 \h</w:instrText>
        </w:r>
        <w:r>
          <w:rPr>
            <w:webHidden/>
          </w:rPr>
          <w:fldChar w:fldCharType="separate"/>
        </w:r>
        <w:r>
          <w:rPr>
            <w:webHidden/>
            <w:rStyle w:val="IndexLink"/>
            <w:vanish w:val="false"/>
          </w:rPr>
          <w:t>CRY-06: Non-Console Administrative Access</w:t>
          <w:tab/>
          <w:t>94</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715">
        <w:r>
          <w:rPr>
            <w:webHidden/>
          </w:rPr>
          <w:fldChar w:fldCharType="begin"/>
        </w:r>
        <w:r>
          <w:rPr>
            <w:webHidden/>
          </w:rPr>
          <w:instrText>PAGEREF _Toc34920715 \h</w:instrText>
        </w:r>
        <w:r>
          <w:rPr>
            <w:webHidden/>
          </w:rPr>
          <w:fldChar w:fldCharType="separate"/>
        </w:r>
        <w:r>
          <w:rPr>
            <w:webHidden/>
            <w:rStyle w:val="IndexLink"/>
            <w:vanish w:val="false"/>
          </w:rPr>
          <w:t>CRY-07: Wireless Access Authentication &amp; Encryption</w:t>
          <w:tab/>
          <w:t>95</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716">
        <w:r>
          <w:rPr>
            <w:webHidden/>
          </w:rPr>
          <w:fldChar w:fldCharType="begin"/>
        </w:r>
        <w:r>
          <w:rPr>
            <w:webHidden/>
          </w:rPr>
          <w:instrText>PAGEREF _Toc34920716 \h</w:instrText>
        </w:r>
        <w:r>
          <w:rPr>
            <w:webHidden/>
          </w:rPr>
          <w:fldChar w:fldCharType="separate"/>
        </w:r>
        <w:r>
          <w:rPr>
            <w:webHidden/>
            <w:rStyle w:val="IndexLink"/>
            <w:vanish w:val="false"/>
          </w:rPr>
          <w:t>CRY-08: Public Key Infrastructure (PKI)</w:t>
          <w:tab/>
          <w:t>95</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717">
        <w:r>
          <w:rPr>
            <w:webHidden/>
          </w:rPr>
          <w:fldChar w:fldCharType="begin"/>
        </w:r>
        <w:r>
          <w:rPr>
            <w:webHidden/>
          </w:rPr>
          <w:instrText>PAGEREF _Toc34920717 \h</w:instrText>
        </w:r>
        <w:r>
          <w:rPr>
            <w:webHidden/>
          </w:rPr>
          <w:fldChar w:fldCharType="separate"/>
        </w:r>
        <w:r>
          <w:rPr>
            <w:webHidden/>
            <w:rStyle w:val="IndexLink"/>
            <w:vanish w:val="false"/>
          </w:rPr>
          <w:t>CRY-08(a): Public Key Infrastructure (PKI) | Availability</w:t>
          <w:tab/>
          <w:t>95</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718">
        <w:r>
          <w:rPr>
            <w:webHidden/>
          </w:rPr>
          <w:fldChar w:fldCharType="begin"/>
        </w:r>
        <w:r>
          <w:rPr>
            <w:webHidden/>
          </w:rPr>
          <w:instrText>PAGEREF _Toc34920718 \h</w:instrText>
        </w:r>
        <w:r>
          <w:rPr>
            <w:webHidden/>
          </w:rPr>
          <w:fldChar w:fldCharType="separate"/>
        </w:r>
        <w:r>
          <w:rPr>
            <w:webHidden/>
            <w:rStyle w:val="IndexLink"/>
            <w:vanish w:val="false"/>
          </w:rPr>
          <w:t>CRY-09: Cryptographic Key Management</w:t>
          <w:tab/>
          <w:t>96</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719">
        <w:r>
          <w:rPr>
            <w:webHidden/>
          </w:rPr>
          <w:fldChar w:fldCharType="begin"/>
        </w:r>
        <w:r>
          <w:rPr>
            <w:webHidden/>
          </w:rPr>
          <w:instrText>PAGEREF _Toc34920719 \h</w:instrText>
        </w:r>
        <w:r>
          <w:rPr>
            <w:webHidden/>
          </w:rPr>
          <w:fldChar w:fldCharType="separate"/>
        </w:r>
        <w:r>
          <w:rPr>
            <w:webHidden/>
            <w:rStyle w:val="IndexLink"/>
            <w:vanish w:val="false"/>
          </w:rPr>
          <w:t>CRY-09(a): Cryptographic Key Management | Symmetric Keys</w:t>
          <w:tab/>
          <w:t>97</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720">
        <w:r>
          <w:rPr>
            <w:webHidden/>
          </w:rPr>
          <w:fldChar w:fldCharType="begin"/>
        </w:r>
        <w:r>
          <w:rPr>
            <w:webHidden/>
          </w:rPr>
          <w:instrText>PAGEREF _Toc34920720 \h</w:instrText>
        </w:r>
        <w:r>
          <w:rPr>
            <w:webHidden/>
          </w:rPr>
          <w:fldChar w:fldCharType="separate"/>
        </w:r>
        <w:r>
          <w:rPr>
            <w:webHidden/>
            <w:rStyle w:val="IndexLink"/>
            <w:vanish w:val="false"/>
          </w:rPr>
          <w:t>CRY-09(b): Cryptographic Key Management | Asymmetric Keys</w:t>
          <w:tab/>
          <w:t>97</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721">
        <w:r>
          <w:rPr>
            <w:webHidden/>
          </w:rPr>
          <w:fldChar w:fldCharType="begin"/>
        </w:r>
        <w:r>
          <w:rPr>
            <w:webHidden/>
          </w:rPr>
          <w:instrText>PAGEREF _Toc34920721 \h</w:instrText>
        </w:r>
        <w:r>
          <w:rPr>
            <w:webHidden/>
          </w:rPr>
          <w:fldChar w:fldCharType="separate"/>
        </w:r>
        <w:r>
          <w:rPr>
            <w:webHidden/>
            <w:rStyle w:val="IndexLink"/>
            <w:vanish w:val="false"/>
          </w:rPr>
          <w:t>CRY-09(c): Cryptographic Key Management | Cryptographic Key Loss or Change</w:t>
          <w:tab/>
          <w:t>97</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722">
        <w:r>
          <w:rPr>
            <w:webHidden/>
          </w:rPr>
          <w:fldChar w:fldCharType="begin"/>
        </w:r>
        <w:r>
          <w:rPr>
            <w:webHidden/>
          </w:rPr>
          <w:instrText>PAGEREF _Toc34920722 \h</w:instrText>
        </w:r>
        <w:r>
          <w:rPr>
            <w:webHidden/>
          </w:rPr>
          <w:fldChar w:fldCharType="separate"/>
        </w:r>
        <w:r>
          <w:rPr>
            <w:webHidden/>
            <w:rStyle w:val="IndexLink"/>
            <w:vanish w:val="false"/>
          </w:rPr>
          <w:t>CRY-09(d): Cryptographic Key Management | Control &amp; Distribution of Cryptographic Keys</w:t>
          <w:tab/>
          <w:t>97</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723">
        <w:r>
          <w:rPr>
            <w:webHidden/>
          </w:rPr>
          <w:fldChar w:fldCharType="begin"/>
        </w:r>
        <w:r>
          <w:rPr>
            <w:webHidden/>
          </w:rPr>
          <w:instrText>PAGEREF _Toc34920723 \h</w:instrText>
        </w:r>
        <w:r>
          <w:rPr>
            <w:webHidden/>
          </w:rPr>
          <w:fldChar w:fldCharType="separate"/>
        </w:r>
        <w:r>
          <w:rPr>
            <w:webHidden/>
            <w:rStyle w:val="IndexLink"/>
            <w:vanish w:val="false"/>
          </w:rPr>
          <w:t>CRY-09(e): Cryptographic Key Management | Assigned Owners</w:t>
          <w:tab/>
          <w:t>97</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724">
        <w:r>
          <w:rPr>
            <w:webHidden/>
          </w:rPr>
          <w:fldChar w:fldCharType="begin"/>
        </w:r>
        <w:r>
          <w:rPr>
            <w:webHidden/>
          </w:rPr>
          <w:instrText>PAGEREF _Toc34920724 \h</w:instrText>
        </w:r>
        <w:r>
          <w:rPr>
            <w:webHidden/>
          </w:rPr>
          <w:fldChar w:fldCharType="separate"/>
        </w:r>
        <w:r>
          <w:rPr>
            <w:webHidden/>
            <w:rStyle w:val="IndexLink"/>
            <w:vanish w:val="false"/>
          </w:rPr>
          <w:t>CRY-10: Transmission of Security &amp; Privacy Attributes</w:t>
          <w:tab/>
          <w:t>98</w:t>
        </w:r>
        <w:r>
          <w:rPr>
            <w:webHidden/>
          </w:rPr>
          <w:fldChar w:fldCharType="end"/>
        </w:r>
      </w:hyperlink>
    </w:p>
    <w:p>
      <w:pPr>
        <w:pStyle w:val="Contents1"/>
        <w:rPr>
          <w:rFonts w:eastAsia="" w:cs="" w:cstheme="minorBidi" w:eastAsiaTheme="minorEastAsia"/>
          <w:b w:val="false"/>
          <w:b w:val="false"/>
          <w:caps w:val="false"/>
          <w:smallCaps w:val="false"/>
          <w:color w:val="auto"/>
          <w:sz w:val="22"/>
          <w:szCs w:val="22"/>
          <w:u w:val="none"/>
        </w:rPr>
      </w:pPr>
      <w:hyperlink w:anchor="_Toc34920725">
        <w:r>
          <w:rPr>
            <w:webHidden/>
          </w:rPr>
          <w:fldChar w:fldCharType="begin"/>
        </w:r>
        <w:r>
          <w:rPr>
            <w:webHidden/>
          </w:rPr>
          <w:instrText>PAGEREF _Toc34920725 \h</w:instrText>
        </w:r>
        <w:r>
          <w:rPr>
            <w:webHidden/>
          </w:rPr>
          <w:fldChar w:fldCharType="separate"/>
        </w:r>
        <w:r>
          <w:rPr>
            <w:webHidden/>
            <w:rStyle w:val="IndexLink"/>
            <w:vanish w:val="false"/>
          </w:rPr>
          <w:t>Data Classification &amp; Handling (DCH) Policy &amp; Standards</w:t>
          <w:tab/>
          <w:t>99</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726">
        <w:r>
          <w:rPr>
            <w:webHidden/>
          </w:rPr>
          <w:fldChar w:fldCharType="begin"/>
        </w:r>
        <w:r>
          <w:rPr>
            <w:webHidden/>
          </w:rPr>
          <w:instrText>PAGEREF _Toc34920726 \h</w:instrText>
        </w:r>
        <w:r>
          <w:rPr>
            <w:webHidden/>
          </w:rPr>
          <w:fldChar w:fldCharType="separate"/>
        </w:r>
        <w:r>
          <w:rPr>
            <w:webHidden/>
            <w:rStyle w:val="IndexLink"/>
            <w:vanish w:val="false"/>
          </w:rPr>
          <w:t>DCH-01: Data Protection</w:t>
          <w:tab/>
          <w:t>99</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727">
        <w:r>
          <w:rPr>
            <w:webHidden/>
          </w:rPr>
          <w:fldChar w:fldCharType="begin"/>
        </w:r>
        <w:r>
          <w:rPr>
            <w:webHidden/>
          </w:rPr>
          <w:instrText>PAGEREF _Toc34920727 \h</w:instrText>
        </w:r>
        <w:r>
          <w:rPr>
            <w:webHidden/>
          </w:rPr>
          <w:fldChar w:fldCharType="separate"/>
        </w:r>
        <w:r>
          <w:rPr>
            <w:webHidden/>
            <w:rStyle w:val="IndexLink"/>
            <w:vanish w:val="false"/>
          </w:rPr>
          <w:t>DCH-01(a): Data Protection | Data Stewardship</w:t>
          <w:tab/>
          <w:t>99</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728">
        <w:r>
          <w:rPr>
            <w:webHidden/>
          </w:rPr>
          <w:fldChar w:fldCharType="begin"/>
        </w:r>
        <w:r>
          <w:rPr>
            <w:webHidden/>
          </w:rPr>
          <w:instrText>PAGEREF _Toc34920728 \h</w:instrText>
        </w:r>
        <w:r>
          <w:rPr>
            <w:webHidden/>
          </w:rPr>
          <w:fldChar w:fldCharType="separate"/>
        </w:r>
        <w:r>
          <w:rPr>
            <w:webHidden/>
            <w:rStyle w:val="IndexLink"/>
            <w:vanish w:val="false"/>
          </w:rPr>
          <w:t>DCH-02: Data &amp; Asset Classification</w:t>
          <w:tab/>
          <w:t>99</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729">
        <w:r>
          <w:rPr>
            <w:webHidden/>
          </w:rPr>
          <w:fldChar w:fldCharType="begin"/>
        </w:r>
        <w:r>
          <w:rPr>
            <w:webHidden/>
          </w:rPr>
          <w:instrText>PAGEREF _Toc34920729 \h</w:instrText>
        </w:r>
        <w:r>
          <w:rPr>
            <w:webHidden/>
          </w:rPr>
          <w:fldChar w:fldCharType="separate"/>
        </w:r>
        <w:r>
          <w:rPr>
            <w:webHidden/>
            <w:rStyle w:val="IndexLink"/>
            <w:vanish w:val="false"/>
          </w:rPr>
          <w:t>DCH-03: Media Access</w:t>
          <w:tab/>
          <w:t>100</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730">
        <w:r>
          <w:rPr>
            <w:webHidden/>
          </w:rPr>
          <w:fldChar w:fldCharType="begin"/>
        </w:r>
        <w:r>
          <w:rPr>
            <w:webHidden/>
          </w:rPr>
          <w:instrText>PAGEREF _Toc34920730 \h</w:instrText>
        </w:r>
        <w:r>
          <w:rPr>
            <w:webHidden/>
          </w:rPr>
          <w:fldChar w:fldCharType="separate"/>
        </w:r>
        <w:r>
          <w:rPr>
            <w:webHidden/>
            <w:rStyle w:val="IndexLink"/>
            <w:vanish w:val="false"/>
          </w:rPr>
          <w:t>DCH-03(a): Media Access | Disclosure of Information</w:t>
          <w:tab/>
          <w:t>100</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731">
        <w:r>
          <w:rPr>
            <w:webHidden/>
          </w:rPr>
          <w:fldChar w:fldCharType="begin"/>
        </w:r>
        <w:r>
          <w:rPr>
            <w:webHidden/>
          </w:rPr>
          <w:instrText>PAGEREF _Toc34920731 \h</w:instrText>
        </w:r>
        <w:r>
          <w:rPr>
            <w:webHidden/>
          </w:rPr>
          <w:fldChar w:fldCharType="separate"/>
        </w:r>
        <w:r>
          <w:rPr>
            <w:webHidden/>
            <w:rStyle w:val="IndexLink"/>
            <w:vanish w:val="false"/>
          </w:rPr>
          <w:t>DCH-03(b): Media Access | Masking Displayed Data</w:t>
          <w:tab/>
          <w:t>100</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732">
        <w:r>
          <w:rPr>
            <w:webHidden/>
          </w:rPr>
          <w:fldChar w:fldCharType="begin"/>
        </w:r>
        <w:r>
          <w:rPr>
            <w:webHidden/>
          </w:rPr>
          <w:instrText>PAGEREF _Toc34920732 \h</w:instrText>
        </w:r>
        <w:r>
          <w:rPr>
            <w:webHidden/>
          </w:rPr>
          <w:fldChar w:fldCharType="separate"/>
        </w:r>
        <w:r>
          <w:rPr>
            <w:webHidden/>
            <w:rStyle w:val="IndexLink"/>
            <w:vanish w:val="false"/>
          </w:rPr>
          <w:t>DCH-04: Media Marking</w:t>
          <w:tab/>
          <w:t>100</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733">
        <w:r>
          <w:rPr>
            <w:webHidden/>
          </w:rPr>
          <w:fldChar w:fldCharType="begin"/>
        </w:r>
        <w:r>
          <w:rPr>
            <w:webHidden/>
          </w:rPr>
          <w:instrText>PAGEREF _Toc34920733 \h</w:instrText>
        </w:r>
        <w:r>
          <w:rPr>
            <w:webHidden/>
          </w:rPr>
          <w:fldChar w:fldCharType="separate"/>
        </w:r>
        <w:r>
          <w:rPr>
            <w:webHidden/>
            <w:rStyle w:val="IndexLink"/>
            <w:vanish w:val="false"/>
          </w:rPr>
          <w:t>DCH-04(a): Media Marking | Automated Marking</w:t>
          <w:tab/>
          <w:t>101</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734">
        <w:r>
          <w:rPr>
            <w:webHidden/>
          </w:rPr>
          <w:fldChar w:fldCharType="begin"/>
        </w:r>
        <w:r>
          <w:rPr>
            <w:webHidden/>
          </w:rPr>
          <w:instrText>PAGEREF _Toc34920734 \h</w:instrText>
        </w:r>
        <w:r>
          <w:rPr>
            <w:webHidden/>
          </w:rPr>
          <w:fldChar w:fldCharType="separate"/>
        </w:r>
        <w:r>
          <w:rPr>
            <w:webHidden/>
            <w:rStyle w:val="IndexLink"/>
            <w:vanish w:val="false"/>
          </w:rPr>
          <w:t>DCH-05: Security Attributes</w:t>
          <w:tab/>
          <w:t>101</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735">
        <w:r>
          <w:rPr>
            <w:webHidden/>
          </w:rPr>
          <w:fldChar w:fldCharType="begin"/>
        </w:r>
        <w:r>
          <w:rPr>
            <w:webHidden/>
          </w:rPr>
          <w:instrText>PAGEREF _Toc34920735 \h</w:instrText>
        </w:r>
        <w:r>
          <w:rPr>
            <w:webHidden/>
          </w:rPr>
          <w:fldChar w:fldCharType="separate"/>
        </w:r>
        <w:r>
          <w:rPr>
            <w:webHidden/>
            <w:rStyle w:val="IndexLink"/>
            <w:vanish w:val="false"/>
          </w:rPr>
          <w:t>DCH-05(a): Security Attributes | Dynamic Attribute Association</w:t>
          <w:tab/>
          <w:t>101</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736">
        <w:r>
          <w:rPr>
            <w:webHidden/>
          </w:rPr>
          <w:fldChar w:fldCharType="begin"/>
        </w:r>
        <w:r>
          <w:rPr>
            <w:webHidden/>
          </w:rPr>
          <w:instrText>PAGEREF _Toc34920736 \h</w:instrText>
        </w:r>
        <w:r>
          <w:rPr>
            <w:webHidden/>
          </w:rPr>
          <w:fldChar w:fldCharType="separate"/>
        </w:r>
        <w:r>
          <w:rPr>
            <w:webHidden/>
            <w:rStyle w:val="IndexLink"/>
            <w:vanish w:val="false"/>
          </w:rPr>
          <w:t>DCH-05(b): Security Attributes | Attribute Value Changes By Authorized Individuals</w:t>
          <w:tab/>
          <w:t>101</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737">
        <w:r>
          <w:rPr>
            <w:webHidden/>
          </w:rPr>
          <w:fldChar w:fldCharType="begin"/>
        </w:r>
        <w:r>
          <w:rPr>
            <w:webHidden/>
          </w:rPr>
          <w:instrText>PAGEREF _Toc34920737 \h</w:instrText>
        </w:r>
        <w:r>
          <w:rPr>
            <w:webHidden/>
          </w:rPr>
          <w:fldChar w:fldCharType="separate"/>
        </w:r>
        <w:r>
          <w:rPr>
            <w:webHidden/>
            <w:rStyle w:val="IndexLink"/>
            <w:vanish w:val="false"/>
          </w:rPr>
          <w:t>DCH-05(c): Security Attributes | Maintenance of Attribute Associations By System</w:t>
          <w:tab/>
          <w:t>101</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738">
        <w:r>
          <w:rPr>
            <w:webHidden/>
          </w:rPr>
          <w:fldChar w:fldCharType="begin"/>
        </w:r>
        <w:r>
          <w:rPr>
            <w:webHidden/>
          </w:rPr>
          <w:instrText>PAGEREF _Toc34920738 \h</w:instrText>
        </w:r>
        <w:r>
          <w:rPr>
            <w:webHidden/>
          </w:rPr>
          <w:fldChar w:fldCharType="separate"/>
        </w:r>
        <w:r>
          <w:rPr>
            <w:webHidden/>
            <w:rStyle w:val="IndexLink"/>
            <w:vanish w:val="false"/>
          </w:rPr>
          <w:t>DCH-05(d): Security Attributes | Association of Attributes By Authorized Individuals</w:t>
          <w:tab/>
          <w:t>102</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739">
        <w:r>
          <w:rPr>
            <w:webHidden/>
          </w:rPr>
          <w:fldChar w:fldCharType="begin"/>
        </w:r>
        <w:r>
          <w:rPr>
            <w:webHidden/>
          </w:rPr>
          <w:instrText>PAGEREF _Toc34920739 \h</w:instrText>
        </w:r>
        <w:r>
          <w:rPr>
            <w:webHidden/>
          </w:rPr>
          <w:fldChar w:fldCharType="separate"/>
        </w:r>
        <w:r>
          <w:rPr>
            <w:webHidden/>
            <w:rStyle w:val="IndexLink"/>
            <w:vanish w:val="false"/>
          </w:rPr>
          <w:t>DCH-05(e): Security Attributes | Attribute Displays for Output Devices</w:t>
          <w:tab/>
          <w:t>102</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740">
        <w:r>
          <w:rPr>
            <w:webHidden/>
          </w:rPr>
          <w:fldChar w:fldCharType="begin"/>
        </w:r>
        <w:r>
          <w:rPr>
            <w:webHidden/>
          </w:rPr>
          <w:instrText>PAGEREF _Toc34920740 \h</w:instrText>
        </w:r>
        <w:r>
          <w:rPr>
            <w:webHidden/>
          </w:rPr>
          <w:fldChar w:fldCharType="separate"/>
        </w:r>
        <w:r>
          <w:rPr>
            <w:webHidden/>
            <w:rStyle w:val="IndexLink"/>
            <w:vanish w:val="false"/>
          </w:rPr>
          <w:t>DCH-05(f): Security Attributes | Data Subject Attribute Associations</w:t>
          <w:tab/>
          <w:t>102</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741">
        <w:r>
          <w:rPr>
            <w:webHidden/>
          </w:rPr>
          <w:fldChar w:fldCharType="begin"/>
        </w:r>
        <w:r>
          <w:rPr>
            <w:webHidden/>
          </w:rPr>
          <w:instrText>PAGEREF _Toc34920741 \h</w:instrText>
        </w:r>
        <w:r>
          <w:rPr>
            <w:webHidden/>
          </w:rPr>
          <w:fldChar w:fldCharType="separate"/>
        </w:r>
        <w:r>
          <w:rPr>
            <w:webHidden/>
            <w:rStyle w:val="IndexLink"/>
            <w:vanish w:val="false"/>
          </w:rPr>
          <w:t>DCH-05(g): Security Attributes | Consistent Attribute Interpretation</w:t>
          <w:tab/>
          <w:t>102</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742">
        <w:r>
          <w:rPr>
            <w:webHidden/>
          </w:rPr>
          <w:fldChar w:fldCharType="begin"/>
        </w:r>
        <w:r>
          <w:rPr>
            <w:webHidden/>
          </w:rPr>
          <w:instrText>PAGEREF _Toc34920742 \h</w:instrText>
        </w:r>
        <w:r>
          <w:rPr>
            <w:webHidden/>
          </w:rPr>
          <w:fldChar w:fldCharType="separate"/>
        </w:r>
        <w:r>
          <w:rPr>
            <w:webHidden/>
            <w:rStyle w:val="IndexLink"/>
            <w:vanish w:val="false"/>
          </w:rPr>
          <w:t>DCH-05(h): Security Attributes | Identity Association Techniques &amp; Technologies</w:t>
          <w:tab/>
          <w:t>102</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743">
        <w:r>
          <w:rPr>
            <w:webHidden/>
          </w:rPr>
          <w:fldChar w:fldCharType="begin"/>
        </w:r>
        <w:r>
          <w:rPr>
            <w:webHidden/>
          </w:rPr>
          <w:instrText>PAGEREF _Toc34920743 \h</w:instrText>
        </w:r>
        <w:r>
          <w:rPr>
            <w:webHidden/>
          </w:rPr>
          <w:fldChar w:fldCharType="separate"/>
        </w:r>
        <w:r>
          <w:rPr>
            <w:webHidden/>
            <w:rStyle w:val="IndexLink"/>
            <w:vanish w:val="false"/>
          </w:rPr>
          <w:t>DCH-05(i): Security Attributes | Attribute Reassignment</w:t>
          <w:tab/>
          <w:t>103</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744">
        <w:r>
          <w:rPr>
            <w:webHidden/>
          </w:rPr>
          <w:fldChar w:fldCharType="begin"/>
        </w:r>
        <w:r>
          <w:rPr>
            <w:webHidden/>
          </w:rPr>
          <w:instrText>PAGEREF _Toc34920744 \h</w:instrText>
        </w:r>
        <w:r>
          <w:rPr>
            <w:webHidden/>
          </w:rPr>
          <w:fldChar w:fldCharType="separate"/>
        </w:r>
        <w:r>
          <w:rPr>
            <w:webHidden/>
            <w:rStyle w:val="IndexLink"/>
            <w:vanish w:val="false"/>
          </w:rPr>
          <w:t>DCH-05(j): Security Attributes | Attribute Configuration By Authorized Individuals</w:t>
          <w:tab/>
          <w:t>103</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745">
        <w:r>
          <w:rPr>
            <w:webHidden/>
          </w:rPr>
          <w:fldChar w:fldCharType="begin"/>
        </w:r>
        <w:r>
          <w:rPr>
            <w:webHidden/>
          </w:rPr>
          <w:instrText>PAGEREF _Toc34920745 \h</w:instrText>
        </w:r>
        <w:r>
          <w:rPr>
            <w:webHidden/>
          </w:rPr>
          <w:fldChar w:fldCharType="separate"/>
        </w:r>
        <w:r>
          <w:rPr>
            <w:webHidden/>
            <w:rStyle w:val="IndexLink"/>
            <w:vanish w:val="false"/>
          </w:rPr>
          <w:t>DCH-05(k): Security Attributes | Audit Changes</w:t>
          <w:tab/>
          <w:t>103</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746">
        <w:r>
          <w:rPr>
            <w:webHidden/>
          </w:rPr>
          <w:fldChar w:fldCharType="begin"/>
        </w:r>
        <w:r>
          <w:rPr>
            <w:webHidden/>
          </w:rPr>
          <w:instrText>PAGEREF _Toc34920746 \h</w:instrText>
        </w:r>
        <w:r>
          <w:rPr>
            <w:webHidden/>
          </w:rPr>
          <w:fldChar w:fldCharType="separate"/>
        </w:r>
        <w:r>
          <w:rPr>
            <w:webHidden/>
            <w:rStyle w:val="IndexLink"/>
            <w:vanish w:val="false"/>
          </w:rPr>
          <w:t>DCH-06: Media Storage</w:t>
          <w:tab/>
          <w:t>103</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747">
        <w:r>
          <w:rPr>
            <w:webHidden/>
          </w:rPr>
          <w:fldChar w:fldCharType="begin"/>
        </w:r>
        <w:r>
          <w:rPr>
            <w:webHidden/>
          </w:rPr>
          <w:instrText>PAGEREF _Toc34920747 \h</w:instrText>
        </w:r>
        <w:r>
          <w:rPr>
            <w:webHidden/>
          </w:rPr>
          <w:fldChar w:fldCharType="separate"/>
        </w:r>
        <w:r>
          <w:rPr>
            <w:webHidden/>
            <w:rStyle w:val="IndexLink"/>
            <w:vanish w:val="false"/>
          </w:rPr>
          <w:t>DCH-06(a): Media Storage | Physically Secure All Media</w:t>
          <w:tab/>
          <w:t>104</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748">
        <w:r>
          <w:rPr>
            <w:webHidden/>
          </w:rPr>
          <w:fldChar w:fldCharType="begin"/>
        </w:r>
        <w:r>
          <w:rPr>
            <w:webHidden/>
          </w:rPr>
          <w:instrText>PAGEREF _Toc34920748 \h</w:instrText>
        </w:r>
        <w:r>
          <w:rPr>
            <w:webHidden/>
          </w:rPr>
          <w:fldChar w:fldCharType="separate"/>
        </w:r>
        <w:r>
          <w:rPr>
            <w:webHidden/>
            <w:rStyle w:val="IndexLink"/>
            <w:vanish w:val="false"/>
          </w:rPr>
          <w:t>DCH-06(b): Media Storage | Sensitive Data Inventories</w:t>
          <w:tab/>
          <w:t>104</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749">
        <w:r>
          <w:rPr>
            <w:webHidden/>
          </w:rPr>
          <w:fldChar w:fldCharType="begin"/>
        </w:r>
        <w:r>
          <w:rPr>
            <w:webHidden/>
          </w:rPr>
          <w:instrText>PAGEREF _Toc34920749 \h</w:instrText>
        </w:r>
        <w:r>
          <w:rPr>
            <w:webHidden/>
          </w:rPr>
          <w:fldChar w:fldCharType="separate"/>
        </w:r>
        <w:r>
          <w:rPr>
            <w:webHidden/>
            <w:rStyle w:val="IndexLink"/>
            <w:vanish w:val="false"/>
          </w:rPr>
          <w:t>DCH-06(c): Media Storage | Periodic Scans for Sensitive Data</w:t>
          <w:tab/>
          <w:t>104</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750">
        <w:r>
          <w:rPr>
            <w:webHidden/>
          </w:rPr>
          <w:fldChar w:fldCharType="begin"/>
        </w:r>
        <w:r>
          <w:rPr>
            <w:webHidden/>
          </w:rPr>
          <w:instrText>PAGEREF _Toc34920750 \h</w:instrText>
        </w:r>
        <w:r>
          <w:rPr>
            <w:webHidden/>
          </w:rPr>
          <w:fldChar w:fldCharType="separate"/>
        </w:r>
        <w:r>
          <w:rPr>
            <w:webHidden/>
            <w:rStyle w:val="IndexLink"/>
            <w:vanish w:val="false"/>
          </w:rPr>
          <w:t>DCH-06(d): Media Storage | Making Sensitive Data Unreadable In Storage</w:t>
          <w:tab/>
          <w:t>104</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751">
        <w:r>
          <w:rPr>
            <w:webHidden/>
          </w:rPr>
          <w:fldChar w:fldCharType="begin"/>
        </w:r>
        <w:r>
          <w:rPr>
            <w:webHidden/>
          </w:rPr>
          <w:instrText>PAGEREF _Toc34920751 \h</w:instrText>
        </w:r>
        <w:r>
          <w:rPr>
            <w:webHidden/>
          </w:rPr>
          <w:fldChar w:fldCharType="separate"/>
        </w:r>
        <w:r>
          <w:rPr>
            <w:webHidden/>
            <w:rStyle w:val="IndexLink"/>
            <w:vanish w:val="false"/>
          </w:rPr>
          <w:t>DCH-06(e): Media Storage | Storing Authentication Data</w:t>
          <w:tab/>
          <w:t>105</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752">
        <w:r>
          <w:rPr>
            <w:webHidden/>
          </w:rPr>
          <w:fldChar w:fldCharType="begin"/>
        </w:r>
        <w:r>
          <w:rPr>
            <w:webHidden/>
          </w:rPr>
          <w:instrText>PAGEREF _Toc34920752 \h</w:instrText>
        </w:r>
        <w:r>
          <w:rPr>
            <w:webHidden/>
          </w:rPr>
          <w:fldChar w:fldCharType="separate"/>
        </w:r>
        <w:r>
          <w:rPr>
            <w:webHidden/>
            <w:rStyle w:val="IndexLink"/>
            <w:vanish w:val="false"/>
          </w:rPr>
          <w:t>DCH-07: Media Transportation</w:t>
          <w:tab/>
          <w:t>105</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753">
        <w:r>
          <w:rPr>
            <w:webHidden/>
          </w:rPr>
          <w:fldChar w:fldCharType="begin"/>
        </w:r>
        <w:r>
          <w:rPr>
            <w:webHidden/>
          </w:rPr>
          <w:instrText>PAGEREF _Toc34920753 \h</w:instrText>
        </w:r>
        <w:r>
          <w:rPr>
            <w:webHidden/>
          </w:rPr>
          <w:fldChar w:fldCharType="separate"/>
        </w:r>
        <w:r>
          <w:rPr>
            <w:webHidden/>
            <w:rStyle w:val="IndexLink"/>
            <w:vanish w:val="false"/>
          </w:rPr>
          <w:t>DCH-07(a): Media Transportation | Custodians</w:t>
          <w:tab/>
          <w:t>106</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754">
        <w:r>
          <w:rPr>
            <w:webHidden/>
          </w:rPr>
          <w:fldChar w:fldCharType="begin"/>
        </w:r>
        <w:r>
          <w:rPr>
            <w:webHidden/>
          </w:rPr>
          <w:instrText>PAGEREF _Toc34920754 \h</w:instrText>
        </w:r>
        <w:r>
          <w:rPr>
            <w:webHidden/>
          </w:rPr>
          <w:fldChar w:fldCharType="separate"/>
        </w:r>
        <w:r>
          <w:rPr>
            <w:webHidden/>
            <w:rStyle w:val="IndexLink"/>
            <w:vanish w:val="false"/>
          </w:rPr>
          <w:t>DCH-07(b): Media Transportation | Encrypting Data In Storage Media</w:t>
          <w:tab/>
          <w:t>106</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755">
        <w:r>
          <w:rPr>
            <w:webHidden/>
          </w:rPr>
          <w:fldChar w:fldCharType="begin"/>
        </w:r>
        <w:r>
          <w:rPr>
            <w:webHidden/>
          </w:rPr>
          <w:instrText>PAGEREF _Toc34920755 \h</w:instrText>
        </w:r>
        <w:r>
          <w:rPr>
            <w:webHidden/>
          </w:rPr>
          <w:fldChar w:fldCharType="separate"/>
        </w:r>
        <w:r>
          <w:rPr>
            <w:webHidden/>
            <w:rStyle w:val="IndexLink"/>
            <w:vanish w:val="false"/>
          </w:rPr>
          <w:t>DCH-08: Physical Medial Disposal</w:t>
          <w:tab/>
          <w:t>106</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756">
        <w:r>
          <w:rPr>
            <w:webHidden/>
          </w:rPr>
          <w:fldChar w:fldCharType="begin"/>
        </w:r>
        <w:r>
          <w:rPr>
            <w:webHidden/>
          </w:rPr>
          <w:instrText>PAGEREF _Toc34920756 \h</w:instrText>
        </w:r>
        <w:r>
          <w:rPr>
            <w:webHidden/>
          </w:rPr>
          <w:fldChar w:fldCharType="separate"/>
        </w:r>
        <w:r>
          <w:rPr>
            <w:webHidden/>
            <w:rStyle w:val="IndexLink"/>
            <w:vanish w:val="false"/>
          </w:rPr>
          <w:t>DCH-09: Digital Media Sanitization</w:t>
          <w:tab/>
          <w:t>106</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757">
        <w:r>
          <w:rPr>
            <w:webHidden/>
          </w:rPr>
          <w:fldChar w:fldCharType="begin"/>
        </w:r>
        <w:r>
          <w:rPr>
            <w:webHidden/>
          </w:rPr>
          <w:instrText>PAGEREF _Toc34920757 \h</w:instrText>
        </w:r>
        <w:r>
          <w:rPr>
            <w:webHidden/>
          </w:rPr>
          <w:fldChar w:fldCharType="separate"/>
        </w:r>
        <w:r>
          <w:rPr>
            <w:webHidden/>
            <w:rStyle w:val="IndexLink"/>
            <w:vanish w:val="false"/>
          </w:rPr>
          <w:t>DCH-09(a): Media Sanitization | Media Sanitization Documentation</w:t>
          <w:tab/>
          <w:t>107</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758">
        <w:r>
          <w:rPr>
            <w:webHidden/>
          </w:rPr>
          <w:fldChar w:fldCharType="begin"/>
        </w:r>
        <w:r>
          <w:rPr>
            <w:webHidden/>
          </w:rPr>
          <w:instrText>PAGEREF _Toc34920758 \h</w:instrText>
        </w:r>
        <w:r>
          <w:rPr>
            <w:webHidden/>
          </w:rPr>
          <w:fldChar w:fldCharType="separate"/>
        </w:r>
        <w:r>
          <w:rPr>
            <w:webHidden/>
            <w:rStyle w:val="IndexLink"/>
            <w:vanish w:val="false"/>
          </w:rPr>
          <w:t>DCH-09(b): Media Sanitization | Equipment Testing</w:t>
          <w:tab/>
          <w:t>107</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759">
        <w:r>
          <w:rPr>
            <w:webHidden/>
          </w:rPr>
          <w:fldChar w:fldCharType="begin"/>
        </w:r>
        <w:r>
          <w:rPr>
            <w:webHidden/>
          </w:rPr>
          <w:instrText>PAGEREF _Toc34920759 \h</w:instrText>
        </w:r>
        <w:r>
          <w:rPr>
            <w:webHidden/>
          </w:rPr>
          <w:fldChar w:fldCharType="separate"/>
        </w:r>
        <w:r>
          <w:rPr>
            <w:webHidden/>
            <w:rStyle w:val="IndexLink"/>
            <w:vanish w:val="false"/>
          </w:rPr>
          <w:t>DCH-09(c): Media Sanitization | Destruction of Personal Data (PD)</w:t>
          <w:tab/>
          <w:t>107</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760">
        <w:r>
          <w:rPr>
            <w:webHidden/>
          </w:rPr>
          <w:fldChar w:fldCharType="begin"/>
        </w:r>
        <w:r>
          <w:rPr>
            <w:webHidden/>
          </w:rPr>
          <w:instrText>PAGEREF _Toc34920760 \h</w:instrText>
        </w:r>
        <w:r>
          <w:rPr>
            <w:webHidden/>
          </w:rPr>
          <w:fldChar w:fldCharType="separate"/>
        </w:r>
        <w:r>
          <w:rPr>
            <w:webHidden/>
            <w:rStyle w:val="IndexLink"/>
            <w:vanish w:val="false"/>
          </w:rPr>
          <w:t>DCH-09(d): Media Sanitization | Non-Destructive Techniques</w:t>
          <w:tab/>
          <w:t>107</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761">
        <w:r>
          <w:rPr>
            <w:webHidden/>
          </w:rPr>
          <w:fldChar w:fldCharType="begin"/>
        </w:r>
        <w:r>
          <w:rPr>
            <w:webHidden/>
          </w:rPr>
          <w:instrText>PAGEREF _Toc34920761 \h</w:instrText>
        </w:r>
        <w:r>
          <w:rPr>
            <w:webHidden/>
          </w:rPr>
          <w:fldChar w:fldCharType="separate"/>
        </w:r>
        <w:r>
          <w:rPr>
            <w:webHidden/>
            <w:rStyle w:val="IndexLink"/>
            <w:vanish w:val="false"/>
          </w:rPr>
          <w:t>DCH-09(e): Media Sanitization | Dual Authorization</w:t>
          <w:tab/>
          <w:t>108</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762">
        <w:r>
          <w:rPr>
            <w:webHidden/>
          </w:rPr>
          <w:fldChar w:fldCharType="begin"/>
        </w:r>
        <w:r>
          <w:rPr>
            <w:webHidden/>
          </w:rPr>
          <w:instrText>PAGEREF _Toc34920762 \h</w:instrText>
        </w:r>
        <w:r>
          <w:rPr>
            <w:webHidden/>
          </w:rPr>
          <w:fldChar w:fldCharType="separate"/>
        </w:r>
        <w:r>
          <w:rPr>
            <w:webHidden/>
            <w:rStyle w:val="IndexLink"/>
            <w:vanish w:val="false"/>
          </w:rPr>
          <w:t>DCH-10: Media Use</w:t>
          <w:tab/>
          <w:t>108</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763">
        <w:r>
          <w:rPr>
            <w:webHidden/>
          </w:rPr>
          <w:fldChar w:fldCharType="begin"/>
        </w:r>
        <w:r>
          <w:rPr>
            <w:webHidden/>
          </w:rPr>
          <w:instrText>PAGEREF _Toc34920763 \h</w:instrText>
        </w:r>
        <w:r>
          <w:rPr>
            <w:webHidden/>
          </w:rPr>
          <w:fldChar w:fldCharType="separate"/>
        </w:r>
        <w:r>
          <w:rPr>
            <w:webHidden/>
            <w:rStyle w:val="IndexLink"/>
            <w:vanish w:val="false"/>
          </w:rPr>
          <w:t>DCH-10(a): Media Use | Limitations on Use</w:t>
          <w:tab/>
          <w:t>108</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764">
        <w:r>
          <w:rPr>
            <w:webHidden/>
          </w:rPr>
          <w:fldChar w:fldCharType="begin"/>
        </w:r>
        <w:r>
          <w:rPr>
            <w:webHidden/>
          </w:rPr>
          <w:instrText>PAGEREF _Toc34920764 \h</w:instrText>
        </w:r>
        <w:r>
          <w:rPr>
            <w:webHidden/>
          </w:rPr>
          <w:fldChar w:fldCharType="separate"/>
        </w:r>
        <w:r>
          <w:rPr>
            <w:webHidden/>
            <w:rStyle w:val="IndexLink"/>
            <w:vanish w:val="false"/>
          </w:rPr>
          <w:t>DCH-10(b): Media Use | Prohibit Use Without Owner</w:t>
          <w:tab/>
          <w:t>108</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765">
        <w:r>
          <w:rPr>
            <w:webHidden/>
          </w:rPr>
          <w:fldChar w:fldCharType="begin"/>
        </w:r>
        <w:r>
          <w:rPr>
            <w:webHidden/>
          </w:rPr>
          <w:instrText>PAGEREF _Toc34920765 \h</w:instrText>
        </w:r>
        <w:r>
          <w:rPr>
            <w:webHidden/>
          </w:rPr>
          <w:fldChar w:fldCharType="separate"/>
        </w:r>
        <w:r>
          <w:rPr>
            <w:webHidden/>
            <w:rStyle w:val="IndexLink"/>
            <w:vanish w:val="false"/>
          </w:rPr>
          <w:t>DCH-11: Media Downgrading</w:t>
          <w:tab/>
          <w:t>109</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766">
        <w:r>
          <w:rPr>
            <w:webHidden/>
          </w:rPr>
          <w:fldChar w:fldCharType="begin"/>
        </w:r>
        <w:r>
          <w:rPr>
            <w:webHidden/>
          </w:rPr>
          <w:instrText>PAGEREF _Toc34920766 \h</w:instrText>
        </w:r>
        <w:r>
          <w:rPr>
            <w:webHidden/>
          </w:rPr>
          <w:fldChar w:fldCharType="separate"/>
        </w:r>
        <w:r>
          <w:rPr>
            <w:webHidden/>
            <w:rStyle w:val="IndexLink"/>
            <w:vanish w:val="false"/>
          </w:rPr>
          <w:t>DCH-12: Removable Media Security</w:t>
          <w:tab/>
          <w:t>109</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767">
        <w:r>
          <w:rPr>
            <w:webHidden/>
          </w:rPr>
          <w:fldChar w:fldCharType="begin"/>
        </w:r>
        <w:r>
          <w:rPr>
            <w:webHidden/>
          </w:rPr>
          <w:instrText>PAGEREF _Toc34920767 \h</w:instrText>
        </w:r>
        <w:r>
          <w:rPr>
            <w:webHidden/>
          </w:rPr>
          <w:fldChar w:fldCharType="separate"/>
        </w:r>
        <w:r>
          <w:rPr>
            <w:webHidden/>
            <w:rStyle w:val="IndexLink"/>
            <w:vanish w:val="false"/>
          </w:rPr>
          <w:t>DCH-13: Use of External Information Systems</w:t>
          <w:tab/>
          <w:t>109</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768">
        <w:r>
          <w:rPr>
            <w:webHidden/>
          </w:rPr>
          <w:fldChar w:fldCharType="begin"/>
        </w:r>
        <w:r>
          <w:rPr>
            <w:webHidden/>
          </w:rPr>
          <w:instrText>PAGEREF _Toc34920768 \h</w:instrText>
        </w:r>
        <w:r>
          <w:rPr>
            <w:webHidden/>
          </w:rPr>
          <w:fldChar w:fldCharType="separate"/>
        </w:r>
        <w:r>
          <w:rPr>
            <w:webHidden/>
            <w:rStyle w:val="IndexLink"/>
            <w:vanish w:val="false"/>
          </w:rPr>
          <w:t>DCH-13(a): Use of External Information Systems | Limits of Authorized Use</w:t>
          <w:tab/>
          <w:t>110</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769">
        <w:r>
          <w:rPr>
            <w:webHidden/>
          </w:rPr>
          <w:fldChar w:fldCharType="begin"/>
        </w:r>
        <w:r>
          <w:rPr>
            <w:webHidden/>
          </w:rPr>
          <w:instrText>PAGEREF _Toc34920769 \h</w:instrText>
        </w:r>
        <w:r>
          <w:rPr>
            <w:webHidden/>
          </w:rPr>
          <w:fldChar w:fldCharType="separate"/>
        </w:r>
        <w:r>
          <w:rPr>
            <w:webHidden/>
            <w:rStyle w:val="IndexLink"/>
            <w:vanish w:val="false"/>
          </w:rPr>
          <w:t>DCH-13(b): Use of External Information Systems | Portable Storage Devices</w:t>
          <w:tab/>
          <w:t>110</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770">
        <w:r>
          <w:rPr>
            <w:webHidden/>
          </w:rPr>
          <w:fldChar w:fldCharType="begin"/>
        </w:r>
        <w:r>
          <w:rPr>
            <w:webHidden/>
          </w:rPr>
          <w:instrText>PAGEREF _Toc34920770 \h</w:instrText>
        </w:r>
        <w:r>
          <w:rPr>
            <w:webHidden/>
          </w:rPr>
          <w:fldChar w:fldCharType="separate"/>
        </w:r>
        <w:r>
          <w:rPr>
            <w:webHidden/>
            <w:rStyle w:val="IndexLink"/>
            <w:vanish w:val="false"/>
          </w:rPr>
          <w:t>DCH-13(c): Use of External Information Systems | Protecting Sensitive Data on External Systems</w:t>
          <w:tab/>
          <w:t>110</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771">
        <w:r>
          <w:rPr>
            <w:webHidden/>
          </w:rPr>
          <w:fldChar w:fldCharType="begin"/>
        </w:r>
        <w:r>
          <w:rPr>
            <w:webHidden/>
          </w:rPr>
          <w:instrText>PAGEREF _Toc34920771 \h</w:instrText>
        </w:r>
        <w:r>
          <w:rPr>
            <w:webHidden/>
          </w:rPr>
          <w:fldChar w:fldCharType="separate"/>
        </w:r>
        <w:r>
          <w:rPr>
            <w:webHidden/>
            <w:rStyle w:val="IndexLink"/>
            <w:vanish w:val="false"/>
          </w:rPr>
          <w:t>DCH-13(d): Use of External Information Systems | Non-Organizationally Owned Systems / Components / Devices</w:t>
          <w:tab/>
          <w:t>110</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772">
        <w:r>
          <w:rPr>
            <w:webHidden/>
          </w:rPr>
          <w:fldChar w:fldCharType="begin"/>
        </w:r>
        <w:r>
          <w:rPr>
            <w:webHidden/>
          </w:rPr>
          <w:instrText>PAGEREF _Toc34920772 \h</w:instrText>
        </w:r>
        <w:r>
          <w:rPr>
            <w:webHidden/>
          </w:rPr>
          <w:fldChar w:fldCharType="separate"/>
        </w:r>
        <w:r>
          <w:rPr>
            <w:webHidden/>
            <w:rStyle w:val="IndexLink"/>
            <w:vanish w:val="false"/>
          </w:rPr>
          <w:t>DCH-14: Information Sharing</w:t>
          <w:tab/>
          <w:t>111</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773">
        <w:r>
          <w:rPr>
            <w:webHidden/>
          </w:rPr>
          <w:fldChar w:fldCharType="begin"/>
        </w:r>
        <w:r>
          <w:rPr>
            <w:webHidden/>
          </w:rPr>
          <w:instrText>PAGEREF _Toc34920773 \h</w:instrText>
        </w:r>
        <w:r>
          <w:rPr>
            <w:webHidden/>
          </w:rPr>
          <w:fldChar w:fldCharType="separate"/>
        </w:r>
        <w:r>
          <w:rPr>
            <w:webHidden/>
            <w:rStyle w:val="IndexLink"/>
            <w:vanish w:val="false"/>
          </w:rPr>
          <w:t>DCH-14(a): Information Sharing | Information Search &amp; Retrieval</w:t>
          <w:tab/>
          <w:t>112</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774">
        <w:r>
          <w:rPr>
            <w:webHidden/>
          </w:rPr>
          <w:fldChar w:fldCharType="begin"/>
        </w:r>
        <w:r>
          <w:rPr>
            <w:webHidden/>
          </w:rPr>
          <w:instrText>PAGEREF _Toc34920774 \h</w:instrText>
        </w:r>
        <w:r>
          <w:rPr>
            <w:webHidden/>
          </w:rPr>
          <w:fldChar w:fldCharType="separate"/>
        </w:r>
        <w:r>
          <w:rPr>
            <w:webHidden/>
            <w:rStyle w:val="IndexLink"/>
            <w:vanish w:val="false"/>
          </w:rPr>
          <w:t>DCH-15: Publicly Accessible Content</w:t>
          <w:tab/>
          <w:t>112</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775">
        <w:r>
          <w:rPr>
            <w:webHidden/>
          </w:rPr>
          <w:fldChar w:fldCharType="begin"/>
        </w:r>
        <w:r>
          <w:rPr>
            <w:webHidden/>
          </w:rPr>
          <w:instrText>PAGEREF _Toc34920775 \h</w:instrText>
        </w:r>
        <w:r>
          <w:rPr>
            <w:webHidden/>
          </w:rPr>
          <w:fldChar w:fldCharType="separate"/>
        </w:r>
        <w:r>
          <w:rPr>
            <w:webHidden/>
            <w:rStyle w:val="IndexLink"/>
            <w:vanish w:val="false"/>
          </w:rPr>
          <w:t>DCH-16: Data Mining Protection</w:t>
          <w:tab/>
          <w:t>112</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776">
        <w:r>
          <w:rPr>
            <w:webHidden/>
          </w:rPr>
          <w:fldChar w:fldCharType="begin"/>
        </w:r>
        <w:r>
          <w:rPr>
            <w:webHidden/>
          </w:rPr>
          <w:instrText>PAGEREF _Toc34920776 \h</w:instrText>
        </w:r>
        <w:r>
          <w:rPr>
            <w:webHidden/>
          </w:rPr>
          <w:fldChar w:fldCharType="separate"/>
        </w:r>
        <w:r>
          <w:rPr>
            <w:webHidden/>
            <w:rStyle w:val="IndexLink"/>
            <w:vanish w:val="false"/>
          </w:rPr>
          <w:t>DCH-17: Ad-Hoc Transfers</w:t>
          <w:tab/>
          <w:t>113</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777">
        <w:r>
          <w:rPr>
            <w:webHidden/>
          </w:rPr>
          <w:fldChar w:fldCharType="begin"/>
        </w:r>
        <w:r>
          <w:rPr>
            <w:webHidden/>
          </w:rPr>
          <w:instrText>PAGEREF _Toc34920777 \h</w:instrText>
        </w:r>
        <w:r>
          <w:rPr>
            <w:webHidden/>
          </w:rPr>
          <w:fldChar w:fldCharType="separate"/>
        </w:r>
        <w:r>
          <w:rPr>
            <w:webHidden/>
            <w:rStyle w:val="IndexLink"/>
            <w:vanish w:val="false"/>
          </w:rPr>
          <w:t>DCH-18: Media &amp; Data Retention</w:t>
          <w:tab/>
          <w:t>113</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778">
        <w:r>
          <w:rPr>
            <w:webHidden/>
          </w:rPr>
          <w:fldChar w:fldCharType="begin"/>
        </w:r>
        <w:r>
          <w:rPr>
            <w:webHidden/>
          </w:rPr>
          <w:instrText>PAGEREF _Toc34920778 \h</w:instrText>
        </w:r>
        <w:r>
          <w:rPr>
            <w:webHidden/>
          </w:rPr>
          <w:fldChar w:fldCharType="separate"/>
        </w:r>
        <w:r>
          <w:rPr>
            <w:webHidden/>
            <w:rStyle w:val="IndexLink"/>
            <w:vanish w:val="false"/>
          </w:rPr>
          <w:t>DCH-18(a): Media &amp; Data Retention | Limit Personal Data (PD) Elements In Testing, Training &amp; Research</w:t>
          <w:tab/>
          <w:t>114</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779">
        <w:r>
          <w:rPr>
            <w:webHidden/>
          </w:rPr>
          <w:fldChar w:fldCharType="begin"/>
        </w:r>
        <w:r>
          <w:rPr>
            <w:webHidden/>
          </w:rPr>
          <w:instrText>PAGEREF _Toc34920779 \h</w:instrText>
        </w:r>
        <w:r>
          <w:rPr>
            <w:webHidden/>
          </w:rPr>
          <w:fldChar w:fldCharType="separate"/>
        </w:r>
        <w:r>
          <w:rPr>
            <w:webHidden/>
            <w:rStyle w:val="IndexLink"/>
            <w:vanish w:val="false"/>
          </w:rPr>
          <w:t>DCH-18(b): Media &amp; Data Retention | Minimize Personal Data (PD)</w:t>
          <w:tab/>
          <w:t>114</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780">
        <w:r>
          <w:rPr>
            <w:webHidden/>
          </w:rPr>
          <w:fldChar w:fldCharType="begin"/>
        </w:r>
        <w:r>
          <w:rPr>
            <w:webHidden/>
          </w:rPr>
          <w:instrText>PAGEREF _Toc34920780 \h</w:instrText>
        </w:r>
        <w:r>
          <w:rPr>
            <w:webHidden/>
          </w:rPr>
          <w:fldChar w:fldCharType="separate"/>
        </w:r>
        <w:r>
          <w:rPr>
            <w:webHidden/>
            <w:rStyle w:val="IndexLink"/>
            <w:vanish w:val="false"/>
          </w:rPr>
          <w:t>DCH-18(c): Media &amp; Data Retention | Temporary Files Containing Personal Data</w:t>
          <w:tab/>
          <w:t>114</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781">
        <w:r>
          <w:rPr>
            <w:webHidden/>
          </w:rPr>
          <w:fldChar w:fldCharType="begin"/>
        </w:r>
        <w:r>
          <w:rPr>
            <w:webHidden/>
          </w:rPr>
          <w:instrText>PAGEREF _Toc34920781 \h</w:instrText>
        </w:r>
        <w:r>
          <w:rPr>
            <w:webHidden/>
          </w:rPr>
          <w:fldChar w:fldCharType="separate"/>
        </w:r>
        <w:r>
          <w:rPr>
            <w:webHidden/>
            <w:rStyle w:val="IndexLink"/>
            <w:vanish w:val="false"/>
          </w:rPr>
          <w:t>DCH-19: Geographic Location of Data</w:t>
          <w:tab/>
          <w:t>115</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782">
        <w:r>
          <w:rPr>
            <w:webHidden/>
          </w:rPr>
          <w:fldChar w:fldCharType="begin"/>
        </w:r>
        <w:r>
          <w:rPr>
            <w:webHidden/>
          </w:rPr>
          <w:instrText>PAGEREF _Toc34920782 \h</w:instrText>
        </w:r>
        <w:r>
          <w:rPr>
            <w:webHidden/>
          </w:rPr>
          <w:fldChar w:fldCharType="separate"/>
        </w:r>
        <w:r>
          <w:rPr>
            <w:webHidden/>
            <w:rStyle w:val="IndexLink"/>
            <w:vanish w:val="false"/>
          </w:rPr>
          <w:t>DCH-20: Archived Data Sets</w:t>
          <w:tab/>
          <w:t>115</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783">
        <w:r>
          <w:rPr>
            <w:webHidden/>
          </w:rPr>
          <w:fldChar w:fldCharType="begin"/>
        </w:r>
        <w:r>
          <w:rPr>
            <w:webHidden/>
          </w:rPr>
          <w:instrText>PAGEREF _Toc34920783 \h</w:instrText>
        </w:r>
        <w:r>
          <w:rPr>
            <w:webHidden/>
          </w:rPr>
          <w:fldChar w:fldCharType="separate"/>
        </w:r>
        <w:r>
          <w:rPr>
            <w:webHidden/>
            <w:rStyle w:val="IndexLink"/>
            <w:vanish w:val="false"/>
          </w:rPr>
          <w:t>DCH-21: Information Disposal</w:t>
          <w:tab/>
          <w:t>115</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784">
        <w:r>
          <w:rPr>
            <w:webHidden/>
          </w:rPr>
          <w:fldChar w:fldCharType="begin"/>
        </w:r>
        <w:r>
          <w:rPr>
            <w:webHidden/>
          </w:rPr>
          <w:instrText>PAGEREF _Toc34920784 \h</w:instrText>
        </w:r>
        <w:r>
          <w:rPr>
            <w:webHidden/>
          </w:rPr>
          <w:fldChar w:fldCharType="separate"/>
        </w:r>
        <w:r>
          <w:rPr>
            <w:webHidden/>
            <w:rStyle w:val="IndexLink"/>
            <w:vanish w:val="false"/>
          </w:rPr>
          <w:t>DCH-22: Data Quality Operations</w:t>
          <w:tab/>
          <w:t>115</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785">
        <w:r>
          <w:rPr>
            <w:webHidden/>
          </w:rPr>
          <w:fldChar w:fldCharType="begin"/>
        </w:r>
        <w:r>
          <w:rPr>
            <w:webHidden/>
          </w:rPr>
          <w:instrText>PAGEREF _Toc34920785 \h</w:instrText>
        </w:r>
        <w:r>
          <w:rPr>
            <w:webHidden/>
          </w:rPr>
          <w:fldChar w:fldCharType="separate"/>
        </w:r>
        <w:r>
          <w:rPr>
            <w:webHidden/>
            <w:rStyle w:val="IndexLink"/>
            <w:vanish w:val="false"/>
          </w:rPr>
          <w:t>DCH-22(a): Data Quality Operations | Updating &amp; Correcting Personal Data (PD)</w:t>
          <w:tab/>
          <w:t>116</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786">
        <w:r>
          <w:rPr>
            <w:webHidden/>
          </w:rPr>
          <w:fldChar w:fldCharType="begin"/>
        </w:r>
        <w:r>
          <w:rPr>
            <w:webHidden/>
          </w:rPr>
          <w:instrText>PAGEREF _Toc34920786 \h</w:instrText>
        </w:r>
        <w:r>
          <w:rPr>
            <w:webHidden/>
          </w:rPr>
          <w:fldChar w:fldCharType="separate"/>
        </w:r>
        <w:r>
          <w:rPr>
            <w:webHidden/>
            <w:rStyle w:val="IndexLink"/>
            <w:vanish w:val="false"/>
          </w:rPr>
          <w:t>DCH-22(b): Data Quality Operations | Data Tags</w:t>
          <w:tab/>
          <w:t>116</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787">
        <w:r>
          <w:rPr>
            <w:webHidden/>
          </w:rPr>
          <w:fldChar w:fldCharType="begin"/>
        </w:r>
        <w:r>
          <w:rPr>
            <w:webHidden/>
          </w:rPr>
          <w:instrText>PAGEREF _Toc34920787 \h</w:instrText>
        </w:r>
        <w:r>
          <w:rPr>
            <w:webHidden/>
          </w:rPr>
          <w:fldChar w:fldCharType="separate"/>
        </w:r>
        <w:r>
          <w:rPr>
            <w:webHidden/>
            <w:rStyle w:val="IndexLink"/>
            <w:vanish w:val="false"/>
          </w:rPr>
          <w:t>DCH-22(c): Data Quality Operations | Personal Data (PD) Collection</w:t>
          <w:tab/>
          <w:t>116</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788">
        <w:r>
          <w:rPr>
            <w:webHidden/>
          </w:rPr>
          <w:fldChar w:fldCharType="begin"/>
        </w:r>
        <w:r>
          <w:rPr>
            <w:webHidden/>
          </w:rPr>
          <w:instrText>PAGEREF _Toc34920788 \h</w:instrText>
        </w:r>
        <w:r>
          <w:rPr>
            <w:webHidden/>
          </w:rPr>
          <w:fldChar w:fldCharType="separate"/>
        </w:r>
        <w:r>
          <w:rPr>
            <w:webHidden/>
            <w:rStyle w:val="IndexLink"/>
            <w:vanish w:val="false"/>
          </w:rPr>
          <w:t>DCH-23: De-Identification (Anonymization)</w:t>
          <w:tab/>
          <w:t>116</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789">
        <w:r>
          <w:rPr>
            <w:webHidden/>
          </w:rPr>
          <w:fldChar w:fldCharType="begin"/>
        </w:r>
        <w:r>
          <w:rPr>
            <w:webHidden/>
          </w:rPr>
          <w:instrText>PAGEREF _Toc34920789 \h</w:instrText>
        </w:r>
        <w:r>
          <w:rPr>
            <w:webHidden/>
          </w:rPr>
          <w:fldChar w:fldCharType="separate"/>
        </w:r>
        <w:r>
          <w:rPr>
            <w:webHidden/>
            <w:rStyle w:val="IndexLink"/>
            <w:vanish w:val="false"/>
          </w:rPr>
          <w:t>DCH-23(a): De-Identification (Anonymization) | Collection</w:t>
          <w:tab/>
          <w:t>116</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790">
        <w:r>
          <w:rPr>
            <w:webHidden/>
          </w:rPr>
          <w:fldChar w:fldCharType="begin"/>
        </w:r>
        <w:r>
          <w:rPr>
            <w:webHidden/>
          </w:rPr>
          <w:instrText>PAGEREF _Toc34920790 \h</w:instrText>
        </w:r>
        <w:r>
          <w:rPr>
            <w:webHidden/>
          </w:rPr>
          <w:fldChar w:fldCharType="separate"/>
        </w:r>
        <w:r>
          <w:rPr>
            <w:webHidden/>
            <w:rStyle w:val="IndexLink"/>
            <w:vanish w:val="false"/>
          </w:rPr>
          <w:t>DCH-23(b): De-Identification (Anonymization) | Archiving</w:t>
          <w:tab/>
          <w:t>117</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791">
        <w:r>
          <w:rPr>
            <w:webHidden/>
          </w:rPr>
          <w:fldChar w:fldCharType="begin"/>
        </w:r>
        <w:r>
          <w:rPr>
            <w:webHidden/>
          </w:rPr>
          <w:instrText>PAGEREF _Toc34920791 \h</w:instrText>
        </w:r>
        <w:r>
          <w:rPr>
            <w:webHidden/>
          </w:rPr>
          <w:fldChar w:fldCharType="separate"/>
        </w:r>
        <w:r>
          <w:rPr>
            <w:webHidden/>
            <w:rStyle w:val="IndexLink"/>
            <w:vanish w:val="false"/>
          </w:rPr>
          <w:t>DCH-23(c): De-Identification (Anonymization) | Release</w:t>
          <w:tab/>
          <w:t>117</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792">
        <w:r>
          <w:rPr>
            <w:webHidden/>
          </w:rPr>
          <w:fldChar w:fldCharType="begin"/>
        </w:r>
        <w:r>
          <w:rPr>
            <w:webHidden/>
          </w:rPr>
          <w:instrText>PAGEREF _Toc34920792 \h</w:instrText>
        </w:r>
        <w:r>
          <w:rPr>
            <w:webHidden/>
          </w:rPr>
          <w:fldChar w:fldCharType="separate"/>
        </w:r>
        <w:r>
          <w:rPr>
            <w:webHidden/>
            <w:rStyle w:val="IndexLink"/>
            <w:vanish w:val="false"/>
          </w:rPr>
          <w:t>DCH-23(d): De-Identification (Anonymization) | Removal, Masking, Encryption, Hashing or Replacement of Direct Identifiers</w:t>
          <w:tab/>
          <w:t>117</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793">
        <w:r>
          <w:rPr>
            <w:webHidden/>
          </w:rPr>
          <w:fldChar w:fldCharType="begin"/>
        </w:r>
        <w:r>
          <w:rPr>
            <w:webHidden/>
          </w:rPr>
          <w:instrText>PAGEREF _Toc34920793 \h</w:instrText>
        </w:r>
        <w:r>
          <w:rPr>
            <w:webHidden/>
          </w:rPr>
          <w:fldChar w:fldCharType="separate"/>
        </w:r>
        <w:r>
          <w:rPr>
            <w:webHidden/>
            <w:rStyle w:val="IndexLink"/>
            <w:vanish w:val="false"/>
          </w:rPr>
          <w:t>DCH-23(e): De-Identification (Anonymization) | Statistical Disclosure Control</w:t>
          <w:tab/>
          <w:t>117</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794">
        <w:r>
          <w:rPr>
            <w:webHidden/>
          </w:rPr>
          <w:fldChar w:fldCharType="begin"/>
        </w:r>
        <w:r>
          <w:rPr>
            <w:webHidden/>
          </w:rPr>
          <w:instrText>PAGEREF _Toc34920794 \h</w:instrText>
        </w:r>
        <w:r>
          <w:rPr>
            <w:webHidden/>
          </w:rPr>
          <w:fldChar w:fldCharType="separate"/>
        </w:r>
        <w:r>
          <w:rPr>
            <w:webHidden/>
            <w:rStyle w:val="IndexLink"/>
            <w:vanish w:val="false"/>
          </w:rPr>
          <w:t>DCH-23(f): De-Identification (Anonymization) | Differential Privacy</w:t>
          <w:tab/>
          <w:t>118</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795">
        <w:r>
          <w:rPr>
            <w:webHidden/>
          </w:rPr>
          <w:fldChar w:fldCharType="begin"/>
        </w:r>
        <w:r>
          <w:rPr>
            <w:webHidden/>
          </w:rPr>
          <w:instrText>PAGEREF _Toc34920795 \h</w:instrText>
        </w:r>
        <w:r>
          <w:rPr>
            <w:webHidden/>
          </w:rPr>
          <w:fldChar w:fldCharType="separate"/>
        </w:r>
        <w:r>
          <w:rPr>
            <w:webHidden/>
            <w:rStyle w:val="IndexLink"/>
            <w:vanish w:val="false"/>
          </w:rPr>
          <w:t>DCH-23(g): De-Identification (Anonymization) | Validated Software</w:t>
          <w:tab/>
          <w:t>118</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796">
        <w:r>
          <w:rPr>
            <w:webHidden/>
          </w:rPr>
          <w:fldChar w:fldCharType="begin"/>
        </w:r>
        <w:r>
          <w:rPr>
            <w:webHidden/>
          </w:rPr>
          <w:instrText>PAGEREF _Toc34920796 \h</w:instrText>
        </w:r>
        <w:r>
          <w:rPr>
            <w:webHidden/>
          </w:rPr>
          <w:fldChar w:fldCharType="separate"/>
        </w:r>
        <w:r>
          <w:rPr>
            <w:webHidden/>
            <w:rStyle w:val="IndexLink"/>
            <w:vanish w:val="false"/>
          </w:rPr>
          <w:t>DCH-23(h): De-Identification (Anonymization) | Motivated Intruder</w:t>
          <w:tab/>
          <w:t>118</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797">
        <w:r>
          <w:rPr>
            <w:webHidden/>
          </w:rPr>
          <w:fldChar w:fldCharType="begin"/>
        </w:r>
        <w:r>
          <w:rPr>
            <w:webHidden/>
          </w:rPr>
          <w:instrText>PAGEREF _Toc34920797 \h</w:instrText>
        </w:r>
        <w:r>
          <w:rPr>
            <w:webHidden/>
          </w:rPr>
          <w:fldChar w:fldCharType="separate"/>
        </w:r>
        <w:r>
          <w:rPr>
            <w:webHidden/>
            <w:rStyle w:val="IndexLink"/>
            <w:vanish w:val="false"/>
          </w:rPr>
          <w:t>DCH-24: Information Location</w:t>
          <w:tab/>
          <w:t>118</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798">
        <w:r>
          <w:rPr>
            <w:webHidden/>
          </w:rPr>
          <w:fldChar w:fldCharType="begin"/>
        </w:r>
        <w:r>
          <w:rPr>
            <w:webHidden/>
          </w:rPr>
          <w:instrText>PAGEREF _Toc34920798 \h</w:instrText>
        </w:r>
        <w:r>
          <w:rPr>
            <w:webHidden/>
          </w:rPr>
          <w:fldChar w:fldCharType="separate"/>
        </w:r>
        <w:r>
          <w:rPr>
            <w:webHidden/>
            <w:rStyle w:val="IndexLink"/>
            <w:vanish w:val="false"/>
          </w:rPr>
          <w:t>DCH-24(a): Information Location | Automated Tools to Support Information Location</w:t>
          <w:tab/>
          <w:t>119</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799">
        <w:r>
          <w:rPr>
            <w:webHidden/>
          </w:rPr>
          <w:fldChar w:fldCharType="begin"/>
        </w:r>
        <w:r>
          <w:rPr>
            <w:webHidden/>
          </w:rPr>
          <w:instrText>PAGEREF _Toc34920799 \h</w:instrText>
        </w:r>
        <w:r>
          <w:rPr>
            <w:webHidden/>
          </w:rPr>
          <w:fldChar w:fldCharType="separate"/>
        </w:r>
        <w:r>
          <w:rPr>
            <w:webHidden/>
            <w:rStyle w:val="IndexLink"/>
            <w:vanish w:val="false"/>
          </w:rPr>
          <w:t>DCH-25: Transfer of Personal Information</w:t>
          <w:tab/>
          <w:t>119</w:t>
        </w:r>
        <w:r>
          <w:rPr>
            <w:webHidden/>
          </w:rPr>
          <w:fldChar w:fldCharType="end"/>
        </w:r>
      </w:hyperlink>
    </w:p>
    <w:p>
      <w:pPr>
        <w:pStyle w:val="Contents1"/>
        <w:rPr>
          <w:rFonts w:eastAsia="" w:cs="" w:cstheme="minorBidi" w:eastAsiaTheme="minorEastAsia"/>
          <w:b w:val="false"/>
          <w:b w:val="false"/>
          <w:caps w:val="false"/>
          <w:smallCaps w:val="false"/>
          <w:color w:val="auto"/>
          <w:sz w:val="22"/>
          <w:szCs w:val="22"/>
          <w:u w:val="none"/>
        </w:rPr>
      </w:pPr>
      <w:hyperlink w:anchor="_Toc34920800">
        <w:r>
          <w:rPr>
            <w:webHidden/>
          </w:rPr>
          <w:fldChar w:fldCharType="begin"/>
        </w:r>
        <w:r>
          <w:rPr>
            <w:webHidden/>
          </w:rPr>
          <w:instrText>PAGEREF _Toc34920800 \h</w:instrText>
        </w:r>
        <w:r>
          <w:rPr>
            <w:webHidden/>
          </w:rPr>
          <w:fldChar w:fldCharType="separate"/>
        </w:r>
        <w:r>
          <w:rPr>
            <w:webHidden/>
            <w:rStyle w:val="IndexLink"/>
            <w:vanish w:val="false"/>
          </w:rPr>
          <w:t>Embedded Technology (EMB) Policy &amp; Standards</w:t>
          <w:tab/>
          <w:t>120</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801">
        <w:r>
          <w:rPr>
            <w:webHidden/>
          </w:rPr>
          <w:fldChar w:fldCharType="begin"/>
        </w:r>
        <w:r>
          <w:rPr>
            <w:webHidden/>
          </w:rPr>
          <w:instrText>PAGEREF _Toc34920801 \h</w:instrText>
        </w:r>
        <w:r>
          <w:rPr>
            <w:webHidden/>
          </w:rPr>
          <w:fldChar w:fldCharType="separate"/>
        </w:r>
        <w:r>
          <w:rPr>
            <w:webHidden/>
            <w:rStyle w:val="IndexLink"/>
            <w:vanish w:val="false"/>
          </w:rPr>
          <w:t>EMB-01: Embedded Technology Security Program</w:t>
          <w:tab/>
          <w:t>120</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802">
        <w:r>
          <w:rPr>
            <w:webHidden/>
          </w:rPr>
          <w:fldChar w:fldCharType="begin"/>
        </w:r>
        <w:r>
          <w:rPr>
            <w:webHidden/>
          </w:rPr>
          <w:instrText>PAGEREF _Toc34920802 \h</w:instrText>
        </w:r>
        <w:r>
          <w:rPr>
            <w:webHidden/>
          </w:rPr>
          <w:fldChar w:fldCharType="separate"/>
        </w:r>
        <w:r>
          <w:rPr>
            <w:webHidden/>
            <w:rStyle w:val="IndexLink"/>
            <w:vanish w:val="false"/>
          </w:rPr>
          <w:t>EMB-02: Internet of Things (IoT)</w:t>
          <w:tab/>
          <w:t>120</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803">
        <w:r>
          <w:rPr>
            <w:webHidden/>
          </w:rPr>
          <w:fldChar w:fldCharType="begin"/>
        </w:r>
        <w:r>
          <w:rPr>
            <w:webHidden/>
          </w:rPr>
          <w:instrText>PAGEREF _Toc34920803 \h</w:instrText>
        </w:r>
        <w:r>
          <w:rPr>
            <w:webHidden/>
          </w:rPr>
          <w:fldChar w:fldCharType="separate"/>
        </w:r>
        <w:r>
          <w:rPr>
            <w:webHidden/>
            <w:rStyle w:val="IndexLink"/>
            <w:vanish w:val="false"/>
          </w:rPr>
          <w:t>EMB-03: Operational Technology (OT)</w:t>
          <w:tab/>
          <w:t>120</w:t>
        </w:r>
        <w:r>
          <w:rPr>
            <w:webHidden/>
          </w:rPr>
          <w:fldChar w:fldCharType="end"/>
        </w:r>
      </w:hyperlink>
    </w:p>
    <w:p>
      <w:pPr>
        <w:pStyle w:val="Contents1"/>
        <w:rPr>
          <w:rFonts w:eastAsia="" w:cs="" w:cstheme="minorBidi" w:eastAsiaTheme="minorEastAsia"/>
          <w:b w:val="false"/>
          <w:b w:val="false"/>
          <w:caps w:val="false"/>
          <w:smallCaps w:val="false"/>
          <w:color w:val="auto"/>
          <w:sz w:val="22"/>
          <w:szCs w:val="22"/>
          <w:u w:val="none"/>
        </w:rPr>
      </w:pPr>
      <w:hyperlink w:anchor="_Toc34920804">
        <w:r>
          <w:rPr>
            <w:webHidden/>
          </w:rPr>
          <w:fldChar w:fldCharType="begin"/>
        </w:r>
        <w:r>
          <w:rPr>
            <w:webHidden/>
          </w:rPr>
          <w:instrText>PAGEREF _Toc34920804 \h</w:instrText>
        </w:r>
        <w:r>
          <w:rPr>
            <w:webHidden/>
          </w:rPr>
          <w:fldChar w:fldCharType="separate"/>
        </w:r>
        <w:r>
          <w:rPr>
            <w:webHidden/>
            <w:rStyle w:val="IndexLink"/>
            <w:vanish w:val="false"/>
          </w:rPr>
          <w:t>Endpoint Security (END) Policy &amp; Standards</w:t>
          <w:tab/>
          <w:t>122</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805">
        <w:r>
          <w:rPr>
            <w:webHidden/>
          </w:rPr>
          <w:fldChar w:fldCharType="begin"/>
        </w:r>
        <w:r>
          <w:rPr>
            <w:webHidden/>
          </w:rPr>
          <w:instrText>PAGEREF _Toc34920805 \h</w:instrText>
        </w:r>
        <w:r>
          <w:rPr>
            <w:webHidden/>
          </w:rPr>
          <w:fldChar w:fldCharType="separate"/>
        </w:r>
        <w:r>
          <w:rPr>
            <w:webHidden/>
            <w:rStyle w:val="IndexLink"/>
            <w:vanish w:val="false"/>
          </w:rPr>
          <w:t>END-01: Endpoint Security</w:t>
          <w:tab/>
          <w:t>122</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806">
        <w:r>
          <w:rPr>
            <w:webHidden/>
          </w:rPr>
          <w:fldChar w:fldCharType="begin"/>
        </w:r>
        <w:r>
          <w:rPr>
            <w:webHidden/>
          </w:rPr>
          <w:instrText>PAGEREF _Toc34920806 \h</w:instrText>
        </w:r>
        <w:r>
          <w:rPr>
            <w:webHidden/>
          </w:rPr>
          <w:fldChar w:fldCharType="separate"/>
        </w:r>
        <w:r>
          <w:rPr>
            <w:webHidden/>
            <w:rStyle w:val="IndexLink"/>
            <w:vanish w:val="false"/>
          </w:rPr>
          <w:t>END-02: Endpoint Protection Measures</w:t>
          <w:tab/>
          <w:t>122</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807">
        <w:r>
          <w:rPr>
            <w:webHidden/>
          </w:rPr>
          <w:fldChar w:fldCharType="begin"/>
        </w:r>
        <w:r>
          <w:rPr>
            <w:webHidden/>
          </w:rPr>
          <w:instrText>PAGEREF _Toc34920807 \h</w:instrText>
        </w:r>
        <w:r>
          <w:rPr>
            <w:webHidden/>
          </w:rPr>
          <w:fldChar w:fldCharType="separate"/>
        </w:r>
        <w:r>
          <w:rPr>
            <w:webHidden/>
            <w:rStyle w:val="IndexLink"/>
            <w:vanish w:val="false"/>
          </w:rPr>
          <w:t>END-03: Prohibit Installation Without Privileged Status</w:t>
          <w:tab/>
          <w:t>122</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808">
        <w:r>
          <w:rPr>
            <w:webHidden/>
          </w:rPr>
          <w:fldChar w:fldCharType="begin"/>
        </w:r>
        <w:r>
          <w:rPr>
            <w:webHidden/>
          </w:rPr>
          <w:instrText>PAGEREF _Toc34920808 \h</w:instrText>
        </w:r>
        <w:r>
          <w:rPr>
            <w:webHidden/>
          </w:rPr>
          <w:fldChar w:fldCharType="separate"/>
        </w:r>
        <w:r>
          <w:rPr>
            <w:webHidden/>
            <w:rStyle w:val="IndexLink"/>
            <w:vanish w:val="false"/>
          </w:rPr>
          <w:t>END-03(a): Prohibit Installation Without Privileged Status | Unauthorized Installation Alerts</w:t>
          <w:tab/>
          <w:t>123</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809">
        <w:r>
          <w:rPr>
            <w:webHidden/>
          </w:rPr>
          <w:fldChar w:fldCharType="begin"/>
        </w:r>
        <w:r>
          <w:rPr>
            <w:webHidden/>
          </w:rPr>
          <w:instrText>PAGEREF _Toc34920809 \h</w:instrText>
        </w:r>
        <w:r>
          <w:rPr>
            <w:webHidden/>
          </w:rPr>
          <w:fldChar w:fldCharType="separate"/>
        </w:r>
        <w:r>
          <w:rPr>
            <w:webHidden/>
            <w:rStyle w:val="IndexLink"/>
            <w:vanish w:val="false"/>
          </w:rPr>
          <w:t>END-03(b): Prohibit Installation Without Privileged Status | Access Restriction for Change</w:t>
          <w:tab/>
          <w:t>123</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810">
        <w:r>
          <w:rPr>
            <w:webHidden/>
          </w:rPr>
          <w:fldChar w:fldCharType="begin"/>
        </w:r>
        <w:r>
          <w:rPr>
            <w:webHidden/>
          </w:rPr>
          <w:instrText>PAGEREF _Toc34920810 \h</w:instrText>
        </w:r>
        <w:r>
          <w:rPr>
            <w:webHidden/>
          </w:rPr>
          <w:fldChar w:fldCharType="separate"/>
        </w:r>
        <w:r>
          <w:rPr>
            <w:webHidden/>
            <w:rStyle w:val="IndexLink"/>
            <w:vanish w:val="false"/>
          </w:rPr>
          <w:t>END-04: Malicious Code Protection (Anti-Malware)</w:t>
          <w:tab/>
          <w:t>123</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811">
        <w:r>
          <w:rPr>
            <w:webHidden/>
          </w:rPr>
          <w:fldChar w:fldCharType="begin"/>
        </w:r>
        <w:r>
          <w:rPr>
            <w:webHidden/>
          </w:rPr>
          <w:instrText>PAGEREF _Toc34920811 \h</w:instrText>
        </w:r>
        <w:r>
          <w:rPr>
            <w:webHidden/>
          </w:rPr>
          <w:fldChar w:fldCharType="separate"/>
        </w:r>
        <w:r>
          <w:rPr>
            <w:webHidden/>
            <w:rStyle w:val="IndexLink"/>
            <w:vanish w:val="false"/>
          </w:rPr>
          <w:t>END-04(a): Malicious Code Protection (Anti-malware) | Automatic Updates</w:t>
          <w:tab/>
          <w:t>124</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812">
        <w:r>
          <w:rPr>
            <w:webHidden/>
          </w:rPr>
          <w:fldChar w:fldCharType="begin"/>
        </w:r>
        <w:r>
          <w:rPr>
            <w:webHidden/>
          </w:rPr>
          <w:instrText>PAGEREF _Toc34920812 \h</w:instrText>
        </w:r>
        <w:r>
          <w:rPr>
            <w:webHidden/>
          </w:rPr>
          <w:fldChar w:fldCharType="separate"/>
        </w:r>
        <w:r>
          <w:rPr>
            <w:webHidden/>
            <w:rStyle w:val="IndexLink"/>
            <w:vanish w:val="false"/>
          </w:rPr>
          <w:t>END-04(b): Malicious Code Protection (Anti-malware) | Documented Protection Measures</w:t>
          <w:tab/>
          <w:t>124</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813">
        <w:r>
          <w:rPr>
            <w:webHidden/>
          </w:rPr>
          <w:fldChar w:fldCharType="begin"/>
        </w:r>
        <w:r>
          <w:rPr>
            <w:webHidden/>
          </w:rPr>
          <w:instrText>PAGEREF _Toc34920813 \h</w:instrText>
        </w:r>
        <w:r>
          <w:rPr>
            <w:webHidden/>
          </w:rPr>
          <w:fldChar w:fldCharType="separate"/>
        </w:r>
        <w:r>
          <w:rPr>
            <w:webHidden/>
            <w:rStyle w:val="IndexLink"/>
            <w:vanish w:val="false"/>
          </w:rPr>
          <w:t>END-04(c): Malicious Code Protection (Anti-malware) | Centralized Management</w:t>
          <w:tab/>
          <w:t>124</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814">
        <w:r>
          <w:rPr>
            <w:webHidden/>
          </w:rPr>
          <w:fldChar w:fldCharType="begin"/>
        </w:r>
        <w:r>
          <w:rPr>
            <w:webHidden/>
          </w:rPr>
          <w:instrText>PAGEREF _Toc34920814 \h</w:instrText>
        </w:r>
        <w:r>
          <w:rPr>
            <w:webHidden/>
          </w:rPr>
          <w:fldChar w:fldCharType="separate"/>
        </w:r>
        <w:r>
          <w:rPr>
            <w:webHidden/>
            <w:rStyle w:val="IndexLink"/>
            <w:vanish w:val="false"/>
          </w:rPr>
          <w:t>END-04(d): Malicious Code Protection (Anti-malware) | Nonsignature-Based Detection</w:t>
          <w:tab/>
          <w:t>124</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815">
        <w:r>
          <w:rPr>
            <w:webHidden/>
          </w:rPr>
          <w:fldChar w:fldCharType="begin"/>
        </w:r>
        <w:r>
          <w:rPr>
            <w:webHidden/>
          </w:rPr>
          <w:instrText>PAGEREF _Toc34920815 \h</w:instrText>
        </w:r>
        <w:r>
          <w:rPr>
            <w:webHidden/>
          </w:rPr>
          <w:fldChar w:fldCharType="separate"/>
        </w:r>
        <w:r>
          <w:rPr>
            <w:webHidden/>
            <w:rStyle w:val="IndexLink"/>
            <w:vanish w:val="false"/>
          </w:rPr>
          <w:t>END-04(e): Malicious Code Protection (Anti-malware) | Malware Protection Mechanism Testing</w:t>
          <w:tab/>
          <w:t>125</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816">
        <w:r>
          <w:rPr>
            <w:webHidden/>
          </w:rPr>
          <w:fldChar w:fldCharType="begin"/>
        </w:r>
        <w:r>
          <w:rPr>
            <w:webHidden/>
          </w:rPr>
          <w:instrText>PAGEREF _Toc34920816 \h</w:instrText>
        </w:r>
        <w:r>
          <w:rPr>
            <w:webHidden/>
          </w:rPr>
          <w:fldChar w:fldCharType="separate"/>
        </w:r>
        <w:r>
          <w:rPr>
            <w:webHidden/>
            <w:rStyle w:val="IndexLink"/>
            <w:vanish w:val="false"/>
          </w:rPr>
          <w:t>END-04(f): Malicious Code Protection (Anti-malware) | Evolving Malware Threats</w:t>
          <w:tab/>
          <w:t>125</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817">
        <w:r>
          <w:rPr>
            <w:webHidden/>
          </w:rPr>
          <w:fldChar w:fldCharType="begin"/>
        </w:r>
        <w:r>
          <w:rPr>
            <w:webHidden/>
          </w:rPr>
          <w:instrText>PAGEREF _Toc34920817 \h</w:instrText>
        </w:r>
        <w:r>
          <w:rPr>
            <w:webHidden/>
          </w:rPr>
          <w:fldChar w:fldCharType="separate"/>
        </w:r>
        <w:r>
          <w:rPr>
            <w:webHidden/>
            <w:rStyle w:val="IndexLink"/>
            <w:vanish w:val="false"/>
          </w:rPr>
          <w:t>END-04(g): Malicious Code Protection (Anti-malware) | Always On Protection</w:t>
          <w:tab/>
          <w:t>125</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818">
        <w:r>
          <w:rPr>
            <w:webHidden/>
          </w:rPr>
          <w:fldChar w:fldCharType="begin"/>
        </w:r>
        <w:r>
          <w:rPr>
            <w:webHidden/>
          </w:rPr>
          <w:instrText>PAGEREF _Toc34920818 \h</w:instrText>
        </w:r>
        <w:r>
          <w:rPr>
            <w:webHidden/>
          </w:rPr>
          <w:fldChar w:fldCharType="separate"/>
        </w:r>
        <w:r>
          <w:rPr>
            <w:webHidden/>
            <w:rStyle w:val="IndexLink"/>
            <w:vanish w:val="false"/>
          </w:rPr>
          <w:t>END-05: Software Firewall</w:t>
          <w:tab/>
          <w:t>125</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819">
        <w:r>
          <w:rPr>
            <w:webHidden/>
          </w:rPr>
          <w:fldChar w:fldCharType="begin"/>
        </w:r>
        <w:r>
          <w:rPr>
            <w:webHidden/>
          </w:rPr>
          <w:instrText>PAGEREF _Toc34920819 \h</w:instrText>
        </w:r>
        <w:r>
          <w:rPr>
            <w:webHidden/>
          </w:rPr>
          <w:fldChar w:fldCharType="separate"/>
        </w:r>
        <w:r>
          <w:rPr>
            <w:webHidden/>
            <w:rStyle w:val="IndexLink"/>
            <w:vanish w:val="false"/>
          </w:rPr>
          <w:t>END-06: File Integrity Monitoring (FIM)</w:t>
          <w:tab/>
          <w:t>126</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820">
        <w:r>
          <w:rPr>
            <w:webHidden/>
          </w:rPr>
          <w:fldChar w:fldCharType="begin"/>
        </w:r>
        <w:r>
          <w:rPr>
            <w:webHidden/>
          </w:rPr>
          <w:instrText>PAGEREF _Toc34920820 \h</w:instrText>
        </w:r>
        <w:r>
          <w:rPr>
            <w:webHidden/>
          </w:rPr>
          <w:fldChar w:fldCharType="separate"/>
        </w:r>
        <w:r>
          <w:rPr>
            <w:webHidden/>
            <w:rStyle w:val="IndexLink"/>
            <w:vanish w:val="false"/>
          </w:rPr>
          <w:t>END-06(a): File Integrity Monitoring (FIM) | Integrity Checks</w:t>
          <w:tab/>
          <w:t>126</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821">
        <w:r>
          <w:rPr>
            <w:webHidden/>
          </w:rPr>
          <w:fldChar w:fldCharType="begin"/>
        </w:r>
        <w:r>
          <w:rPr>
            <w:webHidden/>
          </w:rPr>
          <w:instrText>PAGEREF _Toc34920821 \h</w:instrText>
        </w:r>
        <w:r>
          <w:rPr>
            <w:webHidden/>
          </w:rPr>
          <w:fldChar w:fldCharType="separate"/>
        </w:r>
        <w:r>
          <w:rPr>
            <w:webHidden/>
            <w:rStyle w:val="IndexLink"/>
            <w:vanish w:val="false"/>
          </w:rPr>
          <w:t>END-06(b): File Integrity Monitoring (FIM) | Integration of Detection &amp; Response</w:t>
          <w:tab/>
          <w:t>127</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822">
        <w:r>
          <w:rPr>
            <w:webHidden/>
          </w:rPr>
          <w:fldChar w:fldCharType="begin"/>
        </w:r>
        <w:r>
          <w:rPr>
            <w:webHidden/>
          </w:rPr>
          <w:instrText>PAGEREF _Toc34920822 \h</w:instrText>
        </w:r>
        <w:r>
          <w:rPr>
            <w:webHidden/>
          </w:rPr>
          <w:fldChar w:fldCharType="separate"/>
        </w:r>
        <w:r>
          <w:rPr>
            <w:webHidden/>
            <w:rStyle w:val="IndexLink"/>
            <w:vanish w:val="false"/>
          </w:rPr>
          <w:t>END-06(c): File Integrity Monitoring (FIM) | Automated Notifications of Integrity Violations</w:t>
          <w:tab/>
          <w:t>127</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823">
        <w:r>
          <w:rPr>
            <w:webHidden/>
          </w:rPr>
          <w:fldChar w:fldCharType="begin"/>
        </w:r>
        <w:r>
          <w:rPr>
            <w:webHidden/>
          </w:rPr>
          <w:instrText>PAGEREF _Toc34920823 \h</w:instrText>
        </w:r>
        <w:r>
          <w:rPr>
            <w:webHidden/>
          </w:rPr>
          <w:fldChar w:fldCharType="separate"/>
        </w:r>
        <w:r>
          <w:rPr>
            <w:webHidden/>
            <w:rStyle w:val="IndexLink"/>
            <w:vanish w:val="false"/>
          </w:rPr>
          <w:t>END-06(d): File Integrity Monitoring (FIM) | Automated Response to Integrity Violations</w:t>
          <w:tab/>
          <w:t>127</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824">
        <w:r>
          <w:rPr>
            <w:webHidden/>
          </w:rPr>
          <w:fldChar w:fldCharType="begin"/>
        </w:r>
        <w:r>
          <w:rPr>
            <w:webHidden/>
          </w:rPr>
          <w:instrText>PAGEREF _Toc34920824 \h</w:instrText>
        </w:r>
        <w:r>
          <w:rPr>
            <w:webHidden/>
          </w:rPr>
          <w:fldChar w:fldCharType="separate"/>
        </w:r>
        <w:r>
          <w:rPr>
            <w:webHidden/>
            <w:rStyle w:val="IndexLink"/>
            <w:vanish w:val="false"/>
          </w:rPr>
          <w:t>END-06(e): File Integrity Monitoring (FIM) | Verify Boot Process</w:t>
          <w:tab/>
          <w:t>127</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825">
        <w:r>
          <w:rPr>
            <w:webHidden/>
          </w:rPr>
          <w:fldChar w:fldCharType="begin"/>
        </w:r>
        <w:r>
          <w:rPr>
            <w:webHidden/>
          </w:rPr>
          <w:instrText>PAGEREF _Toc34920825 \h</w:instrText>
        </w:r>
        <w:r>
          <w:rPr>
            <w:webHidden/>
          </w:rPr>
          <w:fldChar w:fldCharType="separate"/>
        </w:r>
        <w:r>
          <w:rPr>
            <w:webHidden/>
            <w:rStyle w:val="IndexLink"/>
            <w:vanish w:val="false"/>
          </w:rPr>
          <w:t>END-06(f): File Integrity Monitoring (FIM) | Protection of Boot Firmware</w:t>
          <w:tab/>
          <w:t>128</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826">
        <w:r>
          <w:rPr>
            <w:webHidden/>
          </w:rPr>
          <w:fldChar w:fldCharType="begin"/>
        </w:r>
        <w:r>
          <w:rPr>
            <w:webHidden/>
          </w:rPr>
          <w:instrText>PAGEREF _Toc34920826 \h</w:instrText>
        </w:r>
        <w:r>
          <w:rPr>
            <w:webHidden/>
          </w:rPr>
          <w:fldChar w:fldCharType="separate"/>
        </w:r>
        <w:r>
          <w:rPr>
            <w:webHidden/>
            <w:rStyle w:val="IndexLink"/>
            <w:vanish w:val="false"/>
          </w:rPr>
          <w:t>END-06(g): File Integrity Monitoring (FIM) | Binary or Machine-Executable Code</w:t>
          <w:tab/>
          <w:t>128</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827">
        <w:r>
          <w:rPr>
            <w:webHidden/>
          </w:rPr>
          <w:fldChar w:fldCharType="begin"/>
        </w:r>
        <w:r>
          <w:rPr>
            <w:webHidden/>
          </w:rPr>
          <w:instrText>PAGEREF _Toc34920827 \h</w:instrText>
        </w:r>
        <w:r>
          <w:rPr>
            <w:webHidden/>
          </w:rPr>
          <w:fldChar w:fldCharType="separate"/>
        </w:r>
        <w:r>
          <w:rPr>
            <w:webHidden/>
            <w:rStyle w:val="IndexLink"/>
            <w:vanish w:val="false"/>
          </w:rPr>
          <w:t>END-07: Host Intrusion Detection and Prevention Systems (HIDS / HIPS)</w:t>
          <w:tab/>
          <w:t>128</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828">
        <w:r>
          <w:rPr>
            <w:webHidden/>
          </w:rPr>
          <w:fldChar w:fldCharType="begin"/>
        </w:r>
        <w:r>
          <w:rPr>
            <w:webHidden/>
          </w:rPr>
          <w:instrText>PAGEREF _Toc34920828 \h</w:instrText>
        </w:r>
        <w:r>
          <w:rPr>
            <w:webHidden/>
          </w:rPr>
          <w:fldChar w:fldCharType="separate"/>
        </w:r>
        <w:r>
          <w:rPr>
            <w:webHidden/>
            <w:rStyle w:val="IndexLink"/>
            <w:vanish w:val="false"/>
          </w:rPr>
          <w:t>END-08: Phishing &amp; Spam Protection</w:t>
          <w:tab/>
          <w:t>128</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829">
        <w:r>
          <w:rPr>
            <w:webHidden/>
          </w:rPr>
          <w:fldChar w:fldCharType="begin"/>
        </w:r>
        <w:r>
          <w:rPr>
            <w:webHidden/>
          </w:rPr>
          <w:instrText>PAGEREF _Toc34920829 \h</w:instrText>
        </w:r>
        <w:r>
          <w:rPr>
            <w:webHidden/>
          </w:rPr>
          <w:fldChar w:fldCharType="separate"/>
        </w:r>
        <w:r>
          <w:rPr>
            <w:webHidden/>
            <w:rStyle w:val="IndexLink"/>
            <w:vanish w:val="false"/>
          </w:rPr>
          <w:t>END-08(a): Phishing &amp; Spam Protection | Central Management</w:t>
          <w:tab/>
          <w:t>129</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830">
        <w:r>
          <w:rPr>
            <w:webHidden/>
          </w:rPr>
          <w:fldChar w:fldCharType="begin"/>
        </w:r>
        <w:r>
          <w:rPr>
            <w:webHidden/>
          </w:rPr>
          <w:instrText>PAGEREF _Toc34920830 \h</w:instrText>
        </w:r>
        <w:r>
          <w:rPr>
            <w:webHidden/>
          </w:rPr>
          <w:fldChar w:fldCharType="separate"/>
        </w:r>
        <w:r>
          <w:rPr>
            <w:webHidden/>
            <w:rStyle w:val="IndexLink"/>
            <w:vanish w:val="false"/>
          </w:rPr>
          <w:t>END-08(b): Phishing &amp; Spam Protection | Automatic Updates</w:t>
          <w:tab/>
          <w:t>129</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831">
        <w:r>
          <w:rPr>
            <w:webHidden/>
          </w:rPr>
          <w:fldChar w:fldCharType="begin"/>
        </w:r>
        <w:r>
          <w:rPr>
            <w:webHidden/>
          </w:rPr>
          <w:instrText>PAGEREF _Toc34920831 \h</w:instrText>
        </w:r>
        <w:r>
          <w:rPr>
            <w:webHidden/>
          </w:rPr>
          <w:fldChar w:fldCharType="separate"/>
        </w:r>
        <w:r>
          <w:rPr>
            <w:webHidden/>
            <w:rStyle w:val="IndexLink"/>
            <w:vanish w:val="false"/>
          </w:rPr>
          <w:t>END-09: Trusted Path</w:t>
          <w:tab/>
          <w:t>129</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832">
        <w:r>
          <w:rPr>
            <w:webHidden/>
          </w:rPr>
          <w:fldChar w:fldCharType="begin"/>
        </w:r>
        <w:r>
          <w:rPr>
            <w:webHidden/>
          </w:rPr>
          <w:instrText>PAGEREF _Toc34920832 \h</w:instrText>
        </w:r>
        <w:r>
          <w:rPr>
            <w:webHidden/>
          </w:rPr>
          <w:fldChar w:fldCharType="separate"/>
        </w:r>
        <w:r>
          <w:rPr>
            <w:webHidden/>
            <w:rStyle w:val="IndexLink"/>
            <w:vanish w:val="false"/>
          </w:rPr>
          <w:t>END-10: Mobile Code</w:t>
          <w:tab/>
          <w:t>129</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833">
        <w:r>
          <w:rPr>
            <w:webHidden/>
          </w:rPr>
          <w:fldChar w:fldCharType="begin"/>
        </w:r>
        <w:r>
          <w:rPr>
            <w:webHidden/>
          </w:rPr>
          <w:instrText>PAGEREF _Toc34920833 \h</w:instrText>
        </w:r>
        <w:r>
          <w:rPr>
            <w:webHidden/>
          </w:rPr>
          <w:fldChar w:fldCharType="separate"/>
        </w:r>
        <w:r>
          <w:rPr>
            <w:webHidden/>
            <w:rStyle w:val="IndexLink"/>
            <w:vanish w:val="false"/>
          </w:rPr>
          <w:t>END-11: Thin Nodes</w:t>
          <w:tab/>
          <w:t>130</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834">
        <w:r>
          <w:rPr>
            <w:webHidden/>
          </w:rPr>
          <w:fldChar w:fldCharType="begin"/>
        </w:r>
        <w:r>
          <w:rPr>
            <w:webHidden/>
          </w:rPr>
          <w:instrText>PAGEREF _Toc34920834 \h</w:instrText>
        </w:r>
        <w:r>
          <w:rPr>
            <w:webHidden/>
          </w:rPr>
          <w:fldChar w:fldCharType="separate"/>
        </w:r>
        <w:r>
          <w:rPr>
            <w:webHidden/>
            <w:rStyle w:val="IndexLink"/>
            <w:vanish w:val="false"/>
          </w:rPr>
          <w:t>END-12: Port &amp; Input / Output (I/O) Device Access</w:t>
          <w:tab/>
          <w:t>130</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835">
        <w:r>
          <w:rPr>
            <w:webHidden/>
          </w:rPr>
          <w:fldChar w:fldCharType="begin"/>
        </w:r>
        <w:r>
          <w:rPr>
            <w:webHidden/>
          </w:rPr>
          <w:instrText>PAGEREF _Toc34920835 \h</w:instrText>
        </w:r>
        <w:r>
          <w:rPr>
            <w:webHidden/>
          </w:rPr>
          <w:fldChar w:fldCharType="separate"/>
        </w:r>
        <w:r>
          <w:rPr>
            <w:webHidden/>
            <w:rStyle w:val="IndexLink"/>
            <w:vanish w:val="false"/>
          </w:rPr>
          <w:t>END-13: Sensor Capability</w:t>
          <w:tab/>
          <w:t>131</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836">
        <w:r>
          <w:rPr>
            <w:webHidden/>
          </w:rPr>
          <w:fldChar w:fldCharType="begin"/>
        </w:r>
        <w:r>
          <w:rPr>
            <w:webHidden/>
          </w:rPr>
          <w:instrText>PAGEREF _Toc34920836 \h</w:instrText>
        </w:r>
        <w:r>
          <w:rPr>
            <w:webHidden/>
          </w:rPr>
          <w:fldChar w:fldCharType="separate"/>
        </w:r>
        <w:r>
          <w:rPr>
            <w:webHidden/>
            <w:rStyle w:val="IndexLink"/>
            <w:vanish w:val="false"/>
          </w:rPr>
          <w:t>END-13(a): Sensor Capability | Authorized Use</w:t>
          <w:tab/>
          <w:t>131</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837">
        <w:r>
          <w:rPr>
            <w:webHidden/>
          </w:rPr>
          <w:fldChar w:fldCharType="begin"/>
        </w:r>
        <w:r>
          <w:rPr>
            <w:webHidden/>
          </w:rPr>
          <w:instrText>PAGEREF _Toc34920837 \h</w:instrText>
        </w:r>
        <w:r>
          <w:rPr>
            <w:webHidden/>
          </w:rPr>
          <w:fldChar w:fldCharType="separate"/>
        </w:r>
        <w:r>
          <w:rPr>
            <w:webHidden/>
            <w:rStyle w:val="IndexLink"/>
            <w:vanish w:val="false"/>
          </w:rPr>
          <w:t>END-13(b): Sensor Capability | Notice of Collection</w:t>
          <w:tab/>
          <w:t>131</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838">
        <w:r>
          <w:rPr>
            <w:webHidden/>
          </w:rPr>
          <w:fldChar w:fldCharType="begin"/>
        </w:r>
        <w:r>
          <w:rPr>
            <w:webHidden/>
          </w:rPr>
          <w:instrText>PAGEREF _Toc34920838 \h</w:instrText>
        </w:r>
        <w:r>
          <w:rPr>
            <w:webHidden/>
          </w:rPr>
          <w:fldChar w:fldCharType="separate"/>
        </w:r>
        <w:r>
          <w:rPr>
            <w:webHidden/>
            <w:rStyle w:val="IndexLink"/>
            <w:vanish w:val="false"/>
          </w:rPr>
          <w:t>END-13(c): Sensor Capability | Collection Minimization</w:t>
          <w:tab/>
          <w:t>131</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839">
        <w:r>
          <w:rPr>
            <w:webHidden/>
          </w:rPr>
          <w:fldChar w:fldCharType="begin"/>
        </w:r>
        <w:r>
          <w:rPr>
            <w:webHidden/>
          </w:rPr>
          <w:instrText>PAGEREF _Toc34920839 \h</w:instrText>
        </w:r>
        <w:r>
          <w:rPr>
            <w:webHidden/>
          </w:rPr>
          <w:fldChar w:fldCharType="separate"/>
        </w:r>
        <w:r>
          <w:rPr>
            <w:webHidden/>
            <w:rStyle w:val="IndexLink"/>
            <w:vanish w:val="false"/>
          </w:rPr>
          <w:t>END-14: Collaborative Computing Devices</w:t>
          <w:tab/>
          <w:t>132</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840">
        <w:r>
          <w:rPr>
            <w:webHidden/>
          </w:rPr>
          <w:fldChar w:fldCharType="begin"/>
        </w:r>
        <w:r>
          <w:rPr>
            <w:webHidden/>
          </w:rPr>
          <w:instrText>PAGEREF _Toc34920840 \h</w:instrText>
        </w:r>
        <w:r>
          <w:rPr>
            <w:webHidden/>
          </w:rPr>
          <w:fldChar w:fldCharType="separate"/>
        </w:r>
        <w:r>
          <w:rPr>
            <w:webHidden/>
            <w:rStyle w:val="IndexLink"/>
            <w:vanish w:val="false"/>
          </w:rPr>
          <w:t>END-14(a): Collaborative Computing Devices | Disabling / Removal in Secure Work Areas</w:t>
          <w:tab/>
          <w:t>132</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841">
        <w:r>
          <w:rPr>
            <w:webHidden/>
          </w:rPr>
          <w:fldChar w:fldCharType="begin"/>
        </w:r>
        <w:r>
          <w:rPr>
            <w:webHidden/>
          </w:rPr>
          <w:instrText>PAGEREF _Toc34920841 \h</w:instrText>
        </w:r>
        <w:r>
          <w:rPr>
            <w:webHidden/>
          </w:rPr>
          <w:fldChar w:fldCharType="separate"/>
        </w:r>
        <w:r>
          <w:rPr>
            <w:webHidden/>
            <w:rStyle w:val="IndexLink"/>
            <w:vanish w:val="false"/>
          </w:rPr>
          <w:t>END-14(b): Collaborative Computing Devices | Explicitly Indicate Current Participants</w:t>
          <w:tab/>
          <w:t>132</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842">
        <w:r>
          <w:rPr>
            <w:webHidden/>
          </w:rPr>
          <w:fldChar w:fldCharType="begin"/>
        </w:r>
        <w:r>
          <w:rPr>
            <w:webHidden/>
          </w:rPr>
          <w:instrText>PAGEREF _Toc34920842 \h</w:instrText>
        </w:r>
        <w:r>
          <w:rPr>
            <w:webHidden/>
          </w:rPr>
          <w:fldChar w:fldCharType="separate"/>
        </w:r>
        <w:r>
          <w:rPr>
            <w:webHidden/>
            <w:rStyle w:val="IndexLink"/>
            <w:vanish w:val="false"/>
          </w:rPr>
          <w:t>END-15: Hypervisor Access</w:t>
          <w:tab/>
          <w:t>132</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843">
        <w:r>
          <w:rPr>
            <w:webHidden/>
          </w:rPr>
          <w:fldChar w:fldCharType="begin"/>
        </w:r>
        <w:r>
          <w:rPr>
            <w:webHidden/>
          </w:rPr>
          <w:instrText>PAGEREF _Toc34920843 \h</w:instrText>
        </w:r>
        <w:r>
          <w:rPr>
            <w:webHidden/>
          </w:rPr>
          <w:fldChar w:fldCharType="separate"/>
        </w:r>
        <w:r>
          <w:rPr>
            <w:webHidden/>
            <w:rStyle w:val="IndexLink"/>
            <w:vanish w:val="false"/>
          </w:rPr>
          <w:t>END-16: Security Function Isolation</w:t>
          <w:tab/>
          <w:t>132</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844">
        <w:r>
          <w:rPr>
            <w:webHidden/>
          </w:rPr>
          <w:fldChar w:fldCharType="begin"/>
        </w:r>
        <w:r>
          <w:rPr>
            <w:webHidden/>
          </w:rPr>
          <w:instrText>PAGEREF _Toc34920844 \h</w:instrText>
        </w:r>
        <w:r>
          <w:rPr>
            <w:webHidden/>
          </w:rPr>
          <w:fldChar w:fldCharType="separate"/>
        </w:r>
        <w:r>
          <w:rPr>
            <w:webHidden/>
            <w:rStyle w:val="IndexLink"/>
            <w:vanish w:val="false"/>
          </w:rPr>
          <w:t>END-16(a): Security Function Isolation | Host-Based Security Function Isolation</w:t>
          <w:tab/>
          <w:t>133</w:t>
        </w:r>
        <w:r>
          <w:rPr>
            <w:webHidden/>
          </w:rPr>
          <w:fldChar w:fldCharType="end"/>
        </w:r>
      </w:hyperlink>
    </w:p>
    <w:p>
      <w:pPr>
        <w:pStyle w:val="Contents1"/>
        <w:rPr>
          <w:rFonts w:eastAsia="" w:cs="" w:cstheme="minorBidi" w:eastAsiaTheme="minorEastAsia"/>
          <w:b w:val="false"/>
          <w:b w:val="false"/>
          <w:caps w:val="false"/>
          <w:smallCaps w:val="false"/>
          <w:color w:val="auto"/>
          <w:sz w:val="22"/>
          <w:szCs w:val="22"/>
          <w:u w:val="none"/>
        </w:rPr>
      </w:pPr>
      <w:hyperlink w:anchor="_Toc34920845">
        <w:r>
          <w:rPr>
            <w:webHidden/>
          </w:rPr>
          <w:fldChar w:fldCharType="begin"/>
        </w:r>
        <w:r>
          <w:rPr>
            <w:webHidden/>
          </w:rPr>
          <w:instrText>PAGEREF _Toc34920845 \h</w:instrText>
        </w:r>
        <w:r>
          <w:rPr>
            <w:webHidden/>
          </w:rPr>
          <w:fldChar w:fldCharType="separate"/>
        </w:r>
        <w:r>
          <w:rPr>
            <w:webHidden/>
            <w:rStyle w:val="IndexLink"/>
            <w:vanish w:val="false"/>
          </w:rPr>
          <w:t>Human Resources Security (HRS) Policy &amp; Standards</w:t>
          <w:tab/>
          <w:t>134</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846">
        <w:r>
          <w:rPr>
            <w:webHidden/>
          </w:rPr>
          <w:fldChar w:fldCharType="begin"/>
        </w:r>
        <w:r>
          <w:rPr>
            <w:webHidden/>
          </w:rPr>
          <w:instrText>PAGEREF _Toc34920846 \h</w:instrText>
        </w:r>
        <w:r>
          <w:rPr>
            <w:webHidden/>
          </w:rPr>
          <w:fldChar w:fldCharType="separate"/>
        </w:r>
        <w:r>
          <w:rPr>
            <w:webHidden/>
            <w:rStyle w:val="IndexLink"/>
            <w:vanish w:val="false"/>
          </w:rPr>
          <w:t>HRS-01: Human Resources Security Management</w:t>
          <w:tab/>
          <w:t>134</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847">
        <w:r>
          <w:rPr>
            <w:webHidden/>
          </w:rPr>
          <w:fldChar w:fldCharType="begin"/>
        </w:r>
        <w:r>
          <w:rPr>
            <w:webHidden/>
          </w:rPr>
          <w:instrText>PAGEREF _Toc34920847 \h</w:instrText>
        </w:r>
        <w:r>
          <w:rPr>
            <w:webHidden/>
          </w:rPr>
          <w:fldChar w:fldCharType="separate"/>
        </w:r>
        <w:r>
          <w:rPr>
            <w:webHidden/>
            <w:rStyle w:val="IndexLink"/>
            <w:vanish w:val="false"/>
          </w:rPr>
          <w:t>HRS-02: Position Categorization</w:t>
          <w:tab/>
          <w:t>134</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848">
        <w:r>
          <w:rPr>
            <w:webHidden/>
          </w:rPr>
          <w:fldChar w:fldCharType="begin"/>
        </w:r>
        <w:r>
          <w:rPr>
            <w:webHidden/>
          </w:rPr>
          <w:instrText>PAGEREF _Toc34920848 \h</w:instrText>
        </w:r>
        <w:r>
          <w:rPr>
            <w:webHidden/>
          </w:rPr>
          <w:fldChar w:fldCharType="separate"/>
        </w:r>
        <w:r>
          <w:rPr>
            <w:webHidden/>
            <w:rStyle w:val="IndexLink"/>
            <w:vanish w:val="false"/>
          </w:rPr>
          <w:t>HRS-02(a): Position Categorization | Users With Elevated Privileges</w:t>
          <w:tab/>
          <w:t>134</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849">
        <w:r>
          <w:rPr>
            <w:webHidden/>
          </w:rPr>
          <w:fldChar w:fldCharType="begin"/>
        </w:r>
        <w:r>
          <w:rPr>
            <w:webHidden/>
          </w:rPr>
          <w:instrText>PAGEREF _Toc34920849 \h</w:instrText>
        </w:r>
        <w:r>
          <w:rPr>
            <w:webHidden/>
          </w:rPr>
          <w:fldChar w:fldCharType="separate"/>
        </w:r>
        <w:r>
          <w:rPr>
            <w:webHidden/>
            <w:rStyle w:val="IndexLink"/>
            <w:vanish w:val="false"/>
          </w:rPr>
          <w:t>HRS-03: Roles &amp; Responsibilities</w:t>
          <w:tab/>
          <w:t>135</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850">
        <w:r>
          <w:rPr>
            <w:webHidden/>
          </w:rPr>
          <w:fldChar w:fldCharType="begin"/>
        </w:r>
        <w:r>
          <w:rPr>
            <w:webHidden/>
          </w:rPr>
          <w:instrText>PAGEREF _Toc34920850 \h</w:instrText>
        </w:r>
        <w:r>
          <w:rPr>
            <w:webHidden/>
          </w:rPr>
          <w:fldChar w:fldCharType="separate"/>
        </w:r>
        <w:r>
          <w:rPr>
            <w:webHidden/>
            <w:rStyle w:val="IndexLink"/>
            <w:vanish w:val="false"/>
          </w:rPr>
          <w:t>HRS-03(a): Roles &amp; Responsibilities | User Awareness</w:t>
          <w:tab/>
          <w:t>135</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851">
        <w:r>
          <w:rPr>
            <w:webHidden/>
          </w:rPr>
          <w:fldChar w:fldCharType="begin"/>
        </w:r>
        <w:r>
          <w:rPr>
            <w:webHidden/>
          </w:rPr>
          <w:instrText>PAGEREF _Toc34920851 \h</w:instrText>
        </w:r>
        <w:r>
          <w:rPr>
            <w:webHidden/>
          </w:rPr>
          <w:fldChar w:fldCharType="separate"/>
        </w:r>
        <w:r>
          <w:rPr>
            <w:webHidden/>
            <w:rStyle w:val="IndexLink"/>
            <w:vanish w:val="false"/>
          </w:rPr>
          <w:t>HRS-03(b): Roles &amp; Responsibilities | Competency Requirements for Security-Related Positions</w:t>
          <w:tab/>
          <w:t>135</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852">
        <w:r>
          <w:rPr>
            <w:webHidden/>
          </w:rPr>
          <w:fldChar w:fldCharType="begin"/>
        </w:r>
        <w:r>
          <w:rPr>
            <w:webHidden/>
          </w:rPr>
          <w:instrText>PAGEREF _Toc34920852 \h</w:instrText>
        </w:r>
        <w:r>
          <w:rPr>
            <w:webHidden/>
          </w:rPr>
          <w:fldChar w:fldCharType="separate"/>
        </w:r>
        <w:r>
          <w:rPr>
            <w:webHidden/>
            <w:rStyle w:val="IndexLink"/>
            <w:vanish w:val="false"/>
          </w:rPr>
          <w:t>HRS-04: Personnel Screening</w:t>
          <w:tab/>
          <w:t>135</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853">
        <w:r>
          <w:rPr>
            <w:webHidden/>
          </w:rPr>
          <w:fldChar w:fldCharType="begin"/>
        </w:r>
        <w:r>
          <w:rPr>
            <w:webHidden/>
          </w:rPr>
          <w:instrText>PAGEREF _Toc34920853 \h</w:instrText>
        </w:r>
        <w:r>
          <w:rPr>
            <w:webHidden/>
          </w:rPr>
          <w:fldChar w:fldCharType="separate"/>
        </w:r>
        <w:r>
          <w:rPr>
            <w:webHidden/>
            <w:rStyle w:val="IndexLink"/>
            <w:vanish w:val="false"/>
          </w:rPr>
          <w:t>HRS-04(a): Personnel Screening | Roles With Special Protection Measures</w:t>
          <w:tab/>
          <w:t>136</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854">
        <w:r>
          <w:rPr>
            <w:webHidden/>
          </w:rPr>
          <w:fldChar w:fldCharType="begin"/>
        </w:r>
        <w:r>
          <w:rPr>
            <w:webHidden/>
          </w:rPr>
          <w:instrText>PAGEREF _Toc34920854 \h</w:instrText>
        </w:r>
        <w:r>
          <w:rPr>
            <w:webHidden/>
          </w:rPr>
          <w:fldChar w:fldCharType="separate"/>
        </w:r>
        <w:r>
          <w:rPr>
            <w:webHidden/>
            <w:rStyle w:val="IndexLink"/>
            <w:vanish w:val="false"/>
          </w:rPr>
          <w:t>HRS-04(b): Personnel Screening | Formal Indoctrination</w:t>
          <w:tab/>
          <w:t>136</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855">
        <w:r>
          <w:rPr>
            <w:webHidden/>
          </w:rPr>
          <w:fldChar w:fldCharType="begin"/>
        </w:r>
        <w:r>
          <w:rPr>
            <w:webHidden/>
          </w:rPr>
          <w:instrText>PAGEREF _Toc34920855 \h</w:instrText>
        </w:r>
        <w:r>
          <w:rPr>
            <w:webHidden/>
          </w:rPr>
          <w:fldChar w:fldCharType="separate"/>
        </w:r>
        <w:r>
          <w:rPr>
            <w:webHidden/>
            <w:rStyle w:val="IndexLink"/>
            <w:vanish w:val="false"/>
          </w:rPr>
          <w:t>HRS-05: Terms of Employment</w:t>
          <w:tab/>
          <w:t>136</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856">
        <w:r>
          <w:rPr>
            <w:webHidden/>
          </w:rPr>
          <w:fldChar w:fldCharType="begin"/>
        </w:r>
        <w:r>
          <w:rPr>
            <w:webHidden/>
          </w:rPr>
          <w:instrText>PAGEREF _Toc34920856 \h</w:instrText>
        </w:r>
        <w:r>
          <w:rPr>
            <w:webHidden/>
          </w:rPr>
          <w:fldChar w:fldCharType="separate"/>
        </w:r>
        <w:r>
          <w:rPr>
            <w:webHidden/>
            <w:rStyle w:val="IndexLink"/>
            <w:vanish w:val="false"/>
          </w:rPr>
          <w:t>HRS-05(a): Terms of Employment | Rules of Behavior</w:t>
          <w:tab/>
          <w:t>136</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857">
        <w:r>
          <w:rPr>
            <w:webHidden/>
          </w:rPr>
          <w:fldChar w:fldCharType="begin"/>
        </w:r>
        <w:r>
          <w:rPr>
            <w:webHidden/>
          </w:rPr>
          <w:instrText>PAGEREF _Toc34920857 \h</w:instrText>
        </w:r>
        <w:r>
          <w:rPr>
            <w:webHidden/>
          </w:rPr>
          <w:fldChar w:fldCharType="separate"/>
        </w:r>
        <w:r>
          <w:rPr>
            <w:webHidden/>
            <w:rStyle w:val="IndexLink"/>
            <w:vanish w:val="false"/>
          </w:rPr>
          <w:t>HRS-05(b): Terms of Employment | Social Media &amp; Social Networking Restrictions</w:t>
          <w:tab/>
          <w:t>137</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858">
        <w:r>
          <w:rPr>
            <w:webHidden/>
          </w:rPr>
          <w:fldChar w:fldCharType="begin"/>
        </w:r>
        <w:r>
          <w:rPr>
            <w:webHidden/>
          </w:rPr>
          <w:instrText>PAGEREF _Toc34920858 \h</w:instrText>
        </w:r>
        <w:r>
          <w:rPr>
            <w:webHidden/>
          </w:rPr>
          <w:fldChar w:fldCharType="separate"/>
        </w:r>
        <w:r>
          <w:rPr>
            <w:webHidden/>
            <w:rStyle w:val="IndexLink"/>
            <w:vanish w:val="false"/>
          </w:rPr>
          <w:t>HRS-05(c): Terms of Employment | Use of Communications Technology</w:t>
          <w:tab/>
          <w:t>137</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859">
        <w:r>
          <w:rPr>
            <w:webHidden/>
          </w:rPr>
          <w:fldChar w:fldCharType="begin"/>
        </w:r>
        <w:r>
          <w:rPr>
            <w:webHidden/>
          </w:rPr>
          <w:instrText>PAGEREF _Toc34920859 \h</w:instrText>
        </w:r>
        <w:r>
          <w:rPr>
            <w:webHidden/>
          </w:rPr>
          <w:fldChar w:fldCharType="separate"/>
        </w:r>
        <w:r>
          <w:rPr>
            <w:webHidden/>
            <w:rStyle w:val="IndexLink"/>
            <w:vanish w:val="false"/>
          </w:rPr>
          <w:t>HRS-05(d): Terms of Employment | Use of Critical Technologies</w:t>
          <w:tab/>
          <w:t>137</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860">
        <w:r>
          <w:rPr>
            <w:webHidden/>
          </w:rPr>
          <w:fldChar w:fldCharType="begin"/>
        </w:r>
        <w:r>
          <w:rPr>
            <w:webHidden/>
          </w:rPr>
          <w:instrText>PAGEREF _Toc34920860 \h</w:instrText>
        </w:r>
        <w:r>
          <w:rPr>
            <w:webHidden/>
          </w:rPr>
          <w:fldChar w:fldCharType="separate"/>
        </w:r>
        <w:r>
          <w:rPr>
            <w:webHidden/>
            <w:rStyle w:val="IndexLink"/>
            <w:vanish w:val="false"/>
          </w:rPr>
          <w:t>HRS-05(e): Terms of Employment | Use of Mobile Devices</w:t>
          <w:tab/>
          <w:t>138</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861">
        <w:r>
          <w:rPr>
            <w:webHidden/>
          </w:rPr>
          <w:fldChar w:fldCharType="begin"/>
        </w:r>
        <w:r>
          <w:rPr>
            <w:webHidden/>
          </w:rPr>
          <w:instrText>PAGEREF _Toc34920861 \h</w:instrText>
        </w:r>
        <w:r>
          <w:rPr>
            <w:webHidden/>
          </w:rPr>
          <w:fldChar w:fldCharType="separate"/>
        </w:r>
        <w:r>
          <w:rPr>
            <w:webHidden/>
            <w:rStyle w:val="IndexLink"/>
            <w:vanish w:val="false"/>
          </w:rPr>
          <w:t>HRS-06: Access Agreements</w:t>
          <w:tab/>
          <w:t>138</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862">
        <w:r>
          <w:rPr>
            <w:webHidden/>
          </w:rPr>
          <w:fldChar w:fldCharType="begin"/>
        </w:r>
        <w:r>
          <w:rPr>
            <w:webHidden/>
          </w:rPr>
          <w:instrText>PAGEREF _Toc34920862 \h</w:instrText>
        </w:r>
        <w:r>
          <w:rPr>
            <w:webHidden/>
          </w:rPr>
          <w:fldChar w:fldCharType="separate"/>
        </w:r>
        <w:r>
          <w:rPr>
            <w:webHidden/>
            <w:rStyle w:val="IndexLink"/>
            <w:vanish w:val="false"/>
          </w:rPr>
          <w:t>HRS-06(a): Access Agreements | Confidentiality Agreements</w:t>
          <w:tab/>
          <w:t>138</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863">
        <w:r>
          <w:rPr>
            <w:webHidden/>
          </w:rPr>
          <w:fldChar w:fldCharType="begin"/>
        </w:r>
        <w:r>
          <w:rPr>
            <w:webHidden/>
          </w:rPr>
          <w:instrText>PAGEREF _Toc34920863 \h</w:instrText>
        </w:r>
        <w:r>
          <w:rPr>
            <w:webHidden/>
          </w:rPr>
          <w:fldChar w:fldCharType="separate"/>
        </w:r>
        <w:r>
          <w:rPr>
            <w:webHidden/>
            <w:rStyle w:val="IndexLink"/>
            <w:vanish w:val="false"/>
          </w:rPr>
          <w:t>HRS-06(b): Access Agreements | Post-Employment Obligations</w:t>
          <w:tab/>
          <w:t>139</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864">
        <w:r>
          <w:rPr>
            <w:webHidden/>
          </w:rPr>
          <w:fldChar w:fldCharType="begin"/>
        </w:r>
        <w:r>
          <w:rPr>
            <w:webHidden/>
          </w:rPr>
          <w:instrText>PAGEREF _Toc34920864 \h</w:instrText>
        </w:r>
        <w:r>
          <w:rPr>
            <w:webHidden/>
          </w:rPr>
          <w:fldChar w:fldCharType="separate"/>
        </w:r>
        <w:r>
          <w:rPr>
            <w:webHidden/>
            <w:rStyle w:val="IndexLink"/>
            <w:vanish w:val="false"/>
          </w:rPr>
          <w:t>HRS-07: Personnel Sanctions</w:t>
          <w:tab/>
          <w:t>139</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865">
        <w:r>
          <w:rPr>
            <w:webHidden/>
          </w:rPr>
          <w:fldChar w:fldCharType="begin"/>
        </w:r>
        <w:r>
          <w:rPr>
            <w:webHidden/>
          </w:rPr>
          <w:instrText>PAGEREF _Toc34920865 \h</w:instrText>
        </w:r>
        <w:r>
          <w:rPr>
            <w:webHidden/>
          </w:rPr>
          <w:fldChar w:fldCharType="separate"/>
        </w:r>
        <w:r>
          <w:rPr>
            <w:webHidden/>
            <w:rStyle w:val="IndexLink"/>
            <w:vanish w:val="false"/>
          </w:rPr>
          <w:t>HRS-07(a): Personnel Sanctions | Workplace Investigations</w:t>
          <w:tab/>
          <w:t>139</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866">
        <w:r>
          <w:rPr>
            <w:webHidden/>
          </w:rPr>
          <w:fldChar w:fldCharType="begin"/>
        </w:r>
        <w:r>
          <w:rPr>
            <w:webHidden/>
          </w:rPr>
          <w:instrText>PAGEREF _Toc34920866 \h</w:instrText>
        </w:r>
        <w:r>
          <w:rPr>
            <w:webHidden/>
          </w:rPr>
          <w:fldChar w:fldCharType="separate"/>
        </w:r>
        <w:r>
          <w:rPr>
            <w:webHidden/>
            <w:rStyle w:val="IndexLink"/>
            <w:vanish w:val="false"/>
          </w:rPr>
          <w:t>HRS-08: Personnel Transfer</w:t>
          <w:tab/>
          <w:t>140</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867">
        <w:r>
          <w:rPr>
            <w:webHidden/>
          </w:rPr>
          <w:fldChar w:fldCharType="begin"/>
        </w:r>
        <w:r>
          <w:rPr>
            <w:webHidden/>
          </w:rPr>
          <w:instrText>PAGEREF _Toc34920867 \h</w:instrText>
        </w:r>
        <w:r>
          <w:rPr>
            <w:webHidden/>
          </w:rPr>
          <w:fldChar w:fldCharType="separate"/>
        </w:r>
        <w:r>
          <w:rPr>
            <w:webHidden/>
            <w:rStyle w:val="IndexLink"/>
            <w:vanish w:val="false"/>
          </w:rPr>
          <w:t>HRS-09: Personnel Termination</w:t>
          <w:tab/>
          <w:t>140</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868">
        <w:r>
          <w:rPr>
            <w:webHidden/>
          </w:rPr>
          <w:fldChar w:fldCharType="begin"/>
        </w:r>
        <w:r>
          <w:rPr>
            <w:webHidden/>
          </w:rPr>
          <w:instrText>PAGEREF _Toc34920868 \h</w:instrText>
        </w:r>
        <w:r>
          <w:rPr>
            <w:webHidden/>
          </w:rPr>
          <w:fldChar w:fldCharType="separate"/>
        </w:r>
        <w:r>
          <w:rPr>
            <w:webHidden/>
            <w:rStyle w:val="IndexLink"/>
            <w:vanish w:val="false"/>
          </w:rPr>
          <w:t>HRS-09(a): Personnel Termination | Asset Collection</w:t>
          <w:tab/>
          <w:t>140</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869">
        <w:r>
          <w:rPr>
            <w:webHidden/>
          </w:rPr>
          <w:fldChar w:fldCharType="begin"/>
        </w:r>
        <w:r>
          <w:rPr>
            <w:webHidden/>
          </w:rPr>
          <w:instrText>PAGEREF _Toc34920869 \h</w:instrText>
        </w:r>
        <w:r>
          <w:rPr>
            <w:webHidden/>
          </w:rPr>
          <w:fldChar w:fldCharType="separate"/>
        </w:r>
        <w:r>
          <w:rPr>
            <w:webHidden/>
            <w:rStyle w:val="IndexLink"/>
            <w:vanish w:val="false"/>
          </w:rPr>
          <w:t>HRS-09(b): Personnel Termination | High-Risk Terminations</w:t>
          <w:tab/>
          <w:t>141</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870">
        <w:r>
          <w:rPr>
            <w:webHidden/>
          </w:rPr>
          <w:fldChar w:fldCharType="begin"/>
        </w:r>
        <w:r>
          <w:rPr>
            <w:webHidden/>
          </w:rPr>
          <w:instrText>PAGEREF _Toc34920870 \h</w:instrText>
        </w:r>
        <w:r>
          <w:rPr>
            <w:webHidden/>
          </w:rPr>
          <w:fldChar w:fldCharType="separate"/>
        </w:r>
        <w:r>
          <w:rPr>
            <w:webHidden/>
            <w:rStyle w:val="IndexLink"/>
            <w:vanish w:val="false"/>
          </w:rPr>
          <w:t>HRS-09(c): Personnel Termination | Post-Employment Requirements</w:t>
          <w:tab/>
          <w:t>141</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871">
        <w:r>
          <w:rPr>
            <w:webHidden/>
          </w:rPr>
          <w:fldChar w:fldCharType="begin"/>
        </w:r>
        <w:r>
          <w:rPr>
            <w:webHidden/>
          </w:rPr>
          <w:instrText>PAGEREF _Toc34920871 \h</w:instrText>
        </w:r>
        <w:r>
          <w:rPr>
            <w:webHidden/>
          </w:rPr>
          <w:fldChar w:fldCharType="separate"/>
        </w:r>
        <w:r>
          <w:rPr>
            <w:webHidden/>
            <w:rStyle w:val="IndexLink"/>
            <w:vanish w:val="false"/>
          </w:rPr>
          <w:t>HRS-09(d): Personnel Termination | Automated Employment Status Notification</w:t>
          <w:tab/>
          <w:t>141</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872">
        <w:r>
          <w:rPr>
            <w:webHidden/>
          </w:rPr>
          <w:fldChar w:fldCharType="begin"/>
        </w:r>
        <w:r>
          <w:rPr>
            <w:webHidden/>
          </w:rPr>
          <w:instrText>PAGEREF _Toc34920872 \h</w:instrText>
        </w:r>
        <w:r>
          <w:rPr>
            <w:webHidden/>
          </w:rPr>
          <w:fldChar w:fldCharType="separate"/>
        </w:r>
        <w:r>
          <w:rPr>
            <w:webHidden/>
            <w:rStyle w:val="IndexLink"/>
            <w:vanish w:val="false"/>
          </w:rPr>
          <w:t>HRS-10: Third-Party Personnel Security</w:t>
          <w:tab/>
          <w:t>141</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873">
        <w:r>
          <w:rPr>
            <w:webHidden/>
          </w:rPr>
          <w:fldChar w:fldCharType="begin"/>
        </w:r>
        <w:r>
          <w:rPr>
            <w:webHidden/>
          </w:rPr>
          <w:instrText>PAGEREF _Toc34920873 \h</w:instrText>
        </w:r>
        <w:r>
          <w:rPr>
            <w:webHidden/>
          </w:rPr>
          <w:fldChar w:fldCharType="separate"/>
        </w:r>
        <w:r>
          <w:rPr>
            <w:webHidden/>
            <w:rStyle w:val="IndexLink"/>
            <w:vanish w:val="false"/>
          </w:rPr>
          <w:t>HRS-11: Separation of Duties</w:t>
          <w:tab/>
          <w:t>142</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874">
        <w:r>
          <w:rPr>
            <w:webHidden/>
          </w:rPr>
          <w:fldChar w:fldCharType="begin"/>
        </w:r>
        <w:r>
          <w:rPr>
            <w:webHidden/>
          </w:rPr>
          <w:instrText>PAGEREF _Toc34920874 \h</w:instrText>
        </w:r>
        <w:r>
          <w:rPr>
            <w:webHidden/>
          </w:rPr>
          <w:fldChar w:fldCharType="separate"/>
        </w:r>
        <w:r>
          <w:rPr>
            <w:webHidden/>
            <w:rStyle w:val="IndexLink"/>
            <w:vanish w:val="false"/>
          </w:rPr>
          <w:t>HRS-12: Incompatible Roles</w:t>
          <w:tab/>
          <w:t>142</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875">
        <w:r>
          <w:rPr>
            <w:webHidden/>
          </w:rPr>
          <w:fldChar w:fldCharType="begin"/>
        </w:r>
        <w:r>
          <w:rPr>
            <w:webHidden/>
          </w:rPr>
          <w:instrText>PAGEREF _Toc34920875 \h</w:instrText>
        </w:r>
        <w:r>
          <w:rPr>
            <w:webHidden/>
          </w:rPr>
          <w:fldChar w:fldCharType="separate"/>
        </w:r>
        <w:r>
          <w:rPr>
            <w:webHidden/>
            <w:rStyle w:val="IndexLink"/>
            <w:vanish w:val="false"/>
          </w:rPr>
          <w:t>HRS-12(a): Incompatible Roles | Two-Person Rule</w:t>
          <w:tab/>
          <w:t>142</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876">
        <w:r>
          <w:rPr>
            <w:webHidden/>
          </w:rPr>
          <w:fldChar w:fldCharType="begin"/>
        </w:r>
        <w:r>
          <w:rPr>
            <w:webHidden/>
          </w:rPr>
          <w:instrText>PAGEREF _Toc34920876 \h</w:instrText>
        </w:r>
        <w:r>
          <w:rPr>
            <w:webHidden/>
          </w:rPr>
          <w:fldChar w:fldCharType="separate"/>
        </w:r>
        <w:r>
          <w:rPr>
            <w:webHidden/>
            <w:rStyle w:val="IndexLink"/>
            <w:vanish w:val="false"/>
          </w:rPr>
          <w:t>HRS-13: Identify Critical Skills &amp; Gaps</w:t>
          <w:tab/>
          <w:t>143</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877">
        <w:r>
          <w:rPr>
            <w:webHidden/>
          </w:rPr>
          <w:fldChar w:fldCharType="begin"/>
        </w:r>
        <w:r>
          <w:rPr>
            <w:webHidden/>
          </w:rPr>
          <w:instrText>PAGEREF _Toc34920877 \h</w:instrText>
        </w:r>
        <w:r>
          <w:rPr>
            <w:webHidden/>
          </w:rPr>
          <w:fldChar w:fldCharType="separate"/>
        </w:r>
        <w:r>
          <w:rPr>
            <w:webHidden/>
            <w:rStyle w:val="IndexLink"/>
            <w:vanish w:val="false"/>
          </w:rPr>
          <w:t>HRS-13(a): Identify Critical Skills &amp; Gaps | Remediate Identified Skills Deficiencies</w:t>
          <w:tab/>
          <w:t>143</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878">
        <w:r>
          <w:rPr>
            <w:webHidden/>
          </w:rPr>
          <w:fldChar w:fldCharType="begin"/>
        </w:r>
        <w:r>
          <w:rPr>
            <w:webHidden/>
          </w:rPr>
          <w:instrText>PAGEREF _Toc34920878 \h</w:instrText>
        </w:r>
        <w:r>
          <w:rPr>
            <w:webHidden/>
          </w:rPr>
          <w:fldChar w:fldCharType="separate"/>
        </w:r>
        <w:r>
          <w:rPr>
            <w:webHidden/>
            <w:rStyle w:val="IndexLink"/>
            <w:vanish w:val="false"/>
          </w:rPr>
          <w:t>HRS-13(b): Identify Critical Skills &amp; Gaps | Identify Vital Cybersecurity &amp; Privacy Staff</w:t>
          <w:tab/>
          <w:t>143</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879">
        <w:r>
          <w:rPr>
            <w:webHidden/>
          </w:rPr>
          <w:fldChar w:fldCharType="begin"/>
        </w:r>
        <w:r>
          <w:rPr>
            <w:webHidden/>
          </w:rPr>
          <w:instrText>PAGEREF _Toc34920879 \h</w:instrText>
        </w:r>
        <w:r>
          <w:rPr>
            <w:webHidden/>
          </w:rPr>
          <w:fldChar w:fldCharType="separate"/>
        </w:r>
        <w:r>
          <w:rPr>
            <w:webHidden/>
            <w:rStyle w:val="IndexLink"/>
            <w:vanish w:val="false"/>
          </w:rPr>
          <w:t>HRS-13(c): Identify Critical Skills &amp; Gaps | Establish Redundancy for Vital Cybersecurity &amp; Privacy Staff</w:t>
          <w:tab/>
          <w:t>143</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880">
        <w:r>
          <w:rPr>
            <w:webHidden/>
          </w:rPr>
          <w:fldChar w:fldCharType="begin"/>
        </w:r>
        <w:r>
          <w:rPr>
            <w:webHidden/>
          </w:rPr>
          <w:instrText>PAGEREF _Toc34920880 \h</w:instrText>
        </w:r>
        <w:r>
          <w:rPr>
            <w:webHidden/>
          </w:rPr>
          <w:fldChar w:fldCharType="separate"/>
        </w:r>
        <w:r>
          <w:rPr>
            <w:webHidden/>
            <w:rStyle w:val="IndexLink"/>
            <w:vanish w:val="false"/>
          </w:rPr>
          <w:t>HRS-13(d): Identify Critical Skills &amp; Gaps | Perform Succession Planning</w:t>
          <w:tab/>
          <w:t>143</w:t>
        </w:r>
        <w:r>
          <w:rPr>
            <w:webHidden/>
          </w:rPr>
          <w:fldChar w:fldCharType="end"/>
        </w:r>
      </w:hyperlink>
    </w:p>
    <w:p>
      <w:pPr>
        <w:pStyle w:val="Contents1"/>
        <w:rPr>
          <w:rFonts w:eastAsia="" w:cs="" w:cstheme="minorBidi" w:eastAsiaTheme="minorEastAsia"/>
          <w:b w:val="false"/>
          <w:b w:val="false"/>
          <w:caps w:val="false"/>
          <w:smallCaps w:val="false"/>
          <w:color w:val="auto"/>
          <w:sz w:val="22"/>
          <w:szCs w:val="22"/>
          <w:u w:val="none"/>
        </w:rPr>
      </w:pPr>
      <w:hyperlink w:anchor="_Toc34920881">
        <w:r>
          <w:rPr>
            <w:webHidden/>
          </w:rPr>
          <w:fldChar w:fldCharType="begin"/>
        </w:r>
        <w:r>
          <w:rPr>
            <w:webHidden/>
          </w:rPr>
          <w:instrText>PAGEREF _Toc34920881 \h</w:instrText>
        </w:r>
        <w:r>
          <w:rPr>
            <w:webHidden/>
          </w:rPr>
          <w:fldChar w:fldCharType="separate"/>
        </w:r>
        <w:r>
          <w:rPr>
            <w:webHidden/>
            <w:rStyle w:val="IndexLink"/>
            <w:vanish w:val="false"/>
          </w:rPr>
          <w:t>Identification &amp; Authentication (IAC) Policy &amp; Standards</w:t>
          <w:tab/>
          <w:t>145</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882">
        <w:r>
          <w:rPr>
            <w:webHidden/>
          </w:rPr>
          <w:fldChar w:fldCharType="begin"/>
        </w:r>
        <w:r>
          <w:rPr>
            <w:webHidden/>
          </w:rPr>
          <w:instrText>PAGEREF _Toc34920882 \h</w:instrText>
        </w:r>
        <w:r>
          <w:rPr>
            <w:webHidden/>
          </w:rPr>
          <w:fldChar w:fldCharType="separate"/>
        </w:r>
        <w:r>
          <w:rPr>
            <w:webHidden/>
            <w:rStyle w:val="IndexLink"/>
            <w:vanish w:val="false"/>
          </w:rPr>
          <w:t>IAC-01: Identity &amp; Access Management (IAM)</w:t>
          <w:tab/>
          <w:t>145</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883">
        <w:r>
          <w:rPr>
            <w:webHidden/>
          </w:rPr>
          <w:fldChar w:fldCharType="begin"/>
        </w:r>
        <w:r>
          <w:rPr>
            <w:webHidden/>
          </w:rPr>
          <w:instrText>PAGEREF _Toc34920883 \h</w:instrText>
        </w:r>
        <w:r>
          <w:rPr>
            <w:webHidden/>
          </w:rPr>
          <w:fldChar w:fldCharType="separate"/>
        </w:r>
        <w:r>
          <w:rPr>
            <w:webHidden/>
            <w:rStyle w:val="IndexLink"/>
            <w:vanish w:val="false"/>
          </w:rPr>
          <w:t>IAC-02: Identification &amp; Authentication for Organizational Users</w:t>
          <w:tab/>
          <w:t>145</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884">
        <w:r>
          <w:rPr>
            <w:webHidden/>
          </w:rPr>
          <w:fldChar w:fldCharType="begin"/>
        </w:r>
        <w:r>
          <w:rPr>
            <w:webHidden/>
          </w:rPr>
          <w:instrText>PAGEREF _Toc34920884 \h</w:instrText>
        </w:r>
        <w:r>
          <w:rPr>
            <w:webHidden/>
          </w:rPr>
          <w:fldChar w:fldCharType="separate"/>
        </w:r>
        <w:r>
          <w:rPr>
            <w:webHidden/>
            <w:rStyle w:val="IndexLink"/>
            <w:vanish w:val="false"/>
          </w:rPr>
          <w:t>IAC-02(a): Identification &amp; Authentication for Organizational Users | Group Authentication</w:t>
          <w:tab/>
          <w:t>145</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885">
        <w:r>
          <w:rPr>
            <w:webHidden/>
          </w:rPr>
          <w:fldChar w:fldCharType="begin"/>
        </w:r>
        <w:r>
          <w:rPr>
            <w:webHidden/>
          </w:rPr>
          <w:instrText>PAGEREF _Toc34920885 \h</w:instrText>
        </w:r>
        <w:r>
          <w:rPr>
            <w:webHidden/>
          </w:rPr>
          <w:fldChar w:fldCharType="separate"/>
        </w:r>
        <w:r>
          <w:rPr>
            <w:webHidden/>
            <w:rStyle w:val="IndexLink"/>
            <w:vanish w:val="false"/>
          </w:rPr>
          <w:t>IAC-02(b): Identification &amp; Authentication for Organizational Users | Network Access to Privileged Accounts - Replay Resistant</w:t>
          <w:tab/>
          <w:t>146</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886">
        <w:r>
          <w:rPr>
            <w:webHidden/>
          </w:rPr>
          <w:fldChar w:fldCharType="begin"/>
        </w:r>
        <w:r>
          <w:rPr>
            <w:webHidden/>
          </w:rPr>
          <w:instrText>PAGEREF _Toc34920886 \h</w:instrText>
        </w:r>
        <w:r>
          <w:rPr>
            <w:webHidden/>
          </w:rPr>
          <w:fldChar w:fldCharType="separate"/>
        </w:r>
        <w:r>
          <w:rPr>
            <w:webHidden/>
            <w:rStyle w:val="IndexLink"/>
            <w:vanish w:val="false"/>
          </w:rPr>
          <w:t>IAC-02(c): Identification &amp; Authentication for Organizational Users | Acceptance of PIV Credentials</w:t>
          <w:tab/>
          <w:t>146</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887">
        <w:r>
          <w:rPr>
            <w:webHidden/>
          </w:rPr>
          <w:fldChar w:fldCharType="begin"/>
        </w:r>
        <w:r>
          <w:rPr>
            <w:webHidden/>
          </w:rPr>
          <w:instrText>PAGEREF _Toc34920887 \h</w:instrText>
        </w:r>
        <w:r>
          <w:rPr>
            <w:webHidden/>
          </w:rPr>
          <w:fldChar w:fldCharType="separate"/>
        </w:r>
        <w:r>
          <w:rPr>
            <w:webHidden/>
            <w:rStyle w:val="IndexLink"/>
            <w:vanish w:val="false"/>
          </w:rPr>
          <w:t>IAC-02(d): Identification &amp; Authentication for Organizational Users | Out-of-Band Authentication (OOBA)</w:t>
          <w:tab/>
          <w:t>146</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888">
        <w:r>
          <w:rPr>
            <w:webHidden/>
          </w:rPr>
          <w:fldChar w:fldCharType="begin"/>
        </w:r>
        <w:r>
          <w:rPr>
            <w:webHidden/>
          </w:rPr>
          <w:instrText>PAGEREF _Toc34920888 \h</w:instrText>
        </w:r>
        <w:r>
          <w:rPr>
            <w:webHidden/>
          </w:rPr>
          <w:fldChar w:fldCharType="separate"/>
        </w:r>
        <w:r>
          <w:rPr>
            <w:webHidden/>
            <w:rStyle w:val="IndexLink"/>
            <w:vanish w:val="false"/>
          </w:rPr>
          <w:t>IAC-03: Identification &amp; Authentication for Non-Organizational Users</w:t>
          <w:tab/>
          <w:t>146</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889">
        <w:r>
          <w:rPr>
            <w:webHidden/>
          </w:rPr>
          <w:fldChar w:fldCharType="begin"/>
        </w:r>
        <w:r>
          <w:rPr>
            <w:webHidden/>
          </w:rPr>
          <w:instrText>PAGEREF _Toc34920889 \h</w:instrText>
        </w:r>
        <w:r>
          <w:rPr>
            <w:webHidden/>
          </w:rPr>
          <w:fldChar w:fldCharType="separate"/>
        </w:r>
        <w:r>
          <w:rPr>
            <w:webHidden/>
            <w:rStyle w:val="IndexLink"/>
            <w:vanish w:val="false"/>
          </w:rPr>
          <w:t>IAC-03(a): Identification &amp; Authentication for Non-Organizational Users | Acceptance of PIV Credentials from Other Organizations</w:t>
          <w:tab/>
          <w:t>147</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890">
        <w:r>
          <w:rPr>
            <w:webHidden/>
          </w:rPr>
          <w:fldChar w:fldCharType="begin"/>
        </w:r>
        <w:r>
          <w:rPr>
            <w:webHidden/>
          </w:rPr>
          <w:instrText>PAGEREF _Toc34920890 \h</w:instrText>
        </w:r>
        <w:r>
          <w:rPr>
            <w:webHidden/>
          </w:rPr>
          <w:fldChar w:fldCharType="separate"/>
        </w:r>
        <w:r>
          <w:rPr>
            <w:webHidden/>
            <w:rStyle w:val="IndexLink"/>
            <w:vanish w:val="false"/>
          </w:rPr>
          <w:t>IAC-03(b): Identification &amp; Authentication for Non-Organizational Users | Acceptance of Third-Party Credentials</w:t>
          <w:tab/>
          <w:t>147</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891">
        <w:r>
          <w:rPr>
            <w:webHidden/>
          </w:rPr>
          <w:fldChar w:fldCharType="begin"/>
        </w:r>
        <w:r>
          <w:rPr>
            <w:webHidden/>
          </w:rPr>
          <w:instrText>PAGEREF _Toc34920891 \h</w:instrText>
        </w:r>
        <w:r>
          <w:rPr>
            <w:webHidden/>
          </w:rPr>
          <w:fldChar w:fldCharType="separate"/>
        </w:r>
        <w:r>
          <w:rPr>
            <w:webHidden/>
            <w:rStyle w:val="IndexLink"/>
            <w:vanish w:val="false"/>
          </w:rPr>
          <w:t>IAC-03(c): Identification &amp; Authentication for Non-Organizational Users | Use of FICAM-Issued Profiles</w:t>
          <w:tab/>
          <w:t>147</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892">
        <w:r>
          <w:rPr>
            <w:webHidden/>
          </w:rPr>
          <w:fldChar w:fldCharType="begin"/>
        </w:r>
        <w:r>
          <w:rPr>
            <w:webHidden/>
          </w:rPr>
          <w:instrText>PAGEREF _Toc34920892 \h</w:instrText>
        </w:r>
        <w:r>
          <w:rPr>
            <w:webHidden/>
          </w:rPr>
          <w:fldChar w:fldCharType="separate"/>
        </w:r>
        <w:r>
          <w:rPr>
            <w:webHidden/>
            <w:rStyle w:val="IndexLink"/>
            <w:vanish w:val="false"/>
          </w:rPr>
          <w:t>IAC-03(d): Identification &amp; Authentication for Non-Organizational Users | Disassociability</w:t>
          <w:tab/>
          <w:t>147</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893">
        <w:r>
          <w:rPr>
            <w:webHidden/>
          </w:rPr>
          <w:fldChar w:fldCharType="begin"/>
        </w:r>
        <w:r>
          <w:rPr>
            <w:webHidden/>
          </w:rPr>
          <w:instrText>PAGEREF _Toc34920893 \h</w:instrText>
        </w:r>
        <w:r>
          <w:rPr>
            <w:webHidden/>
          </w:rPr>
          <w:fldChar w:fldCharType="separate"/>
        </w:r>
        <w:r>
          <w:rPr>
            <w:webHidden/>
            <w:rStyle w:val="IndexLink"/>
            <w:vanish w:val="false"/>
          </w:rPr>
          <w:t>IAC-04: Identification &amp; Authentication for Devices</w:t>
          <w:tab/>
          <w:t>148</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894">
        <w:r>
          <w:rPr>
            <w:webHidden/>
          </w:rPr>
          <w:fldChar w:fldCharType="begin"/>
        </w:r>
        <w:r>
          <w:rPr>
            <w:webHidden/>
          </w:rPr>
          <w:instrText>PAGEREF _Toc34920894 \h</w:instrText>
        </w:r>
        <w:r>
          <w:rPr>
            <w:webHidden/>
          </w:rPr>
          <w:fldChar w:fldCharType="separate"/>
        </w:r>
        <w:r>
          <w:rPr>
            <w:webHidden/>
            <w:rStyle w:val="IndexLink"/>
            <w:vanish w:val="false"/>
          </w:rPr>
          <w:t>IAC-04(a): Identification &amp; Authentication for Devices | Device Attestation</w:t>
          <w:tab/>
          <w:t>148</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895">
        <w:r>
          <w:rPr>
            <w:webHidden/>
          </w:rPr>
          <w:fldChar w:fldCharType="begin"/>
        </w:r>
        <w:r>
          <w:rPr>
            <w:webHidden/>
          </w:rPr>
          <w:instrText>PAGEREF _Toc34920895 \h</w:instrText>
        </w:r>
        <w:r>
          <w:rPr>
            <w:webHidden/>
          </w:rPr>
          <w:fldChar w:fldCharType="separate"/>
        </w:r>
        <w:r>
          <w:rPr>
            <w:webHidden/>
            <w:rStyle w:val="IndexLink"/>
            <w:vanish w:val="false"/>
          </w:rPr>
          <w:t>IAC-05: Identification &amp; Authentication for Third Party Systems &amp; Services</w:t>
          <w:tab/>
          <w:t>148</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896">
        <w:r>
          <w:rPr>
            <w:webHidden/>
          </w:rPr>
          <w:fldChar w:fldCharType="begin"/>
        </w:r>
        <w:r>
          <w:rPr>
            <w:webHidden/>
          </w:rPr>
          <w:instrText>PAGEREF _Toc34920896 \h</w:instrText>
        </w:r>
        <w:r>
          <w:rPr>
            <w:webHidden/>
          </w:rPr>
          <w:fldChar w:fldCharType="separate"/>
        </w:r>
        <w:r>
          <w:rPr>
            <w:webHidden/>
            <w:rStyle w:val="IndexLink"/>
            <w:vanish w:val="false"/>
          </w:rPr>
          <w:t>IAC-05(a): Identification &amp; Authentication for Third Party Systems &amp; Services | Information Exchange</w:t>
          <w:tab/>
          <w:t>148</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897">
        <w:r>
          <w:rPr>
            <w:webHidden/>
          </w:rPr>
          <w:fldChar w:fldCharType="begin"/>
        </w:r>
        <w:r>
          <w:rPr>
            <w:webHidden/>
          </w:rPr>
          <w:instrText>PAGEREF _Toc34920897 \h</w:instrText>
        </w:r>
        <w:r>
          <w:rPr>
            <w:webHidden/>
          </w:rPr>
          <w:fldChar w:fldCharType="separate"/>
        </w:r>
        <w:r>
          <w:rPr>
            <w:webHidden/>
            <w:rStyle w:val="IndexLink"/>
            <w:vanish w:val="false"/>
          </w:rPr>
          <w:t>IAC-06: Multifactor Authentication (MFA)</w:t>
          <w:tab/>
          <w:t>149</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898">
        <w:r>
          <w:rPr>
            <w:webHidden/>
          </w:rPr>
          <w:fldChar w:fldCharType="begin"/>
        </w:r>
        <w:r>
          <w:rPr>
            <w:webHidden/>
          </w:rPr>
          <w:instrText>PAGEREF _Toc34920898 \h</w:instrText>
        </w:r>
        <w:r>
          <w:rPr>
            <w:webHidden/>
          </w:rPr>
          <w:fldChar w:fldCharType="separate"/>
        </w:r>
        <w:r>
          <w:rPr>
            <w:webHidden/>
            <w:rStyle w:val="IndexLink"/>
            <w:vanish w:val="false"/>
          </w:rPr>
          <w:t>IAC-06(a): Multi-Factor Authentication (MFA) | Network Access to Privileged Accounts</w:t>
          <w:tab/>
          <w:t>149</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899">
        <w:r>
          <w:rPr>
            <w:webHidden/>
          </w:rPr>
          <w:fldChar w:fldCharType="begin"/>
        </w:r>
        <w:r>
          <w:rPr>
            <w:webHidden/>
          </w:rPr>
          <w:instrText>PAGEREF _Toc34920899 \h</w:instrText>
        </w:r>
        <w:r>
          <w:rPr>
            <w:webHidden/>
          </w:rPr>
          <w:fldChar w:fldCharType="separate"/>
        </w:r>
        <w:r>
          <w:rPr>
            <w:webHidden/>
            <w:rStyle w:val="IndexLink"/>
            <w:vanish w:val="false"/>
          </w:rPr>
          <w:t>IAC-06(b): Multi-Factor Authentication (MFA) | Network Access to Non-Privileged Accounts</w:t>
          <w:tab/>
          <w:t>149</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900">
        <w:r>
          <w:rPr>
            <w:webHidden/>
          </w:rPr>
          <w:fldChar w:fldCharType="begin"/>
        </w:r>
        <w:r>
          <w:rPr>
            <w:webHidden/>
          </w:rPr>
          <w:instrText>PAGEREF _Toc34920900 \h</w:instrText>
        </w:r>
        <w:r>
          <w:rPr>
            <w:webHidden/>
          </w:rPr>
          <w:fldChar w:fldCharType="separate"/>
        </w:r>
        <w:r>
          <w:rPr>
            <w:webHidden/>
            <w:rStyle w:val="IndexLink"/>
            <w:vanish w:val="false"/>
          </w:rPr>
          <w:t>IAC-06(c): Multi-Factor Authentication (MFA) | Local Access to Privileged Accounts</w:t>
          <w:tab/>
          <w:t>149</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901">
        <w:r>
          <w:rPr>
            <w:webHidden/>
          </w:rPr>
          <w:fldChar w:fldCharType="begin"/>
        </w:r>
        <w:r>
          <w:rPr>
            <w:webHidden/>
          </w:rPr>
          <w:instrText>PAGEREF _Toc34920901 \h</w:instrText>
        </w:r>
        <w:r>
          <w:rPr>
            <w:webHidden/>
          </w:rPr>
          <w:fldChar w:fldCharType="separate"/>
        </w:r>
        <w:r>
          <w:rPr>
            <w:webHidden/>
            <w:rStyle w:val="IndexLink"/>
            <w:vanish w:val="false"/>
          </w:rPr>
          <w:t>IAC-06(d): Multi-Factor Authentication (MFA) | Out of Band (OOB) Factor</w:t>
          <w:tab/>
          <w:t>149</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902">
        <w:r>
          <w:rPr>
            <w:webHidden/>
          </w:rPr>
          <w:fldChar w:fldCharType="begin"/>
        </w:r>
        <w:r>
          <w:rPr>
            <w:webHidden/>
          </w:rPr>
          <w:instrText>PAGEREF _Toc34920902 \h</w:instrText>
        </w:r>
        <w:r>
          <w:rPr>
            <w:webHidden/>
          </w:rPr>
          <w:fldChar w:fldCharType="separate"/>
        </w:r>
        <w:r>
          <w:rPr>
            <w:webHidden/>
            <w:rStyle w:val="IndexLink"/>
            <w:vanish w:val="false"/>
          </w:rPr>
          <w:t>IAC-07: User Provisioning &amp; De-Provisioning</w:t>
          <w:tab/>
          <w:t>150</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903">
        <w:r>
          <w:rPr>
            <w:webHidden/>
          </w:rPr>
          <w:fldChar w:fldCharType="begin"/>
        </w:r>
        <w:r>
          <w:rPr>
            <w:webHidden/>
          </w:rPr>
          <w:instrText>PAGEREF _Toc34920903 \h</w:instrText>
        </w:r>
        <w:r>
          <w:rPr>
            <w:webHidden/>
          </w:rPr>
          <w:fldChar w:fldCharType="separate"/>
        </w:r>
        <w:r>
          <w:rPr>
            <w:webHidden/>
            <w:rStyle w:val="IndexLink"/>
            <w:vanish w:val="false"/>
          </w:rPr>
          <w:t>IAC-07(a): User Provisioning &amp; De-Provisioning | Change of Roles &amp; Duties</w:t>
          <w:tab/>
          <w:t>150</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904">
        <w:r>
          <w:rPr>
            <w:webHidden/>
          </w:rPr>
          <w:fldChar w:fldCharType="begin"/>
        </w:r>
        <w:r>
          <w:rPr>
            <w:webHidden/>
          </w:rPr>
          <w:instrText>PAGEREF _Toc34920904 \h</w:instrText>
        </w:r>
        <w:r>
          <w:rPr>
            <w:webHidden/>
          </w:rPr>
          <w:fldChar w:fldCharType="separate"/>
        </w:r>
        <w:r>
          <w:rPr>
            <w:webHidden/>
            <w:rStyle w:val="IndexLink"/>
            <w:vanish w:val="false"/>
          </w:rPr>
          <w:t>IAC-07(b): User Provisioning &amp; De-Provisioning | Termination of Employment</w:t>
          <w:tab/>
          <w:t>150</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905">
        <w:r>
          <w:rPr>
            <w:webHidden/>
          </w:rPr>
          <w:fldChar w:fldCharType="begin"/>
        </w:r>
        <w:r>
          <w:rPr>
            <w:webHidden/>
          </w:rPr>
          <w:instrText>PAGEREF _Toc34920905 \h</w:instrText>
        </w:r>
        <w:r>
          <w:rPr>
            <w:webHidden/>
          </w:rPr>
          <w:fldChar w:fldCharType="separate"/>
        </w:r>
        <w:r>
          <w:rPr>
            <w:webHidden/>
            <w:rStyle w:val="IndexLink"/>
            <w:vanish w:val="false"/>
          </w:rPr>
          <w:t>IAC-08: Role-Based Access Control (RBAC)</w:t>
          <w:tab/>
          <w:t>151</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906">
        <w:r>
          <w:rPr>
            <w:webHidden/>
          </w:rPr>
          <w:fldChar w:fldCharType="begin"/>
        </w:r>
        <w:r>
          <w:rPr>
            <w:webHidden/>
          </w:rPr>
          <w:instrText>PAGEREF _Toc34920906 \h</w:instrText>
        </w:r>
        <w:r>
          <w:rPr>
            <w:webHidden/>
          </w:rPr>
          <w:fldChar w:fldCharType="separate"/>
        </w:r>
        <w:r>
          <w:rPr>
            <w:webHidden/>
            <w:rStyle w:val="IndexLink"/>
            <w:vanish w:val="false"/>
          </w:rPr>
          <w:t>IAC-09: Identifier Management (User Names)</w:t>
          <w:tab/>
          <w:t>151</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907">
        <w:r>
          <w:rPr>
            <w:webHidden/>
          </w:rPr>
          <w:fldChar w:fldCharType="begin"/>
        </w:r>
        <w:r>
          <w:rPr>
            <w:webHidden/>
          </w:rPr>
          <w:instrText>PAGEREF _Toc34920907 \h</w:instrText>
        </w:r>
        <w:r>
          <w:rPr>
            <w:webHidden/>
          </w:rPr>
          <w:fldChar w:fldCharType="separate"/>
        </w:r>
        <w:r>
          <w:rPr>
            <w:webHidden/>
            <w:rStyle w:val="IndexLink"/>
            <w:vanish w:val="false"/>
          </w:rPr>
          <w:t>IAC-09(a): Identifier Management | User Identity (ID) Management</w:t>
          <w:tab/>
          <w:t>151</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908">
        <w:r>
          <w:rPr>
            <w:webHidden/>
          </w:rPr>
          <w:fldChar w:fldCharType="begin"/>
        </w:r>
        <w:r>
          <w:rPr>
            <w:webHidden/>
          </w:rPr>
          <w:instrText>PAGEREF _Toc34920908 \h</w:instrText>
        </w:r>
        <w:r>
          <w:rPr>
            <w:webHidden/>
          </w:rPr>
          <w:fldChar w:fldCharType="separate"/>
        </w:r>
        <w:r>
          <w:rPr>
            <w:webHidden/>
            <w:rStyle w:val="IndexLink"/>
            <w:vanish w:val="false"/>
          </w:rPr>
          <w:t>IAC-09(b): Identifier Management | Identity User Status</w:t>
          <w:tab/>
          <w:t>152</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909">
        <w:r>
          <w:rPr>
            <w:webHidden/>
          </w:rPr>
          <w:fldChar w:fldCharType="begin"/>
        </w:r>
        <w:r>
          <w:rPr>
            <w:webHidden/>
          </w:rPr>
          <w:instrText>PAGEREF _Toc34920909 \h</w:instrText>
        </w:r>
        <w:r>
          <w:rPr>
            <w:webHidden/>
          </w:rPr>
          <w:fldChar w:fldCharType="separate"/>
        </w:r>
        <w:r>
          <w:rPr>
            <w:webHidden/>
            <w:rStyle w:val="IndexLink"/>
            <w:vanish w:val="false"/>
          </w:rPr>
          <w:t>IAC-09(c): Identifier Management | Dynamic Management</w:t>
          <w:tab/>
          <w:t>152</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910">
        <w:r>
          <w:rPr>
            <w:webHidden/>
          </w:rPr>
          <w:fldChar w:fldCharType="begin"/>
        </w:r>
        <w:r>
          <w:rPr>
            <w:webHidden/>
          </w:rPr>
          <w:instrText>PAGEREF _Toc34920910 \h</w:instrText>
        </w:r>
        <w:r>
          <w:rPr>
            <w:webHidden/>
          </w:rPr>
          <w:fldChar w:fldCharType="separate"/>
        </w:r>
        <w:r>
          <w:rPr>
            <w:webHidden/>
            <w:rStyle w:val="IndexLink"/>
            <w:vanish w:val="false"/>
          </w:rPr>
          <w:t>IAC-09(d): Identifier Management | Cross-Organization Management</w:t>
          <w:tab/>
          <w:t>152</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911">
        <w:r>
          <w:rPr>
            <w:webHidden/>
          </w:rPr>
          <w:fldChar w:fldCharType="begin"/>
        </w:r>
        <w:r>
          <w:rPr>
            <w:webHidden/>
          </w:rPr>
          <w:instrText>PAGEREF _Toc34920911 \h</w:instrText>
        </w:r>
        <w:r>
          <w:rPr>
            <w:webHidden/>
          </w:rPr>
          <w:fldChar w:fldCharType="separate"/>
        </w:r>
        <w:r>
          <w:rPr>
            <w:webHidden/>
            <w:rStyle w:val="IndexLink"/>
            <w:vanish w:val="false"/>
          </w:rPr>
          <w:t>IAC-09(e): Identifier Management | Privileged Account Identifiers</w:t>
          <w:tab/>
          <w:t>152</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912">
        <w:r>
          <w:rPr>
            <w:webHidden/>
          </w:rPr>
          <w:fldChar w:fldCharType="begin"/>
        </w:r>
        <w:r>
          <w:rPr>
            <w:webHidden/>
          </w:rPr>
          <w:instrText>PAGEREF _Toc34920912 \h</w:instrText>
        </w:r>
        <w:r>
          <w:rPr>
            <w:webHidden/>
          </w:rPr>
          <w:fldChar w:fldCharType="separate"/>
        </w:r>
        <w:r>
          <w:rPr>
            <w:webHidden/>
            <w:rStyle w:val="IndexLink"/>
            <w:vanish w:val="false"/>
          </w:rPr>
          <w:t>IAC-09(f): Identifier Management | Pairwise Pseudonymous Identifiers (PPID)</w:t>
          <w:tab/>
          <w:t>153</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913">
        <w:r>
          <w:rPr>
            <w:webHidden/>
          </w:rPr>
          <w:fldChar w:fldCharType="begin"/>
        </w:r>
        <w:r>
          <w:rPr>
            <w:webHidden/>
          </w:rPr>
          <w:instrText>PAGEREF _Toc34920913 \h</w:instrText>
        </w:r>
        <w:r>
          <w:rPr>
            <w:webHidden/>
          </w:rPr>
          <w:fldChar w:fldCharType="separate"/>
        </w:r>
        <w:r>
          <w:rPr>
            <w:webHidden/>
            <w:rStyle w:val="IndexLink"/>
            <w:vanish w:val="false"/>
          </w:rPr>
          <w:t>IAC-10: Authenticator Management (Passwords)</w:t>
          <w:tab/>
          <w:t>153</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914">
        <w:r>
          <w:rPr>
            <w:webHidden/>
          </w:rPr>
          <w:fldChar w:fldCharType="begin"/>
        </w:r>
        <w:r>
          <w:rPr>
            <w:webHidden/>
          </w:rPr>
          <w:instrText>PAGEREF _Toc34920914 \h</w:instrText>
        </w:r>
        <w:r>
          <w:rPr>
            <w:webHidden/>
          </w:rPr>
          <w:fldChar w:fldCharType="separate"/>
        </w:r>
        <w:r>
          <w:rPr>
            <w:webHidden/>
            <w:rStyle w:val="IndexLink"/>
            <w:vanish w:val="false"/>
          </w:rPr>
          <w:t>IAC-10(a): Authenticator Management | Password-Based Authentication</w:t>
          <w:tab/>
          <w:t>153</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915">
        <w:r>
          <w:rPr>
            <w:webHidden/>
          </w:rPr>
          <w:fldChar w:fldCharType="begin"/>
        </w:r>
        <w:r>
          <w:rPr>
            <w:webHidden/>
          </w:rPr>
          <w:instrText>PAGEREF _Toc34920915 \h</w:instrText>
        </w:r>
        <w:r>
          <w:rPr>
            <w:webHidden/>
          </w:rPr>
          <w:fldChar w:fldCharType="separate"/>
        </w:r>
        <w:r>
          <w:rPr>
            <w:webHidden/>
            <w:rStyle w:val="IndexLink"/>
            <w:vanish w:val="false"/>
          </w:rPr>
          <w:t>IAC-10(b): Authenticator Management | PKI-Based Authentication</w:t>
          <w:tab/>
          <w:t>155</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916">
        <w:r>
          <w:rPr>
            <w:webHidden/>
          </w:rPr>
          <w:fldChar w:fldCharType="begin"/>
        </w:r>
        <w:r>
          <w:rPr>
            <w:webHidden/>
          </w:rPr>
          <w:instrText>PAGEREF _Toc34920916 \h</w:instrText>
        </w:r>
        <w:r>
          <w:rPr>
            <w:webHidden/>
          </w:rPr>
          <w:fldChar w:fldCharType="separate"/>
        </w:r>
        <w:r>
          <w:rPr>
            <w:webHidden/>
            <w:rStyle w:val="IndexLink"/>
            <w:vanish w:val="false"/>
          </w:rPr>
          <w:t>IAC-10(c): Authenticator Management | In-Person or Trusted Third-Party Registration</w:t>
          <w:tab/>
          <w:t>155</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917">
        <w:r>
          <w:rPr>
            <w:webHidden/>
          </w:rPr>
          <w:fldChar w:fldCharType="begin"/>
        </w:r>
        <w:r>
          <w:rPr>
            <w:webHidden/>
          </w:rPr>
          <w:instrText>PAGEREF _Toc34920917 \h</w:instrText>
        </w:r>
        <w:r>
          <w:rPr>
            <w:webHidden/>
          </w:rPr>
          <w:fldChar w:fldCharType="separate"/>
        </w:r>
        <w:r>
          <w:rPr>
            <w:webHidden/>
            <w:rStyle w:val="IndexLink"/>
            <w:vanish w:val="false"/>
          </w:rPr>
          <w:t>IAC-10(d): Authenticator Management | Automated Support For Password Strength</w:t>
          <w:tab/>
          <w:t>156</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918">
        <w:r>
          <w:rPr>
            <w:webHidden/>
          </w:rPr>
          <w:fldChar w:fldCharType="begin"/>
        </w:r>
        <w:r>
          <w:rPr>
            <w:webHidden/>
          </w:rPr>
          <w:instrText>PAGEREF _Toc34920918 \h</w:instrText>
        </w:r>
        <w:r>
          <w:rPr>
            <w:webHidden/>
          </w:rPr>
          <w:fldChar w:fldCharType="separate"/>
        </w:r>
        <w:r>
          <w:rPr>
            <w:webHidden/>
            <w:rStyle w:val="IndexLink"/>
            <w:vanish w:val="false"/>
          </w:rPr>
          <w:t>IAC-10(e): Authenticator Management | Protection of Authenticators</w:t>
          <w:tab/>
          <w:t>156</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919">
        <w:r>
          <w:rPr>
            <w:webHidden/>
          </w:rPr>
          <w:fldChar w:fldCharType="begin"/>
        </w:r>
        <w:r>
          <w:rPr>
            <w:webHidden/>
          </w:rPr>
          <w:instrText>PAGEREF _Toc34920919 \h</w:instrText>
        </w:r>
        <w:r>
          <w:rPr>
            <w:webHidden/>
          </w:rPr>
          <w:fldChar w:fldCharType="separate"/>
        </w:r>
        <w:r>
          <w:rPr>
            <w:webHidden/>
            <w:rStyle w:val="IndexLink"/>
            <w:vanish w:val="false"/>
          </w:rPr>
          <w:t>IAC-10(f): Authenticator Management | No Embedded Unencrypted Static Authenticators</w:t>
          <w:tab/>
          <w:t>156</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920">
        <w:r>
          <w:rPr>
            <w:webHidden/>
          </w:rPr>
          <w:fldChar w:fldCharType="begin"/>
        </w:r>
        <w:r>
          <w:rPr>
            <w:webHidden/>
          </w:rPr>
          <w:instrText>PAGEREF _Toc34920920 \h</w:instrText>
        </w:r>
        <w:r>
          <w:rPr>
            <w:webHidden/>
          </w:rPr>
          <w:fldChar w:fldCharType="separate"/>
        </w:r>
        <w:r>
          <w:rPr>
            <w:webHidden/>
            <w:rStyle w:val="IndexLink"/>
            <w:vanish w:val="false"/>
          </w:rPr>
          <w:t>IAC-10(g): Authenticator Management | Hardware Token-Based Authentication</w:t>
          <w:tab/>
          <w:t>156</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921">
        <w:r>
          <w:rPr>
            <w:webHidden/>
          </w:rPr>
          <w:fldChar w:fldCharType="begin"/>
        </w:r>
        <w:r>
          <w:rPr>
            <w:webHidden/>
          </w:rPr>
          <w:instrText>PAGEREF _Toc34920921 \h</w:instrText>
        </w:r>
        <w:r>
          <w:rPr>
            <w:webHidden/>
          </w:rPr>
          <w:fldChar w:fldCharType="separate"/>
        </w:r>
        <w:r>
          <w:rPr>
            <w:webHidden/>
            <w:rStyle w:val="IndexLink"/>
            <w:vanish w:val="false"/>
          </w:rPr>
          <w:t>IAC-10(h): Authenticator Management | Vendor-Supplied Defaults</w:t>
          <w:tab/>
          <w:t>157</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922">
        <w:r>
          <w:rPr>
            <w:webHidden/>
          </w:rPr>
          <w:fldChar w:fldCharType="begin"/>
        </w:r>
        <w:r>
          <w:rPr>
            <w:webHidden/>
          </w:rPr>
          <w:instrText>PAGEREF _Toc34920922 \h</w:instrText>
        </w:r>
        <w:r>
          <w:rPr>
            <w:webHidden/>
          </w:rPr>
          <w:fldChar w:fldCharType="separate"/>
        </w:r>
        <w:r>
          <w:rPr>
            <w:webHidden/>
            <w:rStyle w:val="IndexLink"/>
            <w:vanish w:val="false"/>
          </w:rPr>
          <w:t>IAC-10(i): Authenticator Management | Multiple Information System Accounts</w:t>
          <w:tab/>
          <w:t>157</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923">
        <w:r>
          <w:rPr>
            <w:webHidden/>
          </w:rPr>
          <w:fldChar w:fldCharType="begin"/>
        </w:r>
        <w:r>
          <w:rPr>
            <w:webHidden/>
          </w:rPr>
          <w:instrText>PAGEREF _Toc34920923 \h</w:instrText>
        </w:r>
        <w:r>
          <w:rPr>
            <w:webHidden/>
          </w:rPr>
          <w:fldChar w:fldCharType="separate"/>
        </w:r>
        <w:r>
          <w:rPr>
            <w:webHidden/>
            <w:rStyle w:val="IndexLink"/>
            <w:vanish w:val="false"/>
          </w:rPr>
          <w:t>IAC-10(j): Authenticator Management | Expiration of Cached Authenticators</w:t>
          <w:tab/>
          <w:t>157</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924">
        <w:r>
          <w:rPr>
            <w:webHidden/>
          </w:rPr>
          <w:fldChar w:fldCharType="begin"/>
        </w:r>
        <w:r>
          <w:rPr>
            <w:webHidden/>
          </w:rPr>
          <w:instrText>PAGEREF _Toc34920924 \h</w:instrText>
        </w:r>
        <w:r>
          <w:rPr>
            <w:webHidden/>
          </w:rPr>
          <w:fldChar w:fldCharType="separate"/>
        </w:r>
        <w:r>
          <w:rPr>
            <w:webHidden/>
            <w:rStyle w:val="IndexLink"/>
            <w:vanish w:val="false"/>
          </w:rPr>
          <w:t>IAC-11: Authenticator Feedback</w:t>
          <w:tab/>
          <w:t>157</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925">
        <w:r>
          <w:rPr>
            <w:webHidden/>
          </w:rPr>
          <w:fldChar w:fldCharType="begin"/>
        </w:r>
        <w:r>
          <w:rPr>
            <w:webHidden/>
          </w:rPr>
          <w:instrText>PAGEREF _Toc34920925 \h</w:instrText>
        </w:r>
        <w:r>
          <w:rPr>
            <w:webHidden/>
          </w:rPr>
          <w:fldChar w:fldCharType="separate"/>
        </w:r>
        <w:r>
          <w:rPr>
            <w:webHidden/>
            <w:rStyle w:val="IndexLink"/>
            <w:vanish w:val="false"/>
          </w:rPr>
          <w:t>IAC-12: Cryptographic Module Authentication</w:t>
          <w:tab/>
          <w:t>157</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926">
        <w:r>
          <w:rPr>
            <w:webHidden/>
          </w:rPr>
          <w:fldChar w:fldCharType="begin"/>
        </w:r>
        <w:r>
          <w:rPr>
            <w:webHidden/>
          </w:rPr>
          <w:instrText>PAGEREF _Toc34920926 \h</w:instrText>
        </w:r>
        <w:r>
          <w:rPr>
            <w:webHidden/>
          </w:rPr>
          <w:fldChar w:fldCharType="separate"/>
        </w:r>
        <w:r>
          <w:rPr>
            <w:webHidden/>
            <w:rStyle w:val="IndexLink"/>
            <w:vanish w:val="false"/>
          </w:rPr>
          <w:t>IAC-13: Adaptive Identification &amp; Authentication</w:t>
          <w:tab/>
          <w:t>158</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927">
        <w:r>
          <w:rPr>
            <w:webHidden/>
          </w:rPr>
          <w:fldChar w:fldCharType="begin"/>
        </w:r>
        <w:r>
          <w:rPr>
            <w:webHidden/>
          </w:rPr>
          <w:instrText>PAGEREF _Toc34920927 \h</w:instrText>
        </w:r>
        <w:r>
          <w:rPr>
            <w:webHidden/>
          </w:rPr>
          <w:fldChar w:fldCharType="separate"/>
        </w:r>
        <w:r>
          <w:rPr>
            <w:webHidden/>
            <w:rStyle w:val="IndexLink"/>
            <w:vanish w:val="false"/>
          </w:rPr>
          <w:t>IAC-14: Re-Authentication</w:t>
          <w:tab/>
          <w:t>158</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928">
        <w:r>
          <w:rPr>
            <w:webHidden/>
          </w:rPr>
          <w:fldChar w:fldCharType="begin"/>
        </w:r>
        <w:r>
          <w:rPr>
            <w:webHidden/>
          </w:rPr>
          <w:instrText>PAGEREF _Toc34920928 \h</w:instrText>
        </w:r>
        <w:r>
          <w:rPr>
            <w:webHidden/>
          </w:rPr>
          <w:fldChar w:fldCharType="separate"/>
        </w:r>
        <w:r>
          <w:rPr>
            <w:webHidden/>
            <w:rStyle w:val="IndexLink"/>
            <w:vanish w:val="false"/>
          </w:rPr>
          <w:t>IAC-15: Account Management</w:t>
          <w:tab/>
          <w:t>158</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929">
        <w:r>
          <w:rPr>
            <w:webHidden/>
          </w:rPr>
          <w:fldChar w:fldCharType="begin"/>
        </w:r>
        <w:r>
          <w:rPr>
            <w:webHidden/>
          </w:rPr>
          <w:instrText>PAGEREF _Toc34920929 \h</w:instrText>
        </w:r>
        <w:r>
          <w:rPr>
            <w:webHidden/>
          </w:rPr>
          <w:fldChar w:fldCharType="separate"/>
        </w:r>
        <w:r>
          <w:rPr>
            <w:webHidden/>
            <w:rStyle w:val="IndexLink"/>
            <w:vanish w:val="false"/>
          </w:rPr>
          <w:t>IAC-15(a): Account Management | Automated System Account Management</w:t>
          <w:tab/>
          <w:t>159</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930">
        <w:r>
          <w:rPr>
            <w:webHidden/>
          </w:rPr>
          <w:fldChar w:fldCharType="begin"/>
        </w:r>
        <w:r>
          <w:rPr>
            <w:webHidden/>
          </w:rPr>
          <w:instrText>PAGEREF _Toc34920930 \h</w:instrText>
        </w:r>
        <w:r>
          <w:rPr>
            <w:webHidden/>
          </w:rPr>
          <w:fldChar w:fldCharType="separate"/>
        </w:r>
        <w:r>
          <w:rPr>
            <w:webHidden/>
            <w:rStyle w:val="IndexLink"/>
            <w:vanish w:val="false"/>
          </w:rPr>
          <w:t>IAC-15(b): Account Management | Removal of Temporary / Emergency Accounts</w:t>
          <w:tab/>
          <w:t>160</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931">
        <w:r>
          <w:rPr>
            <w:webHidden/>
          </w:rPr>
          <w:fldChar w:fldCharType="begin"/>
        </w:r>
        <w:r>
          <w:rPr>
            <w:webHidden/>
          </w:rPr>
          <w:instrText>PAGEREF _Toc34920931 \h</w:instrText>
        </w:r>
        <w:r>
          <w:rPr>
            <w:webHidden/>
          </w:rPr>
          <w:fldChar w:fldCharType="separate"/>
        </w:r>
        <w:r>
          <w:rPr>
            <w:webHidden/>
            <w:rStyle w:val="IndexLink"/>
            <w:vanish w:val="false"/>
          </w:rPr>
          <w:t>IAC-15(c): Account Management | Disable Inactive Accounts</w:t>
          <w:tab/>
          <w:t>160</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932">
        <w:r>
          <w:rPr>
            <w:webHidden/>
          </w:rPr>
          <w:fldChar w:fldCharType="begin"/>
        </w:r>
        <w:r>
          <w:rPr>
            <w:webHidden/>
          </w:rPr>
          <w:instrText>PAGEREF _Toc34920932 \h</w:instrText>
        </w:r>
        <w:r>
          <w:rPr>
            <w:webHidden/>
          </w:rPr>
          <w:fldChar w:fldCharType="separate"/>
        </w:r>
        <w:r>
          <w:rPr>
            <w:webHidden/>
            <w:rStyle w:val="IndexLink"/>
            <w:vanish w:val="false"/>
          </w:rPr>
          <w:t>IAC-15(d): Account Management | Automated Audit Actions</w:t>
          <w:tab/>
          <w:t>160</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933">
        <w:r>
          <w:rPr>
            <w:webHidden/>
          </w:rPr>
          <w:fldChar w:fldCharType="begin"/>
        </w:r>
        <w:r>
          <w:rPr>
            <w:webHidden/>
          </w:rPr>
          <w:instrText>PAGEREF _Toc34920933 \h</w:instrText>
        </w:r>
        <w:r>
          <w:rPr>
            <w:webHidden/>
          </w:rPr>
          <w:fldChar w:fldCharType="separate"/>
        </w:r>
        <w:r>
          <w:rPr>
            <w:webHidden/>
            <w:rStyle w:val="IndexLink"/>
            <w:vanish w:val="false"/>
          </w:rPr>
          <w:t>IAC-15(e): Account Management | Restrictions on Shared Groups / Accounts</w:t>
          <w:tab/>
          <w:t>160</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934">
        <w:r>
          <w:rPr>
            <w:webHidden/>
          </w:rPr>
          <w:fldChar w:fldCharType="begin"/>
        </w:r>
        <w:r>
          <w:rPr>
            <w:webHidden/>
          </w:rPr>
          <w:instrText>PAGEREF _Toc34920934 \h</w:instrText>
        </w:r>
        <w:r>
          <w:rPr>
            <w:webHidden/>
          </w:rPr>
          <w:fldChar w:fldCharType="separate"/>
        </w:r>
        <w:r>
          <w:rPr>
            <w:webHidden/>
            <w:rStyle w:val="IndexLink"/>
            <w:vanish w:val="false"/>
          </w:rPr>
          <w:t>IAC-15(f): Account Management | Account Disabling for High Risk Individuals</w:t>
          <w:tab/>
          <w:t>160</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935">
        <w:r>
          <w:rPr>
            <w:webHidden/>
          </w:rPr>
          <w:fldChar w:fldCharType="begin"/>
        </w:r>
        <w:r>
          <w:rPr>
            <w:webHidden/>
          </w:rPr>
          <w:instrText>PAGEREF _Toc34920935 \h</w:instrText>
        </w:r>
        <w:r>
          <w:rPr>
            <w:webHidden/>
          </w:rPr>
          <w:fldChar w:fldCharType="separate"/>
        </w:r>
        <w:r>
          <w:rPr>
            <w:webHidden/>
            <w:rStyle w:val="IndexLink"/>
            <w:vanish w:val="false"/>
          </w:rPr>
          <w:t>IAC-15(g): Account Management | System Accounts</w:t>
          <w:tab/>
          <w:t>160</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936">
        <w:r>
          <w:rPr>
            <w:webHidden/>
          </w:rPr>
          <w:fldChar w:fldCharType="begin"/>
        </w:r>
        <w:r>
          <w:rPr>
            <w:webHidden/>
          </w:rPr>
          <w:instrText>PAGEREF _Toc34920936 \h</w:instrText>
        </w:r>
        <w:r>
          <w:rPr>
            <w:webHidden/>
          </w:rPr>
          <w:fldChar w:fldCharType="separate"/>
        </w:r>
        <w:r>
          <w:rPr>
            <w:webHidden/>
            <w:rStyle w:val="IndexLink"/>
            <w:vanish w:val="false"/>
          </w:rPr>
          <w:t>IAC-15(h): Account Management | Usage Conditions</w:t>
          <w:tab/>
          <w:t>161</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937">
        <w:r>
          <w:rPr>
            <w:webHidden/>
          </w:rPr>
          <w:fldChar w:fldCharType="begin"/>
        </w:r>
        <w:r>
          <w:rPr>
            <w:webHidden/>
          </w:rPr>
          <w:instrText>PAGEREF _Toc34920937 \h</w:instrText>
        </w:r>
        <w:r>
          <w:rPr>
            <w:webHidden/>
          </w:rPr>
          <w:fldChar w:fldCharType="separate"/>
        </w:r>
        <w:r>
          <w:rPr>
            <w:webHidden/>
            <w:rStyle w:val="IndexLink"/>
            <w:vanish w:val="false"/>
          </w:rPr>
          <w:t>IAC-16: Privileged Account Management (PAM)</w:t>
          <w:tab/>
          <w:t>161</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938">
        <w:r>
          <w:rPr>
            <w:webHidden/>
          </w:rPr>
          <w:fldChar w:fldCharType="begin"/>
        </w:r>
        <w:r>
          <w:rPr>
            <w:webHidden/>
          </w:rPr>
          <w:instrText>PAGEREF _Toc34920938 \h</w:instrText>
        </w:r>
        <w:r>
          <w:rPr>
            <w:webHidden/>
          </w:rPr>
          <w:fldChar w:fldCharType="separate"/>
        </w:r>
        <w:r>
          <w:rPr>
            <w:webHidden/>
            <w:rStyle w:val="IndexLink"/>
            <w:vanish w:val="false"/>
          </w:rPr>
          <w:t>IAC-16(a): Privileged Account Management (PAM) | Privileged Account Inventories</w:t>
          <w:tab/>
          <w:t>161</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939">
        <w:r>
          <w:rPr>
            <w:webHidden/>
          </w:rPr>
          <w:fldChar w:fldCharType="begin"/>
        </w:r>
        <w:r>
          <w:rPr>
            <w:webHidden/>
          </w:rPr>
          <w:instrText>PAGEREF _Toc34920939 \h</w:instrText>
        </w:r>
        <w:r>
          <w:rPr>
            <w:webHidden/>
          </w:rPr>
          <w:fldChar w:fldCharType="separate"/>
        </w:r>
        <w:r>
          <w:rPr>
            <w:webHidden/>
            <w:rStyle w:val="IndexLink"/>
            <w:vanish w:val="false"/>
          </w:rPr>
          <w:t>IAC-17: Periodic Review  of User Privileges</w:t>
          <w:tab/>
          <w:t>161</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940">
        <w:r>
          <w:rPr>
            <w:webHidden/>
          </w:rPr>
          <w:fldChar w:fldCharType="begin"/>
        </w:r>
        <w:r>
          <w:rPr>
            <w:webHidden/>
          </w:rPr>
          <w:instrText>PAGEREF _Toc34920940 \h</w:instrText>
        </w:r>
        <w:r>
          <w:rPr>
            <w:webHidden/>
          </w:rPr>
          <w:fldChar w:fldCharType="separate"/>
        </w:r>
        <w:r>
          <w:rPr>
            <w:webHidden/>
            <w:rStyle w:val="IndexLink"/>
            <w:vanish w:val="false"/>
          </w:rPr>
          <w:t>IAC-18: User Responsibilities for Account Management</w:t>
          <w:tab/>
          <w:t>162</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941">
        <w:r>
          <w:rPr>
            <w:webHidden/>
          </w:rPr>
          <w:fldChar w:fldCharType="begin"/>
        </w:r>
        <w:r>
          <w:rPr>
            <w:webHidden/>
          </w:rPr>
          <w:instrText>PAGEREF _Toc34920941 \h</w:instrText>
        </w:r>
        <w:r>
          <w:rPr>
            <w:webHidden/>
          </w:rPr>
          <w:fldChar w:fldCharType="separate"/>
        </w:r>
        <w:r>
          <w:rPr>
            <w:webHidden/>
            <w:rStyle w:val="IndexLink"/>
            <w:vanish w:val="false"/>
          </w:rPr>
          <w:t>IAC-19: Credential Sharing</w:t>
          <w:tab/>
          <w:t>162</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942">
        <w:r>
          <w:rPr>
            <w:webHidden/>
          </w:rPr>
          <w:fldChar w:fldCharType="begin"/>
        </w:r>
        <w:r>
          <w:rPr>
            <w:webHidden/>
          </w:rPr>
          <w:instrText>PAGEREF _Toc34920942 \h</w:instrText>
        </w:r>
        <w:r>
          <w:rPr>
            <w:webHidden/>
          </w:rPr>
          <w:fldChar w:fldCharType="separate"/>
        </w:r>
        <w:r>
          <w:rPr>
            <w:webHidden/>
            <w:rStyle w:val="IndexLink"/>
            <w:vanish w:val="false"/>
          </w:rPr>
          <w:t>IAC-20: Access Enforcement</w:t>
          <w:tab/>
          <w:t>163</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943">
        <w:r>
          <w:rPr>
            <w:webHidden/>
          </w:rPr>
          <w:fldChar w:fldCharType="begin"/>
        </w:r>
        <w:r>
          <w:rPr>
            <w:webHidden/>
          </w:rPr>
          <w:instrText>PAGEREF _Toc34920943 \h</w:instrText>
        </w:r>
        <w:r>
          <w:rPr>
            <w:webHidden/>
          </w:rPr>
          <w:fldChar w:fldCharType="separate"/>
        </w:r>
        <w:r>
          <w:rPr>
            <w:webHidden/>
            <w:rStyle w:val="IndexLink"/>
            <w:vanish w:val="false"/>
          </w:rPr>
          <w:t>IAC-20(a): Access Enforcement | Access To Sensitive Data</w:t>
          <w:tab/>
          <w:t>163</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944">
        <w:r>
          <w:rPr>
            <w:webHidden/>
          </w:rPr>
          <w:fldChar w:fldCharType="begin"/>
        </w:r>
        <w:r>
          <w:rPr>
            <w:webHidden/>
          </w:rPr>
          <w:instrText>PAGEREF _Toc34920944 \h</w:instrText>
        </w:r>
        <w:r>
          <w:rPr>
            <w:webHidden/>
          </w:rPr>
          <w:fldChar w:fldCharType="separate"/>
        </w:r>
        <w:r>
          <w:rPr>
            <w:webHidden/>
            <w:rStyle w:val="IndexLink"/>
            <w:vanish w:val="false"/>
          </w:rPr>
          <w:t>IAC-20(b): Access Enforcement | Database Access</w:t>
          <w:tab/>
          <w:t>163</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945">
        <w:r>
          <w:rPr>
            <w:webHidden/>
          </w:rPr>
          <w:fldChar w:fldCharType="begin"/>
        </w:r>
        <w:r>
          <w:rPr>
            <w:webHidden/>
          </w:rPr>
          <w:instrText>PAGEREF _Toc34920945 \h</w:instrText>
        </w:r>
        <w:r>
          <w:rPr>
            <w:webHidden/>
          </w:rPr>
          <w:fldChar w:fldCharType="separate"/>
        </w:r>
        <w:r>
          <w:rPr>
            <w:webHidden/>
            <w:rStyle w:val="IndexLink"/>
            <w:vanish w:val="false"/>
          </w:rPr>
          <w:t>IAC-20(c): Access Enforcement | Use of Privileged Utility Programs</w:t>
          <w:tab/>
          <w:t>163</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946">
        <w:r>
          <w:rPr>
            <w:webHidden/>
          </w:rPr>
          <w:fldChar w:fldCharType="begin"/>
        </w:r>
        <w:r>
          <w:rPr>
            <w:webHidden/>
          </w:rPr>
          <w:instrText>PAGEREF _Toc34920946 \h</w:instrText>
        </w:r>
        <w:r>
          <w:rPr>
            <w:webHidden/>
          </w:rPr>
          <w:fldChar w:fldCharType="separate"/>
        </w:r>
        <w:r>
          <w:rPr>
            <w:webHidden/>
            <w:rStyle w:val="IndexLink"/>
            <w:vanish w:val="false"/>
          </w:rPr>
          <w:t>IAC-20(d): Access Enforcement | Dedicated Administrative Machines</w:t>
          <w:tab/>
          <w:t>164</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947">
        <w:r>
          <w:rPr>
            <w:webHidden/>
          </w:rPr>
          <w:fldChar w:fldCharType="begin"/>
        </w:r>
        <w:r>
          <w:rPr>
            <w:webHidden/>
          </w:rPr>
          <w:instrText>PAGEREF _Toc34920947 \h</w:instrText>
        </w:r>
        <w:r>
          <w:rPr>
            <w:webHidden/>
          </w:rPr>
          <w:fldChar w:fldCharType="separate"/>
        </w:r>
        <w:r>
          <w:rPr>
            <w:webHidden/>
            <w:rStyle w:val="IndexLink"/>
            <w:vanish w:val="false"/>
          </w:rPr>
          <w:t>IAC-20(e): Access Enforcement | Dual Authorization for Privileged Commands</w:t>
          <w:tab/>
          <w:t>164</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948">
        <w:r>
          <w:rPr>
            <w:webHidden/>
          </w:rPr>
          <w:fldChar w:fldCharType="begin"/>
        </w:r>
        <w:r>
          <w:rPr>
            <w:webHidden/>
          </w:rPr>
          <w:instrText>PAGEREF _Toc34920948 \h</w:instrText>
        </w:r>
        <w:r>
          <w:rPr>
            <w:webHidden/>
          </w:rPr>
          <w:fldChar w:fldCharType="separate"/>
        </w:r>
        <w:r>
          <w:rPr>
            <w:webHidden/>
            <w:rStyle w:val="IndexLink"/>
            <w:vanish w:val="false"/>
          </w:rPr>
          <w:t>IAC-21: Least Privilege</w:t>
          <w:tab/>
          <w:t>164</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949">
        <w:r>
          <w:rPr>
            <w:webHidden/>
          </w:rPr>
          <w:fldChar w:fldCharType="begin"/>
        </w:r>
        <w:r>
          <w:rPr>
            <w:webHidden/>
          </w:rPr>
          <w:instrText>PAGEREF _Toc34920949 \h</w:instrText>
        </w:r>
        <w:r>
          <w:rPr>
            <w:webHidden/>
          </w:rPr>
          <w:fldChar w:fldCharType="separate"/>
        </w:r>
        <w:r>
          <w:rPr>
            <w:webHidden/>
            <w:rStyle w:val="IndexLink"/>
            <w:vanish w:val="false"/>
          </w:rPr>
          <w:t>IAC-21(a): Least Privilege | Authorize Access to Security Functions</w:t>
          <w:tab/>
          <w:t>164</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950">
        <w:r>
          <w:rPr>
            <w:webHidden/>
          </w:rPr>
          <w:fldChar w:fldCharType="begin"/>
        </w:r>
        <w:r>
          <w:rPr>
            <w:webHidden/>
          </w:rPr>
          <w:instrText>PAGEREF _Toc34920950 \h</w:instrText>
        </w:r>
        <w:r>
          <w:rPr>
            <w:webHidden/>
          </w:rPr>
          <w:fldChar w:fldCharType="separate"/>
        </w:r>
        <w:r>
          <w:rPr>
            <w:webHidden/>
            <w:rStyle w:val="IndexLink"/>
            <w:vanish w:val="false"/>
          </w:rPr>
          <w:t>IAC-21(b): Least Privilege | Non-Privileged Access for Non-Security Functions</w:t>
          <w:tab/>
          <w:t>165</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951">
        <w:r>
          <w:rPr>
            <w:webHidden/>
          </w:rPr>
          <w:fldChar w:fldCharType="begin"/>
        </w:r>
        <w:r>
          <w:rPr>
            <w:webHidden/>
          </w:rPr>
          <w:instrText>PAGEREF _Toc34920951 \h</w:instrText>
        </w:r>
        <w:r>
          <w:rPr>
            <w:webHidden/>
          </w:rPr>
          <w:fldChar w:fldCharType="separate"/>
        </w:r>
        <w:r>
          <w:rPr>
            <w:webHidden/>
            <w:rStyle w:val="IndexLink"/>
            <w:vanish w:val="false"/>
          </w:rPr>
          <w:t>IAC-21(c): Least Privilege | Privileged Accounts</w:t>
          <w:tab/>
          <w:t>165</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952">
        <w:r>
          <w:rPr>
            <w:webHidden/>
          </w:rPr>
          <w:fldChar w:fldCharType="begin"/>
        </w:r>
        <w:r>
          <w:rPr>
            <w:webHidden/>
          </w:rPr>
          <w:instrText>PAGEREF _Toc34920952 \h</w:instrText>
        </w:r>
        <w:r>
          <w:rPr>
            <w:webHidden/>
          </w:rPr>
          <w:fldChar w:fldCharType="separate"/>
        </w:r>
        <w:r>
          <w:rPr>
            <w:webHidden/>
            <w:rStyle w:val="IndexLink"/>
            <w:vanish w:val="false"/>
          </w:rPr>
          <w:t>IAC-21(d): Least Privilege | Auditing Use of Privileged Functions</w:t>
          <w:tab/>
          <w:t>165</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953">
        <w:r>
          <w:rPr>
            <w:webHidden/>
          </w:rPr>
          <w:fldChar w:fldCharType="begin"/>
        </w:r>
        <w:r>
          <w:rPr>
            <w:webHidden/>
          </w:rPr>
          <w:instrText>PAGEREF _Toc34920953 \h</w:instrText>
        </w:r>
        <w:r>
          <w:rPr>
            <w:webHidden/>
          </w:rPr>
          <w:fldChar w:fldCharType="separate"/>
        </w:r>
        <w:r>
          <w:rPr>
            <w:webHidden/>
            <w:rStyle w:val="IndexLink"/>
            <w:vanish w:val="false"/>
          </w:rPr>
          <w:t>IAC-21(e): Least Privilege | Prohibit Non-Privileged Users from Executing Privileged Functions</w:t>
          <w:tab/>
          <w:t>165</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954">
        <w:r>
          <w:rPr>
            <w:webHidden/>
          </w:rPr>
          <w:fldChar w:fldCharType="begin"/>
        </w:r>
        <w:r>
          <w:rPr>
            <w:webHidden/>
          </w:rPr>
          <w:instrText>PAGEREF _Toc34920954 \h</w:instrText>
        </w:r>
        <w:r>
          <w:rPr>
            <w:webHidden/>
          </w:rPr>
          <w:fldChar w:fldCharType="separate"/>
        </w:r>
        <w:r>
          <w:rPr>
            <w:webHidden/>
            <w:rStyle w:val="IndexLink"/>
            <w:vanish w:val="false"/>
          </w:rPr>
          <w:t>IAC-21(f): Least Privilege | Network Access to Privileged Commands</w:t>
          <w:tab/>
          <w:t>166</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955">
        <w:r>
          <w:rPr>
            <w:webHidden/>
          </w:rPr>
          <w:fldChar w:fldCharType="begin"/>
        </w:r>
        <w:r>
          <w:rPr>
            <w:webHidden/>
          </w:rPr>
          <w:instrText>PAGEREF _Toc34920955 \h</w:instrText>
        </w:r>
        <w:r>
          <w:rPr>
            <w:webHidden/>
          </w:rPr>
          <w:fldChar w:fldCharType="separate"/>
        </w:r>
        <w:r>
          <w:rPr>
            <w:webHidden/>
            <w:rStyle w:val="IndexLink"/>
            <w:vanish w:val="false"/>
          </w:rPr>
          <w:t>IAC-21(g): Least Privilege | Privilege Levels for Code Execution</w:t>
          <w:tab/>
          <w:t>166</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956">
        <w:r>
          <w:rPr>
            <w:webHidden/>
          </w:rPr>
          <w:fldChar w:fldCharType="begin"/>
        </w:r>
        <w:r>
          <w:rPr>
            <w:webHidden/>
          </w:rPr>
          <w:instrText>PAGEREF _Toc34920956 \h</w:instrText>
        </w:r>
        <w:r>
          <w:rPr>
            <w:webHidden/>
          </w:rPr>
          <w:fldChar w:fldCharType="separate"/>
        </w:r>
        <w:r>
          <w:rPr>
            <w:webHidden/>
            <w:rStyle w:val="IndexLink"/>
            <w:vanish w:val="false"/>
          </w:rPr>
          <w:t>IAC-22: Account Lockout</w:t>
          <w:tab/>
          <w:t>166</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957">
        <w:r>
          <w:rPr>
            <w:webHidden/>
          </w:rPr>
          <w:fldChar w:fldCharType="begin"/>
        </w:r>
        <w:r>
          <w:rPr>
            <w:webHidden/>
          </w:rPr>
          <w:instrText>PAGEREF _Toc34920957 \h</w:instrText>
        </w:r>
        <w:r>
          <w:rPr>
            <w:webHidden/>
          </w:rPr>
          <w:fldChar w:fldCharType="separate"/>
        </w:r>
        <w:r>
          <w:rPr>
            <w:webHidden/>
            <w:rStyle w:val="IndexLink"/>
            <w:vanish w:val="false"/>
          </w:rPr>
          <w:t>IAC-23: Concurrent Session Control</w:t>
          <w:tab/>
          <w:t>166</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958">
        <w:r>
          <w:rPr>
            <w:webHidden/>
          </w:rPr>
          <w:fldChar w:fldCharType="begin"/>
        </w:r>
        <w:r>
          <w:rPr>
            <w:webHidden/>
          </w:rPr>
          <w:instrText>PAGEREF _Toc34920958 \h</w:instrText>
        </w:r>
        <w:r>
          <w:rPr>
            <w:webHidden/>
          </w:rPr>
          <w:fldChar w:fldCharType="separate"/>
        </w:r>
        <w:r>
          <w:rPr>
            <w:webHidden/>
            <w:rStyle w:val="IndexLink"/>
            <w:vanish w:val="false"/>
          </w:rPr>
          <w:t>IAC-24: Session Lock</w:t>
          <w:tab/>
          <w:t>167</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959">
        <w:r>
          <w:rPr>
            <w:webHidden/>
          </w:rPr>
          <w:fldChar w:fldCharType="begin"/>
        </w:r>
        <w:r>
          <w:rPr>
            <w:webHidden/>
          </w:rPr>
          <w:instrText>PAGEREF _Toc34920959 \h</w:instrText>
        </w:r>
        <w:r>
          <w:rPr>
            <w:webHidden/>
          </w:rPr>
          <w:fldChar w:fldCharType="separate"/>
        </w:r>
        <w:r>
          <w:rPr>
            <w:webHidden/>
            <w:rStyle w:val="IndexLink"/>
            <w:vanish w:val="false"/>
          </w:rPr>
          <w:t>IAC-24(a): Session Lock | Pattern-Hiding Displays</w:t>
          <w:tab/>
          <w:t>167</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960">
        <w:r>
          <w:rPr>
            <w:webHidden/>
          </w:rPr>
          <w:fldChar w:fldCharType="begin"/>
        </w:r>
        <w:r>
          <w:rPr>
            <w:webHidden/>
          </w:rPr>
          <w:instrText>PAGEREF _Toc34920960 \h</w:instrText>
        </w:r>
        <w:r>
          <w:rPr>
            <w:webHidden/>
          </w:rPr>
          <w:fldChar w:fldCharType="separate"/>
        </w:r>
        <w:r>
          <w:rPr>
            <w:webHidden/>
            <w:rStyle w:val="IndexLink"/>
            <w:vanish w:val="false"/>
          </w:rPr>
          <w:t>IAC-25: Session Termination</w:t>
          <w:tab/>
          <w:t>167</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961">
        <w:r>
          <w:rPr>
            <w:webHidden/>
          </w:rPr>
          <w:fldChar w:fldCharType="begin"/>
        </w:r>
        <w:r>
          <w:rPr>
            <w:webHidden/>
          </w:rPr>
          <w:instrText>PAGEREF _Toc34920961 \h</w:instrText>
        </w:r>
        <w:r>
          <w:rPr>
            <w:webHidden/>
          </w:rPr>
          <w:fldChar w:fldCharType="separate"/>
        </w:r>
        <w:r>
          <w:rPr>
            <w:webHidden/>
            <w:rStyle w:val="IndexLink"/>
            <w:vanish w:val="false"/>
          </w:rPr>
          <w:t>IAC-25(a): Session Termination | User-Initiated Logouts / Message Displays</w:t>
          <w:tab/>
          <w:t>167</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962">
        <w:r>
          <w:rPr>
            <w:webHidden/>
          </w:rPr>
          <w:fldChar w:fldCharType="begin"/>
        </w:r>
        <w:r>
          <w:rPr>
            <w:webHidden/>
          </w:rPr>
          <w:instrText>PAGEREF _Toc34920962 \h</w:instrText>
        </w:r>
        <w:r>
          <w:rPr>
            <w:webHidden/>
          </w:rPr>
          <w:fldChar w:fldCharType="separate"/>
        </w:r>
        <w:r>
          <w:rPr>
            <w:webHidden/>
            <w:rStyle w:val="IndexLink"/>
            <w:vanish w:val="false"/>
          </w:rPr>
          <w:t>IAC-26: Permitted Actions Without Identification or Authorization</w:t>
          <w:tab/>
          <w:t>168</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963">
        <w:r>
          <w:rPr>
            <w:webHidden/>
          </w:rPr>
          <w:fldChar w:fldCharType="begin"/>
        </w:r>
        <w:r>
          <w:rPr>
            <w:webHidden/>
          </w:rPr>
          <w:instrText>PAGEREF _Toc34920963 \h</w:instrText>
        </w:r>
        <w:r>
          <w:rPr>
            <w:webHidden/>
          </w:rPr>
          <w:fldChar w:fldCharType="separate"/>
        </w:r>
        <w:r>
          <w:rPr>
            <w:webHidden/>
            <w:rStyle w:val="IndexLink"/>
            <w:vanish w:val="false"/>
          </w:rPr>
          <w:t>IAC-27: Reference Monitor</w:t>
          <w:tab/>
          <w:t>168</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964">
        <w:r>
          <w:rPr>
            <w:webHidden/>
          </w:rPr>
          <w:fldChar w:fldCharType="begin"/>
        </w:r>
        <w:r>
          <w:rPr>
            <w:webHidden/>
          </w:rPr>
          <w:instrText>PAGEREF _Toc34920964 \h</w:instrText>
        </w:r>
        <w:r>
          <w:rPr>
            <w:webHidden/>
          </w:rPr>
          <w:fldChar w:fldCharType="separate"/>
        </w:r>
        <w:r>
          <w:rPr>
            <w:webHidden/>
            <w:rStyle w:val="IndexLink"/>
            <w:vanish w:val="false"/>
          </w:rPr>
          <w:t>IAC-28: Identity Proofing</w:t>
          <w:tab/>
          <w:t>168</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965">
        <w:r>
          <w:rPr>
            <w:webHidden/>
          </w:rPr>
          <w:fldChar w:fldCharType="begin"/>
        </w:r>
        <w:r>
          <w:rPr>
            <w:webHidden/>
          </w:rPr>
          <w:instrText>PAGEREF _Toc34920965 \h</w:instrText>
        </w:r>
        <w:r>
          <w:rPr>
            <w:webHidden/>
          </w:rPr>
          <w:fldChar w:fldCharType="separate"/>
        </w:r>
        <w:r>
          <w:rPr>
            <w:webHidden/>
            <w:rStyle w:val="IndexLink"/>
            <w:vanish w:val="false"/>
          </w:rPr>
          <w:t>IAC-28(a): Identity Proofing | Supervisor Authorization</w:t>
          <w:tab/>
          <w:t>169</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966">
        <w:r>
          <w:rPr>
            <w:webHidden/>
          </w:rPr>
          <w:fldChar w:fldCharType="begin"/>
        </w:r>
        <w:r>
          <w:rPr>
            <w:webHidden/>
          </w:rPr>
          <w:instrText>PAGEREF _Toc34920966 \h</w:instrText>
        </w:r>
        <w:r>
          <w:rPr>
            <w:webHidden/>
          </w:rPr>
          <w:fldChar w:fldCharType="separate"/>
        </w:r>
        <w:r>
          <w:rPr>
            <w:webHidden/>
            <w:rStyle w:val="IndexLink"/>
            <w:vanish w:val="false"/>
          </w:rPr>
          <w:t>IAC-28(b): Identity Proofing | Identity Evidence</w:t>
          <w:tab/>
          <w:t>169</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967">
        <w:r>
          <w:rPr>
            <w:webHidden/>
          </w:rPr>
          <w:fldChar w:fldCharType="begin"/>
        </w:r>
        <w:r>
          <w:rPr>
            <w:webHidden/>
          </w:rPr>
          <w:instrText>PAGEREF _Toc34920967 \h</w:instrText>
        </w:r>
        <w:r>
          <w:rPr>
            <w:webHidden/>
          </w:rPr>
          <w:fldChar w:fldCharType="separate"/>
        </w:r>
        <w:r>
          <w:rPr>
            <w:webHidden/>
            <w:rStyle w:val="IndexLink"/>
            <w:vanish w:val="false"/>
          </w:rPr>
          <w:t>IAC-28(c): Identity Proofing | Identity Evidence Validation &amp; Verification</w:t>
          <w:tab/>
          <w:t>169</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968">
        <w:r>
          <w:rPr>
            <w:webHidden/>
          </w:rPr>
          <w:fldChar w:fldCharType="begin"/>
        </w:r>
        <w:r>
          <w:rPr>
            <w:webHidden/>
          </w:rPr>
          <w:instrText>PAGEREF _Toc34920968 \h</w:instrText>
        </w:r>
        <w:r>
          <w:rPr>
            <w:webHidden/>
          </w:rPr>
          <w:fldChar w:fldCharType="separate"/>
        </w:r>
        <w:r>
          <w:rPr>
            <w:webHidden/>
            <w:rStyle w:val="IndexLink"/>
            <w:vanish w:val="false"/>
          </w:rPr>
          <w:t>IAC-28(d): Identity Proofing | In-Person Validation &amp; Verification</w:t>
          <w:tab/>
          <w:t>169</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969">
        <w:r>
          <w:rPr>
            <w:webHidden/>
          </w:rPr>
          <w:fldChar w:fldCharType="begin"/>
        </w:r>
        <w:r>
          <w:rPr>
            <w:webHidden/>
          </w:rPr>
          <w:instrText>PAGEREF _Toc34920969 \h</w:instrText>
        </w:r>
        <w:r>
          <w:rPr>
            <w:webHidden/>
          </w:rPr>
          <w:fldChar w:fldCharType="separate"/>
        </w:r>
        <w:r>
          <w:rPr>
            <w:webHidden/>
            <w:rStyle w:val="IndexLink"/>
            <w:vanish w:val="false"/>
          </w:rPr>
          <w:t>IAC-28(e): Identity Proofing | Address Confirmation</w:t>
          <w:tab/>
          <w:t>169</w:t>
        </w:r>
        <w:r>
          <w:rPr>
            <w:webHidden/>
          </w:rPr>
          <w:fldChar w:fldCharType="end"/>
        </w:r>
      </w:hyperlink>
    </w:p>
    <w:p>
      <w:pPr>
        <w:pStyle w:val="Contents1"/>
        <w:rPr>
          <w:rFonts w:eastAsia="" w:cs="" w:cstheme="minorBidi" w:eastAsiaTheme="minorEastAsia"/>
          <w:b w:val="false"/>
          <w:b w:val="false"/>
          <w:caps w:val="false"/>
          <w:smallCaps w:val="false"/>
          <w:color w:val="auto"/>
          <w:sz w:val="22"/>
          <w:szCs w:val="22"/>
          <w:u w:val="none"/>
        </w:rPr>
      </w:pPr>
      <w:hyperlink w:anchor="_Toc34920970">
        <w:r>
          <w:rPr>
            <w:webHidden/>
          </w:rPr>
          <w:fldChar w:fldCharType="begin"/>
        </w:r>
        <w:r>
          <w:rPr>
            <w:webHidden/>
          </w:rPr>
          <w:instrText>PAGEREF _Toc34920970 \h</w:instrText>
        </w:r>
        <w:r>
          <w:rPr>
            <w:webHidden/>
          </w:rPr>
          <w:fldChar w:fldCharType="separate"/>
        </w:r>
        <w:r>
          <w:rPr>
            <w:webHidden/>
            <w:rStyle w:val="IndexLink"/>
            <w:vanish w:val="false"/>
          </w:rPr>
          <w:t>Incident Response (IRO) Policy &amp; Standards</w:t>
          <w:tab/>
          <w:t>171</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971">
        <w:r>
          <w:rPr>
            <w:webHidden/>
          </w:rPr>
          <w:fldChar w:fldCharType="begin"/>
        </w:r>
        <w:r>
          <w:rPr>
            <w:webHidden/>
          </w:rPr>
          <w:instrText>PAGEREF _Toc34920971 \h</w:instrText>
        </w:r>
        <w:r>
          <w:rPr>
            <w:webHidden/>
          </w:rPr>
          <w:fldChar w:fldCharType="separate"/>
        </w:r>
        <w:r>
          <w:rPr>
            <w:webHidden/>
            <w:rStyle w:val="IndexLink"/>
            <w:vanish w:val="false"/>
          </w:rPr>
          <w:t>IRO-01: Incidents Response Operations</w:t>
          <w:tab/>
          <w:t>171</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972">
        <w:r>
          <w:rPr>
            <w:webHidden/>
          </w:rPr>
          <w:fldChar w:fldCharType="begin"/>
        </w:r>
        <w:r>
          <w:rPr>
            <w:webHidden/>
          </w:rPr>
          <w:instrText>PAGEREF _Toc34920972 \h</w:instrText>
        </w:r>
        <w:r>
          <w:rPr>
            <w:webHidden/>
          </w:rPr>
          <w:fldChar w:fldCharType="separate"/>
        </w:r>
        <w:r>
          <w:rPr>
            <w:webHidden/>
            <w:rStyle w:val="IndexLink"/>
            <w:vanish w:val="false"/>
          </w:rPr>
          <w:t>IRO-02: Incident Handling</w:t>
          <w:tab/>
          <w:t>171</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973">
        <w:r>
          <w:rPr>
            <w:webHidden/>
          </w:rPr>
          <w:fldChar w:fldCharType="begin"/>
        </w:r>
        <w:r>
          <w:rPr>
            <w:webHidden/>
          </w:rPr>
          <w:instrText>PAGEREF _Toc34920973 \h</w:instrText>
        </w:r>
        <w:r>
          <w:rPr>
            <w:webHidden/>
          </w:rPr>
          <w:fldChar w:fldCharType="separate"/>
        </w:r>
        <w:r>
          <w:rPr>
            <w:webHidden/>
            <w:rStyle w:val="IndexLink"/>
            <w:vanish w:val="false"/>
          </w:rPr>
          <w:t>IRO-02(a): Incident Handling | Automated Incident Handling Processes</w:t>
          <w:tab/>
          <w:t>172</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974">
        <w:r>
          <w:rPr>
            <w:webHidden/>
          </w:rPr>
          <w:fldChar w:fldCharType="begin"/>
        </w:r>
        <w:r>
          <w:rPr>
            <w:webHidden/>
          </w:rPr>
          <w:instrText>PAGEREF _Toc34920974 \h</w:instrText>
        </w:r>
        <w:r>
          <w:rPr>
            <w:webHidden/>
          </w:rPr>
          <w:fldChar w:fldCharType="separate"/>
        </w:r>
        <w:r>
          <w:rPr>
            <w:webHidden/>
            <w:rStyle w:val="IndexLink"/>
            <w:vanish w:val="false"/>
          </w:rPr>
          <w:t>IRO-02(b): Incident Handling | Insider Threat Program</w:t>
          <w:tab/>
          <w:t>172</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975">
        <w:r>
          <w:rPr>
            <w:webHidden/>
          </w:rPr>
          <w:fldChar w:fldCharType="begin"/>
        </w:r>
        <w:r>
          <w:rPr>
            <w:webHidden/>
          </w:rPr>
          <w:instrText>PAGEREF _Toc34920975 \h</w:instrText>
        </w:r>
        <w:r>
          <w:rPr>
            <w:webHidden/>
          </w:rPr>
          <w:fldChar w:fldCharType="separate"/>
        </w:r>
        <w:r>
          <w:rPr>
            <w:webHidden/>
            <w:rStyle w:val="IndexLink"/>
            <w:vanish w:val="false"/>
          </w:rPr>
          <w:t>IRO-02(c): Incident Handling | Dynamic Reconfiguration</w:t>
          <w:tab/>
          <w:t>173</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976">
        <w:r>
          <w:rPr>
            <w:webHidden/>
          </w:rPr>
          <w:fldChar w:fldCharType="begin"/>
        </w:r>
        <w:r>
          <w:rPr>
            <w:webHidden/>
          </w:rPr>
          <w:instrText>PAGEREF _Toc34920976 \h</w:instrText>
        </w:r>
        <w:r>
          <w:rPr>
            <w:webHidden/>
          </w:rPr>
          <w:fldChar w:fldCharType="separate"/>
        </w:r>
        <w:r>
          <w:rPr>
            <w:webHidden/>
            <w:rStyle w:val="IndexLink"/>
            <w:vanish w:val="false"/>
          </w:rPr>
          <w:t>IRO-02(d): Incident Handling | Continuity of Operations</w:t>
          <w:tab/>
          <w:t>173</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977">
        <w:r>
          <w:rPr>
            <w:webHidden/>
          </w:rPr>
          <w:fldChar w:fldCharType="begin"/>
        </w:r>
        <w:r>
          <w:rPr>
            <w:webHidden/>
          </w:rPr>
          <w:instrText>PAGEREF _Toc34920977 \h</w:instrText>
        </w:r>
        <w:r>
          <w:rPr>
            <w:webHidden/>
          </w:rPr>
          <w:fldChar w:fldCharType="separate"/>
        </w:r>
        <w:r>
          <w:rPr>
            <w:webHidden/>
            <w:rStyle w:val="IndexLink"/>
            <w:vanish w:val="false"/>
          </w:rPr>
          <w:t>IRO-02(e): Incident Handling | Correlation with External Organizations</w:t>
          <w:tab/>
          <w:t>174</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978">
        <w:r>
          <w:rPr>
            <w:webHidden/>
          </w:rPr>
          <w:fldChar w:fldCharType="begin"/>
        </w:r>
        <w:r>
          <w:rPr>
            <w:webHidden/>
          </w:rPr>
          <w:instrText>PAGEREF _Toc34920978 \h</w:instrText>
        </w:r>
        <w:r>
          <w:rPr>
            <w:webHidden/>
          </w:rPr>
          <w:fldChar w:fldCharType="separate"/>
        </w:r>
        <w:r>
          <w:rPr>
            <w:webHidden/>
            <w:rStyle w:val="IndexLink"/>
            <w:vanish w:val="false"/>
          </w:rPr>
          <w:t>IRO-03: Indicators of Compromise (IOC)</w:t>
          <w:tab/>
          <w:t>175</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979">
        <w:r>
          <w:rPr>
            <w:webHidden/>
          </w:rPr>
          <w:fldChar w:fldCharType="begin"/>
        </w:r>
        <w:r>
          <w:rPr>
            <w:webHidden/>
          </w:rPr>
          <w:instrText>PAGEREF _Toc34920979 \h</w:instrText>
        </w:r>
        <w:r>
          <w:rPr>
            <w:webHidden/>
          </w:rPr>
          <w:fldChar w:fldCharType="separate"/>
        </w:r>
        <w:r>
          <w:rPr>
            <w:webHidden/>
            <w:rStyle w:val="IndexLink"/>
            <w:vanish w:val="false"/>
          </w:rPr>
          <w:t>IRO-04: Incident Response Plan (IRP)</w:t>
          <w:tab/>
          <w:t>175</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980">
        <w:r>
          <w:rPr>
            <w:webHidden/>
          </w:rPr>
          <w:fldChar w:fldCharType="begin"/>
        </w:r>
        <w:r>
          <w:rPr>
            <w:webHidden/>
          </w:rPr>
          <w:instrText>PAGEREF _Toc34920980 \h</w:instrText>
        </w:r>
        <w:r>
          <w:rPr>
            <w:webHidden/>
          </w:rPr>
          <w:fldChar w:fldCharType="separate"/>
        </w:r>
        <w:r>
          <w:rPr>
            <w:webHidden/>
            <w:rStyle w:val="IndexLink"/>
            <w:vanish w:val="false"/>
          </w:rPr>
          <w:t>IRO-04(a): Incident Response Plan (IRP) | Personal Data (PD) Processes</w:t>
          <w:tab/>
          <w:t>176</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981">
        <w:r>
          <w:rPr>
            <w:webHidden/>
          </w:rPr>
          <w:fldChar w:fldCharType="begin"/>
        </w:r>
        <w:r>
          <w:rPr>
            <w:webHidden/>
          </w:rPr>
          <w:instrText>PAGEREF _Toc34920981 \h</w:instrText>
        </w:r>
        <w:r>
          <w:rPr>
            <w:webHidden/>
          </w:rPr>
          <w:fldChar w:fldCharType="separate"/>
        </w:r>
        <w:r>
          <w:rPr>
            <w:webHidden/>
            <w:rStyle w:val="IndexLink"/>
            <w:vanish w:val="false"/>
          </w:rPr>
          <w:t>IRO-04(b): Incident Response Plan (IRP) | IRP Update</w:t>
          <w:tab/>
          <w:t>176</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982">
        <w:r>
          <w:rPr>
            <w:webHidden/>
          </w:rPr>
          <w:fldChar w:fldCharType="begin"/>
        </w:r>
        <w:r>
          <w:rPr>
            <w:webHidden/>
          </w:rPr>
          <w:instrText>PAGEREF _Toc34920982 \h</w:instrText>
        </w:r>
        <w:r>
          <w:rPr>
            <w:webHidden/>
          </w:rPr>
          <w:fldChar w:fldCharType="separate"/>
        </w:r>
        <w:r>
          <w:rPr>
            <w:webHidden/>
            <w:rStyle w:val="IndexLink"/>
            <w:vanish w:val="false"/>
          </w:rPr>
          <w:t>IRO-05: Incident Response Training</w:t>
          <w:tab/>
          <w:t>176</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983">
        <w:r>
          <w:rPr>
            <w:webHidden/>
          </w:rPr>
          <w:fldChar w:fldCharType="begin"/>
        </w:r>
        <w:r>
          <w:rPr>
            <w:webHidden/>
          </w:rPr>
          <w:instrText>PAGEREF _Toc34920983 \h</w:instrText>
        </w:r>
        <w:r>
          <w:rPr>
            <w:webHidden/>
          </w:rPr>
          <w:fldChar w:fldCharType="separate"/>
        </w:r>
        <w:r>
          <w:rPr>
            <w:webHidden/>
            <w:rStyle w:val="IndexLink"/>
            <w:vanish w:val="false"/>
          </w:rPr>
          <w:t>IRO-05(a): Incident Response Training | Simulated Incidents</w:t>
          <w:tab/>
          <w:t>177</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984">
        <w:r>
          <w:rPr>
            <w:webHidden/>
          </w:rPr>
          <w:fldChar w:fldCharType="begin"/>
        </w:r>
        <w:r>
          <w:rPr>
            <w:webHidden/>
          </w:rPr>
          <w:instrText>PAGEREF _Toc34920984 \h</w:instrText>
        </w:r>
        <w:r>
          <w:rPr>
            <w:webHidden/>
          </w:rPr>
          <w:fldChar w:fldCharType="separate"/>
        </w:r>
        <w:r>
          <w:rPr>
            <w:webHidden/>
            <w:rStyle w:val="IndexLink"/>
            <w:vanish w:val="false"/>
          </w:rPr>
          <w:t>IRO-05(b): Incident Response Training | Automated Incident Response Training Environments</w:t>
          <w:tab/>
          <w:t>177</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985">
        <w:r>
          <w:rPr>
            <w:webHidden/>
          </w:rPr>
          <w:fldChar w:fldCharType="begin"/>
        </w:r>
        <w:r>
          <w:rPr>
            <w:webHidden/>
          </w:rPr>
          <w:instrText>PAGEREF _Toc34920985 \h</w:instrText>
        </w:r>
        <w:r>
          <w:rPr>
            <w:webHidden/>
          </w:rPr>
          <w:fldChar w:fldCharType="separate"/>
        </w:r>
        <w:r>
          <w:rPr>
            <w:webHidden/>
            <w:rStyle w:val="IndexLink"/>
            <w:vanish w:val="false"/>
          </w:rPr>
          <w:t>IRO-06: Incident Response Testing</w:t>
          <w:tab/>
          <w:t>177</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986">
        <w:r>
          <w:rPr>
            <w:webHidden/>
          </w:rPr>
          <w:fldChar w:fldCharType="begin"/>
        </w:r>
        <w:r>
          <w:rPr>
            <w:webHidden/>
          </w:rPr>
          <w:instrText>PAGEREF _Toc34920986 \h</w:instrText>
        </w:r>
        <w:r>
          <w:rPr>
            <w:webHidden/>
          </w:rPr>
          <w:fldChar w:fldCharType="separate"/>
        </w:r>
        <w:r>
          <w:rPr>
            <w:webHidden/>
            <w:rStyle w:val="IndexLink"/>
            <w:vanish w:val="false"/>
          </w:rPr>
          <w:t>IRO-06(a): Incident Response Testing | Coordination with Related Plans</w:t>
          <w:tab/>
          <w:t>177</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987">
        <w:r>
          <w:rPr>
            <w:webHidden/>
          </w:rPr>
          <w:fldChar w:fldCharType="begin"/>
        </w:r>
        <w:r>
          <w:rPr>
            <w:webHidden/>
          </w:rPr>
          <w:instrText>PAGEREF _Toc34920987 \h</w:instrText>
        </w:r>
        <w:r>
          <w:rPr>
            <w:webHidden/>
          </w:rPr>
          <w:fldChar w:fldCharType="separate"/>
        </w:r>
        <w:r>
          <w:rPr>
            <w:webHidden/>
            <w:rStyle w:val="IndexLink"/>
            <w:vanish w:val="false"/>
          </w:rPr>
          <w:t>IRO-07: Integrated Security Incident Response Team (ISIRT)</w:t>
          <w:tab/>
          <w:t>178</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988">
        <w:r>
          <w:rPr>
            <w:webHidden/>
          </w:rPr>
          <w:fldChar w:fldCharType="begin"/>
        </w:r>
        <w:r>
          <w:rPr>
            <w:webHidden/>
          </w:rPr>
          <w:instrText>PAGEREF _Toc34920988 \h</w:instrText>
        </w:r>
        <w:r>
          <w:rPr>
            <w:webHidden/>
          </w:rPr>
          <w:fldChar w:fldCharType="separate"/>
        </w:r>
        <w:r>
          <w:rPr>
            <w:webHidden/>
            <w:rStyle w:val="IndexLink"/>
            <w:vanish w:val="false"/>
          </w:rPr>
          <w:t>IRO-08: Chain of Custody &amp; Forensics</w:t>
          <w:tab/>
          <w:t>178</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989">
        <w:r>
          <w:rPr>
            <w:webHidden/>
          </w:rPr>
          <w:fldChar w:fldCharType="begin"/>
        </w:r>
        <w:r>
          <w:rPr>
            <w:webHidden/>
          </w:rPr>
          <w:instrText>PAGEREF _Toc34920989 \h</w:instrText>
        </w:r>
        <w:r>
          <w:rPr>
            <w:webHidden/>
          </w:rPr>
          <w:fldChar w:fldCharType="separate"/>
        </w:r>
        <w:r>
          <w:rPr>
            <w:webHidden/>
            <w:rStyle w:val="IndexLink"/>
            <w:vanish w:val="false"/>
          </w:rPr>
          <w:t>IRO-09: Situational Awareness For Incidents</w:t>
          <w:tab/>
          <w:t>178</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990">
        <w:r>
          <w:rPr>
            <w:webHidden/>
          </w:rPr>
          <w:fldChar w:fldCharType="begin"/>
        </w:r>
        <w:r>
          <w:rPr>
            <w:webHidden/>
          </w:rPr>
          <w:instrText>PAGEREF _Toc34920990 \h</w:instrText>
        </w:r>
        <w:r>
          <w:rPr>
            <w:webHidden/>
          </w:rPr>
          <w:fldChar w:fldCharType="separate"/>
        </w:r>
        <w:r>
          <w:rPr>
            <w:webHidden/>
            <w:rStyle w:val="IndexLink"/>
            <w:vanish w:val="false"/>
          </w:rPr>
          <w:t>IRO-09(a): Situational Awareness For Incidents| Automated Tracking, Data Collection &amp; Analysis</w:t>
          <w:tab/>
          <w:t>178</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991">
        <w:r>
          <w:rPr>
            <w:webHidden/>
          </w:rPr>
          <w:fldChar w:fldCharType="begin"/>
        </w:r>
        <w:r>
          <w:rPr>
            <w:webHidden/>
          </w:rPr>
          <w:instrText>PAGEREF _Toc34920991 \h</w:instrText>
        </w:r>
        <w:r>
          <w:rPr>
            <w:webHidden/>
          </w:rPr>
          <w:fldChar w:fldCharType="separate"/>
        </w:r>
        <w:r>
          <w:rPr>
            <w:webHidden/>
            <w:rStyle w:val="IndexLink"/>
            <w:vanish w:val="false"/>
          </w:rPr>
          <w:t>IRO-10: Incident Stakeholder Reporting</w:t>
          <w:tab/>
          <w:t>179</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992">
        <w:r>
          <w:rPr>
            <w:webHidden/>
          </w:rPr>
          <w:fldChar w:fldCharType="begin"/>
        </w:r>
        <w:r>
          <w:rPr>
            <w:webHidden/>
          </w:rPr>
          <w:instrText>PAGEREF _Toc34920992 \h</w:instrText>
        </w:r>
        <w:r>
          <w:rPr>
            <w:webHidden/>
          </w:rPr>
          <w:fldChar w:fldCharType="separate"/>
        </w:r>
        <w:r>
          <w:rPr>
            <w:webHidden/>
            <w:rStyle w:val="IndexLink"/>
            <w:vanish w:val="false"/>
          </w:rPr>
          <w:t>IRO-10(a): Incident Stakeholder Reporting | Automated Reporting</w:t>
          <w:tab/>
          <w:t>179</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993">
        <w:r>
          <w:rPr>
            <w:webHidden/>
          </w:rPr>
          <w:fldChar w:fldCharType="begin"/>
        </w:r>
        <w:r>
          <w:rPr>
            <w:webHidden/>
          </w:rPr>
          <w:instrText>PAGEREF _Toc34920993 \h</w:instrText>
        </w:r>
        <w:r>
          <w:rPr>
            <w:webHidden/>
          </w:rPr>
          <w:fldChar w:fldCharType="separate"/>
        </w:r>
        <w:r>
          <w:rPr>
            <w:webHidden/>
            <w:rStyle w:val="IndexLink"/>
            <w:vanish w:val="false"/>
          </w:rPr>
          <w:t>IRO-10(b): Incident Stakeholder Reporting | Cyber Incident Reporting for Covered Defense Information (CDI)</w:t>
          <w:tab/>
          <w:t>179</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994">
        <w:r>
          <w:rPr>
            <w:webHidden/>
          </w:rPr>
          <w:fldChar w:fldCharType="begin"/>
        </w:r>
        <w:r>
          <w:rPr>
            <w:webHidden/>
          </w:rPr>
          <w:instrText>PAGEREF _Toc34920994 \h</w:instrText>
        </w:r>
        <w:r>
          <w:rPr>
            <w:webHidden/>
          </w:rPr>
          <w:fldChar w:fldCharType="separate"/>
        </w:r>
        <w:r>
          <w:rPr>
            <w:webHidden/>
            <w:rStyle w:val="IndexLink"/>
            <w:vanish w:val="false"/>
          </w:rPr>
          <w:t>IRO-10(c): Incident Stakeholder Reporting | Vulnerabilities Related To Incidents</w:t>
          <w:tab/>
          <w:t>180</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995">
        <w:r>
          <w:rPr>
            <w:webHidden/>
          </w:rPr>
          <w:fldChar w:fldCharType="begin"/>
        </w:r>
        <w:r>
          <w:rPr>
            <w:webHidden/>
          </w:rPr>
          <w:instrText>PAGEREF _Toc34920995 \h</w:instrText>
        </w:r>
        <w:r>
          <w:rPr>
            <w:webHidden/>
          </w:rPr>
          <w:fldChar w:fldCharType="separate"/>
        </w:r>
        <w:r>
          <w:rPr>
            <w:webHidden/>
            <w:rStyle w:val="IndexLink"/>
            <w:vanish w:val="false"/>
          </w:rPr>
          <w:t>IRO-10(d): Incident Stakeholder Reporting | Supply Chain Coordination</w:t>
          <w:tab/>
          <w:t>180</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996">
        <w:r>
          <w:rPr>
            <w:webHidden/>
          </w:rPr>
          <w:fldChar w:fldCharType="begin"/>
        </w:r>
        <w:r>
          <w:rPr>
            <w:webHidden/>
          </w:rPr>
          <w:instrText>PAGEREF _Toc34920996 \h</w:instrText>
        </w:r>
        <w:r>
          <w:rPr>
            <w:webHidden/>
          </w:rPr>
          <w:fldChar w:fldCharType="separate"/>
        </w:r>
        <w:r>
          <w:rPr>
            <w:webHidden/>
            <w:rStyle w:val="IndexLink"/>
            <w:vanish w:val="false"/>
          </w:rPr>
          <w:t>IRO-11: Incident Reporting Assistance</w:t>
          <w:tab/>
          <w:t>180</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997">
        <w:r>
          <w:rPr>
            <w:webHidden/>
          </w:rPr>
          <w:fldChar w:fldCharType="begin"/>
        </w:r>
        <w:r>
          <w:rPr>
            <w:webHidden/>
          </w:rPr>
          <w:instrText>PAGEREF _Toc34920997 \h</w:instrText>
        </w:r>
        <w:r>
          <w:rPr>
            <w:webHidden/>
          </w:rPr>
          <w:fldChar w:fldCharType="separate"/>
        </w:r>
        <w:r>
          <w:rPr>
            <w:webHidden/>
            <w:rStyle w:val="IndexLink"/>
            <w:vanish w:val="false"/>
          </w:rPr>
          <w:t>IRO-11(a): Incident Reporting Assistance | Automation Support of Availability of Information / Support</w:t>
          <w:tab/>
          <w:t>181</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0998">
        <w:r>
          <w:rPr>
            <w:webHidden/>
          </w:rPr>
          <w:fldChar w:fldCharType="begin"/>
        </w:r>
        <w:r>
          <w:rPr>
            <w:webHidden/>
          </w:rPr>
          <w:instrText>PAGEREF _Toc34920998 \h</w:instrText>
        </w:r>
        <w:r>
          <w:rPr>
            <w:webHidden/>
          </w:rPr>
          <w:fldChar w:fldCharType="separate"/>
        </w:r>
        <w:r>
          <w:rPr>
            <w:webHidden/>
            <w:rStyle w:val="IndexLink"/>
            <w:vanish w:val="false"/>
          </w:rPr>
          <w:t>IRO-11(b): Incident Reporting Assistance | Coordination With External Providers</w:t>
          <w:tab/>
          <w:t>181</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0999">
        <w:r>
          <w:rPr>
            <w:webHidden/>
          </w:rPr>
          <w:fldChar w:fldCharType="begin"/>
        </w:r>
        <w:r>
          <w:rPr>
            <w:webHidden/>
          </w:rPr>
          <w:instrText>PAGEREF _Toc34920999 \h</w:instrText>
        </w:r>
        <w:r>
          <w:rPr>
            <w:webHidden/>
          </w:rPr>
          <w:fldChar w:fldCharType="separate"/>
        </w:r>
        <w:r>
          <w:rPr>
            <w:webHidden/>
            <w:rStyle w:val="IndexLink"/>
            <w:vanish w:val="false"/>
          </w:rPr>
          <w:t>IRO-12: Information Spillage Response</w:t>
          <w:tab/>
          <w:t>181</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000">
        <w:r>
          <w:rPr>
            <w:webHidden/>
          </w:rPr>
          <w:fldChar w:fldCharType="begin"/>
        </w:r>
        <w:r>
          <w:rPr>
            <w:webHidden/>
          </w:rPr>
          <w:instrText>PAGEREF _Toc34921000 \h</w:instrText>
        </w:r>
        <w:r>
          <w:rPr>
            <w:webHidden/>
          </w:rPr>
          <w:fldChar w:fldCharType="separate"/>
        </w:r>
        <w:r>
          <w:rPr>
            <w:webHidden/>
            <w:rStyle w:val="IndexLink"/>
            <w:vanish w:val="false"/>
          </w:rPr>
          <w:t>IRO-12(a): Information Spillage Response | Responsible Personnel</w:t>
          <w:tab/>
          <w:t>181</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001">
        <w:r>
          <w:rPr>
            <w:webHidden/>
          </w:rPr>
          <w:fldChar w:fldCharType="begin"/>
        </w:r>
        <w:r>
          <w:rPr>
            <w:webHidden/>
          </w:rPr>
          <w:instrText>PAGEREF _Toc34921001 \h</w:instrText>
        </w:r>
        <w:r>
          <w:rPr>
            <w:webHidden/>
          </w:rPr>
          <w:fldChar w:fldCharType="separate"/>
        </w:r>
        <w:r>
          <w:rPr>
            <w:webHidden/>
            <w:rStyle w:val="IndexLink"/>
            <w:vanish w:val="false"/>
          </w:rPr>
          <w:t>IRO-12(b): Information Spillage Response | Training</w:t>
          <w:tab/>
          <w:t>182</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002">
        <w:r>
          <w:rPr>
            <w:webHidden/>
          </w:rPr>
          <w:fldChar w:fldCharType="begin"/>
        </w:r>
        <w:r>
          <w:rPr>
            <w:webHidden/>
          </w:rPr>
          <w:instrText>PAGEREF _Toc34921002 \h</w:instrText>
        </w:r>
        <w:r>
          <w:rPr>
            <w:webHidden/>
          </w:rPr>
          <w:fldChar w:fldCharType="separate"/>
        </w:r>
        <w:r>
          <w:rPr>
            <w:webHidden/>
            <w:rStyle w:val="IndexLink"/>
            <w:vanish w:val="false"/>
          </w:rPr>
          <w:t>IRO-12(c): Information Spillage Response | Post-Spill Operations</w:t>
          <w:tab/>
          <w:t>182</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003">
        <w:r>
          <w:rPr>
            <w:webHidden/>
          </w:rPr>
          <w:fldChar w:fldCharType="begin"/>
        </w:r>
        <w:r>
          <w:rPr>
            <w:webHidden/>
          </w:rPr>
          <w:instrText>PAGEREF _Toc34921003 \h</w:instrText>
        </w:r>
        <w:r>
          <w:rPr>
            <w:webHidden/>
          </w:rPr>
          <w:fldChar w:fldCharType="separate"/>
        </w:r>
        <w:r>
          <w:rPr>
            <w:webHidden/>
            <w:rStyle w:val="IndexLink"/>
            <w:vanish w:val="false"/>
          </w:rPr>
          <w:t>IRO-12(d): Information Spillage Response | Exposure to Unauthorized Personnel</w:t>
          <w:tab/>
          <w:t>182</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004">
        <w:r>
          <w:rPr>
            <w:webHidden/>
          </w:rPr>
          <w:fldChar w:fldCharType="begin"/>
        </w:r>
        <w:r>
          <w:rPr>
            <w:webHidden/>
          </w:rPr>
          <w:instrText>PAGEREF _Toc34921004 \h</w:instrText>
        </w:r>
        <w:r>
          <w:rPr>
            <w:webHidden/>
          </w:rPr>
          <w:fldChar w:fldCharType="separate"/>
        </w:r>
        <w:r>
          <w:rPr>
            <w:webHidden/>
            <w:rStyle w:val="IndexLink"/>
            <w:vanish w:val="false"/>
          </w:rPr>
          <w:t>IRO-13: Root Cause Analysis (RCA) &amp; Lessons Learned</w:t>
          <w:tab/>
          <w:t>182</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005">
        <w:r>
          <w:rPr>
            <w:webHidden/>
          </w:rPr>
          <w:fldChar w:fldCharType="begin"/>
        </w:r>
        <w:r>
          <w:rPr>
            <w:webHidden/>
          </w:rPr>
          <w:instrText>PAGEREF _Toc34921005 \h</w:instrText>
        </w:r>
        <w:r>
          <w:rPr>
            <w:webHidden/>
          </w:rPr>
          <w:fldChar w:fldCharType="separate"/>
        </w:r>
        <w:r>
          <w:rPr>
            <w:webHidden/>
            <w:rStyle w:val="IndexLink"/>
            <w:vanish w:val="false"/>
          </w:rPr>
          <w:t>IRO-14: Regulatory &amp; Law Enforcement Contacts</w:t>
          <w:tab/>
          <w:t>182</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006">
        <w:r>
          <w:rPr>
            <w:webHidden/>
          </w:rPr>
          <w:fldChar w:fldCharType="begin"/>
        </w:r>
        <w:r>
          <w:rPr>
            <w:webHidden/>
          </w:rPr>
          <w:instrText>PAGEREF _Toc34921006 \h</w:instrText>
        </w:r>
        <w:r>
          <w:rPr>
            <w:webHidden/>
          </w:rPr>
          <w:fldChar w:fldCharType="separate"/>
        </w:r>
        <w:r>
          <w:rPr>
            <w:webHidden/>
            <w:rStyle w:val="IndexLink"/>
            <w:vanish w:val="false"/>
          </w:rPr>
          <w:t>IRO-15: Detonation Chambers  (Sandboxes)</w:t>
          <w:tab/>
          <w:t>183</w:t>
        </w:r>
        <w:r>
          <w:rPr>
            <w:webHidden/>
          </w:rPr>
          <w:fldChar w:fldCharType="end"/>
        </w:r>
      </w:hyperlink>
    </w:p>
    <w:p>
      <w:pPr>
        <w:pStyle w:val="Contents1"/>
        <w:rPr>
          <w:rFonts w:eastAsia="" w:cs="" w:cstheme="minorBidi" w:eastAsiaTheme="minorEastAsia"/>
          <w:b w:val="false"/>
          <w:b w:val="false"/>
          <w:caps w:val="false"/>
          <w:smallCaps w:val="false"/>
          <w:color w:val="auto"/>
          <w:sz w:val="22"/>
          <w:szCs w:val="22"/>
          <w:u w:val="none"/>
        </w:rPr>
      </w:pPr>
      <w:hyperlink w:anchor="_Toc34921007">
        <w:r>
          <w:rPr>
            <w:webHidden/>
          </w:rPr>
          <w:fldChar w:fldCharType="begin"/>
        </w:r>
        <w:r>
          <w:rPr>
            <w:webHidden/>
          </w:rPr>
          <w:instrText>PAGEREF _Toc34921007 \h</w:instrText>
        </w:r>
        <w:r>
          <w:rPr>
            <w:webHidden/>
          </w:rPr>
          <w:fldChar w:fldCharType="separate"/>
        </w:r>
        <w:r>
          <w:rPr>
            <w:webHidden/>
            <w:rStyle w:val="IndexLink"/>
            <w:vanish w:val="false"/>
          </w:rPr>
          <w:t>Information Assurance (IAO) Policy &amp; Standards</w:t>
          <w:tab/>
          <w:t>184</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008">
        <w:r>
          <w:rPr>
            <w:webHidden/>
          </w:rPr>
          <w:fldChar w:fldCharType="begin"/>
        </w:r>
        <w:r>
          <w:rPr>
            <w:webHidden/>
          </w:rPr>
          <w:instrText>PAGEREF _Toc34921008 \h</w:instrText>
        </w:r>
        <w:r>
          <w:rPr>
            <w:webHidden/>
          </w:rPr>
          <w:fldChar w:fldCharType="separate"/>
        </w:r>
        <w:r>
          <w:rPr>
            <w:webHidden/>
            <w:rStyle w:val="IndexLink"/>
            <w:vanish w:val="false"/>
          </w:rPr>
          <w:t>IAO-01: Information Assurance (IA) Operations</w:t>
          <w:tab/>
          <w:t>184</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009">
        <w:r>
          <w:rPr>
            <w:webHidden/>
          </w:rPr>
          <w:fldChar w:fldCharType="begin"/>
        </w:r>
        <w:r>
          <w:rPr>
            <w:webHidden/>
          </w:rPr>
          <w:instrText>PAGEREF _Toc34921009 \h</w:instrText>
        </w:r>
        <w:r>
          <w:rPr>
            <w:webHidden/>
          </w:rPr>
          <w:fldChar w:fldCharType="separate"/>
        </w:r>
        <w:r>
          <w:rPr>
            <w:webHidden/>
            <w:rStyle w:val="IndexLink"/>
            <w:vanish w:val="false"/>
          </w:rPr>
          <w:t>IAO-02: Security Assessments</w:t>
          <w:tab/>
          <w:t>184</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010">
        <w:r>
          <w:rPr>
            <w:webHidden/>
          </w:rPr>
          <w:fldChar w:fldCharType="begin"/>
        </w:r>
        <w:r>
          <w:rPr>
            <w:webHidden/>
          </w:rPr>
          <w:instrText>PAGEREF _Toc34921010 \h</w:instrText>
        </w:r>
        <w:r>
          <w:rPr>
            <w:webHidden/>
          </w:rPr>
          <w:fldChar w:fldCharType="separate"/>
        </w:r>
        <w:r>
          <w:rPr>
            <w:webHidden/>
            <w:rStyle w:val="IndexLink"/>
            <w:vanish w:val="false"/>
          </w:rPr>
          <w:t>IAO-02(a): Security Assessments | Independent Assessors</w:t>
          <w:tab/>
          <w:t>184</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011">
        <w:r>
          <w:rPr>
            <w:webHidden/>
          </w:rPr>
          <w:fldChar w:fldCharType="begin"/>
        </w:r>
        <w:r>
          <w:rPr>
            <w:webHidden/>
          </w:rPr>
          <w:instrText>PAGEREF _Toc34921011 \h</w:instrText>
        </w:r>
        <w:r>
          <w:rPr>
            <w:webHidden/>
          </w:rPr>
          <w:fldChar w:fldCharType="separate"/>
        </w:r>
        <w:r>
          <w:rPr>
            <w:webHidden/>
            <w:rStyle w:val="IndexLink"/>
            <w:vanish w:val="false"/>
          </w:rPr>
          <w:t>IAO-02(b): Security Assessments | Specialized Assessments</w:t>
          <w:tab/>
          <w:t>185</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012">
        <w:r>
          <w:rPr>
            <w:webHidden/>
          </w:rPr>
          <w:fldChar w:fldCharType="begin"/>
        </w:r>
        <w:r>
          <w:rPr>
            <w:webHidden/>
          </w:rPr>
          <w:instrText>PAGEREF _Toc34921012 \h</w:instrText>
        </w:r>
        <w:r>
          <w:rPr>
            <w:webHidden/>
          </w:rPr>
          <w:fldChar w:fldCharType="separate"/>
        </w:r>
        <w:r>
          <w:rPr>
            <w:webHidden/>
            <w:rStyle w:val="IndexLink"/>
            <w:vanish w:val="false"/>
          </w:rPr>
          <w:t>IAO-02(c): Security Assessments | Third-Party Assessments</w:t>
          <w:tab/>
          <w:t>185</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013">
        <w:r>
          <w:rPr>
            <w:webHidden/>
          </w:rPr>
          <w:fldChar w:fldCharType="begin"/>
        </w:r>
        <w:r>
          <w:rPr>
            <w:webHidden/>
          </w:rPr>
          <w:instrText>PAGEREF _Toc34921013 \h</w:instrText>
        </w:r>
        <w:r>
          <w:rPr>
            <w:webHidden/>
          </w:rPr>
          <w:fldChar w:fldCharType="separate"/>
        </w:r>
        <w:r>
          <w:rPr>
            <w:webHidden/>
            <w:rStyle w:val="IndexLink"/>
            <w:vanish w:val="false"/>
          </w:rPr>
          <w:t>IAO-03: System Security Plans (SSP)</w:t>
          <w:tab/>
          <w:t>185</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014">
        <w:r>
          <w:rPr>
            <w:webHidden/>
          </w:rPr>
          <w:fldChar w:fldCharType="begin"/>
        </w:r>
        <w:r>
          <w:rPr>
            <w:webHidden/>
          </w:rPr>
          <w:instrText>PAGEREF _Toc34921014 \h</w:instrText>
        </w:r>
        <w:r>
          <w:rPr>
            <w:webHidden/>
          </w:rPr>
          <w:fldChar w:fldCharType="separate"/>
        </w:r>
        <w:r>
          <w:rPr>
            <w:webHidden/>
            <w:rStyle w:val="IndexLink"/>
            <w:vanish w:val="false"/>
          </w:rPr>
          <w:t>IAO-03(a): System Security Plan (SSP) | Plan / Coordinate with Other Organizational Entities</w:t>
          <w:tab/>
          <w:t>186</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015">
        <w:r>
          <w:rPr>
            <w:webHidden/>
          </w:rPr>
          <w:fldChar w:fldCharType="begin"/>
        </w:r>
        <w:r>
          <w:rPr>
            <w:webHidden/>
          </w:rPr>
          <w:instrText>PAGEREF _Toc34921015 \h</w:instrText>
        </w:r>
        <w:r>
          <w:rPr>
            <w:webHidden/>
          </w:rPr>
          <w:fldChar w:fldCharType="separate"/>
        </w:r>
        <w:r>
          <w:rPr>
            <w:webHidden/>
            <w:rStyle w:val="IndexLink"/>
            <w:vanish w:val="false"/>
          </w:rPr>
          <w:t>IAO-03(b): System Security Plan (SSP) | Adequate Security for Covered Defense Information (CDI)</w:t>
          <w:tab/>
          <w:t>186</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016">
        <w:r>
          <w:rPr>
            <w:webHidden/>
          </w:rPr>
          <w:fldChar w:fldCharType="begin"/>
        </w:r>
        <w:r>
          <w:rPr>
            <w:webHidden/>
          </w:rPr>
          <w:instrText>PAGEREF _Toc34921016 \h</w:instrText>
        </w:r>
        <w:r>
          <w:rPr>
            <w:webHidden/>
          </w:rPr>
          <w:fldChar w:fldCharType="separate"/>
        </w:r>
        <w:r>
          <w:rPr>
            <w:webHidden/>
            <w:rStyle w:val="IndexLink"/>
            <w:vanish w:val="false"/>
          </w:rPr>
          <w:t>IAO-04: Threat Analysis &amp; Flaw Remediation During Development</w:t>
          <w:tab/>
          <w:t>187</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017">
        <w:r>
          <w:rPr>
            <w:webHidden/>
          </w:rPr>
          <w:fldChar w:fldCharType="begin"/>
        </w:r>
        <w:r>
          <w:rPr>
            <w:webHidden/>
          </w:rPr>
          <w:instrText>PAGEREF _Toc34921017 \h</w:instrText>
        </w:r>
        <w:r>
          <w:rPr>
            <w:webHidden/>
          </w:rPr>
          <w:fldChar w:fldCharType="separate"/>
        </w:r>
        <w:r>
          <w:rPr>
            <w:webHidden/>
            <w:rStyle w:val="IndexLink"/>
            <w:vanish w:val="false"/>
          </w:rPr>
          <w:t>IAO-05: Plan of Action &amp; Milestones (POA&amp;M)</w:t>
          <w:tab/>
          <w:t>187</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018">
        <w:r>
          <w:rPr>
            <w:webHidden/>
          </w:rPr>
          <w:fldChar w:fldCharType="begin"/>
        </w:r>
        <w:r>
          <w:rPr>
            <w:webHidden/>
          </w:rPr>
          <w:instrText>PAGEREF _Toc34921018 \h</w:instrText>
        </w:r>
        <w:r>
          <w:rPr>
            <w:webHidden/>
          </w:rPr>
          <w:fldChar w:fldCharType="separate"/>
        </w:r>
        <w:r>
          <w:rPr>
            <w:webHidden/>
            <w:rStyle w:val="IndexLink"/>
            <w:vanish w:val="false"/>
          </w:rPr>
          <w:t>IAO-06: Technical Verification</w:t>
          <w:tab/>
          <w:t>188</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019">
        <w:r>
          <w:rPr>
            <w:webHidden/>
          </w:rPr>
          <w:fldChar w:fldCharType="begin"/>
        </w:r>
        <w:r>
          <w:rPr>
            <w:webHidden/>
          </w:rPr>
          <w:instrText>PAGEREF _Toc34921019 \h</w:instrText>
        </w:r>
        <w:r>
          <w:rPr>
            <w:webHidden/>
          </w:rPr>
          <w:fldChar w:fldCharType="separate"/>
        </w:r>
        <w:r>
          <w:rPr>
            <w:webHidden/>
            <w:rStyle w:val="IndexLink"/>
            <w:vanish w:val="false"/>
          </w:rPr>
          <w:t>IAO-07: Security Authorization</w:t>
          <w:tab/>
          <w:t>188</w:t>
        </w:r>
        <w:r>
          <w:rPr>
            <w:webHidden/>
          </w:rPr>
          <w:fldChar w:fldCharType="end"/>
        </w:r>
      </w:hyperlink>
    </w:p>
    <w:p>
      <w:pPr>
        <w:pStyle w:val="Contents1"/>
        <w:rPr>
          <w:rFonts w:eastAsia="" w:cs="" w:cstheme="minorBidi" w:eastAsiaTheme="minorEastAsia"/>
          <w:b w:val="false"/>
          <w:b w:val="false"/>
          <w:caps w:val="false"/>
          <w:smallCaps w:val="false"/>
          <w:color w:val="auto"/>
          <w:sz w:val="22"/>
          <w:szCs w:val="22"/>
          <w:u w:val="none"/>
        </w:rPr>
      </w:pPr>
      <w:hyperlink w:anchor="_Toc34921020">
        <w:r>
          <w:rPr>
            <w:webHidden/>
          </w:rPr>
          <w:fldChar w:fldCharType="begin"/>
        </w:r>
        <w:r>
          <w:rPr>
            <w:webHidden/>
          </w:rPr>
          <w:instrText>PAGEREF _Toc34921020 \h</w:instrText>
        </w:r>
        <w:r>
          <w:rPr>
            <w:webHidden/>
          </w:rPr>
          <w:fldChar w:fldCharType="separate"/>
        </w:r>
        <w:r>
          <w:rPr>
            <w:webHidden/>
            <w:rStyle w:val="IndexLink"/>
            <w:vanish w:val="false"/>
          </w:rPr>
          <w:t>Maintenance (MNT) Policy &amp; Standards</w:t>
          <w:tab/>
          <w:t>189</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021">
        <w:r>
          <w:rPr>
            <w:webHidden/>
          </w:rPr>
          <w:fldChar w:fldCharType="begin"/>
        </w:r>
        <w:r>
          <w:rPr>
            <w:webHidden/>
          </w:rPr>
          <w:instrText>PAGEREF _Toc34921021 \h</w:instrText>
        </w:r>
        <w:r>
          <w:rPr>
            <w:webHidden/>
          </w:rPr>
          <w:fldChar w:fldCharType="separate"/>
        </w:r>
        <w:r>
          <w:rPr>
            <w:webHidden/>
            <w:rStyle w:val="IndexLink"/>
            <w:vanish w:val="false"/>
          </w:rPr>
          <w:t>MNT-01: Maintenance Operations</w:t>
          <w:tab/>
          <w:t>189</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022">
        <w:r>
          <w:rPr>
            <w:webHidden/>
          </w:rPr>
          <w:fldChar w:fldCharType="begin"/>
        </w:r>
        <w:r>
          <w:rPr>
            <w:webHidden/>
          </w:rPr>
          <w:instrText>PAGEREF _Toc34921022 \h</w:instrText>
        </w:r>
        <w:r>
          <w:rPr>
            <w:webHidden/>
          </w:rPr>
          <w:fldChar w:fldCharType="separate"/>
        </w:r>
        <w:r>
          <w:rPr>
            <w:webHidden/>
            <w:rStyle w:val="IndexLink"/>
            <w:vanish w:val="false"/>
          </w:rPr>
          <w:t>MNT-02: Controlled Maintenance</w:t>
          <w:tab/>
          <w:t>189</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023">
        <w:r>
          <w:rPr>
            <w:webHidden/>
          </w:rPr>
          <w:fldChar w:fldCharType="begin"/>
        </w:r>
        <w:r>
          <w:rPr>
            <w:webHidden/>
          </w:rPr>
          <w:instrText>PAGEREF _Toc34921023 \h</w:instrText>
        </w:r>
        <w:r>
          <w:rPr>
            <w:webHidden/>
          </w:rPr>
          <w:fldChar w:fldCharType="separate"/>
        </w:r>
        <w:r>
          <w:rPr>
            <w:webHidden/>
            <w:rStyle w:val="IndexLink"/>
            <w:vanish w:val="false"/>
          </w:rPr>
          <w:t>MNT-02(a): Controlled Maintenance | Automated Maintenance Activities</w:t>
          <w:tab/>
          <w:t>190</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024">
        <w:r>
          <w:rPr>
            <w:webHidden/>
          </w:rPr>
          <w:fldChar w:fldCharType="begin"/>
        </w:r>
        <w:r>
          <w:rPr>
            <w:webHidden/>
          </w:rPr>
          <w:instrText>PAGEREF _Toc34921024 \h</w:instrText>
        </w:r>
        <w:r>
          <w:rPr>
            <w:webHidden/>
          </w:rPr>
          <w:fldChar w:fldCharType="separate"/>
        </w:r>
        <w:r>
          <w:rPr>
            <w:webHidden/>
            <w:rStyle w:val="IndexLink"/>
            <w:vanish w:val="false"/>
          </w:rPr>
          <w:t>MNT-03: Timely Maintenance</w:t>
          <w:tab/>
          <w:t>190</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025">
        <w:r>
          <w:rPr>
            <w:webHidden/>
          </w:rPr>
          <w:fldChar w:fldCharType="begin"/>
        </w:r>
        <w:r>
          <w:rPr>
            <w:webHidden/>
          </w:rPr>
          <w:instrText>PAGEREF _Toc34921025 \h</w:instrText>
        </w:r>
        <w:r>
          <w:rPr>
            <w:webHidden/>
          </w:rPr>
          <w:fldChar w:fldCharType="separate"/>
        </w:r>
        <w:r>
          <w:rPr>
            <w:webHidden/>
            <w:rStyle w:val="IndexLink"/>
            <w:vanish w:val="false"/>
          </w:rPr>
          <w:t>MNT-03(a): Timely Maintenance | Preventative Maintenance</w:t>
          <w:tab/>
          <w:t>190</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026">
        <w:r>
          <w:rPr>
            <w:webHidden/>
          </w:rPr>
          <w:fldChar w:fldCharType="begin"/>
        </w:r>
        <w:r>
          <w:rPr>
            <w:webHidden/>
          </w:rPr>
          <w:instrText>PAGEREF _Toc34921026 \h</w:instrText>
        </w:r>
        <w:r>
          <w:rPr>
            <w:webHidden/>
          </w:rPr>
          <w:fldChar w:fldCharType="separate"/>
        </w:r>
        <w:r>
          <w:rPr>
            <w:webHidden/>
            <w:rStyle w:val="IndexLink"/>
            <w:vanish w:val="false"/>
          </w:rPr>
          <w:t>MNT-03(b): Timely Maintenance | Predictive Maintenance</w:t>
          <w:tab/>
          <w:t>190</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027">
        <w:r>
          <w:rPr>
            <w:webHidden/>
          </w:rPr>
          <w:fldChar w:fldCharType="begin"/>
        </w:r>
        <w:r>
          <w:rPr>
            <w:webHidden/>
          </w:rPr>
          <w:instrText>PAGEREF _Toc34921027 \h</w:instrText>
        </w:r>
        <w:r>
          <w:rPr>
            <w:webHidden/>
          </w:rPr>
          <w:fldChar w:fldCharType="separate"/>
        </w:r>
        <w:r>
          <w:rPr>
            <w:webHidden/>
            <w:rStyle w:val="IndexLink"/>
            <w:vanish w:val="false"/>
          </w:rPr>
          <w:t>MNT-03(c): Timely Maintenance | Automated Support for Predictive Maintenance</w:t>
          <w:tab/>
          <w:t>191</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028">
        <w:r>
          <w:rPr>
            <w:webHidden/>
          </w:rPr>
          <w:fldChar w:fldCharType="begin"/>
        </w:r>
        <w:r>
          <w:rPr>
            <w:webHidden/>
          </w:rPr>
          <w:instrText>PAGEREF _Toc34921028 \h</w:instrText>
        </w:r>
        <w:r>
          <w:rPr>
            <w:webHidden/>
          </w:rPr>
          <w:fldChar w:fldCharType="separate"/>
        </w:r>
        <w:r>
          <w:rPr>
            <w:webHidden/>
            <w:rStyle w:val="IndexLink"/>
            <w:vanish w:val="false"/>
          </w:rPr>
          <w:t>MNT-04: Maintenance Tools</w:t>
          <w:tab/>
          <w:t>191</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029">
        <w:r>
          <w:rPr>
            <w:webHidden/>
          </w:rPr>
          <w:fldChar w:fldCharType="begin"/>
        </w:r>
        <w:r>
          <w:rPr>
            <w:webHidden/>
          </w:rPr>
          <w:instrText>PAGEREF _Toc34921029 \h</w:instrText>
        </w:r>
        <w:r>
          <w:rPr>
            <w:webHidden/>
          </w:rPr>
          <w:fldChar w:fldCharType="separate"/>
        </w:r>
        <w:r>
          <w:rPr>
            <w:webHidden/>
            <w:rStyle w:val="IndexLink"/>
            <w:vanish w:val="false"/>
          </w:rPr>
          <w:t>MNT-04(a): Maintenance Tools | Inspect Tools</w:t>
          <w:tab/>
          <w:t>191</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030">
        <w:r>
          <w:rPr>
            <w:webHidden/>
          </w:rPr>
          <w:fldChar w:fldCharType="begin"/>
        </w:r>
        <w:r>
          <w:rPr>
            <w:webHidden/>
          </w:rPr>
          <w:instrText>PAGEREF _Toc34921030 \h</w:instrText>
        </w:r>
        <w:r>
          <w:rPr>
            <w:webHidden/>
          </w:rPr>
          <w:fldChar w:fldCharType="separate"/>
        </w:r>
        <w:r>
          <w:rPr>
            <w:webHidden/>
            <w:rStyle w:val="IndexLink"/>
            <w:vanish w:val="false"/>
          </w:rPr>
          <w:t>MNT-04(b): Maintenance Tools | Inspect Media</w:t>
          <w:tab/>
          <w:t>191</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031">
        <w:r>
          <w:rPr>
            <w:webHidden/>
          </w:rPr>
          <w:fldChar w:fldCharType="begin"/>
        </w:r>
        <w:r>
          <w:rPr>
            <w:webHidden/>
          </w:rPr>
          <w:instrText>PAGEREF _Toc34921031 \h</w:instrText>
        </w:r>
        <w:r>
          <w:rPr>
            <w:webHidden/>
          </w:rPr>
          <w:fldChar w:fldCharType="separate"/>
        </w:r>
        <w:r>
          <w:rPr>
            <w:webHidden/>
            <w:rStyle w:val="IndexLink"/>
            <w:vanish w:val="false"/>
          </w:rPr>
          <w:t>MNT-04(c): Maintenance Tools | Prevent Unauthorized Removal</w:t>
          <w:tab/>
          <w:t>192</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032">
        <w:r>
          <w:rPr>
            <w:webHidden/>
          </w:rPr>
          <w:fldChar w:fldCharType="begin"/>
        </w:r>
        <w:r>
          <w:rPr>
            <w:webHidden/>
          </w:rPr>
          <w:instrText>PAGEREF _Toc34921032 \h</w:instrText>
        </w:r>
        <w:r>
          <w:rPr>
            <w:webHidden/>
          </w:rPr>
          <w:fldChar w:fldCharType="separate"/>
        </w:r>
        <w:r>
          <w:rPr>
            <w:webHidden/>
            <w:rStyle w:val="IndexLink"/>
            <w:vanish w:val="false"/>
          </w:rPr>
          <w:t>MNT-04(d): Maintenance Tools | Restrict Tool Use</w:t>
          <w:tab/>
          <w:t>192</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033">
        <w:r>
          <w:rPr>
            <w:webHidden/>
          </w:rPr>
          <w:fldChar w:fldCharType="begin"/>
        </w:r>
        <w:r>
          <w:rPr>
            <w:webHidden/>
          </w:rPr>
          <w:instrText>PAGEREF _Toc34921033 \h</w:instrText>
        </w:r>
        <w:r>
          <w:rPr>
            <w:webHidden/>
          </w:rPr>
          <w:fldChar w:fldCharType="separate"/>
        </w:r>
        <w:r>
          <w:rPr>
            <w:webHidden/>
            <w:rStyle w:val="IndexLink"/>
            <w:vanish w:val="false"/>
          </w:rPr>
          <w:t>MNT-05: Non-Local Maintenance</w:t>
          <w:tab/>
          <w:t>192</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034">
        <w:r>
          <w:rPr>
            <w:webHidden/>
          </w:rPr>
          <w:fldChar w:fldCharType="begin"/>
        </w:r>
        <w:r>
          <w:rPr>
            <w:webHidden/>
          </w:rPr>
          <w:instrText>PAGEREF _Toc34921034 \h</w:instrText>
        </w:r>
        <w:r>
          <w:rPr>
            <w:webHidden/>
          </w:rPr>
          <w:fldChar w:fldCharType="separate"/>
        </w:r>
        <w:r>
          <w:rPr>
            <w:webHidden/>
            <w:rStyle w:val="IndexLink"/>
            <w:vanish w:val="false"/>
          </w:rPr>
          <w:t>MNT-05(a): Non-Local Maintenance | Auditing</w:t>
          <w:tab/>
          <w:t>193</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035">
        <w:r>
          <w:rPr>
            <w:webHidden/>
          </w:rPr>
          <w:fldChar w:fldCharType="begin"/>
        </w:r>
        <w:r>
          <w:rPr>
            <w:webHidden/>
          </w:rPr>
          <w:instrText>PAGEREF _Toc34921035 \h</w:instrText>
        </w:r>
        <w:r>
          <w:rPr>
            <w:webHidden/>
          </w:rPr>
          <w:fldChar w:fldCharType="separate"/>
        </w:r>
        <w:r>
          <w:rPr>
            <w:webHidden/>
            <w:rStyle w:val="IndexLink"/>
            <w:vanish w:val="false"/>
          </w:rPr>
          <w:t>MNT-05(b): Non-Local Maintenance | Notification of Non-Local Maintenance</w:t>
          <w:tab/>
          <w:t>193</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036">
        <w:r>
          <w:rPr>
            <w:webHidden/>
          </w:rPr>
          <w:fldChar w:fldCharType="begin"/>
        </w:r>
        <w:r>
          <w:rPr>
            <w:webHidden/>
          </w:rPr>
          <w:instrText>PAGEREF _Toc34921036 \h</w:instrText>
        </w:r>
        <w:r>
          <w:rPr>
            <w:webHidden/>
          </w:rPr>
          <w:fldChar w:fldCharType="separate"/>
        </w:r>
        <w:r>
          <w:rPr>
            <w:webHidden/>
            <w:rStyle w:val="IndexLink"/>
            <w:vanish w:val="false"/>
          </w:rPr>
          <w:t>MNT-05(c): Non-Local Maintenance | Cryptographic Protection</w:t>
          <w:tab/>
          <w:t>193</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037">
        <w:r>
          <w:rPr>
            <w:webHidden/>
          </w:rPr>
          <w:fldChar w:fldCharType="begin"/>
        </w:r>
        <w:r>
          <w:rPr>
            <w:webHidden/>
          </w:rPr>
          <w:instrText>PAGEREF _Toc34921037 \h</w:instrText>
        </w:r>
        <w:r>
          <w:rPr>
            <w:webHidden/>
          </w:rPr>
          <w:fldChar w:fldCharType="separate"/>
        </w:r>
        <w:r>
          <w:rPr>
            <w:webHidden/>
            <w:rStyle w:val="IndexLink"/>
            <w:vanish w:val="false"/>
          </w:rPr>
          <w:t>MNT-05(d): Non-Local Maintenance | Remote Disconnect Verification</w:t>
          <w:tab/>
          <w:t>193</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038">
        <w:r>
          <w:rPr>
            <w:webHidden/>
          </w:rPr>
          <w:fldChar w:fldCharType="begin"/>
        </w:r>
        <w:r>
          <w:rPr>
            <w:webHidden/>
          </w:rPr>
          <w:instrText>PAGEREF _Toc34921038 \h</w:instrText>
        </w:r>
        <w:r>
          <w:rPr>
            <w:webHidden/>
          </w:rPr>
          <w:fldChar w:fldCharType="separate"/>
        </w:r>
        <w:r>
          <w:rPr>
            <w:webHidden/>
            <w:rStyle w:val="IndexLink"/>
            <w:vanish w:val="false"/>
          </w:rPr>
          <w:t>MNT-05(e): Non-Local Maintenance | Pre-Approval of Non-Local Maintenance</w:t>
          <w:tab/>
          <w:t>193</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039">
        <w:r>
          <w:rPr>
            <w:webHidden/>
          </w:rPr>
          <w:fldChar w:fldCharType="begin"/>
        </w:r>
        <w:r>
          <w:rPr>
            <w:webHidden/>
          </w:rPr>
          <w:instrText>PAGEREF _Toc34921039 \h</w:instrText>
        </w:r>
        <w:r>
          <w:rPr>
            <w:webHidden/>
          </w:rPr>
          <w:fldChar w:fldCharType="separate"/>
        </w:r>
        <w:r>
          <w:rPr>
            <w:webHidden/>
            <w:rStyle w:val="IndexLink"/>
            <w:vanish w:val="false"/>
          </w:rPr>
          <w:t>MNT-05(f): Non-Local Maintenance | Comparable Security &amp; Sanitization</w:t>
          <w:tab/>
          <w:t>194</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040">
        <w:r>
          <w:rPr>
            <w:webHidden/>
          </w:rPr>
          <w:fldChar w:fldCharType="begin"/>
        </w:r>
        <w:r>
          <w:rPr>
            <w:webHidden/>
          </w:rPr>
          <w:instrText>PAGEREF _Toc34921040 \h</w:instrText>
        </w:r>
        <w:r>
          <w:rPr>
            <w:webHidden/>
          </w:rPr>
          <w:fldChar w:fldCharType="separate"/>
        </w:r>
        <w:r>
          <w:rPr>
            <w:webHidden/>
            <w:rStyle w:val="IndexLink"/>
            <w:vanish w:val="false"/>
          </w:rPr>
          <w:t>MNT-06: Maintenance Personnel</w:t>
          <w:tab/>
          <w:t>194</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041">
        <w:r>
          <w:rPr>
            <w:webHidden/>
          </w:rPr>
          <w:fldChar w:fldCharType="begin"/>
        </w:r>
        <w:r>
          <w:rPr>
            <w:webHidden/>
          </w:rPr>
          <w:instrText>PAGEREF _Toc34921041 \h</w:instrText>
        </w:r>
        <w:r>
          <w:rPr>
            <w:webHidden/>
          </w:rPr>
          <w:fldChar w:fldCharType="separate"/>
        </w:r>
        <w:r>
          <w:rPr>
            <w:webHidden/>
            <w:rStyle w:val="IndexLink"/>
            <w:vanish w:val="false"/>
          </w:rPr>
          <w:t>MNT-06(a): Maintenance Personnel | Maintenance Personnel Without Appropriate Access</w:t>
          <w:tab/>
          <w:t>194</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042">
        <w:r>
          <w:rPr>
            <w:webHidden/>
          </w:rPr>
          <w:fldChar w:fldCharType="begin"/>
        </w:r>
        <w:r>
          <w:rPr>
            <w:webHidden/>
          </w:rPr>
          <w:instrText>PAGEREF _Toc34921042 \h</w:instrText>
        </w:r>
        <w:r>
          <w:rPr>
            <w:webHidden/>
          </w:rPr>
          <w:fldChar w:fldCharType="separate"/>
        </w:r>
        <w:r>
          <w:rPr>
            <w:webHidden/>
            <w:rStyle w:val="IndexLink"/>
            <w:vanish w:val="false"/>
          </w:rPr>
          <w:t>MNT-06(b): Maintenance Personnel | Non-System Related Maintenance</w:t>
          <w:tab/>
          <w:t>195</w:t>
        </w:r>
        <w:r>
          <w:rPr>
            <w:webHidden/>
          </w:rPr>
          <w:fldChar w:fldCharType="end"/>
        </w:r>
      </w:hyperlink>
    </w:p>
    <w:p>
      <w:pPr>
        <w:pStyle w:val="Contents1"/>
        <w:rPr>
          <w:rFonts w:eastAsia="" w:cs="" w:cstheme="minorBidi" w:eastAsiaTheme="minorEastAsia"/>
          <w:b w:val="false"/>
          <w:b w:val="false"/>
          <w:caps w:val="false"/>
          <w:smallCaps w:val="false"/>
          <w:color w:val="auto"/>
          <w:sz w:val="22"/>
          <w:szCs w:val="22"/>
          <w:u w:val="none"/>
        </w:rPr>
      </w:pPr>
      <w:hyperlink w:anchor="_Toc34921043">
        <w:r>
          <w:rPr>
            <w:webHidden/>
          </w:rPr>
          <w:fldChar w:fldCharType="begin"/>
        </w:r>
        <w:r>
          <w:rPr>
            <w:webHidden/>
          </w:rPr>
          <w:instrText>PAGEREF _Toc34921043 \h</w:instrText>
        </w:r>
        <w:r>
          <w:rPr>
            <w:webHidden/>
          </w:rPr>
          <w:fldChar w:fldCharType="separate"/>
        </w:r>
        <w:r>
          <w:rPr>
            <w:webHidden/>
            <w:rStyle w:val="IndexLink"/>
            <w:vanish w:val="false"/>
          </w:rPr>
          <w:t>Mobile Device Management (MDM) Policy &amp; Standards</w:t>
          <w:tab/>
          <w:t>196</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044">
        <w:r>
          <w:rPr>
            <w:webHidden/>
          </w:rPr>
          <w:fldChar w:fldCharType="begin"/>
        </w:r>
        <w:r>
          <w:rPr>
            <w:webHidden/>
          </w:rPr>
          <w:instrText>PAGEREF _Toc34921044 \h</w:instrText>
        </w:r>
        <w:r>
          <w:rPr>
            <w:webHidden/>
          </w:rPr>
          <w:fldChar w:fldCharType="separate"/>
        </w:r>
        <w:r>
          <w:rPr>
            <w:webHidden/>
            <w:rStyle w:val="IndexLink"/>
            <w:vanish w:val="false"/>
          </w:rPr>
          <w:t>MDM-01: Centralized Management Of Mobile Devices</w:t>
          <w:tab/>
          <w:t>196</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045">
        <w:r>
          <w:rPr>
            <w:webHidden/>
          </w:rPr>
          <w:fldChar w:fldCharType="begin"/>
        </w:r>
        <w:r>
          <w:rPr>
            <w:webHidden/>
          </w:rPr>
          <w:instrText>PAGEREF _Toc34921045 \h</w:instrText>
        </w:r>
        <w:r>
          <w:rPr>
            <w:webHidden/>
          </w:rPr>
          <w:fldChar w:fldCharType="separate"/>
        </w:r>
        <w:r>
          <w:rPr>
            <w:webHidden/>
            <w:rStyle w:val="IndexLink"/>
            <w:vanish w:val="false"/>
          </w:rPr>
          <w:t>MDM-02: Access Control For Mobile Devices</w:t>
          <w:tab/>
          <w:t>196</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046">
        <w:r>
          <w:rPr>
            <w:webHidden/>
          </w:rPr>
          <w:fldChar w:fldCharType="begin"/>
        </w:r>
        <w:r>
          <w:rPr>
            <w:webHidden/>
          </w:rPr>
          <w:instrText>PAGEREF _Toc34921046 \h</w:instrText>
        </w:r>
        <w:r>
          <w:rPr>
            <w:webHidden/>
          </w:rPr>
          <w:fldChar w:fldCharType="separate"/>
        </w:r>
        <w:r>
          <w:rPr>
            <w:webHidden/>
            <w:rStyle w:val="IndexLink"/>
            <w:vanish w:val="false"/>
          </w:rPr>
          <w:t>MDM-03: Full Device &amp; Container-Based Encryption</w:t>
          <w:tab/>
          <w:t>197</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047">
        <w:r>
          <w:rPr>
            <w:webHidden/>
          </w:rPr>
          <w:fldChar w:fldCharType="begin"/>
        </w:r>
        <w:r>
          <w:rPr>
            <w:webHidden/>
          </w:rPr>
          <w:instrText>PAGEREF _Toc34921047 \h</w:instrText>
        </w:r>
        <w:r>
          <w:rPr>
            <w:webHidden/>
          </w:rPr>
          <w:fldChar w:fldCharType="separate"/>
        </w:r>
        <w:r>
          <w:rPr>
            <w:webHidden/>
            <w:rStyle w:val="IndexLink"/>
            <w:vanish w:val="false"/>
          </w:rPr>
          <w:t>MDM-04: Tamper Protection &amp; Detection</w:t>
          <w:tab/>
          <w:t>197</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048">
        <w:r>
          <w:rPr>
            <w:webHidden/>
          </w:rPr>
          <w:fldChar w:fldCharType="begin"/>
        </w:r>
        <w:r>
          <w:rPr>
            <w:webHidden/>
          </w:rPr>
          <w:instrText>PAGEREF _Toc34921048 \h</w:instrText>
        </w:r>
        <w:r>
          <w:rPr>
            <w:webHidden/>
          </w:rPr>
          <w:fldChar w:fldCharType="separate"/>
        </w:r>
        <w:r>
          <w:rPr>
            <w:webHidden/>
            <w:rStyle w:val="IndexLink"/>
            <w:vanish w:val="false"/>
          </w:rPr>
          <w:t>MDM-05: Remote Purging</w:t>
          <w:tab/>
          <w:t>198</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049">
        <w:r>
          <w:rPr>
            <w:webHidden/>
          </w:rPr>
          <w:fldChar w:fldCharType="begin"/>
        </w:r>
        <w:r>
          <w:rPr>
            <w:webHidden/>
          </w:rPr>
          <w:instrText>PAGEREF _Toc34921049 \h</w:instrText>
        </w:r>
        <w:r>
          <w:rPr>
            <w:webHidden/>
          </w:rPr>
          <w:fldChar w:fldCharType="separate"/>
        </w:r>
        <w:r>
          <w:rPr>
            <w:webHidden/>
            <w:rStyle w:val="IndexLink"/>
            <w:vanish w:val="false"/>
          </w:rPr>
          <w:t>MDM-06: Personally-Owned Mobile Devices</w:t>
          <w:tab/>
          <w:t>198</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050">
        <w:r>
          <w:rPr>
            <w:webHidden/>
          </w:rPr>
          <w:fldChar w:fldCharType="begin"/>
        </w:r>
        <w:r>
          <w:rPr>
            <w:webHidden/>
          </w:rPr>
          <w:instrText>PAGEREF _Toc34921050 \h</w:instrText>
        </w:r>
        <w:r>
          <w:rPr>
            <w:webHidden/>
          </w:rPr>
          <w:fldChar w:fldCharType="separate"/>
        </w:r>
        <w:r>
          <w:rPr>
            <w:webHidden/>
            <w:rStyle w:val="IndexLink"/>
            <w:vanish w:val="false"/>
          </w:rPr>
          <w:t>MDM-07: Organization-Owned Mobile Devices</w:t>
          <w:tab/>
          <w:t>199</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051">
        <w:r>
          <w:rPr>
            <w:webHidden/>
          </w:rPr>
          <w:fldChar w:fldCharType="begin"/>
        </w:r>
        <w:r>
          <w:rPr>
            <w:webHidden/>
          </w:rPr>
          <w:instrText>PAGEREF _Toc34921051 \h</w:instrText>
        </w:r>
        <w:r>
          <w:rPr>
            <w:webHidden/>
          </w:rPr>
          <w:fldChar w:fldCharType="separate"/>
        </w:r>
        <w:r>
          <w:rPr>
            <w:webHidden/>
            <w:rStyle w:val="IndexLink"/>
            <w:vanish w:val="false"/>
          </w:rPr>
          <w:t>MDM-08: Mobile Device Data Retention Limitations</w:t>
          <w:tab/>
          <w:t>199</w:t>
        </w:r>
        <w:r>
          <w:rPr>
            <w:webHidden/>
          </w:rPr>
          <w:fldChar w:fldCharType="end"/>
        </w:r>
      </w:hyperlink>
    </w:p>
    <w:p>
      <w:pPr>
        <w:pStyle w:val="Contents1"/>
        <w:rPr>
          <w:rFonts w:eastAsia="" w:cs="" w:cstheme="minorBidi" w:eastAsiaTheme="minorEastAsia"/>
          <w:b w:val="false"/>
          <w:b w:val="false"/>
          <w:caps w:val="false"/>
          <w:smallCaps w:val="false"/>
          <w:color w:val="auto"/>
          <w:sz w:val="22"/>
          <w:szCs w:val="22"/>
          <w:u w:val="none"/>
        </w:rPr>
      </w:pPr>
      <w:hyperlink w:anchor="_Toc34921052">
        <w:r>
          <w:rPr>
            <w:webHidden/>
          </w:rPr>
          <w:fldChar w:fldCharType="begin"/>
        </w:r>
        <w:r>
          <w:rPr>
            <w:webHidden/>
          </w:rPr>
          <w:instrText>PAGEREF _Toc34921052 \h</w:instrText>
        </w:r>
        <w:r>
          <w:rPr>
            <w:webHidden/>
          </w:rPr>
          <w:fldChar w:fldCharType="separate"/>
        </w:r>
        <w:r>
          <w:rPr>
            <w:webHidden/>
            <w:rStyle w:val="IndexLink"/>
            <w:vanish w:val="false"/>
          </w:rPr>
          <w:t>Network Security (NET) Policy &amp; Standards</w:t>
          <w:tab/>
          <w:t>200</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053">
        <w:r>
          <w:rPr>
            <w:webHidden/>
          </w:rPr>
          <w:fldChar w:fldCharType="begin"/>
        </w:r>
        <w:r>
          <w:rPr>
            <w:webHidden/>
          </w:rPr>
          <w:instrText>PAGEREF _Toc34921053 \h</w:instrText>
        </w:r>
        <w:r>
          <w:rPr>
            <w:webHidden/>
          </w:rPr>
          <w:fldChar w:fldCharType="separate"/>
        </w:r>
        <w:r>
          <w:rPr>
            <w:webHidden/>
            <w:rStyle w:val="IndexLink"/>
            <w:vanish w:val="false"/>
          </w:rPr>
          <w:t>NET-01: Network Security Management</w:t>
          <w:tab/>
          <w:t>200</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054">
        <w:r>
          <w:rPr>
            <w:webHidden/>
          </w:rPr>
          <w:fldChar w:fldCharType="begin"/>
        </w:r>
        <w:r>
          <w:rPr>
            <w:webHidden/>
          </w:rPr>
          <w:instrText>PAGEREF _Toc34921054 \h</w:instrText>
        </w:r>
        <w:r>
          <w:rPr>
            <w:webHidden/>
          </w:rPr>
          <w:fldChar w:fldCharType="separate"/>
        </w:r>
        <w:r>
          <w:rPr>
            <w:webHidden/>
            <w:rStyle w:val="IndexLink"/>
            <w:vanish w:val="false"/>
          </w:rPr>
          <w:t>NET-02: Layered Defenses</w:t>
          <w:tab/>
          <w:t>200</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055">
        <w:r>
          <w:rPr>
            <w:webHidden/>
          </w:rPr>
          <w:fldChar w:fldCharType="begin"/>
        </w:r>
        <w:r>
          <w:rPr>
            <w:webHidden/>
          </w:rPr>
          <w:instrText>PAGEREF _Toc34921055 \h</w:instrText>
        </w:r>
        <w:r>
          <w:rPr>
            <w:webHidden/>
          </w:rPr>
          <w:fldChar w:fldCharType="separate"/>
        </w:r>
        <w:r>
          <w:rPr>
            <w:webHidden/>
            <w:rStyle w:val="IndexLink"/>
            <w:vanish w:val="false"/>
          </w:rPr>
          <w:t>NET-02(a): Layered Defenses | Denial of Service (DoS) Protection</w:t>
          <w:tab/>
          <w:t>200</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056">
        <w:r>
          <w:rPr>
            <w:webHidden/>
          </w:rPr>
          <w:fldChar w:fldCharType="begin"/>
        </w:r>
        <w:r>
          <w:rPr>
            <w:webHidden/>
          </w:rPr>
          <w:instrText>PAGEREF _Toc34921056 \h</w:instrText>
        </w:r>
        <w:r>
          <w:rPr>
            <w:webHidden/>
          </w:rPr>
          <w:fldChar w:fldCharType="separate"/>
        </w:r>
        <w:r>
          <w:rPr>
            <w:webHidden/>
            <w:rStyle w:val="IndexLink"/>
            <w:vanish w:val="false"/>
          </w:rPr>
          <w:t>NET-02(b): Layered Defenses | Guest Networks</w:t>
          <w:tab/>
          <w:t>200</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057">
        <w:r>
          <w:rPr>
            <w:webHidden/>
          </w:rPr>
          <w:fldChar w:fldCharType="begin"/>
        </w:r>
        <w:r>
          <w:rPr>
            <w:webHidden/>
          </w:rPr>
          <w:instrText>PAGEREF _Toc34921057 \h</w:instrText>
        </w:r>
        <w:r>
          <w:rPr>
            <w:webHidden/>
          </w:rPr>
          <w:fldChar w:fldCharType="separate"/>
        </w:r>
        <w:r>
          <w:rPr>
            <w:webHidden/>
            <w:rStyle w:val="IndexLink"/>
            <w:vanish w:val="false"/>
          </w:rPr>
          <w:t>NET-03: Boundary Protection</w:t>
          <w:tab/>
          <w:t>201</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058">
        <w:r>
          <w:rPr>
            <w:webHidden/>
          </w:rPr>
          <w:fldChar w:fldCharType="begin"/>
        </w:r>
        <w:r>
          <w:rPr>
            <w:webHidden/>
          </w:rPr>
          <w:instrText>PAGEREF _Toc34921058 \h</w:instrText>
        </w:r>
        <w:r>
          <w:rPr>
            <w:webHidden/>
          </w:rPr>
          <w:fldChar w:fldCharType="separate"/>
        </w:r>
        <w:r>
          <w:rPr>
            <w:webHidden/>
            <w:rStyle w:val="IndexLink"/>
            <w:vanish w:val="false"/>
          </w:rPr>
          <w:t>NET-03(a): Boundary Protection | Access Points</w:t>
          <w:tab/>
          <w:t>202</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059">
        <w:r>
          <w:rPr>
            <w:webHidden/>
          </w:rPr>
          <w:fldChar w:fldCharType="begin"/>
        </w:r>
        <w:r>
          <w:rPr>
            <w:webHidden/>
          </w:rPr>
          <w:instrText>PAGEREF _Toc34921059 \h</w:instrText>
        </w:r>
        <w:r>
          <w:rPr>
            <w:webHidden/>
          </w:rPr>
          <w:fldChar w:fldCharType="separate"/>
        </w:r>
        <w:r>
          <w:rPr>
            <w:webHidden/>
            <w:rStyle w:val="IndexLink"/>
            <w:vanish w:val="false"/>
          </w:rPr>
          <w:t>NET-03(b): Boundary Protection | External Telecommunications Services</w:t>
          <w:tab/>
          <w:t>202</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060">
        <w:r>
          <w:rPr>
            <w:webHidden/>
          </w:rPr>
          <w:fldChar w:fldCharType="begin"/>
        </w:r>
        <w:r>
          <w:rPr>
            <w:webHidden/>
          </w:rPr>
          <w:instrText>PAGEREF _Toc34921060 \h</w:instrText>
        </w:r>
        <w:r>
          <w:rPr>
            <w:webHidden/>
          </w:rPr>
          <w:fldChar w:fldCharType="separate"/>
        </w:r>
        <w:r>
          <w:rPr>
            <w:webHidden/>
            <w:rStyle w:val="IndexLink"/>
            <w:vanish w:val="false"/>
          </w:rPr>
          <w:t>NET-03(c): Boundary Protection | Prevent Discovery of Internal Information</w:t>
          <w:tab/>
          <w:t>202</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061">
        <w:r>
          <w:rPr>
            <w:webHidden/>
          </w:rPr>
          <w:fldChar w:fldCharType="begin"/>
        </w:r>
        <w:r>
          <w:rPr>
            <w:webHidden/>
          </w:rPr>
          <w:instrText>PAGEREF _Toc34921061 \h</w:instrText>
        </w:r>
        <w:r>
          <w:rPr>
            <w:webHidden/>
          </w:rPr>
          <w:fldChar w:fldCharType="separate"/>
        </w:r>
        <w:r>
          <w:rPr>
            <w:webHidden/>
            <w:rStyle w:val="IndexLink"/>
            <w:vanish w:val="false"/>
          </w:rPr>
          <w:t>NET-03(d): Boundary Protection | Personal Data (PD)</w:t>
          <w:tab/>
          <w:t>202</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062">
        <w:r>
          <w:rPr>
            <w:webHidden/>
          </w:rPr>
          <w:fldChar w:fldCharType="begin"/>
        </w:r>
        <w:r>
          <w:rPr>
            <w:webHidden/>
          </w:rPr>
          <w:instrText>PAGEREF _Toc34921062 \h</w:instrText>
        </w:r>
        <w:r>
          <w:rPr>
            <w:webHidden/>
          </w:rPr>
          <w:fldChar w:fldCharType="separate"/>
        </w:r>
        <w:r>
          <w:rPr>
            <w:webHidden/>
            <w:rStyle w:val="IndexLink"/>
            <w:vanish w:val="false"/>
          </w:rPr>
          <w:t>NET-03(e): Boundary Protection | Prevent Unauthorized Exfiltration</w:t>
          <w:tab/>
          <w:t>203</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063">
        <w:r>
          <w:rPr>
            <w:webHidden/>
          </w:rPr>
          <w:fldChar w:fldCharType="begin"/>
        </w:r>
        <w:r>
          <w:rPr>
            <w:webHidden/>
          </w:rPr>
          <w:instrText>PAGEREF _Toc34921063 \h</w:instrText>
        </w:r>
        <w:r>
          <w:rPr>
            <w:webHidden/>
          </w:rPr>
          <w:fldChar w:fldCharType="separate"/>
        </w:r>
        <w:r>
          <w:rPr>
            <w:webHidden/>
            <w:rStyle w:val="IndexLink"/>
            <w:vanish w:val="false"/>
          </w:rPr>
          <w:t>NET-03(f): Boundary Protection | Dynamic Isolation &amp; Segregation (Sandboxing)</w:t>
          <w:tab/>
          <w:t>203</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064">
        <w:r>
          <w:rPr>
            <w:webHidden/>
          </w:rPr>
          <w:fldChar w:fldCharType="begin"/>
        </w:r>
        <w:r>
          <w:rPr>
            <w:webHidden/>
          </w:rPr>
          <w:instrText>PAGEREF _Toc34921064 \h</w:instrText>
        </w:r>
        <w:r>
          <w:rPr>
            <w:webHidden/>
          </w:rPr>
          <w:fldChar w:fldCharType="separate"/>
        </w:r>
        <w:r>
          <w:rPr>
            <w:webHidden/>
            <w:rStyle w:val="IndexLink"/>
            <w:vanish w:val="false"/>
          </w:rPr>
          <w:t>NET-03(g): Boundary Protection | Isolation of Information System Components (DMZ)</w:t>
          <w:tab/>
          <w:t>203</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065">
        <w:r>
          <w:rPr>
            <w:webHidden/>
          </w:rPr>
          <w:fldChar w:fldCharType="begin"/>
        </w:r>
        <w:r>
          <w:rPr>
            <w:webHidden/>
          </w:rPr>
          <w:instrText>PAGEREF _Toc34921065 \h</w:instrText>
        </w:r>
        <w:r>
          <w:rPr>
            <w:webHidden/>
          </w:rPr>
          <w:fldChar w:fldCharType="separate"/>
        </w:r>
        <w:r>
          <w:rPr>
            <w:webHidden/>
            <w:rStyle w:val="IndexLink"/>
            <w:vanish w:val="false"/>
          </w:rPr>
          <w:t>NET-03(h): Boundary Protection | Separate Subnets for Connecting To Different Security Domains</w:t>
          <w:tab/>
          <w:t>204</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066">
        <w:r>
          <w:rPr>
            <w:webHidden/>
          </w:rPr>
          <w:fldChar w:fldCharType="begin"/>
        </w:r>
        <w:r>
          <w:rPr>
            <w:webHidden/>
          </w:rPr>
          <w:instrText>PAGEREF _Toc34921066 \h</w:instrText>
        </w:r>
        <w:r>
          <w:rPr>
            <w:webHidden/>
          </w:rPr>
          <w:fldChar w:fldCharType="separate"/>
        </w:r>
        <w:r>
          <w:rPr>
            <w:webHidden/>
            <w:rStyle w:val="IndexLink"/>
            <w:vanish w:val="false"/>
          </w:rPr>
          <w:t>NET-04: Data Flow Enforcement – Access Control Lists (ACLs)</w:t>
          <w:tab/>
          <w:t>204</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067">
        <w:r>
          <w:rPr>
            <w:webHidden/>
          </w:rPr>
          <w:fldChar w:fldCharType="begin"/>
        </w:r>
        <w:r>
          <w:rPr>
            <w:webHidden/>
          </w:rPr>
          <w:instrText>PAGEREF _Toc34921067 \h</w:instrText>
        </w:r>
        <w:r>
          <w:rPr>
            <w:webHidden/>
          </w:rPr>
          <w:fldChar w:fldCharType="separate"/>
        </w:r>
        <w:r>
          <w:rPr>
            <w:webHidden/>
            <w:rStyle w:val="IndexLink"/>
            <w:vanish w:val="false"/>
          </w:rPr>
          <w:t>NET-04(a): Data Flow Enforcement | Deny Traffic by Default &amp; Allow Traffic by Exception</w:t>
          <w:tab/>
          <w:t>205</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068">
        <w:r>
          <w:rPr>
            <w:webHidden/>
          </w:rPr>
          <w:fldChar w:fldCharType="begin"/>
        </w:r>
        <w:r>
          <w:rPr>
            <w:webHidden/>
          </w:rPr>
          <w:instrText>PAGEREF _Toc34921068 \h</w:instrText>
        </w:r>
        <w:r>
          <w:rPr>
            <w:webHidden/>
          </w:rPr>
          <w:fldChar w:fldCharType="separate"/>
        </w:r>
        <w:r>
          <w:rPr>
            <w:webHidden/>
            <w:rStyle w:val="IndexLink"/>
            <w:vanish w:val="false"/>
          </w:rPr>
          <w:t>NET-04(b): Data Flow Enforcement | Object Security Attributes</w:t>
          <w:tab/>
          <w:t>205</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069">
        <w:r>
          <w:rPr>
            <w:webHidden/>
          </w:rPr>
          <w:fldChar w:fldCharType="begin"/>
        </w:r>
        <w:r>
          <w:rPr>
            <w:webHidden/>
          </w:rPr>
          <w:instrText>PAGEREF _Toc34921069 \h</w:instrText>
        </w:r>
        <w:r>
          <w:rPr>
            <w:webHidden/>
          </w:rPr>
          <w:fldChar w:fldCharType="separate"/>
        </w:r>
        <w:r>
          <w:rPr>
            <w:webHidden/>
            <w:rStyle w:val="IndexLink"/>
            <w:vanish w:val="false"/>
          </w:rPr>
          <w:t>NET-04(c): Data Flow Enforcement | Content Check For Encrypted Data</w:t>
          <w:tab/>
          <w:t>205</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070">
        <w:r>
          <w:rPr>
            <w:webHidden/>
          </w:rPr>
          <w:fldChar w:fldCharType="begin"/>
        </w:r>
        <w:r>
          <w:rPr>
            <w:webHidden/>
          </w:rPr>
          <w:instrText>PAGEREF _Toc34921070 \h</w:instrText>
        </w:r>
        <w:r>
          <w:rPr>
            <w:webHidden/>
          </w:rPr>
          <w:fldChar w:fldCharType="separate"/>
        </w:r>
        <w:r>
          <w:rPr>
            <w:webHidden/>
            <w:rStyle w:val="IndexLink"/>
            <w:vanish w:val="false"/>
          </w:rPr>
          <w:t>NET-04(d): Data Flow Enforcement | Embedded Data Types</w:t>
          <w:tab/>
          <w:t>205</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071">
        <w:r>
          <w:rPr>
            <w:webHidden/>
          </w:rPr>
          <w:fldChar w:fldCharType="begin"/>
        </w:r>
        <w:r>
          <w:rPr>
            <w:webHidden/>
          </w:rPr>
          <w:instrText>PAGEREF _Toc34921071 \h</w:instrText>
        </w:r>
        <w:r>
          <w:rPr>
            <w:webHidden/>
          </w:rPr>
          <w:fldChar w:fldCharType="separate"/>
        </w:r>
        <w:r>
          <w:rPr>
            <w:webHidden/>
            <w:rStyle w:val="IndexLink"/>
            <w:vanish w:val="false"/>
          </w:rPr>
          <w:t>NET-04(e): Data Flow Enforcement | Metadata</w:t>
          <w:tab/>
          <w:t>205</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072">
        <w:r>
          <w:rPr>
            <w:webHidden/>
          </w:rPr>
          <w:fldChar w:fldCharType="begin"/>
        </w:r>
        <w:r>
          <w:rPr>
            <w:webHidden/>
          </w:rPr>
          <w:instrText>PAGEREF _Toc34921072 \h</w:instrText>
        </w:r>
        <w:r>
          <w:rPr>
            <w:webHidden/>
          </w:rPr>
          <w:fldChar w:fldCharType="separate"/>
        </w:r>
        <w:r>
          <w:rPr>
            <w:webHidden/>
            <w:rStyle w:val="IndexLink"/>
            <w:vanish w:val="false"/>
          </w:rPr>
          <w:t>NET-04(f): Data Flow Enforcement | Human Reviews</w:t>
          <w:tab/>
          <w:t>206</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073">
        <w:r>
          <w:rPr>
            <w:webHidden/>
          </w:rPr>
          <w:fldChar w:fldCharType="begin"/>
        </w:r>
        <w:r>
          <w:rPr>
            <w:webHidden/>
          </w:rPr>
          <w:instrText>PAGEREF _Toc34921073 \h</w:instrText>
        </w:r>
        <w:r>
          <w:rPr>
            <w:webHidden/>
          </w:rPr>
          <w:fldChar w:fldCharType="separate"/>
        </w:r>
        <w:r>
          <w:rPr>
            <w:webHidden/>
            <w:rStyle w:val="IndexLink"/>
            <w:vanish w:val="false"/>
          </w:rPr>
          <w:t>NET-04(g): Data Flow Enforcement | Security Policy Filters</w:t>
          <w:tab/>
          <w:t>206</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074">
        <w:r>
          <w:rPr>
            <w:webHidden/>
          </w:rPr>
          <w:fldChar w:fldCharType="begin"/>
        </w:r>
        <w:r>
          <w:rPr>
            <w:webHidden/>
          </w:rPr>
          <w:instrText>PAGEREF _Toc34921074 \h</w:instrText>
        </w:r>
        <w:r>
          <w:rPr>
            <w:webHidden/>
          </w:rPr>
          <w:fldChar w:fldCharType="separate"/>
        </w:r>
        <w:r>
          <w:rPr>
            <w:webHidden/>
            <w:rStyle w:val="IndexLink"/>
            <w:vanish w:val="false"/>
          </w:rPr>
          <w:t>NET-04(h): Data Flow Enforcement | Data Type Identifiers</w:t>
          <w:tab/>
          <w:t>206</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075">
        <w:r>
          <w:rPr>
            <w:webHidden/>
          </w:rPr>
          <w:fldChar w:fldCharType="begin"/>
        </w:r>
        <w:r>
          <w:rPr>
            <w:webHidden/>
          </w:rPr>
          <w:instrText>PAGEREF _Toc34921075 \h</w:instrText>
        </w:r>
        <w:r>
          <w:rPr>
            <w:webHidden/>
          </w:rPr>
          <w:fldChar w:fldCharType="separate"/>
        </w:r>
        <w:r>
          <w:rPr>
            <w:webHidden/>
            <w:rStyle w:val="IndexLink"/>
            <w:vanish w:val="false"/>
          </w:rPr>
          <w:t>NET-04(i): Data Flow Enforcement | Decomposition Into Policy-Relevant Subcomponents</w:t>
          <w:tab/>
          <w:t>207</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076">
        <w:r>
          <w:rPr>
            <w:webHidden/>
          </w:rPr>
          <w:fldChar w:fldCharType="begin"/>
        </w:r>
        <w:r>
          <w:rPr>
            <w:webHidden/>
          </w:rPr>
          <w:instrText>PAGEREF _Toc34921076 \h</w:instrText>
        </w:r>
        <w:r>
          <w:rPr>
            <w:webHidden/>
          </w:rPr>
          <w:fldChar w:fldCharType="separate"/>
        </w:r>
        <w:r>
          <w:rPr>
            <w:webHidden/>
            <w:rStyle w:val="IndexLink"/>
            <w:vanish w:val="false"/>
          </w:rPr>
          <w:t>NET-04(j): Data Flow Enforcement | Detection of Unsanctioned Information</w:t>
          <w:tab/>
          <w:t>207</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077">
        <w:r>
          <w:rPr>
            <w:webHidden/>
          </w:rPr>
          <w:fldChar w:fldCharType="begin"/>
        </w:r>
        <w:r>
          <w:rPr>
            <w:webHidden/>
          </w:rPr>
          <w:instrText>PAGEREF _Toc34921077 \h</w:instrText>
        </w:r>
        <w:r>
          <w:rPr>
            <w:webHidden/>
          </w:rPr>
          <w:fldChar w:fldCharType="separate"/>
        </w:r>
        <w:r>
          <w:rPr>
            <w:webHidden/>
            <w:rStyle w:val="IndexLink"/>
            <w:vanish w:val="false"/>
          </w:rPr>
          <w:t>NET-04(k): Data Flow Enforcement | Approved Solutions</w:t>
          <w:tab/>
          <w:t>207</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078">
        <w:r>
          <w:rPr>
            <w:webHidden/>
          </w:rPr>
          <w:fldChar w:fldCharType="begin"/>
        </w:r>
        <w:r>
          <w:rPr>
            <w:webHidden/>
          </w:rPr>
          <w:instrText>PAGEREF _Toc34921078 \h</w:instrText>
        </w:r>
        <w:r>
          <w:rPr>
            <w:webHidden/>
          </w:rPr>
          <w:fldChar w:fldCharType="separate"/>
        </w:r>
        <w:r>
          <w:rPr>
            <w:webHidden/>
            <w:rStyle w:val="IndexLink"/>
            <w:vanish w:val="false"/>
          </w:rPr>
          <w:t>NET-05: System Interconnections</w:t>
          <w:tab/>
          <w:t>208</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079">
        <w:r>
          <w:rPr>
            <w:webHidden/>
          </w:rPr>
          <w:fldChar w:fldCharType="begin"/>
        </w:r>
        <w:r>
          <w:rPr>
            <w:webHidden/>
          </w:rPr>
          <w:instrText>PAGEREF _Toc34921079 \h</w:instrText>
        </w:r>
        <w:r>
          <w:rPr>
            <w:webHidden/>
          </w:rPr>
          <w:fldChar w:fldCharType="separate"/>
        </w:r>
        <w:r>
          <w:rPr>
            <w:webHidden/>
            <w:rStyle w:val="IndexLink"/>
            <w:vanish w:val="false"/>
          </w:rPr>
          <w:t>NET-05(a): System Interconnections | External System Connections</w:t>
          <w:tab/>
          <w:t>208</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080">
        <w:r>
          <w:rPr>
            <w:webHidden/>
          </w:rPr>
          <w:fldChar w:fldCharType="begin"/>
        </w:r>
        <w:r>
          <w:rPr>
            <w:webHidden/>
          </w:rPr>
          <w:instrText>PAGEREF _Toc34921080 \h</w:instrText>
        </w:r>
        <w:r>
          <w:rPr>
            <w:webHidden/>
          </w:rPr>
          <w:fldChar w:fldCharType="separate"/>
        </w:r>
        <w:r>
          <w:rPr>
            <w:webHidden/>
            <w:rStyle w:val="IndexLink"/>
            <w:vanish w:val="false"/>
          </w:rPr>
          <w:t>NET-05(b): System Interconnections | Internal System Connections</w:t>
          <w:tab/>
          <w:t>208</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081">
        <w:r>
          <w:rPr>
            <w:webHidden/>
          </w:rPr>
          <w:fldChar w:fldCharType="begin"/>
        </w:r>
        <w:r>
          <w:rPr>
            <w:webHidden/>
          </w:rPr>
          <w:instrText>PAGEREF _Toc34921081 \h</w:instrText>
        </w:r>
        <w:r>
          <w:rPr>
            <w:webHidden/>
          </w:rPr>
          <w:fldChar w:fldCharType="separate"/>
        </w:r>
        <w:r>
          <w:rPr>
            <w:webHidden/>
            <w:rStyle w:val="IndexLink"/>
            <w:vanish w:val="false"/>
          </w:rPr>
          <w:t>NET-06: Network Segmentation</w:t>
          <w:tab/>
          <w:t>209</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082">
        <w:r>
          <w:rPr>
            <w:webHidden/>
          </w:rPr>
          <w:fldChar w:fldCharType="begin"/>
        </w:r>
        <w:r>
          <w:rPr>
            <w:webHidden/>
          </w:rPr>
          <w:instrText>PAGEREF _Toc34921082 \h</w:instrText>
        </w:r>
        <w:r>
          <w:rPr>
            <w:webHidden/>
          </w:rPr>
          <w:fldChar w:fldCharType="separate"/>
        </w:r>
        <w:r>
          <w:rPr>
            <w:webHidden/>
            <w:rStyle w:val="IndexLink"/>
            <w:vanish w:val="false"/>
          </w:rPr>
          <w:t>NET-06(a): Security Function Isolation | Security Management Subnets</w:t>
          <w:tab/>
          <w:t>209</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083">
        <w:r>
          <w:rPr>
            <w:webHidden/>
          </w:rPr>
          <w:fldChar w:fldCharType="begin"/>
        </w:r>
        <w:r>
          <w:rPr>
            <w:webHidden/>
          </w:rPr>
          <w:instrText>PAGEREF _Toc34921083 \h</w:instrText>
        </w:r>
        <w:r>
          <w:rPr>
            <w:webHidden/>
          </w:rPr>
          <w:fldChar w:fldCharType="separate"/>
        </w:r>
        <w:r>
          <w:rPr>
            <w:webHidden/>
            <w:rStyle w:val="IndexLink"/>
            <w:vanish w:val="false"/>
          </w:rPr>
          <w:t>NET-06(b): Security Function Isolation | Virtual Local Area Network (VLAN) Separation</w:t>
          <w:tab/>
          <w:t>209</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084">
        <w:r>
          <w:rPr>
            <w:webHidden/>
          </w:rPr>
          <w:fldChar w:fldCharType="begin"/>
        </w:r>
        <w:r>
          <w:rPr>
            <w:webHidden/>
          </w:rPr>
          <w:instrText>PAGEREF _Toc34921084 \h</w:instrText>
        </w:r>
        <w:r>
          <w:rPr>
            <w:webHidden/>
          </w:rPr>
          <w:fldChar w:fldCharType="separate"/>
        </w:r>
        <w:r>
          <w:rPr>
            <w:webHidden/>
            <w:rStyle w:val="IndexLink"/>
            <w:vanish w:val="false"/>
          </w:rPr>
          <w:t>NET-07: Network Disconnect</w:t>
          <w:tab/>
          <w:t>209</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085">
        <w:r>
          <w:rPr>
            <w:webHidden/>
          </w:rPr>
          <w:fldChar w:fldCharType="begin"/>
        </w:r>
        <w:r>
          <w:rPr>
            <w:webHidden/>
          </w:rPr>
          <w:instrText>PAGEREF _Toc34921085 \h</w:instrText>
        </w:r>
        <w:r>
          <w:rPr>
            <w:webHidden/>
          </w:rPr>
          <w:fldChar w:fldCharType="separate"/>
        </w:r>
        <w:r>
          <w:rPr>
            <w:webHidden/>
            <w:rStyle w:val="IndexLink"/>
            <w:vanish w:val="false"/>
          </w:rPr>
          <w:t>NET-08: Network Intrusion Detection &amp; Prevention Systems (NIDS / NIPS)</w:t>
          <w:tab/>
          <w:t>210</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086">
        <w:r>
          <w:rPr>
            <w:webHidden/>
          </w:rPr>
          <w:fldChar w:fldCharType="begin"/>
        </w:r>
        <w:r>
          <w:rPr>
            <w:webHidden/>
          </w:rPr>
          <w:instrText>PAGEREF _Toc34921086 \h</w:instrText>
        </w:r>
        <w:r>
          <w:rPr>
            <w:webHidden/>
          </w:rPr>
          <w:fldChar w:fldCharType="separate"/>
        </w:r>
        <w:r>
          <w:rPr>
            <w:webHidden/>
            <w:rStyle w:val="IndexLink"/>
            <w:vanish w:val="false"/>
          </w:rPr>
          <w:t>NET-08(a): Network Intrusion Detection &amp; Prevention Systems (NIDS / NIPS) | DMZ Networks</w:t>
          <w:tab/>
          <w:t>210</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087">
        <w:r>
          <w:rPr>
            <w:webHidden/>
          </w:rPr>
          <w:fldChar w:fldCharType="begin"/>
        </w:r>
        <w:r>
          <w:rPr>
            <w:webHidden/>
          </w:rPr>
          <w:instrText>PAGEREF _Toc34921087 \h</w:instrText>
        </w:r>
        <w:r>
          <w:rPr>
            <w:webHidden/>
          </w:rPr>
          <w:fldChar w:fldCharType="separate"/>
        </w:r>
        <w:r>
          <w:rPr>
            <w:webHidden/>
            <w:rStyle w:val="IndexLink"/>
            <w:vanish w:val="false"/>
          </w:rPr>
          <w:t>NET-08(b): Network Intrusion Detection &amp; Prevention Systems (NIDS / NIPS) | Wireless Intrusion Detection / Prevention Systems (WIDS / WIPS)</w:t>
          <w:tab/>
          <w:t>210</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088">
        <w:r>
          <w:rPr>
            <w:webHidden/>
          </w:rPr>
          <w:fldChar w:fldCharType="begin"/>
        </w:r>
        <w:r>
          <w:rPr>
            <w:webHidden/>
          </w:rPr>
          <w:instrText>PAGEREF _Toc34921088 \h</w:instrText>
        </w:r>
        <w:r>
          <w:rPr>
            <w:webHidden/>
          </w:rPr>
          <w:fldChar w:fldCharType="separate"/>
        </w:r>
        <w:r>
          <w:rPr>
            <w:webHidden/>
            <w:rStyle w:val="IndexLink"/>
            <w:vanish w:val="false"/>
          </w:rPr>
          <w:t>NET-09: Session Authenticity</w:t>
          <w:tab/>
          <w:t>210</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089">
        <w:r>
          <w:rPr>
            <w:webHidden/>
          </w:rPr>
          <w:fldChar w:fldCharType="begin"/>
        </w:r>
        <w:r>
          <w:rPr>
            <w:webHidden/>
          </w:rPr>
          <w:instrText>PAGEREF _Toc34921089 \h</w:instrText>
        </w:r>
        <w:r>
          <w:rPr>
            <w:webHidden/>
          </w:rPr>
          <w:fldChar w:fldCharType="separate"/>
        </w:r>
        <w:r>
          <w:rPr>
            <w:webHidden/>
            <w:rStyle w:val="IndexLink"/>
            <w:vanish w:val="false"/>
          </w:rPr>
          <w:t>NET-09(a): Session Authenticity | Invalidate Session Identifiers at Logout</w:t>
          <w:tab/>
          <w:t>211</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090">
        <w:r>
          <w:rPr>
            <w:webHidden/>
          </w:rPr>
          <w:fldChar w:fldCharType="begin"/>
        </w:r>
        <w:r>
          <w:rPr>
            <w:webHidden/>
          </w:rPr>
          <w:instrText>PAGEREF _Toc34921090 \h</w:instrText>
        </w:r>
        <w:r>
          <w:rPr>
            <w:webHidden/>
          </w:rPr>
          <w:fldChar w:fldCharType="separate"/>
        </w:r>
        <w:r>
          <w:rPr>
            <w:webHidden/>
            <w:rStyle w:val="IndexLink"/>
            <w:vanish w:val="false"/>
          </w:rPr>
          <w:t>NET-10: Domain Name Service (DNS) Resolution</w:t>
          <w:tab/>
          <w:t>211</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091">
        <w:r>
          <w:rPr>
            <w:webHidden/>
          </w:rPr>
          <w:fldChar w:fldCharType="begin"/>
        </w:r>
        <w:r>
          <w:rPr>
            <w:webHidden/>
          </w:rPr>
          <w:instrText>PAGEREF _Toc34921091 \h</w:instrText>
        </w:r>
        <w:r>
          <w:rPr>
            <w:webHidden/>
          </w:rPr>
          <w:fldChar w:fldCharType="separate"/>
        </w:r>
        <w:r>
          <w:rPr>
            <w:webHidden/>
            <w:rStyle w:val="IndexLink"/>
            <w:vanish w:val="false"/>
          </w:rPr>
          <w:t>NET-10(a): Domain Name Service (DNS) Resolution | Architecture &amp; Provisioning For Name / Address Resolution Service</w:t>
          <w:tab/>
          <w:t>211</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092">
        <w:r>
          <w:rPr>
            <w:webHidden/>
          </w:rPr>
          <w:fldChar w:fldCharType="begin"/>
        </w:r>
        <w:r>
          <w:rPr>
            <w:webHidden/>
          </w:rPr>
          <w:instrText>PAGEREF _Toc34921092 \h</w:instrText>
        </w:r>
        <w:r>
          <w:rPr>
            <w:webHidden/>
          </w:rPr>
          <w:fldChar w:fldCharType="separate"/>
        </w:r>
        <w:r>
          <w:rPr>
            <w:webHidden/>
            <w:rStyle w:val="IndexLink"/>
            <w:vanish w:val="false"/>
          </w:rPr>
          <w:t>NET-10(b): Domain Name Service (DNS) Resolution | Secure Name / Address Resolution Service (Recursive or Caching Resolver)</w:t>
          <w:tab/>
          <w:t>212</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093">
        <w:r>
          <w:rPr>
            <w:webHidden/>
          </w:rPr>
          <w:fldChar w:fldCharType="begin"/>
        </w:r>
        <w:r>
          <w:rPr>
            <w:webHidden/>
          </w:rPr>
          <w:instrText>PAGEREF _Toc34921093 \h</w:instrText>
        </w:r>
        <w:r>
          <w:rPr>
            <w:webHidden/>
          </w:rPr>
          <w:fldChar w:fldCharType="separate"/>
        </w:r>
        <w:r>
          <w:rPr>
            <w:webHidden/>
            <w:rStyle w:val="IndexLink"/>
            <w:vanish w:val="false"/>
          </w:rPr>
          <w:t>NET-11: Out-of-Band Channels</w:t>
          <w:tab/>
          <w:t>212</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094">
        <w:r>
          <w:rPr>
            <w:webHidden/>
          </w:rPr>
          <w:fldChar w:fldCharType="begin"/>
        </w:r>
        <w:r>
          <w:rPr>
            <w:webHidden/>
          </w:rPr>
          <w:instrText>PAGEREF _Toc34921094 \h</w:instrText>
        </w:r>
        <w:r>
          <w:rPr>
            <w:webHidden/>
          </w:rPr>
          <w:fldChar w:fldCharType="separate"/>
        </w:r>
        <w:r>
          <w:rPr>
            <w:webHidden/>
            <w:rStyle w:val="IndexLink"/>
            <w:vanish w:val="false"/>
          </w:rPr>
          <w:t>NET-12: Safeguarding Data Over Open Networks</w:t>
          <w:tab/>
          <w:t>212</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095">
        <w:r>
          <w:rPr>
            <w:webHidden/>
          </w:rPr>
          <w:fldChar w:fldCharType="begin"/>
        </w:r>
        <w:r>
          <w:rPr>
            <w:webHidden/>
          </w:rPr>
          <w:instrText>PAGEREF _Toc34921095 \h</w:instrText>
        </w:r>
        <w:r>
          <w:rPr>
            <w:webHidden/>
          </w:rPr>
          <w:fldChar w:fldCharType="separate"/>
        </w:r>
        <w:r>
          <w:rPr>
            <w:webHidden/>
            <w:rStyle w:val="IndexLink"/>
            <w:vanish w:val="false"/>
          </w:rPr>
          <w:t>NET-12(a): Safeguarding Date Over Open Networks | Wireless Link Protection</w:t>
          <w:tab/>
          <w:t>212</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096">
        <w:r>
          <w:rPr>
            <w:webHidden/>
          </w:rPr>
          <w:fldChar w:fldCharType="begin"/>
        </w:r>
        <w:r>
          <w:rPr>
            <w:webHidden/>
          </w:rPr>
          <w:instrText>PAGEREF _Toc34921096 \h</w:instrText>
        </w:r>
        <w:r>
          <w:rPr>
            <w:webHidden/>
          </w:rPr>
          <w:fldChar w:fldCharType="separate"/>
        </w:r>
        <w:r>
          <w:rPr>
            <w:webHidden/>
            <w:rStyle w:val="IndexLink"/>
            <w:vanish w:val="false"/>
          </w:rPr>
          <w:t>NET-12(b): Safeguarding Date Over Open Networks | End-User Messaging Technologies</w:t>
          <w:tab/>
          <w:t>213</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097">
        <w:r>
          <w:rPr>
            <w:webHidden/>
          </w:rPr>
          <w:fldChar w:fldCharType="begin"/>
        </w:r>
        <w:r>
          <w:rPr>
            <w:webHidden/>
          </w:rPr>
          <w:instrText>PAGEREF _Toc34921097 \h</w:instrText>
        </w:r>
        <w:r>
          <w:rPr>
            <w:webHidden/>
          </w:rPr>
          <w:fldChar w:fldCharType="separate"/>
        </w:r>
        <w:r>
          <w:rPr>
            <w:webHidden/>
            <w:rStyle w:val="IndexLink"/>
            <w:vanish w:val="false"/>
          </w:rPr>
          <w:t>NET-13: Electronic Messaging</w:t>
          <w:tab/>
          <w:t>213</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098">
        <w:r>
          <w:rPr>
            <w:webHidden/>
          </w:rPr>
          <w:fldChar w:fldCharType="begin"/>
        </w:r>
        <w:r>
          <w:rPr>
            <w:webHidden/>
          </w:rPr>
          <w:instrText>PAGEREF _Toc34921098 \h</w:instrText>
        </w:r>
        <w:r>
          <w:rPr>
            <w:webHidden/>
          </w:rPr>
          <w:fldChar w:fldCharType="separate"/>
        </w:r>
        <w:r>
          <w:rPr>
            <w:webHidden/>
            <w:rStyle w:val="IndexLink"/>
            <w:vanish w:val="false"/>
          </w:rPr>
          <w:t>NET-14: Remote Access</w:t>
          <w:tab/>
          <w:t>213</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099">
        <w:r>
          <w:rPr>
            <w:webHidden/>
          </w:rPr>
          <w:fldChar w:fldCharType="begin"/>
        </w:r>
        <w:r>
          <w:rPr>
            <w:webHidden/>
          </w:rPr>
          <w:instrText>PAGEREF _Toc34921099 \h</w:instrText>
        </w:r>
        <w:r>
          <w:rPr>
            <w:webHidden/>
          </w:rPr>
          <w:fldChar w:fldCharType="separate"/>
        </w:r>
        <w:r>
          <w:rPr>
            <w:webHidden/>
            <w:rStyle w:val="IndexLink"/>
            <w:vanish w:val="false"/>
          </w:rPr>
          <w:t>NET-14(a): Remote Access | Automated Monitoring &amp; Control</w:t>
          <w:tab/>
          <w:t>214</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100">
        <w:r>
          <w:rPr>
            <w:webHidden/>
          </w:rPr>
          <w:fldChar w:fldCharType="begin"/>
        </w:r>
        <w:r>
          <w:rPr>
            <w:webHidden/>
          </w:rPr>
          <w:instrText>PAGEREF _Toc34921100 \h</w:instrText>
        </w:r>
        <w:r>
          <w:rPr>
            <w:webHidden/>
          </w:rPr>
          <w:fldChar w:fldCharType="separate"/>
        </w:r>
        <w:r>
          <w:rPr>
            <w:webHidden/>
            <w:rStyle w:val="IndexLink"/>
            <w:vanish w:val="false"/>
          </w:rPr>
          <w:t>NET-14(b): Remote Access | Protection of Confidentiality / Integrity Using Encryption</w:t>
          <w:tab/>
          <w:t>214</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101">
        <w:r>
          <w:rPr>
            <w:webHidden/>
          </w:rPr>
          <w:fldChar w:fldCharType="begin"/>
        </w:r>
        <w:r>
          <w:rPr>
            <w:webHidden/>
          </w:rPr>
          <w:instrText>PAGEREF _Toc34921101 \h</w:instrText>
        </w:r>
        <w:r>
          <w:rPr>
            <w:webHidden/>
          </w:rPr>
          <w:fldChar w:fldCharType="separate"/>
        </w:r>
        <w:r>
          <w:rPr>
            <w:webHidden/>
            <w:rStyle w:val="IndexLink"/>
            <w:vanish w:val="false"/>
          </w:rPr>
          <w:t>NET-14(c): Remote Access | Managed Access Control Points</w:t>
          <w:tab/>
          <w:t>214</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102">
        <w:r>
          <w:rPr>
            <w:webHidden/>
          </w:rPr>
          <w:fldChar w:fldCharType="begin"/>
        </w:r>
        <w:r>
          <w:rPr>
            <w:webHidden/>
          </w:rPr>
          <w:instrText>PAGEREF _Toc34921102 \h</w:instrText>
        </w:r>
        <w:r>
          <w:rPr>
            <w:webHidden/>
          </w:rPr>
          <w:fldChar w:fldCharType="separate"/>
        </w:r>
        <w:r>
          <w:rPr>
            <w:webHidden/>
            <w:rStyle w:val="IndexLink"/>
            <w:vanish w:val="false"/>
          </w:rPr>
          <w:t>NET-14(d): Remote Access | Privileged Commands &amp; Access</w:t>
          <w:tab/>
          <w:t>214</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103">
        <w:r>
          <w:rPr>
            <w:webHidden/>
          </w:rPr>
          <w:fldChar w:fldCharType="begin"/>
        </w:r>
        <w:r>
          <w:rPr>
            <w:webHidden/>
          </w:rPr>
          <w:instrText>PAGEREF _Toc34921103 \h</w:instrText>
        </w:r>
        <w:r>
          <w:rPr>
            <w:webHidden/>
          </w:rPr>
          <w:fldChar w:fldCharType="separate"/>
        </w:r>
        <w:r>
          <w:rPr>
            <w:webHidden/>
            <w:rStyle w:val="IndexLink"/>
            <w:vanish w:val="false"/>
          </w:rPr>
          <w:t>NET-14(e): Remote Access | Telecommuting</w:t>
          <w:tab/>
          <w:t>215</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104">
        <w:r>
          <w:rPr>
            <w:webHidden/>
          </w:rPr>
          <w:fldChar w:fldCharType="begin"/>
        </w:r>
        <w:r>
          <w:rPr>
            <w:webHidden/>
          </w:rPr>
          <w:instrText>PAGEREF _Toc34921104 \h</w:instrText>
        </w:r>
        <w:r>
          <w:rPr>
            <w:webHidden/>
          </w:rPr>
          <w:fldChar w:fldCharType="separate"/>
        </w:r>
        <w:r>
          <w:rPr>
            <w:webHidden/>
            <w:rStyle w:val="IndexLink"/>
            <w:vanish w:val="false"/>
          </w:rPr>
          <w:t>NET-14(f): Remote Access | Third-Party Remote Access Governance</w:t>
          <w:tab/>
          <w:t>215</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105">
        <w:r>
          <w:rPr>
            <w:webHidden/>
          </w:rPr>
          <w:fldChar w:fldCharType="begin"/>
        </w:r>
        <w:r>
          <w:rPr>
            <w:webHidden/>
          </w:rPr>
          <w:instrText>PAGEREF _Toc34921105 \h</w:instrText>
        </w:r>
        <w:r>
          <w:rPr>
            <w:webHidden/>
          </w:rPr>
          <w:fldChar w:fldCharType="separate"/>
        </w:r>
        <w:r>
          <w:rPr>
            <w:webHidden/>
            <w:rStyle w:val="IndexLink"/>
            <w:vanish w:val="false"/>
          </w:rPr>
          <w:t>NET-14(g): Remote Access | Endpoint Security Validation</w:t>
          <w:tab/>
          <w:t>215</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106">
        <w:r>
          <w:rPr>
            <w:webHidden/>
          </w:rPr>
          <w:fldChar w:fldCharType="begin"/>
        </w:r>
        <w:r>
          <w:rPr>
            <w:webHidden/>
          </w:rPr>
          <w:instrText>PAGEREF _Toc34921106 \h</w:instrText>
        </w:r>
        <w:r>
          <w:rPr>
            <w:webHidden/>
          </w:rPr>
          <w:fldChar w:fldCharType="separate"/>
        </w:r>
        <w:r>
          <w:rPr>
            <w:webHidden/>
            <w:rStyle w:val="IndexLink"/>
            <w:vanish w:val="false"/>
          </w:rPr>
          <w:t>NET-14(h): Remote Access | Expeditious Disconnect / Disable Capability</w:t>
          <w:tab/>
          <w:t>215</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107">
        <w:r>
          <w:rPr>
            <w:webHidden/>
          </w:rPr>
          <w:fldChar w:fldCharType="begin"/>
        </w:r>
        <w:r>
          <w:rPr>
            <w:webHidden/>
          </w:rPr>
          <w:instrText>PAGEREF _Toc34921107 \h</w:instrText>
        </w:r>
        <w:r>
          <w:rPr>
            <w:webHidden/>
          </w:rPr>
          <w:fldChar w:fldCharType="separate"/>
        </w:r>
        <w:r>
          <w:rPr>
            <w:webHidden/>
            <w:rStyle w:val="IndexLink"/>
            <w:vanish w:val="false"/>
          </w:rPr>
          <w:t>NET-15: Wireless Networking</w:t>
          <w:tab/>
          <w:t>215</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108">
        <w:r>
          <w:rPr>
            <w:webHidden/>
          </w:rPr>
          <w:fldChar w:fldCharType="begin"/>
        </w:r>
        <w:r>
          <w:rPr>
            <w:webHidden/>
          </w:rPr>
          <w:instrText>PAGEREF _Toc34921108 \h</w:instrText>
        </w:r>
        <w:r>
          <w:rPr>
            <w:webHidden/>
          </w:rPr>
          <w:fldChar w:fldCharType="separate"/>
        </w:r>
        <w:r>
          <w:rPr>
            <w:webHidden/>
            <w:rStyle w:val="IndexLink"/>
            <w:vanish w:val="false"/>
          </w:rPr>
          <w:t>NET-15(a): Wireless Access | Authentication &amp; Encryption</w:t>
          <w:tab/>
          <w:t>216</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109">
        <w:r>
          <w:rPr>
            <w:webHidden/>
          </w:rPr>
          <w:fldChar w:fldCharType="begin"/>
        </w:r>
        <w:r>
          <w:rPr>
            <w:webHidden/>
          </w:rPr>
          <w:instrText>PAGEREF _Toc34921109 \h</w:instrText>
        </w:r>
        <w:r>
          <w:rPr>
            <w:webHidden/>
          </w:rPr>
          <w:fldChar w:fldCharType="separate"/>
        </w:r>
        <w:r>
          <w:rPr>
            <w:webHidden/>
            <w:rStyle w:val="IndexLink"/>
            <w:vanish w:val="false"/>
          </w:rPr>
          <w:t>NET-15(b): Wireless Access | Disable Wireless Networking</w:t>
          <w:tab/>
          <w:t>216</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110">
        <w:r>
          <w:rPr>
            <w:webHidden/>
          </w:rPr>
          <w:fldChar w:fldCharType="begin"/>
        </w:r>
        <w:r>
          <w:rPr>
            <w:webHidden/>
          </w:rPr>
          <w:instrText>PAGEREF _Toc34921110 \h</w:instrText>
        </w:r>
        <w:r>
          <w:rPr>
            <w:webHidden/>
          </w:rPr>
          <w:fldChar w:fldCharType="separate"/>
        </w:r>
        <w:r>
          <w:rPr>
            <w:webHidden/>
            <w:rStyle w:val="IndexLink"/>
            <w:vanish w:val="false"/>
          </w:rPr>
          <w:t>NET-15(c): Wireless Access | Restrict Configuration By Users</w:t>
          <w:tab/>
          <w:t>216</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111">
        <w:r>
          <w:rPr>
            <w:webHidden/>
          </w:rPr>
          <w:fldChar w:fldCharType="begin"/>
        </w:r>
        <w:r>
          <w:rPr>
            <w:webHidden/>
          </w:rPr>
          <w:instrText>PAGEREF _Toc34921111 \h</w:instrText>
        </w:r>
        <w:r>
          <w:rPr>
            <w:webHidden/>
          </w:rPr>
          <w:fldChar w:fldCharType="separate"/>
        </w:r>
        <w:r>
          <w:rPr>
            <w:webHidden/>
            <w:rStyle w:val="IndexLink"/>
            <w:vanish w:val="false"/>
          </w:rPr>
          <w:t>NET-15(d): Wireless Access | Wireless Boundaries</w:t>
          <w:tab/>
          <w:t>216</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112">
        <w:r>
          <w:rPr>
            <w:webHidden/>
          </w:rPr>
          <w:fldChar w:fldCharType="begin"/>
        </w:r>
        <w:r>
          <w:rPr>
            <w:webHidden/>
          </w:rPr>
          <w:instrText>PAGEREF _Toc34921112 \h</w:instrText>
        </w:r>
        <w:r>
          <w:rPr>
            <w:webHidden/>
          </w:rPr>
          <w:fldChar w:fldCharType="separate"/>
        </w:r>
        <w:r>
          <w:rPr>
            <w:webHidden/>
            <w:rStyle w:val="IndexLink"/>
            <w:vanish w:val="false"/>
          </w:rPr>
          <w:t>NET-15(e): Wireless Access | Rogue Wireless Detection</w:t>
          <w:tab/>
          <w:t>217</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113">
        <w:r>
          <w:rPr>
            <w:webHidden/>
          </w:rPr>
          <w:fldChar w:fldCharType="begin"/>
        </w:r>
        <w:r>
          <w:rPr>
            <w:webHidden/>
          </w:rPr>
          <w:instrText>PAGEREF _Toc34921113 \h</w:instrText>
        </w:r>
        <w:r>
          <w:rPr>
            <w:webHidden/>
          </w:rPr>
          <w:fldChar w:fldCharType="separate"/>
        </w:r>
        <w:r>
          <w:rPr>
            <w:webHidden/>
            <w:rStyle w:val="IndexLink"/>
            <w:vanish w:val="false"/>
          </w:rPr>
          <w:t>NET-16: Intranets</w:t>
          <w:tab/>
          <w:t>217</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114">
        <w:r>
          <w:rPr>
            <w:webHidden/>
          </w:rPr>
          <w:fldChar w:fldCharType="begin"/>
        </w:r>
        <w:r>
          <w:rPr>
            <w:webHidden/>
          </w:rPr>
          <w:instrText>PAGEREF _Toc34921114 \h</w:instrText>
        </w:r>
        <w:r>
          <w:rPr>
            <w:webHidden/>
          </w:rPr>
          <w:fldChar w:fldCharType="separate"/>
        </w:r>
        <w:r>
          <w:rPr>
            <w:webHidden/>
            <w:rStyle w:val="IndexLink"/>
            <w:vanish w:val="false"/>
          </w:rPr>
          <w:t>NET-17: Data Loss Prevention (DLP)</w:t>
          <w:tab/>
          <w:t>217</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115">
        <w:r>
          <w:rPr>
            <w:webHidden/>
          </w:rPr>
          <w:fldChar w:fldCharType="begin"/>
        </w:r>
        <w:r>
          <w:rPr>
            <w:webHidden/>
          </w:rPr>
          <w:instrText>PAGEREF _Toc34921115 \h</w:instrText>
        </w:r>
        <w:r>
          <w:rPr>
            <w:webHidden/>
          </w:rPr>
          <w:fldChar w:fldCharType="separate"/>
        </w:r>
        <w:r>
          <w:rPr>
            <w:webHidden/>
            <w:rStyle w:val="IndexLink"/>
            <w:vanish w:val="false"/>
          </w:rPr>
          <w:t>NET-18: Content Filtering</w:t>
          <w:tab/>
          <w:t>218</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116">
        <w:r>
          <w:rPr>
            <w:webHidden/>
          </w:rPr>
          <w:fldChar w:fldCharType="begin"/>
        </w:r>
        <w:r>
          <w:rPr>
            <w:webHidden/>
          </w:rPr>
          <w:instrText>PAGEREF _Toc34921116 \h</w:instrText>
        </w:r>
        <w:r>
          <w:rPr>
            <w:webHidden/>
          </w:rPr>
          <w:fldChar w:fldCharType="separate"/>
        </w:r>
        <w:r>
          <w:rPr>
            <w:webHidden/>
            <w:rStyle w:val="IndexLink"/>
            <w:vanish w:val="false"/>
          </w:rPr>
          <w:t>NET-18(a): Content Filtering | Route Traffic To Proxy Servers</w:t>
          <w:tab/>
          <w:t>218</w:t>
        </w:r>
        <w:r>
          <w:rPr>
            <w:webHidden/>
          </w:rPr>
          <w:fldChar w:fldCharType="end"/>
        </w:r>
      </w:hyperlink>
    </w:p>
    <w:p>
      <w:pPr>
        <w:pStyle w:val="Contents1"/>
        <w:rPr>
          <w:rFonts w:eastAsia="" w:cs="" w:cstheme="minorBidi" w:eastAsiaTheme="minorEastAsia"/>
          <w:b w:val="false"/>
          <w:b w:val="false"/>
          <w:caps w:val="false"/>
          <w:smallCaps w:val="false"/>
          <w:color w:val="auto"/>
          <w:sz w:val="22"/>
          <w:szCs w:val="22"/>
          <w:u w:val="none"/>
        </w:rPr>
      </w:pPr>
      <w:hyperlink w:anchor="_Toc34921117">
        <w:r>
          <w:rPr>
            <w:webHidden/>
          </w:rPr>
          <w:fldChar w:fldCharType="begin"/>
        </w:r>
        <w:r>
          <w:rPr>
            <w:webHidden/>
          </w:rPr>
          <w:instrText>PAGEREF _Toc34921117 \h</w:instrText>
        </w:r>
        <w:r>
          <w:rPr>
            <w:webHidden/>
          </w:rPr>
          <w:fldChar w:fldCharType="separate"/>
        </w:r>
        <w:r>
          <w:rPr>
            <w:webHidden/>
            <w:rStyle w:val="IndexLink"/>
            <w:vanish w:val="false"/>
          </w:rPr>
          <w:t>Physical &amp; Environmental Security (PES) Policy &amp; Standards</w:t>
          <w:tab/>
          <w:t>219</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118">
        <w:r>
          <w:rPr>
            <w:webHidden/>
          </w:rPr>
          <w:fldChar w:fldCharType="begin"/>
        </w:r>
        <w:r>
          <w:rPr>
            <w:webHidden/>
          </w:rPr>
          <w:instrText>PAGEREF _Toc34921118 \h</w:instrText>
        </w:r>
        <w:r>
          <w:rPr>
            <w:webHidden/>
          </w:rPr>
          <w:fldChar w:fldCharType="separate"/>
        </w:r>
        <w:r>
          <w:rPr>
            <w:webHidden/>
            <w:rStyle w:val="IndexLink"/>
            <w:vanish w:val="false"/>
          </w:rPr>
          <w:t>PES-01: Physical &amp; Environmental Protections</w:t>
          <w:tab/>
          <w:t>219</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119">
        <w:r>
          <w:rPr>
            <w:webHidden/>
          </w:rPr>
          <w:fldChar w:fldCharType="begin"/>
        </w:r>
        <w:r>
          <w:rPr>
            <w:webHidden/>
          </w:rPr>
          <w:instrText>PAGEREF _Toc34921119 \h</w:instrText>
        </w:r>
        <w:r>
          <w:rPr>
            <w:webHidden/>
          </w:rPr>
          <w:fldChar w:fldCharType="separate"/>
        </w:r>
        <w:r>
          <w:rPr>
            <w:webHidden/>
            <w:rStyle w:val="IndexLink"/>
            <w:vanish w:val="false"/>
          </w:rPr>
          <w:t>PES-02: Physical Access Authorizations</w:t>
          <w:tab/>
          <w:t>219</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120">
        <w:r>
          <w:rPr>
            <w:webHidden/>
          </w:rPr>
          <w:fldChar w:fldCharType="begin"/>
        </w:r>
        <w:r>
          <w:rPr>
            <w:webHidden/>
          </w:rPr>
          <w:instrText>PAGEREF _Toc34921120 \h</w:instrText>
        </w:r>
        <w:r>
          <w:rPr>
            <w:webHidden/>
          </w:rPr>
          <w:fldChar w:fldCharType="separate"/>
        </w:r>
        <w:r>
          <w:rPr>
            <w:webHidden/>
            <w:rStyle w:val="IndexLink"/>
            <w:vanish w:val="false"/>
          </w:rPr>
          <w:t>PES-02(a): Physical Access Authorizations | Role-Based Physical Access</w:t>
          <w:tab/>
          <w:t>219</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121">
        <w:r>
          <w:rPr>
            <w:webHidden/>
          </w:rPr>
          <w:fldChar w:fldCharType="begin"/>
        </w:r>
        <w:r>
          <w:rPr>
            <w:webHidden/>
          </w:rPr>
          <w:instrText>PAGEREF _Toc34921121 \h</w:instrText>
        </w:r>
        <w:r>
          <w:rPr>
            <w:webHidden/>
          </w:rPr>
          <w:fldChar w:fldCharType="separate"/>
        </w:r>
        <w:r>
          <w:rPr>
            <w:webHidden/>
            <w:rStyle w:val="IndexLink"/>
            <w:vanish w:val="false"/>
          </w:rPr>
          <w:t>PES-03: Physical Access Control</w:t>
          <w:tab/>
          <w:t>220</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122">
        <w:r>
          <w:rPr>
            <w:webHidden/>
          </w:rPr>
          <w:fldChar w:fldCharType="begin"/>
        </w:r>
        <w:r>
          <w:rPr>
            <w:webHidden/>
          </w:rPr>
          <w:instrText>PAGEREF _Toc34921122 \h</w:instrText>
        </w:r>
        <w:r>
          <w:rPr>
            <w:webHidden/>
          </w:rPr>
          <w:fldChar w:fldCharType="separate"/>
        </w:r>
        <w:r>
          <w:rPr>
            <w:webHidden/>
            <w:rStyle w:val="IndexLink"/>
            <w:vanish w:val="false"/>
          </w:rPr>
          <w:t>PES-03(a): Physical Access Control | Controlled Ingress &amp; Egress Points</w:t>
          <w:tab/>
          <w:t>220</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123">
        <w:r>
          <w:rPr>
            <w:webHidden/>
          </w:rPr>
          <w:fldChar w:fldCharType="begin"/>
        </w:r>
        <w:r>
          <w:rPr>
            <w:webHidden/>
          </w:rPr>
          <w:instrText>PAGEREF _Toc34921123 \h</w:instrText>
        </w:r>
        <w:r>
          <w:rPr>
            <w:webHidden/>
          </w:rPr>
          <w:fldChar w:fldCharType="separate"/>
        </w:r>
        <w:r>
          <w:rPr>
            <w:webHidden/>
            <w:rStyle w:val="IndexLink"/>
            <w:vanish w:val="false"/>
          </w:rPr>
          <w:t>PES-03(b): Physical Access Control | Lockable Physical Casings</w:t>
          <w:tab/>
          <w:t>221</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124">
        <w:r>
          <w:rPr>
            <w:webHidden/>
          </w:rPr>
          <w:fldChar w:fldCharType="begin"/>
        </w:r>
        <w:r>
          <w:rPr>
            <w:webHidden/>
          </w:rPr>
          <w:instrText>PAGEREF _Toc34921124 \h</w:instrText>
        </w:r>
        <w:r>
          <w:rPr>
            <w:webHidden/>
          </w:rPr>
          <w:fldChar w:fldCharType="separate"/>
        </w:r>
        <w:r>
          <w:rPr>
            <w:webHidden/>
            <w:rStyle w:val="IndexLink"/>
            <w:vanish w:val="false"/>
          </w:rPr>
          <w:t>PES-03(c): Physical Access Control | Physical Access Logs</w:t>
          <w:tab/>
          <w:t>221</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125">
        <w:r>
          <w:rPr>
            <w:webHidden/>
          </w:rPr>
          <w:fldChar w:fldCharType="begin"/>
        </w:r>
        <w:r>
          <w:rPr>
            <w:webHidden/>
          </w:rPr>
          <w:instrText>PAGEREF _Toc34921125 \h</w:instrText>
        </w:r>
        <w:r>
          <w:rPr>
            <w:webHidden/>
          </w:rPr>
          <w:fldChar w:fldCharType="separate"/>
        </w:r>
        <w:r>
          <w:rPr>
            <w:webHidden/>
            <w:rStyle w:val="IndexLink"/>
            <w:vanish w:val="false"/>
          </w:rPr>
          <w:t>PES-03(d): Physical Access Control | Access To Information Systems</w:t>
          <w:tab/>
          <w:t>221</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126">
        <w:r>
          <w:rPr>
            <w:webHidden/>
          </w:rPr>
          <w:fldChar w:fldCharType="begin"/>
        </w:r>
        <w:r>
          <w:rPr>
            <w:webHidden/>
          </w:rPr>
          <w:instrText>PAGEREF _Toc34921126 \h</w:instrText>
        </w:r>
        <w:r>
          <w:rPr>
            <w:webHidden/>
          </w:rPr>
          <w:fldChar w:fldCharType="separate"/>
        </w:r>
        <w:r>
          <w:rPr>
            <w:webHidden/>
            <w:rStyle w:val="IndexLink"/>
            <w:vanish w:val="false"/>
          </w:rPr>
          <w:t>PES-04: Physical Security of Offices, Rooms &amp; Facilities</w:t>
          <w:tab/>
          <w:t>222</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127">
        <w:r>
          <w:rPr>
            <w:webHidden/>
          </w:rPr>
          <w:fldChar w:fldCharType="begin"/>
        </w:r>
        <w:r>
          <w:rPr>
            <w:webHidden/>
          </w:rPr>
          <w:instrText>PAGEREF _Toc34921127 \h</w:instrText>
        </w:r>
        <w:r>
          <w:rPr>
            <w:webHidden/>
          </w:rPr>
          <w:fldChar w:fldCharType="separate"/>
        </w:r>
        <w:r>
          <w:rPr>
            <w:webHidden/>
            <w:rStyle w:val="IndexLink"/>
            <w:vanish w:val="false"/>
          </w:rPr>
          <w:t>PES-04(a): Physical Security of Offices, Rooms &amp; Facilities | Working in Secure Areas</w:t>
          <w:tab/>
          <w:t>222</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128">
        <w:r>
          <w:rPr>
            <w:webHidden/>
          </w:rPr>
          <w:fldChar w:fldCharType="begin"/>
        </w:r>
        <w:r>
          <w:rPr>
            <w:webHidden/>
          </w:rPr>
          <w:instrText>PAGEREF _Toc34921128 \h</w:instrText>
        </w:r>
        <w:r>
          <w:rPr>
            <w:webHidden/>
          </w:rPr>
          <w:fldChar w:fldCharType="separate"/>
        </w:r>
        <w:r>
          <w:rPr>
            <w:webHidden/>
            <w:rStyle w:val="IndexLink"/>
            <w:vanish w:val="false"/>
          </w:rPr>
          <w:t>PES-05: Monitoring Physical Access</w:t>
          <w:tab/>
          <w:t>222</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129">
        <w:r>
          <w:rPr>
            <w:webHidden/>
          </w:rPr>
          <w:fldChar w:fldCharType="begin"/>
        </w:r>
        <w:r>
          <w:rPr>
            <w:webHidden/>
          </w:rPr>
          <w:instrText>PAGEREF _Toc34921129 \h</w:instrText>
        </w:r>
        <w:r>
          <w:rPr>
            <w:webHidden/>
          </w:rPr>
          <w:fldChar w:fldCharType="separate"/>
        </w:r>
        <w:r>
          <w:rPr>
            <w:webHidden/>
            <w:rStyle w:val="IndexLink"/>
            <w:vanish w:val="false"/>
          </w:rPr>
          <w:t>PES-05(a): Monitoring Physical Access | Intrusion Alarms / Surveillance Equipment</w:t>
          <w:tab/>
          <w:t>223</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130">
        <w:r>
          <w:rPr>
            <w:webHidden/>
          </w:rPr>
          <w:fldChar w:fldCharType="begin"/>
        </w:r>
        <w:r>
          <w:rPr>
            <w:webHidden/>
          </w:rPr>
          <w:instrText>PAGEREF _Toc34921130 \h</w:instrText>
        </w:r>
        <w:r>
          <w:rPr>
            <w:webHidden/>
          </w:rPr>
          <w:fldChar w:fldCharType="separate"/>
        </w:r>
        <w:r>
          <w:rPr>
            <w:webHidden/>
            <w:rStyle w:val="IndexLink"/>
            <w:vanish w:val="false"/>
          </w:rPr>
          <w:t>PES-05(b): Monitoring Physical Access | Monitoring Physical Access to Information Systems</w:t>
          <w:tab/>
          <w:t>223</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131">
        <w:r>
          <w:rPr>
            <w:webHidden/>
          </w:rPr>
          <w:fldChar w:fldCharType="begin"/>
        </w:r>
        <w:r>
          <w:rPr>
            <w:webHidden/>
          </w:rPr>
          <w:instrText>PAGEREF _Toc34921131 \h</w:instrText>
        </w:r>
        <w:r>
          <w:rPr>
            <w:webHidden/>
          </w:rPr>
          <w:fldChar w:fldCharType="separate"/>
        </w:r>
        <w:r>
          <w:rPr>
            <w:webHidden/>
            <w:rStyle w:val="IndexLink"/>
            <w:vanish w:val="false"/>
          </w:rPr>
          <w:t>PES-06: Visitor Control</w:t>
          <w:tab/>
          <w:t>223</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132">
        <w:r>
          <w:rPr>
            <w:webHidden/>
          </w:rPr>
          <w:fldChar w:fldCharType="begin"/>
        </w:r>
        <w:r>
          <w:rPr>
            <w:webHidden/>
          </w:rPr>
          <w:instrText>PAGEREF _Toc34921132 \h</w:instrText>
        </w:r>
        <w:r>
          <w:rPr>
            <w:webHidden/>
          </w:rPr>
          <w:fldChar w:fldCharType="separate"/>
        </w:r>
        <w:r>
          <w:rPr>
            <w:webHidden/>
            <w:rStyle w:val="IndexLink"/>
            <w:vanish w:val="false"/>
          </w:rPr>
          <w:t>PES-06(a): Visitor Control | Distinguish Visitors from On-Site Personnel</w:t>
          <w:tab/>
          <w:t>224</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133">
        <w:r>
          <w:rPr>
            <w:webHidden/>
          </w:rPr>
          <w:fldChar w:fldCharType="begin"/>
        </w:r>
        <w:r>
          <w:rPr>
            <w:webHidden/>
          </w:rPr>
          <w:instrText>PAGEREF _Toc34921133 \h</w:instrText>
        </w:r>
        <w:r>
          <w:rPr>
            <w:webHidden/>
          </w:rPr>
          <w:fldChar w:fldCharType="separate"/>
        </w:r>
        <w:r>
          <w:rPr>
            <w:webHidden/>
            <w:rStyle w:val="IndexLink"/>
            <w:vanish w:val="false"/>
          </w:rPr>
          <w:t>PES-06(b): Visitor Control | Identification Requirement</w:t>
          <w:tab/>
          <w:t>224</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134">
        <w:r>
          <w:rPr>
            <w:webHidden/>
          </w:rPr>
          <w:fldChar w:fldCharType="begin"/>
        </w:r>
        <w:r>
          <w:rPr>
            <w:webHidden/>
          </w:rPr>
          <w:instrText>PAGEREF _Toc34921134 \h</w:instrText>
        </w:r>
        <w:r>
          <w:rPr>
            <w:webHidden/>
          </w:rPr>
          <w:fldChar w:fldCharType="separate"/>
        </w:r>
        <w:r>
          <w:rPr>
            <w:webHidden/>
            <w:rStyle w:val="IndexLink"/>
            <w:vanish w:val="false"/>
          </w:rPr>
          <w:t>PES-06(c): Visitor Control | Restrict Unescorted Access</w:t>
          <w:tab/>
          <w:t>224</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135">
        <w:r>
          <w:rPr>
            <w:webHidden/>
          </w:rPr>
          <w:fldChar w:fldCharType="begin"/>
        </w:r>
        <w:r>
          <w:rPr>
            <w:webHidden/>
          </w:rPr>
          <w:instrText>PAGEREF _Toc34921135 \h</w:instrText>
        </w:r>
        <w:r>
          <w:rPr>
            <w:webHidden/>
          </w:rPr>
          <w:fldChar w:fldCharType="separate"/>
        </w:r>
        <w:r>
          <w:rPr>
            <w:webHidden/>
            <w:rStyle w:val="IndexLink"/>
            <w:vanish w:val="false"/>
          </w:rPr>
          <w:t>PES-06(d): Visitor Control | Automated Records Management &amp; Review</w:t>
          <w:tab/>
          <w:t>224</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136">
        <w:r>
          <w:rPr>
            <w:webHidden/>
          </w:rPr>
          <w:fldChar w:fldCharType="begin"/>
        </w:r>
        <w:r>
          <w:rPr>
            <w:webHidden/>
          </w:rPr>
          <w:instrText>PAGEREF _Toc34921136 \h</w:instrText>
        </w:r>
        <w:r>
          <w:rPr>
            <w:webHidden/>
          </w:rPr>
          <w:fldChar w:fldCharType="separate"/>
        </w:r>
        <w:r>
          <w:rPr>
            <w:webHidden/>
            <w:rStyle w:val="IndexLink"/>
            <w:vanish w:val="false"/>
          </w:rPr>
          <w:t>PES-07: Supporting Utilities</w:t>
          <w:tab/>
          <w:t>224</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137">
        <w:r>
          <w:rPr>
            <w:webHidden/>
          </w:rPr>
          <w:fldChar w:fldCharType="begin"/>
        </w:r>
        <w:r>
          <w:rPr>
            <w:webHidden/>
          </w:rPr>
          <w:instrText>PAGEREF _Toc34921137 \h</w:instrText>
        </w:r>
        <w:r>
          <w:rPr>
            <w:webHidden/>
          </w:rPr>
          <w:fldChar w:fldCharType="separate"/>
        </w:r>
        <w:r>
          <w:rPr>
            <w:webHidden/>
            <w:rStyle w:val="IndexLink"/>
            <w:vanish w:val="false"/>
          </w:rPr>
          <w:t>PES-07(a): Supporting Utilities | Automatic Voltage Controls</w:t>
          <w:tab/>
          <w:t>225</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138">
        <w:r>
          <w:rPr>
            <w:webHidden/>
          </w:rPr>
          <w:fldChar w:fldCharType="begin"/>
        </w:r>
        <w:r>
          <w:rPr>
            <w:webHidden/>
          </w:rPr>
          <w:instrText>PAGEREF _Toc34921138 \h</w:instrText>
        </w:r>
        <w:r>
          <w:rPr>
            <w:webHidden/>
          </w:rPr>
          <w:fldChar w:fldCharType="separate"/>
        </w:r>
        <w:r>
          <w:rPr>
            <w:webHidden/>
            <w:rStyle w:val="IndexLink"/>
            <w:vanish w:val="false"/>
          </w:rPr>
          <w:t>PES-07(b): Supporting Utilities | Emergency Shutoff</w:t>
          <w:tab/>
          <w:t>225</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139">
        <w:r>
          <w:rPr>
            <w:webHidden/>
          </w:rPr>
          <w:fldChar w:fldCharType="begin"/>
        </w:r>
        <w:r>
          <w:rPr>
            <w:webHidden/>
          </w:rPr>
          <w:instrText>PAGEREF _Toc34921139 \h</w:instrText>
        </w:r>
        <w:r>
          <w:rPr>
            <w:webHidden/>
          </w:rPr>
          <w:fldChar w:fldCharType="separate"/>
        </w:r>
        <w:r>
          <w:rPr>
            <w:webHidden/>
            <w:rStyle w:val="IndexLink"/>
            <w:vanish w:val="false"/>
          </w:rPr>
          <w:t>PES-07(c): Supporting Utilities | Emergency Power</w:t>
          <w:tab/>
          <w:t>225</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140">
        <w:r>
          <w:rPr>
            <w:webHidden/>
          </w:rPr>
          <w:fldChar w:fldCharType="begin"/>
        </w:r>
        <w:r>
          <w:rPr>
            <w:webHidden/>
          </w:rPr>
          <w:instrText>PAGEREF _Toc34921140 \h</w:instrText>
        </w:r>
        <w:r>
          <w:rPr>
            <w:webHidden/>
          </w:rPr>
          <w:fldChar w:fldCharType="separate"/>
        </w:r>
        <w:r>
          <w:rPr>
            <w:webHidden/>
            <w:rStyle w:val="IndexLink"/>
            <w:vanish w:val="false"/>
          </w:rPr>
          <w:t>PES-07(d): Supporting Utilities | Emergency Lighting</w:t>
          <w:tab/>
          <w:t>225</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141">
        <w:r>
          <w:rPr>
            <w:webHidden/>
          </w:rPr>
          <w:fldChar w:fldCharType="begin"/>
        </w:r>
        <w:r>
          <w:rPr>
            <w:webHidden/>
          </w:rPr>
          <w:instrText>PAGEREF _Toc34921141 \h</w:instrText>
        </w:r>
        <w:r>
          <w:rPr>
            <w:webHidden/>
          </w:rPr>
          <w:fldChar w:fldCharType="separate"/>
        </w:r>
        <w:r>
          <w:rPr>
            <w:webHidden/>
            <w:rStyle w:val="IndexLink"/>
            <w:vanish w:val="false"/>
          </w:rPr>
          <w:t>PES-07(e): Supporting Utilities | Water Damage Protection</w:t>
          <w:tab/>
          <w:t>225</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142">
        <w:r>
          <w:rPr>
            <w:webHidden/>
          </w:rPr>
          <w:fldChar w:fldCharType="begin"/>
        </w:r>
        <w:r>
          <w:rPr>
            <w:webHidden/>
          </w:rPr>
          <w:instrText>PAGEREF _Toc34921142 \h</w:instrText>
        </w:r>
        <w:r>
          <w:rPr>
            <w:webHidden/>
          </w:rPr>
          <w:fldChar w:fldCharType="separate"/>
        </w:r>
        <w:r>
          <w:rPr>
            <w:webHidden/>
            <w:rStyle w:val="IndexLink"/>
            <w:vanish w:val="false"/>
          </w:rPr>
          <w:t>PES-07(f): Supporting Utilities | Automation Support for Water Damage Protection</w:t>
          <w:tab/>
          <w:t>226</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143">
        <w:r>
          <w:rPr>
            <w:webHidden/>
          </w:rPr>
          <w:fldChar w:fldCharType="begin"/>
        </w:r>
        <w:r>
          <w:rPr>
            <w:webHidden/>
          </w:rPr>
          <w:instrText>PAGEREF _Toc34921143 \h</w:instrText>
        </w:r>
        <w:r>
          <w:rPr>
            <w:webHidden/>
          </w:rPr>
          <w:fldChar w:fldCharType="separate"/>
        </w:r>
        <w:r>
          <w:rPr>
            <w:webHidden/>
            <w:rStyle w:val="IndexLink"/>
            <w:vanish w:val="false"/>
          </w:rPr>
          <w:t>PES-08: Fire Protection</w:t>
          <w:tab/>
          <w:t>226</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144">
        <w:r>
          <w:rPr>
            <w:webHidden/>
          </w:rPr>
          <w:fldChar w:fldCharType="begin"/>
        </w:r>
        <w:r>
          <w:rPr>
            <w:webHidden/>
          </w:rPr>
          <w:instrText>PAGEREF _Toc34921144 \h</w:instrText>
        </w:r>
        <w:r>
          <w:rPr>
            <w:webHidden/>
          </w:rPr>
          <w:fldChar w:fldCharType="separate"/>
        </w:r>
        <w:r>
          <w:rPr>
            <w:webHidden/>
            <w:rStyle w:val="IndexLink"/>
            <w:vanish w:val="false"/>
          </w:rPr>
          <w:t>PES-08(a): Fire Protection | Fire Detection Devices</w:t>
          <w:tab/>
          <w:t>226</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145">
        <w:r>
          <w:rPr>
            <w:webHidden/>
          </w:rPr>
          <w:fldChar w:fldCharType="begin"/>
        </w:r>
        <w:r>
          <w:rPr>
            <w:webHidden/>
          </w:rPr>
          <w:instrText>PAGEREF _Toc34921145 \h</w:instrText>
        </w:r>
        <w:r>
          <w:rPr>
            <w:webHidden/>
          </w:rPr>
          <w:fldChar w:fldCharType="separate"/>
        </w:r>
        <w:r>
          <w:rPr>
            <w:webHidden/>
            <w:rStyle w:val="IndexLink"/>
            <w:vanish w:val="false"/>
          </w:rPr>
          <w:t>PES-08(b): Fire Protection | Fire Suppression Devices</w:t>
          <w:tab/>
          <w:t>226</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146">
        <w:r>
          <w:rPr>
            <w:webHidden/>
          </w:rPr>
          <w:fldChar w:fldCharType="begin"/>
        </w:r>
        <w:r>
          <w:rPr>
            <w:webHidden/>
          </w:rPr>
          <w:instrText>PAGEREF _Toc34921146 \h</w:instrText>
        </w:r>
        <w:r>
          <w:rPr>
            <w:webHidden/>
          </w:rPr>
          <w:fldChar w:fldCharType="separate"/>
        </w:r>
        <w:r>
          <w:rPr>
            <w:webHidden/>
            <w:rStyle w:val="IndexLink"/>
            <w:vanish w:val="false"/>
          </w:rPr>
          <w:t>PES-08(c): Fire Protection | Automatic Fire Suppression</w:t>
          <w:tab/>
          <w:t>226</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147">
        <w:r>
          <w:rPr>
            <w:webHidden/>
          </w:rPr>
          <w:fldChar w:fldCharType="begin"/>
        </w:r>
        <w:r>
          <w:rPr>
            <w:webHidden/>
          </w:rPr>
          <w:instrText>PAGEREF _Toc34921147 \h</w:instrText>
        </w:r>
        <w:r>
          <w:rPr>
            <w:webHidden/>
          </w:rPr>
          <w:fldChar w:fldCharType="separate"/>
        </w:r>
        <w:r>
          <w:rPr>
            <w:webHidden/>
            <w:rStyle w:val="IndexLink"/>
            <w:vanish w:val="false"/>
          </w:rPr>
          <w:t>PES-09: Temperature &amp; Humidity Controls</w:t>
          <w:tab/>
          <w:t>227</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148">
        <w:r>
          <w:rPr>
            <w:webHidden/>
          </w:rPr>
          <w:fldChar w:fldCharType="begin"/>
        </w:r>
        <w:r>
          <w:rPr>
            <w:webHidden/>
          </w:rPr>
          <w:instrText>PAGEREF _Toc34921148 \h</w:instrText>
        </w:r>
        <w:r>
          <w:rPr>
            <w:webHidden/>
          </w:rPr>
          <w:fldChar w:fldCharType="separate"/>
        </w:r>
        <w:r>
          <w:rPr>
            <w:webHidden/>
            <w:rStyle w:val="IndexLink"/>
            <w:vanish w:val="false"/>
          </w:rPr>
          <w:t>PES-09(a): Temperature &amp; Humidity Controls | Monitoring with Alarms / Notifications</w:t>
          <w:tab/>
          <w:t>227</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149">
        <w:r>
          <w:rPr>
            <w:webHidden/>
          </w:rPr>
          <w:fldChar w:fldCharType="begin"/>
        </w:r>
        <w:r>
          <w:rPr>
            <w:webHidden/>
          </w:rPr>
          <w:instrText>PAGEREF _Toc34921149 \h</w:instrText>
        </w:r>
        <w:r>
          <w:rPr>
            <w:webHidden/>
          </w:rPr>
          <w:fldChar w:fldCharType="separate"/>
        </w:r>
        <w:r>
          <w:rPr>
            <w:webHidden/>
            <w:rStyle w:val="IndexLink"/>
            <w:vanish w:val="false"/>
          </w:rPr>
          <w:t>PES-10: Delivery &amp; Removal</w:t>
          <w:tab/>
          <w:t>227</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150">
        <w:r>
          <w:rPr>
            <w:webHidden/>
          </w:rPr>
          <w:fldChar w:fldCharType="begin"/>
        </w:r>
        <w:r>
          <w:rPr>
            <w:webHidden/>
          </w:rPr>
          <w:instrText>PAGEREF _Toc34921150 \h</w:instrText>
        </w:r>
        <w:r>
          <w:rPr>
            <w:webHidden/>
          </w:rPr>
          <w:fldChar w:fldCharType="separate"/>
        </w:r>
        <w:r>
          <w:rPr>
            <w:webHidden/>
            <w:rStyle w:val="IndexLink"/>
            <w:vanish w:val="false"/>
          </w:rPr>
          <w:t>PES-11: Alternate Work Site</w:t>
          <w:tab/>
          <w:t>227</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151">
        <w:r>
          <w:rPr>
            <w:webHidden/>
          </w:rPr>
          <w:fldChar w:fldCharType="begin"/>
        </w:r>
        <w:r>
          <w:rPr>
            <w:webHidden/>
          </w:rPr>
          <w:instrText>PAGEREF _Toc34921151 \h</w:instrText>
        </w:r>
        <w:r>
          <w:rPr>
            <w:webHidden/>
          </w:rPr>
          <w:fldChar w:fldCharType="separate"/>
        </w:r>
        <w:r>
          <w:rPr>
            <w:webHidden/>
            <w:rStyle w:val="IndexLink"/>
            <w:vanish w:val="false"/>
          </w:rPr>
          <w:t>PES-12: Equipment Siting &amp; Protection</w:t>
          <w:tab/>
          <w:t>228</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152">
        <w:r>
          <w:rPr>
            <w:webHidden/>
          </w:rPr>
          <w:fldChar w:fldCharType="begin"/>
        </w:r>
        <w:r>
          <w:rPr>
            <w:webHidden/>
          </w:rPr>
          <w:instrText>PAGEREF _Toc34921152 \h</w:instrText>
        </w:r>
        <w:r>
          <w:rPr>
            <w:webHidden/>
          </w:rPr>
          <w:fldChar w:fldCharType="separate"/>
        </w:r>
        <w:r>
          <w:rPr>
            <w:webHidden/>
            <w:rStyle w:val="IndexLink"/>
            <w:vanish w:val="false"/>
          </w:rPr>
          <w:t>PES-12(a): Equipment Siting &amp; Protection | Access Control For Transmission Medium</w:t>
          <w:tab/>
          <w:t>228</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153">
        <w:r>
          <w:rPr>
            <w:webHidden/>
          </w:rPr>
          <w:fldChar w:fldCharType="begin"/>
        </w:r>
        <w:r>
          <w:rPr>
            <w:webHidden/>
          </w:rPr>
          <w:instrText>PAGEREF _Toc34921153 \h</w:instrText>
        </w:r>
        <w:r>
          <w:rPr>
            <w:webHidden/>
          </w:rPr>
          <w:fldChar w:fldCharType="separate"/>
        </w:r>
        <w:r>
          <w:rPr>
            <w:webHidden/>
            <w:rStyle w:val="IndexLink"/>
            <w:vanish w:val="false"/>
          </w:rPr>
          <w:t>PES-12(b): Equipment Siting &amp; Protection | Access Control For Output Devices</w:t>
          <w:tab/>
          <w:t>228</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154">
        <w:r>
          <w:rPr>
            <w:webHidden/>
          </w:rPr>
          <w:fldChar w:fldCharType="begin"/>
        </w:r>
        <w:r>
          <w:rPr>
            <w:webHidden/>
          </w:rPr>
          <w:instrText>PAGEREF _Toc34921154 \h</w:instrText>
        </w:r>
        <w:r>
          <w:rPr>
            <w:webHidden/>
          </w:rPr>
          <w:fldChar w:fldCharType="separate"/>
        </w:r>
        <w:r>
          <w:rPr>
            <w:webHidden/>
            <w:rStyle w:val="IndexLink"/>
            <w:vanish w:val="false"/>
          </w:rPr>
          <w:t>PES-13: Information Leakage Due To Electromagnetic Signals Emanations</w:t>
          <w:tab/>
          <w:t>229</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155">
        <w:r>
          <w:rPr>
            <w:webHidden/>
          </w:rPr>
          <w:fldChar w:fldCharType="begin"/>
        </w:r>
        <w:r>
          <w:rPr>
            <w:webHidden/>
          </w:rPr>
          <w:instrText>PAGEREF _Toc34921155 \h</w:instrText>
        </w:r>
        <w:r>
          <w:rPr>
            <w:webHidden/>
          </w:rPr>
          <w:fldChar w:fldCharType="separate"/>
        </w:r>
        <w:r>
          <w:rPr>
            <w:webHidden/>
            <w:rStyle w:val="IndexLink"/>
            <w:vanish w:val="false"/>
          </w:rPr>
          <w:t>PES-14: Asset Monitoring and Tracking</w:t>
          <w:tab/>
          <w:t>229</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156">
        <w:r>
          <w:rPr>
            <w:webHidden/>
          </w:rPr>
          <w:fldChar w:fldCharType="begin"/>
        </w:r>
        <w:r>
          <w:rPr>
            <w:webHidden/>
          </w:rPr>
          <w:instrText>PAGEREF _Toc34921156 \h</w:instrText>
        </w:r>
        <w:r>
          <w:rPr>
            <w:webHidden/>
          </w:rPr>
          <w:fldChar w:fldCharType="separate"/>
        </w:r>
        <w:r>
          <w:rPr>
            <w:webHidden/>
            <w:rStyle w:val="IndexLink"/>
            <w:vanish w:val="false"/>
          </w:rPr>
          <w:t>PES-15: Electromagnetic Pulse (EMP) Protection</w:t>
          <w:tab/>
          <w:t>229</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157">
        <w:r>
          <w:rPr>
            <w:webHidden/>
          </w:rPr>
          <w:fldChar w:fldCharType="begin"/>
        </w:r>
        <w:r>
          <w:rPr>
            <w:webHidden/>
          </w:rPr>
          <w:instrText>PAGEREF _Toc34921157 \h</w:instrText>
        </w:r>
        <w:r>
          <w:rPr>
            <w:webHidden/>
          </w:rPr>
          <w:fldChar w:fldCharType="separate"/>
        </w:r>
        <w:r>
          <w:rPr>
            <w:webHidden/>
            <w:rStyle w:val="IndexLink"/>
            <w:vanish w:val="false"/>
          </w:rPr>
          <w:t>PES-16: Component Marking</w:t>
          <w:tab/>
          <w:t>230</w:t>
        </w:r>
        <w:r>
          <w:rPr>
            <w:webHidden/>
          </w:rPr>
          <w:fldChar w:fldCharType="end"/>
        </w:r>
      </w:hyperlink>
    </w:p>
    <w:p>
      <w:pPr>
        <w:pStyle w:val="Contents1"/>
        <w:rPr>
          <w:rFonts w:eastAsia="" w:cs="" w:cstheme="minorBidi" w:eastAsiaTheme="minorEastAsia"/>
          <w:b w:val="false"/>
          <w:b w:val="false"/>
          <w:caps w:val="false"/>
          <w:smallCaps w:val="false"/>
          <w:color w:val="auto"/>
          <w:sz w:val="22"/>
          <w:szCs w:val="22"/>
          <w:u w:val="none"/>
        </w:rPr>
      </w:pPr>
      <w:hyperlink w:anchor="_Toc34921158">
        <w:r>
          <w:rPr>
            <w:webHidden/>
          </w:rPr>
          <w:fldChar w:fldCharType="begin"/>
        </w:r>
        <w:r>
          <w:rPr>
            <w:webHidden/>
          </w:rPr>
          <w:instrText>PAGEREF _Toc34921158 \h</w:instrText>
        </w:r>
        <w:r>
          <w:rPr>
            <w:webHidden/>
          </w:rPr>
          <w:fldChar w:fldCharType="separate"/>
        </w:r>
        <w:r>
          <w:rPr>
            <w:webHidden/>
            <w:rStyle w:val="IndexLink"/>
            <w:vanish w:val="false"/>
          </w:rPr>
          <w:t>Privacy (PRI) Policy &amp; Standards</w:t>
          <w:tab/>
          <w:t>231</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159">
        <w:r>
          <w:rPr>
            <w:webHidden/>
          </w:rPr>
          <w:fldChar w:fldCharType="begin"/>
        </w:r>
        <w:r>
          <w:rPr>
            <w:webHidden/>
          </w:rPr>
          <w:instrText>PAGEREF _Toc34921159 \h</w:instrText>
        </w:r>
        <w:r>
          <w:rPr>
            <w:webHidden/>
          </w:rPr>
          <w:fldChar w:fldCharType="separate"/>
        </w:r>
        <w:r>
          <w:rPr>
            <w:webHidden/>
            <w:rStyle w:val="IndexLink"/>
            <w:vanish w:val="false"/>
          </w:rPr>
          <w:t>PRI-01: Privacy Program</w:t>
          <w:tab/>
          <w:t>231</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160">
        <w:r>
          <w:rPr>
            <w:webHidden/>
          </w:rPr>
          <w:fldChar w:fldCharType="begin"/>
        </w:r>
        <w:r>
          <w:rPr>
            <w:webHidden/>
          </w:rPr>
          <w:instrText>PAGEREF _Toc34921160 \h</w:instrText>
        </w:r>
        <w:r>
          <w:rPr>
            <w:webHidden/>
          </w:rPr>
          <w:fldChar w:fldCharType="separate"/>
        </w:r>
        <w:r>
          <w:rPr>
            <w:webHidden/>
            <w:rStyle w:val="IndexLink"/>
            <w:vanish w:val="false"/>
          </w:rPr>
          <w:t>PRI-01(a): Privacy Program | Chief Privacy Officer (CPO)</w:t>
          <w:tab/>
          <w:t>231</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161">
        <w:r>
          <w:rPr>
            <w:webHidden/>
            <w:rStyle w:val="IndexLink"/>
            <w:strike/>
            <w:vanish w:val="false"/>
          </w:rPr>
          <w:t>PRI-01(b): Privacy Program | Privacy Act Statements</w:t>
        </w:r>
        <w:r>
          <w:rPr>
            <w:rStyle w:val="IndexLink"/>
          </w:rPr>
          <w:t xml:space="preserve"> [deprecated – withdrawn from DSP]</w:t>
        </w:r>
        <w:r>
          <w:rPr>
            <w:webHidden/>
          </w:rPr>
          <w:fldChar w:fldCharType="begin"/>
        </w:r>
        <w:r>
          <w:rPr>
            <w:webHidden/>
          </w:rPr>
          <w:instrText>PAGEREF _Toc34921161 \h</w:instrText>
        </w:r>
        <w:r>
          <w:rPr>
            <w:webHidden/>
          </w:rPr>
          <w:fldChar w:fldCharType="separate"/>
        </w:r>
        <w:r>
          <w:rPr>
            <w:rStyle w:val="IndexLink"/>
            <w:vanish w:val="false"/>
          </w:rPr>
          <w:tab/>
          <w:t>231</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162">
        <w:r>
          <w:rPr>
            <w:webHidden/>
          </w:rPr>
          <w:fldChar w:fldCharType="begin"/>
        </w:r>
        <w:r>
          <w:rPr>
            <w:webHidden/>
          </w:rPr>
          <w:instrText>PAGEREF _Toc34921162 \h</w:instrText>
        </w:r>
        <w:r>
          <w:rPr>
            <w:webHidden/>
          </w:rPr>
          <w:fldChar w:fldCharType="separate"/>
        </w:r>
        <w:r>
          <w:rPr>
            <w:webHidden/>
            <w:rStyle w:val="IndexLink"/>
            <w:vanish w:val="false"/>
          </w:rPr>
          <w:t>PRI-01(c): Privacy Program | Dissemination of Privacy Program Information</w:t>
          <w:tab/>
          <w:t>231</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163">
        <w:r>
          <w:rPr>
            <w:webHidden/>
          </w:rPr>
          <w:fldChar w:fldCharType="begin"/>
        </w:r>
        <w:r>
          <w:rPr>
            <w:webHidden/>
          </w:rPr>
          <w:instrText>PAGEREF _Toc34921163 \h</w:instrText>
        </w:r>
        <w:r>
          <w:rPr>
            <w:webHidden/>
          </w:rPr>
          <w:fldChar w:fldCharType="separate"/>
        </w:r>
        <w:r>
          <w:rPr>
            <w:webHidden/>
            <w:rStyle w:val="IndexLink"/>
            <w:vanish w:val="false"/>
          </w:rPr>
          <w:t>PRI-01(d): Privacy Program | Data Protection Officer (DPO)</w:t>
          <w:tab/>
          <w:t>231</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164">
        <w:r>
          <w:rPr>
            <w:webHidden/>
          </w:rPr>
          <w:fldChar w:fldCharType="begin"/>
        </w:r>
        <w:r>
          <w:rPr>
            <w:webHidden/>
          </w:rPr>
          <w:instrText>PAGEREF _Toc34921164 \h</w:instrText>
        </w:r>
        <w:r>
          <w:rPr>
            <w:webHidden/>
          </w:rPr>
          <w:fldChar w:fldCharType="separate"/>
        </w:r>
        <w:r>
          <w:rPr>
            <w:webHidden/>
            <w:rStyle w:val="IndexLink"/>
            <w:vanish w:val="false"/>
          </w:rPr>
          <w:t>PRI-02: Privacy Notice</w:t>
          <w:tab/>
          <w:t>232</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165">
        <w:r>
          <w:rPr>
            <w:webHidden/>
          </w:rPr>
          <w:fldChar w:fldCharType="begin"/>
        </w:r>
        <w:r>
          <w:rPr>
            <w:webHidden/>
          </w:rPr>
          <w:instrText>PAGEREF _Toc34921165 \h</w:instrText>
        </w:r>
        <w:r>
          <w:rPr>
            <w:webHidden/>
          </w:rPr>
          <w:fldChar w:fldCharType="separate"/>
        </w:r>
        <w:r>
          <w:rPr>
            <w:webHidden/>
            <w:rStyle w:val="IndexLink"/>
            <w:vanish w:val="false"/>
          </w:rPr>
          <w:t>PRI-02(a): Privacy Notice | Purpose Specification</w:t>
          <w:tab/>
          <w:t>232</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166">
        <w:r>
          <w:rPr>
            <w:webHidden/>
          </w:rPr>
          <w:fldChar w:fldCharType="begin"/>
        </w:r>
        <w:r>
          <w:rPr>
            <w:webHidden/>
          </w:rPr>
          <w:instrText>PAGEREF _Toc34921166 \h</w:instrText>
        </w:r>
        <w:r>
          <w:rPr>
            <w:webHidden/>
          </w:rPr>
          <w:fldChar w:fldCharType="separate"/>
        </w:r>
        <w:r>
          <w:rPr>
            <w:webHidden/>
            <w:rStyle w:val="IndexLink"/>
            <w:vanish w:val="false"/>
          </w:rPr>
          <w:t>PRI-02(b): Privacy Notice | Automated Data Management Processes</w:t>
          <w:tab/>
          <w:t>232</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167">
        <w:r>
          <w:rPr>
            <w:webHidden/>
          </w:rPr>
          <w:fldChar w:fldCharType="begin"/>
        </w:r>
        <w:r>
          <w:rPr>
            <w:webHidden/>
          </w:rPr>
          <w:instrText>PAGEREF _Toc34921167 \h</w:instrText>
        </w:r>
        <w:r>
          <w:rPr>
            <w:webHidden/>
          </w:rPr>
          <w:fldChar w:fldCharType="separate"/>
        </w:r>
        <w:r>
          <w:rPr>
            <w:webHidden/>
            <w:rStyle w:val="IndexLink"/>
            <w:vanish w:val="false"/>
          </w:rPr>
          <w:t>PRI-02(c): Privacy Notice | Computer Matching Agreements (CMA)</w:t>
          <w:tab/>
          <w:t>233</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168">
        <w:r>
          <w:rPr>
            <w:webHidden/>
          </w:rPr>
          <w:fldChar w:fldCharType="begin"/>
        </w:r>
        <w:r>
          <w:rPr>
            <w:webHidden/>
          </w:rPr>
          <w:instrText>PAGEREF _Toc34921168 \h</w:instrText>
        </w:r>
        <w:r>
          <w:rPr>
            <w:webHidden/>
          </w:rPr>
          <w:fldChar w:fldCharType="separate"/>
        </w:r>
        <w:r>
          <w:rPr>
            <w:webHidden/>
            <w:rStyle w:val="IndexLink"/>
            <w:vanish w:val="false"/>
          </w:rPr>
          <w:t>PRI-03: Choice &amp; Consent</w:t>
          <w:tab/>
          <w:t>233</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169">
        <w:r>
          <w:rPr>
            <w:webHidden/>
          </w:rPr>
          <w:fldChar w:fldCharType="begin"/>
        </w:r>
        <w:r>
          <w:rPr>
            <w:webHidden/>
          </w:rPr>
          <w:instrText>PAGEREF _Toc34921169 \h</w:instrText>
        </w:r>
        <w:r>
          <w:rPr>
            <w:webHidden/>
          </w:rPr>
          <w:fldChar w:fldCharType="separate"/>
        </w:r>
        <w:r>
          <w:rPr>
            <w:webHidden/>
            <w:rStyle w:val="IndexLink"/>
            <w:vanish w:val="false"/>
          </w:rPr>
          <w:t>PRI-03(a): Choice &amp; Consent | Attribute Management</w:t>
          <w:tab/>
          <w:t>233</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170">
        <w:r>
          <w:rPr>
            <w:webHidden/>
          </w:rPr>
          <w:fldChar w:fldCharType="begin"/>
        </w:r>
        <w:r>
          <w:rPr>
            <w:webHidden/>
          </w:rPr>
          <w:instrText>PAGEREF _Toc34921170 \h</w:instrText>
        </w:r>
        <w:r>
          <w:rPr>
            <w:webHidden/>
          </w:rPr>
          <w:fldChar w:fldCharType="separate"/>
        </w:r>
        <w:r>
          <w:rPr>
            <w:webHidden/>
            <w:rStyle w:val="IndexLink"/>
            <w:vanish w:val="false"/>
          </w:rPr>
          <w:t>PRI-03(b): Choice &amp; Consent | Just-In-Time Notice &amp; Updated Consent</w:t>
          <w:tab/>
          <w:t>233</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171">
        <w:r>
          <w:rPr>
            <w:webHidden/>
          </w:rPr>
          <w:fldChar w:fldCharType="begin"/>
        </w:r>
        <w:r>
          <w:rPr>
            <w:webHidden/>
          </w:rPr>
          <w:instrText>PAGEREF _Toc34921171 \h</w:instrText>
        </w:r>
        <w:r>
          <w:rPr>
            <w:webHidden/>
          </w:rPr>
          <w:fldChar w:fldCharType="separate"/>
        </w:r>
        <w:r>
          <w:rPr>
            <w:webHidden/>
            <w:rStyle w:val="IndexLink"/>
            <w:vanish w:val="false"/>
          </w:rPr>
          <w:t>PRI-03(c): Choice &amp; Consent | Prohibition Of Selling Personal Data</w:t>
          <w:tab/>
          <w:t>233</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172">
        <w:r>
          <w:rPr>
            <w:webHidden/>
          </w:rPr>
          <w:fldChar w:fldCharType="begin"/>
        </w:r>
        <w:r>
          <w:rPr>
            <w:webHidden/>
          </w:rPr>
          <w:instrText>PAGEREF _Toc34921172 \h</w:instrText>
        </w:r>
        <w:r>
          <w:rPr>
            <w:webHidden/>
          </w:rPr>
          <w:fldChar w:fldCharType="separate"/>
        </w:r>
        <w:r>
          <w:rPr>
            <w:webHidden/>
            <w:rStyle w:val="IndexLink"/>
            <w:vanish w:val="false"/>
          </w:rPr>
          <w:t>PRI-04: Collection</w:t>
          <w:tab/>
          <w:t>234</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173">
        <w:r>
          <w:rPr>
            <w:webHidden/>
          </w:rPr>
          <w:fldChar w:fldCharType="begin"/>
        </w:r>
        <w:r>
          <w:rPr>
            <w:webHidden/>
          </w:rPr>
          <w:instrText>PAGEREF _Toc34921173 \h</w:instrText>
        </w:r>
        <w:r>
          <w:rPr>
            <w:webHidden/>
          </w:rPr>
          <w:fldChar w:fldCharType="separate"/>
        </w:r>
        <w:r>
          <w:rPr>
            <w:webHidden/>
            <w:rStyle w:val="IndexLink"/>
            <w:vanish w:val="false"/>
          </w:rPr>
          <w:t>PRI-04(a): Collection | Authority To Collect, Use, Maintain &amp; Share Personal Data (PD)</w:t>
          <w:tab/>
          <w:t>234</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174">
        <w:r>
          <w:rPr>
            <w:webHidden/>
          </w:rPr>
          <w:fldChar w:fldCharType="begin"/>
        </w:r>
        <w:r>
          <w:rPr>
            <w:webHidden/>
          </w:rPr>
          <w:instrText>PAGEREF _Toc34921174 \h</w:instrText>
        </w:r>
        <w:r>
          <w:rPr>
            <w:webHidden/>
          </w:rPr>
          <w:fldChar w:fldCharType="separate"/>
        </w:r>
        <w:r>
          <w:rPr>
            <w:webHidden/>
            <w:rStyle w:val="IndexLink"/>
            <w:vanish w:val="false"/>
          </w:rPr>
          <w:t>PRI-05: Use, Retention &amp; Disposal</w:t>
          <w:tab/>
          <w:t>234</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175">
        <w:r>
          <w:rPr>
            <w:webHidden/>
          </w:rPr>
          <w:fldChar w:fldCharType="begin"/>
        </w:r>
        <w:r>
          <w:rPr>
            <w:webHidden/>
          </w:rPr>
          <w:instrText>PAGEREF _Toc34921175 \h</w:instrText>
        </w:r>
        <w:r>
          <w:rPr>
            <w:webHidden/>
          </w:rPr>
          <w:fldChar w:fldCharType="separate"/>
        </w:r>
        <w:r>
          <w:rPr>
            <w:webHidden/>
            <w:rStyle w:val="IndexLink"/>
            <w:vanish w:val="false"/>
          </w:rPr>
          <w:t>PRI-05(a): Use, Retention &amp; Disposal | Internal Use</w:t>
          <w:tab/>
          <w:t>234</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176">
        <w:r>
          <w:rPr>
            <w:webHidden/>
          </w:rPr>
          <w:fldChar w:fldCharType="begin"/>
        </w:r>
        <w:r>
          <w:rPr>
            <w:webHidden/>
          </w:rPr>
          <w:instrText>PAGEREF _Toc34921176 \h</w:instrText>
        </w:r>
        <w:r>
          <w:rPr>
            <w:webHidden/>
          </w:rPr>
          <w:fldChar w:fldCharType="separate"/>
        </w:r>
        <w:r>
          <w:rPr>
            <w:webHidden/>
            <w:rStyle w:val="IndexLink"/>
            <w:vanish w:val="false"/>
          </w:rPr>
          <w:t>PRI-05(b): Use, Retention &amp; Disposal | Data Integrity</w:t>
          <w:tab/>
          <w:t>234</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177">
        <w:r>
          <w:rPr>
            <w:webHidden/>
          </w:rPr>
          <w:fldChar w:fldCharType="begin"/>
        </w:r>
        <w:r>
          <w:rPr>
            <w:webHidden/>
          </w:rPr>
          <w:instrText>PAGEREF _Toc34921177 \h</w:instrText>
        </w:r>
        <w:r>
          <w:rPr>
            <w:webHidden/>
          </w:rPr>
          <w:fldChar w:fldCharType="separate"/>
        </w:r>
        <w:r>
          <w:rPr>
            <w:webHidden/>
            <w:rStyle w:val="IndexLink"/>
            <w:vanish w:val="false"/>
          </w:rPr>
          <w:t>PRI-05(c): Use, Retention &amp; Disposal | Data Masking</w:t>
          <w:tab/>
          <w:t>235</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178">
        <w:r>
          <w:rPr>
            <w:webHidden/>
          </w:rPr>
          <w:fldChar w:fldCharType="begin"/>
        </w:r>
        <w:r>
          <w:rPr>
            <w:webHidden/>
          </w:rPr>
          <w:instrText>PAGEREF _Toc34921178 \h</w:instrText>
        </w:r>
        <w:r>
          <w:rPr>
            <w:webHidden/>
          </w:rPr>
          <w:fldChar w:fldCharType="separate"/>
        </w:r>
        <w:r>
          <w:rPr>
            <w:webHidden/>
            <w:rStyle w:val="IndexLink"/>
            <w:vanish w:val="false"/>
          </w:rPr>
          <w:t>PRI-05(d): Use, Retention &amp; Disposal | Usage Restrictions of Personal Data (PD)</w:t>
          <w:tab/>
          <w:t>235</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179">
        <w:r>
          <w:rPr>
            <w:webHidden/>
          </w:rPr>
          <w:fldChar w:fldCharType="begin"/>
        </w:r>
        <w:r>
          <w:rPr>
            <w:webHidden/>
          </w:rPr>
          <w:instrText>PAGEREF _Toc34921179 \h</w:instrText>
        </w:r>
        <w:r>
          <w:rPr>
            <w:webHidden/>
          </w:rPr>
          <w:fldChar w:fldCharType="separate"/>
        </w:r>
        <w:r>
          <w:rPr>
            <w:webHidden/>
            <w:rStyle w:val="IndexLink"/>
            <w:vanish w:val="false"/>
          </w:rPr>
          <w:t>PRI-05(e): Use, Retention &amp; Disposal | Inventory Of Personal Data (PD)</w:t>
          <w:tab/>
          <w:t>235</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180">
        <w:r>
          <w:rPr>
            <w:webHidden/>
          </w:rPr>
          <w:fldChar w:fldCharType="begin"/>
        </w:r>
        <w:r>
          <w:rPr>
            <w:webHidden/>
          </w:rPr>
          <w:instrText>PAGEREF _Toc34921180 \h</w:instrText>
        </w:r>
        <w:r>
          <w:rPr>
            <w:webHidden/>
          </w:rPr>
          <w:fldChar w:fldCharType="separate"/>
        </w:r>
        <w:r>
          <w:rPr>
            <w:webHidden/>
            <w:rStyle w:val="IndexLink"/>
            <w:vanish w:val="false"/>
          </w:rPr>
          <w:t>PRI-05(f): Use, Retention &amp; Disposal | Personal Data (PD) Inventory Automation Support</w:t>
          <w:tab/>
          <w:t>235</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181">
        <w:r>
          <w:rPr>
            <w:webHidden/>
          </w:rPr>
          <w:fldChar w:fldCharType="begin"/>
        </w:r>
        <w:r>
          <w:rPr>
            <w:webHidden/>
          </w:rPr>
          <w:instrText>PAGEREF _Toc34921181 \h</w:instrText>
        </w:r>
        <w:r>
          <w:rPr>
            <w:webHidden/>
          </w:rPr>
          <w:fldChar w:fldCharType="separate"/>
        </w:r>
        <w:r>
          <w:rPr>
            <w:webHidden/>
            <w:rStyle w:val="IndexLink"/>
            <w:vanish w:val="false"/>
          </w:rPr>
          <w:t>PRI-06: Data Subject Access</w:t>
          <w:tab/>
          <w:t>236</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182">
        <w:r>
          <w:rPr>
            <w:webHidden/>
          </w:rPr>
          <w:fldChar w:fldCharType="begin"/>
        </w:r>
        <w:r>
          <w:rPr>
            <w:webHidden/>
          </w:rPr>
          <w:instrText>PAGEREF _Toc34921182 \h</w:instrText>
        </w:r>
        <w:r>
          <w:rPr>
            <w:webHidden/>
          </w:rPr>
          <w:fldChar w:fldCharType="separate"/>
        </w:r>
        <w:r>
          <w:rPr>
            <w:webHidden/>
            <w:rStyle w:val="IndexLink"/>
            <w:vanish w:val="false"/>
          </w:rPr>
          <w:t>PRI-06(a): Data Subject Access | Redress Inaccurate Information</w:t>
          <w:tab/>
          <w:t>236</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183">
        <w:r>
          <w:rPr>
            <w:webHidden/>
          </w:rPr>
          <w:fldChar w:fldCharType="begin"/>
        </w:r>
        <w:r>
          <w:rPr>
            <w:webHidden/>
          </w:rPr>
          <w:instrText>PAGEREF _Toc34921183 \h</w:instrText>
        </w:r>
        <w:r>
          <w:rPr>
            <w:webHidden/>
          </w:rPr>
          <w:fldChar w:fldCharType="separate"/>
        </w:r>
        <w:r>
          <w:rPr>
            <w:webHidden/>
            <w:rStyle w:val="IndexLink"/>
            <w:vanish w:val="false"/>
          </w:rPr>
          <w:t>PRI-06(b): Data Subject Access | Notice of Correction or Processing Change</w:t>
          <w:tab/>
          <w:t>236</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184">
        <w:r>
          <w:rPr>
            <w:webHidden/>
          </w:rPr>
          <w:fldChar w:fldCharType="begin"/>
        </w:r>
        <w:r>
          <w:rPr>
            <w:webHidden/>
          </w:rPr>
          <w:instrText>PAGEREF _Toc34921184 \h</w:instrText>
        </w:r>
        <w:r>
          <w:rPr>
            <w:webHidden/>
          </w:rPr>
          <w:fldChar w:fldCharType="separate"/>
        </w:r>
        <w:r>
          <w:rPr>
            <w:webHidden/>
            <w:rStyle w:val="IndexLink"/>
            <w:vanish w:val="false"/>
          </w:rPr>
          <w:t>PRI-06(c): Data Subject Access | Appeal Adverse Decision</w:t>
          <w:tab/>
          <w:t>236</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185">
        <w:r>
          <w:rPr>
            <w:webHidden/>
          </w:rPr>
          <w:fldChar w:fldCharType="begin"/>
        </w:r>
        <w:r>
          <w:rPr>
            <w:webHidden/>
          </w:rPr>
          <w:instrText>PAGEREF _Toc34921185 \h</w:instrText>
        </w:r>
        <w:r>
          <w:rPr>
            <w:webHidden/>
          </w:rPr>
          <w:fldChar w:fldCharType="separate"/>
        </w:r>
        <w:r>
          <w:rPr>
            <w:webHidden/>
            <w:rStyle w:val="IndexLink"/>
            <w:vanish w:val="false"/>
          </w:rPr>
          <w:t>PRI-06(d): Data Subject Access | User Feedback Management</w:t>
          <w:tab/>
          <w:t>237</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186">
        <w:r>
          <w:rPr>
            <w:webHidden/>
          </w:rPr>
          <w:fldChar w:fldCharType="begin"/>
        </w:r>
        <w:r>
          <w:rPr>
            <w:webHidden/>
          </w:rPr>
          <w:instrText>PAGEREF _Toc34921186 \h</w:instrText>
        </w:r>
        <w:r>
          <w:rPr>
            <w:webHidden/>
          </w:rPr>
          <w:fldChar w:fldCharType="separate"/>
        </w:r>
        <w:r>
          <w:rPr>
            <w:webHidden/>
            <w:rStyle w:val="IndexLink"/>
            <w:vanish w:val="false"/>
          </w:rPr>
          <w:t>PRI-06(e): Data Subject Access | Right to Erasure</w:t>
          <w:tab/>
          <w:t>237</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187">
        <w:r>
          <w:rPr>
            <w:webHidden/>
          </w:rPr>
          <w:fldChar w:fldCharType="begin"/>
        </w:r>
        <w:r>
          <w:rPr>
            <w:webHidden/>
          </w:rPr>
          <w:instrText>PAGEREF _Toc34921187 \h</w:instrText>
        </w:r>
        <w:r>
          <w:rPr>
            <w:webHidden/>
          </w:rPr>
          <w:fldChar w:fldCharType="separate"/>
        </w:r>
        <w:r>
          <w:rPr>
            <w:webHidden/>
            <w:rStyle w:val="IndexLink"/>
            <w:vanish w:val="false"/>
          </w:rPr>
          <w:t>PRI-06(f): Data Subject Access | Data Portability</w:t>
          <w:tab/>
          <w:t>237</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188">
        <w:r>
          <w:rPr>
            <w:webHidden/>
          </w:rPr>
          <w:fldChar w:fldCharType="begin"/>
        </w:r>
        <w:r>
          <w:rPr>
            <w:webHidden/>
          </w:rPr>
          <w:instrText>PAGEREF _Toc34921188 \h</w:instrText>
        </w:r>
        <w:r>
          <w:rPr>
            <w:webHidden/>
          </w:rPr>
          <w:fldChar w:fldCharType="separate"/>
        </w:r>
        <w:r>
          <w:rPr>
            <w:webHidden/>
            <w:rStyle w:val="IndexLink"/>
            <w:vanish w:val="false"/>
          </w:rPr>
          <w:t>PRI-06(g): Data Subject Access | Personal Data Exportability</w:t>
          <w:tab/>
          <w:t>237</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189">
        <w:r>
          <w:rPr>
            <w:webHidden/>
          </w:rPr>
          <w:fldChar w:fldCharType="begin"/>
        </w:r>
        <w:r>
          <w:rPr>
            <w:webHidden/>
          </w:rPr>
          <w:instrText>PAGEREF _Toc34921189 \h</w:instrText>
        </w:r>
        <w:r>
          <w:rPr>
            <w:webHidden/>
          </w:rPr>
          <w:fldChar w:fldCharType="separate"/>
        </w:r>
        <w:r>
          <w:rPr>
            <w:webHidden/>
            <w:rStyle w:val="IndexLink"/>
            <w:vanish w:val="false"/>
          </w:rPr>
          <w:t>PRI-07: Information Sharing With Third Parties</w:t>
          <w:tab/>
          <w:t>237</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190">
        <w:r>
          <w:rPr>
            <w:webHidden/>
          </w:rPr>
          <w:fldChar w:fldCharType="begin"/>
        </w:r>
        <w:r>
          <w:rPr>
            <w:webHidden/>
          </w:rPr>
          <w:instrText>PAGEREF _Toc34921190 \h</w:instrText>
        </w:r>
        <w:r>
          <w:rPr>
            <w:webHidden/>
          </w:rPr>
          <w:fldChar w:fldCharType="separate"/>
        </w:r>
        <w:r>
          <w:rPr>
            <w:webHidden/>
            <w:rStyle w:val="IndexLink"/>
            <w:vanish w:val="false"/>
          </w:rPr>
          <w:t>PRI-07(a): Information Sharing With Third Parties | Privacy Requirements For Contractors &amp; Service Providers</w:t>
          <w:tab/>
          <w:t>238</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191">
        <w:r>
          <w:rPr>
            <w:webHidden/>
          </w:rPr>
          <w:fldChar w:fldCharType="begin"/>
        </w:r>
        <w:r>
          <w:rPr>
            <w:webHidden/>
          </w:rPr>
          <w:instrText>PAGEREF _Toc34921191 \h</w:instrText>
        </w:r>
        <w:r>
          <w:rPr>
            <w:webHidden/>
          </w:rPr>
          <w:fldChar w:fldCharType="separate"/>
        </w:r>
        <w:r>
          <w:rPr>
            <w:webHidden/>
            <w:rStyle w:val="IndexLink"/>
            <w:vanish w:val="false"/>
          </w:rPr>
          <w:t>PRI-07(b): Information Sharing With Third Parties | Joint Processing of Personal Data</w:t>
          <w:tab/>
          <w:t>238</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192">
        <w:r>
          <w:rPr>
            <w:webHidden/>
          </w:rPr>
          <w:fldChar w:fldCharType="begin"/>
        </w:r>
        <w:r>
          <w:rPr>
            <w:webHidden/>
          </w:rPr>
          <w:instrText>PAGEREF _Toc34921192 \h</w:instrText>
        </w:r>
        <w:r>
          <w:rPr>
            <w:webHidden/>
          </w:rPr>
          <w:fldChar w:fldCharType="separate"/>
        </w:r>
        <w:r>
          <w:rPr>
            <w:webHidden/>
            <w:rStyle w:val="IndexLink"/>
            <w:vanish w:val="false"/>
          </w:rPr>
          <w:t>PRI-07(c): Information Sharing With Third Parties | Obligation To Inform Third Parties</w:t>
          <w:tab/>
          <w:t>238</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193">
        <w:r>
          <w:rPr>
            <w:webHidden/>
          </w:rPr>
          <w:fldChar w:fldCharType="begin"/>
        </w:r>
        <w:r>
          <w:rPr>
            <w:webHidden/>
          </w:rPr>
          <w:instrText>PAGEREF _Toc34921193 \h</w:instrText>
        </w:r>
        <w:r>
          <w:rPr>
            <w:webHidden/>
          </w:rPr>
          <w:fldChar w:fldCharType="separate"/>
        </w:r>
        <w:r>
          <w:rPr>
            <w:webHidden/>
            <w:rStyle w:val="IndexLink"/>
            <w:vanish w:val="false"/>
          </w:rPr>
          <w:t>PRI-07(d): Information Sharing With Third Parties | Reject Unauthorized Disclosure Requests</w:t>
          <w:tab/>
          <w:t>239</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194">
        <w:r>
          <w:rPr>
            <w:webHidden/>
          </w:rPr>
          <w:fldChar w:fldCharType="begin"/>
        </w:r>
        <w:r>
          <w:rPr>
            <w:webHidden/>
          </w:rPr>
          <w:instrText>PAGEREF _Toc34921194 \h</w:instrText>
        </w:r>
        <w:r>
          <w:rPr>
            <w:webHidden/>
          </w:rPr>
          <w:fldChar w:fldCharType="separate"/>
        </w:r>
        <w:r>
          <w:rPr>
            <w:webHidden/>
            <w:rStyle w:val="IndexLink"/>
            <w:vanish w:val="false"/>
          </w:rPr>
          <w:t>PRI-08: Testing, Training &amp; Monitoring</w:t>
          <w:tab/>
          <w:t>239</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195">
        <w:r>
          <w:rPr>
            <w:webHidden/>
          </w:rPr>
          <w:fldChar w:fldCharType="begin"/>
        </w:r>
        <w:r>
          <w:rPr>
            <w:webHidden/>
          </w:rPr>
          <w:instrText>PAGEREF _Toc34921195 \h</w:instrText>
        </w:r>
        <w:r>
          <w:rPr>
            <w:webHidden/>
          </w:rPr>
          <w:fldChar w:fldCharType="separate"/>
        </w:r>
        <w:r>
          <w:rPr>
            <w:webHidden/>
            <w:rStyle w:val="IndexLink"/>
            <w:vanish w:val="false"/>
          </w:rPr>
          <w:t>PRI-09: Personal Data Lineage</w:t>
          <w:tab/>
          <w:t>239</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196">
        <w:r>
          <w:rPr>
            <w:webHidden/>
          </w:rPr>
          <w:fldChar w:fldCharType="begin"/>
        </w:r>
        <w:r>
          <w:rPr>
            <w:webHidden/>
          </w:rPr>
          <w:instrText>PAGEREF _Toc34921196 \h</w:instrText>
        </w:r>
        <w:r>
          <w:rPr>
            <w:webHidden/>
          </w:rPr>
          <w:fldChar w:fldCharType="separate"/>
        </w:r>
        <w:r>
          <w:rPr>
            <w:webHidden/>
            <w:rStyle w:val="IndexLink"/>
            <w:vanish w:val="false"/>
          </w:rPr>
          <w:t>PRI-10: Data Quality Management</w:t>
          <w:tab/>
          <w:t>240</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197">
        <w:r>
          <w:rPr>
            <w:webHidden/>
          </w:rPr>
          <w:fldChar w:fldCharType="begin"/>
        </w:r>
        <w:r>
          <w:rPr>
            <w:webHidden/>
          </w:rPr>
          <w:instrText>PAGEREF _Toc34921197 \h</w:instrText>
        </w:r>
        <w:r>
          <w:rPr>
            <w:webHidden/>
          </w:rPr>
          <w:fldChar w:fldCharType="separate"/>
        </w:r>
        <w:r>
          <w:rPr>
            <w:webHidden/>
            <w:rStyle w:val="IndexLink"/>
            <w:vanish w:val="false"/>
          </w:rPr>
          <w:t>PRI-10(a): Data Quality Management | Automation</w:t>
          <w:tab/>
          <w:t>240</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198">
        <w:r>
          <w:rPr>
            <w:webHidden/>
          </w:rPr>
          <w:fldChar w:fldCharType="begin"/>
        </w:r>
        <w:r>
          <w:rPr>
            <w:webHidden/>
          </w:rPr>
          <w:instrText>PAGEREF _Toc34921198 \h</w:instrText>
        </w:r>
        <w:r>
          <w:rPr>
            <w:webHidden/>
          </w:rPr>
          <w:fldChar w:fldCharType="separate"/>
        </w:r>
        <w:r>
          <w:rPr>
            <w:webHidden/>
            <w:rStyle w:val="IndexLink"/>
            <w:vanish w:val="false"/>
          </w:rPr>
          <w:t>PRI-10(b): Data Quality Management | Data Analytics Bias</w:t>
          <w:tab/>
          <w:t>240</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199">
        <w:r>
          <w:rPr>
            <w:webHidden/>
          </w:rPr>
          <w:fldChar w:fldCharType="begin"/>
        </w:r>
        <w:r>
          <w:rPr>
            <w:webHidden/>
          </w:rPr>
          <w:instrText>PAGEREF _Toc34921199 \h</w:instrText>
        </w:r>
        <w:r>
          <w:rPr>
            <w:webHidden/>
          </w:rPr>
          <w:fldChar w:fldCharType="separate"/>
        </w:r>
        <w:r>
          <w:rPr>
            <w:webHidden/>
            <w:rStyle w:val="IndexLink"/>
            <w:vanish w:val="false"/>
          </w:rPr>
          <w:t>PRI-11: Data Tagging</w:t>
          <w:tab/>
          <w:t>240</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200">
        <w:r>
          <w:rPr>
            <w:webHidden/>
          </w:rPr>
          <w:fldChar w:fldCharType="begin"/>
        </w:r>
        <w:r>
          <w:rPr>
            <w:webHidden/>
          </w:rPr>
          <w:instrText>PAGEREF _Toc34921200 \h</w:instrText>
        </w:r>
        <w:r>
          <w:rPr>
            <w:webHidden/>
          </w:rPr>
          <w:fldChar w:fldCharType="separate"/>
        </w:r>
        <w:r>
          <w:rPr>
            <w:webHidden/>
            <w:rStyle w:val="IndexLink"/>
            <w:vanish w:val="false"/>
          </w:rPr>
          <w:t>PRI-12: Updating Personal Data (PD)</w:t>
          <w:tab/>
          <w:t>241</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201">
        <w:r>
          <w:rPr>
            <w:webHidden/>
          </w:rPr>
          <w:fldChar w:fldCharType="begin"/>
        </w:r>
        <w:r>
          <w:rPr>
            <w:webHidden/>
          </w:rPr>
          <w:instrText>PAGEREF _Toc34921201 \h</w:instrText>
        </w:r>
        <w:r>
          <w:rPr>
            <w:webHidden/>
          </w:rPr>
          <w:fldChar w:fldCharType="separate"/>
        </w:r>
        <w:r>
          <w:rPr>
            <w:webHidden/>
            <w:rStyle w:val="IndexLink"/>
            <w:vanish w:val="false"/>
          </w:rPr>
          <w:t>PRI-13: Data Management Board</w:t>
          <w:tab/>
          <w:t>241</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202">
        <w:r>
          <w:rPr>
            <w:webHidden/>
          </w:rPr>
          <w:fldChar w:fldCharType="begin"/>
        </w:r>
        <w:r>
          <w:rPr>
            <w:webHidden/>
          </w:rPr>
          <w:instrText>PAGEREF _Toc34921202 \h</w:instrText>
        </w:r>
        <w:r>
          <w:rPr>
            <w:webHidden/>
          </w:rPr>
          <w:fldChar w:fldCharType="separate"/>
        </w:r>
        <w:r>
          <w:rPr>
            <w:webHidden/>
            <w:rStyle w:val="IndexLink"/>
            <w:vanish w:val="false"/>
          </w:rPr>
          <w:t>PRI-14: Privacy Records &amp; Reporting</w:t>
          <w:tab/>
          <w:t>241</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203">
        <w:r>
          <w:rPr>
            <w:webHidden/>
          </w:rPr>
          <w:fldChar w:fldCharType="begin"/>
        </w:r>
        <w:r>
          <w:rPr>
            <w:webHidden/>
          </w:rPr>
          <w:instrText>PAGEREF _Toc34921203 \h</w:instrText>
        </w:r>
        <w:r>
          <w:rPr>
            <w:webHidden/>
          </w:rPr>
          <w:fldChar w:fldCharType="separate"/>
        </w:r>
        <w:r>
          <w:rPr>
            <w:webHidden/>
            <w:rStyle w:val="IndexLink"/>
            <w:vanish w:val="false"/>
          </w:rPr>
          <w:t>PRI-14(a): Privacy Records &amp; Reporting | Accounting of Disclosures</w:t>
          <w:tab/>
          <w:t>242</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204">
        <w:r>
          <w:rPr>
            <w:webHidden/>
          </w:rPr>
          <w:fldChar w:fldCharType="begin"/>
        </w:r>
        <w:r>
          <w:rPr>
            <w:webHidden/>
          </w:rPr>
          <w:instrText>PAGEREF _Toc34921204 \h</w:instrText>
        </w:r>
        <w:r>
          <w:rPr>
            <w:webHidden/>
          </w:rPr>
          <w:fldChar w:fldCharType="separate"/>
        </w:r>
        <w:r>
          <w:rPr>
            <w:webHidden/>
            <w:rStyle w:val="IndexLink"/>
            <w:vanish w:val="false"/>
          </w:rPr>
          <w:t>PRI-14(b): Privacy Records &amp; Reporting | Notification of Disclosure Request To Data Subject</w:t>
          <w:tab/>
          <w:t>242</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205">
        <w:r>
          <w:rPr>
            <w:webHidden/>
          </w:rPr>
          <w:fldChar w:fldCharType="begin"/>
        </w:r>
        <w:r>
          <w:rPr>
            <w:webHidden/>
          </w:rPr>
          <w:instrText>PAGEREF _Toc34921205 \h</w:instrText>
        </w:r>
        <w:r>
          <w:rPr>
            <w:webHidden/>
          </w:rPr>
          <w:fldChar w:fldCharType="separate"/>
        </w:r>
        <w:r>
          <w:rPr>
            <w:webHidden/>
            <w:rStyle w:val="IndexLink"/>
            <w:vanish w:val="false"/>
          </w:rPr>
          <w:t>PRI-15: Register Database</w:t>
          <w:tab/>
          <w:t>242</w:t>
        </w:r>
        <w:r>
          <w:rPr>
            <w:webHidden/>
          </w:rPr>
          <w:fldChar w:fldCharType="end"/>
        </w:r>
      </w:hyperlink>
    </w:p>
    <w:p>
      <w:pPr>
        <w:pStyle w:val="Contents1"/>
        <w:rPr>
          <w:rFonts w:eastAsia="" w:cs="" w:cstheme="minorBidi" w:eastAsiaTheme="minorEastAsia"/>
          <w:b w:val="false"/>
          <w:b w:val="false"/>
          <w:caps w:val="false"/>
          <w:smallCaps w:val="false"/>
          <w:color w:val="auto"/>
          <w:sz w:val="22"/>
          <w:szCs w:val="22"/>
          <w:u w:val="none"/>
        </w:rPr>
      </w:pPr>
      <w:hyperlink w:anchor="_Toc34921206">
        <w:r>
          <w:rPr>
            <w:webHidden/>
          </w:rPr>
          <w:fldChar w:fldCharType="begin"/>
        </w:r>
        <w:r>
          <w:rPr>
            <w:webHidden/>
          </w:rPr>
          <w:instrText>PAGEREF _Toc34921206 \h</w:instrText>
        </w:r>
        <w:r>
          <w:rPr>
            <w:webHidden/>
          </w:rPr>
          <w:fldChar w:fldCharType="separate"/>
        </w:r>
        <w:r>
          <w:rPr>
            <w:webHidden/>
            <w:rStyle w:val="IndexLink"/>
            <w:vanish w:val="false"/>
          </w:rPr>
          <w:t>Project &amp; Resource Management (PRM) Policy &amp; Standards</w:t>
          <w:tab/>
          <w:t>243</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207">
        <w:r>
          <w:rPr>
            <w:webHidden/>
          </w:rPr>
          <w:fldChar w:fldCharType="begin"/>
        </w:r>
        <w:r>
          <w:rPr>
            <w:webHidden/>
          </w:rPr>
          <w:instrText>PAGEREF _Toc34921207 \h</w:instrText>
        </w:r>
        <w:r>
          <w:rPr>
            <w:webHidden/>
          </w:rPr>
          <w:fldChar w:fldCharType="separate"/>
        </w:r>
        <w:r>
          <w:rPr>
            <w:webHidden/>
            <w:rStyle w:val="IndexLink"/>
            <w:vanish w:val="false"/>
          </w:rPr>
          <w:t>PRM-01: Security Portfolio Management</w:t>
          <w:tab/>
          <w:t>243</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208">
        <w:r>
          <w:rPr>
            <w:webHidden/>
          </w:rPr>
          <w:fldChar w:fldCharType="begin"/>
        </w:r>
        <w:r>
          <w:rPr>
            <w:webHidden/>
          </w:rPr>
          <w:instrText>PAGEREF _Toc34921208 \h</w:instrText>
        </w:r>
        <w:r>
          <w:rPr>
            <w:webHidden/>
          </w:rPr>
          <w:fldChar w:fldCharType="separate"/>
        </w:r>
        <w:r>
          <w:rPr>
            <w:webHidden/>
            <w:rStyle w:val="IndexLink"/>
            <w:vanish w:val="false"/>
          </w:rPr>
          <w:t>PRM-01(a): Security Portfolio Management | Strategic Plan &amp; Objectives</w:t>
          <w:tab/>
          <w:t>243</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209">
        <w:r>
          <w:rPr>
            <w:webHidden/>
          </w:rPr>
          <w:fldChar w:fldCharType="begin"/>
        </w:r>
        <w:r>
          <w:rPr>
            <w:webHidden/>
          </w:rPr>
          <w:instrText>PAGEREF _Toc34921209 \h</w:instrText>
        </w:r>
        <w:r>
          <w:rPr>
            <w:webHidden/>
          </w:rPr>
          <w:fldChar w:fldCharType="separate"/>
        </w:r>
        <w:r>
          <w:rPr>
            <w:webHidden/>
            <w:rStyle w:val="IndexLink"/>
            <w:vanish w:val="false"/>
          </w:rPr>
          <w:t>PRM-01(b): Security Portfolio Management | Targeted Capability Maturity Levels</w:t>
          <w:tab/>
          <w:t>243</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210">
        <w:r>
          <w:rPr>
            <w:webHidden/>
          </w:rPr>
          <w:fldChar w:fldCharType="begin"/>
        </w:r>
        <w:r>
          <w:rPr>
            <w:webHidden/>
          </w:rPr>
          <w:instrText>PAGEREF _Toc34921210 \h</w:instrText>
        </w:r>
        <w:r>
          <w:rPr>
            <w:webHidden/>
          </w:rPr>
          <w:fldChar w:fldCharType="separate"/>
        </w:r>
        <w:r>
          <w:rPr>
            <w:webHidden/>
            <w:rStyle w:val="IndexLink"/>
            <w:vanish w:val="false"/>
          </w:rPr>
          <w:t>PRM-02: Security &amp; Privacy Resource Management</w:t>
          <w:tab/>
          <w:t>243</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211">
        <w:r>
          <w:rPr>
            <w:webHidden/>
          </w:rPr>
          <w:fldChar w:fldCharType="begin"/>
        </w:r>
        <w:r>
          <w:rPr>
            <w:webHidden/>
          </w:rPr>
          <w:instrText>PAGEREF _Toc34921211 \h</w:instrText>
        </w:r>
        <w:r>
          <w:rPr>
            <w:webHidden/>
          </w:rPr>
          <w:fldChar w:fldCharType="separate"/>
        </w:r>
        <w:r>
          <w:rPr>
            <w:webHidden/>
            <w:rStyle w:val="IndexLink"/>
            <w:vanish w:val="false"/>
          </w:rPr>
          <w:t>PRM-03: Allocation of Resources</w:t>
          <w:tab/>
          <w:t>244</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212">
        <w:r>
          <w:rPr>
            <w:webHidden/>
          </w:rPr>
          <w:fldChar w:fldCharType="begin"/>
        </w:r>
        <w:r>
          <w:rPr>
            <w:webHidden/>
          </w:rPr>
          <w:instrText>PAGEREF _Toc34921212 \h</w:instrText>
        </w:r>
        <w:r>
          <w:rPr>
            <w:webHidden/>
          </w:rPr>
          <w:fldChar w:fldCharType="separate"/>
        </w:r>
        <w:r>
          <w:rPr>
            <w:webHidden/>
            <w:rStyle w:val="IndexLink"/>
            <w:vanish w:val="false"/>
          </w:rPr>
          <w:t>PRM-04: Security &amp; Privacy In Project Management</w:t>
          <w:tab/>
          <w:t>244</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213">
        <w:r>
          <w:rPr>
            <w:webHidden/>
          </w:rPr>
          <w:fldChar w:fldCharType="begin"/>
        </w:r>
        <w:r>
          <w:rPr>
            <w:webHidden/>
          </w:rPr>
          <w:instrText>PAGEREF _Toc34921213 \h</w:instrText>
        </w:r>
        <w:r>
          <w:rPr>
            <w:webHidden/>
          </w:rPr>
          <w:fldChar w:fldCharType="separate"/>
        </w:r>
        <w:r>
          <w:rPr>
            <w:webHidden/>
            <w:rStyle w:val="IndexLink"/>
            <w:vanish w:val="false"/>
          </w:rPr>
          <w:t>PRM-05: Security &amp; Privacy Requirements Definition</w:t>
          <w:tab/>
          <w:t>244</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214">
        <w:r>
          <w:rPr>
            <w:webHidden/>
          </w:rPr>
          <w:fldChar w:fldCharType="begin"/>
        </w:r>
        <w:r>
          <w:rPr>
            <w:webHidden/>
          </w:rPr>
          <w:instrText>PAGEREF _Toc34921214 \h</w:instrText>
        </w:r>
        <w:r>
          <w:rPr>
            <w:webHidden/>
          </w:rPr>
          <w:fldChar w:fldCharType="separate"/>
        </w:r>
        <w:r>
          <w:rPr>
            <w:webHidden/>
            <w:rStyle w:val="IndexLink"/>
            <w:vanish w:val="false"/>
          </w:rPr>
          <w:t>PRM-06: Business Process Definition</w:t>
          <w:tab/>
          <w:t>245</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215">
        <w:r>
          <w:rPr>
            <w:webHidden/>
          </w:rPr>
          <w:fldChar w:fldCharType="begin"/>
        </w:r>
        <w:r>
          <w:rPr>
            <w:webHidden/>
          </w:rPr>
          <w:instrText>PAGEREF _Toc34921215 \h</w:instrText>
        </w:r>
        <w:r>
          <w:rPr>
            <w:webHidden/>
          </w:rPr>
          <w:fldChar w:fldCharType="separate"/>
        </w:r>
        <w:r>
          <w:rPr>
            <w:webHidden/>
            <w:rStyle w:val="IndexLink"/>
            <w:vanish w:val="false"/>
          </w:rPr>
          <w:t>PRM-07: Secure Development Life Cycle (SDLC) Management</w:t>
          <w:tab/>
          <w:t>245</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216">
        <w:r>
          <w:rPr>
            <w:webHidden/>
          </w:rPr>
          <w:fldChar w:fldCharType="begin"/>
        </w:r>
        <w:r>
          <w:rPr>
            <w:webHidden/>
          </w:rPr>
          <w:instrText>PAGEREF _Toc34921216 \h</w:instrText>
        </w:r>
        <w:r>
          <w:rPr>
            <w:webHidden/>
          </w:rPr>
          <w:fldChar w:fldCharType="separate"/>
        </w:r>
        <w:r>
          <w:rPr>
            <w:webHidden/>
            <w:rStyle w:val="IndexLink"/>
            <w:vanish w:val="false"/>
          </w:rPr>
          <w:t>PRM-08: Manage Organizational Knowledge</w:t>
          <w:tab/>
          <w:t>245</w:t>
        </w:r>
        <w:r>
          <w:rPr>
            <w:webHidden/>
          </w:rPr>
          <w:fldChar w:fldCharType="end"/>
        </w:r>
      </w:hyperlink>
    </w:p>
    <w:p>
      <w:pPr>
        <w:pStyle w:val="Contents1"/>
        <w:rPr>
          <w:rFonts w:eastAsia="" w:cs="" w:cstheme="minorBidi" w:eastAsiaTheme="minorEastAsia"/>
          <w:b w:val="false"/>
          <w:b w:val="false"/>
          <w:caps w:val="false"/>
          <w:smallCaps w:val="false"/>
          <w:color w:val="auto"/>
          <w:sz w:val="22"/>
          <w:szCs w:val="22"/>
          <w:u w:val="none"/>
        </w:rPr>
      </w:pPr>
      <w:hyperlink w:anchor="_Toc34921217">
        <w:r>
          <w:rPr>
            <w:webHidden/>
          </w:rPr>
          <w:fldChar w:fldCharType="begin"/>
        </w:r>
        <w:r>
          <w:rPr>
            <w:webHidden/>
          </w:rPr>
          <w:instrText>PAGEREF _Toc34921217 \h</w:instrText>
        </w:r>
        <w:r>
          <w:rPr>
            <w:webHidden/>
          </w:rPr>
          <w:fldChar w:fldCharType="separate"/>
        </w:r>
        <w:r>
          <w:rPr>
            <w:webHidden/>
            <w:rStyle w:val="IndexLink"/>
            <w:vanish w:val="false"/>
          </w:rPr>
          <w:t>Risk Management (RSK) Policy &amp; Standards</w:t>
          <w:tab/>
          <w:t>246</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218">
        <w:r>
          <w:rPr>
            <w:webHidden/>
          </w:rPr>
          <w:fldChar w:fldCharType="begin"/>
        </w:r>
        <w:r>
          <w:rPr>
            <w:webHidden/>
          </w:rPr>
          <w:instrText>PAGEREF _Toc34921218 \h</w:instrText>
        </w:r>
        <w:r>
          <w:rPr>
            <w:webHidden/>
          </w:rPr>
          <w:fldChar w:fldCharType="separate"/>
        </w:r>
        <w:r>
          <w:rPr>
            <w:webHidden/>
            <w:rStyle w:val="IndexLink"/>
            <w:vanish w:val="false"/>
          </w:rPr>
          <w:t>RSK-01: Risk Management Program</w:t>
          <w:tab/>
          <w:t>246</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219">
        <w:r>
          <w:rPr>
            <w:webHidden/>
          </w:rPr>
          <w:fldChar w:fldCharType="begin"/>
        </w:r>
        <w:r>
          <w:rPr>
            <w:webHidden/>
          </w:rPr>
          <w:instrText>PAGEREF _Toc34921219 \h</w:instrText>
        </w:r>
        <w:r>
          <w:rPr>
            <w:webHidden/>
          </w:rPr>
          <w:fldChar w:fldCharType="separate"/>
        </w:r>
        <w:r>
          <w:rPr>
            <w:webHidden/>
            <w:rStyle w:val="IndexLink"/>
            <w:vanish w:val="false"/>
          </w:rPr>
          <w:t>RSK-01(a): Risk Management Program (RMP) | Risk Framing</w:t>
          <w:tab/>
          <w:t>246</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220">
        <w:r>
          <w:rPr>
            <w:webHidden/>
          </w:rPr>
          <w:fldChar w:fldCharType="begin"/>
        </w:r>
        <w:r>
          <w:rPr>
            <w:webHidden/>
          </w:rPr>
          <w:instrText>PAGEREF _Toc34921220 \h</w:instrText>
        </w:r>
        <w:r>
          <w:rPr>
            <w:webHidden/>
          </w:rPr>
          <w:fldChar w:fldCharType="separate"/>
        </w:r>
        <w:r>
          <w:rPr>
            <w:webHidden/>
            <w:rStyle w:val="IndexLink"/>
            <w:vanish w:val="false"/>
          </w:rPr>
          <w:t>RSK-02: Risk-Based Security Categorization</w:t>
          <w:tab/>
          <w:t>247</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221">
        <w:r>
          <w:rPr>
            <w:webHidden/>
          </w:rPr>
          <w:fldChar w:fldCharType="begin"/>
        </w:r>
        <w:r>
          <w:rPr>
            <w:webHidden/>
          </w:rPr>
          <w:instrText>PAGEREF _Toc34921221 \h</w:instrText>
        </w:r>
        <w:r>
          <w:rPr>
            <w:webHidden/>
          </w:rPr>
          <w:fldChar w:fldCharType="separate"/>
        </w:r>
        <w:r>
          <w:rPr>
            <w:webHidden/>
            <w:rStyle w:val="IndexLink"/>
            <w:vanish w:val="false"/>
          </w:rPr>
          <w:t>RSK-03: Risk Identification</w:t>
          <w:tab/>
          <w:t>247</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222">
        <w:r>
          <w:rPr>
            <w:webHidden/>
          </w:rPr>
          <w:fldChar w:fldCharType="begin"/>
        </w:r>
        <w:r>
          <w:rPr>
            <w:webHidden/>
          </w:rPr>
          <w:instrText>PAGEREF _Toc34921222 \h</w:instrText>
        </w:r>
        <w:r>
          <w:rPr>
            <w:webHidden/>
          </w:rPr>
          <w:fldChar w:fldCharType="separate"/>
        </w:r>
        <w:r>
          <w:rPr>
            <w:webHidden/>
            <w:rStyle w:val="IndexLink"/>
            <w:vanish w:val="false"/>
          </w:rPr>
          <w:t>RSK-04: Risk Assessment</w:t>
          <w:tab/>
          <w:t>247</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223">
        <w:r>
          <w:rPr>
            <w:webHidden/>
          </w:rPr>
          <w:fldChar w:fldCharType="begin"/>
        </w:r>
        <w:r>
          <w:rPr>
            <w:webHidden/>
          </w:rPr>
          <w:instrText>PAGEREF _Toc34921223 \h</w:instrText>
        </w:r>
        <w:r>
          <w:rPr>
            <w:webHidden/>
          </w:rPr>
          <w:fldChar w:fldCharType="separate"/>
        </w:r>
        <w:r>
          <w:rPr>
            <w:webHidden/>
            <w:rStyle w:val="IndexLink"/>
            <w:vanish w:val="false"/>
          </w:rPr>
          <w:t>RSK-04(a): Risk Assessment | Risk Register</w:t>
          <w:tab/>
          <w:t>248</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224">
        <w:r>
          <w:rPr>
            <w:webHidden/>
          </w:rPr>
          <w:fldChar w:fldCharType="begin"/>
        </w:r>
        <w:r>
          <w:rPr>
            <w:webHidden/>
          </w:rPr>
          <w:instrText>PAGEREF _Toc34921224 \h</w:instrText>
        </w:r>
        <w:r>
          <w:rPr>
            <w:webHidden/>
          </w:rPr>
          <w:fldChar w:fldCharType="separate"/>
        </w:r>
        <w:r>
          <w:rPr>
            <w:webHidden/>
            <w:rStyle w:val="IndexLink"/>
            <w:vanish w:val="false"/>
          </w:rPr>
          <w:t>RSK-05: Risk Ranking</w:t>
          <w:tab/>
          <w:t>248</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225">
        <w:r>
          <w:rPr>
            <w:webHidden/>
          </w:rPr>
          <w:fldChar w:fldCharType="begin"/>
        </w:r>
        <w:r>
          <w:rPr>
            <w:webHidden/>
          </w:rPr>
          <w:instrText>PAGEREF _Toc34921225 \h</w:instrText>
        </w:r>
        <w:r>
          <w:rPr>
            <w:webHidden/>
          </w:rPr>
          <w:fldChar w:fldCharType="separate"/>
        </w:r>
        <w:r>
          <w:rPr>
            <w:webHidden/>
            <w:rStyle w:val="IndexLink"/>
            <w:vanish w:val="false"/>
          </w:rPr>
          <w:t>RSK-06: Risk Remediation</w:t>
          <w:tab/>
          <w:t>248</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226">
        <w:r>
          <w:rPr>
            <w:webHidden/>
          </w:rPr>
          <w:fldChar w:fldCharType="begin"/>
        </w:r>
        <w:r>
          <w:rPr>
            <w:webHidden/>
          </w:rPr>
          <w:instrText>PAGEREF _Toc34921226 \h</w:instrText>
        </w:r>
        <w:r>
          <w:rPr>
            <w:webHidden/>
          </w:rPr>
          <w:fldChar w:fldCharType="separate"/>
        </w:r>
        <w:r>
          <w:rPr>
            <w:webHidden/>
            <w:rStyle w:val="IndexLink"/>
            <w:vanish w:val="false"/>
          </w:rPr>
          <w:t>RSK-06(a): Risk Remediation | Risk Response</w:t>
          <w:tab/>
          <w:t>248</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227">
        <w:r>
          <w:rPr>
            <w:webHidden/>
          </w:rPr>
          <w:fldChar w:fldCharType="begin"/>
        </w:r>
        <w:r>
          <w:rPr>
            <w:webHidden/>
          </w:rPr>
          <w:instrText>PAGEREF _Toc34921227 \h</w:instrText>
        </w:r>
        <w:r>
          <w:rPr>
            <w:webHidden/>
          </w:rPr>
          <w:fldChar w:fldCharType="separate"/>
        </w:r>
        <w:r>
          <w:rPr>
            <w:webHidden/>
            <w:rStyle w:val="IndexLink"/>
            <w:vanish w:val="false"/>
          </w:rPr>
          <w:t>RSK-07: Risk Assessment Update</w:t>
          <w:tab/>
          <w:t>249</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228">
        <w:r>
          <w:rPr>
            <w:webHidden/>
          </w:rPr>
          <w:fldChar w:fldCharType="begin"/>
        </w:r>
        <w:r>
          <w:rPr>
            <w:webHidden/>
          </w:rPr>
          <w:instrText>PAGEREF _Toc34921228 \h</w:instrText>
        </w:r>
        <w:r>
          <w:rPr>
            <w:webHidden/>
          </w:rPr>
          <w:fldChar w:fldCharType="separate"/>
        </w:r>
        <w:r>
          <w:rPr>
            <w:webHidden/>
            <w:rStyle w:val="IndexLink"/>
            <w:vanish w:val="false"/>
          </w:rPr>
          <w:t>RSK-08: Business Impact Analysis (BIAs)</w:t>
          <w:tab/>
          <w:t>249</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229">
        <w:r>
          <w:rPr>
            <w:webHidden/>
          </w:rPr>
          <w:fldChar w:fldCharType="begin"/>
        </w:r>
        <w:r>
          <w:rPr>
            <w:webHidden/>
          </w:rPr>
          <w:instrText>PAGEREF _Toc34921229 \h</w:instrText>
        </w:r>
        <w:r>
          <w:rPr>
            <w:webHidden/>
          </w:rPr>
          <w:fldChar w:fldCharType="separate"/>
        </w:r>
        <w:r>
          <w:rPr>
            <w:webHidden/>
            <w:rStyle w:val="IndexLink"/>
            <w:vanish w:val="false"/>
          </w:rPr>
          <w:t>RSK-09: Supply Chain Risk Management (SCRM)</w:t>
          <w:tab/>
          <w:t>249</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230">
        <w:r>
          <w:rPr>
            <w:webHidden/>
          </w:rPr>
          <w:fldChar w:fldCharType="begin"/>
        </w:r>
        <w:r>
          <w:rPr>
            <w:webHidden/>
          </w:rPr>
          <w:instrText>PAGEREF _Toc34921230 \h</w:instrText>
        </w:r>
        <w:r>
          <w:rPr>
            <w:webHidden/>
          </w:rPr>
          <w:fldChar w:fldCharType="separate"/>
        </w:r>
        <w:r>
          <w:rPr>
            <w:webHidden/>
            <w:rStyle w:val="IndexLink"/>
            <w:vanish w:val="false"/>
          </w:rPr>
          <w:t>RSK-09(a): Supply Chain Risk Management (SCRM) | Supply Chain Risk Assessment</w:t>
          <w:tab/>
          <w:t>250</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231">
        <w:r>
          <w:rPr>
            <w:webHidden/>
          </w:rPr>
          <w:fldChar w:fldCharType="begin"/>
        </w:r>
        <w:r>
          <w:rPr>
            <w:webHidden/>
          </w:rPr>
          <w:instrText>PAGEREF _Toc34921231 \h</w:instrText>
        </w:r>
        <w:r>
          <w:rPr>
            <w:webHidden/>
          </w:rPr>
          <w:fldChar w:fldCharType="separate"/>
        </w:r>
        <w:r>
          <w:rPr>
            <w:webHidden/>
            <w:rStyle w:val="IndexLink"/>
            <w:vanish w:val="false"/>
          </w:rPr>
          <w:t>RSK-10: Data Protection Impact Assessment (DPIA)</w:t>
          <w:tab/>
          <w:t>251</w:t>
        </w:r>
        <w:r>
          <w:rPr>
            <w:webHidden/>
          </w:rPr>
          <w:fldChar w:fldCharType="end"/>
        </w:r>
      </w:hyperlink>
    </w:p>
    <w:p>
      <w:pPr>
        <w:pStyle w:val="Contents1"/>
        <w:rPr>
          <w:rFonts w:eastAsia="" w:cs="" w:cstheme="minorBidi" w:eastAsiaTheme="minorEastAsia"/>
          <w:b w:val="false"/>
          <w:b w:val="false"/>
          <w:caps w:val="false"/>
          <w:smallCaps w:val="false"/>
          <w:color w:val="auto"/>
          <w:sz w:val="22"/>
          <w:szCs w:val="22"/>
          <w:u w:val="none"/>
        </w:rPr>
      </w:pPr>
      <w:hyperlink w:anchor="_Toc34921232">
        <w:r>
          <w:rPr>
            <w:webHidden/>
          </w:rPr>
          <w:fldChar w:fldCharType="begin"/>
        </w:r>
        <w:r>
          <w:rPr>
            <w:webHidden/>
          </w:rPr>
          <w:instrText>PAGEREF _Toc34921232 \h</w:instrText>
        </w:r>
        <w:r>
          <w:rPr>
            <w:webHidden/>
          </w:rPr>
          <w:fldChar w:fldCharType="separate"/>
        </w:r>
        <w:r>
          <w:rPr>
            <w:webHidden/>
            <w:rStyle w:val="IndexLink"/>
            <w:vanish w:val="false"/>
          </w:rPr>
          <w:t>Secure Engineering &amp; Architecture (SEA) Policy &amp; Standards</w:t>
          <w:tab/>
          <w:t>252</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233">
        <w:r>
          <w:rPr>
            <w:webHidden/>
          </w:rPr>
          <w:fldChar w:fldCharType="begin"/>
        </w:r>
        <w:r>
          <w:rPr>
            <w:webHidden/>
          </w:rPr>
          <w:instrText>PAGEREF _Toc34921233 \h</w:instrText>
        </w:r>
        <w:r>
          <w:rPr>
            <w:webHidden/>
          </w:rPr>
          <w:fldChar w:fldCharType="separate"/>
        </w:r>
        <w:r>
          <w:rPr>
            <w:webHidden/>
            <w:rStyle w:val="IndexLink"/>
            <w:vanish w:val="false"/>
          </w:rPr>
          <w:t>SEA-01: Secure Engineering Principles</w:t>
          <w:tab/>
          <w:t>252</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234">
        <w:r>
          <w:rPr>
            <w:webHidden/>
          </w:rPr>
          <w:fldChar w:fldCharType="begin"/>
        </w:r>
        <w:r>
          <w:rPr>
            <w:webHidden/>
          </w:rPr>
          <w:instrText>PAGEREF _Toc34921234 \h</w:instrText>
        </w:r>
        <w:r>
          <w:rPr>
            <w:webHidden/>
          </w:rPr>
          <w:fldChar w:fldCharType="separate"/>
        </w:r>
        <w:r>
          <w:rPr>
            <w:webHidden/>
            <w:rStyle w:val="IndexLink"/>
            <w:vanish w:val="false"/>
          </w:rPr>
          <w:t>SEA-01(a): Secure Engineering Principles | Centralized Management of Cybersecurity &amp; Privacy Controls</w:t>
          <w:tab/>
          <w:t>253</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235">
        <w:r>
          <w:rPr>
            <w:webHidden/>
          </w:rPr>
          <w:fldChar w:fldCharType="begin"/>
        </w:r>
        <w:r>
          <w:rPr>
            <w:webHidden/>
          </w:rPr>
          <w:instrText>PAGEREF _Toc34921235 \h</w:instrText>
        </w:r>
        <w:r>
          <w:rPr>
            <w:webHidden/>
          </w:rPr>
          <w:fldChar w:fldCharType="separate"/>
        </w:r>
        <w:r>
          <w:rPr>
            <w:webHidden/>
            <w:rStyle w:val="IndexLink"/>
            <w:vanish w:val="false"/>
          </w:rPr>
          <w:t>SEA-02: Alignment With Enterprise Architecture</w:t>
          <w:tab/>
          <w:t>253</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236">
        <w:r>
          <w:rPr>
            <w:webHidden/>
          </w:rPr>
          <w:fldChar w:fldCharType="begin"/>
        </w:r>
        <w:r>
          <w:rPr>
            <w:webHidden/>
          </w:rPr>
          <w:instrText>PAGEREF _Toc34921236 \h</w:instrText>
        </w:r>
        <w:r>
          <w:rPr>
            <w:webHidden/>
          </w:rPr>
          <w:fldChar w:fldCharType="separate"/>
        </w:r>
        <w:r>
          <w:rPr>
            <w:webHidden/>
            <w:rStyle w:val="IndexLink"/>
            <w:vanish w:val="false"/>
          </w:rPr>
          <w:t>SEA-02(a): Alignment With Enterprise Architecture | Standardized Terminology</w:t>
          <w:tab/>
          <w:t>253</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237">
        <w:r>
          <w:rPr>
            <w:webHidden/>
          </w:rPr>
          <w:fldChar w:fldCharType="begin"/>
        </w:r>
        <w:r>
          <w:rPr>
            <w:webHidden/>
          </w:rPr>
          <w:instrText>PAGEREF _Toc34921237 \h</w:instrText>
        </w:r>
        <w:r>
          <w:rPr>
            <w:webHidden/>
          </w:rPr>
          <w:fldChar w:fldCharType="separate"/>
        </w:r>
        <w:r>
          <w:rPr>
            <w:webHidden/>
            <w:rStyle w:val="IndexLink"/>
            <w:vanish w:val="false"/>
          </w:rPr>
          <w:t>SEA-03: Defense-In-Depth (DiD) Architecture</w:t>
          <w:tab/>
          <w:t>253</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238">
        <w:r>
          <w:rPr>
            <w:webHidden/>
          </w:rPr>
          <w:fldChar w:fldCharType="begin"/>
        </w:r>
        <w:r>
          <w:rPr>
            <w:webHidden/>
          </w:rPr>
          <w:instrText>PAGEREF _Toc34921238 \h</w:instrText>
        </w:r>
        <w:r>
          <w:rPr>
            <w:webHidden/>
          </w:rPr>
          <w:fldChar w:fldCharType="separate"/>
        </w:r>
        <w:r>
          <w:rPr>
            <w:webHidden/>
            <w:rStyle w:val="IndexLink"/>
            <w:vanish w:val="false"/>
          </w:rPr>
          <w:t>SEA-03(a): Defense-In-Depth (DiD) Architecture | System Partitioning</w:t>
          <w:tab/>
          <w:t>254</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239">
        <w:r>
          <w:rPr>
            <w:webHidden/>
          </w:rPr>
          <w:fldChar w:fldCharType="begin"/>
        </w:r>
        <w:r>
          <w:rPr>
            <w:webHidden/>
          </w:rPr>
          <w:instrText>PAGEREF _Toc34921239 \h</w:instrText>
        </w:r>
        <w:r>
          <w:rPr>
            <w:webHidden/>
          </w:rPr>
          <w:fldChar w:fldCharType="separate"/>
        </w:r>
        <w:r>
          <w:rPr>
            <w:webHidden/>
            <w:rStyle w:val="IndexLink"/>
            <w:vanish w:val="false"/>
          </w:rPr>
          <w:t>SEA-03(b): Defense-In-Depth (DiD) Architecture | Application Partitioning</w:t>
          <w:tab/>
          <w:t>254</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240">
        <w:r>
          <w:rPr>
            <w:webHidden/>
          </w:rPr>
          <w:fldChar w:fldCharType="begin"/>
        </w:r>
        <w:r>
          <w:rPr>
            <w:webHidden/>
          </w:rPr>
          <w:instrText>PAGEREF _Toc34921240 \h</w:instrText>
        </w:r>
        <w:r>
          <w:rPr>
            <w:webHidden/>
          </w:rPr>
          <w:fldChar w:fldCharType="separate"/>
        </w:r>
        <w:r>
          <w:rPr>
            <w:webHidden/>
            <w:rStyle w:val="IndexLink"/>
            <w:vanish w:val="false"/>
          </w:rPr>
          <w:t>SEA-04: Process Isolation</w:t>
          <w:tab/>
          <w:t>254</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241">
        <w:r>
          <w:rPr>
            <w:webHidden/>
          </w:rPr>
          <w:fldChar w:fldCharType="begin"/>
        </w:r>
        <w:r>
          <w:rPr>
            <w:webHidden/>
          </w:rPr>
          <w:instrText>PAGEREF _Toc34921241 \h</w:instrText>
        </w:r>
        <w:r>
          <w:rPr>
            <w:webHidden/>
          </w:rPr>
          <w:fldChar w:fldCharType="separate"/>
        </w:r>
        <w:r>
          <w:rPr>
            <w:webHidden/>
            <w:rStyle w:val="IndexLink"/>
            <w:vanish w:val="false"/>
          </w:rPr>
          <w:t>SEA-04(a): Process Isolation | Security Function Isolation</w:t>
          <w:tab/>
          <w:t>255</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242">
        <w:r>
          <w:rPr>
            <w:webHidden/>
          </w:rPr>
          <w:fldChar w:fldCharType="begin"/>
        </w:r>
        <w:r>
          <w:rPr>
            <w:webHidden/>
          </w:rPr>
          <w:instrText>PAGEREF _Toc34921242 \h</w:instrText>
        </w:r>
        <w:r>
          <w:rPr>
            <w:webHidden/>
          </w:rPr>
          <w:fldChar w:fldCharType="separate"/>
        </w:r>
        <w:r>
          <w:rPr>
            <w:webHidden/>
            <w:rStyle w:val="IndexLink"/>
            <w:vanish w:val="false"/>
          </w:rPr>
          <w:t>SEA-04(b): Process Isolation | Hardware Separation</w:t>
          <w:tab/>
          <w:t>255</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243">
        <w:r>
          <w:rPr>
            <w:webHidden/>
          </w:rPr>
          <w:fldChar w:fldCharType="begin"/>
        </w:r>
        <w:r>
          <w:rPr>
            <w:webHidden/>
          </w:rPr>
          <w:instrText>PAGEREF _Toc34921243 \h</w:instrText>
        </w:r>
        <w:r>
          <w:rPr>
            <w:webHidden/>
          </w:rPr>
          <w:fldChar w:fldCharType="separate"/>
        </w:r>
        <w:r>
          <w:rPr>
            <w:webHidden/>
            <w:rStyle w:val="IndexLink"/>
            <w:vanish w:val="false"/>
          </w:rPr>
          <w:t>SEA-04(c): Process Isolation | Thread Separation</w:t>
          <w:tab/>
          <w:t>255</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244">
        <w:r>
          <w:rPr>
            <w:webHidden/>
          </w:rPr>
          <w:fldChar w:fldCharType="begin"/>
        </w:r>
        <w:r>
          <w:rPr>
            <w:webHidden/>
          </w:rPr>
          <w:instrText>PAGEREF _Toc34921244 \h</w:instrText>
        </w:r>
        <w:r>
          <w:rPr>
            <w:webHidden/>
          </w:rPr>
          <w:fldChar w:fldCharType="separate"/>
        </w:r>
        <w:r>
          <w:rPr>
            <w:webHidden/>
            <w:rStyle w:val="IndexLink"/>
            <w:vanish w:val="false"/>
          </w:rPr>
          <w:t>SEA-05: Information In Shared Resources</w:t>
          <w:tab/>
          <w:t>256</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245">
        <w:r>
          <w:rPr>
            <w:webHidden/>
          </w:rPr>
          <w:fldChar w:fldCharType="begin"/>
        </w:r>
        <w:r>
          <w:rPr>
            <w:webHidden/>
          </w:rPr>
          <w:instrText>PAGEREF _Toc34921245 \h</w:instrText>
        </w:r>
        <w:r>
          <w:rPr>
            <w:webHidden/>
          </w:rPr>
          <w:fldChar w:fldCharType="separate"/>
        </w:r>
        <w:r>
          <w:rPr>
            <w:webHidden/>
            <w:rStyle w:val="IndexLink"/>
            <w:vanish w:val="false"/>
          </w:rPr>
          <w:t>SEA-06: Prevent Program Execution</w:t>
          <w:tab/>
          <w:t>256</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246">
        <w:r>
          <w:rPr>
            <w:webHidden/>
          </w:rPr>
          <w:fldChar w:fldCharType="begin"/>
        </w:r>
        <w:r>
          <w:rPr>
            <w:webHidden/>
          </w:rPr>
          <w:instrText>PAGEREF _Toc34921246 \h</w:instrText>
        </w:r>
        <w:r>
          <w:rPr>
            <w:webHidden/>
          </w:rPr>
          <w:fldChar w:fldCharType="separate"/>
        </w:r>
        <w:r>
          <w:rPr>
            <w:webHidden/>
            <w:rStyle w:val="IndexLink"/>
            <w:vanish w:val="false"/>
          </w:rPr>
          <w:t>SEA-07: Predictable Failure Analysis</w:t>
          <w:tab/>
          <w:t>256</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247">
        <w:r>
          <w:rPr>
            <w:webHidden/>
          </w:rPr>
          <w:fldChar w:fldCharType="begin"/>
        </w:r>
        <w:r>
          <w:rPr>
            <w:webHidden/>
          </w:rPr>
          <w:instrText>PAGEREF _Toc34921247 \h</w:instrText>
        </w:r>
        <w:r>
          <w:rPr>
            <w:webHidden/>
          </w:rPr>
          <w:fldChar w:fldCharType="separate"/>
        </w:r>
        <w:r>
          <w:rPr>
            <w:webHidden/>
            <w:rStyle w:val="IndexLink"/>
            <w:vanish w:val="false"/>
          </w:rPr>
          <w:t>SEA-07(a): Predictable Failure Analysis | Technology Lifecycle Management</w:t>
          <w:tab/>
          <w:t>256</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248">
        <w:r>
          <w:rPr>
            <w:webHidden/>
          </w:rPr>
          <w:fldChar w:fldCharType="begin"/>
        </w:r>
        <w:r>
          <w:rPr>
            <w:webHidden/>
          </w:rPr>
          <w:instrText>PAGEREF _Toc34921248 \h</w:instrText>
        </w:r>
        <w:r>
          <w:rPr>
            <w:webHidden/>
          </w:rPr>
          <w:fldChar w:fldCharType="separate"/>
        </w:r>
        <w:r>
          <w:rPr>
            <w:webHidden/>
            <w:rStyle w:val="IndexLink"/>
            <w:vanish w:val="false"/>
          </w:rPr>
          <w:t>SEA-07(b): Predictable Failure Analysis | Fail Secure</w:t>
          <w:tab/>
          <w:t>257</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249">
        <w:r>
          <w:rPr>
            <w:webHidden/>
          </w:rPr>
          <w:fldChar w:fldCharType="begin"/>
        </w:r>
        <w:r>
          <w:rPr>
            <w:webHidden/>
          </w:rPr>
          <w:instrText>PAGEREF _Toc34921249 \h</w:instrText>
        </w:r>
        <w:r>
          <w:rPr>
            <w:webHidden/>
          </w:rPr>
          <w:fldChar w:fldCharType="separate"/>
        </w:r>
        <w:r>
          <w:rPr>
            <w:webHidden/>
            <w:rStyle w:val="IndexLink"/>
            <w:vanish w:val="false"/>
          </w:rPr>
          <w:t>SEA-07(c): Predictable Failure Analysis | Fail Safe</w:t>
          <w:tab/>
          <w:t>257</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250">
        <w:r>
          <w:rPr>
            <w:webHidden/>
          </w:rPr>
          <w:fldChar w:fldCharType="begin"/>
        </w:r>
        <w:r>
          <w:rPr>
            <w:webHidden/>
          </w:rPr>
          <w:instrText>PAGEREF _Toc34921250 \h</w:instrText>
        </w:r>
        <w:r>
          <w:rPr>
            <w:webHidden/>
          </w:rPr>
          <w:fldChar w:fldCharType="separate"/>
        </w:r>
        <w:r>
          <w:rPr>
            <w:webHidden/>
            <w:rStyle w:val="IndexLink"/>
            <w:vanish w:val="false"/>
          </w:rPr>
          <w:t>SEA-08: Non-Persistence</w:t>
          <w:tab/>
          <w:t>257</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251">
        <w:r>
          <w:rPr>
            <w:webHidden/>
          </w:rPr>
          <w:fldChar w:fldCharType="begin"/>
        </w:r>
        <w:r>
          <w:rPr>
            <w:webHidden/>
          </w:rPr>
          <w:instrText>PAGEREF _Toc34921251 \h</w:instrText>
        </w:r>
        <w:r>
          <w:rPr>
            <w:webHidden/>
          </w:rPr>
          <w:fldChar w:fldCharType="separate"/>
        </w:r>
        <w:r>
          <w:rPr>
            <w:webHidden/>
            <w:rStyle w:val="IndexLink"/>
            <w:vanish w:val="false"/>
          </w:rPr>
          <w:t>SEA-08(a): Non-Persistence | Refresh from Trusted Sources</w:t>
          <w:tab/>
          <w:t>258</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252">
        <w:r>
          <w:rPr>
            <w:webHidden/>
          </w:rPr>
          <w:fldChar w:fldCharType="begin"/>
        </w:r>
        <w:r>
          <w:rPr>
            <w:webHidden/>
          </w:rPr>
          <w:instrText>PAGEREF _Toc34921252 \h</w:instrText>
        </w:r>
        <w:r>
          <w:rPr>
            <w:webHidden/>
          </w:rPr>
          <w:fldChar w:fldCharType="separate"/>
        </w:r>
        <w:r>
          <w:rPr>
            <w:webHidden/>
            <w:rStyle w:val="IndexLink"/>
            <w:vanish w:val="false"/>
          </w:rPr>
          <w:t>SEA-09: Information Output Filtering</w:t>
          <w:tab/>
          <w:t>258</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253">
        <w:r>
          <w:rPr>
            <w:webHidden/>
          </w:rPr>
          <w:fldChar w:fldCharType="begin"/>
        </w:r>
        <w:r>
          <w:rPr>
            <w:webHidden/>
          </w:rPr>
          <w:instrText>PAGEREF _Toc34921253 \h</w:instrText>
        </w:r>
        <w:r>
          <w:rPr>
            <w:webHidden/>
          </w:rPr>
          <w:fldChar w:fldCharType="separate"/>
        </w:r>
        <w:r>
          <w:rPr>
            <w:webHidden/>
            <w:rStyle w:val="IndexLink"/>
            <w:vanish w:val="false"/>
          </w:rPr>
          <w:t>SEA-09(a): Information Output Filtering | Limit Personal Data (PD) Dissemination</w:t>
          <w:tab/>
          <w:t>258</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254">
        <w:r>
          <w:rPr>
            <w:webHidden/>
          </w:rPr>
          <w:fldChar w:fldCharType="begin"/>
        </w:r>
        <w:r>
          <w:rPr>
            <w:webHidden/>
          </w:rPr>
          <w:instrText>PAGEREF _Toc34921254 \h</w:instrText>
        </w:r>
        <w:r>
          <w:rPr>
            <w:webHidden/>
          </w:rPr>
          <w:fldChar w:fldCharType="separate"/>
        </w:r>
        <w:r>
          <w:rPr>
            <w:webHidden/>
            <w:rStyle w:val="IndexLink"/>
            <w:vanish w:val="false"/>
          </w:rPr>
          <w:t>SEA-10: Memory Protection</w:t>
          <w:tab/>
          <w:t>258</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255">
        <w:r>
          <w:rPr>
            <w:webHidden/>
          </w:rPr>
          <w:fldChar w:fldCharType="begin"/>
        </w:r>
        <w:r>
          <w:rPr>
            <w:webHidden/>
          </w:rPr>
          <w:instrText>PAGEREF _Toc34921255 \h</w:instrText>
        </w:r>
        <w:r>
          <w:rPr>
            <w:webHidden/>
          </w:rPr>
          <w:fldChar w:fldCharType="separate"/>
        </w:r>
        <w:r>
          <w:rPr>
            <w:webHidden/>
            <w:rStyle w:val="IndexLink"/>
            <w:vanish w:val="false"/>
          </w:rPr>
          <w:t>SEA-11: Honeypots</w:t>
          <w:tab/>
          <w:t>259</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256">
        <w:r>
          <w:rPr>
            <w:webHidden/>
          </w:rPr>
          <w:fldChar w:fldCharType="begin"/>
        </w:r>
        <w:r>
          <w:rPr>
            <w:webHidden/>
          </w:rPr>
          <w:instrText>PAGEREF _Toc34921256 \h</w:instrText>
        </w:r>
        <w:r>
          <w:rPr>
            <w:webHidden/>
          </w:rPr>
          <w:fldChar w:fldCharType="separate"/>
        </w:r>
        <w:r>
          <w:rPr>
            <w:webHidden/>
            <w:rStyle w:val="IndexLink"/>
            <w:vanish w:val="false"/>
          </w:rPr>
          <w:t>SEA-12: Honeyclients</w:t>
          <w:tab/>
          <w:t>259</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257">
        <w:r>
          <w:rPr>
            <w:webHidden/>
          </w:rPr>
          <w:fldChar w:fldCharType="begin"/>
        </w:r>
        <w:r>
          <w:rPr>
            <w:webHidden/>
          </w:rPr>
          <w:instrText>PAGEREF _Toc34921257 \h</w:instrText>
        </w:r>
        <w:r>
          <w:rPr>
            <w:webHidden/>
          </w:rPr>
          <w:fldChar w:fldCharType="separate"/>
        </w:r>
        <w:r>
          <w:rPr>
            <w:webHidden/>
            <w:rStyle w:val="IndexLink"/>
            <w:vanish w:val="false"/>
          </w:rPr>
          <w:t>SEA-13: Heterogeneity</w:t>
          <w:tab/>
          <w:t>259</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258">
        <w:r>
          <w:rPr>
            <w:webHidden/>
          </w:rPr>
          <w:fldChar w:fldCharType="begin"/>
        </w:r>
        <w:r>
          <w:rPr>
            <w:webHidden/>
          </w:rPr>
          <w:instrText>PAGEREF _Toc34921258 \h</w:instrText>
        </w:r>
        <w:r>
          <w:rPr>
            <w:webHidden/>
          </w:rPr>
          <w:fldChar w:fldCharType="separate"/>
        </w:r>
        <w:r>
          <w:rPr>
            <w:webHidden/>
            <w:rStyle w:val="IndexLink"/>
            <w:vanish w:val="false"/>
          </w:rPr>
          <w:t>SEA-13(a): Heterogeneity | Virtualization Techniques</w:t>
          <w:tab/>
          <w:t>260</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259">
        <w:r>
          <w:rPr>
            <w:webHidden/>
          </w:rPr>
          <w:fldChar w:fldCharType="begin"/>
        </w:r>
        <w:r>
          <w:rPr>
            <w:webHidden/>
          </w:rPr>
          <w:instrText>PAGEREF _Toc34921259 \h</w:instrText>
        </w:r>
        <w:r>
          <w:rPr>
            <w:webHidden/>
          </w:rPr>
          <w:fldChar w:fldCharType="separate"/>
        </w:r>
        <w:r>
          <w:rPr>
            <w:webHidden/>
            <w:rStyle w:val="IndexLink"/>
            <w:vanish w:val="false"/>
          </w:rPr>
          <w:t>SEA-14: Concealment &amp; Misdirection</w:t>
          <w:tab/>
          <w:t>260</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260">
        <w:r>
          <w:rPr>
            <w:webHidden/>
          </w:rPr>
          <w:fldChar w:fldCharType="begin"/>
        </w:r>
        <w:r>
          <w:rPr>
            <w:webHidden/>
          </w:rPr>
          <w:instrText>PAGEREF _Toc34921260 \h</w:instrText>
        </w:r>
        <w:r>
          <w:rPr>
            <w:webHidden/>
          </w:rPr>
          <w:fldChar w:fldCharType="separate"/>
        </w:r>
        <w:r>
          <w:rPr>
            <w:webHidden/>
            <w:rStyle w:val="IndexLink"/>
            <w:vanish w:val="false"/>
          </w:rPr>
          <w:t>SEA-14(a): Concealment &amp; Misdirection | Randomness</w:t>
          <w:tab/>
          <w:t>260</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261">
        <w:r>
          <w:rPr>
            <w:webHidden/>
          </w:rPr>
          <w:fldChar w:fldCharType="begin"/>
        </w:r>
        <w:r>
          <w:rPr>
            <w:webHidden/>
          </w:rPr>
          <w:instrText>PAGEREF _Toc34921261 \h</w:instrText>
        </w:r>
        <w:r>
          <w:rPr>
            <w:webHidden/>
          </w:rPr>
          <w:fldChar w:fldCharType="separate"/>
        </w:r>
        <w:r>
          <w:rPr>
            <w:webHidden/>
            <w:rStyle w:val="IndexLink"/>
            <w:vanish w:val="false"/>
          </w:rPr>
          <w:t>SEA-14(b): Concealment &amp; Misdirection | Change Processing &amp; Storage Locations</w:t>
          <w:tab/>
          <w:t>261</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262">
        <w:r>
          <w:rPr>
            <w:webHidden/>
          </w:rPr>
          <w:fldChar w:fldCharType="begin"/>
        </w:r>
        <w:r>
          <w:rPr>
            <w:webHidden/>
          </w:rPr>
          <w:instrText>PAGEREF _Toc34921262 \h</w:instrText>
        </w:r>
        <w:r>
          <w:rPr>
            <w:webHidden/>
          </w:rPr>
          <w:fldChar w:fldCharType="separate"/>
        </w:r>
        <w:r>
          <w:rPr>
            <w:webHidden/>
            <w:rStyle w:val="IndexLink"/>
            <w:vanish w:val="false"/>
          </w:rPr>
          <w:t>SEA-15: Distributed Processing &amp; Storage</w:t>
          <w:tab/>
          <w:t>261</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263">
        <w:r>
          <w:rPr>
            <w:webHidden/>
          </w:rPr>
          <w:fldChar w:fldCharType="begin"/>
        </w:r>
        <w:r>
          <w:rPr>
            <w:webHidden/>
          </w:rPr>
          <w:instrText>PAGEREF _Toc34921263 \h</w:instrText>
        </w:r>
        <w:r>
          <w:rPr>
            <w:webHidden/>
          </w:rPr>
          <w:fldChar w:fldCharType="separate"/>
        </w:r>
        <w:r>
          <w:rPr>
            <w:webHidden/>
            <w:rStyle w:val="IndexLink"/>
            <w:vanish w:val="false"/>
          </w:rPr>
          <w:t>SEA-16: Non-Modifiable Executable Programs</w:t>
          <w:tab/>
          <w:t>261</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264">
        <w:r>
          <w:rPr>
            <w:webHidden/>
          </w:rPr>
          <w:fldChar w:fldCharType="begin"/>
        </w:r>
        <w:r>
          <w:rPr>
            <w:webHidden/>
          </w:rPr>
          <w:instrText>PAGEREF _Toc34921264 \h</w:instrText>
        </w:r>
        <w:r>
          <w:rPr>
            <w:webHidden/>
          </w:rPr>
          <w:fldChar w:fldCharType="separate"/>
        </w:r>
        <w:r>
          <w:rPr>
            <w:webHidden/>
            <w:rStyle w:val="IndexLink"/>
            <w:vanish w:val="false"/>
          </w:rPr>
          <w:t>SEA-17: Secure Log-On Procedures</w:t>
          <w:tab/>
          <w:t>261</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265">
        <w:r>
          <w:rPr>
            <w:webHidden/>
          </w:rPr>
          <w:fldChar w:fldCharType="begin"/>
        </w:r>
        <w:r>
          <w:rPr>
            <w:webHidden/>
          </w:rPr>
          <w:instrText>PAGEREF _Toc34921265 \h</w:instrText>
        </w:r>
        <w:r>
          <w:rPr>
            <w:webHidden/>
          </w:rPr>
          <w:fldChar w:fldCharType="separate"/>
        </w:r>
        <w:r>
          <w:rPr>
            <w:webHidden/>
            <w:rStyle w:val="IndexLink"/>
            <w:vanish w:val="false"/>
          </w:rPr>
          <w:t>SEA-18: System Use Notification (Logon Banner)</w:t>
          <w:tab/>
          <w:t>262</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266">
        <w:r>
          <w:rPr>
            <w:webHidden/>
          </w:rPr>
          <w:fldChar w:fldCharType="begin"/>
        </w:r>
        <w:r>
          <w:rPr>
            <w:webHidden/>
          </w:rPr>
          <w:instrText>PAGEREF _Toc34921266 \h</w:instrText>
        </w:r>
        <w:r>
          <w:rPr>
            <w:webHidden/>
          </w:rPr>
          <w:fldChar w:fldCharType="separate"/>
        </w:r>
        <w:r>
          <w:rPr>
            <w:webHidden/>
            <w:rStyle w:val="IndexLink"/>
            <w:vanish w:val="false"/>
          </w:rPr>
          <w:t>SEA-18(a): System Use Notification | Standardized Microsoft Windows Banner</w:t>
          <w:tab/>
          <w:t>262</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267">
        <w:r>
          <w:rPr>
            <w:webHidden/>
          </w:rPr>
          <w:fldChar w:fldCharType="begin"/>
        </w:r>
        <w:r>
          <w:rPr>
            <w:webHidden/>
          </w:rPr>
          <w:instrText>PAGEREF _Toc34921267 \h</w:instrText>
        </w:r>
        <w:r>
          <w:rPr>
            <w:webHidden/>
          </w:rPr>
          <w:fldChar w:fldCharType="separate"/>
        </w:r>
        <w:r>
          <w:rPr>
            <w:webHidden/>
            <w:rStyle w:val="IndexLink"/>
            <w:vanish w:val="false"/>
          </w:rPr>
          <w:t>SEA-18(b): System Use Notification | Truncated Banner</w:t>
          <w:tab/>
          <w:t>262</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268">
        <w:r>
          <w:rPr>
            <w:webHidden/>
          </w:rPr>
          <w:fldChar w:fldCharType="begin"/>
        </w:r>
        <w:r>
          <w:rPr>
            <w:webHidden/>
          </w:rPr>
          <w:instrText>PAGEREF _Toc34921268 \h</w:instrText>
        </w:r>
        <w:r>
          <w:rPr>
            <w:webHidden/>
          </w:rPr>
          <w:fldChar w:fldCharType="separate"/>
        </w:r>
        <w:r>
          <w:rPr>
            <w:webHidden/>
            <w:rStyle w:val="IndexLink"/>
            <w:vanish w:val="false"/>
          </w:rPr>
          <w:t>SEA-19: Previous Logon Notification</w:t>
          <w:tab/>
          <w:t>263</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269">
        <w:r>
          <w:rPr>
            <w:webHidden/>
          </w:rPr>
          <w:fldChar w:fldCharType="begin"/>
        </w:r>
        <w:r>
          <w:rPr>
            <w:webHidden/>
          </w:rPr>
          <w:instrText>PAGEREF _Toc34921269 \h</w:instrText>
        </w:r>
        <w:r>
          <w:rPr>
            <w:webHidden/>
          </w:rPr>
          <w:fldChar w:fldCharType="separate"/>
        </w:r>
        <w:r>
          <w:rPr>
            <w:webHidden/>
            <w:rStyle w:val="IndexLink"/>
            <w:vanish w:val="false"/>
          </w:rPr>
          <w:t>SEA-20: Clock Synchronization</w:t>
          <w:tab/>
          <w:t>263</w:t>
        </w:r>
        <w:r>
          <w:rPr>
            <w:webHidden/>
          </w:rPr>
          <w:fldChar w:fldCharType="end"/>
        </w:r>
      </w:hyperlink>
    </w:p>
    <w:p>
      <w:pPr>
        <w:pStyle w:val="Contents1"/>
        <w:rPr>
          <w:rFonts w:eastAsia="" w:cs="" w:cstheme="minorBidi" w:eastAsiaTheme="minorEastAsia"/>
          <w:b w:val="false"/>
          <w:b w:val="false"/>
          <w:caps w:val="false"/>
          <w:smallCaps w:val="false"/>
          <w:color w:val="auto"/>
          <w:sz w:val="22"/>
          <w:szCs w:val="22"/>
          <w:u w:val="none"/>
        </w:rPr>
      </w:pPr>
      <w:hyperlink w:anchor="_Toc34921270">
        <w:r>
          <w:rPr>
            <w:webHidden/>
          </w:rPr>
          <w:fldChar w:fldCharType="begin"/>
        </w:r>
        <w:r>
          <w:rPr>
            <w:webHidden/>
          </w:rPr>
          <w:instrText>PAGEREF _Toc34921270 \h</w:instrText>
        </w:r>
        <w:r>
          <w:rPr>
            <w:webHidden/>
          </w:rPr>
          <w:fldChar w:fldCharType="separate"/>
        </w:r>
        <w:r>
          <w:rPr>
            <w:webHidden/>
            <w:rStyle w:val="IndexLink"/>
            <w:vanish w:val="false"/>
          </w:rPr>
          <w:t>Security Operations (OPS) Policy &amp; Standards</w:t>
          <w:tab/>
          <w:t>264</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271">
        <w:r>
          <w:rPr>
            <w:webHidden/>
          </w:rPr>
          <w:fldChar w:fldCharType="begin"/>
        </w:r>
        <w:r>
          <w:rPr>
            <w:webHidden/>
          </w:rPr>
          <w:instrText>PAGEREF _Toc34921271 \h</w:instrText>
        </w:r>
        <w:r>
          <w:rPr>
            <w:webHidden/>
          </w:rPr>
          <w:fldChar w:fldCharType="separate"/>
        </w:r>
        <w:r>
          <w:rPr>
            <w:webHidden/>
            <w:rStyle w:val="IndexLink"/>
            <w:vanish w:val="false"/>
          </w:rPr>
          <w:t>OPS-01: Operations Security</w:t>
          <w:tab/>
          <w:t>264</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272">
        <w:r>
          <w:rPr>
            <w:webHidden/>
          </w:rPr>
          <w:fldChar w:fldCharType="begin"/>
        </w:r>
        <w:r>
          <w:rPr>
            <w:webHidden/>
          </w:rPr>
          <w:instrText>PAGEREF _Toc34921272 \h</w:instrText>
        </w:r>
        <w:r>
          <w:rPr>
            <w:webHidden/>
          </w:rPr>
          <w:fldChar w:fldCharType="separate"/>
        </w:r>
        <w:r>
          <w:rPr>
            <w:webHidden/>
            <w:rStyle w:val="IndexLink"/>
            <w:vanish w:val="false"/>
          </w:rPr>
          <w:t>OPS-01(a): Operations Security | Standardized Operating Procedures (SOP)</w:t>
          <w:tab/>
          <w:t>264</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273">
        <w:r>
          <w:rPr>
            <w:webHidden/>
          </w:rPr>
          <w:fldChar w:fldCharType="begin"/>
        </w:r>
        <w:r>
          <w:rPr>
            <w:webHidden/>
          </w:rPr>
          <w:instrText>PAGEREF _Toc34921273 \h</w:instrText>
        </w:r>
        <w:r>
          <w:rPr>
            <w:webHidden/>
          </w:rPr>
          <w:fldChar w:fldCharType="separate"/>
        </w:r>
        <w:r>
          <w:rPr>
            <w:webHidden/>
            <w:rStyle w:val="IndexLink"/>
            <w:vanish w:val="false"/>
          </w:rPr>
          <w:t>OPS-02: Security Concept Of Operations (CONOPS)</w:t>
          <w:tab/>
          <w:t>265</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274">
        <w:r>
          <w:rPr>
            <w:webHidden/>
          </w:rPr>
          <w:fldChar w:fldCharType="begin"/>
        </w:r>
        <w:r>
          <w:rPr>
            <w:webHidden/>
          </w:rPr>
          <w:instrText>PAGEREF _Toc34921274 \h</w:instrText>
        </w:r>
        <w:r>
          <w:rPr>
            <w:webHidden/>
          </w:rPr>
          <w:fldChar w:fldCharType="separate"/>
        </w:r>
        <w:r>
          <w:rPr>
            <w:webHidden/>
            <w:rStyle w:val="IndexLink"/>
            <w:vanish w:val="false"/>
          </w:rPr>
          <w:t>OPS-03: Service Delivery (Business Process Support)</w:t>
          <w:tab/>
          <w:t>265</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275">
        <w:r>
          <w:rPr>
            <w:webHidden/>
          </w:rPr>
          <w:fldChar w:fldCharType="begin"/>
        </w:r>
        <w:r>
          <w:rPr>
            <w:webHidden/>
          </w:rPr>
          <w:instrText>PAGEREF _Toc34921275 \h</w:instrText>
        </w:r>
        <w:r>
          <w:rPr>
            <w:webHidden/>
          </w:rPr>
          <w:fldChar w:fldCharType="separate"/>
        </w:r>
        <w:r>
          <w:rPr>
            <w:webHidden/>
            <w:rStyle w:val="IndexLink"/>
            <w:vanish w:val="false"/>
          </w:rPr>
          <w:t>OPS-04: Security Operations Center (SOC)</w:t>
          <w:tab/>
          <w:t>265</w:t>
        </w:r>
        <w:r>
          <w:rPr>
            <w:webHidden/>
          </w:rPr>
          <w:fldChar w:fldCharType="end"/>
        </w:r>
      </w:hyperlink>
    </w:p>
    <w:p>
      <w:pPr>
        <w:pStyle w:val="Contents1"/>
        <w:rPr>
          <w:rFonts w:eastAsia="" w:cs="" w:cstheme="minorBidi" w:eastAsiaTheme="minorEastAsia"/>
          <w:b w:val="false"/>
          <w:b w:val="false"/>
          <w:caps w:val="false"/>
          <w:smallCaps w:val="false"/>
          <w:color w:val="auto"/>
          <w:sz w:val="22"/>
          <w:szCs w:val="22"/>
          <w:u w:val="none"/>
        </w:rPr>
      </w:pPr>
      <w:hyperlink w:anchor="_Toc34921276">
        <w:r>
          <w:rPr>
            <w:webHidden/>
          </w:rPr>
          <w:fldChar w:fldCharType="begin"/>
        </w:r>
        <w:r>
          <w:rPr>
            <w:webHidden/>
          </w:rPr>
          <w:instrText>PAGEREF _Toc34921276 \h</w:instrText>
        </w:r>
        <w:r>
          <w:rPr>
            <w:webHidden/>
          </w:rPr>
          <w:fldChar w:fldCharType="separate"/>
        </w:r>
        <w:r>
          <w:rPr>
            <w:webHidden/>
            <w:rStyle w:val="IndexLink"/>
            <w:vanish w:val="false"/>
          </w:rPr>
          <w:t>Security Awareness &amp; Training (SAT) Policy &amp; Standards</w:t>
          <w:tab/>
          <w:t>266</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277">
        <w:r>
          <w:rPr>
            <w:webHidden/>
          </w:rPr>
          <w:fldChar w:fldCharType="begin"/>
        </w:r>
        <w:r>
          <w:rPr>
            <w:webHidden/>
          </w:rPr>
          <w:instrText>PAGEREF _Toc34921277 \h</w:instrText>
        </w:r>
        <w:r>
          <w:rPr>
            <w:webHidden/>
          </w:rPr>
          <w:fldChar w:fldCharType="separate"/>
        </w:r>
        <w:r>
          <w:rPr>
            <w:webHidden/>
            <w:rStyle w:val="IndexLink"/>
            <w:vanish w:val="false"/>
          </w:rPr>
          <w:t>SAT-01: Security &amp; Privacy-Minded Workforce</w:t>
          <w:tab/>
          <w:t>266</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278">
        <w:r>
          <w:rPr>
            <w:webHidden/>
          </w:rPr>
          <w:fldChar w:fldCharType="begin"/>
        </w:r>
        <w:r>
          <w:rPr>
            <w:webHidden/>
          </w:rPr>
          <w:instrText>PAGEREF _Toc34921278 \h</w:instrText>
        </w:r>
        <w:r>
          <w:rPr>
            <w:webHidden/>
          </w:rPr>
          <w:fldChar w:fldCharType="separate"/>
        </w:r>
        <w:r>
          <w:rPr>
            <w:webHidden/>
            <w:rStyle w:val="IndexLink"/>
            <w:vanish w:val="false"/>
          </w:rPr>
          <w:t>SAT-02: Security &amp; Privacy Awareness</w:t>
          <w:tab/>
          <w:t>267</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279">
        <w:r>
          <w:rPr>
            <w:webHidden/>
          </w:rPr>
          <w:fldChar w:fldCharType="begin"/>
        </w:r>
        <w:r>
          <w:rPr>
            <w:webHidden/>
          </w:rPr>
          <w:instrText>PAGEREF _Toc34921279 \h</w:instrText>
        </w:r>
        <w:r>
          <w:rPr>
            <w:webHidden/>
          </w:rPr>
          <w:fldChar w:fldCharType="separate"/>
        </w:r>
        <w:r>
          <w:rPr>
            <w:webHidden/>
            <w:rStyle w:val="IndexLink"/>
            <w:vanish w:val="false"/>
          </w:rPr>
          <w:t>SAT-02(a): Security Awareness | Practical Exercises</w:t>
          <w:tab/>
          <w:t>267</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280">
        <w:r>
          <w:rPr>
            <w:webHidden/>
          </w:rPr>
          <w:fldChar w:fldCharType="begin"/>
        </w:r>
        <w:r>
          <w:rPr>
            <w:webHidden/>
          </w:rPr>
          <w:instrText>PAGEREF _Toc34921280 \h</w:instrText>
        </w:r>
        <w:r>
          <w:rPr>
            <w:webHidden/>
          </w:rPr>
          <w:fldChar w:fldCharType="separate"/>
        </w:r>
        <w:r>
          <w:rPr>
            <w:webHidden/>
            <w:rStyle w:val="IndexLink"/>
            <w:vanish w:val="false"/>
          </w:rPr>
          <w:t>SAT-02(b): Security Awareness | Social Engineering &amp; Mining</w:t>
          <w:tab/>
          <w:t>267</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281">
        <w:r>
          <w:rPr>
            <w:webHidden/>
          </w:rPr>
          <w:fldChar w:fldCharType="begin"/>
        </w:r>
        <w:r>
          <w:rPr>
            <w:webHidden/>
          </w:rPr>
          <w:instrText>PAGEREF _Toc34921281 \h</w:instrText>
        </w:r>
        <w:r>
          <w:rPr>
            <w:webHidden/>
          </w:rPr>
          <w:fldChar w:fldCharType="separate"/>
        </w:r>
        <w:r>
          <w:rPr>
            <w:webHidden/>
            <w:rStyle w:val="IndexLink"/>
            <w:vanish w:val="false"/>
          </w:rPr>
          <w:t>SAT-03: Security &amp; Privacy Training</w:t>
          <w:tab/>
          <w:t>267</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282">
        <w:r>
          <w:rPr>
            <w:webHidden/>
          </w:rPr>
          <w:fldChar w:fldCharType="begin"/>
        </w:r>
        <w:r>
          <w:rPr>
            <w:webHidden/>
          </w:rPr>
          <w:instrText>PAGEREF _Toc34921282 \h</w:instrText>
        </w:r>
        <w:r>
          <w:rPr>
            <w:webHidden/>
          </w:rPr>
          <w:fldChar w:fldCharType="separate"/>
        </w:r>
        <w:r>
          <w:rPr>
            <w:webHidden/>
            <w:rStyle w:val="IndexLink"/>
            <w:vanish w:val="false"/>
          </w:rPr>
          <w:t>SAT-03(a): Security &amp; Privacy Training | Practical Exercises</w:t>
          <w:tab/>
          <w:t>268</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283">
        <w:r>
          <w:rPr>
            <w:webHidden/>
          </w:rPr>
          <w:fldChar w:fldCharType="begin"/>
        </w:r>
        <w:r>
          <w:rPr>
            <w:webHidden/>
          </w:rPr>
          <w:instrText>PAGEREF _Toc34921283 \h</w:instrText>
        </w:r>
        <w:r>
          <w:rPr>
            <w:webHidden/>
          </w:rPr>
          <w:fldChar w:fldCharType="separate"/>
        </w:r>
        <w:r>
          <w:rPr>
            <w:webHidden/>
            <w:rStyle w:val="IndexLink"/>
            <w:vanish w:val="false"/>
          </w:rPr>
          <w:t>SAT-03(b): Security &amp; Privacy Training | Suspicious Communications &amp; Anomalous System Behavior</w:t>
          <w:tab/>
          <w:t>268</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284">
        <w:r>
          <w:rPr>
            <w:webHidden/>
          </w:rPr>
          <w:fldChar w:fldCharType="begin"/>
        </w:r>
        <w:r>
          <w:rPr>
            <w:webHidden/>
          </w:rPr>
          <w:instrText>PAGEREF _Toc34921284 \h</w:instrText>
        </w:r>
        <w:r>
          <w:rPr>
            <w:webHidden/>
          </w:rPr>
          <w:fldChar w:fldCharType="separate"/>
        </w:r>
        <w:r>
          <w:rPr>
            <w:webHidden/>
            <w:rStyle w:val="IndexLink"/>
            <w:vanish w:val="false"/>
          </w:rPr>
          <w:t>SAT-03(c): Security &amp; Privacy Training | Sensitive Information Storage, Handling &amp; Processing</w:t>
          <w:tab/>
          <w:t>268</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285">
        <w:r>
          <w:rPr>
            <w:webHidden/>
          </w:rPr>
          <w:fldChar w:fldCharType="begin"/>
        </w:r>
        <w:r>
          <w:rPr>
            <w:webHidden/>
          </w:rPr>
          <w:instrText>PAGEREF _Toc34921285 \h</w:instrText>
        </w:r>
        <w:r>
          <w:rPr>
            <w:webHidden/>
          </w:rPr>
          <w:fldChar w:fldCharType="separate"/>
        </w:r>
        <w:r>
          <w:rPr>
            <w:webHidden/>
            <w:rStyle w:val="IndexLink"/>
            <w:vanish w:val="false"/>
          </w:rPr>
          <w:t>SAT-03(d): Security &amp; Privacy Training | Vendor Security Training</w:t>
          <w:tab/>
          <w:t>269</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286">
        <w:r>
          <w:rPr>
            <w:webHidden/>
          </w:rPr>
          <w:fldChar w:fldCharType="begin"/>
        </w:r>
        <w:r>
          <w:rPr>
            <w:webHidden/>
          </w:rPr>
          <w:instrText>PAGEREF _Toc34921286 \h</w:instrText>
        </w:r>
        <w:r>
          <w:rPr>
            <w:webHidden/>
          </w:rPr>
          <w:fldChar w:fldCharType="separate"/>
        </w:r>
        <w:r>
          <w:rPr>
            <w:webHidden/>
            <w:rStyle w:val="IndexLink"/>
            <w:vanish w:val="false"/>
          </w:rPr>
          <w:t>SAT-03(e): Security &amp; Privacy Training | Privileged Users</w:t>
          <w:tab/>
          <w:t>269</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287">
        <w:r>
          <w:rPr>
            <w:webHidden/>
          </w:rPr>
          <w:fldChar w:fldCharType="begin"/>
        </w:r>
        <w:r>
          <w:rPr>
            <w:webHidden/>
          </w:rPr>
          <w:instrText>PAGEREF _Toc34921287 \h</w:instrText>
        </w:r>
        <w:r>
          <w:rPr>
            <w:webHidden/>
          </w:rPr>
          <w:fldChar w:fldCharType="separate"/>
        </w:r>
        <w:r>
          <w:rPr>
            <w:webHidden/>
            <w:rStyle w:val="IndexLink"/>
            <w:vanish w:val="false"/>
          </w:rPr>
          <w:t>SAT-04: Security &amp; Privacy Training Records</w:t>
          <w:tab/>
          <w:t>269</w:t>
        </w:r>
        <w:r>
          <w:rPr>
            <w:webHidden/>
          </w:rPr>
          <w:fldChar w:fldCharType="end"/>
        </w:r>
      </w:hyperlink>
    </w:p>
    <w:p>
      <w:pPr>
        <w:pStyle w:val="Contents1"/>
        <w:rPr>
          <w:rFonts w:eastAsia="" w:cs="" w:cstheme="minorBidi" w:eastAsiaTheme="minorEastAsia"/>
          <w:b w:val="false"/>
          <w:b w:val="false"/>
          <w:caps w:val="false"/>
          <w:smallCaps w:val="false"/>
          <w:color w:val="auto"/>
          <w:sz w:val="22"/>
          <w:szCs w:val="22"/>
          <w:u w:val="none"/>
        </w:rPr>
      </w:pPr>
      <w:hyperlink w:anchor="_Toc34921288">
        <w:r>
          <w:rPr>
            <w:webHidden/>
          </w:rPr>
          <w:fldChar w:fldCharType="begin"/>
        </w:r>
        <w:r>
          <w:rPr>
            <w:webHidden/>
          </w:rPr>
          <w:instrText>PAGEREF _Toc34921288 \h</w:instrText>
        </w:r>
        <w:r>
          <w:rPr>
            <w:webHidden/>
          </w:rPr>
          <w:fldChar w:fldCharType="separate"/>
        </w:r>
        <w:r>
          <w:rPr>
            <w:webHidden/>
            <w:rStyle w:val="IndexLink"/>
            <w:vanish w:val="false"/>
          </w:rPr>
          <w:t>Technology Development &amp; Acquisition (TDA) Policy &amp; Standards</w:t>
          <w:tab/>
          <w:t>270</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289">
        <w:r>
          <w:rPr>
            <w:webHidden/>
          </w:rPr>
          <w:fldChar w:fldCharType="begin"/>
        </w:r>
        <w:r>
          <w:rPr>
            <w:webHidden/>
          </w:rPr>
          <w:instrText>PAGEREF _Toc34921289 \h</w:instrText>
        </w:r>
        <w:r>
          <w:rPr>
            <w:webHidden/>
          </w:rPr>
          <w:fldChar w:fldCharType="separate"/>
        </w:r>
        <w:r>
          <w:rPr>
            <w:webHidden/>
            <w:rStyle w:val="IndexLink"/>
            <w:vanish w:val="false"/>
          </w:rPr>
          <w:t>TDA-01: Technology Development &amp; Acquisition</w:t>
          <w:tab/>
          <w:t>270</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290">
        <w:r>
          <w:rPr>
            <w:webHidden/>
          </w:rPr>
          <w:fldChar w:fldCharType="begin"/>
        </w:r>
        <w:r>
          <w:rPr>
            <w:webHidden/>
          </w:rPr>
          <w:instrText>PAGEREF _Toc34921290 \h</w:instrText>
        </w:r>
        <w:r>
          <w:rPr>
            <w:webHidden/>
          </w:rPr>
          <w:fldChar w:fldCharType="separate"/>
        </w:r>
        <w:r>
          <w:rPr>
            <w:webHidden/>
            <w:rStyle w:val="IndexLink"/>
            <w:vanish w:val="false"/>
          </w:rPr>
          <w:t>TDA-01(a): Technology Development &amp; Acquisition | Product Management</w:t>
          <w:tab/>
          <w:t>270</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291">
        <w:r>
          <w:rPr>
            <w:webHidden/>
          </w:rPr>
          <w:fldChar w:fldCharType="begin"/>
        </w:r>
        <w:r>
          <w:rPr>
            <w:webHidden/>
          </w:rPr>
          <w:instrText>PAGEREF _Toc34921291 \h</w:instrText>
        </w:r>
        <w:r>
          <w:rPr>
            <w:webHidden/>
          </w:rPr>
          <w:fldChar w:fldCharType="separate"/>
        </w:r>
        <w:r>
          <w:rPr>
            <w:webHidden/>
            <w:rStyle w:val="IndexLink"/>
            <w:vanish w:val="false"/>
          </w:rPr>
          <w:t>TDA-01(b): Technology Development &amp; Acquisition | Integrity Mechanisms for Software / Firmware Updates</w:t>
          <w:tab/>
          <w:t>271</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292">
        <w:r>
          <w:rPr>
            <w:webHidden/>
          </w:rPr>
          <w:fldChar w:fldCharType="begin"/>
        </w:r>
        <w:r>
          <w:rPr>
            <w:webHidden/>
          </w:rPr>
          <w:instrText>PAGEREF _Toc34921292 \h</w:instrText>
        </w:r>
        <w:r>
          <w:rPr>
            <w:webHidden/>
          </w:rPr>
          <w:fldChar w:fldCharType="separate"/>
        </w:r>
        <w:r>
          <w:rPr>
            <w:webHidden/>
            <w:rStyle w:val="IndexLink"/>
            <w:vanish w:val="false"/>
          </w:rPr>
          <w:t>TDA-01(c): Technology Development &amp; Acquisition | Malware Testing Prior To Release</w:t>
          <w:tab/>
          <w:t>271</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293">
        <w:r>
          <w:rPr>
            <w:webHidden/>
          </w:rPr>
          <w:fldChar w:fldCharType="begin"/>
        </w:r>
        <w:r>
          <w:rPr>
            <w:webHidden/>
          </w:rPr>
          <w:instrText>PAGEREF _Toc34921293 \h</w:instrText>
        </w:r>
        <w:r>
          <w:rPr>
            <w:webHidden/>
          </w:rPr>
          <w:fldChar w:fldCharType="separate"/>
        </w:r>
        <w:r>
          <w:rPr>
            <w:webHidden/>
            <w:rStyle w:val="IndexLink"/>
            <w:vanish w:val="false"/>
          </w:rPr>
          <w:t>TDA-02: Security Requirements</w:t>
          <w:tab/>
          <w:t>271</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294">
        <w:r>
          <w:rPr>
            <w:webHidden/>
          </w:rPr>
          <w:fldChar w:fldCharType="begin"/>
        </w:r>
        <w:r>
          <w:rPr>
            <w:webHidden/>
          </w:rPr>
          <w:instrText>PAGEREF _Toc34921294 \h</w:instrText>
        </w:r>
        <w:r>
          <w:rPr>
            <w:webHidden/>
          </w:rPr>
          <w:fldChar w:fldCharType="separate"/>
        </w:r>
        <w:r>
          <w:rPr>
            <w:webHidden/>
            <w:rStyle w:val="IndexLink"/>
            <w:vanish w:val="false"/>
          </w:rPr>
          <w:t>TDA-02(a): Security Requirements | Ports, Protocols &amp; Services In Use</w:t>
          <w:tab/>
          <w:t>271</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295">
        <w:r>
          <w:rPr>
            <w:webHidden/>
          </w:rPr>
          <w:fldChar w:fldCharType="begin"/>
        </w:r>
        <w:r>
          <w:rPr>
            <w:webHidden/>
          </w:rPr>
          <w:instrText>PAGEREF _Toc34921295 \h</w:instrText>
        </w:r>
        <w:r>
          <w:rPr>
            <w:webHidden/>
          </w:rPr>
          <w:fldChar w:fldCharType="separate"/>
        </w:r>
        <w:r>
          <w:rPr>
            <w:webHidden/>
            <w:rStyle w:val="IndexLink"/>
            <w:vanish w:val="false"/>
          </w:rPr>
          <w:t>TDA-02(b): Security Requirements | Use of Approved PIV Products</w:t>
          <w:tab/>
          <w:t>272</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296">
        <w:r>
          <w:rPr>
            <w:webHidden/>
          </w:rPr>
          <w:fldChar w:fldCharType="begin"/>
        </w:r>
        <w:r>
          <w:rPr>
            <w:webHidden/>
          </w:rPr>
          <w:instrText>PAGEREF _Toc34921296 \h</w:instrText>
        </w:r>
        <w:r>
          <w:rPr>
            <w:webHidden/>
          </w:rPr>
          <w:fldChar w:fldCharType="separate"/>
        </w:r>
        <w:r>
          <w:rPr>
            <w:webHidden/>
            <w:rStyle w:val="IndexLink"/>
            <w:vanish w:val="false"/>
          </w:rPr>
          <w:t>TDA-02(c): Security Requirements | Development Methods, Techniques &amp; Processes</w:t>
          <w:tab/>
          <w:t>272</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297">
        <w:r>
          <w:rPr>
            <w:webHidden/>
          </w:rPr>
          <w:fldChar w:fldCharType="begin"/>
        </w:r>
        <w:r>
          <w:rPr>
            <w:webHidden/>
          </w:rPr>
          <w:instrText>PAGEREF _Toc34921297 \h</w:instrText>
        </w:r>
        <w:r>
          <w:rPr>
            <w:webHidden/>
          </w:rPr>
          <w:fldChar w:fldCharType="separate"/>
        </w:r>
        <w:r>
          <w:rPr>
            <w:webHidden/>
            <w:rStyle w:val="IndexLink"/>
            <w:vanish w:val="false"/>
          </w:rPr>
          <w:t>TDA-03: Commercial Off-The-Shelf (COTS) Security Solutions</w:t>
          <w:tab/>
          <w:t>272</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298">
        <w:r>
          <w:rPr>
            <w:webHidden/>
          </w:rPr>
          <w:fldChar w:fldCharType="begin"/>
        </w:r>
        <w:r>
          <w:rPr>
            <w:webHidden/>
          </w:rPr>
          <w:instrText>PAGEREF _Toc34921298 \h</w:instrText>
        </w:r>
        <w:r>
          <w:rPr>
            <w:webHidden/>
          </w:rPr>
          <w:fldChar w:fldCharType="separate"/>
        </w:r>
        <w:r>
          <w:rPr>
            <w:webHidden/>
            <w:rStyle w:val="IndexLink"/>
            <w:vanish w:val="false"/>
          </w:rPr>
          <w:t>TDA-03(a): Commercial Off-The-Shelf (COTS) Security Solutions | Supplier Diversity</w:t>
          <w:tab/>
          <w:t>272</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299">
        <w:r>
          <w:rPr>
            <w:webHidden/>
          </w:rPr>
          <w:fldChar w:fldCharType="begin"/>
        </w:r>
        <w:r>
          <w:rPr>
            <w:webHidden/>
          </w:rPr>
          <w:instrText>PAGEREF _Toc34921299 \h</w:instrText>
        </w:r>
        <w:r>
          <w:rPr>
            <w:webHidden/>
          </w:rPr>
          <w:fldChar w:fldCharType="separate"/>
        </w:r>
        <w:r>
          <w:rPr>
            <w:webHidden/>
            <w:rStyle w:val="IndexLink"/>
            <w:vanish w:val="false"/>
          </w:rPr>
          <w:t>TDA-04: Documentation Requirements</w:t>
          <w:tab/>
          <w:t>272</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300">
        <w:r>
          <w:rPr>
            <w:webHidden/>
          </w:rPr>
          <w:fldChar w:fldCharType="begin"/>
        </w:r>
        <w:r>
          <w:rPr>
            <w:webHidden/>
          </w:rPr>
          <w:instrText>PAGEREF _Toc34921300 \h</w:instrText>
        </w:r>
        <w:r>
          <w:rPr>
            <w:webHidden/>
          </w:rPr>
          <w:fldChar w:fldCharType="separate"/>
        </w:r>
        <w:r>
          <w:rPr>
            <w:webHidden/>
            <w:rStyle w:val="IndexLink"/>
            <w:vanish w:val="false"/>
          </w:rPr>
          <w:t>TDA-04(a): Documentation Requirements | Functional Properties</w:t>
          <w:tab/>
          <w:t>273</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301">
        <w:r>
          <w:rPr>
            <w:webHidden/>
          </w:rPr>
          <w:fldChar w:fldCharType="begin"/>
        </w:r>
        <w:r>
          <w:rPr>
            <w:webHidden/>
          </w:rPr>
          <w:instrText>PAGEREF _Toc34921301 \h</w:instrText>
        </w:r>
        <w:r>
          <w:rPr>
            <w:webHidden/>
          </w:rPr>
          <w:fldChar w:fldCharType="separate"/>
        </w:r>
        <w:r>
          <w:rPr>
            <w:webHidden/>
            <w:rStyle w:val="IndexLink"/>
            <w:vanish w:val="false"/>
          </w:rPr>
          <w:t>TDA-05: Developer Architecture &amp; Design</w:t>
          <w:tab/>
          <w:t>273</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302">
        <w:r>
          <w:rPr>
            <w:webHidden/>
          </w:rPr>
          <w:fldChar w:fldCharType="begin"/>
        </w:r>
        <w:r>
          <w:rPr>
            <w:webHidden/>
          </w:rPr>
          <w:instrText>PAGEREF _Toc34921302 \h</w:instrText>
        </w:r>
        <w:r>
          <w:rPr>
            <w:webHidden/>
          </w:rPr>
          <w:fldChar w:fldCharType="separate"/>
        </w:r>
        <w:r>
          <w:rPr>
            <w:webHidden/>
            <w:rStyle w:val="IndexLink"/>
            <w:vanish w:val="false"/>
          </w:rPr>
          <w:t>TDA-06: Secure Coding</w:t>
          <w:tab/>
          <w:t>274</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303">
        <w:r>
          <w:rPr>
            <w:webHidden/>
          </w:rPr>
          <w:fldChar w:fldCharType="begin"/>
        </w:r>
        <w:r>
          <w:rPr>
            <w:webHidden/>
          </w:rPr>
          <w:instrText>PAGEREF _Toc34921303 \h</w:instrText>
        </w:r>
        <w:r>
          <w:rPr>
            <w:webHidden/>
          </w:rPr>
          <w:fldChar w:fldCharType="separate"/>
        </w:r>
        <w:r>
          <w:rPr>
            <w:webHidden/>
            <w:rStyle w:val="IndexLink"/>
            <w:vanish w:val="false"/>
          </w:rPr>
          <w:t>TDA-06(a): Secure Coding | Criticality Analysis</w:t>
          <w:tab/>
          <w:t>274</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304">
        <w:r>
          <w:rPr>
            <w:webHidden/>
          </w:rPr>
          <w:fldChar w:fldCharType="begin"/>
        </w:r>
        <w:r>
          <w:rPr>
            <w:webHidden/>
          </w:rPr>
          <w:instrText>PAGEREF _Toc34921304 \h</w:instrText>
        </w:r>
        <w:r>
          <w:rPr>
            <w:webHidden/>
          </w:rPr>
          <w:fldChar w:fldCharType="separate"/>
        </w:r>
        <w:r>
          <w:rPr>
            <w:webHidden/>
            <w:rStyle w:val="IndexLink"/>
            <w:vanish w:val="false"/>
          </w:rPr>
          <w:t>TDA-07: Secure Development Environments</w:t>
          <w:tab/>
          <w:t>275</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305">
        <w:r>
          <w:rPr>
            <w:webHidden/>
          </w:rPr>
          <w:fldChar w:fldCharType="begin"/>
        </w:r>
        <w:r>
          <w:rPr>
            <w:webHidden/>
          </w:rPr>
          <w:instrText>PAGEREF _Toc34921305 \h</w:instrText>
        </w:r>
        <w:r>
          <w:rPr>
            <w:webHidden/>
          </w:rPr>
          <w:fldChar w:fldCharType="separate"/>
        </w:r>
        <w:r>
          <w:rPr>
            <w:webHidden/>
            <w:rStyle w:val="IndexLink"/>
            <w:vanish w:val="false"/>
          </w:rPr>
          <w:t>TDA-08: Separation of Development, Testing &amp; Operational Environments</w:t>
          <w:tab/>
          <w:t>275</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306">
        <w:r>
          <w:rPr>
            <w:webHidden/>
          </w:rPr>
          <w:fldChar w:fldCharType="begin"/>
        </w:r>
        <w:r>
          <w:rPr>
            <w:webHidden/>
          </w:rPr>
          <w:instrText>PAGEREF _Toc34921306 \h</w:instrText>
        </w:r>
        <w:r>
          <w:rPr>
            <w:webHidden/>
          </w:rPr>
          <w:fldChar w:fldCharType="separate"/>
        </w:r>
        <w:r>
          <w:rPr>
            <w:webHidden/>
            <w:rStyle w:val="IndexLink"/>
            <w:vanish w:val="false"/>
          </w:rPr>
          <w:t>TDA-09: Security &amp; Privacy Testing Throughout Development</w:t>
          <w:tab/>
          <w:t>275</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307">
        <w:r>
          <w:rPr>
            <w:webHidden/>
          </w:rPr>
          <w:fldChar w:fldCharType="begin"/>
        </w:r>
        <w:r>
          <w:rPr>
            <w:webHidden/>
          </w:rPr>
          <w:instrText>PAGEREF _Toc34921307 \h</w:instrText>
        </w:r>
        <w:r>
          <w:rPr>
            <w:webHidden/>
          </w:rPr>
          <w:fldChar w:fldCharType="separate"/>
        </w:r>
        <w:r>
          <w:rPr>
            <w:webHidden/>
            <w:rStyle w:val="IndexLink"/>
            <w:vanish w:val="false"/>
          </w:rPr>
          <w:t>TDA-09(a): Security &amp; Privacy Testing Throughout Development | Continuous Monitoring Plan</w:t>
          <w:tab/>
          <w:t>276</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308">
        <w:r>
          <w:rPr>
            <w:webHidden/>
          </w:rPr>
          <w:fldChar w:fldCharType="begin"/>
        </w:r>
        <w:r>
          <w:rPr>
            <w:webHidden/>
          </w:rPr>
          <w:instrText>PAGEREF _Toc34921308 \h</w:instrText>
        </w:r>
        <w:r>
          <w:rPr>
            <w:webHidden/>
          </w:rPr>
          <w:fldChar w:fldCharType="separate"/>
        </w:r>
        <w:r>
          <w:rPr>
            <w:webHidden/>
            <w:rStyle w:val="IndexLink"/>
            <w:vanish w:val="false"/>
          </w:rPr>
          <w:t>TDA-09(b): Security &amp; Privacy Testing Throughout Development | Static Code Analysis</w:t>
          <w:tab/>
          <w:t>276</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309">
        <w:r>
          <w:rPr>
            <w:webHidden/>
          </w:rPr>
          <w:fldChar w:fldCharType="begin"/>
        </w:r>
        <w:r>
          <w:rPr>
            <w:webHidden/>
          </w:rPr>
          <w:instrText>PAGEREF _Toc34921309 \h</w:instrText>
        </w:r>
        <w:r>
          <w:rPr>
            <w:webHidden/>
          </w:rPr>
          <w:fldChar w:fldCharType="separate"/>
        </w:r>
        <w:r>
          <w:rPr>
            <w:webHidden/>
            <w:rStyle w:val="IndexLink"/>
            <w:vanish w:val="false"/>
          </w:rPr>
          <w:t>TDA-09(c): Security &amp; Privacy Testing Throughout Development | Dynamic Code Analysis</w:t>
          <w:tab/>
          <w:t>276</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310">
        <w:r>
          <w:rPr>
            <w:webHidden/>
          </w:rPr>
          <w:fldChar w:fldCharType="begin"/>
        </w:r>
        <w:r>
          <w:rPr>
            <w:webHidden/>
          </w:rPr>
          <w:instrText>PAGEREF _Toc34921310 \h</w:instrText>
        </w:r>
        <w:r>
          <w:rPr>
            <w:webHidden/>
          </w:rPr>
          <w:fldChar w:fldCharType="separate"/>
        </w:r>
        <w:r>
          <w:rPr>
            <w:webHidden/>
            <w:rStyle w:val="IndexLink"/>
            <w:vanish w:val="false"/>
          </w:rPr>
          <w:t>TDA-09(d): Security &amp; Privacy Testing Throughout Development | Malformed Input Testing</w:t>
          <w:tab/>
          <w:t>277</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311">
        <w:r>
          <w:rPr>
            <w:webHidden/>
          </w:rPr>
          <w:fldChar w:fldCharType="begin"/>
        </w:r>
        <w:r>
          <w:rPr>
            <w:webHidden/>
          </w:rPr>
          <w:instrText>PAGEREF _Toc34921311 \h</w:instrText>
        </w:r>
        <w:r>
          <w:rPr>
            <w:webHidden/>
          </w:rPr>
          <w:fldChar w:fldCharType="separate"/>
        </w:r>
        <w:r>
          <w:rPr>
            <w:webHidden/>
            <w:rStyle w:val="IndexLink"/>
            <w:vanish w:val="false"/>
          </w:rPr>
          <w:t>TDA-09(e): Security &amp; Privacy Testing Throughout Development | Application Penetration Testing</w:t>
          <w:tab/>
          <w:t>277</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312">
        <w:r>
          <w:rPr>
            <w:webHidden/>
          </w:rPr>
          <w:fldChar w:fldCharType="begin"/>
        </w:r>
        <w:r>
          <w:rPr>
            <w:webHidden/>
          </w:rPr>
          <w:instrText>PAGEREF _Toc34921312 \h</w:instrText>
        </w:r>
        <w:r>
          <w:rPr>
            <w:webHidden/>
          </w:rPr>
          <w:fldChar w:fldCharType="separate"/>
        </w:r>
        <w:r>
          <w:rPr>
            <w:webHidden/>
            <w:rStyle w:val="IndexLink"/>
            <w:vanish w:val="false"/>
          </w:rPr>
          <w:t>TDA-10: Use of Live Data</w:t>
          <w:tab/>
          <w:t>277</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313">
        <w:r>
          <w:rPr>
            <w:webHidden/>
          </w:rPr>
          <w:fldChar w:fldCharType="begin"/>
        </w:r>
        <w:r>
          <w:rPr>
            <w:webHidden/>
          </w:rPr>
          <w:instrText>PAGEREF _Toc34921313 \h</w:instrText>
        </w:r>
        <w:r>
          <w:rPr>
            <w:webHidden/>
          </w:rPr>
          <w:fldChar w:fldCharType="separate"/>
        </w:r>
        <w:r>
          <w:rPr>
            <w:webHidden/>
            <w:rStyle w:val="IndexLink"/>
            <w:vanish w:val="false"/>
          </w:rPr>
          <w:t>TDA-10(a): Use of Live Data | Test Data Integrity</w:t>
          <w:tab/>
          <w:t>278</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314">
        <w:r>
          <w:rPr>
            <w:webHidden/>
          </w:rPr>
          <w:fldChar w:fldCharType="begin"/>
        </w:r>
        <w:r>
          <w:rPr>
            <w:webHidden/>
          </w:rPr>
          <w:instrText>PAGEREF _Toc34921314 \h</w:instrText>
        </w:r>
        <w:r>
          <w:rPr>
            <w:webHidden/>
          </w:rPr>
          <w:fldChar w:fldCharType="separate"/>
        </w:r>
        <w:r>
          <w:rPr>
            <w:webHidden/>
            <w:rStyle w:val="IndexLink"/>
            <w:vanish w:val="false"/>
          </w:rPr>
          <w:t>TDA-11: Component Authenticity</w:t>
          <w:tab/>
          <w:t>278</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315">
        <w:r>
          <w:rPr>
            <w:webHidden/>
          </w:rPr>
          <w:fldChar w:fldCharType="begin"/>
        </w:r>
        <w:r>
          <w:rPr>
            <w:webHidden/>
          </w:rPr>
          <w:instrText>PAGEREF _Toc34921315 \h</w:instrText>
        </w:r>
        <w:r>
          <w:rPr>
            <w:webHidden/>
          </w:rPr>
          <w:fldChar w:fldCharType="separate"/>
        </w:r>
        <w:r>
          <w:rPr>
            <w:webHidden/>
            <w:rStyle w:val="IndexLink"/>
            <w:vanish w:val="false"/>
          </w:rPr>
          <w:t>TDA-11(a): Component Authenticity | Anti-Counterfeit Training</w:t>
          <w:tab/>
          <w:t>278</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316">
        <w:r>
          <w:rPr>
            <w:webHidden/>
          </w:rPr>
          <w:fldChar w:fldCharType="begin"/>
        </w:r>
        <w:r>
          <w:rPr>
            <w:webHidden/>
          </w:rPr>
          <w:instrText>PAGEREF _Toc34921316 \h</w:instrText>
        </w:r>
        <w:r>
          <w:rPr>
            <w:webHidden/>
          </w:rPr>
          <w:fldChar w:fldCharType="separate"/>
        </w:r>
        <w:r>
          <w:rPr>
            <w:webHidden/>
            <w:rStyle w:val="IndexLink"/>
            <w:vanish w:val="false"/>
          </w:rPr>
          <w:t>TDA-11(b): Component Authenticity | Component Disposal</w:t>
          <w:tab/>
          <w:t>278</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317">
        <w:r>
          <w:rPr>
            <w:webHidden/>
          </w:rPr>
          <w:fldChar w:fldCharType="begin"/>
        </w:r>
        <w:r>
          <w:rPr>
            <w:webHidden/>
          </w:rPr>
          <w:instrText>PAGEREF _Toc34921317 \h</w:instrText>
        </w:r>
        <w:r>
          <w:rPr>
            <w:webHidden/>
          </w:rPr>
          <w:fldChar w:fldCharType="separate"/>
        </w:r>
        <w:r>
          <w:rPr>
            <w:webHidden/>
            <w:rStyle w:val="IndexLink"/>
            <w:vanish w:val="false"/>
          </w:rPr>
          <w:t>TDA-12: Customized Development of Critical Components</w:t>
          <w:tab/>
          <w:t>279</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318">
        <w:r>
          <w:rPr>
            <w:webHidden/>
          </w:rPr>
          <w:fldChar w:fldCharType="begin"/>
        </w:r>
        <w:r>
          <w:rPr>
            <w:webHidden/>
          </w:rPr>
          <w:instrText>PAGEREF _Toc34921318 \h</w:instrText>
        </w:r>
        <w:r>
          <w:rPr>
            <w:webHidden/>
          </w:rPr>
          <w:fldChar w:fldCharType="separate"/>
        </w:r>
        <w:r>
          <w:rPr>
            <w:webHidden/>
            <w:rStyle w:val="IndexLink"/>
            <w:vanish w:val="false"/>
          </w:rPr>
          <w:t>TDA-13: Developer Screening</w:t>
          <w:tab/>
          <w:t>279</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319">
        <w:r>
          <w:rPr>
            <w:webHidden/>
          </w:rPr>
          <w:fldChar w:fldCharType="begin"/>
        </w:r>
        <w:r>
          <w:rPr>
            <w:webHidden/>
          </w:rPr>
          <w:instrText>PAGEREF _Toc34921319 \h</w:instrText>
        </w:r>
        <w:r>
          <w:rPr>
            <w:webHidden/>
          </w:rPr>
          <w:fldChar w:fldCharType="separate"/>
        </w:r>
        <w:r>
          <w:rPr>
            <w:webHidden/>
            <w:rStyle w:val="IndexLink"/>
            <w:vanish w:val="false"/>
          </w:rPr>
          <w:t>TDA-14: Developer Configuration Management</w:t>
          <w:tab/>
          <w:t>279</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320">
        <w:r>
          <w:rPr>
            <w:webHidden/>
          </w:rPr>
          <w:fldChar w:fldCharType="begin"/>
        </w:r>
        <w:r>
          <w:rPr>
            <w:webHidden/>
          </w:rPr>
          <w:instrText>PAGEREF _Toc34921320 \h</w:instrText>
        </w:r>
        <w:r>
          <w:rPr>
            <w:webHidden/>
          </w:rPr>
          <w:fldChar w:fldCharType="separate"/>
        </w:r>
        <w:r>
          <w:rPr>
            <w:webHidden/>
            <w:rStyle w:val="IndexLink"/>
            <w:vanish w:val="false"/>
          </w:rPr>
          <w:t>TDA-14(a): Developer Configuration Management | Software / Firmware Integrity Verification</w:t>
          <w:tab/>
          <w:t>279</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321">
        <w:r>
          <w:rPr>
            <w:webHidden/>
          </w:rPr>
          <w:fldChar w:fldCharType="begin"/>
        </w:r>
        <w:r>
          <w:rPr>
            <w:webHidden/>
          </w:rPr>
          <w:instrText>PAGEREF _Toc34921321 \h</w:instrText>
        </w:r>
        <w:r>
          <w:rPr>
            <w:webHidden/>
          </w:rPr>
          <w:fldChar w:fldCharType="separate"/>
        </w:r>
        <w:r>
          <w:rPr>
            <w:webHidden/>
            <w:rStyle w:val="IndexLink"/>
            <w:vanish w:val="false"/>
          </w:rPr>
          <w:t>TDA-15: Developer Threat Analysis &amp; Flaw Remediation</w:t>
          <w:tab/>
          <w:t>280</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322">
        <w:r>
          <w:rPr>
            <w:webHidden/>
          </w:rPr>
          <w:fldChar w:fldCharType="begin"/>
        </w:r>
        <w:r>
          <w:rPr>
            <w:webHidden/>
          </w:rPr>
          <w:instrText>PAGEREF _Toc34921322 \h</w:instrText>
        </w:r>
        <w:r>
          <w:rPr>
            <w:webHidden/>
          </w:rPr>
          <w:fldChar w:fldCharType="separate"/>
        </w:r>
        <w:r>
          <w:rPr>
            <w:webHidden/>
            <w:rStyle w:val="IndexLink"/>
            <w:vanish w:val="false"/>
          </w:rPr>
          <w:t>TDA-16: Developer-Provided Training</w:t>
          <w:tab/>
          <w:t>280</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323">
        <w:r>
          <w:rPr>
            <w:webHidden/>
          </w:rPr>
          <w:fldChar w:fldCharType="begin"/>
        </w:r>
        <w:r>
          <w:rPr>
            <w:webHidden/>
          </w:rPr>
          <w:instrText>PAGEREF _Toc34921323 \h</w:instrText>
        </w:r>
        <w:r>
          <w:rPr>
            <w:webHidden/>
          </w:rPr>
          <w:fldChar w:fldCharType="separate"/>
        </w:r>
        <w:r>
          <w:rPr>
            <w:webHidden/>
            <w:rStyle w:val="IndexLink"/>
            <w:vanish w:val="false"/>
          </w:rPr>
          <w:t>TDA-17: Unsupported Systems</w:t>
          <w:tab/>
          <w:t>280</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324">
        <w:r>
          <w:rPr>
            <w:webHidden/>
          </w:rPr>
          <w:fldChar w:fldCharType="begin"/>
        </w:r>
        <w:r>
          <w:rPr>
            <w:webHidden/>
          </w:rPr>
          <w:instrText>PAGEREF _Toc34921324 \h</w:instrText>
        </w:r>
        <w:r>
          <w:rPr>
            <w:webHidden/>
          </w:rPr>
          <w:fldChar w:fldCharType="separate"/>
        </w:r>
        <w:r>
          <w:rPr>
            <w:webHidden/>
            <w:rStyle w:val="IndexLink"/>
            <w:vanish w:val="false"/>
          </w:rPr>
          <w:t>TDA-17(a): Unsupported Systems | Alternate Sources For Continued Support</w:t>
          <w:tab/>
          <w:t>281</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325">
        <w:r>
          <w:rPr>
            <w:webHidden/>
          </w:rPr>
          <w:fldChar w:fldCharType="begin"/>
        </w:r>
        <w:r>
          <w:rPr>
            <w:webHidden/>
          </w:rPr>
          <w:instrText>PAGEREF _Toc34921325 \h</w:instrText>
        </w:r>
        <w:r>
          <w:rPr>
            <w:webHidden/>
          </w:rPr>
          <w:fldChar w:fldCharType="separate"/>
        </w:r>
        <w:r>
          <w:rPr>
            <w:webHidden/>
            <w:rStyle w:val="IndexLink"/>
            <w:vanish w:val="false"/>
          </w:rPr>
          <w:t>TDA-18: Input Data Validation</w:t>
          <w:tab/>
          <w:t>281</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326">
        <w:r>
          <w:rPr>
            <w:webHidden/>
          </w:rPr>
          <w:fldChar w:fldCharType="begin"/>
        </w:r>
        <w:r>
          <w:rPr>
            <w:webHidden/>
          </w:rPr>
          <w:instrText>PAGEREF _Toc34921326 \h</w:instrText>
        </w:r>
        <w:r>
          <w:rPr>
            <w:webHidden/>
          </w:rPr>
          <w:fldChar w:fldCharType="separate"/>
        </w:r>
        <w:r>
          <w:rPr>
            <w:webHidden/>
            <w:rStyle w:val="IndexLink"/>
            <w:vanish w:val="false"/>
          </w:rPr>
          <w:t>TDA-19: Error Handling</w:t>
          <w:tab/>
          <w:t>281</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327">
        <w:r>
          <w:rPr>
            <w:webHidden/>
          </w:rPr>
          <w:fldChar w:fldCharType="begin"/>
        </w:r>
        <w:r>
          <w:rPr>
            <w:webHidden/>
          </w:rPr>
          <w:instrText>PAGEREF _Toc34921327 \h</w:instrText>
        </w:r>
        <w:r>
          <w:rPr>
            <w:webHidden/>
          </w:rPr>
          <w:fldChar w:fldCharType="separate"/>
        </w:r>
        <w:r>
          <w:rPr>
            <w:webHidden/>
            <w:rStyle w:val="IndexLink"/>
            <w:vanish w:val="false"/>
          </w:rPr>
          <w:t>TDA-20: Access to Program Source Code</w:t>
          <w:tab/>
          <w:t>282</w:t>
        </w:r>
        <w:r>
          <w:rPr>
            <w:webHidden/>
          </w:rPr>
          <w:fldChar w:fldCharType="end"/>
        </w:r>
      </w:hyperlink>
    </w:p>
    <w:p>
      <w:pPr>
        <w:pStyle w:val="Contents1"/>
        <w:rPr>
          <w:rFonts w:eastAsia="" w:cs="" w:cstheme="minorBidi" w:eastAsiaTheme="minorEastAsia"/>
          <w:b w:val="false"/>
          <w:b w:val="false"/>
          <w:caps w:val="false"/>
          <w:smallCaps w:val="false"/>
          <w:color w:val="auto"/>
          <w:sz w:val="22"/>
          <w:szCs w:val="22"/>
          <w:u w:val="none"/>
        </w:rPr>
      </w:pPr>
      <w:hyperlink w:anchor="_Toc34921328">
        <w:r>
          <w:rPr>
            <w:webHidden/>
          </w:rPr>
          <w:fldChar w:fldCharType="begin"/>
        </w:r>
        <w:r>
          <w:rPr>
            <w:webHidden/>
          </w:rPr>
          <w:instrText>PAGEREF _Toc34921328 \h</w:instrText>
        </w:r>
        <w:r>
          <w:rPr>
            <w:webHidden/>
          </w:rPr>
          <w:fldChar w:fldCharType="separate"/>
        </w:r>
        <w:r>
          <w:rPr>
            <w:webHidden/>
            <w:rStyle w:val="IndexLink"/>
            <w:vanish w:val="false"/>
          </w:rPr>
          <w:t>Third-Party Management (TPM) Policy &amp; Standards</w:t>
          <w:tab/>
          <w:t>283</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329">
        <w:r>
          <w:rPr>
            <w:webHidden/>
          </w:rPr>
          <w:fldChar w:fldCharType="begin"/>
        </w:r>
        <w:r>
          <w:rPr>
            <w:webHidden/>
          </w:rPr>
          <w:instrText>PAGEREF _Toc34921329 \h</w:instrText>
        </w:r>
        <w:r>
          <w:rPr>
            <w:webHidden/>
          </w:rPr>
          <w:fldChar w:fldCharType="separate"/>
        </w:r>
        <w:r>
          <w:rPr>
            <w:webHidden/>
            <w:rStyle w:val="IndexLink"/>
            <w:vanish w:val="false"/>
          </w:rPr>
          <w:t>TPM-01: Third-Party Management</w:t>
          <w:tab/>
          <w:t>283</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330">
        <w:r>
          <w:rPr>
            <w:webHidden/>
          </w:rPr>
          <w:fldChar w:fldCharType="begin"/>
        </w:r>
        <w:r>
          <w:rPr>
            <w:webHidden/>
          </w:rPr>
          <w:instrText>PAGEREF _Toc34921330 \h</w:instrText>
        </w:r>
        <w:r>
          <w:rPr>
            <w:webHidden/>
          </w:rPr>
          <w:fldChar w:fldCharType="separate"/>
        </w:r>
        <w:r>
          <w:rPr>
            <w:webHidden/>
            <w:rStyle w:val="IndexLink"/>
            <w:vanish w:val="false"/>
          </w:rPr>
          <w:t>TPM-02: Third-Party Criticality Assessments</w:t>
          <w:tab/>
          <w:t>283</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331">
        <w:r>
          <w:rPr>
            <w:webHidden/>
          </w:rPr>
          <w:fldChar w:fldCharType="begin"/>
        </w:r>
        <w:r>
          <w:rPr>
            <w:webHidden/>
          </w:rPr>
          <w:instrText>PAGEREF _Toc34921331 \h</w:instrText>
        </w:r>
        <w:r>
          <w:rPr>
            <w:webHidden/>
          </w:rPr>
          <w:fldChar w:fldCharType="separate"/>
        </w:r>
        <w:r>
          <w:rPr>
            <w:webHidden/>
            <w:rStyle w:val="IndexLink"/>
            <w:vanish w:val="false"/>
          </w:rPr>
          <w:t>TPM-03: Supply Chain Protection</w:t>
          <w:tab/>
          <w:t>283</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332">
        <w:r>
          <w:rPr>
            <w:webHidden/>
          </w:rPr>
          <w:fldChar w:fldCharType="begin"/>
        </w:r>
        <w:r>
          <w:rPr>
            <w:webHidden/>
          </w:rPr>
          <w:instrText>PAGEREF _Toc34921332 \h</w:instrText>
        </w:r>
        <w:r>
          <w:rPr>
            <w:webHidden/>
          </w:rPr>
          <w:fldChar w:fldCharType="separate"/>
        </w:r>
        <w:r>
          <w:rPr>
            <w:webHidden/>
            <w:rStyle w:val="IndexLink"/>
            <w:vanish w:val="false"/>
          </w:rPr>
          <w:t>TPM-03(a): Supply Chain Protection | Acquisition Strategies, Tools &amp; Methods</w:t>
          <w:tab/>
          <w:t>284</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333">
        <w:r>
          <w:rPr>
            <w:webHidden/>
          </w:rPr>
          <w:fldChar w:fldCharType="begin"/>
        </w:r>
        <w:r>
          <w:rPr>
            <w:webHidden/>
          </w:rPr>
          <w:instrText>PAGEREF _Toc34921333 \h</w:instrText>
        </w:r>
        <w:r>
          <w:rPr>
            <w:webHidden/>
          </w:rPr>
          <w:fldChar w:fldCharType="separate"/>
        </w:r>
        <w:r>
          <w:rPr>
            <w:webHidden/>
            <w:rStyle w:val="IndexLink"/>
            <w:vanish w:val="false"/>
          </w:rPr>
          <w:t>TPM-03(b): Supply Chain Protection | Limit Potential Harm</w:t>
          <w:tab/>
          <w:t>284</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334">
        <w:r>
          <w:rPr>
            <w:webHidden/>
          </w:rPr>
          <w:fldChar w:fldCharType="begin"/>
        </w:r>
        <w:r>
          <w:rPr>
            <w:webHidden/>
          </w:rPr>
          <w:instrText>PAGEREF _Toc34921334 \h</w:instrText>
        </w:r>
        <w:r>
          <w:rPr>
            <w:webHidden/>
          </w:rPr>
          <w:fldChar w:fldCharType="separate"/>
        </w:r>
        <w:r>
          <w:rPr>
            <w:webHidden/>
            <w:rStyle w:val="IndexLink"/>
            <w:vanish w:val="false"/>
          </w:rPr>
          <w:t>TPM-03(c): Supply Chain Protection | Processes To Address Weaknesses or Deficiencies</w:t>
          <w:tab/>
          <w:t>284</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335">
        <w:r>
          <w:rPr>
            <w:webHidden/>
          </w:rPr>
          <w:fldChar w:fldCharType="begin"/>
        </w:r>
        <w:r>
          <w:rPr>
            <w:webHidden/>
          </w:rPr>
          <w:instrText>PAGEREF _Toc34921335 \h</w:instrText>
        </w:r>
        <w:r>
          <w:rPr>
            <w:webHidden/>
          </w:rPr>
          <w:fldChar w:fldCharType="separate"/>
        </w:r>
        <w:r>
          <w:rPr>
            <w:webHidden/>
            <w:rStyle w:val="IndexLink"/>
            <w:vanish w:val="false"/>
          </w:rPr>
          <w:t>TPM-04: Third-Party Services</w:t>
          <w:tab/>
          <w:t>285</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336">
        <w:r>
          <w:rPr>
            <w:webHidden/>
          </w:rPr>
          <w:fldChar w:fldCharType="begin"/>
        </w:r>
        <w:r>
          <w:rPr>
            <w:webHidden/>
          </w:rPr>
          <w:instrText>PAGEREF _Toc34921336 \h</w:instrText>
        </w:r>
        <w:r>
          <w:rPr>
            <w:webHidden/>
          </w:rPr>
          <w:fldChar w:fldCharType="separate"/>
        </w:r>
        <w:r>
          <w:rPr>
            <w:webHidden/>
            <w:rStyle w:val="IndexLink"/>
            <w:vanish w:val="false"/>
          </w:rPr>
          <w:t>TPM-04(a): Third-Party Services | Third-Party Risk Assessments &amp; Approvals</w:t>
          <w:tab/>
          <w:t>285</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337">
        <w:r>
          <w:rPr>
            <w:webHidden/>
          </w:rPr>
          <w:fldChar w:fldCharType="begin"/>
        </w:r>
        <w:r>
          <w:rPr>
            <w:webHidden/>
          </w:rPr>
          <w:instrText>PAGEREF _Toc34921337 \h</w:instrText>
        </w:r>
        <w:r>
          <w:rPr>
            <w:webHidden/>
          </w:rPr>
          <w:fldChar w:fldCharType="separate"/>
        </w:r>
        <w:r>
          <w:rPr>
            <w:webHidden/>
            <w:rStyle w:val="IndexLink"/>
            <w:vanish w:val="false"/>
          </w:rPr>
          <w:t>TPM-04(b): Third-Party Services | Identification Of Functions, Ports, Protocols &amp; Services</w:t>
          <w:tab/>
          <w:t>286</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338">
        <w:r>
          <w:rPr>
            <w:webHidden/>
          </w:rPr>
          <w:fldChar w:fldCharType="begin"/>
        </w:r>
        <w:r>
          <w:rPr>
            <w:webHidden/>
          </w:rPr>
          <w:instrText>PAGEREF _Toc34921338 \h</w:instrText>
        </w:r>
        <w:r>
          <w:rPr>
            <w:webHidden/>
          </w:rPr>
          <w:fldChar w:fldCharType="separate"/>
        </w:r>
        <w:r>
          <w:rPr>
            <w:webHidden/>
            <w:rStyle w:val="IndexLink"/>
            <w:vanish w:val="false"/>
          </w:rPr>
          <w:t>TPM-04(c): Third-Party Services | Conflict of Interests</w:t>
          <w:tab/>
          <w:t>286</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339">
        <w:r>
          <w:rPr>
            <w:webHidden/>
          </w:rPr>
          <w:fldChar w:fldCharType="begin"/>
        </w:r>
        <w:r>
          <w:rPr>
            <w:webHidden/>
          </w:rPr>
          <w:instrText>PAGEREF _Toc34921339 \h</w:instrText>
        </w:r>
        <w:r>
          <w:rPr>
            <w:webHidden/>
          </w:rPr>
          <w:fldChar w:fldCharType="separate"/>
        </w:r>
        <w:r>
          <w:rPr>
            <w:webHidden/>
            <w:rStyle w:val="IndexLink"/>
            <w:vanish w:val="false"/>
          </w:rPr>
          <w:t>TPM-04(d): Third-Party Services | Third-Party Processing, Storage and Service Locations</w:t>
          <w:tab/>
          <w:t>286</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340">
        <w:r>
          <w:rPr>
            <w:webHidden/>
          </w:rPr>
          <w:fldChar w:fldCharType="begin"/>
        </w:r>
        <w:r>
          <w:rPr>
            <w:webHidden/>
          </w:rPr>
          <w:instrText>PAGEREF _Toc34921340 \h</w:instrText>
        </w:r>
        <w:r>
          <w:rPr>
            <w:webHidden/>
          </w:rPr>
          <w:fldChar w:fldCharType="separate"/>
        </w:r>
        <w:r>
          <w:rPr>
            <w:webHidden/>
            <w:rStyle w:val="IndexLink"/>
            <w:vanish w:val="false"/>
          </w:rPr>
          <w:t>TPM-05: Third-Party Contract Requirements</w:t>
          <w:tab/>
          <w:t>287</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341">
        <w:r>
          <w:rPr>
            <w:webHidden/>
          </w:rPr>
          <w:fldChar w:fldCharType="begin"/>
        </w:r>
        <w:r>
          <w:rPr>
            <w:webHidden/>
          </w:rPr>
          <w:instrText>PAGEREF _Toc34921341 \h</w:instrText>
        </w:r>
        <w:r>
          <w:rPr>
            <w:webHidden/>
          </w:rPr>
          <w:fldChar w:fldCharType="separate"/>
        </w:r>
        <w:r>
          <w:rPr>
            <w:webHidden/>
            <w:rStyle w:val="IndexLink"/>
            <w:vanish w:val="false"/>
          </w:rPr>
          <w:t>TPM-06: Third-Party Personnel Security</w:t>
          <w:tab/>
          <w:t>287</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342">
        <w:r>
          <w:rPr>
            <w:webHidden/>
          </w:rPr>
          <w:fldChar w:fldCharType="begin"/>
        </w:r>
        <w:r>
          <w:rPr>
            <w:webHidden/>
          </w:rPr>
          <w:instrText>PAGEREF _Toc34921342 \h</w:instrText>
        </w:r>
        <w:r>
          <w:rPr>
            <w:webHidden/>
          </w:rPr>
          <w:fldChar w:fldCharType="separate"/>
        </w:r>
        <w:r>
          <w:rPr>
            <w:webHidden/>
            <w:rStyle w:val="IndexLink"/>
            <w:vanish w:val="false"/>
          </w:rPr>
          <w:t>TPM-07: Monitoring for Third-Party Information Disclosure</w:t>
          <w:tab/>
          <w:t>288</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343">
        <w:r>
          <w:rPr>
            <w:webHidden/>
          </w:rPr>
          <w:fldChar w:fldCharType="begin"/>
        </w:r>
        <w:r>
          <w:rPr>
            <w:webHidden/>
          </w:rPr>
          <w:instrText>PAGEREF _Toc34921343 \h</w:instrText>
        </w:r>
        <w:r>
          <w:rPr>
            <w:webHidden/>
          </w:rPr>
          <w:fldChar w:fldCharType="separate"/>
        </w:r>
        <w:r>
          <w:rPr>
            <w:webHidden/>
            <w:rStyle w:val="IndexLink"/>
            <w:vanish w:val="false"/>
          </w:rPr>
          <w:t>TPM-08: Review of Third-Party Services</w:t>
          <w:tab/>
          <w:t>288</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344">
        <w:r>
          <w:rPr>
            <w:webHidden/>
          </w:rPr>
          <w:fldChar w:fldCharType="begin"/>
        </w:r>
        <w:r>
          <w:rPr>
            <w:webHidden/>
          </w:rPr>
          <w:instrText>PAGEREF _Toc34921344 \h</w:instrText>
        </w:r>
        <w:r>
          <w:rPr>
            <w:webHidden/>
          </w:rPr>
          <w:fldChar w:fldCharType="separate"/>
        </w:r>
        <w:r>
          <w:rPr>
            <w:webHidden/>
            <w:rStyle w:val="IndexLink"/>
            <w:vanish w:val="false"/>
          </w:rPr>
          <w:t>TPM-09: Third-Party Deficiency Remediation</w:t>
          <w:tab/>
          <w:t>288</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345">
        <w:r>
          <w:rPr>
            <w:webHidden/>
          </w:rPr>
          <w:fldChar w:fldCharType="begin"/>
        </w:r>
        <w:r>
          <w:rPr>
            <w:webHidden/>
          </w:rPr>
          <w:instrText>PAGEREF _Toc34921345 \h</w:instrText>
        </w:r>
        <w:r>
          <w:rPr>
            <w:webHidden/>
          </w:rPr>
          <w:fldChar w:fldCharType="separate"/>
        </w:r>
        <w:r>
          <w:rPr>
            <w:webHidden/>
            <w:rStyle w:val="IndexLink"/>
            <w:vanish w:val="false"/>
          </w:rPr>
          <w:t>TPM-10: Managing Changes to Third-Party Services</w:t>
          <w:tab/>
          <w:t>289</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346">
        <w:r>
          <w:rPr>
            <w:webHidden/>
          </w:rPr>
          <w:fldChar w:fldCharType="begin"/>
        </w:r>
        <w:r>
          <w:rPr>
            <w:webHidden/>
          </w:rPr>
          <w:instrText>PAGEREF _Toc34921346 \h</w:instrText>
        </w:r>
        <w:r>
          <w:rPr>
            <w:webHidden/>
          </w:rPr>
          <w:fldChar w:fldCharType="separate"/>
        </w:r>
        <w:r>
          <w:rPr>
            <w:webHidden/>
            <w:rStyle w:val="IndexLink"/>
            <w:vanish w:val="false"/>
          </w:rPr>
          <w:t>TPM-11: Third-Party Incident Response &amp; Recovery Capabilities</w:t>
          <w:tab/>
          <w:t>289</w:t>
        </w:r>
        <w:r>
          <w:rPr>
            <w:webHidden/>
          </w:rPr>
          <w:fldChar w:fldCharType="end"/>
        </w:r>
      </w:hyperlink>
    </w:p>
    <w:p>
      <w:pPr>
        <w:pStyle w:val="Contents1"/>
        <w:rPr>
          <w:rFonts w:eastAsia="" w:cs="" w:cstheme="minorBidi" w:eastAsiaTheme="minorEastAsia"/>
          <w:b w:val="false"/>
          <w:b w:val="false"/>
          <w:caps w:val="false"/>
          <w:smallCaps w:val="false"/>
          <w:color w:val="auto"/>
          <w:sz w:val="22"/>
          <w:szCs w:val="22"/>
          <w:u w:val="none"/>
        </w:rPr>
      </w:pPr>
      <w:hyperlink w:anchor="_Toc34921347">
        <w:r>
          <w:rPr>
            <w:webHidden/>
          </w:rPr>
          <w:fldChar w:fldCharType="begin"/>
        </w:r>
        <w:r>
          <w:rPr>
            <w:webHidden/>
          </w:rPr>
          <w:instrText>PAGEREF _Toc34921347 \h</w:instrText>
        </w:r>
        <w:r>
          <w:rPr>
            <w:webHidden/>
          </w:rPr>
          <w:fldChar w:fldCharType="separate"/>
        </w:r>
        <w:r>
          <w:rPr>
            <w:webHidden/>
            <w:rStyle w:val="IndexLink"/>
            <w:vanish w:val="false"/>
          </w:rPr>
          <w:t>Threat Management (THR) Policy &amp; Standards</w:t>
          <w:tab/>
          <w:t>290</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348">
        <w:r>
          <w:rPr>
            <w:webHidden/>
          </w:rPr>
          <w:fldChar w:fldCharType="begin"/>
        </w:r>
        <w:r>
          <w:rPr>
            <w:webHidden/>
          </w:rPr>
          <w:instrText>PAGEREF _Toc34921348 \h</w:instrText>
        </w:r>
        <w:r>
          <w:rPr>
            <w:webHidden/>
          </w:rPr>
          <w:fldChar w:fldCharType="separate"/>
        </w:r>
        <w:r>
          <w:rPr>
            <w:webHidden/>
            <w:rStyle w:val="IndexLink"/>
            <w:vanish w:val="false"/>
          </w:rPr>
          <w:t>THR-01: Threat Awareness Program</w:t>
          <w:tab/>
          <w:t>290</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349">
        <w:r>
          <w:rPr>
            <w:webHidden/>
          </w:rPr>
          <w:fldChar w:fldCharType="begin"/>
        </w:r>
        <w:r>
          <w:rPr>
            <w:webHidden/>
          </w:rPr>
          <w:instrText>PAGEREF _Toc34921349 \h</w:instrText>
        </w:r>
        <w:r>
          <w:rPr>
            <w:webHidden/>
          </w:rPr>
          <w:fldChar w:fldCharType="separate"/>
        </w:r>
        <w:r>
          <w:rPr>
            <w:webHidden/>
            <w:rStyle w:val="IndexLink"/>
            <w:vanish w:val="false"/>
          </w:rPr>
          <w:t>THR-02: Indicators of Exposure (IOE)</w:t>
          <w:tab/>
          <w:t>290</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350">
        <w:r>
          <w:rPr>
            <w:webHidden/>
          </w:rPr>
          <w:fldChar w:fldCharType="begin"/>
        </w:r>
        <w:r>
          <w:rPr>
            <w:webHidden/>
          </w:rPr>
          <w:instrText>PAGEREF _Toc34921350 \h</w:instrText>
        </w:r>
        <w:r>
          <w:rPr>
            <w:webHidden/>
          </w:rPr>
          <w:fldChar w:fldCharType="separate"/>
        </w:r>
        <w:r>
          <w:rPr>
            <w:webHidden/>
            <w:rStyle w:val="IndexLink"/>
            <w:vanish w:val="false"/>
          </w:rPr>
          <w:t>THR-03: Threat Intelligence Feeds</w:t>
          <w:tab/>
          <w:t>290</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351">
        <w:r>
          <w:rPr>
            <w:webHidden/>
          </w:rPr>
          <w:fldChar w:fldCharType="begin"/>
        </w:r>
        <w:r>
          <w:rPr>
            <w:webHidden/>
          </w:rPr>
          <w:instrText>PAGEREF _Toc34921351 \h</w:instrText>
        </w:r>
        <w:r>
          <w:rPr>
            <w:webHidden/>
          </w:rPr>
          <w:fldChar w:fldCharType="separate"/>
        </w:r>
        <w:r>
          <w:rPr>
            <w:webHidden/>
            <w:rStyle w:val="IndexLink"/>
            <w:vanish w:val="false"/>
          </w:rPr>
          <w:t>THR-04: Insider Threat Program</w:t>
          <w:tab/>
          <w:t>291</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352">
        <w:r>
          <w:rPr>
            <w:webHidden/>
          </w:rPr>
          <w:fldChar w:fldCharType="begin"/>
        </w:r>
        <w:r>
          <w:rPr>
            <w:webHidden/>
          </w:rPr>
          <w:instrText>PAGEREF _Toc34921352 \h</w:instrText>
        </w:r>
        <w:r>
          <w:rPr>
            <w:webHidden/>
          </w:rPr>
          <w:fldChar w:fldCharType="separate"/>
        </w:r>
        <w:r>
          <w:rPr>
            <w:webHidden/>
            <w:rStyle w:val="IndexLink"/>
            <w:vanish w:val="false"/>
          </w:rPr>
          <w:t>THR-05: Insider Threat Awareness</w:t>
          <w:tab/>
          <w:t>291</w:t>
        </w:r>
        <w:r>
          <w:rPr>
            <w:webHidden/>
          </w:rPr>
          <w:fldChar w:fldCharType="end"/>
        </w:r>
      </w:hyperlink>
    </w:p>
    <w:p>
      <w:pPr>
        <w:pStyle w:val="Contents1"/>
        <w:rPr>
          <w:rFonts w:eastAsia="" w:cs="" w:cstheme="minorBidi" w:eastAsiaTheme="minorEastAsia"/>
          <w:b w:val="false"/>
          <w:b w:val="false"/>
          <w:caps w:val="false"/>
          <w:smallCaps w:val="false"/>
          <w:color w:val="auto"/>
          <w:sz w:val="22"/>
          <w:szCs w:val="22"/>
          <w:u w:val="none"/>
        </w:rPr>
      </w:pPr>
      <w:hyperlink w:anchor="_Toc34921353">
        <w:r>
          <w:rPr>
            <w:webHidden/>
          </w:rPr>
          <w:fldChar w:fldCharType="begin"/>
        </w:r>
        <w:r>
          <w:rPr>
            <w:webHidden/>
          </w:rPr>
          <w:instrText>PAGEREF _Toc34921353 \h</w:instrText>
        </w:r>
        <w:r>
          <w:rPr>
            <w:webHidden/>
          </w:rPr>
          <w:fldChar w:fldCharType="separate"/>
        </w:r>
        <w:r>
          <w:rPr>
            <w:webHidden/>
            <w:rStyle w:val="IndexLink"/>
            <w:vanish w:val="false"/>
          </w:rPr>
          <w:t>Vulnerability &amp; Patch Management (VPM) Policy &amp; Standards</w:t>
          <w:tab/>
          <w:t>292</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354">
        <w:r>
          <w:rPr>
            <w:webHidden/>
          </w:rPr>
          <w:fldChar w:fldCharType="begin"/>
        </w:r>
        <w:r>
          <w:rPr>
            <w:webHidden/>
          </w:rPr>
          <w:instrText>PAGEREF _Toc34921354 \h</w:instrText>
        </w:r>
        <w:r>
          <w:rPr>
            <w:webHidden/>
          </w:rPr>
          <w:fldChar w:fldCharType="separate"/>
        </w:r>
        <w:r>
          <w:rPr>
            <w:webHidden/>
            <w:rStyle w:val="IndexLink"/>
            <w:vanish w:val="false"/>
          </w:rPr>
          <w:t>VPM-01: Vulnerability &amp; Patch Management Program</w:t>
          <w:tab/>
          <w:t>292</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355">
        <w:r>
          <w:rPr>
            <w:webHidden/>
          </w:rPr>
          <w:fldChar w:fldCharType="begin"/>
        </w:r>
        <w:r>
          <w:rPr>
            <w:webHidden/>
          </w:rPr>
          <w:instrText>PAGEREF _Toc34921355 \h</w:instrText>
        </w:r>
        <w:r>
          <w:rPr>
            <w:webHidden/>
          </w:rPr>
          <w:fldChar w:fldCharType="separate"/>
        </w:r>
        <w:r>
          <w:rPr>
            <w:webHidden/>
            <w:rStyle w:val="IndexLink"/>
            <w:vanish w:val="false"/>
          </w:rPr>
          <w:t>VPM-01(a): Vulnerability &amp; Patch Management Program | Establish Vulnerability Management Scope</w:t>
          <w:tab/>
          <w:t>292</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356">
        <w:r>
          <w:rPr>
            <w:webHidden/>
          </w:rPr>
          <w:fldChar w:fldCharType="begin"/>
        </w:r>
        <w:r>
          <w:rPr>
            <w:webHidden/>
          </w:rPr>
          <w:instrText>PAGEREF _Toc34921356 \h</w:instrText>
        </w:r>
        <w:r>
          <w:rPr>
            <w:webHidden/>
          </w:rPr>
          <w:fldChar w:fldCharType="separate"/>
        </w:r>
        <w:r>
          <w:rPr>
            <w:webHidden/>
            <w:rStyle w:val="IndexLink"/>
            <w:vanish w:val="false"/>
          </w:rPr>
          <w:t>VPM-02: Vulnerability Remediation Process</w:t>
          <w:tab/>
          <w:t>292</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357">
        <w:r>
          <w:rPr>
            <w:webHidden/>
          </w:rPr>
          <w:fldChar w:fldCharType="begin"/>
        </w:r>
        <w:r>
          <w:rPr>
            <w:webHidden/>
          </w:rPr>
          <w:instrText>PAGEREF _Toc34921357 \h</w:instrText>
        </w:r>
        <w:r>
          <w:rPr>
            <w:webHidden/>
          </w:rPr>
          <w:fldChar w:fldCharType="separate"/>
        </w:r>
        <w:r>
          <w:rPr>
            <w:webHidden/>
            <w:rStyle w:val="IndexLink"/>
            <w:vanish w:val="false"/>
          </w:rPr>
          <w:t>VPM-03: Vulnerability Ranking</w:t>
          <w:tab/>
          <w:t>292</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358">
        <w:r>
          <w:rPr>
            <w:webHidden/>
          </w:rPr>
          <w:fldChar w:fldCharType="begin"/>
        </w:r>
        <w:r>
          <w:rPr>
            <w:webHidden/>
          </w:rPr>
          <w:instrText>PAGEREF _Toc34921358 \h</w:instrText>
        </w:r>
        <w:r>
          <w:rPr>
            <w:webHidden/>
          </w:rPr>
          <w:fldChar w:fldCharType="separate"/>
        </w:r>
        <w:r>
          <w:rPr>
            <w:webHidden/>
            <w:rStyle w:val="IndexLink"/>
            <w:vanish w:val="false"/>
          </w:rPr>
          <w:t>VPM-04: Continuous Vulnerability Remediation Activities</w:t>
          <w:tab/>
          <w:t>293</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359">
        <w:r>
          <w:rPr>
            <w:webHidden/>
          </w:rPr>
          <w:fldChar w:fldCharType="begin"/>
        </w:r>
        <w:r>
          <w:rPr>
            <w:webHidden/>
          </w:rPr>
          <w:instrText>PAGEREF _Toc34921359 \h</w:instrText>
        </w:r>
        <w:r>
          <w:rPr>
            <w:webHidden/>
          </w:rPr>
          <w:fldChar w:fldCharType="separate"/>
        </w:r>
        <w:r>
          <w:rPr>
            <w:webHidden/>
            <w:rStyle w:val="IndexLink"/>
            <w:vanish w:val="false"/>
          </w:rPr>
          <w:t>VPM-04(a): Continuous Vulnerability Remediation Activities | Stable Versions</w:t>
          <w:tab/>
          <w:t>293</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360">
        <w:r>
          <w:rPr>
            <w:webHidden/>
          </w:rPr>
          <w:fldChar w:fldCharType="begin"/>
        </w:r>
        <w:r>
          <w:rPr>
            <w:webHidden/>
          </w:rPr>
          <w:instrText>PAGEREF _Toc34921360 \h</w:instrText>
        </w:r>
        <w:r>
          <w:rPr>
            <w:webHidden/>
          </w:rPr>
          <w:fldChar w:fldCharType="separate"/>
        </w:r>
        <w:r>
          <w:rPr>
            <w:webHidden/>
            <w:rStyle w:val="IndexLink"/>
            <w:vanish w:val="false"/>
          </w:rPr>
          <w:t>VPM-04(b): Continuous Vulnerability Remediation Activities | Flaw Remediation with Personal Data (PD)</w:t>
          <w:tab/>
          <w:t>293</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361">
        <w:r>
          <w:rPr>
            <w:webHidden/>
          </w:rPr>
          <w:fldChar w:fldCharType="begin"/>
        </w:r>
        <w:r>
          <w:rPr>
            <w:webHidden/>
          </w:rPr>
          <w:instrText>PAGEREF _Toc34921361 \h</w:instrText>
        </w:r>
        <w:r>
          <w:rPr>
            <w:webHidden/>
          </w:rPr>
          <w:fldChar w:fldCharType="separate"/>
        </w:r>
        <w:r>
          <w:rPr>
            <w:webHidden/>
            <w:rStyle w:val="IndexLink"/>
            <w:vanish w:val="false"/>
          </w:rPr>
          <w:t>VPM-05: Software Patching</w:t>
          <w:tab/>
          <w:t>294</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362">
        <w:r>
          <w:rPr>
            <w:webHidden/>
          </w:rPr>
          <w:fldChar w:fldCharType="begin"/>
        </w:r>
        <w:r>
          <w:rPr>
            <w:webHidden/>
          </w:rPr>
          <w:instrText>PAGEREF _Toc34921362 \h</w:instrText>
        </w:r>
        <w:r>
          <w:rPr>
            <w:webHidden/>
          </w:rPr>
          <w:fldChar w:fldCharType="separate"/>
        </w:r>
        <w:r>
          <w:rPr>
            <w:webHidden/>
            <w:rStyle w:val="IndexLink"/>
            <w:vanish w:val="false"/>
          </w:rPr>
          <w:t>VPM-05(a): Software Patching | Centralized Management</w:t>
          <w:tab/>
          <w:t>294</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363">
        <w:r>
          <w:rPr>
            <w:webHidden/>
          </w:rPr>
          <w:fldChar w:fldCharType="begin"/>
        </w:r>
        <w:r>
          <w:rPr>
            <w:webHidden/>
          </w:rPr>
          <w:instrText>PAGEREF _Toc34921363 \h</w:instrText>
        </w:r>
        <w:r>
          <w:rPr>
            <w:webHidden/>
          </w:rPr>
          <w:fldChar w:fldCharType="separate"/>
        </w:r>
        <w:r>
          <w:rPr>
            <w:webHidden/>
            <w:rStyle w:val="IndexLink"/>
            <w:vanish w:val="false"/>
          </w:rPr>
          <w:t>VPM-05(b): Software Patching | Automated Remediation Status</w:t>
          <w:tab/>
          <w:t>295</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364">
        <w:r>
          <w:rPr>
            <w:webHidden/>
          </w:rPr>
          <w:fldChar w:fldCharType="begin"/>
        </w:r>
        <w:r>
          <w:rPr>
            <w:webHidden/>
          </w:rPr>
          <w:instrText>PAGEREF _Toc34921364 \h</w:instrText>
        </w:r>
        <w:r>
          <w:rPr>
            <w:webHidden/>
          </w:rPr>
          <w:fldChar w:fldCharType="separate"/>
        </w:r>
        <w:r>
          <w:rPr>
            <w:webHidden/>
            <w:rStyle w:val="IndexLink"/>
            <w:vanish w:val="false"/>
          </w:rPr>
          <w:t>VPM-05(c): Software Patching | Time To Remediate / Benchmarks For Corrective Action</w:t>
          <w:tab/>
          <w:t>295</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365">
        <w:r>
          <w:rPr>
            <w:webHidden/>
          </w:rPr>
          <w:fldChar w:fldCharType="begin"/>
        </w:r>
        <w:r>
          <w:rPr>
            <w:webHidden/>
          </w:rPr>
          <w:instrText>PAGEREF _Toc34921365 \h</w:instrText>
        </w:r>
        <w:r>
          <w:rPr>
            <w:webHidden/>
          </w:rPr>
          <w:fldChar w:fldCharType="separate"/>
        </w:r>
        <w:r>
          <w:rPr>
            <w:webHidden/>
            <w:rStyle w:val="IndexLink"/>
            <w:vanish w:val="false"/>
          </w:rPr>
          <w:t>VPM-05(d): Software Patching | Automated Software &amp; Firmware Updates</w:t>
          <w:tab/>
          <w:t>295</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366">
        <w:r>
          <w:rPr>
            <w:webHidden/>
          </w:rPr>
          <w:fldChar w:fldCharType="begin"/>
        </w:r>
        <w:r>
          <w:rPr>
            <w:webHidden/>
          </w:rPr>
          <w:instrText>PAGEREF _Toc34921366 \h</w:instrText>
        </w:r>
        <w:r>
          <w:rPr>
            <w:webHidden/>
          </w:rPr>
          <w:fldChar w:fldCharType="separate"/>
        </w:r>
        <w:r>
          <w:rPr>
            <w:webHidden/>
            <w:rStyle w:val="IndexLink"/>
            <w:vanish w:val="false"/>
          </w:rPr>
          <w:t>VPM-05(e): Software Patching | Removal of Previous Versions</w:t>
          <w:tab/>
          <w:t>295</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367">
        <w:r>
          <w:rPr>
            <w:webHidden/>
          </w:rPr>
          <w:fldChar w:fldCharType="begin"/>
        </w:r>
        <w:r>
          <w:rPr>
            <w:webHidden/>
          </w:rPr>
          <w:instrText>PAGEREF _Toc34921367 \h</w:instrText>
        </w:r>
        <w:r>
          <w:rPr>
            <w:webHidden/>
          </w:rPr>
          <w:fldChar w:fldCharType="separate"/>
        </w:r>
        <w:r>
          <w:rPr>
            <w:webHidden/>
            <w:rStyle w:val="IndexLink"/>
            <w:vanish w:val="false"/>
          </w:rPr>
          <w:t>VPM-06: Vulnerability Scanning</w:t>
          <w:tab/>
          <w:t>296</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368">
        <w:r>
          <w:rPr>
            <w:webHidden/>
          </w:rPr>
          <w:fldChar w:fldCharType="begin"/>
        </w:r>
        <w:r>
          <w:rPr>
            <w:webHidden/>
          </w:rPr>
          <w:instrText>PAGEREF _Toc34921368 \h</w:instrText>
        </w:r>
        <w:r>
          <w:rPr>
            <w:webHidden/>
          </w:rPr>
          <w:fldChar w:fldCharType="separate"/>
        </w:r>
        <w:r>
          <w:rPr>
            <w:webHidden/>
            <w:rStyle w:val="IndexLink"/>
            <w:vanish w:val="false"/>
          </w:rPr>
          <w:t>VPM-06(a): Vulnerability Scanning | Update Tool Capability</w:t>
          <w:tab/>
          <w:t>296</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369">
        <w:r>
          <w:rPr>
            <w:webHidden/>
          </w:rPr>
          <w:fldChar w:fldCharType="begin"/>
        </w:r>
        <w:r>
          <w:rPr>
            <w:webHidden/>
          </w:rPr>
          <w:instrText>PAGEREF _Toc34921369 \h</w:instrText>
        </w:r>
        <w:r>
          <w:rPr>
            <w:webHidden/>
          </w:rPr>
          <w:fldChar w:fldCharType="separate"/>
        </w:r>
        <w:r>
          <w:rPr>
            <w:webHidden/>
            <w:rStyle w:val="IndexLink"/>
            <w:vanish w:val="false"/>
          </w:rPr>
          <w:t>VPM-06(b): Vulnerability Scanning | Breadth / Depth of Coverage</w:t>
          <w:tab/>
          <w:t>297</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370">
        <w:r>
          <w:rPr>
            <w:webHidden/>
          </w:rPr>
          <w:fldChar w:fldCharType="begin"/>
        </w:r>
        <w:r>
          <w:rPr>
            <w:webHidden/>
          </w:rPr>
          <w:instrText>PAGEREF _Toc34921370 \h</w:instrText>
        </w:r>
        <w:r>
          <w:rPr>
            <w:webHidden/>
          </w:rPr>
          <w:fldChar w:fldCharType="separate"/>
        </w:r>
        <w:r>
          <w:rPr>
            <w:webHidden/>
            <w:rStyle w:val="IndexLink"/>
            <w:vanish w:val="false"/>
          </w:rPr>
          <w:t>VPM-06(c): Vulnerability Scanning | Privileged Access</w:t>
          <w:tab/>
          <w:t>297</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371">
        <w:r>
          <w:rPr>
            <w:webHidden/>
          </w:rPr>
          <w:fldChar w:fldCharType="begin"/>
        </w:r>
        <w:r>
          <w:rPr>
            <w:webHidden/>
          </w:rPr>
          <w:instrText>PAGEREF _Toc34921371 \h</w:instrText>
        </w:r>
        <w:r>
          <w:rPr>
            <w:webHidden/>
          </w:rPr>
          <w:fldChar w:fldCharType="separate"/>
        </w:r>
        <w:r>
          <w:rPr>
            <w:webHidden/>
            <w:rStyle w:val="IndexLink"/>
            <w:vanish w:val="false"/>
          </w:rPr>
          <w:t>VPM-06(d): Vulnerability Scanning | Trend Analysis</w:t>
          <w:tab/>
          <w:t>297</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372">
        <w:r>
          <w:rPr>
            <w:webHidden/>
          </w:rPr>
          <w:fldChar w:fldCharType="begin"/>
        </w:r>
        <w:r>
          <w:rPr>
            <w:webHidden/>
          </w:rPr>
          <w:instrText>PAGEREF _Toc34921372 \h</w:instrText>
        </w:r>
        <w:r>
          <w:rPr>
            <w:webHidden/>
          </w:rPr>
          <w:fldChar w:fldCharType="separate"/>
        </w:r>
        <w:r>
          <w:rPr>
            <w:webHidden/>
            <w:rStyle w:val="IndexLink"/>
            <w:vanish w:val="false"/>
          </w:rPr>
          <w:t>VPM-06(e): Vulnerability Scanning | Review Historical Audit Logs</w:t>
          <w:tab/>
          <w:t>297</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373">
        <w:r>
          <w:rPr>
            <w:webHidden/>
          </w:rPr>
          <w:fldChar w:fldCharType="begin"/>
        </w:r>
        <w:r>
          <w:rPr>
            <w:webHidden/>
          </w:rPr>
          <w:instrText>PAGEREF _Toc34921373 \h</w:instrText>
        </w:r>
        <w:r>
          <w:rPr>
            <w:webHidden/>
          </w:rPr>
          <w:fldChar w:fldCharType="separate"/>
        </w:r>
        <w:r>
          <w:rPr>
            <w:webHidden/>
            <w:rStyle w:val="IndexLink"/>
            <w:vanish w:val="false"/>
          </w:rPr>
          <w:t>VPM-06(f): Vulnerability Scanning | External Vulnerability Assessment Scans</w:t>
          <w:tab/>
          <w:t>297</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374">
        <w:r>
          <w:rPr>
            <w:webHidden/>
          </w:rPr>
          <w:fldChar w:fldCharType="begin"/>
        </w:r>
        <w:r>
          <w:rPr>
            <w:webHidden/>
          </w:rPr>
          <w:instrText>PAGEREF _Toc34921374 \h</w:instrText>
        </w:r>
        <w:r>
          <w:rPr>
            <w:webHidden/>
          </w:rPr>
          <w:fldChar w:fldCharType="separate"/>
        </w:r>
        <w:r>
          <w:rPr>
            <w:webHidden/>
            <w:rStyle w:val="IndexLink"/>
            <w:vanish w:val="false"/>
          </w:rPr>
          <w:t>VPM-06(g): Vulnerability Scanning | Internal Vulnerability Assessment Scans</w:t>
          <w:tab/>
          <w:t>298</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375">
        <w:r>
          <w:rPr>
            <w:webHidden/>
          </w:rPr>
          <w:fldChar w:fldCharType="begin"/>
        </w:r>
        <w:r>
          <w:rPr>
            <w:webHidden/>
          </w:rPr>
          <w:instrText>PAGEREF _Toc34921375 \h</w:instrText>
        </w:r>
        <w:r>
          <w:rPr>
            <w:webHidden/>
          </w:rPr>
          <w:fldChar w:fldCharType="separate"/>
        </w:r>
        <w:r>
          <w:rPr>
            <w:webHidden/>
            <w:rStyle w:val="IndexLink"/>
            <w:vanish w:val="false"/>
          </w:rPr>
          <w:t>VPM-06(h): Vulnerability Scanning | Acceptable Discoverable Information</w:t>
          <w:tab/>
          <w:t>298</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376">
        <w:r>
          <w:rPr>
            <w:webHidden/>
          </w:rPr>
          <w:fldChar w:fldCharType="begin"/>
        </w:r>
        <w:r>
          <w:rPr>
            <w:webHidden/>
          </w:rPr>
          <w:instrText>PAGEREF _Toc34921376 \h</w:instrText>
        </w:r>
        <w:r>
          <w:rPr>
            <w:webHidden/>
          </w:rPr>
          <w:fldChar w:fldCharType="separate"/>
        </w:r>
        <w:r>
          <w:rPr>
            <w:webHidden/>
            <w:rStyle w:val="IndexLink"/>
            <w:vanish w:val="false"/>
          </w:rPr>
          <w:t>VPM-06(i): Vulnerability Scanning | Correlate Scanning Information</w:t>
          <w:tab/>
          <w:t>298</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377">
        <w:r>
          <w:rPr>
            <w:webHidden/>
          </w:rPr>
          <w:fldChar w:fldCharType="begin"/>
        </w:r>
        <w:r>
          <w:rPr>
            <w:webHidden/>
          </w:rPr>
          <w:instrText>PAGEREF _Toc34921377 \h</w:instrText>
        </w:r>
        <w:r>
          <w:rPr>
            <w:webHidden/>
          </w:rPr>
          <w:fldChar w:fldCharType="separate"/>
        </w:r>
        <w:r>
          <w:rPr>
            <w:webHidden/>
            <w:rStyle w:val="IndexLink"/>
            <w:vanish w:val="false"/>
          </w:rPr>
          <w:t>VPM-07: Penetration Testing</w:t>
          <w:tab/>
          <w:t>298</w:t>
        </w:r>
        <w:r>
          <w:rPr>
            <w:webHidden/>
          </w:rPr>
          <w:fldChar w:fldCharType="end"/>
        </w:r>
      </w:hyperlink>
    </w:p>
    <w:p>
      <w:pPr>
        <w:pStyle w:val="Contents3"/>
        <w:rPr>
          <w:rFonts w:eastAsia="" w:cs="" w:cstheme="minorBidi" w:eastAsiaTheme="minorEastAsia"/>
          <w:bCs w:val="false"/>
          <w:i w:val="false"/>
          <w:i w:val="false"/>
          <w:caps w:val="false"/>
          <w:smallCaps w:val="false"/>
          <w:color w:val="auto"/>
          <w:sz w:val="22"/>
          <w:szCs w:val="22"/>
        </w:rPr>
      </w:pPr>
      <w:hyperlink w:anchor="_Toc34921378">
        <w:r>
          <w:rPr>
            <w:webHidden/>
          </w:rPr>
          <w:fldChar w:fldCharType="begin"/>
        </w:r>
        <w:r>
          <w:rPr>
            <w:webHidden/>
          </w:rPr>
          <w:instrText>PAGEREF _Toc34921378 \h</w:instrText>
        </w:r>
        <w:r>
          <w:rPr>
            <w:webHidden/>
          </w:rPr>
          <w:fldChar w:fldCharType="separate"/>
        </w:r>
        <w:r>
          <w:rPr>
            <w:webHidden/>
            <w:rStyle w:val="IndexLink"/>
            <w:vanish w:val="false"/>
          </w:rPr>
          <w:t>VPM-07(a): Penetration Testing | Independent Penetration Agent or Team</w:t>
          <w:tab/>
          <w:t>299</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379">
        <w:r>
          <w:rPr>
            <w:webHidden/>
          </w:rPr>
          <w:fldChar w:fldCharType="begin"/>
        </w:r>
        <w:r>
          <w:rPr>
            <w:webHidden/>
          </w:rPr>
          <w:instrText>PAGEREF _Toc34921379 \h</w:instrText>
        </w:r>
        <w:r>
          <w:rPr>
            <w:webHidden/>
          </w:rPr>
          <w:fldChar w:fldCharType="separate"/>
        </w:r>
        <w:r>
          <w:rPr>
            <w:webHidden/>
            <w:rStyle w:val="IndexLink"/>
            <w:vanish w:val="false"/>
          </w:rPr>
          <w:t>VPM-08: Technical Surveillance Countermeasures Security</w:t>
          <w:tab/>
          <w:t>299</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380">
        <w:r>
          <w:rPr>
            <w:webHidden/>
          </w:rPr>
          <w:fldChar w:fldCharType="begin"/>
        </w:r>
        <w:r>
          <w:rPr>
            <w:webHidden/>
          </w:rPr>
          <w:instrText>PAGEREF _Toc34921380 \h</w:instrText>
        </w:r>
        <w:r>
          <w:rPr>
            <w:webHidden/>
          </w:rPr>
          <w:fldChar w:fldCharType="separate"/>
        </w:r>
        <w:r>
          <w:rPr>
            <w:webHidden/>
            <w:rStyle w:val="IndexLink"/>
            <w:vanish w:val="false"/>
          </w:rPr>
          <w:t>VPM-09: Reviewing Vulnerability Scanner Usage</w:t>
          <w:tab/>
          <w:t>299</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381">
        <w:r>
          <w:rPr>
            <w:webHidden/>
          </w:rPr>
          <w:fldChar w:fldCharType="begin"/>
        </w:r>
        <w:r>
          <w:rPr>
            <w:webHidden/>
          </w:rPr>
          <w:instrText>PAGEREF _Toc34921381 \h</w:instrText>
        </w:r>
        <w:r>
          <w:rPr>
            <w:webHidden/>
          </w:rPr>
          <w:fldChar w:fldCharType="separate"/>
        </w:r>
        <w:r>
          <w:rPr>
            <w:webHidden/>
            <w:rStyle w:val="IndexLink"/>
            <w:vanish w:val="false"/>
          </w:rPr>
          <w:t>VPM-10: Red Team Exercises</w:t>
          <w:tab/>
          <w:t>300</w:t>
        </w:r>
        <w:r>
          <w:rPr>
            <w:webHidden/>
          </w:rPr>
          <w:fldChar w:fldCharType="end"/>
        </w:r>
      </w:hyperlink>
    </w:p>
    <w:p>
      <w:pPr>
        <w:pStyle w:val="Contents1"/>
        <w:rPr>
          <w:rFonts w:eastAsia="" w:cs="" w:cstheme="minorBidi" w:eastAsiaTheme="minorEastAsia"/>
          <w:b w:val="false"/>
          <w:b w:val="false"/>
          <w:caps w:val="false"/>
          <w:smallCaps w:val="false"/>
          <w:color w:val="auto"/>
          <w:sz w:val="22"/>
          <w:szCs w:val="22"/>
          <w:u w:val="none"/>
        </w:rPr>
      </w:pPr>
      <w:hyperlink w:anchor="_Toc34921382">
        <w:r>
          <w:rPr>
            <w:webHidden/>
          </w:rPr>
          <w:fldChar w:fldCharType="begin"/>
        </w:r>
        <w:r>
          <w:rPr>
            <w:webHidden/>
          </w:rPr>
          <w:instrText>PAGEREF _Toc34921382 \h</w:instrText>
        </w:r>
        <w:r>
          <w:rPr>
            <w:webHidden/>
          </w:rPr>
          <w:fldChar w:fldCharType="separate"/>
        </w:r>
        <w:r>
          <w:rPr>
            <w:webHidden/>
            <w:rStyle w:val="IndexLink"/>
            <w:vanish w:val="false"/>
          </w:rPr>
          <w:t>Web Security (WEB) Policy &amp; Standards</w:t>
          <w:tab/>
          <w:t>301</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383">
        <w:r>
          <w:rPr>
            <w:webHidden/>
          </w:rPr>
          <w:fldChar w:fldCharType="begin"/>
        </w:r>
        <w:r>
          <w:rPr>
            <w:webHidden/>
          </w:rPr>
          <w:instrText>PAGEREF _Toc34921383 \h</w:instrText>
        </w:r>
        <w:r>
          <w:rPr>
            <w:webHidden/>
          </w:rPr>
          <w:fldChar w:fldCharType="separate"/>
        </w:r>
        <w:r>
          <w:rPr>
            <w:webHidden/>
            <w:rStyle w:val="IndexLink"/>
            <w:vanish w:val="false"/>
          </w:rPr>
          <w:t>WEB-01: Web Security</w:t>
          <w:tab/>
          <w:t>301</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384">
        <w:r>
          <w:rPr>
            <w:webHidden/>
          </w:rPr>
          <w:fldChar w:fldCharType="begin"/>
        </w:r>
        <w:r>
          <w:rPr>
            <w:webHidden/>
          </w:rPr>
          <w:instrText>PAGEREF _Toc34921384 \h</w:instrText>
        </w:r>
        <w:r>
          <w:rPr>
            <w:webHidden/>
          </w:rPr>
          <w:fldChar w:fldCharType="separate"/>
        </w:r>
        <w:r>
          <w:rPr>
            <w:webHidden/>
            <w:rStyle w:val="IndexLink"/>
            <w:vanish w:val="false"/>
          </w:rPr>
          <w:t>WEB-02: Use of Demilitarized Zones (DMZ)</w:t>
          <w:tab/>
          <w:t>301</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385">
        <w:r>
          <w:rPr>
            <w:webHidden/>
          </w:rPr>
          <w:fldChar w:fldCharType="begin"/>
        </w:r>
        <w:r>
          <w:rPr>
            <w:webHidden/>
          </w:rPr>
          <w:instrText>PAGEREF _Toc34921385 \h</w:instrText>
        </w:r>
        <w:r>
          <w:rPr>
            <w:webHidden/>
          </w:rPr>
          <w:fldChar w:fldCharType="separate"/>
        </w:r>
        <w:r>
          <w:rPr>
            <w:webHidden/>
            <w:rStyle w:val="IndexLink"/>
            <w:vanish w:val="false"/>
          </w:rPr>
          <w:t>WEB-03: Web Application Firewall (WAF)</w:t>
          <w:tab/>
          <w:t>301</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386">
        <w:r>
          <w:rPr>
            <w:webHidden/>
          </w:rPr>
          <w:fldChar w:fldCharType="begin"/>
        </w:r>
        <w:r>
          <w:rPr>
            <w:webHidden/>
          </w:rPr>
          <w:instrText>PAGEREF _Toc34921386 \h</w:instrText>
        </w:r>
        <w:r>
          <w:rPr>
            <w:webHidden/>
          </w:rPr>
          <w:fldChar w:fldCharType="separate"/>
        </w:r>
        <w:r>
          <w:rPr>
            <w:webHidden/>
            <w:rStyle w:val="IndexLink"/>
            <w:vanish w:val="false"/>
          </w:rPr>
          <w:t>WEB-04: Client-Facing Web Services</w:t>
          <w:tab/>
          <w:t>302</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387">
        <w:r>
          <w:rPr>
            <w:webHidden/>
          </w:rPr>
          <w:fldChar w:fldCharType="begin"/>
        </w:r>
        <w:r>
          <w:rPr>
            <w:webHidden/>
          </w:rPr>
          <w:instrText>PAGEREF _Toc34921387 \h</w:instrText>
        </w:r>
        <w:r>
          <w:rPr>
            <w:webHidden/>
          </w:rPr>
          <w:fldChar w:fldCharType="separate"/>
        </w:r>
        <w:r>
          <w:rPr>
            <w:webHidden/>
            <w:rStyle w:val="IndexLink"/>
            <w:vanish w:val="false"/>
          </w:rPr>
          <w:t>WEB-05: Cookie Management</w:t>
          <w:tab/>
          <w:t>302</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388">
        <w:r>
          <w:rPr>
            <w:webHidden/>
          </w:rPr>
          <w:fldChar w:fldCharType="begin"/>
        </w:r>
        <w:r>
          <w:rPr>
            <w:webHidden/>
          </w:rPr>
          <w:instrText>PAGEREF _Toc34921388 \h</w:instrText>
        </w:r>
        <w:r>
          <w:rPr>
            <w:webHidden/>
          </w:rPr>
          <w:fldChar w:fldCharType="separate"/>
        </w:r>
        <w:r>
          <w:rPr>
            <w:webHidden/>
            <w:rStyle w:val="IndexLink"/>
            <w:vanish w:val="false"/>
          </w:rPr>
          <w:t>WEB-06: Strong Customer Authentication (SCA)</w:t>
          <w:tab/>
          <w:t>302</w:t>
        </w:r>
        <w:r>
          <w:rPr>
            <w:webHidden/>
          </w:rPr>
          <w:fldChar w:fldCharType="end"/>
        </w:r>
      </w:hyperlink>
    </w:p>
    <w:p>
      <w:pPr>
        <w:pStyle w:val="Contents1"/>
        <w:rPr>
          <w:rFonts w:eastAsia="" w:cs="" w:cstheme="minorBidi" w:eastAsiaTheme="minorEastAsia"/>
          <w:b w:val="false"/>
          <w:b w:val="false"/>
          <w:caps w:val="false"/>
          <w:smallCaps w:val="false"/>
          <w:color w:val="auto"/>
          <w:sz w:val="22"/>
          <w:szCs w:val="22"/>
          <w:u w:val="none"/>
        </w:rPr>
      </w:pPr>
      <w:hyperlink w:anchor="_Toc34921389">
        <w:r>
          <w:rPr>
            <w:webHidden/>
          </w:rPr>
          <w:fldChar w:fldCharType="begin"/>
        </w:r>
        <w:r>
          <w:rPr>
            <w:webHidden/>
          </w:rPr>
          <w:instrText>PAGEREF _Toc34921389 \h</w:instrText>
        </w:r>
        <w:r>
          <w:rPr>
            <w:webHidden/>
          </w:rPr>
          <w:fldChar w:fldCharType="separate"/>
        </w:r>
        <w:r>
          <w:rPr>
            <w:webHidden/>
            <w:rStyle w:val="IndexLink"/>
            <w:vanish w:val="false"/>
          </w:rPr>
          <w:t>Glossary: Acronyms &amp; Definitions</w:t>
          <w:tab/>
          <w:t>303</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390">
        <w:r>
          <w:rPr>
            <w:webHidden/>
          </w:rPr>
          <w:fldChar w:fldCharType="begin"/>
        </w:r>
        <w:r>
          <w:rPr>
            <w:webHidden/>
          </w:rPr>
          <w:instrText>PAGEREF _Toc34921390 \h</w:instrText>
        </w:r>
        <w:r>
          <w:rPr>
            <w:webHidden/>
          </w:rPr>
          <w:fldChar w:fldCharType="separate"/>
        </w:r>
        <w:r>
          <w:rPr>
            <w:webHidden/>
            <w:rStyle w:val="IndexLink"/>
            <w:vanish w:val="false"/>
          </w:rPr>
          <w:t>Acronyms</w:t>
          <w:tab/>
          <w:t>303</w:t>
        </w:r>
        <w:r>
          <w:rPr>
            <w:webHidden/>
          </w:rPr>
          <w:fldChar w:fldCharType="end"/>
        </w:r>
      </w:hyperlink>
    </w:p>
    <w:p>
      <w:pPr>
        <w:pStyle w:val="Contents2"/>
        <w:rPr>
          <w:rFonts w:eastAsia="" w:cs="" w:cstheme="minorBidi" w:eastAsiaTheme="minorEastAsia"/>
          <w:b w:val="false"/>
          <w:b w:val="false"/>
          <w:caps w:val="false"/>
          <w:smallCaps w:val="false"/>
          <w:color w:val="auto"/>
          <w:sz w:val="22"/>
          <w:szCs w:val="22"/>
        </w:rPr>
      </w:pPr>
      <w:hyperlink w:anchor="_Toc34921391">
        <w:r>
          <w:rPr>
            <w:webHidden/>
          </w:rPr>
          <w:fldChar w:fldCharType="begin"/>
        </w:r>
        <w:r>
          <w:rPr>
            <w:webHidden/>
          </w:rPr>
          <w:instrText>PAGEREF _Toc34921391 \h</w:instrText>
        </w:r>
        <w:r>
          <w:rPr>
            <w:webHidden/>
          </w:rPr>
          <w:fldChar w:fldCharType="separate"/>
        </w:r>
        <w:r>
          <w:rPr>
            <w:webHidden/>
            <w:rStyle w:val="IndexLink"/>
            <w:vanish w:val="false"/>
          </w:rPr>
          <w:t>Definitions</w:t>
          <w:tab/>
          <w:t>303</w:t>
        </w:r>
        <w:r>
          <w:rPr>
            <w:webHidden/>
          </w:rPr>
          <w:fldChar w:fldCharType="end"/>
        </w:r>
      </w:hyperlink>
    </w:p>
    <w:p>
      <w:pPr>
        <w:pStyle w:val="Contents1"/>
        <w:rPr>
          <w:rFonts w:eastAsia="" w:cs="" w:cstheme="minorBidi" w:eastAsiaTheme="minorEastAsia"/>
          <w:b w:val="false"/>
          <w:b w:val="false"/>
          <w:caps w:val="false"/>
          <w:smallCaps w:val="false"/>
          <w:color w:val="auto"/>
          <w:sz w:val="22"/>
          <w:szCs w:val="22"/>
          <w:u w:val="none"/>
        </w:rPr>
      </w:pPr>
      <w:hyperlink w:anchor="_Toc34921392">
        <w:r>
          <w:rPr>
            <w:webHidden/>
          </w:rPr>
          <w:fldChar w:fldCharType="begin"/>
        </w:r>
        <w:r>
          <w:rPr>
            <w:webHidden/>
          </w:rPr>
          <w:instrText>PAGEREF _Toc34921392 \h</w:instrText>
        </w:r>
        <w:r>
          <w:rPr>
            <w:webHidden/>
          </w:rPr>
          <w:fldChar w:fldCharType="separate"/>
        </w:r>
        <w:r>
          <w:rPr>
            <w:webHidden/>
            <w:rStyle w:val="IndexLink"/>
            <w:vanish w:val="false"/>
          </w:rPr>
          <w:t>Key Word Index</w:t>
          <w:tab/>
          <w:t>304</w:t>
        </w:r>
        <w:r>
          <w:rPr>
            <w:webHidden/>
          </w:rPr>
          <w:fldChar w:fldCharType="end"/>
        </w:r>
      </w:hyperlink>
    </w:p>
    <w:p>
      <w:pPr>
        <w:pStyle w:val="Contents1"/>
        <w:rPr>
          <w:rFonts w:eastAsia="" w:cs="" w:cstheme="minorBidi" w:eastAsiaTheme="minorEastAsia"/>
          <w:b w:val="false"/>
          <w:b w:val="false"/>
          <w:caps w:val="false"/>
          <w:smallCaps w:val="false"/>
          <w:color w:val="auto"/>
          <w:sz w:val="22"/>
          <w:szCs w:val="22"/>
          <w:u w:val="none"/>
        </w:rPr>
      </w:pPr>
      <w:hyperlink w:anchor="_Toc34921393">
        <w:r>
          <w:rPr>
            <w:webHidden/>
          </w:rPr>
          <w:fldChar w:fldCharType="begin"/>
        </w:r>
        <w:r>
          <w:rPr>
            <w:webHidden/>
          </w:rPr>
          <w:instrText>PAGEREF _Toc34921393 \h</w:instrText>
        </w:r>
        <w:r>
          <w:rPr>
            <w:webHidden/>
          </w:rPr>
          <w:fldChar w:fldCharType="separate"/>
        </w:r>
        <w:r>
          <w:rPr>
            <w:webHidden/>
            <w:rStyle w:val="IndexLink"/>
            <w:vanish w:val="false"/>
          </w:rPr>
          <w:t>Record of Changes</w:t>
          <w:tab/>
          <w:t>305</w:t>
        </w:r>
        <w:r>
          <w:rPr>
            <w:webHidden/>
          </w:rPr>
          <w:fldChar w:fldCharType="end"/>
        </w:r>
      </w:hyperlink>
    </w:p>
    <w:p>
      <w:pPr>
        <w:pStyle w:val="Normal"/>
        <w:rPr/>
      </w:pPr>
      <w:r>
        <w:rPr/>
      </w:r>
      <w:r>
        <w:rPr/>
        <w:fldChar w:fldCharType="end"/>
      </w:r>
    </w:p>
    <w:p>
      <w:pPr>
        <w:pStyle w:val="Normal"/>
        <w:rPr/>
      </w:pPr>
      <w:r>
        <w:rPr/>
      </w:r>
      <w:bookmarkStart w:id="3" w:name="_Toc251918480"/>
      <w:bookmarkStart w:id="4" w:name="_Toc251918480"/>
      <w:bookmarkEnd w:id="4"/>
      <w:r>
        <w:br w:type="page"/>
      </w:r>
    </w:p>
    <w:p>
      <w:pPr>
        <w:pStyle w:val="Heading1"/>
        <w:rPr/>
      </w:pPr>
      <w:bookmarkStart w:id="5" w:name="_Toc34920470"/>
      <w:bookmarkStart w:id="6" w:name="_Toc506197782"/>
      <w:bookmarkStart w:id="7" w:name="_Toc511630112"/>
      <w:r>
        <w:rPr/>
        <w:t>Notice</w:t>
      </w:r>
      <w:bookmarkEnd w:id="6"/>
      <w:bookmarkEnd w:id="7"/>
      <w:r>
        <w:rPr/>
        <w:t xml:space="preserve"> – Referenced Frameworks &amp; Supporting Practices</w:t>
      </w:r>
      <w:bookmarkEnd w:id="5"/>
    </w:p>
    <w:p>
      <w:pPr>
        <w:pStyle w:val="Normal"/>
        <w:rPr/>
      </w:pPr>
      <w:r>
        <w:rPr/>
      </w:r>
    </w:p>
    <w:p>
      <w:pPr>
        <w:pStyle w:val="Normal"/>
        <w:rPr/>
      </w:pPr>
      <w:r>
        <w:rPr/>
        <w:t xml:space="preserve">This document references numerous leading industry frameworks in an effort to provide a data-centric, holistic approach to securely designing, building and maintaining </w:t>
      </w:r>
      <w:r>
        <w:rPr>
          <w:rFonts w:eastAsia="MS Mincho"/>
        </w:rPr>
        <w:t>Neverfail Continuous Controls, LLC (NFCC)</w:t>
      </w:r>
      <w:r>
        <w:rPr/>
        <w:t>’s systems, applications and services to protect its data, regardless of where it is stored, transmitted or processed. The following external content is a non-exhaustive list of frameworks that either support the implementation of or are referenced by the Digital Security Program (DSP):</w:t>
      </w:r>
    </w:p>
    <w:p>
      <w:pPr>
        <w:pStyle w:val="Normal"/>
        <w:rPr/>
      </w:pPr>
      <w:r>
        <w:rPr/>
      </w:r>
    </w:p>
    <w:p>
      <w:pPr>
        <w:pStyle w:val="ListParagraph"/>
        <w:numPr>
          <w:ilvl w:val="0"/>
          <w:numId w:val="597"/>
        </w:numPr>
        <w:tabs>
          <w:tab w:val="clear" w:pos="360"/>
          <w:tab w:val="clear" w:pos="720"/>
          <w:tab w:val="clear" w:pos="1080"/>
        </w:tabs>
        <w:rPr/>
      </w:pPr>
      <w:r>
        <w:rPr/>
        <w:t>The National Institute of Standards and Technology (</w:t>
      </w:r>
      <w:r>
        <w:rPr>
          <w:b/>
        </w:rPr>
        <w:t>NIST</w:t>
      </w:r>
      <w:r>
        <w:rPr/>
        <w:t>):</w:t>
      </w:r>
      <w:r>
        <w:rPr>
          <w:rStyle w:val="FootnoteCharacters"/>
        </w:rPr>
        <w:t xml:space="preserve"> </w:t>
      </w:r>
      <w:r>
        <w:rPr>
          <w:rStyle w:val="FootnoteAnchor"/>
          <w:rStyle w:val="FootnoteAnchor"/>
        </w:rPr>
        <w:footnoteReference w:id="2"/>
      </w:r>
    </w:p>
    <w:p>
      <w:pPr>
        <w:pStyle w:val="ListParagraph"/>
        <w:numPr>
          <w:ilvl w:val="1"/>
          <w:numId w:val="597"/>
        </w:numPr>
        <w:tabs>
          <w:tab w:val="clear" w:pos="360"/>
          <w:tab w:val="clear" w:pos="720"/>
          <w:tab w:val="clear" w:pos="1080"/>
        </w:tabs>
        <w:rPr/>
      </w:pPr>
      <w:r>
        <w:rPr/>
        <w:t xml:space="preserve">NIST SP 800-37: </w:t>
      </w:r>
      <w:r>
        <w:rPr>
          <w:i/>
        </w:rPr>
        <w:t>Guide for Applying the Risk Management Framework to Federal Information Systems: A Security Life Cycle Approach</w:t>
      </w:r>
    </w:p>
    <w:p>
      <w:pPr>
        <w:pStyle w:val="ListParagraph"/>
        <w:numPr>
          <w:ilvl w:val="1"/>
          <w:numId w:val="597"/>
        </w:numPr>
        <w:tabs>
          <w:tab w:val="clear" w:pos="360"/>
          <w:tab w:val="clear" w:pos="720"/>
          <w:tab w:val="clear" w:pos="1080"/>
        </w:tabs>
        <w:rPr/>
      </w:pPr>
      <w:r>
        <w:rPr/>
        <w:t xml:space="preserve">NIST SP 800-39: </w:t>
      </w:r>
      <w:r>
        <w:rPr>
          <w:i/>
        </w:rPr>
        <w:t>Managing Cybersecurity Risk: Organization, Mission and Information System View</w:t>
      </w:r>
    </w:p>
    <w:p>
      <w:pPr>
        <w:pStyle w:val="ListParagraph"/>
        <w:numPr>
          <w:ilvl w:val="1"/>
          <w:numId w:val="597"/>
        </w:numPr>
        <w:tabs>
          <w:tab w:val="clear" w:pos="360"/>
          <w:tab w:val="clear" w:pos="720"/>
          <w:tab w:val="clear" w:pos="1080"/>
        </w:tabs>
        <w:rPr/>
      </w:pPr>
      <w:r>
        <w:rPr/>
        <w:t xml:space="preserve">NIST SP 800-53: </w:t>
      </w:r>
      <w:r>
        <w:rPr>
          <w:i/>
        </w:rPr>
        <w:t>Security and Privacy Controls for Federal Information Systems and Organizations</w:t>
      </w:r>
    </w:p>
    <w:p>
      <w:pPr>
        <w:pStyle w:val="ListParagraph"/>
        <w:numPr>
          <w:ilvl w:val="1"/>
          <w:numId w:val="597"/>
        </w:numPr>
        <w:tabs>
          <w:tab w:val="clear" w:pos="360"/>
          <w:tab w:val="clear" w:pos="720"/>
          <w:tab w:val="clear" w:pos="1080"/>
        </w:tabs>
        <w:rPr>
          <w:i/>
          <w:i/>
        </w:rPr>
      </w:pPr>
      <w:r>
        <w:rPr/>
        <w:t xml:space="preserve">NIST SP 800-64: </w:t>
      </w:r>
      <w:r>
        <w:rPr>
          <w:i/>
        </w:rPr>
        <w:t>Security Considerations in Secure Development Life Cycle</w:t>
      </w:r>
    </w:p>
    <w:p>
      <w:pPr>
        <w:pStyle w:val="ListParagraph"/>
        <w:numPr>
          <w:ilvl w:val="1"/>
          <w:numId w:val="597"/>
        </w:numPr>
        <w:tabs>
          <w:tab w:val="clear" w:pos="360"/>
          <w:tab w:val="clear" w:pos="720"/>
          <w:tab w:val="clear" w:pos="1080"/>
        </w:tabs>
        <w:rPr>
          <w:i/>
          <w:i/>
        </w:rPr>
      </w:pPr>
      <w:r>
        <w:rPr/>
        <w:t xml:space="preserve">NIST SP 800-122: </w:t>
      </w:r>
      <w:r>
        <w:rPr>
          <w:i/>
        </w:rPr>
        <w:t>Guide to Protecting the Confidentiality of Personal Data (PD)</w:t>
      </w:r>
    </w:p>
    <w:p>
      <w:pPr>
        <w:pStyle w:val="ListParagraph"/>
        <w:numPr>
          <w:ilvl w:val="1"/>
          <w:numId w:val="597"/>
        </w:numPr>
        <w:tabs>
          <w:tab w:val="clear" w:pos="360"/>
          <w:tab w:val="clear" w:pos="720"/>
          <w:tab w:val="clear" w:pos="1080"/>
        </w:tabs>
        <w:rPr/>
      </w:pPr>
      <w:r>
        <w:rPr/>
        <w:t xml:space="preserve">NIST SP 800-160: </w:t>
      </w:r>
      <w:r>
        <w:rPr>
          <w:i/>
        </w:rPr>
        <w:t>Systems Security Engineering: Considerations for a Multidisciplinary Approach in the Engineering of Trustworthy Secure Systems</w:t>
      </w:r>
      <w:r>
        <w:rPr/>
        <w:t xml:space="preserve"> </w:t>
      </w:r>
    </w:p>
    <w:p>
      <w:pPr>
        <w:pStyle w:val="ListParagraph"/>
        <w:numPr>
          <w:ilvl w:val="1"/>
          <w:numId w:val="597"/>
        </w:numPr>
        <w:tabs>
          <w:tab w:val="clear" w:pos="360"/>
          <w:tab w:val="clear" w:pos="720"/>
          <w:tab w:val="clear" w:pos="1080"/>
        </w:tabs>
        <w:rPr/>
      </w:pPr>
      <w:r>
        <w:rPr/>
        <w:t xml:space="preserve">NIST SP 800-161: </w:t>
      </w:r>
      <w:r>
        <w:rPr>
          <w:i/>
        </w:rPr>
        <w:t>Supply Chain Risk Management Practices for Federal Information Systems and Organizations</w:t>
      </w:r>
    </w:p>
    <w:p>
      <w:pPr>
        <w:pStyle w:val="ListParagraph"/>
        <w:numPr>
          <w:ilvl w:val="1"/>
          <w:numId w:val="597"/>
        </w:numPr>
        <w:tabs>
          <w:tab w:val="clear" w:pos="360"/>
          <w:tab w:val="clear" w:pos="720"/>
          <w:tab w:val="clear" w:pos="1080"/>
        </w:tabs>
        <w:rPr/>
      </w:pPr>
      <w:r>
        <w:rPr/>
        <w:t xml:space="preserve">NIST SP 800-171: </w:t>
      </w:r>
      <w:r>
        <w:rPr>
          <w:i/>
        </w:rPr>
        <w:t>Protecting Controlled Unclassified Information in Nonfederal Information Systems and Organizations</w:t>
      </w:r>
    </w:p>
    <w:p>
      <w:pPr>
        <w:pStyle w:val="ListParagraph"/>
        <w:numPr>
          <w:ilvl w:val="1"/>
          <w:numId w:val="597"/>
        </w:numPr>
        <w:tabs>
          <w:tab w:val="clear" w:pos="360"/>
          <w:tab w:val="clear" w:pos="720"/>
          <w:tab w:val="clear" w:pos="1080"/>
        </w:tabs>
        <w:rPr/>
      </w:pPr>
      <w:r>
        <w:rPr/>
        <w:t xml:space="preserve">NIST IR 7298: </w:t>
      </w:r>
      <w:r>
        <w:rPr>
          <w:i/>
        </w:rPr>
        <w:t>Glossary of Key Cybersecurity Terms</w:t>
      </w:r>
    </w:p>
    <w:p>
      <w:pPr>
        <w:pStyle w:val="ListParagraph"/>
        <w:numPr>
          <w:ilvl w:val="1"/>
          <w:numId w:val="597"/>
        </w:numPr>
        <w:tabs>
          <w:tab w:val="clear" w:pos="360"/>
          <w:tab w:val="clear" w:pos="720"/>
          <w:tab w:val="clear" w:pos="1080"/>
        </w:tabs>
        <w:rPr/>
      </w:pPr>
      <w:r>
        <w:rPr/>
        <w:t xml:space="preserve">NIST IR 8179: </w:t>
      </w:r>
      <w:r>
        <w:rPr>
          <w:i/>
        </w:rPr>
        <w:t>Criticality Analysis Process Model: Prioritizing Systems and Components</w:t>
      </w:r>
      <w:r>
        <w:rPr/>
        <w:t xml:space="preserve"> [draft]</w:t>
      </w:r>
    </w:p>
    <w:p>
      <w:pPr>
        <w:pStyle w:val="ListParagraph"/>
        <w:numPr>
          <w:ilvl w:val="1"/>
          <w:numId w:val="597"/>
        </w:numPr>
        <w:tabs>
          <w:tab w:val="clear" w:pos="360"/>
          <w:tab w:val="clear" w:pos="720"/>
          <w:tab w:val="clear" w:pos="1080"/>
        </w:tabs>
        <w:rPr/>
      </w:pPr>
      <w:r>
        <w:rPr/>
        <w:t xml:space="preserve">NIST </w:t>
      </w:r>
      <w:r>
        <w:rPr>
          <w:i/>
        </w:rPr>
        <w:t>Framework for Improving Critical Cybersecurity</w:t>
      </w:r>
      <w:r>
        <w:rPr/>
        <w:t xml:space="preserve"> (Cybersecurity Framework)</w:t>
      </w:r>
    </w:p>
    <w:p>
      <w:pPr>
        <w:pStyle w:val="ListParagraph"/>
        <w:numPr>
          <w:ilvl w:val="0"/>
          <w:numId w:val="597"/>
        </w:numPr>
        <w:tabs>
          <w:tab w:val="clear" w:pos="360"/>
          <w:tab w:val="clear" w:pos="720"/>
          <w:tab w:val="clear" w:pos="1080"/>
        </w:tabs>
        <w:rPr/>
      </w:pPr>
      <w:r>
        <w:rPr/>
        <w:t>The International Organization for Standardization (</w:t>
      </w:r>
      <w:r>
        <w:rPr>
          <w:b/>
        </w:rPr>
        <w:t>ISO</w:t>
      </w:r>
      <w:r>
        <w:rPr/>
        <w:t>):</w:t>
      </w:r>
      <w:r>
        <w:rPr>
          <w:rStyle w:val="FootnoteAnchor"/>
          <w:rStyle w:val="FootnoteAnchor"/>
        </w:rPr>
        <w:footnoteReference w:id="3"/>
      </w:r>
    </w:p>
    <w:p>
      <w:pPr>
        <w:pStyle w:val="ListParagraph"/>
        <w:numPr>
          <w:ilvl w:val="1"/>
          <w:numId w:val="597"/>
        </w:numPr>
        <w:tabs>
          <w:tab w:val="clear" w:pos="360"/>
          <w:tab w:val="clear" w:pos="720"/>
          <w:tab w:val="clear" w:pos="1080"/>
        </w:tabs>
        <w:rPr>
          <w:i/>
          <w:i/>
        </w:rPr>
      </w:pPr>
      <w:r>
        <w:rPr/>
        <w:t xml:space="preserve">ISO/IEC 15288: </w:t>
      </w:r>
      <w:r>
        <w:rPr>
          <w:i/>
        </w:rPr>
        <w:t>Systems and Software Engineering -- System Life Cycle Processes</w:t>
      </w:r>
    </w:p>
    <w:p>
      <w:pPr>
        <w:pStyle w:val="ListParagraph"/>
        <w:numPr>
          <w:ilvl w:val="1"/>
          <w:numId w:val="597"/>
        </w:numPr>
        <w:tabs>
          <w:tab w:val="clear" w:pos="360"/>
          <w:tab w:val="clear" w:pos="720"/>
          <w:tab w:val="clear" w:pos="1080"/>
        </w:tabs>
        <w:rPr>
          <w:i/>
          <w:i/>
        </w:rPr>
      </w:pPr>
      <w:r>
        <w:rPr/>
        <w:t xml:space="preserve">ISO/IEC 22301: </w:t>
      </w:r>
      <w:r>
        <w:rPr>
          <w:i/>
        </w:rPr>
        <w:t>Societal Security – Business Continuity Management Systems – Requirements</w:t>
      </w:r>
    </w:p>
    <w:p>
      <w:pPr>
        <w:pStyle w:val="ListParagraph"/>
        <w:numPr>
          <w:ilvl w:val="1"/>
          <w:numId w:val="597"/>
        </w:numPr>
        <w:tabs>
          <w:tab w:val="clear" w:pos="360"/>
          <w:tab w:val="clear" w:pos="720"/>
          <w:tab w:val="clear" w:pos="1080"/>
        </w:tabs>
        <w:rPr>
          <w:i/>
          <w:i/>
        </w:rPr>
      </w:pPr>
      <w:r>
        <w:rPr/>
        <w:t xml:space="preserve">ISO/IEC 27002: </w:t>
      </w:r>
      <w:r>
        <w:rPr>
          <w:i/>
        </w:rPr>
        <w:t>Information Technology - Security Techniques - Code of Practice for Cybersecurity Controls</w:t>
      </w:r>
    </w:p>
    <w:p>
      <w:pPr>
        <w:pStyle w:val="ListParagraph"/>
        <w:numPr>
          <w:ilvl w:val="1"/>
          <w:numId w:val="597"/>
        </w:numPr>
        <w:tabs>
          <w:tab w:val="clear" w:pos="360"/>
          <w:tab w:val="clear" w:pos="720"/>
          <w:tab w:val="clear" w:pos="1080"/>
        </w:tabs>
        <w:rPr>
          <w:i/>
          <w:i/>
        </w:rPr>
      </w:pPr>
      <w:r>
        <w:rPr/>
        <w:t xml:space="preserve">ISO/IEC 27018: </w:t>
      </w:r>
      <w:r>
        <w:rPr>
          <w:i/>
        </w:rPr>
        <w:t>Information Technology - Security Techniques - Code of Practice for Protection of Personal Data (PD) in Public Clouds Acting as PD Processors</w:t>
      </w:r>
    </w:p>
    <w:p>
      <w:pPr>
        <w:pStyle w:val="ListParagraph"/>
        <w:numPr>
          <w:ilvl w:val="1"/>
          <w:numId w:val="597"/>
        </w:numPr>
        <w:tabs>
          <w:tab w:val="clear" w:pos="360"/>
          <w:tab w:val="clear" w:pos="720"/>
          <w:tab w:val="clear" w:pos="1080"/>
        </w:tabs>
        <w:rPr>
          <w:i/>
          <w:i/>
        </w:rPr>
      </w:pPr>
      <w:r>
        <w:rPr/>
        <w:t>ISO/IEC 27701:</w:t>
      </w:r>
      <w:r>
        <w:rPr>
          <w:i/>
        </w:rPr>
        <w:t xml:space="preserve"> Information Technology - Security Techniques- Extension to ISO/IEC 27001 and ISO/IEC 27002 for Privacy Information Management – Requirements and Guidelines</w:t>
      </w:r>
    </w:p>
    <w:p>
      <w:pPr>
        <w:pStyle w:val="ListParagraph"/>
        <w:numPr>
          <w:ilvl w:val="0"/>
          <w:numId w:val="597"/>
        </w:numPr>
        <w:tabs>
          <w:tab w:val="clear" w:pos="360"/>
          <w:tab w:val="clear" w:pos="720"/>
          <w:tab w:val="clear" w:pos="1080"/>
        </w:tabs>
        <w:rPr/>
      </w:pPr>
      <w:r>
        <w:rPr/>
        <w:t>Other influencing frameworks (alphabetical order):</w:t>
      </w:r>
    </w:p>
    <w:p>
      <w:pPr>
        <w:pStyle w:val="ListParagraph"/>
        <w:numPr>
          <w:ilvl w:val="1"/>
          <w:numId w:val="597"/>
        </w:numPr>
        <w:tabs>
          <w:tab w:val="clear" w:pos="360"/>
          <w:tab w:val="clear" w:pos="720"/>
          <w:tab w:val="clear" w:pos="1080"/>
        </w:tabs>
        <w:rPr/>
      </w:pPr>
      <w:r>
        <w:rPr/>
        <w:t xml:space="preserve">AuditScripts. </w:t>
      </w:r>
      <w:r>
        <w:rPr>
          <w:i/>
        </w:rPr>
        <w:t>Open Threat Taxonomy</w:t>
      </w:r>
      <w:r>
        <w:rPr>
          <w:rStyle w:val="FootnoteAnchor"/>
          <w:rStyle w:val="FootnoteAnchor"/>
        </w:rPr>
        <w:footnoteReference w:id="4"/>
      </w:r>
    </w:p>
    <w:p>
      <w:pPr>
        <w:pStyle w:val="ListParagraph"/>
        <w:numPr>
          <w:ilvl w:val="1"/>
          <w:numId w:val="597"/>
        </w:numPr>
        <w:tabs>
          <w:tab w:val="clear" w:pos="360"/>
          <w:tab w:val="clear" w:pos="720"/>
          <w:tab w:val="clear" w:pos="1080"/>
        </w:tabs>
        <w:rPr>
          <w:rFonts w:eastAsia="MS Mincho"/>
        </w:rPr>
      </w:pPr>
      <w:r>
        <w:rPr>
          <w:rFonts w:eastAsia="MS Mincho"/>
        </w:rPr>
        <w:t>Center for Internet Security (</w:t>
      </w:r>
      <w:r>
        <w:rPr>
          <w:rFonts w:eastAsia="MS Mincho"/>
          <w:b/>
        </w:rPr>
        <w:t>CIS</w:t>
      </w:r>
      <w:r>
        <w:rPr>
          <w:rFonts w:eastAsia="MS Mincho"/>
        </w:rPr>
        <w:t>) Critical Security Controls (</w:t>
      </w:r>
      <w:r>
        <w:rPr>
          <w:rFonts w:eastAsia="MS Mincho"/>
          <w:b/>
        </w:rPr>
        <w:t>CSC</w:t>
      </w:r>
      <w:r>
        <w:rPr>
          <w:rFonts w:eastAsia="MS Mincho"/>
        </w:rPr>
        <w:t>)</w:t>
      </w:r>
      <w:r>
        <w:rPr>
          <w:rStyle w:val="FootnoteAnchor"/>
          <w:rStyle w:val="FootnoteAnchor"/>
          <w:rFonts w:eastAsia="MS Mincho"/>
        </w:rPr>
        <w:footnoteReference w:id="5"/>
      </w:r>
    </w:p>
    <w:p>
      <w:pPr>
        <w:pStyle w:val="ListParagraph"/>
        <w:numPr>
          <w:ilvl w:val="1"/>
          <w:numId w:val="597"/>
        </w:numPr>
        <w:tabs>
          <w:tab w:val="clear" w:pos="360"/>
          <w:tab w:val="clear" w:pos="720"/>
          <w:tab w:val="clear" w:pos="1080"/>
        </w:tabs>
        <w:rPr>
          <w:rFonts w:eastAsia="MS Mincho"/>
        </w:rPr>
      </w:pPr>
      <w:r>
        <w:rPr>
          <w:rFonts w:eastAsia="MS Mincho"/>
        </w:rPr>
        <w:t>Cloud Security Alliance Cloud Controls Matrix (</w:t>
      </w:r>
      <w:r>
        <w:rPr>
          <w:rFonts w:eastAsia="MS Mincho"/>
          <w:b/>
        </w:rPr>
        <w:t>CSA</w:t>
      </w:r>
      <w:r>
        <w:rPr>
          <w:rFonts w:eastAsia="MS Mincho"/>
        </w:rPr>
        <w:t xml:space="preserve"> </w:t>
      </w:r>
      <w:r>
        <w:rPr>
          <w:rFonts w:eastAsia="MS Mincho"/>
          <w:b/>
        </w:rPr>
        <w:t>CCM</w:t>
      </w:r>
      <w:r>
        <w:rPr>
          <w:rFonts w:eastAsia="MS Mincho"/>
        </w:rPr>
        <w:t>)</w:t>
      </w:r>
      <w:r>
        <w:rPr>
          <w:rStyle w:val="FootnoteAnchor"/>
          <w:rStyle w:val="FootnoteAnchor"/>
          <w:rFonts w:eastAsia="MS Mincho"/>
        </w:rPr>
        <w:footnoteReference w:id="6"/>
      </w:r>
    </w:p>
    <w:p>
      <w:pPr>
        <w:pStyle w:val="ListParagraph"/>
        <w:numPr>
          <w:ilvl w:val="1"/>
          <w:numId w:val="597"/>
        </w:numPr>
        <w:tabs>
          <w:tab w:val="clear" w:pos="360"/>
          <w:tab w:val="clear" w:pos="720"/>
          <w:tab w:val="clear" w:pos="1080"/>
        </w:tabs>
        <w:rPr/>
      </w:pPr>
      <w:r>
        <w:rPr/>
        <w:t>Control Objectives for Information and Related Technologies (</w:t>
      </w:r>
      <w:r>
        <w:rPr>
          <w:b/>
        </w:rPr>
        <w:t>COBIT</w:t>
      </w:r>
      <w:r>
        <w:rPr/>
        <w:t>)</w:t>
      </w:r>
      <w:r>
        <w:rPr>
          <w:rStyle w:val="FootnoteAnchor"/>
          <w:rStyle w:val="FootnoteAnchor"/>
        </w:rPr>
        <w:footnoteReference w:id="7"/>
      </w:r>
    </w:p>
    <w:p>
      <w:pPr>
        <w:pStyle w:val="ListParagraph"/>
        <w:numPr>
          <w:ilvl w:val="1"/>
          <w:numId w:val="597"/>
        </w:numPr>
        <w:tabs>
          <w:tab w:val="clear" w:pos="360"/>
          <w:tab w:val="clear" w:pos="720"/>
          <w:tab w:val="clear" w:pos="1080"/>
        </w:tabs>
        <w:rPr>
          <w:rFonts w:eastAsia="MS Mincho"/>
        </w:rPr>
      </w:pPr>
      <w:r>
        <w:rPr>
          <w:rFonts w:eastAsia="MS Mincho"/>
        </w:rPr>
        <w:t>Defense Information Systems Agency (</w:t>
      </w:r>
      <w:r>
        <w:rPr>
          <w:rFonts w:eastAsia="MS Mincho"/>
          <w:b/>
        </w:rPr>
        <w:t>DISA</w:t>
      </w:r>
      <w:r>
        <w:rPr>
          <w:rFonts w:eastAsia="MS Mincho"/>
        </w:rPr>
        <w:t>) Secure Technology Implementation Guides (</w:t>
      </w:r>
      <w:r>
        <w:rPr>
          <w:rFonts w:eastAsia="MS Mincho"/>
          <w:b/>
        </w:rPr>
        <w:t>STIGs</w:t>
      </w:r>
      <w:r>
        <w:rPr>
          <w:rFonts w:eastAsia="MS Mincho"/>
        </w:rPr>
        <w:t>)</w:t>
      </w:r>
      <w:r>
        <w:rPr>
          <w:rStyle w:val="FootnoteAnchor"/>
          <w:rStyle w:val="FootnoteAnchor"/>
          <w:rFonts w:eastAsia="MS Mincho"/>
        </w:rPr>
        <w:footnoteReference w:id="8"/>
      </w:r>
    </w:p>
    <w:p>
      <w:pPr>
        <w:pStyle w:val="ListParagraph"/>
        <w:numPr>
          <w:ilvl w:val="1"/>
          <w:numId w:val="597"/>
        </w:numPr>
        <w:tabs>
          <w:tab w:val="clear" w:pos="360"/>
          <w:tab w:val="clear" w:pos="720"/>
          <w:tab w:val="clear" w:pos="1080"/>
        </w:tabs>
        <w:rPr>
          <w:rFonts w:eastAsia="MS Mincho"/>
        </w:rPr>
      </w:pPr>
      <w:r>
        <w:rPr>
          <w:rFonts w:eastAsia="MS Mincho"/>
        </w:rPr>
        <w:t>Department of Defense Cybersecurity Maturity Model Certification (</w:t>
      </w:r>
      <w:r>
        <w:rPr>
          <w:rFonts w:eastAsia="MS Mincho"/>
          <w:b/>
        </w:rPr>
        <w:t>CMMC</w:t>
      </w:r>
      <w:r>
        <w:rPr>
          <w:rFonts w:eastAsia="MS Mincho"/>
        </w:rPr>
        <w:t>)</w:t>
      </w:r>
      <w:r>
        <w:rPr>
          <w:rStyle w:val="FootnoteAnchor"/>
          <w:rStyle w:val="FootnoteAnchor"/>
          <w:rFonts w:eastAsia="MS Mincho"/>
        </w:rPr>
        <w:footnoteReference w:id="9"/>
      </w:r>
    </w:p>
    <w:p>
      <w:pPr>
        <w:pStyle w:val="ListParagraph"/>
        <w:numPr>
          <w:ilvl w:val="1"/>
          <w:numId w:val="597"/>
        </w:numPr>
        <w:tabs>
          <w:tab w:val="clear" w:pos="360"/>
          <w:tab w:val="clear" w:pos="720"/>
          <w:tab w:val="clear" w:pos="1080"/>
        </w:tabs>
        <w:rPr/>
      </w:pPr>
      <w:r>
        <w:rPr/>
        <w:t>European Union Regulation 2016/279 (General Data Protection Regulation (</w:t>
      </w:r>
      <w:r>
        <w:rPr>
          <w:b/>
        </w:rPr>
        <w:t>EU</w:t>
      </w:r>
      <w:r>
        <w:rPr/>
        <w:t xml:space="preserve"> </w:t>
      </w:r>
      <w:r>
        <w:rPr>
          <w:b/>
        </w:rPr>
        <w:t>GDPR</w:t>
      </w:r>
      <w:r>
        <w:rPr/>
        <w:t>))</w:t>
      </w:r>
      <w:r>
        <w:rPr>
          <w:rStyle w:val="FootnoteAnchor"/>
          <w:rStyle w:val="FootnoteAnchor"/>
        </w:rPr>
        <w:footnoteReference w:id="10"/>
      </w:r>
      <w:r>
        <w:rPr/>
        <w:t xml:space="preserve"> </w:t>
      </w:r>
    </w:p>
    <w:p>
      <w:pPr>
        <w:pStyle w:val="ListParagraph"/>
        <w:numPr>
          <w:ilvl w:val="1"/>
          <w:numId w:val="597"/>
        </w:numPr>
        <w:tabs>
          <w:tab w:val="clear" w:pos="360"/>
          <w:tab w:val="clear" w:pos="720"/>
          <w:tab w:val="clear" w:pos="1080"/>
        </w:tabs>
        <w:rPr/>
      </w:pPr>
      <w:r>
        <w:rPr/>
        <w:t>Fair Information Practice Principles (</w:t>
      </w:r>
      <w:r>
        <w:rPr>
          <w:b/>
        </w:rPr>
        <w:t>FIPP</w:t>
      </w:r>
      <w:r>
        <w:rPr/>
        <w:t>)</w:t>
      </w:r>
      <w:r>
        <w:rPr>
          <w:rStyle w:val="FootnoteAnchor"/>
          <w:rStyle w:val="FootnoteAnchor"/>
        </w:rPr>
        <w:footnoteReference w:id="11"/>
      </w:r>
    </w:p>
    <w:p>
      <w:pPr>
        <w:pStyle w:val="ListParagraph"/>
        <w:numPr>
          <w:ilvl w:val="1"/>
          <w:numId w:val="597"/>
        </w:numPr>
        <w:tabs>
          <w:tab w:val="clear" w:pos="360"/>
          <w:tab w:val="clear" w:pos="720"/>
          <w:tab w:val="clear" w:pos="1080"/>
        </w:tabs>
        <w:rPr/>
      </w:pPr>
      <w:r>
        <w:rPr/>
        <w:t>Generally Accepted Privacy Practices (</w:t>
      </w:r>
      <w:r>
        <w:rPr>
          <w:b/>
        </w:rPr>
        <w:t>GAPP</w:t>
      </w:r>
      <w:r>
        <w:rPr/>
        <w:t>)</w:t>
      </w:r>
      <w:r>
        <w:rPr>
          <w:rStyle w:val="FootnoteAnchor"/>
          <w:rStyle w:val="FootnoteAnchor"/>
        </w:rPr>
        <w:footnoteReference w:id="12"/>
      </w:r>
    </w:p>
    <w:p>
      <w:pPr>
        <w:pStyle w:val="ListParagraph"/>
        <w:numPr>
          <w:ilvl w:val="1"/>
          <w:numId w:val="597"/>
        </w:numPr>
        <w:tabs>
          <w:tab w:val="clear" w:pos="360"/>
          <w:tab w:val="clear" w:pos="720"/>
          <w:tab w:val="clear" w:pos="1080"/>
        </w:tabs>
        <w:rPr/>
      </w:pPr>
      <w:r>
        <w:rPr/>
        <w:t>Open Web Application Security Project (</w:t>
      </w:r>
      <w:r>
        <w:rPr>
          <w:b/>
        </w:rPr>
        <w:t>OWASP</w:t>
      </w:r>
      <w:r>
        <w:rPr/>
        <w:t>)</w:t>
      </w:r>
      <w:r>
        <w:rPr>
          <w:rStyle w:val="FootnoteAnchor"/>
          <w:rStyle w:val="FootnoteAnchor"/>
        </w:rPr>
        <w:footnoteReference w:id="13"/>
      </w:r>
      <w:r>
        <w:rPr/>
        <w:t xml:space="preserve"> </w:t>
      </w:r>
    </w:p>
    <w:p>
      <w:pPr>
        <w:pStyle w:val="ListParagraph"/>
        <w:numPr>
          <w:ilvl w:val="1"/>
          <w:numId w:val="597"/>
        </w:numPr>
        <w:tabs>
          <w:tab w:val="clear" w:pos="360"/>
          <w:tab w:val="clear" w:pos="720"/>
          <w:tab w:val="clear" w:pos="1080"/>
        </w:tabs>
        <w:rPr/>
      </w:pPr>
      <w:r>
        <w:rPr/>
        <w:t>Payment Card Industry Data Security Standard (</w:t>
      </w:r>
      <w:r>
        <w:rPr>
          <w:b/>
        </w:rPr>
        <w:t>PCI DSS</w:t>
      </w:r>
      <w:r>
        <w:rPr/>
        <w:t>)</w:t>
      </w:r>
      <w:r>
        <w:rPr>
          <w:rStyle w:val="FootnoteAnchor"/>
          <w:rStyle w:val="FootnoteAnchor"/>
        </w:rPr>
        <w:footnoteReference w:id="14"/>
      </w:r>
    </w:p>
    <w:p>
      <w:pPr>
        <w:pStyle w:val="ListParagraph"/>
        <w:numPr>
          <w:ilvl w:val="1"/>
          <w:numId w:val="597"/>
        </w:numPr>
        <w:tabs>
          <w:tab w:val="clear" w:pos="360"/>
          <w:tab w:val="clear" w:pos="720"/>
          <w:tab w:val="clear" w:pos="1080"/>
        </w:tabs>
        <w:jc w:val="left"/>
        <w:rPr>
          <w:rFonts w:eastAsia="Calibri" w:cs="Calibri"/>
          <w:b/>
          <w:b/>
          <w:bCs w:val="false"/>
          <w:smallCaps/>
          <w:sz w:val="24"/>
        </w:rPr>
      </w:pPr>
      <w:r>
        <w:rPr/>
        <w:t>Privacy by Design (</w:t>
      </w:r>
      <w:r>
        <w:rPr>
          <w:b/>
        </w:rPr>
        <w:t>PbD</w:t>
      </w:r>
      <w:r>
        <w:rPr/>
        <w:t>)</w:t>
      </w:r>
      <w:r>
        <w:rPr>
          <w:rStyle w:val="FootnoteCharacters"/>
        </w:rPr>
        <w:t xml:space="preserve"> </w:t>
      </w:r>
      <w:r>
        <w:rPr>
          <w:rStyle w:val="FootnoteAnchor"/>
          <w:rStyle w:val="FootnoteAnchor"/>
        </w:rPr>
        <w:footnoteReference w:id="15"/>
      </w:r>
      <w:r>
        <w:br w:type="page"/>
      </w:r>
    </w:p>
    <w:p>
      <w:pPr>
        <w:pStyle w:val="Heading1"/>
        <w:rPr/>
      </w:pPr>
      <w:bookmarkStart w:id="8" w:name="_Toc34920471"/>
      <w:bookmarkStart w:id="9" w:name="_Toc474074728"/>
      <w:bookmarkStart w:id="10" w:name="_Toc474075483"/>
      <w:bookmarkStart w:id="11" w:name="_Toc349304250"/>
      <w:r>
        <w:rPr/>
        <w:t>Digital Security Program (DSP) Overview</w:t>
      </w:r>
      <w:bookmarkEnd w:id="8"/>
      <w:bookmarkEnd w:id="9"/>
      <w:bookmarkEnd w:id="10"/>
      <w:bookmarkEnd w:id="11"/>
      <w:r>
        <w:rPr/>
        <w:t xml:space="preserve"> </w:t>
      </w:r>
    </w:p>
    <w:p>
      <w:pPr>
        <w:pStyle w:val="Normal"/>
        <w:rPr/>
      </w:pPr>
      <w:r>
        <w:rPr/>
      </w:r>
    </w:p>
    <w:p>
      <w:pPr>
        <w:pStyle w:val="Heading2"/>
        <w:rPr/>
      </w:pPr>
      <w:bookmarkStart w:id="12" w:name="_Toc474074729"/>
      <w:bookmarkStart w:id="13" w:name="_Toc474075484"/>
      <w:bookmarkStart w:id="14" w:name="_Toc34920472"/>
      <w:r>
        <w:rPr/>
        <w:t>Introduction</w:t>
      </w:r>
      <w:bookmarkEnd w:id="12"/>
      <w:bookmarkEnd w:id="13"/>
      <w:bookmarkEnd w:id="14"/>
      <w:r>
        <w:rPr/>
        <w:t xml:space="preserve">  </w:t>
      </w:r>
    </w:p>
    <w:p>
      <w:pPr>
        <w:pStyle w:val="Normal"/>
        <w:rPr>
          <w:rFonts w:eastAsia="MS Mincho"/>
        </w:rPr>
      </w:pPr>
      <w:r>
        <w:rPr>
          <w:rFonts w:eastAsia="MS Mincho"/>
        </w:rPr>
        <w:t>The Digital Security Program (DSP) provides definitive information on the prescribed measures used to establish and enforce the security program at Neverfail Continuous Controls, LLC (NFCC).</w:t>
      </w:r>
    </w:p>
    <w:p>
      <w:pPr>
        <w:pStyle w:val="Normal"/>
        <w:rPr>
          <w:rFonts w:eastAsia="MS Mincho"/>
        </w:rPr>
      </w:pPr>
      <w:r>
        <w:rPr>
          <w:rFonts w:eastAsia="MS Mincho"/>
        </w:rPr>
      </w:r>
    </w:p>
    <w:p>
      <w:pPr>
        <w:pStyle w:val="Normal"/>
        <w:rPr>
          <w:rFonts w:eastAsia="MS Mincho"/>
        </w:rPr>
      </w:pPr>
      <w:r>
        <w:rPr>
          <w:rFonts w:eastAsia="MS Mincho"/>
        </w:rPr>
        <w:t>NFCC is committed to protecting its employees, partners, clients and NFCC from damaging acts that are intentional or unintentional. Effective cybersecurity is a team effort involving the participation and support of every NFCC user who interacts with data and systems. Therefore, it is the responsibility of every user to know these policies and to conduct their activities accordingly.</w:t>
      </w:r>
    </w:p>
    <w:p>
      <w:pPr>
        <w:pStyle w:val="Normal"/>
        <w:rPr/>
      </w:pPr>
      <w:r>
        <w:rPr/>
      </w:r>
    </w:p>
    <w:p>
      <w:pPr>
        <w:pStyle w:val="Normal"/>
        <w:rPr/>
      </w:pPr>
      <w:r>
        <w:rPr/>
        <w:t>Protecting company data and the systems that collect, process and maintain this information is of critical importance. Consequently, the security of systems must include controls and safeguards to offset possible threats, as well as controls to ensure confidentiality, integrity, availability and safety:</w:t>
      </w:r>
    </w:p>
    <w:p>
      <w:pPr>
        <w:pStyle w:val="Normal"/>
        <w:rPr/>
      </w:pPr>
      <w:r>
        <w:rPr/>
      </w:r>
    </w:p>
    <w:p>
      <w:pPr>
        <w:pStyle w:val="ListParagraph"/>
        <w:numPr>
          <w:ilvl w:val="0"/>
          <w:numId w:val="131"/>
        </w:numPr>
        <w:rPr/>
      </w:pPr>
      <w:r>
        <w:rPr>
          <w:u w:val="single"/>
        </w:rPr>
        <w:t>Confidentiality</w:t>
      </w:r>
      <w:r>
        <w:rPr/>
        <w:t xml:space="preserve"> – Confidentiality addresses preserving restrictions on information access and disclosure so that access is restricted to only authorized users and services. </w:t>
      </w:r>
    </w:p>
    <w:p>
      <w:pPr>
        <w:pStyle w:val="ListParagraph"/>
        <w:numPr>
          <w:ilvl w:val="0"/>
          <w:numId w:val="131"/>
        </w:numPr>
        <w:rPr/>
      </w:pPr>
      <w:r>
        <w:rPr>
          <w:u w:val="single"/>
        </w:rPr>
        <w:t>Integrity</w:t>
      </w:r>
      <w:r>
        <w:rPr/>
        <w:t xml:space="preserve"> – Integrity addresses the concern that sensitive data has not been modified or deleted in an unauthorized and undetected manner.</w:t>
      </w:r>
    </w:p>
    <w:p>
      <w:pPr>
        <w:pStyle w:val="ListParagraph"/>
        <w:numPr>
          <w:ilvl w:val="0"/>
          <w:numId w:val="131"/>
        </w:numPr>
        <w:rPr/>
      </w:pPr>
      <w:r>
        <w:rPr>
          <w:u w:val="single"/>
        </w:rPr>
        <w:t>Availability</w:t>
      </w:r>
      <w:r>
        <w:rPr/>
        <w:t xml:space="preserve"> – Availability addresses ensuring timely and reliable access to and use of information.</w:t>
      </w:r>
    </w:p>
    <w:p>
      <w:pPr>
        <w:pStyle w:val="ListParagraph"/>
        <w:numPr>
          <w:ilvl w:val="0"/>
          <w:numId w:val="131"/>
        </w:numPr>
        <w:rPr/>
      </w:pPr>
      <w:r>
        <w:rPr>
          <w:u w:val="single"/>
        </w:rPr>
        <w:t xml:space="preserve">Safety </w:t>
      </w:r>
      <w:r>
        <w:rPr/>
        <w:t>– Safety addresses reducing risk associated with embedded technologies that could fail or be manipulated by nefarious actors.</w:t>
      </w:r>
    </w:p>
    <w:p>
      <w:pPr>
        <w:pStyle w:val="Normal"/>
        <w:rPr/>
      </w:pPr>
      <w:r>
        <w:rPr/>
      </w:r>
    </w:p>
    <w:p>
      <w:pPr>
        <w:pStyle w:val="Normal"/>
        <w:rPr/>
      </w:pPr>
      <w:r>
        <w:rPr/>
        <w:t>Commensurate with risk, security measures must be implemented to guard against unauthorized access to, alteration, disclosure or destruction of data and systems. This also includes protection against accidental loss or destruction.</w:t>
      </w:r>
    </w:p>
    <w:p>
      <w:pPr>
        <w:pStyle w:val="Normal"/>
        <w:rPr/>
      </w:pPr>
      <w:r>
        <w:rPr/>
      </w:r>
    </w:p>
    <w:p>
      <w:pPr>
        <w:pStyle w:val="Normal"/>
        <w:rPr/>
      </w:pPr>
      <w:r>
        <w:rPr/>
      </w:r>
    </w:p>
    <w:p>
      <w:pPr>
        <w:pStyle w:val="Heading2"/>
        <w:rPr/>
      </w:pPr>
      <w:bookmarkStart w:id="15" w:name="_Toc474074730"/>
      <w:bookmarkStart w:id="16" w:name="_Toc474075485"/>
      <w:bookmarkStart w:id="17" w:name="_Toc34920473"/>
      <w:r>
        <w:rPr/>
        <w:t>Purpose</w:t>
      </w:r>
      <w:bookmarkEnd w:id="15"/>
      <w:bookmarkEnd w:id="16"/>
      <w:bookmarkEnd w:id="17"/>
      <w:r>
        <w:rPr/>
        <w:t xml:space="preserve">    </w:t>
      </w:r>
    </w:p>
    <w:p>
      <w:pPr>
        <w:pStyle w:val="Normal"/>
        <w:rPr>
          <w:rFonts w:cs="Calibri"/>
        </w:rPr>
      </w:pPr>
      <w:r>
        <w:rPr/>
        <w:t xml:space="preserve">The purpose of the Digital Security Program (DSP) is to </w:t>
      </w:r>
      <w:r>
        <w:rPr>
          <w:rFonts w:cs="Calibri"/>
        </w:rPr>
        <w:t>prescribe a comprehensive framework for:</w:t>
      </w:r>
    </w:p>
    <w:p>
      <w:pPr>
        <w:pStyle w:val="ListParagraph"/>
        <w:numPr>
          <w:ilvl w:val="0"/>
          <w:numId w:val="132"/>
        </w:numPr>
        <w:rPr/>
      </w:pPr>
      <w:r>
        <w:rPr/>
        <w:t>Creating a leading practice-based Information Security Management System (ISMS);</w:t>
      </w:r>
    </w:p>
    <w:p>
      <w:pPr>
        <w:pStyle w:val="ListParagraph"/>
        <w:numPr>
          <w:ilvl w:val="0"/>
          <w:numId w:val="132"/>
        </w:numPr>
        <w:rPr/>
      </w:pPr>
      <w:r>
        <w:rPr/>
        <w:t>Protecting the confidentiality, integrity, availability and safety of NFCC data and systems;</w:t>
      </w:r>
    </w:p>
    <w:p>
      <w:pPr>
        <w:pStyle w:val="ListParagraph"/>
        <w:numPr>
          <w:ilvl w:val="0"/>
          <w:numId w:val="132"/>
        </w:numPr>
        <w:rPr/>
      </w:pPr>
      <w:r>
        <w:rPr/>
        <w:t xml:space="preserve">Protecting NFCC, its employees and its clients from illicit use of NFCC </w:t>
      </w:r>
      <w:bookmarkStart w:id="18" w:name="OLE_LINK2"/>
      <w:r>
        <w:rPr/>
        <w:t>systems and data</w:t>
      </w:r>
      <w:bookmarkEnd w:id="18"/>
      <w:r>
        <w:rPr/>
        <w:t>;</w:t>
      </w:r>
    </w:p>
    <w:p>
      <w:pPr>
        <w:pStyle w:val="ListParagraph"/>
        <w:numPr>
          <w:ilvl w:val="0"/>
          <w:numId w:val="132"/>
        </w:numPr>
        <w:rPr/>
      </w:pPr>
      <w:r>
        <w:rPr/>
        <w:t>Ensuring the effectiveness of security controls over data and systems that support NFCC’s operations</w:t>
      </w:r>
      <w:r>
        <w:rPr>
          <w:rFonts w:eastAsia="MS Mincho"/>
        </w:rPr>
        <w:t>.</w:t>
      </w:r>
    </w:p>
    <w:p>
      <w:pPr>
        <w:pStyle w:val="ListParagraph"/>
        <w:numPr>
          <w:ilvl w:val="0"/>
          <w:numId w:val="132"/>
        </w:numPr>
        <w:rPr>
          <w:rFonts w:eastAsia="MS Mincho"/>
        </w:rPr>
      </w:pPr>
      <w:r>
        <w:rPr>
          <w:rFonts w:eastAsia="MS Mincho"/>
        </w:rPr>
        <w:t>R</w:t>
      </w:r>
      <w:r>
        <w:rPr/>
        <w:t>ecognizing the highly-networked nature of the current computing environment and provide effective company-wide management and oversight of those related cybersecurity risks; and</w:t>
      </w:r>
    </w:p>
    <w:p>
      <w:pPr>
        <w:pStyle w:val="ListParagraph"/>
        <w:numPr>
          <w:ilvl w:val="0"/>
          <w:numId w:val="132"/>
        </w:numPr>
        <w:rPr/>
      </w:pPr>
      <w:r>
        <w:rPr/>
        <w:t>Providing for the development, review and maintenance of minimum security controls required to protect NFCC’s data and systems.</w:t>
      </w:r>
    </w:p>
    <w:p>
      <w:pPr>
        <w:pStyle w:val="Normal"/>
        <w:rPr/>
      </w:pPr>
      <w:r>
        <w:rPr/>
      </w:r>
    </w:p>
    <w:p>
      <w:pPr>
        <w:pStyle w:val="Normal"/>
        <w:rPr/>
      </w:pPr>
      <w:r>
        <w:rPr/>
        <w:t>The formation of these cybersecurity policies is driven by many factors, with the key factor being a risk. These policies set the ground rules under which NFCC operates and safeguards its data and systems to both reduce risk and minimize the effect of potential incidents.</w:t>
      </w:r>
    </w:p>
    <w:p>
      <w:pPr>
        <w:pStyle w:val="Normal"/>
        <w:rPr/>
      </w:pPr>
      <w:r>
        <w:rPr/>
      </w:r>
    </w:p>
    <w:p>
      <w:pPr>
        <w:pStyle w:val="Normal"/>
        <w:rPr/>
      </w:pPr>
      <w:r>
        <w:rPr/>
        <w:t>These policies, including their related control objectives, standards, procedures and guidelines, are necessary to support the management of information risks in daily operations. The development of policies provides due care to ensure NFCC users understand their day-to-day security responsibilities and the threats that could impact the company.</w:t>
      </w:r>
    </w:p>
    <w:p>
      <w:pPr>
        <w:pStyle w:val="Normal"/>
        <w:rPr/>
      </w:pPr>
      <w:r>
        <w:rPr/>
      </w:r>
    </w:p>
    <w:p>
      <w:pPr>
        <w:pStyle w:val="Normal"/>
        <w:rPr/>
      </w:pPr>
      <w:r>
        <w:rPr/>
        <w:t>Implementing consistent security controls across the company will help NFCC comply with current and future legal obligations to ensure long-term due diligence in protecting the confidentiality, integrity and availability of NFCC data.</w:t>
      </w:r>
    </w:p>
    <w:p>
      <w:pPr>
        <w:pStyle w:val="Normal"/>
        <w:rPr/>
      </w:pPr>
      <w:r>
        <w:rPr/>
      </w:r>
    </w:p>
    <w:p>
      <w:pPr>
        <w:pStyle w:val="Normal"/>
        <w:rPr/>
      </w:pPr>
      <w:r>
        <w:rPr/>
      </w:r>
    </w:p>
    <w:p>
      <w:pPr>
        <w:pStyle w:val="Normal"/>
        <w:rPr>
          <w:rFonts w:eastAsia="Calibri" w:cs="Calibri"/>
          <w:color w:val="1F497D" w:themeColor="text2"/>
          <w:sz w:val="24"/>
        </w:rPr>
      </w:pPr>
      <w:r>
        <w:rPr>
          <w:rFonts w:eastAsia="Calibri" w:cs="Calibri"/>
          <w:color w:val="1F497D" w:themeColor="text2"/>
          <w:sz w:val="24"/>
        </w:rPr>
      </w:r>
      <w:r>
        <w:br w:type="page"/>
      </w:r>
    </w:p>
    <w:p>
      <w:pPr>
        <w:pStyle w:val="Heading2"/>
        <w:rPr/>
      </w:pPr>
      <w:bookmarkStart w:id="19" w:name="_Toc474074731"/>
      <w:bookmarkStart w:id="20" w:name="_Toc474075486"/>
      <w:bookmarkStart w:id="21" w:name="_Toc34920474"/>
      <w:r>
        <w:rPr/>
        <w:t>Scope &amp; Applicability</w:t>
      </w:r>
      <w:bookmarkEnd w:id="19"/>
      <w:bookmarkEnd w:id="20"/>
      <w:bookmarkEnd w:id="21"/>
    </w:p>
    <w:p>
      <w:pPr>
        <w:pStyle w:val="Normal"/>
        <w:rPr/>
      </w:pPr>
      <w:r>
        <w:rPr/>
        <w:t>These policies, standards and guidelines apply to all NFCC data, systems, activities and assets owned, leased, controlled or used by NFCC, its agents, contractors or other business partners on behalf of NFCC. These policies, standards and guidelines apply to all NFCC employees, contractors, sub-contractors and their respective facilities supporting NFCC business operations, wherever NFCC data is stored or processed, including any third-party contracted by NFCC to handle, process, transmit, store or dispose of NFCC data.</w:t>
      </w:r>
    </w:p>
    <w:p>
      <w:pPr>
        <w:pStyle w:val="Normal"/>
        <w:rPr/>
      </w:pPr>
      <w:r>
        <w:rPr/>
      </w:r>
    </w:p>
    <w:p>
      <w:pPr>
        <w:pStyle w:val="Normal"/>
        <w:rPr/>
      </w:pPr>
      <w:r>
        <w:rPr/>
        <w:t>Some standards apply specifically to persons with a specific job function (e.g., a System Administrator); otherwise, all personnel supporting NFCC business functions shall comply with the standards. NFCC departments shall use these standards or may create a more restrictive standard, but none that are less restrictive, less comprehensive or less compliant than these standards.</w:t>
      </w:r>
    </w:p>
    <w:p>
      <w:pPr>
        <w:pStyle w:val="Normal"/>
        <w:rPr/>
      </w:pPr>
      <w:r>
        <w:rPr/>
      </w:r>
    </w:p>
    <w:p>
      <w:pPr>
        <w:pStyle w:val="Normal"/>
        <w:rPr/>
      </w:pPr>
      <w:r>
        <w:rPr/>
        <w:t>These policies do not supersede any other applicable law or higher-level company directive or existing labor management agreement in effect as of the effective date of this policy.</w:t>
      </w:r>
    </w:p>
    <w:p>
      <w:pPr>
        <w:pStyle w:val="Normal"/>
        <w:rPr/>
      </w:pPr>
      <w:r>
        <w:rPr/>
      </w:r>
    </w:p>
    <w:p>
      <w:pPr>
        <w:pStyle w:val="Normal"/>
        <w:rPr/>
      </w:pPr>
      <w:r>
        <w:rPr/>
        <w:t>NFCC's documented roles and responsibilities provides a detailed description of NFCC user roles and responsibilities, in regards to cybersecurity-related use obligations.</w:t>
      </w:r>
    </w:p>
    <w:p>
      <w:pPr>
        <w:pStyle w:val="Normal"/>
        <w:rPr/>
      </w:pPr>
      <w:r>
        <w:rPr/>
      </w:r>
    </w:p>
    <w:p>
      <w:pPr>
        <w:pStyle w:val="Normal"/>
        <w:rPr/>
      </w:pPr>
      <w:r>
        <w:rPr/>
        <w:t xml:space="preserve">NFCC reserves the right to revoke, change or supplement these policies, standards and guidelines at any time without prior notice. Such changes shall be effective immediately upon approval by management unless otherwise stated. </w:t>
      </w:r>
    </w:p>
    <w:p>
      <w:pPr>
        <w:pStyle w:val="Normal"/>
        <w:rPr/>
      </w:pPr>
      <w:r>
        <w:rPr/>
      </w:r>
    </w:p>
    <w:p>
      <w:pPr>
        <w:pStyle w:val="Normal"/>
        <w:rPr/>
      </w:pPr>
      <w:r>
        <w:rPr/>
      </w:r>
    </w:p>
    <w:p>
      <w:pPr>
        <w:pStyle w:val="Heading2"/>
        <w:rPr/>
      </w:pPr>
      <w:bookmarkStart w:id="22" w:name="_Toc474074732"/>
      <w:bookmarkStart w:id="23" w:name="_Toc474075487"/>
      <w:bookmarkStart w:id="24" w:name="_Toc34920475"/>
      <w:r>
        <w:rPr/>
        <w:t>Policy Overview</w:t>
      </w:r>
      <w:bookmarkEnd w:id="22"/>
      <w:bookmarkEnd w:id="23"/>
      <w:bookmarkEnd w:id="24"/>
    </w:p>
    <w:p>
      <w:pPr>
        <w:pStyle w:val="Normal"/>
        <w:rPr/>
      </w:pPr>
      <w:r>
        <w:rPr/>
        <w:t xml:space="preserve">To ensure an acceptable level of cybersecurity risk, NFCC is required to design, implement and maintain a coherent set of policies, standards, procedures and guidelines to manage risks to its data and systems. </w:t>
      </w:r>
    </w:p>
    <w:p>
      <w:pPr>
        <w:pStyle w:val="Normal"/>
        <w:rPr/>
      </w:pPr>
      <w:r>
        <w:rPr/>
      </w:r>
    </w:p>
    <w:p>
      <w:pPr>
        <w:pStyle w:val="Normal"/>
        <w:rPr/>
      </w:pPr>
      <w:r>
        <w:rPr/>
        <w:t xml:space="preserve">The DSP addresses the policies, standards and guidelines. Data / process owners, in conjunction with asset custodians, are responsible for creating, implementing and updated operational procedures to comply with DSP requirements. </w:t>
      </w:r>
    </w:p>
    <w:p>
      <w:pPr>
        <w:pStyle w:val="Normal"/>
        <w:rPr/>
      </w:pPr>
      <w:r>
        <w:rPr/>
      </w:r>
    </w:p>
    <w:p>
      <w:pPr>
        <w:pStyle w:val="Normal"/>
        <w:rPr/>
      </w:pPr>
      <w:r>
        <w:rPr/>
        <w:t xml:space="preserve">NFCC users are required to protect and ensure the Confidentiality, Integrity, Availability and Safety (CIAS) of data and systems, regardless of how its data is created, distributed or stored. </w:t>
      </w:r>
    </w:p>
    <w:p>
      <w:pPr>
        <w:pStyle w:val="ListParagraph"/>
        <w:numPr>
          <w:ilvl w:val="0"/>
          <w:numId w:val="167"/>
        </w:numPr>
        <w:rPr/>
      </w:pPr>
      <w:r>
        <w:rPr/>
        <w:t>Security controls will be tailored accordingly so that cost-effective controls can be applied commensurate with the risk and sensitivity of the data and system; and</w:t>
      </w:r>
    </w:p>
    <w:p>
      <w:pPr>
        <w:pStyle w:val="ListParagraph"/>
        <w:numPr>
          <w:ilvl w:val="0"/>
          <w:numId w:val="167"/>
        </w:numPr>
        <w:rPr/>
      </w:pPr>
      <w:r>
        <w:rPr/>
        <w:t>Security controls must be designed and maintained to ensure compliance with all legal requirements.</w:t>
      </w:r>
    </w:p>
    <w:p>
      <w:pPr>
        <w:pStyle w:val="Normal"/>
        <w:rPr/>
      </w:pPr>
      <w:r>
        <w:rPr/>
      </w:r>
    </w:p>
    <w:p>
      <w:pPr>
        <w:pStyle w:val="Normal"/>
        <w:rPr/>
      </w:pPr>
      <w:r>
        <w:rPr/>
      </w:r>
    </w:p>
    <w:p>
      <w:pPr>
        <w:pStyle w:val="Heading2"/>
        <w:rPr/>
      </w:pPr>
      <w:bookmarkStart w:id="25" w:name="_Toc34920476"/>
      <w:bookmarkStart w:id="26" w:name="_Toc474074733"/>
      <w:bookmarkStart w:id="27" w:name="_Toc474075488"/>
      <w:r>
        <w:rPr/>
        <w:t>Violations</w:t>
      </w:r>
      <w:bookmarkEnd w:id="26"/>
      <w:bookmarkEnd w:id="27"/>
      <w:r>
        <w:rPr/>
        <w:t xml:space="preserve"> of Policies, Standards and/or Procedures</w:t>
      </w:r>
      <w:bookmarkEnd w:id="25"/>
    </w:p>
    <w:p>
      <w:pPr>
        <w:pStyle w:val="Normal"/>
        <w:rPr/>
      </w:pPr>
      <w:r>
        <w:rPr/>
        <w:t>Any NFCC user found to have violated any policy, standard or procedure may be subject to disciplinary action, up to and including termination of employment. Violators of local, state, Federal and / or international law may be reported to the appropriate law enforcement agency for civil and / or criminal prosecution.</w:t>
      </w:r>
    </w:p>
    <w:p>
      <w:pPr>
        <w:pStyle w:val="Normal"/>
        <w:rPr/>
      </w:pPr>
      <w:r>
        <w:rPr/>
      </w:r>
    </w:p>
    <w:p>
      <w:pPr>
        <w:pStyle w:val="Normal"/>
        <w:rPr/>
      </w:pPr>
      <w:r>
        <w:rPr/>
      </w:r>
    </w:p>
    <w:p>
      <w:pPr>
        <w:pStyle w:val="Heading2"/>
        <w:rPr/>
      </w:pPr>
      <w:bookmarkStart w:id="28" w:name="_Toc34920477"/>
      <w:bookmarkStart w:id="29" w:name="_Toc474074734"/>
      <w:bookmarkStart w:id="30" w:name="_Toc474075489"/>
      <w:r>
        <w:rPr/>
        <w:t>Exception</w:t>
      </w:r>
      <w:bookmarkEnd w:id="29"/>
      <w:bookmarkEnd w:id="30"/>
      <w:r>
        <w:rPr/>
        <w:t xml:space="preserve"> To Standards</w:t>
      </w:r>
      <w:bookmarkEnd w:id="28"/>
    </w:p>
    <w:p>
      <w:pPr>
        <w:pStyle w:val="Normal"/>
        <w:rPr/>
      </w:pPr>
      <w:r>
        <w:rPr/>
        <w:t>While every exception to a standard potentially weakens protection mechanisms for NFCC systems and underlying data, occasionally exceptions will exist. When requesting an exception, users are required to submit a business justification for deviation from the standard in question.</w:t>
      </w:r>
    </w:p>
    <w:p>
      <w:pPr>
        <w:pStyle w:val="Normal"/>
        <w:rPr/>
      </w:pPr>
      <w:r>
        <w:rPr/>
      </w:r>
    </w:p>
    <w:p>
      <w:pPr>
        <w:pStyle w:val="Normal"/>
        <w:rPr/>
      </w:pPr>
      <w:r>
        <w:rPr/>
      </w:r>
    </w:p>
    <w:p>
      <w:pPr>
        <w:pStyle w:val="Heading2"/>
        <w:rPr/>
      </w:pPr>
      <w:bookmarkStart w:id="31" w:name="_Toc34920478"/>
      <w:bookmarkStart w:id="32" w:name="_Toc474074735"/>
      <w:bookmarkStart w:id="33" w:name="_Toc474075490"/>
      <w:r>
        <w:rPr/>
        <w:t>Updates</w:t>
      </w:r>
      <w:bookmarkEnd w:id="32"/>
      <w:bookmarkEnd w:id="33"/>
      <w:r>
        <w:rPr/>
        <w:t xml:space="preserve"> To Policies &amp; Standards</w:t>
      </w:r>
      <w:bookmarkEnd w:id="31"/>
    </w:p>
    <w:p>
      <w:pPr>
        <w:pStyle w:val="Normal"/>
        <w:rPr/>
      </w:pPr>
      <w:r>
        <w:rPr/>
        <w:t xml:space="preserve">Updates to the Digital Security Program (DSP) will be announced to employees via management updates or email announcements. Changes will be noted in the </w:t>
      </w:r>
      <w:hyperlink w:anchor="_RECORD_OF_CHANGES">
        <w:r>
          <w:rPr>
            <w:rStyle w:val="InternetLink"/>
            <w:rFonts w:cs="Calibri"/>
          </w:rPr>
          <w:t>Record of Changes</w:t>
        </w:r>
      </w:hyperlink>
      <w:r>
        <w:rPr/>
        <w:t xml:space="preserve"> to highlight the pertinent changes from the previous policies, procedures, standards and guidelines.</w:t>
      </w:r>
    </w:p>
    <w:p>
      <w:pPr>
        <w:pStyle w:val="Normal"/>
        <w:rPr/>
      </w:pPr>
      <w:r>
        <w:rPr/>
      </w:r>
    </w:p>
    <w:p>
      <w:pPr>
        <w:pStyle w:val="Normal"/>
        <w:rPr/>
      </w:pPr>
      <w:r>
        <w:rPr/>
      </w:r>
    </w:p>
    <w:p>
      <w:pPr>
        <w:pStyle w:val="Normal"/>
        <w:rPr>
          <w:rFonts w:eastAsia="Calibri" w:cs="Calibri"/>
          <w:color w:val="1F497D" w:themeColor="text2"/>
          <w:sz w:val="24"/>
        </w:rPr>
      </w:pPr>
      <w:r>
        <w:rPr>
          <w:rFonts w:eastAsia="Calibri" w:cs="Calibri"/>
          <w:color w:val="1F497D" w:themeColor="text2"/>
          <w:sz w:val="24"/>
        </w:rPr>
      </w:r>
      <w:r>
        <w:br w:type="page"/>
      </w:r>
    </w:p>
    <w:p>
      <w:pPr>
        <w:pStyle w:val="Heading2"/>
        <w:rPr/>
      </w:pPr>
      <w:bookmarkStart w:id="34" w:name="_Toc474074736"/>
      <w:bookmarkStart w:id="35" w:name="_Toc474075491"/>
      <w:bookmarkStart w:id="36" w:name="_Toc34920479"/>
      <w:r>
        <w:rPr/>
        <w:t>Key Terminology</w:t>
      </w:r>
      <w:bookmarkEnd w:id="34"/>
      <w:bookmarkEnd w:id="35"/>
      <w:bookmarkEnd w:id="36"/>
      <w:r>
        <w:rPr/>
        <w:t xml:space="preserve"> </w:t>
      </w:r>
    </w:p>
    <w:p>
      <w:pPr>
        <w:pStyle w:val="Normal"/>
        <w:rPr/>
      </w:pPr>
      <w:r>
        <w:rPr/>
        <w:t xml:space="preserve">In the realm of cybersecurity terminology, the National Institute of Standards and Technology (NIST) IR 7298, </w:t>
      </w:r>
      <w:r>
        <w:rPr>
          <w:i/>
        </w:rPr>
        <w:t>Glossary of Key Information Security Terms</w:t>
      </w:r>
      <w:r>
        <w:rPr/>
        <w:t>, is the primary reference document that NFCC uses to define common cybersecurity terms.</w:t>
      </w:r>
      <w:r>
        <w:rPr>
          <w:rStyle w:val="FootnoteCharacters"/>
          <w:rFonts w:eastAsia="Calibri" w:cs="Calibri"/>
        </w:rPr>
        <w:t xml:space="preserve"> </w:t>
      </w:r>
      <w:r>
        <w:rPr>
          <w:rStyle w:val="FootnoteAnchor"/>
          <w:rStyle w:val="FootnoteAnchor"/>
          <w:rFonts w:eastAsia="Calibri" w:cs="Calibri"/>
        </w:rPr>
        <w:footnoteReference w:id="16"/>
      </w:r>
      <w:r>
        <w:rPr/>
        <w:t xml:space="preserve"> Key terminology to be aware of includes:</w:t>
      </w:r>
    </w:p>
    <w:p>
      <w:pPr>
        <w:pStyle w:val="Normal"/>
        <w:rPr/>
      </w:pPr>
      <w:r>
        <w:rPr/>
      </w:r>
    </w:p>
    <w:p>
      <w:pPr>
        <w:pStyle w:val="Normal"/>
        <w:rPr/>
      </w:pPr>
      <w:r>
        <w:rPr>
          <w:u w:val="single"/>
        </w:rPr>
        <w:t>Adequate Security</w:t>
      </w:r>
      <w:r>
        <w:rPr/>
        <w:t>. A term describing protective measures that are commensurate with the consequences and probability of loss, misuse or unauthorized access to or modification of information.</w:t>
      </w:r>
    </w:p>
    <w:p>
      <w:pPr>
        <w:pStyle w:val="Normal"/>
        <w:rPr/>
      </w:pPr>
      <w:r>
        <w:rPr/>
      </w:r>
    </w:p>
    <w:p>
      <w:pPr>
        <w:pStyle w:val="Normal"/>
        <w:rPr/>
      </w:pPr>
      <w:r>
        <w:rPr>
          <w:u w:val="single"/>
        </w:rPr>
        <w:t>Asset</w:t>
      </w:r>
      <w:r>
        <w:rPr/>
        <w:t xml:space="preserve">: A term describing any data, device, application, service or other component of the environment that supports information-related activities. An asset is a resource with economic value that a NFCC owns or controls. </w:t>
      </w:r>
    </w:p>
    <w:p>
      <w:pPr>
        <w:pStyle w:val="Normal"/>
        <w:rPr/>
      </w:pPr>
      <w:r>
        <w:rPr/>
      </w:r>
    </w:p>
    <w:p>
      <w:pPr>
        <w:pStyle w:val="Normal"/>
        <w:rPr>
          <w:rFonts w:cs="Calibri"/>
        </w:rPr>
      </w:pPr>
      <w:r>
        <w:rPr>
          <w:rFonts w:cs="Calibri"/>
          <w:u w:val="single"/>
        </w:rPr>
        <w:t>Asset Custodian</w:t>
      </w:r>
      <w:r>
        <w:rPr>
          <w:rFonts w:cs="Calibri"/>
        </w:rPr>
        <w:t>: A term describing a person or entity with the responsibility to assure that the assets are properly maintained, are used for the purposes intended and that information regarding the equipment is properly documented.</w:t>
      </w:r>
    </w:p>
    <w:p>
      <w:pPr>
        <w:pStyle w:val="Normal"/>
        <w:rPr/>
      </w:pPr>
      <w:r>
        <w:rPr/>
      </w:r>
    </w:p>
    <w:p>
      <w:pPr>
        <w:pStyle w:val="Normal"/>
        <w:rPr/>
      </w:pPr>
      <w:r>
        <w:rPr>
          <w:u w:val="single"/>
        </w:rPr>
        <w:t>Cloud Computing</w:t>
      </w:r>
      <w:r>
        <w:rPr/>
        <w:t>. A term describing a technology infrastructure model for enabling ubiquitous, convenient, on-demand network access to a shared pool of configurable computing resources (e.g., networks, servers, storage, applications and services) that can be rapidly provisioned and released with minimal management effort or service provider interaction. It also includes commercial offerings for Software-as-a-Service (Saas), Infrastructure-as-a-Service (IaaS) and Platform-as-a-Service (PaaS).</w:t>
      </w:r>
    </w:p>
    <w:p>
      <w:pPr>
        <w:pStyle w:val="Normal"/>
        <w:rPr/>
      </w:pPr>
      <w:r>
        <w:rPr/>
      </w:r>
    </w:p>
    <w:p>
      <w:pPr>
        <w:pStyle w:val="Normal"/>
        <w:rPr>
          <w:rFonts w:eastAsia="Calibri"/>
          <w:szCs w:val="22"/>
        </w:rPr>
      </w:pPr>
      <w:r>
        <w:rPr>
          <w:rFonts w:cs="Calibri"/>
          <w:u w:val="single"/>
        </w:rPr>
        <w:t>Control</w:t>
      </w:r>
      <w:r>
        <w:rPr>
          <w:rFonts w:cs="Calibri"/>
        </w:rPr>
        <w:t xml:space="preserve">: A term describing any management, operational or technical method that is used to manage risk. </w:t>
      </w:r>
      <w:r>
        <w:rPr>
          <w:rFonts w:eastAsia="Calibri"/>
        </w:rPr>
        <w:t xml:space="preserve">Controls are designed to monitor and measure specific aspects of standards to help NFCC accomplish stated goals or objectives. All controls map to standards, but not all standards map to Controls. </w:t>
      </w:r>
    </w:p>
    <w:p>
      <w:pPr>
        <w:pStyle w:val="Normal"/>
        <w:rPr>
          <w:rFonts w:eastAsia="Calibri"/>
        </w:rPr>
      </w:pPr>
      <w:r>
        <w:rPr>
          <w:rFonts w:eastAsia="Calibri"/>
        </w:rPr>
      </w:r>
    </w:p>
    <w:p>
      <w:pPr>
        <w:pStyle w:val="Normal"/>
        <w:rPr>
          <w:rFonts w:eastAsia="Calibri"/>
        </w:rPr>
      </w:pPr>
      <w:r>
        <w:rPr>
          <w:rFonts w:eastAsia="Calibri"/>
          <w:u w:val="single"/>
        </w:rPr>
        <w:t>Control Objective</w:t>
      </w:r>
      <w:r>
        <w:rPr>
          <w:rFonts w:eastAsia="Calibri"/>
        </w:rPr>
        <w:t xml:space="preserve">: </w:t>
      </w:r>
      <w:r>
        <w:rPr>
          <w:rFonts w:cs="Calibri"/>
        </w:rPr>
        <w:t>A term describing</w:t>
      </w:r>
      <w:r>
        <w:rPr>
          <w:rFonts w:eastAsia="Calibri"/>
        </w:rPr>
        <w:t xml:space="preserve"> targets or desired conditions to be met that are designed to ensure that policy intent is met. Where applicable, Control Objectives are directly linked to an industry-recognized leading practice to align NFCC with accepted due diligence and due care requirements.</w:t>
      </w:r>
    </w:p>
    <w:p>
      <w:pPr>
        <w:pStyle w:val="Normal"/>
        <w:rPr>
          <w:rFonts w:eastAsia="Calibri"/>
        </w:rPr>
      </w:pPr>
      <w:r>
        <w:rPr>
          <w:rFonts w:eastAsia="Calibri"/>
        </w:rPr>
      </w:r>
    </w:p>
    <w:p>
      <w:pPr>
        <w:pStyle w:val="Normal"/>
        <w:rPr/>
      </w:pPr>
      <w:r>
        <w:rPr>
          <w:u w:val="single"/>
        </w:rPr>
        <w:t>Cybersecurity / Information Security</w:t>
      </w:r>
      <w:r>
        <w:rPr/>
        <w:t>: A term that covers the protection of information against unauthorized disclosure, transfer, modification or destruction, whether accidental or intentional. The focus is on the Confidentiality, Integrity, Availability and Safety (CIAS) of data.</w:t>
      </w:r>
    </w:p>
    <w:p>
      <w:pPr>
        <w:pStyle w:val="Normal"/>
        <w:rPr/>
      </w:pPr>
      <w:r>
        <w:rPr/>
      </w:r>
    </w:p>
    <w:p>
      <w:pPr>
        <w:pStyle w:val="Normal"/>
        <w:rPr/>
      </w:pPr>
      <w:r>
        <w:rPr>
          <w:u w:val="single"/>
        </w:rPr>
        <w:t>Data</w:t>
      </w:r>
      <w:r>
        <w:rPr/>
        <w:t xml:space="preserve">: A term describing an information resource that is maintained in electronic or digital format. Data may be accessed, searched or retrieved via electronic networks or other electronic data processing technologies. </w:t>
      </w:r>
      <w:hyperlink w:anchor="_APPENDIX_A:_DATA">
        <w:r>
          <w:rPr>
            <w:rStyle w:val="ListLabel3491"/>
          </w:rPr>
          <w:t xml:space="preserve"> </w:t>
        </w:r>
      </w:hyperlink>
      <w:r>
        <w:rPr>
          <w:i/>
          <w:u w:val="single"/>
        </w:rPr>
        <w:t>Annex 1: Data Classification &amp; Handling Guidelines</w:t>
      </w:r>
      <w:r>
        <w:rPr>
          <w:color w:val="000000"/>
        </w:rPr>
        <w:t xml:space="preserve"> </w:t>
      </w:r>
      <w:r>
        <w:rPr/>
        <w:t>provides guidance on data classification and handling restrictions.</w:t>
      </w:r>
    </w:p>
    <w:p>
      <w:pPr>
        <w:pStyle w:val="Normal"/>
        <w:rPr/>
      </w:pPr>
      <w:r>
        <w:rPr/>
      </w:r>
    </w:p>
    <w:p>
      <w:pPr>
        <w:pStyle w:val="Normal"/>
        <w:rPr/>
      </w:pPr>
      <w:r>
        <w:rPr>
          <w:u w:val="single"/>
        </w:rPr>
        <w:t>Data Controller</w:t>
      </w:r>
      <w:r>
        <w:rPr/>
        <w:t>. A term describing the privacy stakeholder (or privacy stakeholders) that determines the purposes and means for processing Personal Data (PD) other than natural persons who use data for personal purposes</w:t>
      </w:r>
    </w:p>
    <w:p>
      <w:pPr>
        <w:pStyle w:val="Normal"/>
        <w:rPr/>
      </w:pPr>
      <w:r>
        <w:rPr/>
      </w:r>
    </w:p>
    <w:p>
      <w:pPr>
        <w:pStyle w:val="Normal"/>
        <w:rPr/>
      </w:pPr>
      <w:r>
        <w:rPr>
          <w:u w:val="single"/>
        </w:rPr>
        <w:t>Data Principle</w:t>
      </w:r>
      <w:r>
        <w:rPr/>
        <w:t>. A term describing the natural person to whom the Personal Data (PD) relates</w:t>
      </w:r>
    </w:p>
    <w:p>
      <w:pPr>
        <w:pStyle w:val="Normal"/>
        <w:rPr/>
      </w:pPr>
      <w:r>
        <w:rPr/>
      </w:r>
    </w:p>
    <w:p>
      <w:pPr>
        <w:pStyle w:val="Normal"/>
        <w:rPr/>
      </w:pPr>
      <w:r>
        <w:rPr>
          <w:u w:val="single"/>
        </w:rPr>
        <w:t>Data Processor</w:t>
      </w:r>
      <w:r>
        <w:rPr/>
        <w:t>. A term describing the privacy stakeholder that processes Personal Data (PD) on behalf of and in accordance with the instructions of a PD controller</w:t>
      </w:r>
    </w:p>
    <w:p>
      <w:pPr>
        <w:pStyle w:val="Normal"/>
        <w:rPr/>
      </w:pPr>
      <w:r>
        <w:rPr/>
      </w:r>
    </w:p>
    <w:p>
      <w:pPr>
        <w:pStyle w:val="Normal"/>
        <w:rPr/>
      </w:pPr>
      <w:r>
        <w:rPr>
          <w:u w:val="single"/>
        </w:rPr>
        <w:t>Encryption</w:t>
      </w:r>
      <w:r>
        <w:rPr/>
        <w:t>: A term describing the conversion of data from its original form to a form that can only be read by someone that can reverse the encryption process. The purpose of encryption is to prevent unauthorized disclosure of data.</w:t>
      </w:r>
    </w:p>
    <w:p>
      <w:pPr>
        <w:pStyle w:val="Normal"/>
        <w:rPr/>
      </w:pPr>
      <w:r>
        <w:rPr/>
      </w:r>
    </w:p>
    <w:p>
      <w:pPr>
        <w:pStyle w:val="Normal"/>
        <w:rPr/>
      </w:pPr>
      <w:r>
        <w:rPr>
          <w:u w:val="single"/>
        </w:rPr>
        <w:t>Guidelines</w:t>
      </w:r>
      <w:r>
        <w:rPr/>
        <w:t>: A term describing recommended practices that are based on industry-recognized leading practices. Unlike Standards, Guidelines allow users to apply discretion or leeway in their interpretation, implementation or use.</w:t>
      </w:r>
    </w:p>
    <w:p>
      <w:pPr>
        <w:pStyle w:val="Normal"/>
        <w:rPr/>
      </w:pPr>
      <w:r>
        <w:rPr/>
      </w:r>
    </w:p>
    <w:p>
      <w:pPr>
        <w:pStyle w:val="Normal"/>
        <w:rPr/>
      </w:pPr>
      <w:r>
        <w:rPr>
          <w:u w:val="single"/>
        </w:rPr>
        <w:t>Information Technology (IT)</w:t>
      </w:r>
      <w:r>
        <w:rPr/>
        <w:t>. A term 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w:t>
      </w:r>
    </w:p>
    <w:p>
      <w:pPr>
        <w:pStyle w:val="Normal"/>
        <w:tabs>
          <w:tab w:val="clear" w:pos="360"/>
          <w:tab w:val="clear" w:pos="720"/>
          <w:tab w:val="clear" w:pos="1080"/>
        </w:tabs>
        <w:jc w:val="left"/>
        <w:rPr>
          <w:u w:val="single"/>
        </w:rPr>
      </w:pPr>
      <w:r>
        <w:rPr>
          <w:u w:val="single"/>
        </w:rPr>
      </w:r>
    </w:p>
    <w:p>
      <w:pPr>
        <w:pStyle w:val="Normal"/>
        <w:rPr/>
      </w:pPr>
      <w:r>
        <w:rPr>
          <w:u w:val="single"/>
        </w:rPr>
        <w:t>Least Privilege</w:t>
      </w:r>
      <w:r>
        <w:rPr/>
        <w:t>: A term describing the theory of restricting access by only allowing users or processes the least set of privileges necessary to complete a specific job or function.</w:t>
      </w:r>
    </w:p>
    <w:p>
      <w:pPr>
        <w:pStyle w:val="Normal"/>
        <w:rPr/>
      </w:pPr>
      <w:r>
        <w:rPr/>
      </w:r>
    </w:p>
    <w:p>
      <w:pPr>
        <w:pStyle w:val="Normal"/>
        <w:rPr/>
      </w:pPr>
      <w:r>
        <w:rPr>
          <w:u w:val="single"/>
        </w:rPr>
        <w:t>Personal Data / Personal Information (PD)</w:t>
      </w:r>
      <w:r>
        <w:rPr/>
        <w:t>. A term describing any information relating to an identified or identifiable natural person ("data subject"); an identifiable person is one who can be identified, directly or indirectly, in particular by reference to an identifier such as a name, an identification number, location data, online identifier or to one or more factors specific to the physical, physiological, genetic, mental, economic, cultural or social identity of that person.</w:t>
      </w:r>
      <w:r>
        <w:rPr>
          <w:rStyle w:val="FootnoteAnchor"/>
          <w:rStyle w:val="FootnoteAnchor"/>
        </w:rPr>
        <w:footnoteReference w:id="17"/>
      </w:r>
    </w:p>
    <w:p>
      <w:pPr>
        <w:pStyle w:val="Normal"/>
        <w:rPr/>
      </w:pPr>
      <w:r>
        <w:rPr/>
      </w:r>
    </w:p>
    <w:p>
      <w:pPr>
        <w:pStyle w:val="Normal"/>
        <w:rPr>
          <w:rFonts w:eastAsia="Calibri"/>
        </w:rPr>
      </w:pPr>
      <w:r>
        <w:rPr>
          <w:rFonts w:eastAsia="Calibri"/>
          <w:u w:val="single"/>
        </w:rPr>
        <w:t>Policy</w:t>
      </w:r>
      <w:r>
        <w:rPr>
          <w:rFonts w:eastAsia="Calibri"/>
        </w:rPr>
        <w:t xml:space="preserve">: </w:t>
      </w:r>
      <w:r>
        <w:rPr>
          <w:rFonts w:cs="Calibri"/>
        </w:rPr>
        <w:t>A term describing</w:t>
      </w:r>
      <w:r>
        <w:rPr>
          <w:rFonts w:eastAsia="Calibri"/>
        </w:rPr>
        <w:t xml:space="preserve"> a formally established requirement to guide decisions and achieve rational outcomes. Essentially, a policy is a statement of expectation that is enforced by standards and further implemented by procedures. </w:t>
      </w:r>
    </w:p>
    <w:p>
      <w:pPr>
        <w:pStyle w:val="Normal"/>
        <w:rPr/>
      </w:pPr>
      <w:r>
        <w:rPr/>
      </w:r>
    </w:p>
    <w:p>
      <w:pPr>
        <w:pStyle w:val="Normal"/>
        <w:rPr/>
      </w:pPr>
      <w:r>
        <w:rPr>
          <w:u w:val="single"/>
        </w:rPr>
        <w:t>Procedure</w:t>
      </w:r>
      <w:r>
        <w:rPr/>
        <w:t>: A term describing an established or official way of doing something, based on a series of actions conducted in a certain order or manner. Procedures are the responsibility of the asset custodian to build and maintain, in support of standards and policies.</w:t>
      </w:r>
    </w:p>
    <w:p>
      <w:pPr>
        <w:pStyle w:val="Normal"/>
        <w:rPr/>
      </w:pPr>
      <w:r>
        <w:rPr/>
      </w:r>
    </w:p>
    <w:p>
      <w:pPr>
        <w:pStyle w:val="Normal"/>
        <w:rPr/>
      </w:pPr>
      <w:r>
        <w:rPr>
          <w:u w:val="single"/>
        </w:rPr>
        <w:t>Process Owner / Data Owner</w:t>
      </w:r>
      <w:r>
        <w:rPr/>
        <w:t>: A term describing a person or entity that has been given formal responsibility for the security of an asset, asset category, process or the data hosted on the asset or process. It does not mean that the asset belongs to the owner in a legal sense. Data / process owners are formally responsible for making sure that assets are secure while they are being developed, produced, maintained and used.</w:t>
      </w:r>
    </w:p>
    <w:p>
      <w:pPr>
        <w:pStyle w:val="Normal"/>
        <w:rPr/>
      </w:pPr>
      <w:r>
        <w:rPr/>
      </w:r>
    </w:p>
    <w:p>
      <w:pPr>
        <w:pStyle w:val="Normal"/>
        <w:rPr/>
      </w:pPr>
      <w:r>
        <w:rPr>
          <w:u w:val="single"/>
        </w:rPr>
        <w:t>Sensitive Data</w:t>
      </w:r>
      <w:r>
        <w:rPr/>
        <w:t xml:space="preserve">: A term that covers categories of data that must be kept secure. Examples of sensitive data include sensitive Personal Data (sPD), Electronic Protected Health Information (ePHI) and all other forms of data classified as Restricted or Confidential in </w:t>
      </w:r>
      <w:r>
        <w:rPr>
          <w:i/>
          <w:u w:val="single"/>
        </w:rPr>
        <w:t>Annex 1: Data Classification &amp; Handling Guidelines</w:t>
      </w:r>
      <w:r>
        <w:rPr/>
        <w:t>.</w:t>
      </w:r>
    </w:p>
    <w:p>
      <w:pPr>
        <w:pStyle w:val="Normal"/>
        <w:rPr/>
      </w:pPr>
      <w:r>
        <w:rPr/>
      </w:r>
    </w:p>
    <w:p>
      <w:pPr>
        <w:pStyle w:val="Normal"/>
        <w:rPr>
          <w:rFonts w:cs="Calibri"/>
        </w:rPr>
      </w:pPr>
      <w:r>
        <w:rPr>
          <w:rFonts w:cs="Calibri"/>
          <w:u w:val="single"/>
        </w:rPr>
        <w:t>Sensitive Personal Data (sPD) / Sensitive Personal Information (sPI)</w:t>
      </w:r>
      <w:r>
        <w:rPr>
          <w:rFonts w:cs="Calibri"/>
        </w:rPr>
        <w:t>: A term describing personal data, revealing:</w:t>
      </w:r>
    </w:p>
    <w:p>
      <w:pPr>
        <w:pStyle w:val="ListParagraph"/>
        <w:numPr>
          <w:ilvl w:val="0"/>
          <w:numId w:val="520"/>
        </w:numPr>
        <w:rPr>
          <w:rFonts w:cs="Calibri"/>
        </w:rPr>
      </w:pPr>
      <w:r>
        <w:rPr/>
        <w:t xml:space="preserve">The first name or first initial and last name, in combination with any one or more of the following data elements: </w:t>
      </w:r>
      <w:r>
        <w:rPr>
          <w:rStyle w:val="FootnoteAnchor"/>
          <w:rStyle w:val="FootnoteAnchor"/>
          <w:rFonts w:eastAsia="Calibri" w:cs="Calibri"/>
        </w:rPr>
        <w:footnoteReference w:id="18"/>
      </w:r>
    </w:p>
    <w:p>
      <w:pPr>
        <w:pStyle w:val="ListParagraph"/>
        <w:numPr>
          <w:ilvl w:val="1"/>
          <w:numId w:val="520"/>
        </w:numPr>
        <w:rPr/>
      </w:pPr>
      <w:r>
        <w:rPr/>
        <w:t xml:space="preserve">Social Security Number (SSN) / Taxpayer Identification Number (TIN) / National Identification Number (NIN); </w:t>
      </w:r>
    </w:p>
    <w:p>
      <w:pPr>
        <w:pStyle w:val="ListParagraph"/>
        <w:numPr>
          <w:ilvl w:val="1"/>
          <w:numId w:val="520"/>
        </w:numPr>
        <w:rPr/>
      </w:pPr>
      <w:r>
        <w:rPr/>
        <w:t>Driver License (DL) or another government-issued identification number (e.g.,</w:t>
      </w:r>
      <w:r>
        <w:rPr>
          <w:rFonts w:cs="Arial"/>
        </w:rPr>
        <w:t xml:space="preserve"> passport, permanent resident card, etc.); </w:t>
      </w:r>
    </w:p>
    <w:p>
      <w:pPr>
        <w:pStyle w:val="ListParagraph"/>
        <w:numPr>
          <w:ilvl w:val="1"/>
          <w:numId w:val="520"/>
        </w:numPr>
        <w:rPr/>
      </w:pPr>
      <w:r>
        <w:rPr/>
        <w:t>Financial account number; or</w:t>
      </w:r>
    </w:p>
    <w:p>
      <w:pPr>
        <w:pStyle w:val="ListParagraph"/>
        <w:numPr>
          <w:ilvl w:val="1"/>
          <w:numId w:val="520"/>
        </w:numPr>
        <w:rPr/>
      </w:pPr>
      <w:r>
        <w:rPr/>
        <w:t>Payment card number (e.g., credit or debit card);</w:t>
      </w:r>
    </w:p>
    <w:p>
      <w:pPr>
        <w:pStyle w:val="ListParagraph"/>
        <w:numPr>
          <w:ilvl w:val="0"/>
          <w:numId w:val="520"/>
        </w:numPr>
        <w:rPr/>
      </w:pPr>
      <w:r>
        <w:rPr>
          <w:rFonts w:cs="Calibri"/>
        </w:rPr>
        <w:t>Racial or ethnic origin;</w:t>
      </w:r>
    </w:p>
    <w:p>
      <w:pPr>
        <w:pStyle w:val="ListParagraph"/>
        <w:numPr>
          <w:ilvl w:val="0"/>
          <w:numId w:val="520"/>
        </w:numPr>
        <w:rPr/>
      </w:pPr>
      <w:r>
        <w:rPr>
          <w:rFonts w:cs="Calibri"/>
        </w:rPr>
        <w:t>Political opinions;</w:t>
      </w:r>
    </w:p>
    <w:p>
      <w:pPr>
        <w:pStyle w:val="ListParagraph"/>
        <w:numPr>
          <w:ilvl w:val="0"/>
          <w:numId w:val="520"/>
        </w:numPr>
        <w:rPr/>
      </w:pPr>
      <w:r>
        <w:rPr>
          <w:rFonts w:cs="Calibri"/>
        </w:rPr>
        <w:t>Religious or philosophical beliefs;</w:t>
      </w:r>
    </w:p>
    <w:p>
      <w:pPr>
        <w:pStyle w:val="ListParagraph"/>
        <w:numPr>
          <w:ilvl w:val="0"/>
          <w:numId w:val="520"/>
        </w:numPr>
        <w:rPr/>
      </w:pPr>
      <w:r>
        <w:rPr>
          <w:rFonts w:cs="Calibri"/>
        </w:rPr>
        <w:t xml:space="preserve">Trade-union membership; </w:t>
      </w:r>
    </w:p>
    <w:p>
      <w:pPr>
        <w:pStyle w:val="ListParagraph"/>
        <w:numPr>
          <w:ilvl w:val="0"/>
          <w:numId w:val="520"/>
        </w:numPr>
        <w:rPr/>
      </w:pPr>
      <w:r>
        <w:rPr>
          <w:rFonts w:cs="Calibri"/>
        </w:rPr>
        <w:t>Physical or mental health;</w:t>
      </w:r>
    </w:p>
    <w:p>
      <w:pPr>
        <w:pStyle w:val="ListParagraph"/>
        <w:numPr>
          <w:ilvl w:val="0"/>
          <w:numId w:val="520"/>
        </w:numPr>
        <w:rPr/>
      </w:pPr>
      <w:r>
        <w:rPr>
          <w:rFonts w:cs="Calibri"/>
        </w:rPr>
        <w:t xml:space="preserve">Sex life and sexual orientation; </w:t>
      </w:r>
    </w:p>
    <w:p>
      <w:pPr>
        <w:pStyle w:val="ListParagraph"/>
        <w:numPr>
          <w:ilvl w:val="0"/>
          <w:numId w:val="520"/>
        </w:numPr>
        <w:rPr/>
      </w:pPr>
      <w:r>
        <w:rPr>
          <w:rFonts w:cs="Calibri"/>
        </w:rPr>
        <w:t>Genetic data; and / or</w:t>
      </w:r>
    </w:p>
    <w:p>
      <w:pPr>
        <w:pStyle w:val="ListParagraph"/>
        <w:numPr>
          <w:ilvl w:val="0"/>
          <w:numId w:val="520"/>
        </w:numPr>
        <w:rPr>
          <w:rFonts w:cs="Calibri"/>
        </w:rPr>
      </w:pPr>
      <w:r>
        <w:rPr>
          <w:rFonts w:cs="Calibri"/>
        </w:rPr>
        <w:t>Biometric data.</w:t>
      </w:r>
      <w:r>
        <w:rPr>
          <w:rStyle w:val="FootnoteAnchor"/>
          <w:rStyle w:val="FootnoteAnchor"/>
        </w:rPr>
        <w:footnoteReference w:id="19"/>
      </w:r>
    </w:p>
    <w:p>
      <w:pPr>
        <w:pStyle w:val="Normal"/>
        <w:rPr/>
      </w:pPr>
      <w:r>
        <w:rPr/>
      </w:r>
    </w:p>
    <w:p>
      <w:pPr>
        <w:pStyle w:val="Normal"/>
        <w:rPr/>
      </w:pPr>
      <w:r>
        <w:rPr>
          <w:u w:val="single"/>
        </w:rPr>
        <w:t>Standard</w:t>
      </w:r>
      <w:r>
        <w:rPr/>
        <w:t>: A term describing formally established requirements in regard to processes, actions and configurations.</w:t>
      </w:r>
    </w:p>
    <w:p>
      <w:pPr>
        <w:pStyle w:val="Normal"/>
        <w:rPr/>
      </w:pPr>
      <w:r>
        <w:rPr/>
      </w:r>
    </w:p>
    <w:p>
      <w:pPr>
        <w:pStyle w:val="Normal"/>
        <w:rPr/>
      </w:pPr>
      <w:r>
        <w:rPr>
          <w:u w:val="single"/>
        </w:rPr>
        <w:t>System</w:t>
      </w:r>
      <w:r>
        <w:rPr/>
        <w:t>: A term describing an asset; a system or network that can be defined, scoped and managed. Includes, but is not limited to, computers, workstations, laptops, servers, routers, switches, firewalls and mobile devices.</w:t>
      </w:r>
    </w:p>
    <w:p>
      <w:pPr>
        <w:pStyle w:val="Normal"/>
        <w:rPr/>
      </w:pPr>
      <w:r>
        <w:rPr/>
      </w:r>
    </w:p>
    <w:p>
      <w:pPr>
        <w:pStyle w:val="Normal"/>
        <w:rPr/>
      </w:pPr>
      <w:r>
        <w:rPr>
          <w:u w:val="single"/>
        </w:rPr>
        <w:t>Target Audience</w:t>
      </w:r>
      <w:r>
        <w:rPr/>
        <w:t xml:space="preserve">: A term describing the intended group for which a </w:t>
      </w:r>
      <w:r>
        <w:rPr>
          <w:rFonts w:eastAsia="Calibri" w:cs="Arial"/>
          <w:szCs w:val="22"/>
        </w:rPr>
        <w:t xml:space="preserve">control or standard </w:t>
      </w:r>
      <w:r>
        <w:rPr/>
        <w:t>is directed.</w:t>
      </w:r>
    </w:p>
    <w:p>
      <w:pPr>
        <w:pStyle w:val="Normal"/>
        <w:tabs>
          <w:tab w:val="clear" w:pos="360"/>
          <w:tab w:val="clear" w:pos="720"/>
          <w:tab w:val="clear" w:pos="1080"/>
        </w:tabs>
        <w:jc w:val="left"/>
        <w:rPr/>
      </w:pPr>
      <w:r>
        <w:rPr/>
      </w:r>
      <w:r>
        <w:br w:type="page"/>
      </w:r>
    </w:p>
    <w:p>
      <w:pPr>
        <w:pStyle w:val="Heading1"/>
        <w:rPr/>
      </w:pPr>
      <w:bookmarkStart w:id="37" w:name="_Toc474074737"/>
      <w:bookmarkStart w:id="38" w:name="_Toc474075492"/>
      <w:bookmarkStart w:id="39" w:name="_Toc34920480"/>
      <w:r>
        <w:rPr/>
        <w:t>Information Security Program Structure</w:t>
      </w:r>
      <w:bookmarkEnd w:id="37"/>
      <w:bookmarkEnd w:id="38"/>
      <w:bookmarkEnd w:id="39"/>
      <w:r>
        <w:rPr/>
        <w:t xml:space="preserve"> </w:t>
      </w:r>
    </w:p>
    <w:p>
      <w:pPr>
        <w:pStyle w:val="Normal"/>
        <w:rPr/>
      </w:pPr>
      <w:r>
        <w:rPr/>
      </w:r>
    </w:p>
    <w:p>
      <w:pPr>
        <w:pStyle w:val="Heading2"/>
        <w:rPr/>
      </w:pPr>
      <w:bookmarkStart w:id="40" w:name="_Toc462992723"/>
      <w:bookmarkStart w:id="41" w:name="_Toc474074738"/>
      <w:bookmarkStart w:id="42" w:name="_Toc474075493"/>
      <w:bookmarkStart w:id="43" w:name="_Toc34920481"/>
      <w:r>
        <w:rPr/>
        <w:t>Management Direction for Information Security</w:t>
      </w:r>
      <w:bookmarkEnd w:id="40"/>
      <w:bookmarkEnd w:id="41"/>
      <w:bookmarkEnd w:id="42"/>
      <w:bookmarkEnd w:id="43"/>
    </w:p>
    <w:p>
      <w:pPr>
        <w:pStyle w:val="Normal"/>
        <w:rPr/>
      </w:pPr>
      <w:r>
        <w:rPr/>
        <w:t>The objective is to provide management direction and support for cybersecurity in accordance with business requirements and relevant laws and regulations.</w:t>
      </w:r>
      <w:r>
        <w:rPr>
          <w:rStyle w:val="FootnoteCharacters"/>
          <w:rFonts w:cs="Calibri"/>
        </w:rPr>
        <w:t xml:space="preserve"> </w:t>
      </w:r>
      <w:r>
        <w:rPr>
          <w:rStyle w:val="FootnoteAnchor"/>
          <w:rStyle w:val="FootnoteAnchor"/>
          <w:rFonts w:cs="Calibri"/>
        </w:rPr>
        <w:footnoteReference w:id="20"/>
      </w:r>
    </w:p>
    <w:p>
      <w:pPr>
        <w:pStyle w:val="Normal"/>
        <w:rPr/>
      </w:pPr>
      <w:r>
        <w:rPr/>
      </w:r>
    </w:p>
    <w:p>
      <w:pPr>
        <w:pStyle w:val="Normal"/>
        <w:rPr/>
      </w:pPr>
      <w:r>
        <w:rPr/>
        <w:t xml:space="preserve">An Information Security Management System (ISMS) focuses on cybersecurity management and technology-related risks. The governing principle behind NFCC’s ISMS is that, as with all management processes, the ISMS must remain effective and efficient in the long-term, adapting to changes in the internal organization and external environment. </w:t>
      </w:r>
    </w:p>
    <w:p>
      <w:pPr>
        <w:pStyle w:val="Normal"/>
        <w:rPr/>
      </w:pPr>
      <w:r>
        <w:rPr/>
      </w:r>
    </w:p>
    <w:p>
      <w:pPr>
        <w:pStyle w:val="Normal"/>
        <w:rPr/>
      </w:pPr>
      <w:r>
        <w:rPr/>
        <w:t>In accordance with leading practices, NFCC’s ISMS incorporates the typical "Plan-Do-Check-Act" (PDCA) or Deming Cycle, approach:</w:t>
      </w:r>
      <w:r>
        <w:fldChar w:fldCharType="begin"/>
      </w:r>
      <w:r>
        <w:rPr/>
        <w:instrText> XE "Information Security Management System: : " </w:instrText>
      </w:r>
      <w:r>
        <w:rPr/>
        <w:fldChar w:fldCharType="separate"/>
      </w:r>
      <w:r>
        <w:rPr/>
      </w:r>
      <w:r>
        <w:rPr/>
        <w:fldChar w:fldCharType="end"/>
      </w:r>
      <w:r>
        <w:fldChar w:fldCharType="begin"/>
      </w:r>
      <w:r>
        <w:rPr/>
        <w:instrText> XE "Information Security Management System:Plan-Check-Do-Act: : " </w:instrText>
      </w:r>
      <w:r>
        <w:rPr/>
        <w:fldChar w:fldCharType="separate"/>
      </w:r>
      <w:r>
        <w:rPr/>
      </w:r>
      <w:r>
        <w:rPr/>
        <w:fldChar w:fldCharType="end"/>
      </w:r>
    </w:p>
    <w:p>
      <w:pPr>
        <w:pStyle w:val="ListParagraph"/>
        <w:numPr>
          <w:ilvl w:val="0"/>
          <w:numId w:val="178"/>
        </w:numPr>
        <w:rPr/>
      </w:pPr>
      <w:r>
        <w:rPr>
          <w:u w:val="single"/>
        </w:rPr>
        <w:t>Plan</w:t>
      </w:r>
      <w:r>
        <w:rPr/>
        <w:t>: This phase involves designing the ISMS, assessing IT-related risks and selecting appropriate controls.</w:t>
      </w:r>
    </w:p>
    <w:p>
      <w:pPr>
        <w:pStyle w:val="ListParagraph"/>
        <w:numPr>
          <w:ilvl w:val="0"/>
          <w:numId w:val="178"/>
        </w:numPr>
        <w:rPr/>
      </w:pPr>
      <w:r>
        <w:rPr>
          <w:u w:val="single"/>
        </w:rPr>
        <w:t>Do</w:t>
      </w:r>
      <w:r>
        <w:rPr/>
        <w:t>: This phase involves implementing and operating the appropriate security controls.</w:t>
      </w:r>
    </w:p>
    <w:p>
      <w:pPr>
        <w:pStyle w:val="ListParagraph"/>
        <w:numPr>
          <w:ilvl w:val="0"/>
          <w:numId w:val="178"/>
        </w:numPr>
        <w:rPr/>
      </w:pPr>
      <w:r>
        <w:rPr>
          <w:u w:val="single"/>
        </w:rPr>
        <w:t>Check</w:t>
      </w:r>
      <w:r>
        <w:rPr/>
        <w:t>: This phase involves reviewing and evaluating the performance (efficiency and effectiveness) of the ISMS.</w:t>
      </w:r>
    </w:p>
    <w:p>
      <w:pPr>
        <w:pStyle w:val="ListParagraph"/>
        <w:numPr>
          <w:ilvl w:val="0"/>
          <w:numId w:val="178"/>
        </w:numPr>
        <w:rPr/>
      </w:pPr>
      <w:r>
        <w:rPr>
          <w:u w:val="single"/>
        </w:rPr>
        <w:t>Act</w:t>
      </w:r>
      <w:r>
        <w:rPr/>
        <w:t>: This involves making changes, where necessary, to bring the ISMS back to optimal performance.</w:t>
      </w:r>
    </w:p>
    <w:p>
      <w:pPr>
        <w:pStyle w:val="Normal"/>
        <w:rPr/>
      </w:pPr>
      <w:r>
        <w:rPr/>
      </w:r>
    </w:p>
    <w:p>
      <w:pPr>
        <w:pStyle w:val="Normal"/>
        <w:rPr/>
      </w:pPr>
      <w:r>
        <w:rPr/>
      </w:r>
    </w:p>
    <w:p>
      <w:pPr>
        <w:pStyle w:val="Heading2"/>
        <w:rPr/>
      </w:pPr>
      <w:bookmarkStart w:id="44" w:name="_Toc474074739"/>
      <w:bookmarkStart w:id="45" w:name="_Toc474075494"/>
      <w:bookmarkStart w:id="46" w:name="_Toc34920482"/>
      <w:r>
        <w:rPr/>
        <w:t>Policies, Standards, Procedures &amp; Guidelines Structure</w:t>
      </w:r>
      <w:bookmarkEnd w:id="44"/>
      <w:bookmarkEnd w:id="45"/>
      <w:bookmarkEnd w:id="46"/>
    </w:p>
    <w:p>
      <w:pPr>
        <w:pStyle w:val="Normal"/>
        <w:rPr/>
      </w:pPr>
      <w:r>
        <w:rPr/>
        <w:t>Information security documentation is comprised of five main parts: a core policy; a control objective that identifies desired conditions; measurable standards used to quantify the requirement; procedures that must be followed; and guidelines that are recommended, but not mandatory.</w:t>
      </w:r>
    </w:p>
    <w:p>
      <w:pPr>
        <w:pStyle w:val="Normal"/>
        <w:rPr/>
      </w:pPr>
      <w:r>
        <w:rPr/>
      </w:r>
    </w:p>
    <w:p>
      <w:pPr>
        <w:pStyle w:val="Normal"/>
        <w:spacing w:before="0" w:after="0"/>
        <w:contextualSpacing/>
        <w:rPr/>
      </w:pPr>
      <w:r>
        <w:rPr/>
        <w:t xml:space="preserve">Cybersecurity documentation is comprised of six (6) main parts: </w:t>
      </w:r>
    </w:p>
    <w:p>
      <w:pPr>
        <w:pStyle w:val="ListParagraph"/>
        <w:numPr>
          <w:ilvl w:val="0"/>
          <w:numId w:val="179"/>
        </w:numPr>
        <w:rPr/>
      </w:pPr>
      <w:r>
        <w:rPr/>
        <w:t xml:space="preserve">Core policy that establishes management’s intent; </w:t>
      </w:r>
    </w:p>
    <w:p>
      <w:pPr>
        <w:pStyle w:val="ListParagraph"/>
        <w:numPr>
          <w:ilvl w:val="0"/>
          <w:numId w:val="179"/>
        </w:numPr>
        <w:rPr/>
      </w:pPr>
      <w:r>
        <w:rPr/>
        <w:t>Control objective that identifies leading practices;</w:t>
      </w:r>
    </w:p>
    <w:p>
      <w:pPr>
        <w:pStyle w:val="ListParagraph"/>
        <w:numPr>
          <w:ilvl w:val="0"/>
          <w:numId w:val="179"/>
        </w:numPr>
        <w:rPr/>
      </w:pPr>
      <w:r>
        <w:rPr/>
        <w:t xml:space="preserve">Standards that provides quantifiable requirements; </w:t>
      </w:r>
    </w:p>
    <w:p>
      <w:pPr>
        <w:pStyle w:val="ListParagraph"/>
        <w:numPr>
          <w:ilvl w:val="0"/>
          <w:numId w:val="179"/>
        </w:numPr>
        <w:rPr/>
      </w:pPr>
      <w:r>
        <w:rPr/>
        <w:t>Controls identify desired conditions that are expected to be met;</w:t>
      </w:r>
    </w:p>
    <w:p>
      <w:pPr>
        <w:pStyle w:val="ListParagraph"/>
        <w:numPr>
          <w:ilvl w:val="0"/>
          <w:numId w:val="179"/>
        </w:numPr>
        <w:rPr/>
      </w:pPr>
      <w:r>
        <w:rPr/>
        <w:t>Procedures / Control Activities establish how tasks are performed to meet the requirements established in standards and to meet controls; and</w:t>
      </w:r>
    </w:p>
    <w:p>
      <w:pPr>
        <w:pStyle w:val="ListParagraph"/>
        <w:numPr>
          <w:ilvl w:val="0"/>
          <w:numId w:val="179"/>
        </w:numPr>
        <w:rPr/>
      </w:pPr>
      <w:r>
        <w:rPr/>
        <w:t>Guidelines are recommended, but not mandatory.</w:t>
      </w:r>
    </w:p>
    <w:p>
      <w:pPr>
        <w:pStyle w:val="Normal"/>
        <w:spacing w:before="0" w:after="0"/>
        <w:contextualSpacing/>
        <w:rPr/>
      </w:pPr>
      <w:r>
        <w:rPr/>
      </w:r>
    </w:p>
    <w:p>
      <w:pPr>
        <w:pStyle w:val="Normal"/>
        <w:spacing w:before="0" w:after="0"/>
        <w:contextualSpacing/>
        <w:jc w:val="center"/>
        <w:rPr/>
      </w:pPr>
      <w:r>
        <w:rPr/>
        <w:drawing>
          <wp:inline distT="0" distB="0" distL="0" distR="0">
            <wp:extent cx="5695950" cy="3000375"/>
            <wp:effectExtent l="0" t="0" r="0" b="0"/>
            <wp:docPr id="4"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4" descr=""/>
                    <pic:cNvPicPr>
                      <a:picLocks noChangeAspect="1" noChangeArrowheads="1"/>
                    </pic:cNvPicPr>
                  </pic:nvPicPr>
                  <pic:blipFill>
                    <a:blip r:embed="rId3"/>
                    <a:stretch>
                      <a:fillRect/>
                    </a:stretch>
                  </pic:blipFill>
                  <pic:spPr bwMode="auto">
                    <a:xfrm>
                      <a:off x="0" y="0"/>
                      <a:ext cx="5695950" cy="3000375"/>
                    </a:xfrm>
                    <a:prstGeom prst="rect">
                      <a:avLst/>
                    </a:prstGeom>
                  </pic:spPr>
                </pic:pic>
              </a:graphicData>
            </a:graphic>
          </wp:inline>
        </w:drawing>
      </w:r>
    </w:p>
    <w:p>
      <w:pPr>
        <w:pStyle w:val="Normal"/>
        <w:rPr/>
      </w:pPr>
      <w:r>
        <w:rPr/>
        <w:t>Figure 1: Information Security Documentation Framework</w:t>
      </w:r>
    </w:p>
    <w:p>
      <w:pPr>
        <w:pStyle w:val="Normal"/>
        <w:rPr/>
      </w:pPr>
      <w:r>
        <w:rPr/>
      </w:r>
    </w:p>
    <w:p>
      <w:pPr>
        <w:pStyle w:val="Heading1"/>
        <w:rPr/>
      </w:pPr>
      <w:bookmarkStart w:id="47" w:name="_Toc34920483"/>
      <w:bookmarkStart w:id="48" w:name="_Toc474074740"/>
      <w:bookmarkStart w:id="49" w:name="_Toc474075495"/>
      <w:bookmarkStart w:id="50" w:name="_Toc2519184801"/>
      <w:bookmarkEnd w:id="50"/>
      <w:r>
        <w:rPr/>
        <w:t>Security &amp; Privacy Governance (GOV)</w:t>
      </w:r>
      <w:bookmarkEnd w:id="48"/>
      <w:bookmarkEnd w:id="49"/>
      <w:r>
        <w:rPr/>
        <w:t xml:space="preserve"> Policy &amp; Standards</w:t>
      </w:r>
      <w:bookmarkEnd w:id="47"/>
    </w:p>
    <w:p>
      <w:pPr>
        <w:pStyle w:val="Normal"/>
        <w:rPr/>
      </w:pPr>
      <w:r>
        <w:rPr/>
        <w:t xml:space="preserve"> </w:t>
      </w:r>
    </w:p>
    <w:p>
      <w:pPr>
        <w:pStyle w:val="Normal"/>
        <w:shd w:val="clear" w:color="auto" w:fill="FFFFFF" w:themeFill="background1"/>
        <w:rPr/>
      </w:pPr>
      <w:r>
        <w:rPr>
          <w:u w:val="single"/>
        </w:rPr>
        <w:t>Management Intent:</w:t>
      </w:r>
      <w:r>
        <w:rPr/>
        <w:t xml:space="preserve"> The purpose of the Security &amp; Privacy Governance (GOV) policy is to specify the development, proactive management and ongoing review of NFCC’s security and privacy program. </w:t>
      </w:r>
    </w:p>
    <w:p>
      <w:pPr>
        <w:pStyle w:val="Normal"/>
        <w:shd w:val="clear" w:color="auto" w:fill="FFFFFF" w:themeFill="background1"/>
        <w:rPr>
          <w:u w:val="single"/>
        </w:rPr>
      </w:pPr>
      <w:r>
        <w:rPr>
          <w:u w:val="single"/>
        </w:rPr>
      </w:r>
    </w:p>
    <w:p>
      <w:pPr>
        <w:pStyle w:val="Normal"/>
        <w:shd w:val="clear" w:color="auto" w:fill="DDD9C3" w:themeFill="background2" w:themeFillShade="e6"/>
        <w:rPr/>
      </w:pPr>
      <w:r>
        <w:rPr>
          <w:u w:val="single"/>
        </w:rPr>
        <w:t>Policy</w:t>
      </w:r>
      <w:r>
        <w:rPr/>
        <w:t>: NFCC shall protect the confidentiality, integrity, availability and safety of its data and systems, regardless of how its data is created, distributed or stored. Digital security controls will be tailored accordingly so that cost-effective controls can be applied commensurate with the risk and sensitivity of the data and system, in accordance with all statutory, regulatory and contractual obligations.</w:t>
      </w:r>
      <w:r>
        <w:rPr>
          <w:rStyle w:val="FootnoteCharacters"/>
        </w:rPr>
        <w:t xml:space="preserve"> </w:t>
      </w:r>
    </w:p>
    <w:p>
      <w:pPr>
        <w:pStyle w:val="Normal"/>
        <w:rPr/>
      </w:pPr>
      <w:r>
        <w:rPr/>
      </w:r>
    </w:p>
    <w:p>
      <w:pPr>
        <w:pStyle w:val="Normal"/>
        <w:rPr/>
      </w:pPr>
      <w:r>
        <w:rPr>
          <w:u w:val="single"/>
        </w:rPr>
        <w:t>Supporting Documentation</w:t>
      </w:r>
      <w:r>
        <w:rPr/>
        <w:t xml:space="preserve">: This policy is supported by the following control objectives, standards and guidelines. </w:t>
      </w:r>
    </w:p>
    <w:p>
      <w:pPr>
        <w:pStyle w:val="Normal"/>
        <w:rPr/>
      </w:pPr>
      <w:r>
        <w:rPr/>
      </w:r>
    </w:p>
    <w:p>
      <w:pPr>
        <w:pStyle w:val="Normal"/>
        <w:rPr/>
      </w:pPr>
      <w:r>
        <w:rPr/>
      </w:r>
    </w:p>
    <w:p>
      <w:pPr>
        <w:pStyle w:val="Heading2"/>
        <w:rPr/>
      </w:pPr>
      <w:bookmarkStart w:id="51" w:name="_Toc474074741"/>
      <w:bookmarkStart w:id="52" w:name="_Toc474075496"/>
      <w:bookmarkStart w:id="53" w:name="_Toc34920484"/>
      <w:r>
        <w:rPr/>
        <w:t>GOV-01: Digital Security Governance Program</w:t>
      </w:r>
      <w:bookmarkEnd w:id="51"/>
      <w:bookmarkEnd w:id="52"/>
      <w:bookmarkEnd w:id="53"/>
      <w:r>
        <w:rPr/>
        <w:t xml:space="preserve"> </w:t>
      </w:r>
    </w:p>
    <w:p>
      <w:pPr>
        <w:pStyle w:val="Normal"/>
        <w:rPr/>
      </w:pPr>
      <w:r>
        <w:rPr>
          <w:u w:val="single"/>
        </w:rPr>
        <w:t>Control Objective</w:t>
      </w:r>
      <w:r>
        <w:rPr/>
        <w:t>: The organization develops, implements and governs processes and documentation to facilitate the implementation of an enterprise-wide digital security policy, as well as associated standards, controls and procedures.</w:t>
      </w:r>
      <w:r>
        <w:rPr>
          <w:rStyle w:val="FootnoteCharacters"/>
          <w:rFonts w:cs="Calibri"/>
        </w:rPr>
        <w:t xml:space="preserve"> </w:t>
      </w:r>
      <w:r>
        <w:rPr>
          <w:rStyle w:val="FootnoteAnchor"/>
          <w:rStyle w:val="FootnoteAnchor"/>
          <w:rFonts w:cs="Calibri"/>
        </w:rPr>
        <w:footnoteReference w:id="21"/>
      </w:r>
    </w:p>
    <w:p>
      <w:pPr>
        <w:pStyle w:val="Normal"/>
        <w:rPr/>
      </w:pPr>
      <w:r>
        <w:rPr/>
      </w:r>
    </w:p>
    <w:p>
      <w:pPr>
        <w:pStyle w:val="Normal"/>
        <w:rPr/>
      </w:pPr>
      <w:r>
        <w:rPr>
          <w:u w:val="single"/>
        </w:rPr>
        <w:t>Standard</w:t>
      </w:r>
      <w:r>
        <w:rPr/>
        <w:t>: NFCC’s security program shall be represented in a single document, the Digital Security Program (DSP) that:</w:t>
      </w:r>
    </w:p>
    <w:p>
      <w:pPr>
        <w:pStyle w:val="ListParagraph"/>
        <w:numPr>
          <w:ilvl w:val="0"/>
          <w:numId w:val="224"/>
        </w:numPr>
        <w:rPr/>
      </w:pPr>
      <w:r>
        <w:rPr/>
        <w:t>Shall be reviewed and updated at least annually;</w:t>
      </w:r>
      <w:r>
        <w:rPr>
          <w:rStyle w:val="FootnoteCharacters"/>
          <w:rFonts w:cs="Calibri"/>
        </w:rPr>
        <w:t xml:space="preserve"> </w:t>
      </w:r>
      <w:r>
        <w:rPr/>
        <w:t>and</w:t>
      </w:r>
    </w:p>
    <w:p>
      <w:pPr>
        <w:pStyle w:val="ListParagraph"/>
        <w:numPr>
          <w:ilvl w:val="0"/>
          <w:numId w:val="224"/>
        </w:numPr>
        <w:rPr/>
      </w:pPr>
      <w:r>
        <w:rPr/>
        <w:t>Disseminated to the appropriate parties to ensure all NFCC personnel understand their applicable requirements.</w:t>
      </w:r>
    </w:p>
    <w:p>
      <w:pPr>
        <w:pStyle w:val="Normal"/>
        <w:rPr/>
      </w:pPr>
      <w:r>
        <w:rPr/>
      </w:r>
    </w:p>
    <w:p>
      <w:pPr>
        <w:pStyle w:val="Normal"/>
        <w:rPr/>
      </w:pPr>
      <w:r>
        <w:rPr>
          <w:u w:val="single"/>
        </w:rPr>
        <w:t>Guidelines</w:t>
      </w:r>
      <w:r>
        <w:rPr/>
        <w:t>: The security plans for individual systems and the organization-wide DSP together provide complete coverage for all cybersecurity and privacy-related controls employed within the organization.</w:t>
      </w:r>
    </w:p>
    <w:p>
      <w:pPr>
        <w:pStyle w:val="Normal"/>
        <w:rPr/>
      </w:pPr>
      <w:r>
        <w:rPr/>
      </w:r>
    </w:p>
    <w:p>
      <w:pPr>
        <w:pStyle w:val="Normal"/>
        <w:rPr/>
      </w:pPr>
      <w:r>
        <w:rPr/>
      </w:r>
    </w:p>
    <w:p>
      <w:pPr>
        <w:pStyle w:val="Heading2"/>
        <w:rPr/>
      </w:pPr>
      <w:bookmarkStart w:id="54" w:name="_Toc474074742"/>
      <w:bookmarkStart w:id="55" w:name="_Toc474075497"/>
      <w:bookmarkStart w:id="56" w:name="_Toc34920485"/>
      <w:r>
        <w:rPr/>
        <w:t>GOV-02: Publishing Security &amp; Privacy Policies</w:t>
      </w:r>
      <w:bookmarkEnd w:id="56"/>
      <w:r>
        <w:rPr/>
        <w:t xml:space="preserve"> </w:t>
      </w:r>
      <w:bookmarkEnd w:id="54"/>
      <w:bookmarkEnd w:id="55"/>
    </w:p>
    <w:p>
      <w:pPr>
        <w:pStyle w:val="Normal"/>
        <w:rPr/>
      </w:pPr>
      <w:r>
        <w:rPr>
          <w:u w:val="single"/>
        </w:rPr>
        <w:t>Control Objective</w:t>
      </w:r>
      <w:r>
        <w:rPr/>
        <w:t>: The organization establishes, publishes, maintains and disseminates security and privacy policies.</w:t>
      </w:r>
      <w:r>
        <w:rPr>
          <w:rStyle w:val="FootnoteCharacters"/>
          <w:rFonts w:cs="Calibri"/>
        </w:rPr>
        <w:t xml:space="preserve"> </w:t>
      </w:r>
      <w:r>
        <w:rPr>
          <w:rStyle w:val="FootnoteAnchor"/>
          <w:rStyle w:val="FootnoteAnchor"/>
          <w:rFonts w:cs="Calibri"/>
        </w:rPr>
        <w:footnoteReference w:id="22"/>
      </w:r>
      <w:r>
        <w:rPr/>
        <w:t xml:space="preserve"> </w:t>
      </w:r>
    </w:p>
    <w:p>
      <w:pPr>
        <w:pStyle w:val="Normal"/>
        <w:rPr/>
      </w:pPr>
      <w:r>
        <w:rPr/>
      </w:r>
    </w:p>
    <w:p>
      <w:pPr>
        <w:pStyle w:val="Normal"/>
        <w:rPr>
          <w:rFonts w:cs="Calibri"/>
        </w:rPr>
      </w:pPr>
      <w:r>
        <w:rPr>
          <w:rFonts w:cs="Calibri"/>
          <w:u w:val="single"/>
        </w:rPr>
        <w:t>Standard</w:t>
      </w:r>
      <w:r>
        <w:rPr>
          <w:rFonts w:cs="Calibri"/>
        </w:rPr>
        <w:t>: NFCC’s security and privacy policies and standards shall be represented in a consolidated document, the Digital Security Program (DSP) that shall be:</w:t>
      </w:r>
    </w:p>
    <w:p>
      <w:pPr>
        <w:pStyle w:val="ListParagraph"/>
        <w:numPr>
          <w:ilvl w:val="0"/>
          <w:numId w:val="225"/>
        </w:numPr>
        <w:tabs>
          <w:tab w:val="left" w:pos="360" w:leader="none"/>
          <w:tab w:val="left" w:pos="720" w:leader="none"/>
          <w:tab w:val="left" w:pos="1080" w:leader="none"/>
        </w:tabs>
        <w:rPr>
          <w:rFonts w:cs="Calibri"/>
        </w:rPr>
      </w:pPr>
      <w:r>
        <w:rPr>
          <w:rFonts w:cs="Calibri"/>
        </w:rPr>
        <w:t>Endorsed by executive management;</w:t>
      </w:r>
      <w:r>
        <w:rPr>
          <w:rStyle w:val="FootnoteCharacters"/>
          <w:rFonts w:cs="Calibri"/>
        </w:rPr>
        <w:t xml:space="preserve"> </w:t>
      </w:r>
      <w:r>
        <w:rPr>
          <w:rFonts w:cs="Calibri"/>
        </w:rPr>
        <w:t>and</w:t>
      </w:r>
    </w:p>
    <w:p>
      <w:pPr>
        <w:pStyle w:val="ListParagraph"/>
        <w:numPr>
          <w:ilvl w:val="0"/>
          <w:numId w:val="225"/>
        </w:numPr>
        <w:rPr>
          <w:rFonts w:cs="Calibri"/>
        </w:rPr>
      </w:pPr>
      <w:r>
        <w:rPr>
          <w:rFonts w:cs="Calibri"/>
        </w:rPr>
        <w:t>Disseminated to the appropriate parties to ensure all NFCC personnel understand their applicable requirements.</w:t>
      </w:r>
    </w:p>
    <w:p>
      <w:pPr>
        <w:pStyle w:val="Normal"/>
        <w:rPr/>
      </w:pPr>
      <w:r>
        <w:rPr/>
      </w:r>
    </w:p>
    <w:p>
      <w:pPr>
        <w:pStyle w:val="Normal"/>
        <w:rPr/>
      </w:pPr>
      <w:r>
        <w:rPr>
          <w:u w:val="single"/>
        </w:rPr>
        <w:t>Guidelines</w:t>
      </w:r>
      <w:r>
        <w:rPr/>
        <w:t>: An organization’s cybersecurity policies create the roadmap for implementing cybersecurity and privacy measures to protect its most valuable assets. All personnel should be aware of the sensitivity of data and their responsibilities for protecting it.</w:t>
      </w:r>
    </w:p>
    <w:p>
      <w:pPr>
        <w:pStyle w:val="Normal"/>
        <w:rPr/>
      </w:pPr>
      <w:r>
        <w:rPr/>
      </w:r>
    </w:p>
    <w:p>
      <w:pPr>
        <w:pStyle w:val="Normal"/>
        <w:rPr/>
      </w:pPr>
      <w:r>
        <w:rPr/>
      </w:r>
    </w:p>
    <w:p>
      <w:pPr>
        <w:pStyle w:val="Heading2"/>
        <w:rPr/>
      </w:pPr>
      <w:bookmarkStart w:id="57" w:name="_Toc474074743"/>
      <w:bookmarkStart w:id="58" w:name="_Toc474075498"/>
      <w:bookmarkStart w:id="59" w:name="_Toc34920486"/>
      <w:r>
        <w:rPr/>
        <w:t>GOV-03: Periodic Review &amp; Update of Security &amp; Privacy Documentation</w:t>
      </w:r>
      <w:bookmarkEnd w:id="57"/>
      <w:bookmarkEnd w:id="58"/>
      <w:bookmarkEnd w:id="59"/>
    </w:p>
    <w:p>
      <w:pPr>
        <w:pStyle w:val="Normal"/>
        <w:rPr/>
      </w:pPr>
      <w:r>
        <w:rPr>
          <w:u w:val="single"/>
        </w:rPr>
        <w:t>Control Objective</w:t>
      </w:r>
      <w:r>
        <w:rPr/>
        <w:t>: The organization reviews its security and privacy policies, standards and procedures at planned intervals or if significant changes occur to ensure their continuing suitability, adequacy and effectiveness.</w:t>
      </w:r>
      <w:r>
        <w:rPr>
          <w:rStyle w:val="FootnoteCharacters"/>
          <w:rFonts w:cs="Calibri"/>
        </w:rPr>
        <w:t xml:space="preserve"> </w:t>
      </w:r>
      <w:r>
        <w:rPr>
          <w:rStyle w:val="FootnoteAnchor"/>
          <w:rStyle w:val="FootnoteAnchor"/>
          <w:rFonts w:cs="Calibri"/>
        </w:rPr>
        <w:footnoteReference w:id="23"/>
      </w:r>
    </w:p>
    <w:p>
      <w:pPr>
        <w:pStyle w:val="Normal"/>
        <w:rPr/>
      </w:pPr>
      <w:r>
        <w:rPr/>
      </w:r>
    </w:p>
    <w:p>
      <w:pPr>
        <w:pStyle w:val="Normal"/>
        <w:rPr/>
      </w:pPr>
      <w:r>
        <w:rPr>
          <w:u w:val="single"/>
        </w:rPr>
        <w:t>Standard</w:t>
      </w:r>
      <w:r>
        <w:rPr/>
        <w:t xml:space="preserve">: NFCC’s business leadership (or other accountable business role or function) shall review the Digital Security Program (DSP) at planned intervals or as a result of changes to the organization (e.g., mergers, acquisitions, partnerships, new products, etc.) to ensure its continuing alignment with the security strategy, risk posture, effectiveness, accuracy, relevance and applicability to statutory, regulatory and / or contractual compliance obligations. </w:t>
      </w:r>
    </w:p>
    <w:p>
      <w:pPr>
        <w:pStyle w:val="Normal"/>
        <w:rPr/>
      </w:pPr>
      <w:r>
        <w:rPr/>
      </w:r>
    </w:p>
    <w:p>
      <w:pPr>
        <w:pStyle w:val="Normal"/>
        <w:rPr/>
      </w:pPr>
      <w:r>
        <w:rPr>
          <w:u w:val="single"/>
        </w:rPr>
        <w:t>Guidelines</w:t>
      </w:r>
      <w:r>
        <w:rPr/>
        <w:t xml:space="preserve">: Updates to the DSP will be announced to employees via management updates or email announcements. Changes will be noted in the </w:t>
      </w:r>
      <w:hyperlink w:anchor="_RECORD_OF_CHANGES">
        <w:r>
          <w:rPr>
            <w:rStyle w:val="InternetLink"/>
          </w:rPr>
          <w:t>Record of Changes</w:t>
        </w:r>
      </w:hyperlink>
      <w:r>
        <w:rPr/>
        <w:t xml:space="preserve"> to highlight the pertinent changes from the previous policies, procedures, standards and guidelines.</w:t>
      </w:r>
      <w:r>
        <w:rPr>
          <w:rStyle w:val="FootnoteCharacters"/>
          <w:rFonts w:cs="Calibri"/>
        </w:rPr>
        <w:t xml:space="preserve"> </w:t>
      </w:r>
    </w:p>
    <w:p>
      <w:pPr>
        <w:pStyle w:val="Normal"/>
        <w:rPr/>
      </w:pPr>
      <w:r>
        <w:rPr/>
      </w:r>
    </w:p>
    <w:p>
      <w:pPr>
        <w:pStyle w:val="Normal"/>
        <w:rPr/>
      </w:pPr>
      <w:r>
        <w:rPr/>
      </w:r>
    </w:p>
    <w:p>
      <w:pPr>
        <w:pStyle w:val="Normal"/>
        <w:rPr/>
      </w:pPr>
      <w:r>
        <w:rPr/>
      </w:r>
    </w:p>
    <w:p>
      <w:pPr>
        <w:pStyle w:val="Heading2"/>
        <w:rPr/>
      </w:pPr>
      <w:bookmarkStart w:id="60" w:name="_Toc474074744"/>
      <w:bookmarkStart w:id="61" w:name="_Toc474075499"/>
      <w:bookmarkStart w:id="62" w:name="_Toc34920487"/>
      <w:r>
        <w:rPr/>
        <w:t>GOV-04: Assigned Security &amp; Privacy Responsibilities</w:t>
      </w:r>
      <w:bookmarkEnd w:id="60"/>
      <w:bookmarkEnd w:id="61"/>
      <w:bookmarkEnd w:id="62"/>
    </w:p>
    <w:p>
      <w:pPr>
        <w:pStyle w:val="Normal"/>
        <w:rPr/>
      </w:pPr>
      <w:r>
        <w:rPr>
          <w:u w:val="single"/>
        </w:rPr>
        <w:t>Control Objective</w:t>
      </w:r>
      <w:r>
        <w:rPr/>
        <w:t>: The organization appoints an individual assigned with the mission and resources to centrally manage coordinate, develop, implement and maintain an organization-wide security program.</w:t>
      </w:r>
      <w:r>
        <w:rPr>
          <w:rStyle w:val="FootnoteAnchor"/>
          <w:rStyle w:val="FootnoteAnchor"/>
          <w:rFonts w:cs="Calibri"/>
        </w:rPr>
        <w:footnoteReference w:id="24"/>
      </w:r>
      <w:r>
        <w:rPr/>
        <w:t xml:space="preserve"> </w:t>
      </w:r>
      <w:r>
        <w:fldChar w:fldCharType="begin"/>
      </w:r>
      <w:r>
        <w:rPr/>
        <w:instrText> XE "Roles &amp; Responsibilities:Information Security Officer (ISO): : " </w:instrText>
      </w:r>
      <w:r>
        <w:rPr/>
        <w:fldChar w:fldCharType="separate"/>
      </w:r>
      <w:r>
        <w:rPr/>
      </w:r>
      <w:r>
        <w:rPr/>
        <w:fldChar w:fldCharType="end"/>
      </w:r>
    </w:p>
    <w:p>
      <w:pPr>
        <w:pStyle w:val="Normal"/>
        <w:rPr/>
      </w:pPr>
      <w:r>
        <w:rPr/>
      </w:r>
    </w:p>
    <w:p>
      <w:pPr>
        <w:pStyle w:val="Normal"/>
        <w:rPr>
          <w:rFonts w:cs="Calibri"/>
        </w:rPr>
      </w:pPr>
      <w:r>
        <w:rPr>
          <w:rFonts w:cs="Calibri"/>
          <w:u w:val="single"/>
        </w:rPr>
        <w:t>Standard</w:t>
      </w:r>
      <w:r>
        <w:rPr>
          <w:rFonts w:cs="Calibri"/>
        </w:rPr>
        <w:t xml:space="preserve">: </w:t>
      </w:r>
      <w:r>
        <w:rPr/>
        <w:t>Executive and line management shall take formal action to support cybersecurity through clearly-documented direction and commitment and shall ensure the action has been assigned. The overall authority and responsibility for managing the security program are delegated to NFCC’s Chief Information Security Officer (CISO) and he / she</w:t>
      </w:r>
      <w:r>
        <w:rPr>
          <w:rFonts w:cs="Calibri"/>
        </w:rPr>
        <w:t xml:space="preserve"> is required to perform or delegate the following security management responsibilities:</w:t>
      </w:r>
      <w:r>
        <w:rPr>
          <w:rStyle w:val="FootnoteCharacters"/>
          <w:rFonts w:cs="Calibri"/>
        </w:rPr>
        <w:t xml:space="preserve"> </w:t>
      </w:r>
    </w:p>
    <w:p>
      <w:pPr>
        <w:pStyle w:val="ListParagraph"/>
        <w:numPr>
          <w:ilvl w:val="0"/>
          <w:numId w:val="226"/>
        </w:numPr>
        <w:rPr/>
      </w:pPr>
      <w:r>
        <w:rPr/>
        <w:t>Establish, document and distribute security policies and procedures;</w:t>
      </w:r>
      <w:r>
        <w:rPr>
          <w:rStyle w:val="FootnoteCharacters"/>
          <w:rFonts w:cs="Calibri"/>
        </w:rPr>
        <w:t xml:space="preserve"> </w:t>
      </w:r>
    </w:p>
    <w:p>
      <w:pPr>
        <w:pStyle w:val="ListParagraph"/>
        <w:numPr>
          <w:ilvl w:val="0"/>
          <w:numId w:val="226"/>
        </w:numPr>
        <w:rPr/>
      </w:pPr>
      <w:r>
        <w:rPr/>
        <w:t>Monitor and analyze security alerts and information;</w:t>
      </w:r>
      <w:r>
        <w:rPr>
          <w:rStyle w:val="FootnoteCharacters"/>
          <w:rFonts w:cs="Calibri"/>
        </w:rPr>
        <w:t xml:space="preserve"> </w:t>
      </w:r>
    </w:p>
    <w:p>
      <w:pPr>
        <w:pStyle w:val="ListParagraph"/>
        <w:numPr>
          <w:ilvl w:val="0"/>
          <w:numId w:val="226"/>
        </w:numPr>
        <w:rPr/>
      </w:pPr>
      <w:r>
        <w:rPr/>
        <w:t>Distribute and escalate security alerts to appropriate personnel;</w:t>
      </w:r>
      <w:r>
        <w:rPr>
          <w:rStyle w:val="FootnoteCharacters"/>
          <w:rFonts w:cs="Calibri"/>
        </w:rPr>
        <w:t xml:space="preserve"> </w:t>
      </w:r>
    </w:p>
    <w:p>
      <w:pPr>
        <w:pStyle w:val="ListParagraph"/>
        <w:numPr>
          <w:ilvl w:val="0"/>
          <w:numId w:val="226"/>
        </w:numPr>
        <w:rPr/>
      </w:pPr>
      <w:r>
        <w:rPr/>
        <w:t>Establish, document and distribute security incident response and escalation procedures to ensure timely and effective handling of all situations;</w:t>
      </w:r>
      <w:r>
        <w:rPr>
          <w:rStyle w:val="FootnoteCharacters"/>
          <w:rFonts w:cs="Calibri"/>
        </w:rPr>
        <w:t xml:space="preserve"> </w:t>
      </w:r>
    </w:p>
    <w:p>
      <w:pPr>
        <w:pStyle w:val="ListParagraph"/>
        <w:numPr>
          <w:ilvl w:val="0"/>
          <w:numId w:val="226"/>
        </w:numPr>
        <w:rPr/>
      </w:pPr>
      <w:r>
        <w:rPr/>
        <w:t>Administer user accounts, including additions, deletions and modifications;</w:t>
      </w:r>
      <w:r>
        <w:rPr>
          <w:rStyle w:val="FootnoteCharacters"/>
          <w:rFonts w:cs="Calibri"/>
        </w:rPr>
        <w:t xml:space="preserve"> </w:t>
      </w:r>
      <w:r>
        <w:rPr/>
        <w:t>and</w:t>
      </w:r>
    </w:p>
    <w:p>
      <w:pPr>
        <w:pStyle w:val="ListParagraph"/>
        <w:numPr>
          <w:ilvl w:val="0"/>
          <w:numId w:val="226"/>
        </w:numPr>
        <w:rPr/>
      </w:pPr>
      <w:r>
        <w:rPr/>
        <w:t>Monitor and control all access to data.</w:t>
      </w:r>
      <w:r>
        <w:rPr>
          <w:rStyle w:val="FootnoteCharacters"/>
          <w:rFonts w:cs="Calibri"/>
        </w:rPr>
        <w:t xml:space="preserve"> </w:t>
      </w:r>
    </w:p>
    <w:p>
      <w:pPr>
        <w:pStyle w:val="Normal"/>
        <w:rPr/>
      </w:pPr>
      <w:r>
        <w:rPr/>
      </w:r>
    </w:p>
    <w:p>
      <w:pPr>
        <w:pStyle w:val="Normal"/>
        <w:rPr/>
      </w:pPr>
      <w:r>
        <w:rPr>
          <w:u w:val="single"/>
        </w:rPr>
        <w:t>Guidelines</w:t>
      </w:r>
      <w:r>
        <w:rPr/>
        <w:t>: Central management refers to the organization-wide management and implementation of selected cybersecurity controls and related processes. Central management includes planning, implementing, assessing, authorizing and monitoring the organization-defined, centrally managed security controls and processes. Centrally-managed security controls and processes may also meet independence requirements for assessments in support of initial and ongoing authorizations to operate as part of organizational continuous monitoring.</w:t>
      </w:r>
    </w:p>
    <w:p>
      <w:pPr>
        <w:pStyle w:val="Normal"/>
        <w:rPr/>
      </w:pPr>
      <w:r>
        <w:rPr/>
      </w:r>
    </w:p>
    <w:p>
      <w:pPr>
        <w:pStyle w:val="Normal"/>
        <w:tabs>
          <w:tab w:val="clear" w:pos="360"/>
          <w:tab w:val="clear" w:pos="720"/>
          <w:tab w:val="clear" w:pos="1080"/>
        </w:tabs>
        <w:jc w:val="left"/>
        <w:rPr/>
      </w:pPr>
      <w:r>
        <w:rPr/>
      </w:r>
      <w:bookmarkStart w:id="63" w:name="_Toc346202622"/>
      <w:bookmarkStart w:id="64" w:name="_Toc346202622"/>
      <w:bookmarkEnd w:id="64"/>
    </w:p>
    <w:p>
      <w:pPr>
        <w:pStyle w:val="Heading2"/>
        <w:rPr/>
      </w:pPr>
      <w:bookmarkStart w:id="65" w:name="_Toc34920488"/>
      <w:bookmarkStart w:id="66" w:name="_Toc346202623"/>
      <w:bookmarkStart w:id="67" w:name="_Toc474074745"/>
      <w:bookmarkStart w:id="68" w:name="_Toc474075500"/>
      <w:r>
        <w:rPr/>
        <w:t>GOV-05: Measures of Performance</w:t>
      </w:r>
      <w:bookmarkEnd w:id="65"/>
      <w:bookmarkEnd w:id="66"/>
      <w:bookmarkEnd w:id="67"/>
      <w:bookmarkEnd w:id="68"/>
      <w:r>
        <w:rPr/>
        <w:t xml:space="preserve"> </w:t>
      </w:r>
    </w:p>
    <w:p>
      <w:pPr>
        <w:pStyle w:val="Normal"/>
        <w:rPr/>
      </w:pPr>
      <w:r>
        <w:rPr>
          <w:u w:val="single"/>
        </w:rPr>
        <w:t>Control Objective</w:t>
      </w:r>
      <w:r>
        <w:rPr/>
        <w:t>: The organization develops, monitors and reports on the results of cybersecurity and privacy measures of performance.</w:t>
      </w:r>
      <w:r>
        <w:rPr>
          <w:rStyle w:val="FootnoteCharacters"/>
          <w:rFonts w:cs="Calibri"/>
        </w:rPr>
        <w:t xml:space="preserve"> </w:t>
      </w:r>
      <w:r>
        <w:rPr>
          <w:rStyle w:val="FootnoteAnchor"/>
          <w:rStyle w:val="FootnoteAnchor"/>
          <w:rFonts w:cs="Calibri"/>
        </w:rPr>
        <w:footnoteReference w:id="25"/>
      </w:r>
      <w:r>
        <w:rPr>
          <w:rFonts w:cs="Calibri"/>
        </w:rPr>
        <w:t xml:space="preserve"> </w:t>
      </w:r>
    </w:p>
    <w:p>
      <w:pPr>
        <w:pStyle w:val="Normal"/>
        <w:rPr/>
      </w:pPr>
      <w:r>
        <w:rPr/>
      </w:r>
    </w:p>
    <w:p>
      <w:pPr>
        <w:pStyle w:val="Normal"/>
        <w:rPr/>
      </w:pPr>
      <w:r>
        <w:rPr>
          <w:u w:val="single"/>
        </w:rPr>
        <w:t>Standard</w:t>
      </w:r>
      <w:r>
        <w:rPr/>
        <w:t>: The Chief Information Security Officer (CISO) is assigned the responsibility for:</w:t>
      </w:r>
    </w:p>
    <w:p>
      <w:pPr>
        <w:pStyle w:val="ListParagraph"/>
        <w:numPr>
          <w:ilvl w:val="0"/>
          <w:numId w:val="227"/>
        </w:numPr>
        <w:rPr/>
      </w:pPr>
      <w:r>
        <w:rPr/>
        <w:t xml:space="preserve">Developing measures of performance or outcome-based metrics to measure the effectiveness or efficiency of the security program and the security controls employed in support of the program; </w:t>
      </w:r>
    </w:p>
    <w:p>
      <w:pPr>
        <w:pStyle w:val="ListParagraph"/>
        <w:numPr>
          <w:ilvl w:val="0"/>
          <w:numId w:val="227"/>
        </w:numPr>
        <w:rPr/>
      </w:pPr>
      <w:r>
        <w:rPr/>
        <w:t>Communicating awareness and understanding of IT objectives and direction to appropriate stakeholders and users throughout the enterprise; and</w:t>
      </w:r>
    </w:p>
    <w:p>
      <w:pPr>
        <w:pStyle w:val="ListParagraph"/>
        <w:numPr>
          <w:ilvl w:val="0"/>
          <w:numId w:val="227"/>
        </w:numPr>
        <w:rPr/>
      </w:pPr>
      <w:r>
        <w:rPr>
          <w:rFonts w:cs="Calibri"/>
          <w:bCs w:val="false"/>
          <w:color w:val="000000"/>
        </w:rPr>
        <w:t>Sharing the effectiveness of protection technologies with appropriate parties</w:t>
      </w:r>
      <w:r>
        <w:rPr/>
        <w:t>.</w:t>
      </w:r>
    </w:p>
    <w:p>
      <w:pPr>
        <w:pStyle w:val="Normal"/>
        <w:rPr/>
      </w:pPr>
      <w:r>
        <w:rPr/>
      </w:r>
    </w:p>
    <w:p>
      <w:pPr>
        <w:pStyle w:val="Normal"/>
        <w:rPr/>
      </w:pPr>
      <w:r>
        <w:rPr>
          <w:u w:val="single"/>
        </w:rPr>
        <w:t>Guidelines</w:t>
      </w:r>
      <w:r>
        <w:rPr/>
        <w:t>: Measures of performance are outcome-based metrics used by NFCC to measure the effectiveness or efficiency of the security program and the security controls employed in support of the program.</w:t>
      </w:r>
    </w:p>
    <w:p>
      <w:pPr>
        <w:pStyle w:val="Normal"/>
        <w:rPr/>
      </w:pPr>
      <w:r>
        <w:rPr/>
      </w:r>
    </w:p>
    <w:p>
      <w:pPr>
        <w:pStyle w:val="Heading3"/>
        <w:rPr/>
      </w:pPr>
      <w:bookmarkStart w:id="69" w:name="_Toc34920489"/>
      <w:r>
        <w:rPr/>
        <w:t>GOV-05(a): Measures of Performance | Key Performance Indicators (KPIs)</w:t>
      </w:r>
      <w:bookmarkEnd w:id="69"/>
    </w:p>
    <w:p>
      <w:pPr>
        <w:pStyle w:val="Normal"/>
        <w:rPr/>
      </w:pPr>
      <w:r>
        <w:rPr>
          <w:u w:val="single"/>
        </w:rPr>
        <w:t>Control Objective</w:t>
      </w:r>
      <w:r>
        <w:rPr/>
        <w:t>: The organization develops Key Performance Indicators (KPIs) to assist organization management in performance monitoring and trend analysis.</w:t>
      </w:r>
    </w:p>
    <w:p>
      <w:pPr>
        <w:pStyle w:val="Normal"/>
        <w:rPr/>
      </w:pPr>
      <w:r>
        <w:rPr/>
      </w:r>
    </w:p>
    <w:p>
      <w:pPr>
        <w:pStyle w:val="Normal"/>
        <w:rPr/>
      </w:pPr>
      <w:r>
        <w:rPr>
          <w:u w:val="single"/>
        </w:rPr>
        <w:t>Standard</w:t>
      </w:r>
      <w:r>
        <w:rPr/>
        <w:t>: NFCC shall identify Key Performance Indicators (KRIs) that measure the performance of NFCC’s security program’s mission, vision and strategic direction</w:t>
      </w:r>
    </w:p>
    <w:p>
      <w:pPr>
        <w:pStyle w:val="Normal"/>
        <w:rPr/>
      </w:pPr>
      <w:r>
        <w:rPr/>
      </w:r>
    </w:p>
    <w:p>
      <w:pPr>
        <w:pStyle w:val="Normal"/>
        <w:rPr/>
      </w:pPr>
      <w:r>
        <w:rPr>
          <w:u w:val="single"/>
        </w:rPr>
        <w:t>Guidelines</w:t>
      </w:r>
      <w:r>
        <w:rPr/>
        <w:t>: A KPI measures of how well something is being done. KPIs are metrics that help clarify performance expectations.</w:t>
      </w:r>
    </w:p>
    <w:p>
      <w:pPr>
        <w:pStyle w:val="Normal"/>
        <w:rPr/>
      </w:pPr>
      <w:r>
        <w:rPr/>
      </w:r>
    </w:p>
    <w:p>
      <w:pPr>
        <w:pStyle w:val="Heading3"/>
        <w:rPr/>
      </w:pPr>
      <w:bookmarkStart w:id="70" w:name="_Toc34920490"/>
      <w:r>
        <w:rPr/>
        <w:t>GOV-05(b): Measures of Performance | Key Risk Indicators (KRIs)</w:t>
      </w:r>
      <w:bookmarkEnd w:id="70"/>
    </w:p>
    <w:p>
      <w:pPr>
        <w:pStyle w:val="Normal"/>
        <w:rPr/>
      </w:pPr>
      <w:r>
        <w:rPr>
          <w:u w:val="single"/>
        </w:rPr>
        <w:t>Control Objective</w:t>
      </w:r>
      <w:r>
        <w:rPr/>
        <w:t>: The organization develops Key Risk Indicators (KRIs) to assist organization management in understanding evolving risk exposures.</w:t>
      </w:r>
    </w:p>
    <w:p>
      <w:pPr>
        <w:pStyle w:val="Normal"/>
        <w:rPr/>
      </w:pPr>
      <w:r>
        <w:rPr/>
      </w:r>
    </w:p>
    <w:p>
      <w:pPr>
        <w:pStyle w:val="Normal"/>
        <w:rPr/>
      </w:pPr>
      <w:r>
        <w:rPr>
          <w:u w:val="single"/>
        </w:rPr>
        <w:t>Standard</w:t>
      </w:r>
      <w:r>
        <w:rPr/>
        <w:t>: NFCC shall identify Key Risk Indicators (KRIs) through interviewing key stakeholders in NFCC business units that identify a sufficient mix of leading and lagging indicators for effective risk management.</w:t>
      </w:r>
    </w:p>
    <w:p>
      <w:pPr>
        <w:pStyle w:val="Normal"/>
        <w:rPr/>
      </w:pPr>
      <w:r>
        <w:rPr/>
      </w:r>
    </w:p>
    <w:p>
      <w:pPr>
        <w:pStyle w:val="Normal"/>
        <w:rPr/>
      </w:pPr>
      <w:r>
        <w:rPr>
          <w:u w:val="single"/>
        </w:rPr>
        <w:t>Guidelines</w:t>
      </w:r>
      <w:r>
        <w:rPr/>
        <w:t>: A KRI is a measure used in management to indicate how risky an activity is. KRIs are metrics used by organizations to provide an early signal of increasing risk exposures in various areas of the enterprise. It differs from a Key Performance Indicator (KPI) in that the latter is meant as a measure of how well something is being done while the former is an indicator of the possibility of future adverse impact. KRI give an early warning to identify potential events that may harm continuity of the activity / project.</w:t>
      </w:r>
    </w:p>
    <w:p>
      <w:pPr>
        <w:pStyle w:val="Normal"/>
        <w:rPr/>
      </w:pPr>
      <w:r>
        <w:rPr/>
      </w:r>
    </w:p>
    <w:p>
      <w:pPr>
        <w:pStyle w:val="Normal"/>
        <w:rPr/>
      </w:pPr>
      <w:r>
        <w:rPr/>
        <w:t>KRIs play an important role in risk management by predicting potential high-risk areas and enabling timely action. KRIs enable organizations to:</w:t>
      </w:r>
    </w:p>
    <w:p>
      <w:pPr>
        <w:pStyle w:val="ListParagraph"/>
        <w:numPr>
          <w:ilvl w:val="0"/>
          <w:numId w:val="223"/>
        </w:numPr>
        <w:rPr/>
      </w:pPr>
      <w:r>
        <w:rPr/>
        <w:t>Identify current risk exposure and emerging risk trends.</w:t>
      </w:r>
    </w:p>
    <w:p>
      <w:pPr>
        <w:pStyle w:val="ListParagraph"/>
        <w:numPr>
          <w:ilvl w:val="0"/>
          <w:numId w:val="223"/>
        </w:numPr>
        <w:rPr/>
      </w:pPr>
      <w:r>
        <w:rPr/>
        <w:t>Highlight control weaknesses and allow for the strengthening of poor controls.</w:t>
      </w:r>
    </w:p>
    <w:p>
      <w:pPr>
        <w:pStyle w:val="ListParagraph"/>
        <w:numPr>
          <w:ilvl w:val="0"/>
          <w:numId w:val="223"/>
        </w:numPr>
        <w:rPr/>
      </w:pPr>
      <w:r>
        <w:rPr/>
        <w:t>Facilitate the risk reporting and escalation process.</w:t>
      </w:r>
    </w:p>
    <w:p>
      <w:pPr>
        <w:pStyle w:val="ListParagraph"/>
        <w:numPr>
          <w:ilvl w:val="0"/>
          <w:numId w:val="223"/>
        </w:numPr>
        <w:rPr/>
      </w:pPr>
      <w:r>
        <w:rPr/>
        <w:t>Operational risk management adds value to the firm.</w:t>
      </w:r>
    </w:p>
    <w:p>
      <w:pPr>
        <w:pStyle w:val="Normal"/>
        <w:rPr/>
      </w:pPr>
      <w:r>
        <w:rPr/>
      </w:r>
    </w:p>
    <w:p>
      <w:pPr>
        <w:pStyle w:val="Normal"/>
        <w:tabs>
          <w:tab w:val="clear" w:pos="360"/>
          <w:tab w:val="clear" w:pos="720"/>
          <w:tab w:val="clear" w:pos="1080"/>
        </w:tabs>
        <w:jc w:val="left"/>
        <w:rPr/>
      </w:pPr>
      <w:r>
        <w:rPr/>
      </w:r>
    </w:p>
    <w:p>
      <w:pPr>
        <w:pStyle w:val="Heading2"/>
        <w:rPr/>
      </w:pPr>
      <w:bookmarkStart w:id="71" w:name="_Toc34920491"/>
      <w:bookmarkStart w:id="72" w:name="_Toc474074746"/>
      <w:bookmarkStart w:id="73" w:name="_Toc474075501"/>
      <w:r>
        <w:rPr/>
        <w:t>GOV-06: Contacts With Authorities</w:t>
      </w:r>
      <w:bookmarkEnd w:id="71"/>
      <w:bookmarkEnd w:id="72"/>
      <w:bookmarkEnd w:id="73"/>
      <w:r>
        <w:rPr/>
        <w:t xml:space="preserve"> </w:t>
      </w:r>
    </w:p>
    <w:p>
      <w:pPr>
        <w:pStyle w:val="Normal"/>
        <w:rPr/>
      </w:pPr>
      <w:r>
        <w:rPr>
          <w:u w:val="single"/>
        </w:rPr>
        <w:t>Control Objective</w:t>
      </w:r>
      <w:r>
        <w:rPr/>
        <w:t>: The organization identifies appropriate contacts with selected groups and associations within law enforcement and regulatory bodies.</w:t>
      </w:r>
      <w:r>
        <w:rPr>
          <w:rStyle w:val="FootnoteCharacters"/>
          <w:rFonts w:cs="Calibri"/>
        </w:rPr>
        <w:t xml:space="preserve"> </w:t>
      </w:r>
      <w:r>
        <w:rPr>
          <w:rStyle w:val="FootnoteAnchor"/>
          <w:rStyle w:val="FootnoteAnchor"/>
          <w:rFonts w:cs="Calibri"/>
        </w:rPr>
        <w:footnoteReference w:id="26"/>
      </w:r>
      <w:r>
        <w:rPr/>
        <w:t xml:space="preserve"> </w:t>
      </w:r>
    </w:p>
    <w:p>
      <w:pPr>
        <w:pStyle w:val="Normal"/>
        <w:rPr/>
      </w:pPr>
      <w:r>
        <w:rPr/>
      </w:r>
    </w:p>
    <w:p>
      <w:pPr>
        <w:pStyle w:val="Normal"/>
        <w:rPr/>
      </w:pPr>
      <w:r>
        <w:rPr>
          <w:u w:val="single"/>
        </w:rPr>
        <w:t>Standard</w:t>
      </w:r>
      <w:r>
        <w:rPr/>
        <w:t xml:space="preserve">: The Chief Information Security Officer (CISO) and his / her designated representatives are responsible for establishing and maintaining formal contact with relevant authorities (e.g., law enforcement, regulatory bodies and supervisory authorities). </w:t>
      </w:r>
    </w:p>
    <w:p>
      <w:pPr>
        <w:pStyle w:val="Normal"/>
        <w:rPr/>
      </w:pPr>
      <w:r>
        <w:rPr/>
      </w:r>
    </w:p>
    <w:p>
      <w:pPr>
        <w:pStyle w:val="Normal"/>
        <w:rPr/>
      </w:pPr>
      <w:r>
        <w:rPr>
          <w:u w:val="single"/>
        </w:rPr>
        <w:t>Guidelines</w:t>
      </w:r>
      <w:r>
        <w:rPr/>
        <w:t>: Contacts with other authorities include, but are not limited to:</w:t>
      </w:r>
    </w:p>
    <w:p>
      <w:pPr>
        <w:pStyle w:val="ListParagraph"/>
        <w:numPr>
          <w:ilvl w:val="0"/>
          <w:numId w:val="182"/>
        </w:numPr>
        <w:rPr/>
      </w:pPr>
      <w:r>
        <w:rPr/>
        <w:t>Law enforcement;</w:t>
      </w:r>
    </w:p>
    <w:p>
      <w:pPr>
        <w:pStyle w:val="ListParagraph"/>
        <w:numPr>
          <w:ilvl w:val="0"/>
          <w:numId w:val="182"/>
        </w:numPr>
        <w:rPr/>
      </w:pPr>
      <w:r>
        <w:rPr/>
        <w:t>Public utilities; and</w:t>
      </w:r>
    </w:p>
    <w:p>
      <w:pPr>
        <w:pStyle w:val="ListParagraph"/>
        <w:numPr>
          <w:ilvl w:val="0"/>
          <w:numId w:val="182"/>
        </w:numPr>
        <w:rPr/>
      </w:pPr>
      <w:r>
        <w:rPr/>
        <w:t xml:space="preserve">Telecommunication providers. </w:t>
      </w:r>
    </w:p>
    <w:p>
      <w:pPr>
        <w:pStyle w:val="Normal"/>
        <w:rPr/>
      </w:pPr>
      <w:r>
        <w:rPr/>
      </w:r>
    </w:p>
    <w:p>
      <w:pPr>
        <w:pStyle w:val="Normal"/>
        <w:rPr/>
      </w:pPr>
      <w:r>
        <w:rPr/>
      </w:r>
    </w:p>
    <w:p>
      <w:pPr>
        <w:pStyle w:val="Heading2"/>
        <w:rPr/>
      </w:pPr>
      <w:bookmarkStart w:id="74" w:name="_Toc474074747"/>
      <w:bookmarkStart w:id="75" w:name="_Toc474075502"/>
      <w:bookmarkStart w:id="76" w:name="_Toc34920492"/>
      <w:r>
        <w:rPr/>
        <w:t>GOV-07: Contacts With Security Groups &amp; Associations</w:t>
      </w:r>
      <w:bookmarkEnd w:id="74"/>
      <w:bookmarkEnd w:id="75"/>
      <w:bookmarkEnd w:id="76"/>
      <w:r>
        <w:rPr/>
        <w:t xml:space="preserve"> </w:t>
      </w:r>
    </w:p>
    <w:p>
      <w:pPr>
        <w:pStyle w:val="Normal"/>
        <w:rPr/>
      </w:pPr>
      <w:r>
        <w:rPr>
          <w:u w:val="single"/>
        </w:rPr>
        <w:t>Control Objective</w:t>
      </w:r>
      <w:r>
        <w:rPr/>
        <w:t>: The organization establishes and institutionalizes contact with selected groups and associations within the security and privacy communities to:</w:t>
      </w:r>
      <w:r>
        <w:rPr>
          <w:rStyle w:val="FootnoteCharacters"/>
          <w:rFonts w:cs="Calibri"/>
        </w:rPr>
        <w:t xml:space="preserve"> </w:t>
      </w:r>
      <w:r>
        <w:rPr>
          <w:rStyle w:val="FootnoteAnchor"/>
          <w:rStyle w:val="FootnoteAnchor"/>
          <w:rFonts w:cs="Calibri"/>
        </w:rPr>
        <w:footnoteReference w:id="27"/>
      </w:r>
    </w:p>
    <w:p>
      <w:pPr>
        <w:pStyle w:val="ListParagraph"/>
        <w:numPr>
          <w:ilvl w:val="0"/>
          <w:numId w:val="183"/>
        </w:numPr>
        <w:rPr/>
      </w:pPr>
      <w:r>
        <w:rPr/>
        <w:t>Facilitate ongoing security education and training for organizational personnel;</w:t>
      </w:r>
    </w:p>
    <w:p>
      <w:pPr>
        <w:pStyle w:val="ListParagraph"/>
        <w:numPr>
          <w:ilvl w:val="0"/>
          <w:numId w:val="183"/>
        </w:numPr>
        <w:rPr/>
      </w:pPr>
      <w:r>
        <w:rPr/>
        <w:t>Maintain currency with recommended security practices, techniques and technologies; and</w:t>
      </w:r>
    </w:p>
    <w:p>
      <w:pPr>
        <w:pStyle w:val="ListParagraph"/>
        <w:numPr>
          <w:ilvl w:val="0"/>
          <w:numId w:val="183"/>
        </w:numPr>
        <w:rPr/>
      </w:pPr>
      <w:r>
        <w:rPr/>
        <w:t>Share current security-related information including threats, vulnerabilities and incidents.</w:t>
      </w:r>
    </w:p>
    <w:p>
      <w:pPr>
        <w:pStyle w:val="Normal"/>
        <w:rPr/>
      </w:pPr>
      <w:r>
        <w:rPr/>
      </w:r>
    </w:p>
    <w:p>
      <w:pPr>
        <w:pStyle w:val="Normal"/>
        <w:rPr/>
      </w:pPr>
      <w:r>
        <w:rPr>
          <w:u w:val="single"/>
        </w:rPr>
        <w:t>Standard</w:t>
      </w:r>
      <w:r>
        <w:rPr/>
        <w:t>: The Chief Information Security Officer (CISO) and his / her designated representatives are responsible for establishing and maintaining formal contact with selected groups and / or associations within the security community.</w:t>
      </w:r>
      <w:r>
        <w:rPr>
          <w:rStyle w:val="FootnoteCharacters"/>
          <w:rFonts w:cs="Calibri"/>
        </w:rPr>
        <w:t xml:space="preserve"> </w:t>
      </w:r>
    </w:p>
    <w:p>
      <w:pPr>
        <w:pStyle w:val="Normal"/>
        <w:rPr/>
      </w:pPr>
      <w:r>
        <w:rPr/>
      </w:r>
    </w:p>
    <w:p>
      <w:pPr>
        <w:pStyle w:val="Normal"/>
        <w:rPr/>
      </w:pPr>
      <w:r>
        <w:rPr>
          <w:u w:val="single"/>
        </w:rPr>
        <w:t>Guidelines</w:t>
      </w:r>
      <w:r>
        <w:rPr/>
        <w:t xml:space="preserve">: Ongoing contact with security groups and associations is of paramount importance in an environment of rapidly changing technologies and threats. Security groups and associations include, but are not limited to, special interest groups, forums, professional associations, news groups and / or peer groups of security professionals in similar organizations. </w:t>
      </w:r>
    </w:p>
    <w:p>
      <w:pPr>
        <w:pStyle w:val="Normal"/>
        <w:rPr/>
      </w:pPr>
      <w:r>
        <w:rPr/>
      </w:r>
    </w:p>
    <w:p>
      <w:pPr>
        <w:pStyle w:val="Normal"/>
        <w:rPr/>
      </w:pPr>
      <w:r>
        <w:rPr/>
      </w:r>
      <w:bookmarkStart w:id="77" w:name="_Toc346202620"/>
      <w:bookmarkStart w:id="78" w:name="_Toc346202620"/>
      <w:bookmarkEnd w:id="78"/>
    </w:p>
    <w:p>
      <w:pPr>
        <w:pStyle w:val="Heading2"/>
        <w:rPr/>
      </w:pPr>
      <w:bookmarkStart w:id="79" w:name="_Toc34920493"/>
      <w:bookmarkStart w:id="80" w:name="_Toc3462026201"/>
      <w:bookmarkEnd w:id="80"/>
      <w:r>
        <w:rPr/>
        <w:t>GOV-08: Defined Business Context &amp; Mission</w:t>
      </w:r>
      <w:bookmarkEnd w:id="79"/>
      <w:r>
        <w:rPr/>
        <w:t xml:space="preserve"> </w:t>
      </w:r>
    </w:p>
    <w:p>
      <w:pPr>
        <w:pStyle w:val="Normal"/>
        <w:rPr/>
      </w:pPr>
      <w:r>
        <w:rPr>
          <w:u w:val="single"/>
        </w:rPr>
        <w:t>Control Objective</w:t>
      </w:r>
      <w:r>
        <w:rPr/>
        <w:t>: The organization defines the context of its business model and the mission of the organization.</w:t>
      </w:r>
    </w:p>
    <w:p>
      <w:pPr>
        <w:pStyle w:val="Normal"/>
        <w:rPr/>
      </w:pPr>
      <w:r>
        <w:rPr/>
      </w:r>
    </w:p>
    <w:p>
      <w:pPr>
        <w:pStyle w:val="Normal"/>
        <w:rPr/>
      </w:pPr>
      <w:r>
        <w:rPr>
          <w:u w:val="single"/>
        </w:rPr>
        <w:t>Standard</w:t>
      </w:r>
      <w:r>
        <w:rPr/>
        <w:t>: NFCC’s executive leadership team is required to:</w:t>
      </w:r>
    </w:p>
    <w:p>
      <w:pPr>
        <w:pStyle w:val="ListParagraph"/>
        <w:numPr>
          <w:ilvl w:val="0"/>
          <w:numId w:val="661"/>
        </w:numPr>
        <w:rPr/>
      </w:pPr>
      <w:r>
        <w:rPr/>
        <w:t>Define the organization’s business model;</w:t>
      </w:r>
    </w:p>
    <w:p>
      <w:pPr>
        <w:pStyle w:val="ListParagraph"/>
        <w:numPr>
          <w:ilvl w:val="0"/>
          <w:numId w:val="661"/>
        </w:numPr>
        <w:rPr/>
      </w:pPr>
      <w:r>
        <w:rPr/>
        <w:t>Define the mission of the organization so that cybersecurity-related objectives can be understood;</w:t>
      </w:r>
    </w:p>
    <w:p>
      <w:pPr>
        <w:pStyle w:val="ListParagraph"/>
        <w:numPr>
          <w:ilvl w:val="0"/>
          <w:numId w:val="661"/>
        </w:numPr>
        <w:rPr/>
      </w:pPr>
      <w:r>
        <w:rPr/>
        <w:t>Define external and internal issues that are relevant and that affect the organization’s ability to achieve the organization’s mission (e.g., industry drivers, relevant regulations, basis for competition, etc.); and</w:t>
      </w:r>
    </w:p>
    <w:p>
      <w:pPr>
        <w:pStyle w:val="ListParagraph"/>
        <w:numPr>
          <w:ilvl w:val="0"/>
          <w:numId w:val="661"/>
        </w:numPr>
        <w:rPr/>
      </w:pPr>
      <w:r>
        <w:rPr/>
        <w:t>Prioritize the objectives and activities necessary to support the organization’s mission.</w:t>
      </w:r>
    </w:p>
    <w:p>
      <w:pPr>
        <w:pStyle w:val="Normal"/>
        <w:rPr/>
      </w:pPr>
      <w:r>
        <w:rPr/>
      </w:r>
    </w:p>
    <w:p>
      <w:pPr>
        <w:pStyle w:val="Normal"/>
        <w:rPr/>
      </w:pPr>
      <w:r>
        <w:rPr>
          <w:u w:val="single"/>
        </w:rPr>
        <w:t>Guidelines</w:t>
      </w:r>
      <w:r>
        <w:rPr/>
        <w:t>: None</w:t>
      </w:r>
    </w:p>
    <w:p>
      <w:pPr>
        <w:pStyle w:val="Normal"/>
        <w:rPr>
          <w:rFonts w:eastAsia="Calibri" w:cs="Calibri"/>
          <w:sz w:val="24"/>
        </w:rPr>
      </w:pPr>
      <w:r>
        <w:rPr>
          <w:rFonts w:eastAsia="Calibri" w:cs="Calibri"/>
          <w:sz w:val="24"/>
        </w:rPr>
      </w:r>
    </w:p>
    <w:p>
      <w:pPr>
        <w:pStyle w:val="Heading2"/>
        <w:rPr/>
      </w:pPr>
      <w:bookmarkStart w:id="81" w:name="_Toc34920494"/>
      <w:r>
        <w:rPr/>
        <w:t>GOV-09: Defined Control Objectives</w:t>
      </w:r>
      <w:bookmarkEnd w:id="81"/>
      <w:r>
        <w:rPr/>
        <w:t xml:space="preserve"> </w:t>
      </w:r>
    </w:p>
    <w:p>
      <w:pPr>
        <w:pStyle w:val="Normal"/>
        <w:rPr/>
      </w:pPr>
      <w:r>
        <w:rPr>
          <w:u w:val="single"/>
        </w:rPr>
        <w:t>Control Objective</w:t>
      </w:r>
      <w:r>
        <w:rPr/>
        <w:t>: The organization establishes control objectives as the basis for the selection, implementation and management of the organization’s internal control system.</w:t>
      </w:r>
    </w:p>
    <w:p>
      <w:pPr>
        <w:pStyle w:val="Normal"/>
        <w:rPr/>
      </w:pPr>
      <w:r>
        <w:rPr/>
      </w:r>
    </w:p>
    <w:p>
      <w:pPr>
        <w:pStyle w:val="Normal"/>
        <w:rPr/>
      </w:pPr>
      <w:r>
        <w:rPr>
          <w:u w:val="single"/>
        </w:rPr>
        <w:t>Standard</w:t>
      </w:r>
      <w:r>
        <w:rPr/>
        <w:t>: NFCC’s Digital Security Program (DSP) contains control objectives that serve as the basis for the selection, implementation and management of NFCC’s internal control system.</w:t>
      </w:r>
    </w:p>
    <w:p>
      <w:pPr>
        <w:pStyle w:val="Normal"/>
        <w:rPr/>
      </w:pPr>
      <w:r>
        <w:rPr/>
      </w:r>
    </w:p>
    <w:p>
      <w:pPr>
        <w:pStyle w:val="Normal"/>
        <w:rPr/>
      </w:pPr>
      <w:r>
        <w:rPr>
          <w:u w:val="single"/>
        </w:rPr>
        <w:t>Guidelines</w:t>
      </w:r>
      <w:r>
        <w:rPr/>
        <w:t>: The appropriateness of NFCC’s internal control system is defined by the applicable statutory, regulatory and/or contractual obligations that NFCC must address.</w:t>
      </w:r>
    </w:p>
    <w:p>
      <w:pPr>
        <w:pStyle w:val="Normal"/>
        <w:rPr>
          <w:rFonts w:eastAsia="Calibri" w:cs="Calibri"/>
          <w:sz w:val="24"/>
        </w:rPr>
      </w:pPr>
      <w:r>
        <w:rPr>
          <w:rFonts w:eastAsia="Calibri" w:cs="Calibri"/>
          <w:sz w:val="24"/>
        </w:rPr>
      </w:r>
    </w:p>
    <w:p>
      <w:pPr>
        <w:pStyle w:val="Normal"/>
        <w:tabs>
          <w:tab w:val="clear" w:pos="360"/>
          <w:tab w:val="clear" w:pos="720"/>
          <w:tab w:val="clear" w:pos="1080"/>
        </w:tabs>
        <w:jc w:val="left"/>
        <w:rPr>
          <w:rFonts w:eastAsia="Calibri" w:cs="Calibri"/>
          <w:b/>
          <w:b/>
          <w:bCs w:val="false"/>
          <w:smallCaps/>
          <w:sz w:val="24"/>
        </w:rPr>
      </w:pPr>
      <w:r>
        <w:rPr>
          <w:rFonts w:eastAsia="Calibri" w:cs="Calibri"/>
          <w:b/>
          <w:bCs w:val="false"/>
          <w:smallCaps/>
          <w:sz w:val="24"/>
        </w:rPr>
      </w:r>
      <w:r>
        <w:br w:type="page"/>
      </w:r>
    </w:p>
    <w:p>
      <w:pPr>
        <w:pStyle w:val="Heading1"/>
        <w:rPr/>
      </w:pPr>
      <w:bookmarkStart w:id="82" w:name="_Toc34920495"/>
      <w:bookmarkStart w:id="83" w:name="_Toc474074748"/>
      <w:bookmarkStart w:id="84" w:name="_Toc474075503"/>
      <w:r>
        <w:rPr/>
        <w:t>Asset Management (AST)</w:t>
      </w:r>
      <w:bookmarkEnd w:id="83"/>
      <w:bookmarkEnd w:id="84"/>
      <w:r>
        <w:rPr/>
        <w:t xml:space="preserve"> Policy &amp; Standards</w:t>
      </w:r>
      <w:bookmarkEnd w:id="82"/>
    </w:p>
    <w:p>
      <w:pPr>
        <w:pStyle w:val="Normal"/>
        <w:rPr/>
      </w:pPr>
      <w:r>
        <w:rPr/>
      </w:r>
    </w:p>
    <w:p>
      <w:pPr>
        <w:pStyle w:val="Normal"/>
        <w:rPr/>
      </w:pPr>
      <w:r>
        <w:rPr>
          <w:u w:val="single"/>
        </w:rPr>
        <w:t>Management Intent:</w:t>
      </w:r>
      <w:r>
        <w:rPr/>
        <w:t xml:space="preserve"> The purpose of the Asset Management (AST) policy is to ensure that technology assets are properly managed throughout the lifecycle of the asset, from procurement through disposal. </w:t>
      </w:r>
    </w:p>
    <w:p>
      <w:pPr>
        <w:pStyle w:val="Normal"/>
        <w:rPr>
          <w:u w:val="single"/>
        </w:rPr>
      </w:pPr>
      <w:r>
        <w:rPr>
          <w:u w:val="single"/>
        </w:rPr>
      </w:r>
    </w:p>
    <w:p>
      <w:pPr>
        <w:pStyle w:val="Normal"/>
        <w:shd w:val="clear" w:color="auto" w:fill="DDD9C3" w:themeFill="background2" w:themeFillShade="e6"/>
        <w:rPr/>
      </w:pPr>
      <w:r>
        <w:rPr>
          <w:u w:val="single"/>
        </w:rPr>
        <w:t>Policy</w:t>
      </w:r>
      <w:r>
        <w:rPr/>
        <w:t xml:space="preserve">: NFCC shall protect its assets and data by implementing and maintaining appropriate IT Asset Management (ITAM) business practices across the enterprise. </w:t>
      </w:r>
    </w:p>
    <w:p>
      <w:pPr>
        <w:pStyle w:val="Normal"/>
        <w:rPr/>
      </w:pPr>
      <w:r>
        <w:rPr/>
      </w:r>
    </w:p>
    <w:p>
      <w:pPr>
        <w:pStyle w:val="Normal"/>
        <w:rPr/>
      </w:pPr>
      <w:r>
        <w:rPr>
          <w:u w:val="single"/>
        </w:rPr>
        <w:t>Supporting Documentation</w:t>
      </w:r>
      <w:r>
        <w:rPr/>
        <w:t xml:space="preserve">: This policy is supported by the following control objectives, standards and guidelines. </w:t>
      </w:r>
    </w:p>
    <w:p>
      <w:pPr>
        <w:pStyle w:val="Normal"/>
        <w:rPr/>
      </w:pPr>
      <w:r>
        <w:rPr/>
      </w:r>
    </w:p>
    <w:p>
      <w:pPr>
        <w:pStyle w:val="Normal"/>
        <w:rPr/>
      </w:pPr>
      <w:r>
        <w:rPr/>
      </w:r>
    </w:p>
    <w:p>
      <w:pPr>
        <w:pStyle w:val="Heading2"/>
        <w:rPr/>
      </w:pPr>
      <w:bookmarkStart w:id="85" w:name="_Toc474074749"/>
      <w:bookmarkStart w:id="86" w:name="_Toc474075504"/>
      <w:bookmarkStart w:id="87" w:name="_Toc34920496"/>
      <w:r>
        <w:rPr/>
        <w:t>AST-01: Asset Governance</w:t>
      </w:r>
      <w:bookmarkEnd w:id="85"/>
      <w:bookmarkEnd w:id="86"/>
      <w:bookmarkEnd w:id="87"/>
      <w:r>
        <w:rPr/>
        <w:t xml:space="preserve"> </w:t>
      </w:r>
    </w:p>
    <w:p>
      <w:pPr>
        <w:pStyle w:val="Normal"/>
        <w:rPr/>
      </w:pPr>
      <w:r>
        <w:rPr>
          <w:u w:val="single"/>
        </w:rPr>
        <w:t>Control Objective</w:t>
      </w:r>
      <w:r>
        <w:rPr/>
        <w:t>: The organization develops, implements and governs processes and documentation to facilitate the implementation of an enterprise-wide technology asset management policy, as well as associated standards, controls and procedures.</w:t>
      </w:r>
      <w:r>
        <w:rPr>
          <w:rStyle w:val="FootnoteAnchor"/>
          <w:rStyle w:val="FootnoteAnchor"/>
          <w:rFonts w:cs="Calibri"/>
        </w:rPr>
        <w:footnoteReference w:id="28"/>
      </w:r>
    </w:p>
    <w:p>
      <w:pPr>
        <w:pStyle w:val="Normal"/>
        <w:rPr/>
      </w:pPr>
      <w:r>
        <w:rPr/>
      </w:r>
    </w:p>
    <w:p>
      <w:pPr>
        <w:pStyle w:val="Normal"/>
        <w:rPr/>
      </w:pPr>
      <w:r>
        <w:rPr>
          <w:u w:val="single"/>
        </w:rPr>
        <w:t>Standard</w:t>
      </w:r>
      <w:r>
        <w:rPr/>
        <w:t>: NFCC IT department is required to establish and maintain an IT Asset Management (ITAM) program that includes, but is not limited to:</w:t>
      </w:r>
    </w:p>
    <w:p>
      <w:pPr>
        <w:pStyle w:val="ListParagraph"/>
        <w:numPr>
          <w:ilvl w:val="0"/>
          <w:numId w:val="228"/>
        </w:numPr>
        <w:rPr/>
      </w:pPr>
      <w:r>
        <w:rPr/>
        <w:t>A list of all such devices and personnel with access;</w:t>
      </w:r>
      <w:r>
        <w:rPr>
          <w:rStyle w:val="FootnoteCharacters"/>
          <w:rFonts w:cs="Calibri"/>
        </w:rPr>
        <w:t xml:space="preserve"> </w:t>
      </w:r>
    </w:p>
    <w:p>
      <w:pPr>
        <w:pStyle w:val="ListParagraph"/>
        <w:numPr>
          <w:ilvl w:val="0"/>
          <w:numId w:val="228"/>
        </w:numPr>
        <w:rPr/>
      </w:pPr>
      <w:r>
        <w:rPr/>
        <w:t>A method to accurately and readily determine owner, contact information and purpose (e.g., labeling, coding and / or inventorying of devices); and</w:t>
      </w:r>
      <w:r>
        <w:rPr>
          <w:rStyle w:val="FootnoteCharacters"/>
          <w:rFonts w:cs="Calibri"/>
        </w:rPr>
        <w:t xml:space="preserve"> </w:t>
      </w:r>
    </w:p>
    <w:p>
      <w:pPr>
        <w:pStyle w:val="ListParagraph"/>
        <w:numPr>
          <w:ilvl w:val="0"/>
          <w:numId w:val="228"/>
        </w:numPr>
        <w:rPr/>
      </w:pPr>
      <w:r>
        <w:rPr/>
        <w:t>A list of company-approved products.</w:t>
      </w:r>
    </w:p>
    <w:p>
      <w:pPr>
        <w:pStyle w:val="Normal"/>
        <w:rPr/>
      </w:pPr>
      <w:r>
        <w:rPr/>
      </w:r>
    </w:p>
    <w:p>
      <w:pPr>
        <w:pStyle w:val="Normal"/>
        <w:rPr/>
      </w:pPr>
      <w:r>
        <w:rPr>
          <w:u w:val="single"/>
        </w:rPr>
        <w:t>Guidelines</w:t>
      </w:r>
      <w:r>
        <w:rPr/>
        <w:t>: It is also possible that the owner and custodian of the hardware, software and data are the same, but this needs to be identified and documented.</w:t>
      </w:r>
    </w:p>
    <w:p>
      <w:pPr>
        <w:pStyle w:val="Normal"/>
        <w:rPr/>
      </w:pPr>
      <w:r>
        <w:rPr/>
      </w:r>
    </w:p>
    <w:p>
      <w:pPr>
        <w:pStyle w:val="Heading3"/>
        <w:rPr/>
      </w:pPr>
      <w:bookmarkStart w:id="88" w:name="_Toc34920497"/>
      <w:r>
        <w:rPr/>
        <w:t>AST-01(a): Asset Governance | Asset-Service Dependencies</w:t>
      </w:r>
      <w:bookmarkEnd w:id="88"/>
      <w:r>
        <w:rPr/>
        <w:t xml:space="preserve"> </w:t>
      </w:r>
    </w:p>
    <w:p>
      <w:pPr>
        <w:pStyle w:val="Normal"/>
        <w:rPr/>
      </w:pPr>
      <w:r>
        <w:rPr>
          <w:u w:val="single"/>
        </w:rPr>
        <w:t>Control Objective</w:t>
      </w:r>
      <w:r>
        <w:rPr/>
        <w:t>: The organization identifies and analyzes the security of technology assets that support one or more critical business function.</w:t>
      </w:r>
    </w:p>
    <w:p>
      <w:pPr>
        <w:pStyle w:val="Normal"/>
        <w:rPr/>
      </w:pPr>
      <w:r>
        <w:rPr/>
      </w:r>
    </w:p>
    <w:p>
      <w:pPr>
        <w:pStyle w:val="Normal"/>
        <w:rPr/>
      </w:pPr>
      <w:r>
        <w:rPr>
          <w:u w:val="single"/>
        </w:rPr>
        <w:t>Standard</w:t>
      </w:r>
      <w:r>
        <w:rPr/>
        <w:t>: NFCC IT department is required to identify and analyze critical business functions by:</w:t>
      </w:r>
    </w:p>
    <w:p>
      <w:pPr>
        <w:pStyle w:val="ListParagraph"/>
        <w:numPr>
          <w:ilvl w:val="0"/>
          <w:numId w:val="662"/>
        </w:numPr>
        <w:rPr/>
      </w:pPr>
      <w:r>
        <w:rPr/>
        <w:t>Mapping data processing activities;</w:t>
      </w:r>
    </w:p>
    <w:p>
      <w:pPr>
        <w:pStyle w:val="ListParagraph"/>
        <w:numPr>
          <w:ilvl w:val="0"/>
          <w:numId w:val="662"/>
        </w:numPr>
        <w:rPr/>
      </w:pPr>
      <w:r>
        <w:rPr/>
        <w:t>Identifying systems, applications and processes that support critical business functions, including third-parties;</w:t>
      </w:r>
    </w:p>
    <w:p>
      <w:pPr>
        <w:pStyle w:val="ListParagraph"/>
        <w:numPr>
          <w:ilvl w:val="0"/>
          <w:numId w:val="662"/>
        </w:numPr>
        <w:rPr/>
      </w:pPr>
      <w:r>
        <w:rPr/>
        <w:t xml:space="preserve">Documenting the technology asset dependencies that support each critical business function; </w:t>
      </w:r>
    </w:p>
    <w:p>
      <w:pPr>
        <w:pStyle w:val="ListParagraph"/>
        <w:numPr>
          <w:ilvl w:val="0"/>
          <w:numId w:val="662"/>
        </w:numPr>
        <w:rPr/>
      </w:pPr>
      <w:r>
        <w:rPr/>
        <w:t>Assessing the appropriateness of security controls associated with the technology asset dependencies; and</w:t>
      </w:r>
    </w:p>
    <w:p>
      <w:pPr>
        <w:pStyle w:val="ListParagraph"/>
        <w:numPr>
          <w:ilvl w:val="0"/>
          <w:numId w:val="662"/>
        </w:numPr>
        <w:rPr/>
      </w:pPr>
      <w:r>
        <w:rPr/>
        <w:t>Reporting any deficiencies that could impact NFCC’s critical business functions as technology risk(s).</w:t>
      </w:r>
    </w:p>
    <w:p>
      <w:pPr>
        <w:pStyle w:val="Normal"/>
        <w:rPr/>
      </w:pPr>
      <w:r>
        <w:rPr/>
      </w:r>
    </w:p>
    <w:p>
      <w:pPr>
        <w:pStyle w:val="Normal"/>
        <w:rPr/>
      </w:pPr>
      <w:r>
        <w:rPr>
          <w:u w:val="single"/>
        </w:rPr>
        <w:t>Guidelines</w:t>
      </w:r>
      <w:r>
        <w:rPr/>
        <w:t>: None</w:t>
      </w:r>
    </w:p>
    <w:p>
      <w:pPr>
        <w:pStyle w:val="Normal"/>
        <w:rPr/>
      </w:pPr>
      <w:r>
        <w:rPr/>
      </w:r>
    </w:p>
    <w:p>
      <w:pPr>
        <w:pStyle w:val="Heading3"/>
        <w:rPr/>
      </w:pPr>
      <w:bookmarkStart w:id="89" w:name="_Toc34920498"/>
      <w:r>
        <w:rPr/>
        <w:t>AST-01(b): Asset Governance | Stakeholder Identification &amp; Involvement</w:t>
      </w:r>
      <w:bookmarkEnd w:id="89"/>
      <w:r>
        <w:rPr/>
        <w:t xml:space="preserve"> </w:t>
      </w:r>
    </w:p>
    <w:p>
      <w:pPr>
        <w:pStyle w:val="Normal"/>
        <w:rPr/>
      </w:pPr>
      <w:r>
        <w:rPr>
          <w:u w:val="single"/>
        </w:rPr>
        <w:t>Control Objective</w:t>
      </w:r>
      <w:r>
        <w:rPr/>
        <w:t>: The organization identifies and involves pertinent stakeholders for critical systems, applications and services to support the ongoing secure management of those assets.</w:t>
      </w:r>
    </w:p>
    <w:p>
      <w:pPr>
        <w:pStyle w:val="Normal"/>
        <w:rPr/>
      </w:pPr>
      <w:r>
        <w:rPr/>
      </w:r>
    </w:p>
    <w:p>
      <w:pPr>
        <w:pStyle w:val="Normal"/>
        <w:rPr/>
      </w:pPr>
      <w:r>
        <w:rPr>
          <w:u w:val="single"/>
        </w:rPr>
        <w:t>Standard</w:t>
      </w:r>
      <w:r>
        <w:rPr/>
        <w:t>: NFCC IT department is required to:</w:t>
      </w:r>
    </w:p>
    <w:p>
      <w:pPr>
        <w:pStyle w:val="ListParagraph"/>
        <w:numPr>
          <w:ilvl w:val="0"/>
          <w:numId w:val="663"/>
        </w:numPr>
        <w:rPr/>
      </w:pPr>
      <w:r>
        <w:rPr/>
        <w:t>Identifies pertinent stakeholders for critical systems, applications and services based on technology asset inventories; and</w:t>
      </w:r>
    </w:p>
    <w:p>
      <w:pPr>
        <w:pStyle w:val="ListParagraph"/>
        <w:numPr>
          <w:ilvl w:val="0"/>
          <w:numId w:val="663"/>
        </w:numPr>
        <w:rPr/>
      </w:pPr>
      <w:r>
        <w:rPr/>
        <w:t>Actively involve those stakeholders in the ongoing secure management of those technology assets.</w:t>
      </w:r>
    </w:p>
    <w:p>
      <w:pPr>
        <w:pStyle w:val="Normal"/>
        <w:rPr/>
      </w:pPr>
      <w:r>
        <w:rPr/>
      </w:r>
    </w:p>
    <w:p>
      <w:pPr>
        <w:pStyle w:val="Normal"/>
        <w:rPr/>
      </w:pPr>
      <w:r>
        <w:rPr>
          <w:u w:val="single"/>
        </w:rPr>
        <w:t>Guidelines</w:t>
      </w:r>
      <w:r>
        <w:rPr/>
        <w:t>: None</w:t>
      </w:r>
    </w:p>
    <w:p>
      <w:pPr>
        <w:pStyle w:val="Normal"/>
        <w:rPr/>
      </w:pPr>
      <w:r>
        <w:rPr/>
      </w:r>
    </w:p>
    <w:p>
      <w:pPr>
        <w:pStyle w:val="Normal"/>
        <w:rPr/>
      </w:pPr>
      <w:r>
        <w:rPr/>
      </w:r>
    </w:p>
    <w:p>
      <w:pPr>
        <w:pStyle w:val="Heading2"/>
        <w:rPr/>
      </w:pPr>
      <w:bookmarkStart w:id="90" w:name="_Toc474074750"/>
      <w:bookmarkStart w:id="91" w:name="_Toc474075505"/>
      <w:bookmarkStart w:id="92" w:name="_Toc34920499"/>
      <w:bookmarkStart w:id="93" w:name="_Toc398527083"/>
      <w:r>
        <w:rPr/>
        <w:t>AST-02: Asset Inventor</w:t>
      </w:r>
      <w:bookmarkEnd w:id="93"/>
      <w:r>
        <w:rPr/>
        <w:t>ies</w:t>
      </w:r>
      <w:bookmarkEnd w:id="90"/>
      <w:bookmarkEnd w:id="91"/>
      <w:bookmarkEnd w:id="92"/>
      <w:r>
        <w:rPr/>
        <w:t xml:space="preserve"> </w:t>
      </w:r>
    </w:p>
    <w:p>
      <w:pPr>
        <w:pStyle w:val="Normal"/>
        <w:rPr/>
      </w:pPr>
      <w:r>
        <w:rPr>
          <w:u w:val="single"/>
        </w:rPr>
        <w:t>Control Objective</w:t>
      </w:r>
      <w:r>
        <w:rPr/>
        <w:t>: The organization develops, documents and maintains an inventory of system components that:</w:t>
      </w:r>
      <w:r>
        <w:rPr>
          <w:rStyle w:val="FootnoteCharacters"/>
          <w:rFonts w:cs="Calibri"/>
        </w:rPr>
        <w:t xml:space="preserve"> </w:t>
      </w:r>
      <w:r>
        <w:rPr>
          <w:rStyle w:val="FootnoteAnchor"/>
          <w:rStyle w:val="FootnoteAnchor"/>
          <w:rFonts w:cs="Calibri"/>
        </w:rPr>
        <w:footnoteReference w:id="29"/>
      </w:r>
      <w:r>
        <w:rPr/>
        <w:t xml:space="preserve"> </w:t>
      </w:r>
    </w:p>
    <w:p>
      <w:pPr>
        <w:pStyle w:val="ListParagraph"/>
        <w:numPr>
          <w:ilvl w:val="0"/>
          <w:numId w:val="190"/>
        </w:numPr>
        <w:rPr/>
      </w:pPr>
      <w:r>
        <w:rPr/>
        <w:t xml:space="preserve">Accurately reflects the current system; </w:t>
      </w:r>
    </w:p>
    <w:p>
      <w:pPr>
        <w:pStyle w:val="ListParagraph"/>
        <w:numPr>
          <w:ilvl w:val="0"/>
          <w:numId w:val="190"/>
        </w:numPr>
        <w:rPr/>
      </w:pPr>
      <w:r>
        <w:rPr/>
        <w:t>Is at the level of granularity deemed necessary for tracking and reporting;</w:t>
      </w:r>
    </w:p>
    <w:p>
      <w:pPr>
        <w:pStyle w:val="ListParagraph"/>
        <w:numPr>
          <w:ilvl w:val="0"/>
          <w:numId w:val="190"/>
        </w:numPr>
        <w:rPr/>
      </w:pPr>
      <w:r>
        <w:rPr/>
        <w:t>Includes organization-defined information deemed necessary to achieve effective property accountability; and</w:t>
      </w:r>
    </w:p>
    <w:p>
      <w:pPr>
        <w:pStyle w:val="ListParagraph"/>
        <w:numPr>
          <w:ilvl w:val="0"/>
          <w:numId w:val="190"/>
        </w:numPr>
        <w:rPr/>
      </w:pPr>
      <w:r>
        <w:rPr/>
        <w:t>Is available for review and audit by designated organizational officials.</w:t>
      </w:r>
    </w:p>
    <w:p>
      <w:pPr>
        <w:pStyle w:val="Normal"/>
        <w:rPr/>
      </w:pPr>
      <w:r>
        <w:rPr/>
      </w:r>
    </w:p>
    <w:p>
      <w:pPr>
        <w:pStyle w:val="Normal"/>
        <w:rPr/>
      </w:pPr>
      <w:r>
        <w:rPr>
          <w:u w:val="single"/>
        </w:rPr>
        <w:t>Standard</w:t>
      </w:r>
      <w:r>
        <w:rPr/>
        <w:t>: NFCC is required to maintain an inventory of its technology assets that includes, but is not limited to:</w:t>
      </w:r>
      <w:r>
        <w:rPr>
          <w:rStyle w:val="FootnoteCharacters"/>
          <w:rFonts w:cs="Calibri"/>
        </w:rPr>
        <w:t xml:space="preserve"> </w:t>
      </w:r>
    </w:p>
    <w:p>
      <w:pPr>
        <w:pStyle w:val="ListParagraph"/>
        <w:numPr>
          <w:ilvl w:val="0"/>
          <w:numId w:val="229"/>
        </w:numPr>
        <w:rPr/>
      </w:pPr>
      <w:r>
        <w:rPr/>
        <w:t>Hardware and software inventories, both:</w:t>
      </w:r>
    </w:p>
    <w:p>
      <w:pPr>
        <w:pStyle w:val="ListParagraph"/>
        <w:numPr>
          <w:ilvl w:val="1"/>
          <w:numId w:val="229"/>
        </w:numPr>
        <w:rPr/>
      </w:pPr>
      <w:r>
        <w:rPr/>
        <w:t>Internally-hosted assets; and</w:t>
      </w:r>
    </w:p>
    <w:p>
      <w:pPr>
        <w:pStyle w:val="ListParagraph"/>
        <w:numPr>
          <w:ilvl w:val="1"/>
          <w:numId w:val="229"/>
        </w:numPr>
        <w:rPr/>
      </w:pPr>
      <w:r>
        <w:rPr/>
        <w:t>Externally-hosted assets;</w:t>
      </w:r>
    </w:p>
    <w:p>
      <w:pPr>
        <w:pStyle w:val="ListParagraph"/>
        <w:numPr>
          <w:ilvl w:val="0"/>
          <w:numId w:val="229"/>
        </w:numPr>
        <w:rPr/>
      </w:pPr>
      <w:r>
        <w:rPr/>
        <w:t>A method to accurately and readily determine owner, contact information and purpose (e.g., labeling, coding and / or inventorying of devices);</w:t>
      </w:r>
      <w:r>
        <w:rPr>
          <w:rStyle w:val="FootnoteCharacters"/>
          <w:rFonts w:cs="Calibri"/>
        </w:rPr>
        <w:t xml:space="preserve"> </w:t>
      </w:r>
    </w:p>
    <w:p>
      <w:pPr>
        <w:pStyle w:val="ListParagraph"/>
        <w:numPr>
          <w:ilvl w:val="0"/>
          <w:numId w:val="229"/>
        </w:numPr>
        <w:rPr/>
      </w:pPr>
      <w:r>
        <w:rPr/>
        <w:t>List of company-approved products;</w:t>
      </w:r>
      <w:r>
        <w:rPr>
          <w:rStyle w:val="FootnoteCharacters"/>
          <w:rFonts w:cs="Calibri"/>
        </w:rPr>
        <w:t xml:space="preserve"> </w:t>
      </w:r>
    </w:p>
    <w:p>
      <w:pPr>
        <w:pStyle w:val="ListParagraph"/>
        <w:numPr>
          <w:ilvl w:val="0"/>
          <w:numId w:val="229"/>
        </w:numPr>
        <w:rPr/>
      </w:pPr>
      <w:r>
        <w:rPr/>
        <w:t>Updating the inventory as necessary; and</w:t>
      </w:r>
    </w:p>
    <w:p>
      <w:pPr>
        <w:pStyle w:val="ListParagraph"/>
        <w:numPr>
          <w:ilvl w:val="0"/>
          <w:numId w:val="229"/>
        </w:numPr>
        <w:rPr/>
      </w:pPr>
      <w:r>
        <w:rPr/>
        <w:t xml:space="preserve">Where technically feasible, a list of all personnel with access to assets. </w:t>
      </w:r>
    </w:p>
    <w:p>
      <w:pPr>
        <w:pStyle w:val="Normal"/>
        <w:rPr/>
      </w:pPr>
      <w:r>
        <w:rPr/>
      </w:r>
    </w:p>
    <w:p>
      <w:pPr>
        <w:pStyle w:val="Normal"/>
        <w:rPr/>
      </w:pPr>
      <w:r>
        <w:rPr>
          <w:u w:val="single"/>
        </w:rPr>
        <w:t>Guidelines</w:t>
      </w:r>
      <w:r>
        <w:rPr/>
        <w:t>: The inventory should be updated as an integral part of component installations, removals and system updates. Without an inventory, some system components could be forgotten and be inadvertently excluded from applicable configuration standards. Inventory specifications include, for example, manufacturer, device type, model, serial number and physical location. Devices such as mobile phones, tablets, laptops and other portable electronic devices that store or process data must be identified, regardless of whether they are attached to the organization’s network.</w:t>
      </w:r>
    </w:p>
    <w:p>
      <w:pPr>
        <w:pStyle w:val="Normal"/>
        <w:rPr/>
      </w:pPr>
      <w:r>
        <w:rPr/>
      </w:r>
    </w:p>
    <w:p>
      <w:pPr>
        <w:pStyle w:val="Heading3"/>
        <w:rPr/>
      </w:pPr>
      <w:bookmarkStart w:id="94" w:name="_Toc474074751"/>
      <w:bookmarkStart w:id="95" w:name="_Toc34920500"/>
      <w:r>
        <w:rPr/>
        <w:t>AST-02(a): Asset Inventories | Updates During Installations / Removals</w:t>
      </w:r>
      <w:bookmarkEnd w:id="94"/>
      <w:bookmarkEnd w:id="95"/>
      <w:r>
        <w:rPr/>
        <w:t xml:space="preserve"> </w:t>
      </w:r>
    </w:p>
    <w:p>
      <w:pPr>
        <w:pStyle w:val="Normal"/>
        <w:rPr/>
      </w:pPr>
      <w:r>
        <w:rPr>
          <w:u w:val="single"/>
        </w:rPr>
        <w:t>Control Objective</w:t>
      </w:r>
      <w:r>
        <w:rPr/>
        <w:t>: The organization updates the inventory of system components as an integral part of component installations, removals and system updates.</w:t>
      </w:r>
      <w:r>
        <w:rPr>
          <w:rStyle w:val="FootnoteAnchor"/>
          <w:rStyle w:val="FootnoteAnchor"/>
          <w:rFonts w:cs="Calibri"/>
        </w:rPr>
        <w:footnoteReference w:id="30"/>
      </w:r>
    </w:p>
    <w:p>
      <w:pPr>
        <w:pStyle w:val="Normal"/>
        <w:rPr/>
      </w:pPr>
      <w:r>
        <w:rPr/>
      </w:r>
    </w:p>
    <w:p>
      <w:pPr>
        <w:pStyle w:val="Normal"/>
        <w:rPr/>
      </w:pPr>
      <w:r>
        <w:rPr>
          <w:u w:val="single"/>
        </w:rPr>
        <w:t>Standard</w:t>
      </w:r>
      <w:r>
        <w:rPr/>
        <w:t>: Where technically feasible, asset custodians must update the inventory of system components as an integral part of component installations, removals and system updates.</w:t>
      </w:r>
    </w:p>
    <w:p>
      <w:pPr>
        <w:pStyle w:val="Normal"/>
        <w:rPr/>
      </w:pPr>
      <w:r>
        <w:rPr/>
      </w:r>
    </w:p>
    <w:p>
      <w:pPr>
        <w:pStyle w:val="Normal"/>
        <w:rPr/>
      </w:pPr>
      <w:r>
        <w:rPr>
          <w:u w:val="single"/>
        </w:rPr>
        <w:t>Guidelines</w:t>
      </w:r>
      <w:r>
        <w:rPr/>
        <w:t>: None</w:t>
      </w:r>
    </w:p>
    <w:p>
      <w:pPr>
        <w:pStyle w:val="Normal"/>
        <w:rPr/>
      </w:pPr>
      <w:r>
        <w:rPr/>
      </w:r>
    </w:p>
    <w:p>
      <w:pPr>
        <w:pStyle w:val="Heading3"/>
        <w:rPr/>
      </w:pPr>
      <w:bookmarkStart w:id="96" w:name="_Toc474074752"/>
      <w:bookmarkStart w:id="97" w:name="_Toc34920501"/>
      <w:r>
        <w:rPr/>
        <w:t>AST-02(b): Asset Inventories | Automated Unauthorized Component Detection</w:t>
      </w:r>
      <w:bookmarkEnd w:id="96"/>
      <w:bookmarkEnd w:id="97"/>
      <w:r>
        <w:rPr/>
        <w:t xml:space="preserve"> </w:t>
      </w:r>
    </w:p>
    <w:p>
      <w:pPr>
        <w:pStyle w:val="Normal"/>
        <w:rPr/>
      </w:pPr>
      <w:r>
        <w:rPr>
          <w:u w:val="single"/>
        </w:rPr>
        <w:t>Control Objective</w:t>
      </w:r>
      <w:r>
        <w:rPr/>
        <w:t>: The organization:</w:t>
      </w:r>
      <w:r>
        <w:rPr>
          <w:rStyle w:val="FootnoteAnchor"/>
          <w:rStyle w:val="FootnoteAnchor"/>
          <w:rFonts w:cs="Calibri"/>
        </w:rPr>
        <w:footnoteReference w:id="31"/>
      </w:r>
    </w:p>
    <w:p>
      <w:pPr>
        <w:pStyle w:val="ListParagraph"/>
        <w:numPr>
          <w:ilvl w:val="0"/>
          <w:numId w:val="172"/>
        </w:numPr>
        <w:rPr/>
      </w:pPr>
      <w:r>
        <w:rPr/>
        <w:t>Employs automated mechanisms to detect the presence of unauthorized hardware, software and firmware components within the system; and</w:t>
      </w:r>
    </w:p>
    <w:p>
      <w:pPr>
        <w:pStyle w:val="ListParagraph"/>
        <w:numPr>
          <w:ilvl w:val="0"/>
          <w:numId w:val="172"/>
        </w:numPr>
        <w:rPr/>
      </w:pPr>
      <w:r>
        <w:rPr/>
        <w:t>Takes action when unauthorized components are detected.</w:t>
      </w:r>
    </w:p>
    <w:p>
      <w:pPr>
        <w:pStyle w:val="Normal"/>
        <w:rPr/>
      </w:pPr>
      <w:r>
        <w:rPr/>
      </w:r>
    </w:p>
    <w:p>
      <w:pPr>
        <w:pStyle w:val="Normal"/>
        <w:rPr/>
      </w:pPr>
      <w:r>
        <w:rPr>
          <w:u w:val="single"/>
        </w:rPr>
        <w:t>Standard</w:t>
      </w:r>
      <w:r>
        <w:rPr/>
        <w:t>: If applicable, NFCC’s management of IT Asset Management (ITAM) technologies:</w:t>
      </w:r>
    </w:p>
    <w:p>
      <w:pPr>
        <w:pStyle w:val="ListParagraph"/>
        <w:numPr>
          <w:ilvl w:val="0"/>
          <w:numId w:val="230"/>
        </w:numPr>
        <w:rPr/>
      </w:pPr>
      <w:r>
        <w:rPr/>
        <w:t xml:space="preserve">Employs automated mechanisms to detect the presence of unauthorized hardware, software and firmware components within the system; </w:t>
      </w:r>
    </w:p>
    <w:p>
      <w:pPr>
        <w:pStyle w:val="ListParagraph"/>
        <w:numPr>
          <w:ilvl w:val="0"/>
          <w:numId w:val="230"/>
        </w:numPr>
        <w:rPr/>
      </w:pPr>
      <w:r>
        <w:rPr/>
        <w:t>Takes action when unauthorized components are detected; and</w:t>
      </w:r>
    </w:p>
    <w:p>
      <w:pPr>
        <w:pStyle w:val="ListParagraph"/>
        <w:numPr>
          <w:ilvl w:val="0"/>
          <w:numId w:val="230"/>
        </w:numPr>
        <w:rPr/>
      </w:pPr>
      <w:r>
        <w:rPr/>
        <w:t>Ensures that all equipment acquisitions automatically update the inventory system as new, approved devices are connected to the network.</w:t>
      </w:r>
    </w:p>
    <w:p>
      <w:pPr>
        <w:pStyle w:val="Normal"/>
        <w:rPr/>
      </w:pPr>
      <w:r>
        <w:rPr/>
      </w:r>
    </w:p>
    <w:p>
      <w:pPr>
        <w:pStyle w:val="Normal"/>
        <w:rPr/>
      </w:pPr>
      <w:r>
        <w:rPr>
          <w:u w:val="single"/>
        </w:rPr>
        <w:t>Guidelines</w:t>
      </w:r>
      <w:r>
        <w:rPr/>
        <w:t>: Monitoring for unauthorized system components may be accomplished on an ongoing basis or by the periodic scanning of systems for that purpose. Automated mechanisms can be implemented within systems or in other separate devices. Isolation can be achieved, for example, by placing unauthorized system components in separate domains or subnets or otherwise quarantining such components. This type of component isolation is commonly referred to as sandboxing.</w:t>
      </w:r>
    </w:p>
    <w:p>
      <w:pPr>
        <w:pStyle w:val="Normal"/>
        <w:rPr/>
      </w:pPr>
      <w:r>
        <w:rPr/>
      </w:r>
    </w:p>
    <w:p>
      <w:pPr>
        <w:pStyle w:val="Heading3"/>
        <w:rPr/>
      </w:pPr>
      <w:bookmarkStart w:id="98" w:name="_Toc474074753"/>
      <w:bookmarkStart w:id="99" w:name="_Toc34920502"/>
      <w:r>
        <w:rPr/>
        <w:t>AST-02(c): Asset Inventories | Component Duplication Avoidance</w:t>
      </w:r>
      <w:bookmarkEnd w:id="98"/>
      <w:bookmarkEnd w:id="99"/>
      <w:r>
        <w:rPr/>
        <w:t xml:space="preserve"> </w:t>
      </w:r>
    </w:p>
    <w:p>
      <w:pPr>
        <w:pStyle w:val="Normal"/>
        <w:rPr/>
      </w:pPr>
      <w:r>
        <w:rPr>
          <w:u w:val="single"/>
        </w:rPr>
        <w:t>Control Objective</w:t>
      </w:r>
      <w:r>
        <w:rPr/>
        <w:t>: The organization verifies that all components within the authorization boundary of the system are not duplicated in other system component inventories.</w:t>
      </w:r>
      <w:r>
        <w:rPr>
          <w:rStyle w:val="FootnoteAnchor"/>
          <w:rStyle w:val="FootnoteAnchor"/>
          <w:rFonts w:cs="Calibri"/>
        </w:rPr>
        <w:footnoteReference w:id="32"/>
      </w:r>
    </w:p>
    <w:p>
      <w:pPr>
        <w:pStyle w:val="Normal"/>
        <w:rPr/>
      </w:pPr>
      <w:r>
        <w:rPr/>
      </w:r>
    </w:p>
    <w:p>
      <w:pPr>
        <w:pStyle w:val="Normal"/>
        <w:rPr/>
      </w:pPr>
      <w:r>
        <w:rPr>
          <w:u w:val="single"/>
        </w:rPr>
        <w:t>Standard</w:t>
      </w:r>
      <w:r>
        <w:rPr/>
        <w:t>: Where technically feasible, asset custodians must verify that system components are not duplicated in other asset inventories.</w:t>
      </w:r>
    </w:p>
    <w:p>
      <w:pPr>
        <w:pStyle w:val="Normal"/>
        <w:rPr/>
      </w:pPr>
      <w:r>
        <w:rPr/>
      </w:r>
    </w:p>
    <w:p>
      <w:pPr>
        <w:pStyle w:val="Normal"/>
        <w:rPr/>
      </w:pPr>
      <w:r>
        <w:rPr>
          <w:u w:val="single"/>
        </w:rPr>
        <w:t>Guidelines</w:t>
      </w:r>
      <w:r>
        <w:rPr/>
        <w:t>: This standard addresses the potential problem of duplicate accounting of system components in large or complex interconnected systems.</w:t>
      </w:r>
    </w:p>
    <w:p>
      <w:pPr>
        <w:pStyle w:val="Normal"/>
        <w:rPr/>
      </w:pPr>
      <w:r>
        <w:rPr/>
      </w:r>
    </w:p>
    <w:p>
      <w:pPr>
        <w:pStyle w:val="Heading3"/>
        <w:rPr/>
      </w:pPr>
      <w:bookmarkStart w:id="100" w:name="_Toc474074754"/>
      <w:bookmarkStart w:id="101" w:name="_Toc34920503"/>
      <w:r>
        <w:rPr/>
        <w:t>AST-02(d): Asset Inventories | Approved Deviations</w:t>
      </w:r>
      <w:bookmarkEnd w:id="100"/>
      <w:bookmarkEnd w:id="101"/>
    </w:p>
    <w:p>
      <w:pPr>
        <w:pStyle w:val="Normal"/>
        <w:rPr/>
      </w:pPr>
      <w:r>
        <w:rPr>
          <w:u w:val="single"/>
        </w:rPr>
        <w:t>Control Objective</w:t>
      </w:r>
      <w:r>
        <w:rPr/>
        <w:t>: The organization includes assessed component configurations and any approved deviations to currently deployed configurations in the system component inventory.</w:t>
      </w:r>
    </w:p>
    <w:p>
      <w:pPr>
        <w:pStyle w:val="Normal"/>
        <w:rPr/>
      </w:pPr>
      <w:r>
        <w:rPr/>
      </w:r>
    </w:p>
    <w:p>
      <w:pPr>
        <w:pStyle w:val="Normal"/>
        <w:rPr/>
      </w:pPr>
      <w:r>
        <w:rPr>
          <w:u w:val="single"/>
        </w:rPr>
        <w:t>Standard</w:t>
      </w:r>
      <w:r>
        <w:rPr/>
        <w:t>: Asset custodians are required to request and document approved deviations to deployed configurations in a system under their control.</w:t>
      </w:r>
    </w:p>
    <w:p>
      <w:pPr>
        <w:pStyle w:val="Normal"/>
        <w:rPr/>
      </w:pPr>
      <w:r>
        <w:rPr/>
      </w:r>
    </w:p>
    <w:p>
      <w:pPr>
        <w:pStyle w:val="Normal"/>
        <w:rPr>
          <w:b/>
          <w:b/>
        </w:rPr>
      </w:pPr>
      <w:r>
        <w:rPr>
          <w:u w:val="single"/>
        </w:rPr>
        <w:t>Guidelines</w:t>
      </w:r>
      <w:r>
        <w:rPr/>
        <w:t>: This standard focuses on configuration settings established by organizations for system components, the specific components that have been assessed to determine compliance with the required configuration settings and any approved deviations from established configuration settings.</w:t>
      </w:r>
    </w:p>
    <w:p>
      <w:pPr>
        <w:pStyle w:val="Normal"/>
        <w:rPr/>
      </w:pPr>
      <w:r>
        <w:rPr/>
      </w:r>
    </w:p>
    <w:p>
      <w:pPr>
        <w:pStyle w:val="Heading3"/>
        <w:rPr/>
      </w:pPr>
      <w:bookmarkStart w:id="102" w:name="_Toc474074755"/>
      <w:bookmarkStart w:id="103" w:name="_Toc34920504"/>
      <w:r>
        <w:rPr/>
        <w:t>AST-02(e): Asset Inventories | Network Access Control (NAC)</w:t>
      </w:r>
      <w:bookmarkEnd w:id="102"/>
      <w:bookmarkEnd w:id="103"/>
      <w:r>
        <w:rPr/>
        <w:t xml:space="preserve"> </w:t>
      </w:r>
    </w:p>
    <w:p>
      <w:pPr>
        <w:pStyle w:val="Normal"/>
        <w:rPr/>
      </w:pPr>
      <w:r>
        <w:rPr>
          <w:u w:val="single"/>
        </w:rPr>
        <w:t>Control Objective</w:t>
      </w:r>
      <w:r>
        <w:rPr/>
        <w:t>: The organization:</w:t>
      </w:r>
    </w:p>
    <w:p>
      <w:pPr>
        <w:pStyle w:val="ListParagraph"/>
        <w:numPr>
          <w:ilvl w:val="0"/>
          <w:numId w:val="26"/>
        </w:numPr>
        <w:rPr/>
      </w:pPr>
      <w:r>
        <w:rPr/>
        <w:t>Employs automated mechanisms to detect unauthorized devices; and</w:t>
      </w:r>
    </w:p>
    <w:p>
      <w:pPr>
        <w:pStyle w:val="ListParagraph"/>
        <w:numPr>
          <w:ilvl w:val="0"/>
          <w:numId w:val="26"/>
        </w:numPr>
        <w:rPr/>
      </w:pPr>
      <w:r>
        <w:rPr/>
        <w:t>Disables network access by such devices or notifies designated organizational personnel.</w:t>
      </w:r>
    </w:p>
    <w:p>
      <w:pPr>
        <w:pStyle w:val="Normal"/>
        <w:rPr/>
      </w:pPr>
      <w:r>
        <w:rPr/>
      </w:r>
    </w:p>
    <w:p>
      <w:pPr>
        <w:pStyle w:val="Normal"/>
        <w:rPr/>
      </w:pPr>
      <w:r>
        <w:rPr>
          <w:u w:val="single"/>
        </w:rPr>
        <w:t>Standard</w:t>
      </w:r>
      <w:r>
        <w:rPr/>
        <w:t>: If applicable, NFCC’s management of Network Access Control (NAC) technologies:</w:t>
      </w:r>
    </w:p>
    <w:p>
      <w:pPr>
        <w:pStyle w:val="ListParagraph"/>
        <w:numPr>
          <w:ilvl w:val="0"/>
          <w:numId w:val="231"/>
        </w:numPr>
        <w:rPr/>
      </w:pPr>
      <w:r>
        <w:rPr/>
        <w:t xml:space="preserve">Requires the identification, organization and categorization of key resources, devices and users, </w:t>
      </w:r>
    </w:p>
    <w:p>
      <w:pPr>
        <w:pStyle w:val="ListParagraph"/>
        <w:numPr>
          <w:ilvl w:val="0"/>
          <w:numId w:val="231"/>
        </w:numPr>
        <w:rPr/>
      </w:pPr>
      <w:r>
        <w:rPr/>
        <w:t>Must be mapped to NFCC’s least functionality controls; and</w:t>
      </w:r>
    </w:p>
    <w:p>
      <w:pPr>
        <w:pStyle w:val="ListParagraph"/>
        <w:numPr>
          <w:ilvl w:val="0"/>
          <w:numId w:val="231"/>
        </w:numPr>
        <w:rPr/>
      </w:pPr>
      <w:r>
        <w:rPr/>
        <w:t xml:space="preserve">Requires updating as resources, devices and users change and evolve. </w:t>
      </w:r>
    </w:p>
    <w:p>
      <w:pPr>
        <w:pStyle w:val="Normal"/>
        <w:rPr/>
      </w:pPr>
      <w:r>
        <w:rPr/>
      </w:r>
    </w:p>
    <w:p>
      <w:pPr>
        <w:pStyle w:val="Normal"/>
        <w:rPr/>
      </w:pPr>
      <w:r>
        <w:rPr>
          <w:u w:val="single"/>
        </w:rPr>
        <w:t>Guidelines</w:t>
      </w:r>
      <w:r>
        <w:rPr/>
        <w:t>: Deploy network level authentication via 802.1x to limit and control which devices can be connected to the network. The 802.1x must be tied into the inventory data to determine authorized versus unauthorized systems. Use client certificates to validate and authenticate systems prior to connecting to the private network.</w:t>
      </w:r>
    </w:p>
    <w:p>
      <w:pPr>
        <w:pStyle w:val="Normal"/>
        <w:rPr/>
      </w:pPr>
      <w:r>
        <w:rPr/>
      </w:r>
    </w:p>
    <w:p>
      <w:pPr>
        <w:pStyle w:val="Heading3"/>
        <w:rPr/>
      </w:pPr>
      <w:bookmarkStart w:id="104" w:name="_Toc474074756"/>
      <w:bookmarkStart w:id="105" w:name="_Toc34920505"/>
      <w:r>
        <w:rPr/>
        <w:t>AST-02(f): Asset Inventories | Dynamic Host Configuration Protocol (DHCP) Server Logging</w:t>
      </w:r>
      <w:bookmarkEnd w:id="104"/>
      <w:bookmarkEnd w:id="105"/>
      <w:r>
        <w:rPr/>
        <w:t xml:space="preserve"> </w:t>
      </w:r>
    </w:p>
    <w:p>
      <w:pPr>
        <w:pStyle w:val="Normal"/>
        <w:rPr/>
      </w:pPr>
      <w:r>
        <w:rPr>
          <w:u w:val="single"/>
        </w:rPr>
        <w:t>Control Objective</w:t>
      </w:r>
      <w:r>
        <w:rPr/>
        <w:t>: Dynamic Host Configuration Protocol (DHCP) server logging is used to improve the asset inventory and help detect unknown systems.</w:t>
      </w:r>
    </w:p>
    <w:p>
      <w:pPr>
        <w:pStyle w:val="Normal"/>
        <w:rPr/>
      </w:pPr>
      <w:r>
        <w:rPr/>
      </w:r>
    </w:p>
    <w:p>
      <w:pPr>
        <w:pStyle w:val="Normal"/>
        <w:rPr/>
      </w:pPr>
      <w:r>
        <w:rPr>
          <w:u w:val="single"/>
        </w:rPr>
        <w:t>Standard</w:t>
      </w:r>
      <w:r>
        <w:rPr/>
        <w:t>: Where technically feasible, NFCC’s IT department is required to log Dynamic Host Configuration Protocol (DHCP) events to improve the asset inventory and aid in detecting unauthorized systems on the network.</w:t>
      </w:r>
    </w:p>
    <w:p>
      <w:pPr>
        <w:pStyle w:val="Normal"/>
        <w:rPr/>
      </w:pPr>
      <w:r>
        <w:rPr/>
      </w:r>
    </w:p>
    <w:p>
      <w:pPr>
        <w:pStyle w:val="Normal"/>
        <w:rPr/>
      </w:pPr>
      <w:r>
        <w:rPr>
          <w:u w:val="single"/>
        </w:rPr>
        <w:t>Guidelines</w:t>
      </w:r>
      <w:r>
        <w:rPr/>
        <w:t>: None</w:t>
      </w:r>
    </w:p>
    <w:p>
      <w:pPr>
        <w:pStyle w:val="Normal"/>
        <w:rPr/>
      </w:pPr>
      <w:r>
        <w:rPr/>
      </w:r>
    </w:p>
    <w:p>
      <w:pPr>
        <w:pStyle w:val="Heading3"/>
        <w:rPr/>
      </w:pPr>
      <w:bookmarkStart w:id="106" w:name="_Toc398527163"/>
      <w:bookmarkStart w:id="107" w:name="_Toc474074757"/>
      <w:bookmarkStart w:id="108" w:name="_Toc34920506"/>
      <w:r>
        <w:rPr/>
        <w:t>AST-02(g): Asset Inventories | Software Licensing Restrictions</w:t>
      </w:r>
      <w:bookmarkEnd w:id="106"/>
      <w:bookmarkEnd w:id="107"/>
      <w:bookmarkEnd w:id="108"/>
      <w:r>
        <w:rPr/>
        <w:t xml:space="preserve"> </w:t>
      </w:r>
    </w:p>
    <w:p>
      <w:pPr>
        <w:pStyle w:val="Normal"/>
        <w:rPr/>
      </w:pPr>
      <w:r>
        <w:rPr>
          <w:u w:val="single"/>
        </w:rPr>
        <w:t>Control Objective</w:t>
      </w:r>
      <w:r>
        <w:rPr/>
        <w:t>: The organization implements appropriate procedures to ensure compliance with software licensing restrictions that includes:</w:t>
      </w:r>
      <w:r>
        <w:rPr>
          <w:rStyle w:val="FootnoteAnchor"/>
          <w:rStyle w:val="FootnoteAnchor"/>
          <w:rFonts w:cs="Calibri"/>
        </w:rPr>
        <w:footnoteReference w:id="33"/>
      </w:r>
    </w:p>
    <w:p>
      <w:pPr>
        <w:pStyle w:val="ListParagraph"/>
        <w:numPr>
          <w:ilvl w:val="0"/>
          <w:numId w:val="527"/>
        </w:numPr>
        <w:rPr/>
      </w:pPr>
      <w:r>
        <w:rPr/>
        <w:t>Using software and associated documentation in accordance with contract agreements and copyright laws;</w:t>
      </w:r>
    </w:p>
    <w:p>
      <w:pPr>
        <w:pStyle w:val="ListParagraph"/>
        <w:numPr>
          <w:ilvl w:val="0"/>
          <w:numId w:val="527"/>
        </w:numPr>
        <w:rPr/>
      </w:pPr>
      <w:r>
        <w:rPr/>
        <w:t>Employing tracking systems for software and associated documentation protected by quantity licenses to control copying and distribution; and</w:t>
      </w:r>
    </w:p>
    <w:p>
      <w:pPr>
        <w:pStyle w:val="ListParagraph"/>
        <w:numPr>
          <w:ilvl w:val="0"/>
          <w:numId w:val="527"/>
        </w:numPr>
        <w:rPr/>
      </w:pPr>
      <w:r>
        <w:rPr/>
        <w:t>Controlling and documenting the use of peer-to-peer file sharing technology to ensure that this capability is not used for the unauthorized distribution, display, performance or reproduction of copyrighted work.</w:t>
      </w:r>
    </w:p>
    <w:p>
      <w:pPr>
        <w:pStyle w:val="Normal"/>
        <w:rPr/>
      </w:pPr>
      <w:r>
        <w:rPr/>
      </w:r>
    </w:p>
    <w:p>
      <w:pPr>
        <w:pStyle w:val="Normal"/>
        <w:rPr/>
      </w:pPr>
      <w:r>
        <w:rPr>
          <w:u w:val="single"/>
        </w:rPr>
        <w:t>Standard</w:t>
      </w:r>
      <w:r>
        <w:rPr/>
        <w:t>: Users are required to utilize software in accordance with license agreements and copyright laws.</w:t>
      </w:r>
      <w:r>
        <w:rPr>
          <w:rStyle w:val="FootnoteCharacters"/>
          <w:rFonts w:cs="Calibri"/>
        </w:rPr>
        <w:t xml:space="preserve"> </w:t>
      </w:r>
    </w:p>
    <w:p>
      <w:pPr>
        <w:pStyle w:val="Normal"/>
        <w:rPr/>
      </w:pPr>
      <w:r>
        <w:rPr/>
      </w:r>
    </w:p>
    <w:p>
      <w:pPr>
        <w:pStyle w:val="Normal"/>
        <w:rPr/>
      </w:pPr>
      <w:r>
        <w:rPr>
          <w:u w:val="single"/>
        </w:rPr>
        <w:t>Guidelines</w:t>
      </w:r>
      <w:r>
        <w:rPr/>
        <w:t>: Tracking systems can include, for example, simple spreadsheets or fully automated, specialized applications depending on organizational needs. NFCC should:</w:t>
      </w:r>
    </w:p>
    <w:p>
      <w:pPr>
        <w:pStyle w:val="ListParagraph"/>
        <w:numPr>
          <w:ilvl w:val="0"/>
          <w:numId w:val="130"/>
        </w:numPr>
        <w:rPr/>
      </w:pPr>
      <w:r>
        <w:rPr/>
        <w:t>Employ tracking systems for software and associated documentation protected by quantity licenses to control copying and distribution; and</w:t>
      </w:r>
    </w:p>
    <w:p>
      <w:pPr>
        <w:pStyle w:val="ListParagraph"/>
        <w:numPr>
          <w:ilvl w:val="0"/>
          <w:numId w:val="130"/>
        </w:numPr>
        <w:rPr/>
      </w:pPr>
      <w:r>
        <w:rPr/>
        <w:t>Control and document the use of peer-to-peer file sharing technology to ensure that this capability is not used for the unauthorized distribution, display, performance or reproduction of copyrighted work.</w:t>
      </w:r>
    </w:p>
    <w:p>
      <w:pPr>
        <w:pStyle w:val="Normal"/>
        <w:rPr/>
      </w:pPr>
      <w:r>
        <w:rPr/>
      </w:r>
    </w:p>
    <w:p>
      <w:pPr>
        <w:pStyle w:val="Heading3"/>
        <w:rPr/>
      </w:pPr>
      <w:bookmarkStart w:id="109" w:name="_Toc34920507"/>
      <w:r>
        <w:rPr/>
        <w:t>AST-02(h): Asset Inventories | Data Action Mapping</w:t>
      </w:r>
      <w:bookmarkEnd w:id="109"/>
      <w:r>
        <w:rPr/>
        <w:t xml:space="preserve"> </w:t>
      </w:r>
    </w:p>
    <w:p>
      <w:pPr>
        <w:pStyle w:val="Normal"/>
        <w:rPr/>
      </w:pPr>
      <w:r>
        <w:rPr>
          <w:u w:val="single"/>
        </w:rPr>
        <w:t>Control Objective</w:t>
      </w:r>
      <w:r>
        <w:rPr/>
        <w:t>: The organization develops and documents a map of systems where Personal Data (PD) is stored, transmitted or processed.</w:t>
      </w:r>
    </w:p>
    <w:p>
      <w:pPr>
        <w:pStyle w:val="Normal"/>
        <w:rPr/>
      </w:pPr>
      <w:r>
        <w:rPr/>
      </w:r>
    </w:p>
    <w:p>
      <w:pPr>
        <w:pStyle w:val="Normal"/>
        <w:rPr/>
      </w:pPr>
      <w:r>
        <w:rPr>
          <w:u w:val="single"/>
        </w:rPr>
        <w:t>Standard</w:t>
      </w:r>
      <w:r>
        <w:rPr/>
        <w:t>: Data/process owners, in conjunction with asset custodians, are required to develop and document a system map of data actions that process Personal Data (PD).</w:t>
      </w:r>
    </w:p>
    <w:p>
      <w:pPr>
        <w:pStyle w:val="Normal"/>
        <w:rPr/>
      </w:pPr>
      <w:r>
        <w:rPr/>
      </w:r>
    </w:p>
    <w:p>
      <w:pPr>
        <w:pStyle w:val="Normal"/>
        <w:rPr>
          <w:bCs w:val="false"/>
        </w:rPr>
      </w:pPr>
      <w:r>
        <w:rPr>
          <w:u w:val="single"/>
        </w:rPr>
        <w:t>Guidelines</w:t>
      </w:r>
      <w:r>
        <w:rPr/>
        <w:t>: Data actions are system operations that process Personal Data (PD). Such processing encompasses the full information life cycle which includes collection, generation, transformation, use, disclosure, retention, disposal. Creating a system map of data actions supports a privacy risk assessment. The development of this map may necessitate coordination between the privacy and security programs regarding the covered data actions, the system components and the definition of the authorization boundary.</w:t>
      </w:r>
    </w:p>
    <w:p>
      <w:pPr>
        <w:pStyle w:val="Normal"/>
        <w:rPr>
          <w:rFonts w:eastAsia="Calibri" w:cs="Calibri"/>
          <w:sz w:val="24"/>
        </w:rPr>
      </w:pPr>
      <w:r>
        <w:rPr>
          <w:rFonts w:eastAsia="Calibri" w:cs="Calibri"/>
          <w:sz w:val="24"/>
        </w:rPr>
      </w:r>
    </w:p>
    <w:p>
      <w:pPr>
        <w:pStyle w:val="Heading3"/>
        <w:rPr/>
      </w:pPr>
      <w:bookmarkStart w:id="110" w:name="_Toc23242045"/>
      <w:bookmarkStart w:id="111" w:name="_Toc34920508"/>
      <w:r>
        <w:rPr/>
        <w:t>AST-02(i): Asset Inventories | Configuration Management Database  (CMDB)</w:t>
      </w:r>
      <w:bookmarkEnd w:id="110"/>
      <w:bookmarkEnd w:id="111"/>
      <w:r>
        <w:rPr/>
        <w:t xml:space="preserve"> </w:t>
      </w:r>
    </w:p>
    <w:p>
      <w:pPr>
        <w:pStyle w:val="Normal"/>
        <w:rPr/>
      </w:pPr>
      <w:r>
        <w:rPr>
          <w:rFonts w:cs="Calibri"/>
          <w:u w:val="single"/>
        </w:rPr>
        <w:t>Control Objective</w:t>
      </w:r>
      <w:r>
        <w:rPr>
          <w:rFonts w:cs="Calibri"/>
        </w:rPr>
        <w:t xml:space="preserve">: </w:t>
      </w:r>
      <w:r>
        <w:rPr/>
        <w:t>The organization employs automated mechanisms to help maintain an up-to-date, complete, accurate and readily available inventory of information system components.</w:t>
      </w:r>
      <w:r>
        <w:rPr>
          <w:rStyle w:val="FootnoteCharacters"/>
          <w:rFonts w:cs="Calibri"/>
        </w:rPr>
        <w:t xml:space="preserve"> </w:t>
      </w:r>
      <w:r>
        <w:rPr>
          <w:rStyle w:val="FootnoteAnchor"/>
          <w:rStyle w:val="FootnoteAnchor"/>
          <w:rFonts w:cs="Calibri"/>
        </w:rPr>
        <w:footnoteReference w:id="34"/>
      </w:r>
      <w:r>
        <w:rPr/>
        <w:t xml:space="preserve"> </w:t>
      </w:r>
    </w:p>
    <w:p>
      <w:pPr>
        <w:pStyle w:val="Normal"/>
        <w:rPr>
          <w:rFonts w:cs="Calibri"/>
        </w:rPr>
      </w:pPr>
      <w:r>
        <w:rPr>
          <w:rFonts w:cs="Calibri"/>
        </w:rPr>
      </w:r>
    </w:p>
    <w:p>
      <w:pPr>
        <w:pStyle w:val="Normal"/>
        <w:rPr>
          <w:rFonts w:cs="Calibri"/>
        </w:rPr>
      </w:pPr>
      <w:r>
        <w:rPr>
          <w:rFonts w:cs="Calibri"/>
          <w:bCs w:val="false"/>
          <w:u w:val="single"/>
        </w:rPr>
        <w:t>Standard</w:t>
      </w:r>
      <w:r>
        <w:rPr>
          <w:rFonts w:cs="Calibri"/>
          <w:bCs w:val="false"/>
        </w:rPr>
        <w:t>:</w:t>
      </w:r>
      <w:r>
        <w:rPr>
          <w:rFonts w:cs="Calibri"/>
        </w:rPr>
        <w:t xml:space="preserve"> </w:t>
      </w:r>
      <w:r>
        <w:rPr/>
        <w:t>NFCC shall implement a Configuration Management Database (CMDB) or similar technology, to automate the maintenance of an up-to-date, complete, accurate and readily-available inventory of information system components.</w:t>
      </w:r>
    </w:p>
    <w:p>
      <w:pPr>
        <w:pStyle w:val="Normal"/>
        <w:rPr>
          <w:rFonts w:cs="Calibri"/>
        </w:rPr>
      </w:pPr>
      <w:r>
        <w:rPr>
          <w:rFonts w:cs="Calibri"/>
        </w:rPr>
      </w:r>
    </w:p>
    <w:p>
      <w:pPr>
        <w:pStyle w:val="Normal"/>
        <w:rPr/>
      </w:pPr>
      <w:r>
        <w:rPr>
          <w:rFonts w:cs="Calibri"/>
          <w:u w:val="single"/>
        </w:rPr>
        <w:t>Guidelines</w:t>
      </w:r>
      <w:r>
        <w:rPr>
          <w:rFonts w:cs="Calibri"/>
        </w:rPr>
        <w:t xml:space="preserve">: </w:t>
      </w:r>
      <w:r>
        <w:rPr/>
        <w:t xml:space="preserve">Organizations maintain information system inventories to the extent feasible. Virtual machines, for example, can be difficult to monitor because such machines are not visible to the network when not in use. In such cases, organizations maintain as up-to-date, complete and accurate an inventory as is deemed reasonable.  </w:t>
      </w:r>
    </w:p>
    <w:p>
      <w:pPr>
        <w:pStyle w:val="Normal"/>
        <w:rPr>
          <w:rFonts w:eastAsia="Calibri" w:cs="Calibri"/>
          <w:sz w:val="24"/>
        </w:rPr>
      </w:pPr>
      <w:r>
        <w:rPr>
          <w:rFonts w:eastAsia="Calibri" w:cs="Calibri"/>
          <w:sz w:val="24"/>
        </w:rPr>
      </w:r>
    </w:p>
    <w:p>
      <w:pPr>
        <w:pStyle w:val="Normal"/>
        <w:tabs>
          <w:tab w:val="clear" w:pos="360"/>
          <w:tab w:val="clear" w:pos="720"/>
          <w:tab w:val="clear" w:pos="1080"/>
        </w:tabs>
        <w:jc w:val="left"/>
        <w:rPr/>
      </w:pPr>
      <w:r>
        <w:rPr/>
      </w:r>
    </w:p>
    <w:p>
      <w:pPr>
        <w:pStyle w:val="Heading2"/>
        <w:rPr/>
      </w:pPr>
      <w:bookmarkStart w:id="112" w:name="_Toc34920509"/>
      <w:bookmarkStart w:id="113" w:name="_Toc474074758"/>
      <w:bookmarkStart w:id="114" w:name="_Toc474075506"/>
      <w:r>
        <w:rPr/>
        <w:t>AST-03: Assigning Ownership of Assets</w:t>
      </w:r>
      <w:bookmarkEnd w:id="112"/>
      <w:bookmarkEnd w:id="113"/>
      <w:bookmarkEnd w:id="114"/>
      <w:r>
        <w:rPr/>
        <w:t xml:space="preserve"> </w:t>
      </w:r>
    </w:p>
    <w:p>
      <w:pPr>
        <w:pStyle w:val="Normal"/>
        <w:rPr/>
      </w:pPr>
      <w:r>
        <w:rPr>
          <w:u w:val="single"/>
        </w:rPr>
        <w:t>Control Objective</w:t>
      </w:r>
      <w:r>
        <w:rPr/>
        <w:t>: The organization assigns ownership to assets that are maintained in the inventory.</w:t>
      </w:r>
      <w:r>
        <w:rPr>
          <w:rStyle w:val="FootnoteAnchor"/>
          <w:rStyle w:val="FootnoteAnchor"/>
          <w:rFonts w:cs="Calibri"/>
        </w:rPr>
        <w:footnoteReference w:id="35"/>
      </w:r>
    </w:p>
    <w:p>
      <w:pPr>
        <w:pStyle w:val="Normal"/>
        <w:rPr/>
      </w:pPr>
      <w:r>
        <w:rPr/>
      </w:r>
    </w:p>
    <w:p>
      <w:pPr>
        <w:pStyle w:val="Normal"/>
        <w:rPr/>
      </w:pPr>
      <w:r>
        <w:rPr>
          <w:u w:val="single"/>
        </w:rPr>
        <w:t>Standard</w:t>
      </w:r>
      <w:r>
        <w:rPr/>
        <w:t xml:space="preserve">: NFCC’s requirements for property accountability include: </w:t>
      </w:r>
    </w:p>
    <w:p>
      <w:pPr>
        <w:pStyle w:val="ListParagraph"/>
        <w:numPr>
          <w:ilvl w:val="0"/>
          <w:numId w:val="232"/>
        </w:numPr>
        <w:rPr/>
      </w:pPr>
      <w:r>
        <w:rPr/>
        <w:t>All persons entrusted with NFCC property are responsible for its proper use, care, custody, safekeeping and disposition. Responsibility for items will be assigned in writing;</w:t>
      </w:r>
    </w:p>
    <w:p>
      <w:pPr>
        <w:pStyle w:val="ListParagraph"/>
        <w:numPr>
          <w:ilvl w:val="0"/>
          <w:numId w:val="232"/>
        </w:numPr>
        <w:rPr/>
      </w:pPr>
      <w:r>
        <w:rPr/>
        <w:t>Persons will not be assigned to a duty that will prevent them from exercising proper care and custody for the property for which they are responsible;</w:t>
      </w:r>
    </w:p>
    <w:p>
      <w:pPr>
        <w:pStyle w:val="ListParagraph"/>
        <w:numPr>
          <w:ilvl w:val="0"/>
          <w:numId w:val="232"/>
        </w:numPr>
        <w:rPr/>
      </w:pPr>
      <w:r>
        <w:rPr/>
        <w:t>When a person assumes accountability for property that is remotely located, records must be maintained to show the location of the property and the persons charged with its care and safekeeping;</w:t>
      </w:r>
    </w:p>
    <w:p>
      <w:pPr>
        <w:pStyle w:val="ListParagraph"/>
        <w:numPr>
          <w:ilvl w:val="0"/>
          <w:numId w:val="232"/>
        </w:numPr>
        <w:rPr/>
      </w:pPr>
      <w:r>
        <w:rPr/>
        <w:t>NFCC property will not be used for any private purpose except as authorized by NFCC management;</w:t>
      </w:r>
    </w:p>
    <w:p>
      <w:pPr>
        <w:pStyle w:val="ListParagraph"/>
        <w:numPr>
          <w:ilvl w:val="0"/>
          <w:numId w:val="232"/>
        </w:numPr>
        <w:rPr/>
      </w:pPr>
      <w:r>
        <w:rPr/>
        <w:t>No NFCC property will be sold, given as a gift, loaned, exchanged or otherwise disposed of unless specifically authorized by NFCC management; and</w:t>
      </w:r>
    </w:p>
    <w:p>
      <w:pPr>
        <w:pStyle w:val="ListParagraph"/>
        <w:numPr>
          <w:ilvl w:val="0"/>
          <w:numId w:val="232"/>
        </w:numPr>
        <w:rPr/>
      </w:pPr>
      <w:r>
        <w:rPr/>
        <w:t xml:space="preserve">Property documents shall identify the manufacturer’s make, model and serial number. </w:t>
      </w:r>
    </w:p>
    <w:p>
      <w:pPr>
        <w:pStyle w:val="Normal"/>
        <w:rPr>
          <w:rFonts w:eastAsia="Calibri"/>
        </w:rPr>
      </w:pPr>
      <w:r>
        <w:rPr>
          <w:rFonts w:eastAsia="Calibri"/>
        </w:rPr>
      </w:r>
    </w:p>
    <w:p>
      <w:pPr>
        <w:pStyle w:val="Normal"/>
        <w:rPr/>
      </w:pPr>
      <w:r>
        <w:rPr>
          <w:u w:val="single"/>
        </w:rPr>
        <w:t>Guidelines</w:t>
      </w:r>
      <w:r>
        <w:rPr/>
        <w:t xml:space="preserve">: NFCC should employ an automated mechanism to help maintain an up-to-date, complete, accurate and readily available inventory of system components. </w:t>
      </w:r>
    </w:p>
    <w:p>
      <w:pPr>
        <w:pStyle w:val="Normal"/>
        <w:rPr/>
      </w:pPr>
      <w:r>
        <w:rPr/>
      </w:r>
    </w:p>
    <w:p>
      <w:pPr>
        <w:pStyle w:val="Heading3"/>
        <w:rPr/>
      </w:pPr>
      <w:bookmarkStart w:id="115" w:name="_Toc34920510"/>
      <w:r>
        <w:rPr/>
        <w:t xml:space="preserve">AST-03(a): Assigning Ownership of Assets </w:t>
      </w:r>
      <w:bookmarkStart w:id="116" w:name="_Toc23242047"/>
      <w:r>
        <w:rPr/>
        <w:t>| Accountability Information</w:t>
      </w:r>
      <w:bookmarkEnd w:id="115"/>
      <w:bookmarkEnd w:id="116"/>
      <w:r>
        <w:rPr/>
        <w:t xml:space="preserve">  </w:t>
      </w:r>
    </w:p>
    <w:p>
      <w:pPr>
        <w:pStyle w:val="Normal"/>
        <w:rPr/>
      </w:pPr>
      <w:r>
        <w:rPr>
          <w:rFonts w:cs="Calibri"/>
          <w:u w:val="single"/>
        </w:rPr>
        <w:t>Control Objective</w:t>
      </w:r>
      <w:r>
        <w:rPr>
          <w:rFonts w:cs="Calibri"/>
        </w:rPr>
        <w:t xml:space="preserve">: </w:t>
      </w:r>
      <w:r>
        <w:rPr/>
        <w:t>The organization includes in the information system component inventory information, a means for identifying by the name, position and/or role of individuals responsible/accountable for administering those components.</w:t>
      </w:r>
      <w:r>
        <w:rPr>
          <w:rStyle w:val="FootnoteCharacters"/>
          <w:rFonts w:cs="Calibri"/>
        </w:rPr>
        <w:t xml:space="preserve"> </w:t>
      </w:r>
      <w:r>
        <w:rPr>
          <w:rStyle w:val="FootnoteAnchor"/>
          <w:rStyle w:val="FootnoteAnchor"/>
          <w:rFonts w:cs="Calibri"/>
        </w:rPr>
        <w:footnoteReference w:id="36"/>
      </w:r>
      <w:r>
        <w:rPr/>
        <w:t xml:space="preserve"> </w:t>
      </w:r>
    </w:p>
    <w:p>
      <w:pPr>
        <w:pStyle w:val="Normal"/>
        <w:rPr>
          <w:rFonts w:cs="Calibri"/>
        </w:rPr>
      </w:pPr>
      <w:r>
        <w:rPr>
          <w:rFonts w:cs="Calibri"/>
        </w:rPr>
      </w:r>
    </w:p>
    <w:p>
      <w:pPr>
        <w:pStyle w:val="Normal"/>
        <w:rPr>
          <w:rFonts w:cs="Calibri"/>
        </w:rPr>
      </w:pPr>
      <w:r>
        <w:rPr>
          <w:rFonts w:cs="Calibri"/>
          <w:bCs w:val="false"/>
          <w:u w:val="single"/>
        </w:rPr>
        <w:t>Standard</w:t>
      </w:r>
      <w:r>
        <w:rPr>
          <w:rFonts w:cs="Calibri"/>
          <w:bCs w:val="false"/>
        </w:rPr>
        <w:t>:</w:t>
      </w:r>
      <w:r>
        <w:rPr>
          <w:rFonts w:cs="Calibri"/>
        </w:rPr>
        <w:t xml:space="preserve"> </w:t>
      </w:r>
      <w:r>
        <w:rPr/>
        <w:t>NFCC shall implement a Configuration Management Database (CMDB) or similar technology, to automate the maintenance of an up-to-date, complete, accurate and readily-available inventory of information system components and configure the CMDB to include the name, position and/or role of the data/process owner(s) and asset custodian(s) responsible/accountable for administering NFCC assets.</w:t>
      </w:r>
    </w:p>
    <w:p>
      <w:pPr>
        <w:pStyle w:val="Normal"/>
        <w:rPr>
          <w:rFonts w:cs="Calibri"/>
        </w:rPr>
      </w:pPr>
      <w:r>
        <w:rPr>
          <w:rFonts w:cs="Calibri"/>
        </w:rPr>
      </w:r>
    </w:p>
    <w:p>
      <w:pPr>
        <w:pStyle w:val="Normal"/>
        <w:rPr/>
      </w:pPr>
      <w:r>
        <w:rPr>
          <w:rFonts w:cs="Calibri"/>
          <w:u w:val="single"/>
        </w:rPr>
        <w:t>Guidelines</w:t>
      </w:r>
      <w:r>
        <w:rPr>
          <w:rFonts w:cs="Calibri"/>
        </w:rPr>
        <w:t xml:space="preserve">: </w:t>
      </w:r>
      <w:r>
        <w:rPr/>
        <w:t>Identifying individuals who are both responsible and accountable for administering information system components helps to ensure that the assigned components are properly administered and organizations can contact those individuals if some action is required (e.g., component is determined to be the source of a breach/compromise, component needs to be recalled/replaced or component needs to be relocated).</w:t>
      </w:r>
    </w:p>
    <w:p>
      <w:pPr>
        <w:pStyle w:val="Normal"/>
        <w:rPr/>
      </w:pPr>
      <w:r>
        <w:rPr/>
      </w:r>
    </w:p>
    <w:p>
      <w:pPr>
        <w:pStyle w:val="Heading2"/>
        <w:rPr/>
      </w:pPr>
      <w:bookmarkStart w:id="117" w:name="_Toc34920511"/>
      <w:bookmarkStart w:id="118" w:name="_Toc474074759"/>
      <w:bookmarkStart w:id="119" w:name="_Toc474075507"/>
      <w:r>
        <w:rPr/>
        <w:t>AST-04: Network Diagrams</w:t>
      </w:r>
      <w:bookmarkEnd w:id="118"/>
      <w:bookmarkEnd w:id="119"/>
      <w:r>
        <w:rPr/>
        <w:t xml:space="preserve"> &amp; Data Flow Diagrams (DFDs)</w:t>
      </w:r>
      <w:bookmarkEnd w:id="117"/>
    </w:p>
    <w:p>
      <w:pPr>
        <w:pStyle w:val="Normal"/>
        <w:rPr/>
      </w:pPr>
      <w:r>
        <w:rPr>
          <w:u w:val="single"/>
        </w:rPr>
        <w:t>Control Objective</w:t>
      </w:r>
      <w:r>
        <w:rPr/>
        <w:t>: The organization verifies that all components within the authorization boundary of the system are either inventoried as a part of the system or recognized by another system as a component of that system.</w:t>
      </w:r>
      <w:r>
        <w:rPr>
          <w:rStyle w:val="FootnoteCharacters"/>
          <w:rFonts w:cs="Calibri"/>
          <w:bCs w:val="false"/>
        </w:rPr>
        <w:t xml:space="preserve"> </w:t>
      </w:r>
      <w:r>
        <w:rPr>
          <w:rStyle w:val="FootnoteAnchor"/>
          <w:rStyle w:val="FootnoteAnchor"/>
          <w:rFonts w:cs="Calibri"/>
          <w:bCs w:val="false"/>
        </w:rPr>
        <w:footnoteReference w:id="37"/>
      </w:r>
    </w:p>
    <w:p>
      <w:pPr>
        <w:pStyle w:val="Normal"/>
        <w:rPr/>
      </w:pPr>
      <w:r>
        <w:rPr/>
      </w:r>
    </w:p>
    <w:p>
      <w:pPr>
        <w:pStyle w:val="Normal"/>
        <w:rPr/>
      </w:pPr>
      <w:r>
        <w:rPr>
          <w:u w:val="single"/>
        </w:rPr>
        <w:t>Standard</w:t>
      </w:r>
      <w:r>
        <w:rPr/>
        <w:t>: Data/process owners and asset custodians are required to:</w:t>
      </w:r>
      <w:r>
        <w:rPr>
          <w:rStyle w:val="FootnoteCharacters"/>
          <w:rFonts w:cs="Calibri"/>
          <w:bCs w:val="false"/>
        </w:rPr>
        <w:t xml:space="preserve"> </w:t>
      </w:r>
    </w:p>
    <w:p>
      <w:pPr>
        <w:pStyle w:val="ListParagraph"/>
        <w:numPr>
          <w:ilvl w:val="0"/>
          <w:numId w:val="233"/>
        </w:numPr>
        <w:rPr/>
      </w:pPr>
      <w:r>
        <w:rPr/>
        <w:t>Verify that a current network diagram exists for their environment(s);</w:t>
      </w:r>
    </w:p>
    <w:p>
      <w:pPr>
        <w:pStyle w:val="ListParagraph"/>
        <w:numPr>
          <w:ilvl w:val="0"/>
          <w:numId w:val="233"/>
        </w:numPr>
        <w:rPr/>
      </w:pPr>
      <w:r>
        <w:rPr/>
        <w:t xml:space="preserve">Maintain network architecture diagrams that clearly identify high-risk environments and data flows that may have statutory, regulatory or contractual compliance impacts; and </w:t>
      </w:r>
    </w:p>
    <w:p>
      <w:pPr>
        <w:pStyle w:val="ListParagraph"/>
        <w:numPr>
          <w:ilvl w:val="0"/>
          <w:numId w:val="233"/>
        </w:numPr>
        <w:rPr/>
      </w:pPr>
      <w:r>
        <w:rPr/>
        <w:t>Document all data flows.</w:t>
      </w:r>
    </w:p>
    <w:p>
      <w:pPr>
        <w:pStyle w:val="Normal"/>
        <w:rPr/>
      </w:pPr>
      <w:r>
        <w:rPr/>
      </w:r>
    </w:p>
    <w:p>
      <w:pPr>
        <w:pStyle w:val="Normal"/>
        <w:rPr/>
      </w:pPr>
      <w:r>
        <w:rPr>
          <w:u w:val="single"/>
        </w:rPr>
        <w:t>Guidelines</w:t>
      </w:r>
      <w:r>
        <w:rPr/>
        <w:t>: The network diagrams should provide sufficient documentation to describe the high-level design of the network in terms of systems and implementation details of the security controls employed, with sufficient detail to permit analysis and testing.</w:t>
      </w:r>
    </w:p>
    <w:p>
      <w:pPr>
        <w:pStyle w:val="Normal"/>
        <w:rPr/>
      </w:pPr>
      <w:r>
        <w:rPr/>
      </w:r>
    </w:p>
    <w:p>
      <w:pPr>
        <w:pStyle w:val="Normal"/>
        <w:rPr/>
      </w:pPr>
      <w:r>
        <w:rPr/>
      </w:r>
    </w:p>
    <w:p>
      <w:pPr>
        <w:pStyle w:val="Heading2"/>
        <w:rPr/>
      </w:pPr>
      <w:bookmarkStart w:id="120" w:name="_Toc474074760"/>
      <w:bookmarkStart w:id="121" w:name="_Toc474075508"/>
      <w:bookmarkStart w:id="122" w:name="_Toc34920512"/>
      <w:r>
        <w:rPr/>
        <w:t>AST-05: Security of Assets &amp; Media</w:t>
      </w:r>
      <w:bookmarkEnd w:id="120"/>
      <w:bookmarkEnd w:id="121"/>
      <w:bookmarkEnd w:id="122"/>
      <w:r>
        <w:rPr/>
        <w:t xml:space="preserve"> </w:t>
      </w:r>
    </w:p>
    <w:p>
      <w:pPr>
        <w:pStyle w:val="Normal"/>
        <w:rPr/>
      </w:pPr>
      <w:r>
        <w:rPr>
          <w:u w:val="single"/>
        </w:rPr>
        <w:t>Control Objective</w:t>
      </w:r>
      <w:r>
        <w:rPr/>
        <w:t>: The organization maintains strict control over the internal or external distribution of any kind of asset and media.</w:t>
      </w:r>
      <w:r>
        <w:rPr>
          <w:rStyle w:val="FootnoteAnchor"/>
          <w:rStyle w:val="FootnoteAnchor"/>
          <w:rFonts w:cs="Calibri"/>
        </w:rPr>
        <w:footnoteReference w:id="38"/>
      </w:r>
    </w:p>
    <w:p>
      <w:pPr>
        <w:pStyle w:val="Normal"/>
        <w:rPr/>
      </w:pPr>
      <w:r>
        <w:rPr/>
      </w:r>
    </w:p>
    <w:p>
      <w:pPr>
        <w:pStyle w:val="Normal"/>
        <w:rPr/>
      </w:pPr>
      <w:r>
        <w:rPr>
          <w:u w:val="single"/>
        </w:rPr>
        <w:t>Standard</w:t>
      </w:r>
      <w:r>
        <w:rPr/>
        <w:t>: NFCC’s asset custodians and data / process owners are required to maintain strict control over the internal or external distribution of assets or media, including the following:</w:t>
      </w:r>
      <w:r>
        <w:rPr>
          <w:rStyle w:val="FootnoteCharacters"/>
          <w:rFonts w:cs="Calibri"/>
        </w:rPr>
        <w:t xml:space="preserve"> </w:t>
      </w:r>
    </w:p>
    <w:p>
      <w:pPr>
        <w:pStyle w:val="ListParagraph"/>
        <w:numPr>
          <w:ilvl w:val="0"/>
          <w:numId w:val="234"/>
        </w:numPr>
        <w:rPr/>
      </w:pPr>
      <w:r>
        <w:rPr/>
        <w:t xml:space="preserve">Classifying media in accordance with </w:t>
      </w:r>
      <w:r>
        <w:rPr>
          <w:i/>
          <w:u w:val="single"/>
        </w:rPr>
        <w:t>Annex 1: Data Classification &amp; Handling Guidelines</w:t>
      </w:r>
      <w:r>
        <w:rPr/>
        <w:t xml:space="preserve"> so the sensitivity of the data can be determined;</w:t>
      </w:r>
      <w:r>
        <w:rPr>
          <w:rStyle w:val="FootnoteCharacters"/>
          <w:rFonts w:cs="Calibri"/>
        </w:rPr>
        <w:t xml:space="preserve"> </w:t>
      </w:r>
    </w:p>
    <w:p>
      <w:pPr>
        <w:pStyle w:val="ListParagraph"/>
        <w:numPr>
          <w:ilvl w:val="0"/>
          <w:numId w:val="234"/>
        </w:numPr>
        <w:rPr/>
      </w:pPr>
      <w:r>
        <w:rPr/>
        <w:t>Sending sensitive media by secured courier or another delivery method that can be accurately tracked;</w:t>
      </w:r>
      <w:r>
        <w:rPr>
          <w:rStyle w:val="FootnoteCharacters"/>
          <w:rFonts w:cs="Calibri"/>
        </w:rPr>
        <w:t xml:space="preserve"> </w:t>
      </w:r>
      <w:r>
        <w:rPr/>
        <w:t>and</w:t>
      </w:r>
    </w:p>
    <w:p>
      <w:pPr>
        <w:pStyle w:val="ListParagraph"/>
        <w:numPr>
          <w:ilvl w:val="0"/>
          <w:numId w:val="234"/>
        </w:numPr>
        <w:rPr/>
      </w:pPr>
      <w:r>
        <w:rPr/>
        <w:t>Ensuring prior management approval for any and all media that is moved from a secured area (including when media is distributed to individuals).</w:t>
      </w:r>
      <w:r>
        <w:rPr>
          <w:rStyle w:val="FootnoteCharacters"/>
          <w:rFonts w:cs="Calibri"/>
        </w:rPr>
        <w:t xml:space="preserve"> </w:t>
      </w:r>
    </w:p>
    <w:p>
      <w:pPr>
        <w:pStyle w:val="Normal"/>
        <w:rPr/>
      </w:pPr>
      <w:r>
        <w:rPr/>
      </w:r>
    </w:p>
    <w:p>
      <w:pPr>
        <w:pStyle w:val="Normal"/>
        <w:rPr>
          <w:b/>
          <w:b/>
        </w:rPr>
      </w:pPr>
      <w:r>
        <w:rPr>
          <w:u w:val="single"/>
        </w:rPr>
        <w:t>Guidelines</w:t>
      </w:r>
      <w:r>
        <w:rPr/>
        <w:t xml:space="preserve">: </w:t>
      </w:r>
      <w:r>
        <w:rPr>
          <w:i/>
          <w:u w:val="single"/>
        </w:rPr>
        <w:t>Annex 1: Data Classification &amp; Handling Guidelines</w:t>
      </w:r>
      <w:r>
        <w:rPr/>
        <w:t xml:space="preserve"> covers the topics of data classification and handling in greater detail. </w:t>
      </w:r>
    </w:p>
    <w:p>
      <w:pPr>
        <w:pStyle w:val="Normal"/>
        <w:rPr/>
      </w:pPr>
      <w:r>
        <w:rPr/>
      </w:r>
    </w:p>
    <w:p>
      <w:pPr>
        <w:pStyle w:val="Normal"/>
        <w:rPr/>
      </w:pPr>
      <w:r>
        <w:rPr/>
      </w:r>
    </w:p>
    <w:p>
      <w:pPr>
        <w:pStyle w:val="Heading2"/>
        <w:rPr/>
      </w:pPr>
      <w:bookmarkStart w:id="123" w:name="_Toc474074761"/>
      <w:bookmarkStart w:id="124" w:name="_Toc474075509"/>
      <w:bookmarkStart w:id="125" w:name="_Toc34920513"/>
      <w:r>
        <w:rPr/>
        <w:t>AST-06: Unattended End-User Equipment</w:t>
      </w:r>
      <w:bookmarkEnd w:id="123"/>
      <w:bookmarkEnd w:id="124"/>
      <w:bookmarkEnd w:id="125"/>
      <w:r>
        <w:rPr/>
        <w:t xml:space="preserve"> </w:t>
      </w:r>
    </w:p>
    <w:p>
      <w:pPr>
        <w:pStyle w:val="Normal"/>
        <w:rPr/>
      </w:pPr>
      <w:r>
        <w:rPr>
          <w:u w:val="single"/>
        </w:rPr>
        <w:t>Control Objective</w:t>
      </w:r>
      <w:r>
        <w:rPr/>
        <w:t>: The organization requires enhanced protection measures for unattended user equipment to protect against tampering and unauthorized access.</w:t>
      </w:r>
      <w:r>
        <w:rPr>
          <w:rStyle w:val="FootnoteCharacters"/>
          <w:rFonts w:cs="Calibri"/>
        </w:rPr>
        <w:t xml:space="preserve"> </w:t>
      </w:r>
      <w:r>
        <w:rPr>
          <w:rStyle w:val="FootnoteAnchor"/>
          <w:rStyle w:val="FootnoteAnchor"/>
          <w:rFonts w:cs="Calibri"/>
        </w:rPr>
        <w:footnoteReference w:id="39"/>
      </w:r>
    </w:p>
    <w:p>
      <w:pPr>
        <w:pStyle w:val="Normal"/>
        <w:rPr/>
      </w:pPr>
      <w:r>
        <w:rPr/>
      </w:r>
    </w:p>
    <w:p>
      <w:pPr>
        <w:pStyle w:val="Normal"/>
        <w:rPr/>
      </w:pPr>
      <w:r>
        <w:rPr>
          <w:u w:val="single"/>
        </w:rPr>
        <w:t>Standard</w:t>
      </w:r>
      <w:r>
        <w:rPr/>
        <w:t>: Users must ensure that unattended equipment has appropriate protection. When traveling with NFCC-issued laptops and mobile devices, users are required to:</w:t>
      </w:r>
    </w:p>
    <w:p>
      <w:pPr>
        <w:pStyle w:val="ListParagraph"/>
        <w:numPr>
          <w:ilvl w:val="0"/>
          <w:numId w:val="235"/>
        </w:numPr>
        <w:rPr/>
      </w:pPr>
      <w:r>
        <w:rPr/>
        <w:t>Lock the device(s) in the trunk of a user’s automobile; or</w:t>
      </w:r>
    </w:p>
    <w:p>
      <w:pPr>
        <w:pStyle w:val="ListParagraph"/>
        <w:numPr>
          <w:ilvl w:val="0"/>
          <w:numId w:val="235"/>
        </w:numPr>
        <w:rPr/>
      </w:pPr>
      <w:r>
        <w:rPr/>
        <w:t xml:space="preserve">Maintain physical control and not leave the device(s) in the automobile. </w:t>
      </w:r>
    </w:p>
    <w:p>
      <w:pPr>
        <w:pStyle w:val="Normal"/>
        <w:rPr/>
      </w:pPr>
      <w:r>
        <w:rPr/>
      </w:r>
    </w:p>
    <w:p>
      <w:pPr>
        <w:pStyle w:val="Normal"/>
        <w:rPr/>
      </w:pPr>
      <w:r>
        <w:rPr>
          <w:rFonts w:cs="Calibri"/>
          <w:u w:val="single"/>
        </w:rPr>
        <w:t>Guidelines</w:t>
      </w:r>
      <w:r>
        <w:rPr>
          <w:rFonts w:cs="Calibri"/>
        </w:rPr>
        <w:t xml:space="preserve">: </w:t>
      </w:r>
      <w:r>
        <w:rPr/>
        <w:t>A NFCC laptop or other mobile device must never be left in the passenger compartment of an unattended vehicle. The primary concern with storage in a vehicle’s trunk is damage due to extreme temperature. The average storage temperature range for laptop computers is -40 degrees Fahrenheit to +140 degrees Fahrenheit, so if the trunk exceeds this temperature range, the device should not be left in the vehicle for risk of damage to both the device and the automobile.</w:t>
      </w:r>
    </w:p>
    <w:p>
      <w:pPr>
        <w:pStyle w:val="Normal"/>
        <w:rPr/>
      </w:pPr>
      <w:r>
        <w:rPr/>
      </w:r>
    </w:p>
    <w:p>
      <w:pPr>
        <w:pStyle w:val="Heading3"/>
        <w:rPr/>
      </w:pPr>
      <w:bookmarkStart w:id="126" w:name="_Toc474075229"/>
      <w:bookmarkStart w:id="127" w:name="_Toc34920514"/>
      <w:r>
        <w:rPr/>
        <w:t>AST-06(a): Unattended End-User Equipment | Asset Storage In Automobiles</w:t>
      </w:r>
      <w:bookmarkEnd w:id="126"/>
      <w:bookmarkEnd w:id="127"/>
    </w:p>
    <w:p>
      <w:pPr>
        <w:pStyle w:val="Normal"/>
        <w:rPr/>
      </w:pPr>
      <w:r>
        <w:rPr>
          <w:u w:val="single"/>
        </w:rPr>
        <w:t>Control Objective</w:t>
      </w:r>
      <w:r>
        <w:rPr/>
        <w:t>: The organization requires protection of mobile systems away from organizational premises.</w:t>
      </w:r>
    </w:p>
    <w:p>
      <w:pPr>
        <w:pStyle w:val="Normal"/>
        <w:rPr/>
      </w:pPr>
      <w:r>
        <w:rPr/>
      </w:r>
    </w:p>
    <w:p>
      <w:pPr>
        <w:pStyle w:val="Normal"/>
        <w:rPr/>
      </w:pPr>
      <w:r>
        <w:rPr>
          <w:u w:val="single"/>
        </w:rPr>
        <w:t>Standard</w:t>
      </w:r>
      <w:r>
        <w:rPr/>
        <w:t>: When traveling with NFCC-issued laptops and mobile devices, users are required to:</w:t>
      </w:r>
    </w:p>
    <w:p>
      <w:pPr>
        <w:pStyle w:val="ListParagraph"/>
        <w:numPr>
          <w:ilvl w:val="0"/>
          <w:numId w:val="431"/>
        </w:numPr>
        <w:rPr/>
      </w:pPr>
      <w:r>
        <w:rPr/>
        <w:t>Lock the device(s) in the trunk of a user’s automobile; or</w:t>
      </w:r>
    </w:p>
    <w:p>
      <w:pPr>
        <w:pStyle w:val="ListParagraph"/>
        <w:numPr>
          <w:ilvl w:val="0"/>
          <w:numId w:val="431"/>
        </w:numPr>
        <w:rPr/>
      </w:pPr>
      <w:r>
        <w:rPr/>
        <w:t xml:space="preserve">Maintain physical control and not leave the device(s) in the automobile. </w:t>
      </w:r>
    </w:p>
    <w:p>
      <w:pPr>
        <w:pStyle w:val="Normal"/>
        <w:rPr/>
      </w:pPr>
      <w:r>
        <w:rPr/>
      </w:r>
    </w:p>
    <w:p>
      <w:pPr>
        <w:pStyle w:val="Normal"/>
        <w:rPr/>
      </w:pPr>
      <w:r>
        <w:rPr>
          <w:rFonts w:cs="Calibri"/>
          <w:u w:val="single"/>
        </w:rPr>
        <w:t>Guidelines</w:t>
      </w:r>
      <w:r>
        <w:rPr>
          <w:rFonts w:cs="Calibri"/>
        </w:rPr>
        <w:t xml:space="preserve">: </w:t>
      </w:r>
      <w:r>
        <w:rPr/>
        <w:t xml:space="preserve">A NFCC laptop or other mobile device must never be left in the passenger compartment of an unattended vehicle. </w:t>
      </w:r>
    </w:p>
    <w:p>
      <w:pPr>
        <w:pStyle w:val="Normal"/>
        <w:rPr/>
      </w:pPr>
      <w:r>
        <w:rPr/>
      </w:r>
    </w:p>
    <w:p>
      <w:pPr>
        <w:pStyle w:val="Normal"/>
        <w:rPr/>
      </w:pPr>
      <w:r>
        <w:rPr/>
        <w:t>The primary concern with storage in a vehicle’s trunk is damage due to extreme temperature. The average storage temperature range for laptop computers is -40 degrees Fahrenheit to +140 degrees Fahrenheit, so if the trunk exceeds this temperature range, the device should not be left in the vehicle for risk of damage to both the device and the automobile.</w:t>
      </w:r>
    </w:p>
    <w:p>
      <w:pPr>
        <w:pStyle w:val="Normal"/>
        <w:rPr/>
      </w:pPr>
      <w:r>
        <w:rPr/>
      </w:r>
    </w:p>
    <w:p>
      <w:pPr>
        <w:pStyle w:val="Normal"/>
        <w:rPr/>
      </w:pPr>
      <w:r>
        <w:rPr/>
      </w:r>
    </w:p>
    <w:p>
      <w:pPr>
        <w:pStyle w:val="Heading2"/>
        <w:rPr/>
      </w:pPr>
      <w:bookmarkStart w:id="128" w:name="_Toc474074762"/>
      <w:bookmarkStart w:id="129" w:name="_Toc474075510"/>
      <w:bookmarkStart w:id="130" w:name="_Toc34920515"/>
      <w:r>
        <w:rPr/>
        <w:t>AST-07: Kiosks &amp; Point of Sale (PoS) Devices</w:t>
      </w:r>
      <w:bookmarkEnd w:id="128"/>
      <w:bookmarkEnd w:id="129"/>
      <w:bookmarkEnd w:id="130"/>
    </w:p>
    <w:p>
      <w:pPr>
        <w:pStyle w:val="Normal"/>
        <w:rPr/>
      </w:pPr>
      <w:r>
        <w:rPr>
          <w:u w:val="single"/>
        </w:rPr>
        <w:t>Control Objective</w:t>
      </w:r>
      <w:r>
        <w:rPr/>
        <w:t>: The organization protects devices that captures sensitive data via direct physical interaction from tampering and substitution.</w:t>
      </w:r>
      <w:r>
        <w:rPr>
          <w:rStyle w:val="FootnoteCharacters"/>
          <w:rFonts w:cs="Calibri"/>
        </w:rPr>
        <w:t xml:space="preserve"> </w:t>
      </w:r>
    </w:p>
    <w:p>
      <w:pPr>
        <w:pStyle w:val="Normal"/>
        <w:rPr/>
      </w:pPr>
      <w:r>
        <w:rPr/>
      </w:r>
    </w:p>
    <w:p>
      <w:pPr>
        <w:pStyle w:val="Normal"/>
        <w:rPr/>
      </w:pPr>
      <w:r>
        <w:rPr>
          <w:u w:val="single"/>
        </w:rPr>
        <w:t>Standard</w:t>
      </w:r>
      <w:r>
        <w:rPr/>
        <w:t>: NFCC’s asset custodians and data / process owners are required to implement physical security controls and awareness training to protect devices that capture payment card data (e.g., Point of Sale (PoS) devices) via direct physical interaction with the card from tampering and substitution that includes, but is not limited to:</w:t>
      </w:r>
      <w:r>
        <w:rPr>
          <w:rStyle w:val="FootnoteCharacters"/>
          <w:rFonts w:cs="Calibri"/>
        </w:rPr>
        <w:t xml:space="preserve"> </w:t>
      </w:r>
    </w:p>
    <w:p>
      <w:pPr>
        <w:pStyle w:val="ListParagraph"/>
        <w:numPr>
          <w:ilvl w:val="0"/>
          <w:numId w:val="236"/>
        </w:numPr>
        <w:rPr/>
      </w:pPr>
      <w:r>
        <w:rPr/>
        <w:t>Maintaining an up-to-date list of devices that includes the following:</w:t>
      </w:r>
      <w:r>
        <w:rPr>
          <w:rStyle w:val="FootnoteCharacters"/>
          <w:rFonts w:cs="Calibri"/>
        </w:rPr>
        <w:t xml:space="preserve"> </w:t>
      </w:r>
    </w:p>
    <w:p>
      <w:pPr>
        <w:pStyle w:val="ListParagraph"/>
        <w:numPr>
          <w:ilvl w:val="1"/>
          <w:numId w:val="236"/>
        </w:numPr>
        <w:rPr/>
      </w:pPr>
      <w:r>
        <w:rPr/>
        <w:t>Make, model of device;</w:t>
      </w:r>
    </w:p>
    <w:p>
      <w:pPr>
        <w:pStyle w:val="ListParagraph"/>
        <w:numPr>
          <w:ilvl w:val="1"/>
          <w:numId w:val="236"/>
        </w:numPr>
        <w:rPr/>
      </w:pPr>
      <w:r>
        <w:rPr/>
        <w:t>Location of device (e.g., the address of the site or facility where the device is located); and</w:t>
      </w:r>
    </w:p>
    <w:p>
      <w:pPr>
        <w:pStyle w:val="ListParagraph"/>
        <w:numPr>
          <w:ilvl w:val="1"/>
          <w:numId w:val="236"/>
        </w:numPr>
        <w:rPr/>
      </w:pPr>
      <w:r>
        <w:rPr/>
        <w:t>Device serial number or another method of unique identification;</w:t>
      </w:r>
    </w:p>
    <w:p>
      <w:pPr>
        <w:pStyle w:val="ListParagraph"/>
        <w:numPr>
          <w:ilvl w:val="0"/>
          <w:numId w:val="236"/>
        </w:numPr>
        <w:rPr/>
      </w:pPr>
      <w:r>
        <w:rPr/>
        <w:t>Periodically inspecting device surfaces to detect tampering (e.g., addition of card skimmers to devices) or substitution (e.g., by checking the serial number or other device characteristics to verify it has not been swapped with a fraudulent device);</w:t>
      </w:r>
      <w:r>
        <w:rPr>
          <w:rStyle w:val="FootnoteCharacters"/>
          <w:rFonts w:cs="Calibri"/>
        </w:rPr>
        <w:t xml:space="preserve"> </w:t>
      </w:r>
      <w:r>
        <w:rPr/>
        <w:t>and</w:t>
      </w:r>
    </w:p>
    <w:p>
      <w:pPr>
        <w:pStyle w:val="ListParagraph"/>
        <w:numPr>
          <w:ilvl w:val="0"/>
          <w:numId w:val="236"/>
        </w:numPr>
        <w:rPr/>
      </w:pPr>
      <w:r>
        <w:rPr/>
        <w:t>Providing training for personnel to be aware of attempted tampering or replacement of devices that includes the following:</w:t>
      </w:r>
      <w:r>
        <w:rPr>
          <w:rStyle w:val="FootnoteCharacters"/>
          <w:rFonts w:cs="Calibri"/>
        </w:rPr>
        <w:t xml:space="preserve"> </w:t>
      </w:r>
    </w:p>
    <w:p>
      <w:pPr>
        <w:pStyle w:val="ListParagraph"/>
        <w:numPr>
          <w:ilvl w:val="1"/>
          <w:numId w:val="236"/>
        </w:numPr>
        <w:rPr/>
      </w:pPr>
      <w:r>
        <w:rPr/>
        <w:t>Verifying the identity of any third-party persons claiming to be repair or maintenance personnel, prior to granting them access to modify or troubleshoot devices;</w:t>
      </w:r>
    </w:p>
    <w:p>
      <w:pPr>
        <w:pStyle w:val="ListParagraph"/>
        <w:numPr>
          <w:ilvl w:val="1"/>
          <w:numId w:val="236"/>
        </w:numPr>
        <w:rPr/>
      </w:pPr>
      <w:r>
        <w:rPr/>
        <w:t xml:space="preserve">Prohibiting the installation, replacement or return of devices without verification; </w:t>
      </w:r>
    </w:p>
    <w:p>
      <w:pPr>
        <w:pStyle w:val="ListParagraph"/>
        <w:numPr>
          <w:ilvl w:val="1"/>
          <w:numId w:val="236"/>
        </w:numPr>
        <w:rPr/>
      </w:pPr>
      <w:r>
        <w:rPr/>
        <w:t>Awareness for suspicious behavior around devices (e.g., attempts by unknown persons to unplug or open devices); and</w:t>
      </w:r>
    </w:p>
    <w:p>
      <w:pPr>
        <w:pStyle w:val="ListParagraph"/>
        <w:numPr>
          <w:ilvl w:val="1"/>
          <w:numId w:val="236"/>
        </w:numPr>
        <w:rPr/>
      </w:pPr>
      <w:r>
        <w:rPr/>
        <w:t>Reporting suspicious behavior and indications of device tampering or substitution to appropriate personnel (e.g., to a manager or security officer).</w:t>
      </w:r>
    </w:p>
    <w:p>
      <w:pPr>
        <w:pStyle w:val="Normal"/>
        <w:rPr/>
      </w:pPr>
      <w:r>
        <w:rPr/>
      </w:r>
    </w:p>
    <w:p>
      <w:pPr>
        <w:pStyle w:val="Normal"/>
        <w:rPr>
          <w:b/>
          <w:b/>
        </w:rPr>
      </w:pPr>
      <w:r>
        <w:rPr>
          <w:u w:val="single"/>
        </w:rPr>
        <w:t>Guidelines</w:t>
      </w:r>
      <w:r>
        <w:rPr/>
        <w:t>: Criminals attempt to steal cardholder data by stealing and / or manipulating card-reading devices and terminals. For example, they will try to steal devices so they can learn how to break into them and they often try to replace legitimate devices with fraudulent devices that send them payment card information every time a card is entered. Criminals will also try to add “skimming” components to the outside of devices, which are designed to capture payment card details before they even enter the device. For example, by attaching an additional card reader on top of the legitimate card reader so that the payment card details are captured twice: once by the criminal’s component and then by the device’s legitimate component. In this way, transactions may still be completed without interruption while the criminal is “skimming” the payment card information during the process. Additional industry-recognized leading practices on skimming prevention are available on the PCI SSC website.</w:t>
      </w:r>
    </w:p>
    <w:p>
      <w:pPr>
        <w:pStyle w:val="Normal"/>
        <w:rPr/>
      </w:pPr>
      <w:r>
        <w:rPr/>
      </w:r>
    </w:p>
    <w:p>
      <w:pPr>
        <w:pStyle w:val="Normal"/>
        <w:tabs>
          <w:tab w:val="clear" w:pos="360"/>
          <w:tab w:val="clear" w:pos="720"/>
          <w:tab w:val="clear" w:pos="1080"/>
        </w:tabs>
        <w:jc w:val="left"/>
        <w:rPr/>
      </w:pPr>
      <w:r>
        <w:rPr/>
      </w:r>
    </w:p>
    <w:p>
      <w:pPr>
        <w:pStyle w:val="Heading2"/>
        <w:rPr/>
      </w:pPr>
      <w:bookmarkStart w:id="131" w:name="_Toc34920516"/>
      <w:bookmarkStart w:id="132" w:name="_Toc474074763"/>
      <w:bookmarkStart w:id="133" w:name="_Toc474075511"/>
      <w:r>
        <w:rPr/>
        <w:t>AST-08: Tamper Protection &amp; Detection</w:t>
      </w:r>
      <w:bookmarkEnd w:id="131"/>
      <w:bookmarkEnd w:id="132"/>
      <w:bookmarkEnd w:id="133"/>
    </w:p>
    <w:p>
      <w:pPr>
        <w:pStyle w:val="Normal"/>
        <w:rPr/>
      </w:pPr>
      <w:r>
        <w:rPr>
          <w:u w:val="single"/>
        </w:rPr>
        <w:t>Control Objective</w:t>
      </w:r>
      <w:r>
        <w:rPr/>
        <w:t>: The organization inspects mobile devices for signs of tampering, upon return from geographic regions of concern or other known hostile environments that could lead to device compromise.</w:t>
      </w:r>
    </w:p>
    <w:p>
      <w:pPr>
        <w:pStyle w:val="Normal"/>
        <w:rPr/>
      </w:pPr>
      <w:r>
        <w:rPr/>
      </w:r>
    </w:p>
    <w:p>
      <w:pPr>
        <w:pStyle w:val="Normal"/>
        <w:rPr/>
      </w:pPr>
      <w:r>
        <w:rPr>
          <w:u w:val="single"/>
        </w:rPr>
        <w:t>Standard</w:t>
      </w:r>
      <w:r>
        <w:rPr/>
        <w:t>: Users are required to:</w:t>
      </w:r>
    </w:p>
    <w:p>
      <w:pPr>
        <w:pStyle w:val="ListParagraph"/>
        <w:numPr>
          <w:ilvl w:val="0"/>
          <w:numId w:val="237"/>
        </w:numPr>
        <w:rPr/>
      </w:pPr>
      <w:r>
        <w:rPr/>
        <w:t>Physically examine their mobile devices upon return from travel to locations identified by corporate security as hostile to western businesses for signs of physical or logical tampering; and</w:t>
      </w:r>
    </w:p>
    <w:p>
      <w:pPr>
        <w:pStyle w:val="ListParagraph"/>
        <w:numPr>
          <w:ilvl w:val="0"/>
          <w:numId w:val="237"/>
        </w:numPr>
        <w:rPr/>
      </w:pPr>
      <w:r>
        <w:rPr/>
        <w:t>Immediately report any possible tampering to NFCC management.</w:t>
      </w:r>
    </w:p>
    <w:p>
      <w:pPr>
        <w:pStyle w:val="Normal"/>
        <w:rPr/>
      </w:pPr>
      <w:r>
        <w:rPr/>
      </w:r>
    </w:p>
    <w:p>
      <w:pPr>
        <w:pStyle w:val="Normal"/>
        <w:rPr/>
      </w:pPr>
      <w:r>
        <w:rPr>
          <w:u w:val="single"/>
        </w:rPr>
        <w:t>Guidelines</w:t>
      </w:r>
      <w:r>
        <w:rPr/>
        <w:t xml:space="preserve">: This standard addresses both physical and logical tampering to counter state-sponsored intelligence operations that target western companies. </w:t>
      </w:r>
    </w:p>
    <w:p>
      <w:pPr>
        <w:pStyle w:val="Normal"/>
        <w:rPr/>
      </w:pPr>
      <w:r>
        <w:rPr/>
      </w:r>
    </w:p>
    <w:p>
      <w:pPr>
        <w:pStyle w:val="Normal"/>
        <w:rPr/>
      </w:pPr>
      <w:r>
        <w:rPr/>
        <w:t>Specially configured mobile devices may be needed and these include, for example, computers with sanitized hard drives, limited applications and additional hardening (e.g., more stringent configuration settings). Additional, specific safeguards may be required for the device after travel is completed and before the device is allowed to connect to NFCC’s internal network.</w:t>
      </w:r>
    </w:p>
    <w:p>
      <w:pPr>
        <w:pStyle w:val="Normal"/>
        <w:rPr/>
      </w:pPr>
      <w:r>
        <w:rPr/>
      </w:r>
    </w:p>
    <w:p>
      <w:pPr>
        <w:pStyle w:val="Normal"/>
        <w:rPr/>
      </w:pPr>
      <w:r>
        <w:rPr/>
      </w:r>
    </w:p>
    <w:p>
      <w:pPr>
        <w:pStyle w:val="Heading2"/>
        <w:rPr/>
      </w:pPr>
      <w:bookmarkStart w:id="134" w:name="_Toc474074764"/>
      <w:bookmarkStart w:id="135" w:name="_Toc474075512"/>
      <w:bookmarkStart w:id="136" w:name="_Toc34920517"/>
      <w:r>
        <w:rPr/>
        <w:t>AST-09: Secure Disposal or Re-Use of Equipment</w:t>
      </w:r>
      <w:bookmarkEnd w:id="134"/>
      <w:bookmarkEnd w:id="135"/>
      <w:bookmarkEnd w:id="136"/>
      <w:r>
        <w:rPr/>
        <w:t xml:space="preserve"> </w:t>
      </w:r>
    </w:p>
    <w:p>
      <w:pPr>
        <w:pStyle w:val="Normal"/>
        <w:rPr/>
      </w:pPr>
      <w:r>
        <w:rPr>
          <w:u w:val="single"/>
        </w:rPr>
        <w:t>Control Objective</w:t>
      </w:r>
      <w:r>
        <w:rPr/>
        <w:t>: The organization destroys media when it is no longer needed for business or legal reasons.</w:t>
      </w:r>
      <w:r>
        <w:rPr>
          <w:rStyle w:val="FootnoteCharacters"/>
          <w:rFonts w:cs="Calibri"/>
        </w:rPr>
        <w:t xml:space="preserve"> </w:t>
      </w:r>
      <w:r>
        <w:rPr>
          <w:rStyle w:val="FootnoteAnchor"/>
          <w:rStyle w:val="FootnoteAnchor"/>
          <w:rFonts w:cs="Calibri"/>
        </w:rPr>
        <w:footnoteReference w:id="40"/>
      </w:r>
      <w:r>
        <w:rPr>
          <w:rStyle w:val="FootnoteCharacters"/>
          <w:rFonts w:cs="Calibri"/>
        </w:rPr>
        <w:t xml:space="preserve"> </w:t>
      </w:r>
    </w:p>
    <w:p>
      <w:pPr>
        <w:pStyle w:val="Normal"/>
        <w:rPr/>
      </w:pPr>
      <w:r>
        <w:rPr/>
      </w:r>
    </w:p>
    <w:p>
      <w:pPr>
        <w:pStyle w:val="Normal"/>
        <w:rPr/>
      </w:pPr>
      <w:r>
        <w:rPr>
          <w:u w:val="single"/>
        </w:rPr>
        <w:t>Standard</w:t>
      </w:r>
      <w:r>
        <w:rPr/>
        <w:t xml:space="preserve">: Data / process owners and asset custodians are required to sanitize media when it is no longer needed for business or legal reasons. Asset custodians are required to destroy media that cannot be sanitized, as follows: </w:t>
      </w:r>
    </w:p>
    <w:p>
      <w:pPr>
        <w:pStyle w:val="ListParagraph"/>
        <w:numPr>
          <w:ilvl w:val="0"/>
          <w:numId w:val="238"/>
        </w:numPr>
        <w:rPr/>
      </w:pPr>
      <w:r>
        <w:rPr/>
        <w:t>Shred, incinerate or pulp hardcopy materials so that sensitive data cannot be reconstructed;</w:t>
      </w:r>
      <w:r>
        <w:rPr>
          <w:rStyle w:val="FootnoteCharacters"/>
          <w:rFonts w:cs="Calibri"/>
        </w:rPr>
        <w:t xml:space="preserve"> </w:t>
      </w:r>
      <w:r>
        <w:rPr/>
        <w:t>or</w:t>
      </w:r>
    </w:p>
    <w:p>
      <w:pPr>
        <w:pStyle w:val="ListParagraph"/>
        <w:numPr>
          <w:ilvl w:val="1"/>
          <w:numId w:val="238"/>
        </w:numPr>
        <w:rPr/>
      </w:pPr>
      <w:r>
        <w:rPr/>
        <w:t>Secure storage containers must be used for sensitive data that is waiting to be destroyed.</w:t>
      </w:r>
    </w:p>
    <w:p>
      <w:pPr>
        <w:pStyle w:val="ListParagraph"/>
        <w:numPr>
          <w:ilvl w:val="0"/>
          <w:numId w:val="238"/>
        </w:numPr>
        <w:rPr/>
      </w:pPr>
      <w:r>
        <w:rPr/>
        <w:t>Render data on electronic media unrecoverable so that data cannot be reconstructed.</w:t>
      </w:r>
      <w:r>
        <w:rPr>
          <w:rStyle w:val="FootnoteCharacters"/>
          <w:rFonts w:cs="Calibri"/>
        </w:rPr>
        <w:t xml:space="preserve"> </w:t>
      </w:r>
    </w:p>
    <w:p>
      <w:pPr>
        <w:pStyle w:val="Normal"/>
        <w:rPr/>
      </w:pPr>
      <w:r>
        <w:rPr/>
      </w:r>
    </w:p>
    <w:p>
      <w:pPr>
        <w:pStyle w:val="Normal"/>
        <w:rPr>
          <w:b/>
          <w:b/>
        </w:rPr>
      </w:pPr>
      <w:r>
        <w:rPr>
          <w:u w:val="single"/>
        </w:rPr>
        <w:t>Guidelines</w:t>
      </w:r>
      <w:r>
        <w:rPr/>
        <w:t>: Data destruction may be performed in-house or it may be outsourced to a qualified data destruction vendor. Examples of methods for securely destroying electronic media include secure wiping, degaussing or physical destruction (such as grinding or shredding hard disks).</w:t>
      </w:r>
    </w:p>
    <w:p>
      <w:pPr>
        <w:pStyle w:val="Normal"/>
        <w:rPr/>
      </w:pPr>
      <w:r>
        <w:rPr/>
      </w:r>
    </w:p>
    <w:p>
      <w:pPr>
        <w:pStyle w:val="Normal"/>
        <w:rPr/>
      </w:pPr>
      <w:r>
        <w:rPr/>
      </w:r>
    </w:p>
    <w:p>
      <w:pPr>
        <w:pStyle w:val="Heading2"/>
        <w:rPr/>
      </w:pPr>
      <w:bookmarkStart w:id="137" w:name="_Toc474074765"/>
      <w:bookmarkStart w:id="138" w:name="_Toc474075513"/>
      <w:bookmarkStart w:id="139" w:name="_Toc34920518"/>
      <w:r>
        <w:rPr/>
        <w:t>AST-10: Return of Assets</w:t>
      </w:r>
      <w:bookmarkEnd w:id="137"/>
      <w:bookmarkEnd w:id="138"/>
      <w:bookmarkEnd w:id="139"/>
      <w:r>
        <w:rPr/>
        <w:t xml:space="preserve"> </w:t>
      </w:r>
    </w:p>
    <w:p>
      <w:pPr>
        <w:pStyle w:val="Normal"/>
        <w:rPr/>
      </w:pPr>
      <w:r>
        <w:rPr>
          <w:u w:val="single"/>
        </w:rPr>
        <w:t>Control Objective</w:t>
      </w:r>
      <w:r>
        <w:rPr/>
        <w:t xml:space="preserve">: The organization governs processes to ensure that upon termination of employment, contract or agreement, employees and third-party users return all of the organizational assets in their possession. </w:t>
      </w:r>
      <w:r>
        <w:rPr>
          <w:rStyle w:val="FootnoteAnchor"/>
          <w:rStyle w:val="FootnoteAnchor"/>
          <w:rFonts w:cs="Calibri"/>
        </w:rPr>
        <w:footnoteReference w:id="41"/>
      </w:r>
    </w:p>
    <w:p>
      <w:pPr>
        <w:pStyle w:val="Normal"/>
        <w:rPr/>
      </w:pPr>
      <w:r>
        <w:rPr/>
      </w:r>
    </w:p>
    <w:p>
      <w:pPr>
        <w:pStyle w:val="Normal"/>
        <w:rPr/>
      </w:pPr>
      <w:r>
        <w:rPr>
          <w:u w:val="single"/>
        </w:rPr>
        <w:t>Standard</w:t>
      </w:r>
      <w:r>
        <w:rPr/>
        <w:t>: The direct manager of a terminated user is assigned the responsibility for inventorying and accounting for all NFCC-issued assets, prior to the individual’s departure. Upon termination of workforce personnel and / or expiration of external business relationships, all NFCC-owned assets shall be returned within a twenty-four (24) hour period.</w:t>
      </w:r>
    </w:p>
    <w:p>
      <w:pPr>
        <w:pStyle w:val="Normal"/>
        <w:rPr/>
      </w:pPr>
      <w:r>
        <w:rPr/>
      </w:r>
    </w:p>
    <w:p>
      <w:pPr>
        <w:pStyle w:val="Normal"/>
        <w:rPr/>
      </w:pPr>
      <w:r>
        <w:rPr>
          <w:u w:val="single"/>
        </w:rPr>
        <w:t>Guidelines</w:t>
      </w:r>
      <w:r>
        <w:rPr/>
        <w:t>: Depending on applicable labor laws, this may require withholding the final paycheck from the terminated individual until the company-issued assets are returned. Human Resources must be informed of any missing or damaged company assets that were the responsibility of the terminated individual.</w:t>
      </w:r>
    </w:p>
    <w:p>
      <w:pPr>
        <w:pStyle w:val="Normal"/>
        <w:rPr/>
      </w:pPr>
      <w:r>
        <w:rPr/>
      </w:r>
    </w:p>
    <w:p>
      <w:pPr>
        <w:pStyle w:val="Normal"/>
        <w:tabs>
          <w:tab w:val="clear" w:pos="360"/>
          <w:tab w:val="clear" w:pos="720"/>
          <w:tab w:val="clear" w:pos="1080"/>
        </w:tabs>
        <w:jc w:val="left"/>
        <w:rPr/>
      </w:pPr>
      <w:r>
        <w:rPr/>
      </w:r>
    </w:p>
    <w:p>
      <w:pPr>
        <w:pStyle w:val="Heading2"/>
        <w:rPr/>
      </w:pPr>
      <w:bookmarkStart w:id="140" w:name="_Toc34920519"/>
      <w:bookmarkStart w:id="141" w:name="_Toc474074766"/>
      <w:bookmarkStart w:id="142" w:name="_Toc474075514"/>
      <w:r>
        <w:rPr/>
        <w:t>AST-11: Removal of Assets</w:t>
      </w:r>
      <w:bookmarkEnd w:id="140"/>
      <w:bookmarkEnd w:id="141"/>
      <w:bookmarkEnd w:id="142"/>
      <w:r>
        <w:rPr/>
        <w:t xml:space="preserve"> </w:t>
      </w:r>
    </w:p>
    <w:p>
      <w:pPr>
        <w:pStyle w:val="Normal"/>
        <w:rPr/>
      </w:pPr>
      <w:r>
        <w:rPr>
          <w:u w:val="single"/>
        </w:rPr>
        <w:t>Control Objective</w:t>
      </w:r>
      <w:r>
        <w:rPr/>
        <w:t>: The organization authorizes, controls and tracks the types of systems entering and exiting organizational facilities and maintains appropriate records.</w:t>
      </w:r>
      <w:r>
        <w:rPr>
          <w:rStyle w:val="FootnoteCharacters"/>
          <w:rFonts w:cs="Calibri"/>
        </w:rPr>
        <w:t xml:space="preserve"> </w:t>
      </w:r>
      <w:r>
        <w:rPr>
          <w:rStyle w:val="FootnoteAnchor"/>
          <w:rStyle w:val="FootnoteAnchor"/>
          <w:rFonts w:cs="Calibri"/>
        </w:rPr>
        <w:footnoteReference w:id="42"/>
      </w:r>
      <w:r>
        <w:rPr>
          <w:rFonts w:cs="Calibri"/>
        </w:rPr>
        <w:t xml:space="preserve"> </w:t>
      </w:r>
    </w:p>
    <w:p>
      <w:pPr>
        <w:pStyle w:val="Normal"/>
        <w:rPr/>
      </w:pPr>
      <w:r>
        <w:rPr/>
      </w:r>
    </w:p>
    <w:p>
      <w:pPr>
        <w:pStyle w:val="Normal"/>
        <w:rPr/>
      </w:pPr>
      <w:r>
        <w:rPr>
          <w:u w:val="single"/>
        </w:rPr>
        <w:t>Standard</w:t>
      </w:r>
      <w:r>
        <w:rPr/>
        <w:t>: Authorization must be obtained prior to relocation or transfer of hardware, software or data to offsite premises. Assets are prohibited from being removed from NFCC facilities without prior, management authorization.</w:t>
      </w:r>
      <w:r>
        <w:rPr>
          <w:rStyle w:val="FootnoteCharacters"/>
          <w:rFonts w:cs="Calibri"/>
        </w:rPr>
        <w:t xml:space="preserve"> </w:t>
      </w:r>
      <w:r>
        <w:rPr/>
        <w:t xml:space="preserve">Prior to the removal of the system, the following applicable information must be captured: </w:t>
      </w:r>
    </w:p>
    <w:p>
      <w:pPr>
        <w:pStyle w:val="ListParagraph"/>
        <w:numPr>
          <w:ilvl w:val="0"/>
          <w:numId w:val="239"/>
        </w:numPr>
        <w:rPr/>
      </w:pPr>
      <w:r>
        <w:rPr/>
        <w:t>Make / model / serial # of the asset</w:t>
      </w:r>
    </w:p>
    <w:p>
      <w:pPr>
        <w:pStyle w:val="ListParagraph"/>
        <w:numPr>
          <w:ilvl w:val="0"/>
          <w:numId w:val="239"/>
        </w:numPr>
        <w:rPr/>
      </w:pPr>
      <w:r>
        <w:rPr/>
        <w:t>Owner of the asset</w:t>
      </w:r>
    </w:p>
    <w:p>
      <w:pPr>
        <w:pStyle w:val="ListParagraph"/>
        <w:numPr>
          <w:ilvl w:val="0"/>
          <w:numId w:val="239"/>
        </w:numPr>
        <w:rPr/>
      </w:pPr>
      <w:r>
        <w:rPr/>
        <w:t>Reason the asset is being removed from the facility</w:t>
      </w:r>
    </w:p>
    <w:p>
      <w:pPr>
        <w:pStyle w:val="ListParagraph"/>
        <w:numPr>
          <w:ilvl w:val="0"/>
          <w:numId w:val="239"/>
        </w:numPr>
        <w:rPr/>
      </w:pPr>
      <w:r>
        <w:rPr/>
        <w:t>Company and name of representative removing the asset</w:t>
      </w:r>
    </w:p>
    <w:p>
      <w:pPr>
        <w:pStyle w:val="ListParagraph"/>
        <w:numPr>
          <w:ilvl w:val="0"/>
          <w:numId w:val="239"/>
        </w:numPr>
        <w:rPr/>
      </w:pPr>
      <w:r>
        <w:rPr/>
        <w:t>Estimated return date for the asset, if applicable</w:t>
      </w:r>
    </w:p>
    <w:p>
      <w:pPr>
        <w:pStyle w:val="Normal"/>
        <w:rPr/>
      </w:pPr>
      <w:r>
        <w:rPr/>
      </w:r>
    </w:p>
    <w:p>
      <w:pPr>
        <w:pStyle w:val="Normal"/>
        <w:rPr/>
      </w:pPr>
      <w:r>
        <w:rPr>
          <w:u w:val="single"/>
        </w:rPr>
        <w:t>Guidelines</w:t>
      </w:r>
      <w:r>
        <w:rPr/>
        <w:t xml:space="preserve">: Effectively enforcing authorizations for entry and exit of system components may require restricting access to delivery areas and possibly isolating the areas from the system and media libraries. </w:t>
      </w:r>
    </w:p>
    <w:p>
      <w:pPr>
        <w:pStyle w:val="Normal"/>
        <w:rPr/>
      </w:pPr>
      <w:r>
        <w:rPr/>
      </w:r>
    </w:p>
    <w:p>
      <w:pPr>
        <w:pStyle w:val="Normal"/>
        <w:rPr/>
      </w:pPr>
      <w:r>
        <w:rPr/>
      </w:r>
    </w:p>
    <w:p>
      <w:pPr>
        <w:pStyle w:val="Heading2"/>
        <w:rPr/>
      </w:pPr>
      <w:bookmarkStart w:id="143" w:name="_Toc474074767"/>
      <w:bookmarkStart w:id="144" w:name="_Toc474075515"/>
      <w:bookmarkStart w:id="145" w:name="_Toc34920520"/>
      <w:r>
        <w:rPr/>
        <w:t>AST-12: Use of Personal Devices</w:t>
      </w:r>
      <w:bookmarkEnd w:id="143"/>
      <w:bookmarkEnd w:id="144"/>
      <w:bookmarkEnd w:id="145"/>
      <w:r>
        <w:rPr/>
        <w:t xml:space="preserve"> </w:t>
      </w:r>
    </w:p>
    <w:p>
      <w:pPr>
        <w:pStyle w:val="Normal"/>
        <w:rPr/>
      </w:pPr>
      <w:r>
        <w:rPr>
          <w:u w:val="single"/>
        </w:rPr>
        <w:t>Control Objective</w:t>
      </w:r>
      <w:r>
        <w:rPr/>
        <w:t>: The organization restricts the possession and usage of personally-owned devices at work.</w:t>
      </w:r>
    </w:p>
    <w:p>
      <w:pPr>
        <w:pStyle w:val="Normal"/>
        <w:rPr/>
      </w:pPr>
      <w:r>
        <w:rPr/>
      </w:r>
    </w:p>
    <w:p>
      <w:pPr>
        <w:pStyle w:val="Normal"/>
        <w:rPr/>
      </w:pPr>
      <w:r>
        <w:rPr>
          <w:u w:val="single"/>
        </w:rPr>
        <w:t>Standard</w:t>
      </w:r>
      <w:r>
        <w:rPr/>
        <w:t xml:space="preserve">: Within NFCC’s facilities, the use of personally owned technology assets shall be restricted: </w:t>
      </w:r>
    </w:p>
    <w:p>
      <w:pPr>
        <w:pStyle w:val="ListParagraph"/>
        <w:numPr>
          <w:ilvl w:val="0"/>
          <w:numId w:val="240"/>
        </w:numPr>
        <w:rPr>
          <w:rFonts w:cs="Calibri"/>
        </w:rPr>
      </w:pPr>
      <w:r>
        <w:rPr>
          <w:rFonts w:cs="Calibri"/>
        </w:rPr>
        <w:t>Personally-owned technology assets are prohibited from:</w:t>
      </w:r>
    </w:p>
    <w:p>
      <w:pPr>
        <w:pStyle w:val="ListParagraph"/>
        <w:numPr>
          <w:ilvl w:val="1"/>
          <w:numId w:val="240"/>
        </w:numPr>
        <w:rPr>
          <w:rFonts w:cs="Calibri"/>
        </w:rPr>
      </w:pPr>
      <w:r>
        <w:rPr>
          <w:rFonts w:cs="Calibri"/>
        </w:rPr>
        <w:t>Connecting to any NFCC system;</w:t>
      </w:r>
    </w:p>
    <w:p>
      <w:pPr>
        <w:pStyle w:val="ListParagraph"/>
        <w:numPr>
          <w:ilvl w:val="1"/>
          <w:numId w:val="240"/>
        </w:numPr>
        <w:rPr>
          <w:rFonts w:cs="Calibri"/>
        </w:rPr>
      </w:pPr>
      <w:r>
        <w:rPr>
          <w:rFonts w:cs="Calibri"/>
        </w:rPr>
        <w:t>Connecting to NFCC’s corporate network; or</w:t>
      </w:r>
    </w:p>
    <w:p>
      <w:pPr>
        <w:pStyle w:val="ListParagraph"/>
        <w:numPr>
          <w:ilvl w:val="1"/>
          <w:numId w:val="240"/>
        </w:numPr>
        <w:rPr>
          <w:rFonts w:cs="Calibri"/>
        </w:rPr>
      </w:pPr>
      <w:r>
        <w:rPr>
          <w:rFonts w:cs="Calibri"/>
        </w:rPr>
        <w:t>Use in restricted areas; and</w:t>
      </w:r>
    </w:p>
    <w:p>
      <w:pPr>
        <w:pStyle w:val="ListParagraph"/>
        <w:numPr>
          <w:ilvl w:val="0"/>
          <w:numId w:val="240"/>
        </w:numPr>
        <w:rPr>
          <w:rFonts w:cs="Calibri"/>
        </w:rPr>
      </w:pPr>
      <w:r>
        <w:rPr>
          <w:rFonts w:cs="Calibri"/>
        </w:rPr>
        <w:t>With management approval, personally owned technology assets are allowed to:</w:t>
      </w:r>
    </w:p>
    <w:p>
      <w:pPr>
        <w:pStyle w:val="ListParagraph"/>
        <w:numPr>
          <w:ilvl w:val="1"/>
          <w:numId w:val="240"/>
        </w:numPr>
        <w:rPr>
          <w:rFonts w:cs="Calibri"/>
        </w:rPr>
      </w:pPr>
      <w:r>
        <w:rPr>
          <w:rFonts w:cs="Calibri"/>
        </w:rPr>
        <w:t>Connect to the guest wireless network; and</w:t>
      </w:r>
    </w:p>
    <w:p>
      <w:pPr>
        <w:pStyle w:val="ListParagraph"/>
        <w:numPr>
          <w:ilvl w:val="1"/>
          <w:numId w:val="240"/>
        </w:numPr>
        <w:rPr>
          <w:rFonts w:cs="Calibri"/>
        </w:rPr>
      </w:pPr>
      <w:r>
        <w:rPr>
          <w:rFonts w:cs="Calibri"/>
        </w:rPr>
        <w:t>Remain in possession of the employee within the facility.</w:t>
      </w:r>
    </w:p>
    <w:p>
      <w:pPr>
        <w:pStyle w:val="Normal"/>
        <w:rPr/>
      </w:pPr>
      <w:r>
        <w:rPr/>
      </w:r>
    </w:p>
    <w:p>
      <w:pPr>
        <w:pStyle w:val="Normal"/>
        <w:rPr/>
      </w:pPr>
      <w:r>
        <w:rPr>
          <w:u w:val="single"/>
        </w:rPr>
        <w:t>Guidelines</w:t>
      </w:r>
      <w:r>
        <w:rPr/>
        <w:t>: Employees are strongly encouraged to discuss the usage of personally owned technology assets with their immediate supervisor(s) for specific guidance. Personally-owned technology assets include, but are not limited to:</w:t>
      </w:r>
    </w:p>
    <w:p>
      <w:pPr>
        <w:pStyle w:val="ListParagraph"/>
        <w:numPr>
          <w:ilvl w:val="0"/>
          <w:numId w:val="218"/>
        </w:numPr>
        <w:rPr/>
      </w:pPr>
      <w:r>
        <w:rPr/>
        <w:t>Headphones;</w:t>
      </w:r>
    </w:p>
    <w:p>
      <w:pPr>
        <w:pStyle w:val="ListParagraph"/>
        <w:numPr>
          <w:ilvl w:val="0"/>
          <w:numId w:val="218"/>
        </w:numPr>
        <w:rPr/>
      </w:pPr>
      <w:r>
        <w:rPr/>
        <w:t>Desk lamps;</w:t>
      </w:r>
    </w:p>
    <w:p>
      <w:pPr>
        <w:pStyle w:val="ListParagraph"/>
        <w:numPr>
          <w:ilvl w:val="0"/>
          <w:numId w:val="218"/>
        </w:numPr>
        <w:rPr/>
      </w:pPr>
      <w:r>
        <w:rPr/>
        <w:t>Digital photo frames; and</w:t>
      </w:r>
    </w:p>
    <w:p>
      <w:pPr>
        <w:pStyle w:val="ListParagraph"/>
        <w:numPr>
          <w:ilvl w:val="0"/>
          <w:numId w:val="218"/>
        </w:numPr>
        <w:rPr/>
      </w:pPr>
      <w:r>
        <w:rPr/>
        <w:t>MP3 music players.</w:t>
      </w:r>
    </w:p>
    <w:p>
      <w:pPr>
        <w:pStyle w:val="Normal"/>
        <w:rPr/>
      </w:pPr>
      <w:r>
        <w:rPr/>
      </w:r>
    </w:p>
    <w:p>
      <w:pPr>
        <w:pStyle w:val="Normal"/>
        <w:rPr/>
      </w:pPr>
      <w:r>
        <w:rPr/>
      </w:r>
    </w:p>
    <w:p>
      <w:pPr>
        <w:pStyle w:val="Heading2"/>
        <w:rPr/>
      </w:pPr>
      <w:bookmarkStart w:id="146" w:name="_Toc34920521"/>
      <w:bookmarkStart w:id="147" w:name="_Toc474074768"/>
      <w:bookmarkStart w:id="148" w:name="_Toc474075516"/>
      <w:r>
        <w:rPr/>
        <w:t xml:space="preserve">AST-13: Use of Third-Party </w:t>
      </w:r>
      <w:bookmarkEnd w:id="147"/>
      <w:bookmarkEnd w:id="148"/>
      <w:r>
        <w:rPr/>
        <w:t>Devices</w:t>
      </w:r>
      <w:bookmarkEnd w:id="146"/>
    </w:p>
    <w:p>
      <w:pPr>
        <w:pStyle w:val="Normal"/>
        <w:rPr/>
      </w:pPr>
      <w:r>
        <w:rPr>
          <w:u w:val="single"/>
        </w:rPr>
        <w:t>Control Objective</w:t>
      </w:r>
      <w:r>
        <w:rPr/>
        <w:t>: The organization maintains knowledge of and control over third-party assets that are attached to its networks to reduce the risk associated with harming organizational assets or exfiltrating organizational data.</w:t>
      </w:r>
    </w:p>
    <w:p>
      <w:pPr>
        <w:pStyle w:val="Normal"/>
        <w:rPr/>
      </w:pPr>
      <w:r>
        <w:rPr/>
      </w:r>
    </w:p>
    <w:p>
      <w:pPr>
        <w:pStyle w:val="Normal"/>
        <w:rPr/>
      </w:pPr>
      <w:r>
        <w:rPr>
          <w:u w:val="single"/>
        </w:rPr>
        <w:t>Standard</w:t>
      </w:r>
      <w:r>
        <w:rPr/>
        <w:t>: Assets belonging to and accessed by third-parties are prohibited from connecting to NFCC’s networks or assets without prior authorization by NFCC management. The safe installation, maintenance and removal of third-party assets must be ensured through the following:</w:t>
      </w:r>
    </w:p>
    <w:p>
      <w:pPr>
        <w:pStyle w:val="ListParagraph"/>
        <w:numPr>
          <w:ilvl w:val="0"/>
          <w:numId w:val="241"/>
        </w:numPr>
        <w:rPr/>
      </w:pPr>
      <w:r>
        <w:rPr/>
        <w:t>All third-party assets must be assigned a NFCC asset custodian;</w:t>
      </w:r>
    </w:p>
    <w:p>
      <w:pPr>
        <w:pStyle w:val="ListParagraph"/>
        <w:numPr>
          <w:ilvl w:val="0"/>
          <w:numId w:val="241"/>
        </w:numPr>
        <w:rPr/>
      </w:pPr>
      <w:r>
        <w:rPr/>
        <w:t>Third-Party assets must be documented in the asset inventory, to include third-party contact information;</w:t>
      </w:r>
    </w:p>
    <w:p>
      <w:pPr>
        <w:pStyle w:val="ListParagraph"/>
        <w:numPr>
          <w:ilvl w:val="0"/>
          <w:numId w:val="241"/>
        </w:numPr>
        <w:rPr/>
      </w:pPr>
      <w:r>
        <w:rPr/>
        <w:t>Asset custodians must document how and when the third-party owner is authorized to access the asset;</w:t>
      </w:r>
    </w:p>
    <w:p>
      <w:pPr>
        <w:pStyle w:val="ListParagraph"/>
        <w:numPr>
          <w:ilvl w:val="0"/>
          <w:numId w:val="241"/>
        </w:numPr>
        <w:rPr/>
      </w:pPr>
      <w:r>
        <w:rPr/>
        <w:t xml:space="preserve">The third-party must make provisions for the periodic verification of the asset’s functionality and the continued use on NFCC’s network; and </w:t>
      </w:r>
    </w:p>
    <w:p>
      <w:pPr>
        <w:pStyle w:val="ListParagraph"/>
        <w:numPr>
          <w:ilvl w:val="0"/>
          <w:numId w:val="241"/>
        </w:numPr>
        <w:rPr/>
      </w:pPr>
      <w:r>
        <w:rPr/>
        <w:t>Third-Party assets cannot be removed without first purging all NFCC’s sensitive data.</w:t>
      </w:r>
    </w:p>
    <w:p>
      <w:pPr>
        <w:pStyle w:val="Normal"/>
        <w:rPr/>
      </w:pPr>
      <w:r>
        <w:rPr/>
      </w:r>
    </w:p>
    <w:p>
      <w:pPr>
        <w:pStyle w:val="Normal"/>
        <w:rPr/>
      </w:pPr>
      <w:r>
        <w:rPr>
          <w:u w:val="single"/>
        </w:rPr>
        <w:t>Guidelines</w:t>
      </w:r>
      <w:r>
        <w:rPr/>
        <w:t>: The third-party’s Statement of Work (SOW) should specific the necessary equipment, support and connectivity a third-party resource may need in a NFCC facility.</w:t>
      </w:r>
    </w:p>
    <w:p>
      <w:pPr>
        <w:pStyle w:val="Normal"/>
        <w:rPr/>
      </w:pPr>
      <w:r>
        <w:rPr/>
      </w:r>
    </w:p>
    <w:p>
      <w:pPr>
        <w:pStyle w:val="Normal"/>
        <w:rPr/>
      </w:pPr>
      <w:r>
        <w:rPr/>
      </w:r>
    </w:p>
    <w:p>
      <w:pPr>
        <w:pStyle w:val="Heading2"/>
        <w:rPr/>
      </w:pPr>
      <w:bookmarkStart w:id="149" w:name="_Toc474074769"/>
      <w:bookmarkStart w:id="150" w:name="_Toc474075517"/>
      <w:bookmarkStart w:id="151" w:name="_Toc34920522"/>
      <w:r>
        <w:rPr/>
        <w:t>AST-14: Usage Parameters</w:t>
      </w:r>
      <w:bookmarkEnd w:id="149"/>
      <w:bookmarkEnd w:id="150"/>
      <w:bookmarkEnd w:id="151"/>
      <w:r>
        <w:rPr/>
        <w:t xml:space="preserve"> </w:t>
      </w:r>
    </w:p>
    <w:p>
      <w:pPr>
        <w:pStyle w:val="Normal"/>
        <w:rPr/>
      </w:pPr>
      <w:r>
        <w:rPr>
          <w:u w:val="single"/>
        </w:rPr>
        <w:t>Control Objective</w:t>
      </w:r>
      <w:r>
        <w:rPr/>
        <w:t>: The organization:</w:t>
      </w:r>
      <w:r>
        <w:rPr>
          <w:rStyle w:val="FootnoteCharacters"/>
          <w:rFonts w:cs="Calibri"/>
        </w:rPr>
        <w:t xml:space="preserve"> </w:t>
      </w:r>
      <w:r>
        <w:rPr>
          <w:rStyle w:val="FootnoteAnchor"/>
          <w:rStyle w:val="FootnoteAnchor"/>
          <w:rFonts w:cs="Calibri"/>
        </w:rPr>
        <w:footnoteReference w:id="43"/>
      </w:r>
    </w:p>
    <w:p>
      <w:pPr>
        <w:pStyle w:val="ListParagraph"/>
        <w:numPr>
          <w:ilvl w:val="0"/>
          <w:numId w:val="150"/>
        </w:numPr>
        <w:rPr/>
      </w:pPr>
      <w:r>
        <w:rPr/>
        <w:t>Establishes usage restrictions and implementation guidance for system components based on the potential to cause damage to the system, if used maliciously; and</w:t>
      </w:r>
    </w:p>
    <w:p>
      <w:pPr>
        <w:pStyle w:val="ListParagraph"/>
        <w:numPr>
          <w:ilvl w:val="0"/>
          <w:numId w:val="150"/>
        </w:numPr>
        <w:rPr/>
      </w:pPr>
      <w:r>
        <w:rPr/>
        <w:t>Authorizes, monitors and controls the use of such components within the system.</w:t>
      </w:r>
    </w:p>
    <w:p>
      <w:pPr>
        <w:pStyle w:val="Normal"/>
        <w:rPr/>
      </w:pPr>
      <w:r>
        <w:rPr/>
      </w:r>
    </w:p>
    <w:p>
      <w:pPr>
        <w:pStyle w:val="Normal"/>
        <w:rPr/>
      </w:pPr>
      <w:r>
        <w:rPr>
          <w:u w:val="single"/>
        </w:rPr>
        <w:t>Standard</w:t>
      </w:r>
      <w:r>
        <w:rPr/>
        <w:t xml:space="preserve">: Where applicable, asset custodians and data / process owners are required to take appropriate precautions to secure system components based on the potential to cause damage to the asset, if used maliciously. </w:t>
      </w:r>
    </w:p>
    <w:p>
      <w:pPr>
        <w:pStyle w:val="Normal"/>
        <w:rPr/>
      </w:pPr>
      <w:r>
        <w:rPr/>
      </w:r>
    </w:p>
    <w:p>
      <w:pPr>
        <w:pStyle w:val="Normal"/>
        <w:rPr/>
      </w:pPr>
      <w:r>
        <w:rPr>
          <w:u w:val="single"/>
        </w:rPr>
        <w:t>Guidelines</w:t>
      </w:r>
      <w:r>
        <w:rPr/>
        <w:t>: This helps address threats that include the Aurora cyber-attack where technical configurations caused catastrophic failure of a mechanical system. System components include hardware, software or firmware components (e.g., Voice Over Internet Protocol, mobile code, digital copiers, printers, scanners, optical devices, wireless technologies, mobile devices).</w:t>
      </w:r>
    </w:p>
    <w:p>
      <w:pPr>
        <w:pStyle w:val="Normal"/>
        <w:rPr/>
      </w:pPr>
      <w:r>
        <w:rPr/>
      </w:r>
    </w:p>
    <w:p>
      <w:pPr>
        <w:pStyle w:val="Normal"/>
        <w:rPr/>
      </w:pPr>
      <w:r>
        <w:rPr/>
      </w:r>
    </w:p>
    <w:p>
      <w:pPr>
        <w:pStyle w:val="Heading2"/>
        <w:rPr/>
      </w:pPr>
      <w:bookmarkStart w:id="152" w:name="_Toc34920523"/>
      <w:bookmarkStart w:id="153" w:name="_Toc474074770"/>
      <w:bookmarkStart w:id="154" w:name="_Toc474075518"/>
      <w:r>
        <w:rPr/>
        <w:t xml:space="preserve">AST-15: Tamper </w:t>
      </w:r>
      <w:bookmarkEnd w:id="153"/>
      <w:bookmarkEnd w:id="154"/>
      <w:r>
        <w:rPr/>
        <w:t>Protection</w:t>
      </w:r>
      <w:bookmarkEnd w:id="152"/>
      <w:r>
        <w:rPr/>
        <w:t xml:space="preserve"> </w:t>
      </w:r>
    </w:p>
    <w:p>
      <w:pPr>
        <w:pStyle w:val="Normal"/>
        <w:rPr/>
      </w:pPr>
      <w:r>
        <w:rPr>
          <w:u w:val="single"/>
        </w:rPr>
        <w:t>Control Objective</w:t>
      </w:r>
      <w:r>
        <w:rPr/>
        <w:t>: The organization implements a tamper protection program for critical systems, system components and services.</w:t>
      </w:r>
      <w:r>
        <w:rPr>
          <w:rStyle w:val="FootnoteAnchor"/>
          <w:rStyle w:val="FootnoteAnchor"/>
        </w:rPr>
        <w:footnoteReference w:id="44"/>
      </w:r>
    </w:p>
    <w:p>
      <w:pPr>
        <w:pStyle w:val="Normal"/>
        <w:rPr/>
      </w:pPr>
      <w:r>
        <w:rPr/>
      </w:r>
    </w:p>
    <w:p>
      <w:pPr>
        <w:pStyle w:val="Normal"/>
        <w:rPr/>
      </w:pPr>
      <w:r>
        <w:rPr>
          <w:u w:val="single"/>
        </w:rPr>
        <w:t>Standard</w:t>
      </w:r>
      <w:r>
        <w:rPr/>
        <w:t>: Where technically feasible, asset owners are required to employ anti-tamper technologies and techniques throughout the phases of the Secure Development Life Cycle (SDLC) including design, development, integration, operations and maintenance.</w:t>
      </w:r>
    </w:p>
    <w:p>
      <w:pPr>
        <w:pStyle w:val="Normal"/>
        <w:rPr/>
      </w:pPr>
      <w:r>
        <w:rPr/>
      </w:r>
    </w:p>
    <w:p>
      <w:pPr>
        <w:pStyle w:val="Normal"/>
        <w:rPr/>
      </w:pPr>
      <w:r>
        <w:rPr>
          <w:u w:val="single"/>
        </w:rPr>
        <w:t>Guidelines</w:t>
      </w:r>
      <w:r>
        <w:rPr/>
        <w:t xml:space="preserve">: Anti-tamper technologies and techniques provide a level of protection for critical systems, system components and information technology products against a number of related threats including modification, reverse engineering and substitution. Strong identification combined with tamper resistance and / or tamper detection is essential to protecting systems, components and products during distribution and when in use. </w:t>
      </w:r>
    </w:p>
    <w:p>
      <w:pPr>
        <w:pStyle w:val="Normal"/>
        <w:rPr/>
      </w:pPr>
      <w:r>
        <w:rPr/>
      </w:r>
    </w:p>
    <w:p>
      <w:pPr>
        <w:pStyle w:val="Heading3"/>
        <w:rPr/>
      </w:pPr>
      <w:bookmarkStart w:id="155" w:name="_Toc474074771"/>
      <w:bookmarkStart w:id="156" w:name="_Toc34920524"/>
      <w:r>
        <w:rPr/>
        <w:t>AST-15(a): Tamper Protection | Inspection of Systems, Components &amp; Devices</w:t>
      </w:r>
      <w:bookmarkEnd w:id="155"/>
      <w:bookmarkEnd w:id="156"/>
      <w:r>
        <w:rPr/>
        <w:t xml:space="preserve"> </w:t>
      </w:r>
    </w:p>
    <w:p>
      <w:pPr>
        <w:pStyle w:val="Normal"/>
        <w:rPr/>
      </w:pPr>
      <w:r>
        <w:rPr>
          <w:u w:val="single"/>
        </w:rPr>
        <w:t>Control Objective</w:t>
      </w:r>
      <w:r>
        <w:rPr/>
        <w:t>: The organization routinely inspects systems, system components and devices to detect evidence of tampering.</w:t>
      </w:r>
      <w:r>
        <w:rPr>
          <w:rStyle w:val="FootnoteCharacters"/>
          <w:rFonts w:cs="Calibri"/>
        </w:rPr>
        <w:t xml:space="preserve"> </w:t>
      </w:r>
    </w:p>
    <w:p>
      <w:pPr>
        <w:pStyle w:val="Normal"/>
        <w:rPr/>
      </w:pPr>
      <w:r>
        <w:rPr/>
      </w:r>
    </w:p>
    <w:p>
      <w:pPr>
        <w:pStyle w:val="Normal"/>
        <w:rPr/>
      </w:pPr>
      <w:r>
        <w:rPr>
          <w:u w:val="single"/>
        </w:rPr>
        <w:t>Standard</w:t>
      </w:r>
      <w:r>
        <w:rPr/>
        <w:t>: Asset custodians are required protect devices that store, process or transmit sensitive data from tampering and substitution by:</w:t>
      </w:r>
    </w:p>
    <w:p>
      <w:pPr>
        <w:pStyle w:val="ListParagraph"/>
        <w:numPr>
          <w:ilvl w:val="0"/>
          <w:numId w:val="242"/>
        </w:numPr>
        <w:rPr/>
      </w:pPr>
      <w:r>
        <w:rPr/>
        <w:t>Maintaining a list of authorized devices;</w:t>
      </w:r>
    </w:p>
    <w:p>
      <w:pPr>
        <w:pStyle w:val="ListParagraph"/>
        <w:numPr>
          <w:ilvl w:val="0"/>
          <w:numId w:val="242"/>
        </w:numPr>
        <w:rPr/>
      </w:pPr>
      <w:r>
        <w:rPr/>
        <w:t>Periodically inspecting devices to look for tampering or substitution; and</w:t>
      </w:r>
    </w:p>
    <w:p>
      <w:pPr>
        <w:pStyle w:val="ListParagraph"/>
        <w:numPr>
          <w:ilvl w:val="0"/>
          <w:numId w:val="242"/>
        </w:numPr>
        <w:rPr/>
      </w:pPr>
      <w:r>
        <w:rPr/>
        <w:t>Training personnel to be aware of suspicious behavior and to report tampering or substitution of devices.</w:t>
      </w:r>
    </w:p>
    <w:p>
      <w:pPr>
        <w:pStyle w:val="Normal"/>
        <w:rPr/>
      </w:pPr>
      <w:r>
        <w:rPr/>
      </w:r>
    </w:p>
    <w:p>
      <w:pPr>
        <w:pStyle w:val="Normal"/>
        <w:rPr/>
      </w:pPr>
      <w:r>
        <w:rPr>
          <w:u w:val="single"/>
        </w:rPr>
        <w:t>Guidelines</w:t>
      </w:r>
      <w:r>
        <w:rPr/>
        <w:t>: This standard addresses both physical and logical tampering and is typically applied to mobile devices, notebook computers or other system components taken out of organization-controlled areas. Indications of a need for inspection include, for example, when individuals return from travel to locations identified by corporate security as hostile to western businesses.</w:t>
      </w:r>
    </w:p>
    <w:p>
      <w:pPr>
        <w:pStyle w:val="Normal"/>
        <w:rPr/>
      </w:pPr>
      <w:r>
        <w:rPr/>
      </w:r>
    </w:p>
    <w:p>
      <w:pPr>
        <w:pStyle w:val="Normal"/>
        <w:rPr/>
      </w:pPr>
      <w:r>
        <w:rPr/>
      </w:r>
    </w:p>
    <w:p>
      <w:pPr>
        <w:pStyle w:val="Heading2"/>
        <w:rPr/>
      </w:pPr>
      <w:bookmarkStart w:id="157" w:name="_Toc474074772"/>
      <w:bookmarkStart w:id="158" w:name="_Toc474075519"/>
      <w:bookmarkStart w:id="159" w:name="_Toc34920525"/>
      <w:r>
        <w:rPr/>
        <w:t>AST-16: Bring Your Own Device (BYOD) Usage</w:t>
      </w:r>
      <w:bookmarkEnd w:id="157"/>
      <w:bookmarkEnd w:id="158"/>
      <w:bookmarkEnd w:id="159"/>
      <w:r>
        <w:rPr/>
        <w:t xml:space="preserve"> </w:t>
      </w:r>
    </w:p>
    <w:p>
      <w:pPr>
        <w:pStyle w:val="Normal"/>
        <w:rPr>
          <w:rFonts w:cs="Calibri"/>
        </w:rPr>
      </w:pPr>
      <w:r>
        <w:rPr>
          <w:u w:val="single"/>
        </w:rPr>
        <w:t>Control Objective</w:t>
      </w:r>
      <w:r>
        <w:rPr/>
        <w:t>: The organization establishes and documents the specific terms and conditions for personally owned information system (e.g., Bring Your Own Device (BYOD)) through:</w:t>
      </w:r>
      <w:r>
        <w:rPr>
          <w:rStyle w:val="FootnoteCharacters"/>
          <w:rFonts w:cs="Calibri"/>
        </w:rPr>
        <w:t xml:space="preserve"> </w:t>
      </w:r>
    </w:p>
    <w:p>
      <w:pPr>
        <w:pStyle w:val="ListParagraph"/>
        <w:numPr>
          <w:ilvl w:val="0"/>
          <w:numId w:val="163"/>
        </w:numPr>
        <w:rPr/>
      </w:pPr>
      <w:r>
        <w:rPr/>
        <w:t xml:space="preserve">Defining the device and eligibility requirements to allow for BYOD usage; </w:t>
      </w:r>
    </w:p>
    <w:p>
      <w:pPr>
        <w:pStyle w:val="ListParagraph"/>
        <w:numPr>
          <w:ilvl w:val="0"/>
          <w:numId w:val="163"/>
        </w:numPr>
        <w:rPr/>
      </w:pPr>
      <w:r>
        <w:rPr/>
        <w:t>Clarifying language for the expectation of privacy, requirements for litigation, e-discovery and legal holds;</w:t>
      </w:r>
    </w:p>
    <w:p>
      <w:pPr>
        <w:pStyle w:val="ListParagraph"/>
        <w:numPr>
          <w:ilvl w:val="0"/>
          <w:numId w:val="163"/>
        </w:numPr>
        <w:tabs>
          <w:tab w:val="clear" w:pos="360"/>
          <w:tab w:val="clear" w:pos="720"/>
          <w:tab w:val="clear" w:pos="1080"/>
        </w:tabs>
        <w:jc w:val="left"/>
        <w:rPr/>
      </w:pPr>
      <w:r>
        <w:rPr/>
        <w:t>Clearly stating the expectations regarding the loss of non-company data in the case that a wipe of the device is required;</w:t>
      </w:r>
    </w:p>
    <w:p>
      <w:pPr>
        <w:pStyle w:val="ListParagraph"/>
        <w:numPr>
          <w:ilvl w:val="0"/>
          <w:numId w:val="163"/>
        </w:numPr>
        <w:tabs>
          <w:tab w:val="clear" w:pos="360"/>
          <w:tab w:val="clear" w:pos="720"/>
          <w:tab w:val="clear" w:pos="1080"/>
        </w:tabs>
        <w:jc w:val="left"/>
        <w:rPr/>
      </w:pPr>
      <w:r>
        <w:rPr/>
        <w:t xml:space="preserve">Requiring an automatic lockout screen and the requirement shall be enforced through technical controls; and </w:t>
      </w:r>
    </w:p>
    <w:p>
      <w:pPr>
        <w:pStyle w:val="ListParagraph"/>
        <w:numPr>
          <w:ilvl w:val="0"/>
          <w:numId w:val="163"/>
        </w:numPr>
        <w:tabs>
          <w:tab w:val="clear" w:pos="360"/>
          <w:tab w:val="clear" w:pos="720"/>
          <w:tab w:val="clear" w:pos="1080"/>
        </w:tabs>
        <w:jc w:val="left"/>
        <w:rPr/>
      </w:pPr>
      <w:r>
        <w:rPr/>
        <w:t xml:space="preserve">Enforcing applicable password requirements, applicable to mobile devices, through technical controls. </w:t>
      </w:r>
    </w:p>
    <w:p>
      <w:pPr>
        <w:pStyle w:val="Normal"/>
        <w:tabs>
          <w:tab w:val="clear" w:pos="360"/>
          <w:tab w:val="clear" w:pos="720"/>
          <w:tab w:val="clear" w:pos="1080"/>
        </w:tabs>
        <w:jc w:val="left"/>
        <w:rPr/>
      </w:pPr>
      <w:r>
        <w:rPr/>
      </w:r>
    </w:p>
    <w:p>
      <w:pPr>
        <w:pStyle w:val="Normal"/>
        <w:rPr/>
      </w:pPr>
      <w:r>
        <w:rPr>
          <w:u w:val="single"/>
        </w:rPr>
        <w:t>Standard</w:t>
      </w:r>
      <w:r>
        <w:rPr/>
        <w:t>: The Chief Information Security Officer (CISO) and his / her designated representatives shall:</w:t>
      </w:r>
    </w:p>
    <w:p>
      <w:pPr>
        <w:pStyle w:val="ListParagraph"/>
        <w:numPr>
          <w:ilvl w:val="0"/>
          <w:numId w:val="664"/>
        </w:numPr>
        <w:rPr/>
      </w:pPr>
      <w:r>
        <w:rPr/>
        <w:t>Assess applicable statutory, regulatory and contractual obligations for restrictions on employee usage of personally-owned information systems;</w:t>
      </w:r>
    </w:p>
    <w:p>
      <w:pPr>
        <w:pStyle w:val="ListParagraph"/>
        <w:numPr>
          <w:ilvl w:val="0"/>
          <w:numId w:val="664"/>
        </w:numPr>
        <w:rPr/>
      </w:pPr>
      <w:r>
        <w:rPr/>
        <w:t>Confer with IT infrastructure and legal personnel to determine:</w:t>
      </w:r>
    </w:p>
    <w:p>
      <w:pPr>
        <w:pStyle w:val="ListParagraph"/>
        <w:numPr>
          <w:ilvl w:val="1"/>
          <w:numId w:val="664"/>
        </w:numPr>
        <w:rPr/>
      </w:pPr>
      <w:r>
        <w:rPr/>
        <w:t>Associated risks associated with personally-owned information system use;</w:t>
      </w:r>
    </w:p>
    <w:p>
      <w:pPr>
        <w:pStyle w:val="ListParagraph"/>
        <w:numPr>
          <w:ilvl w:val="1"/>
          <w:numId w:val="664"/>
        </w:numPr>
        <w:rPr/>
      </w:pPr>
      <w:r>
        <w:rPr/>
        <w:t>Data Loss Prevention (DLP) and/or remote wipe capabilities;</w:t>
      </w:r>
    </w:p>
    <w:p>
      <w:pPr>
        <w:pStyle w:val="ListParagraph"/>
        <w:numPr>
          <w:ilvl w:val="1"/>
          <w:numId w:val="664"/>
        </w:numPr>
        <w:rPr/>
      </w:pPr>
      <w:r>
        <w:rPr/>
        <w:t>Monitoring capabilities; and</w:t>
      </w:r>
    </w:p>
    <w:p>
      <w:pPr>
        <w:pStyle w:val="ListParagraph"/>
        <w:numPr>
          <w:ilvl w:val="1"/>
          <w:numId w:val="664"/>
        </w:numPr>
        <w:rPr/>
      </w:pPr>
      <w:r>
        <w:rPr/>
        <w:t>Compensating controls; and</w:t>
      </w:r>
    </w:p>
    <w:p>
      <w:pPr>
        <w:pStyle w:val="ListParagraph"/>
        <w:numPr>
          <w:ilvl w:val="0"/>
          <w:numId w:val="664"/>
        </w:numPr>
        <w:rPr/>
      </w:pPr>
      <w:r>
        <w:rPr/>
        <w:t>Establish and document the specific conditions where personally owned information system usage is:</w:t>
      </w:r>
    </w:p>
    <w:p>
      <w:pPr>
        <w:pStyle w:val="ListParagraph"/>
        <w:numPr>
          <w:ilvl w:val="1"/>
          <w:numId w:val="664"/>
        </w:numPr>
        <w:rPr/>
      </w:pPr>
      <w:r>
        <w:rPr/>
        <w:t>Prohibited; and</w:t>
      </w:r>
    </w:p>
    <w:p>
      <w:pPr>
        <w:pStyle w:val="ListParagraph"/>
        <w:numPr>
          <w:ilvl w:val="1"/>
          <w:numId w:val="664"/>
        </w:numPr>
        <w:rPr/>
      </w:pPr>
      <w:r>
        <w:rPr/>
        <w:t>Permitted.</w:t>
      </w:r>
    </w:p>
    <w:p>
      <w:pPr>
        <w:pStyle w:val="ListParagraph"/>
        <w:numPr>
          <w:ilvl w:val="0"/>
          <w:numId w:val="664"/>
        </w:numPr>
        <w:rPr/>
      </w:pPr>
      <w:r>
        <w:rPr/>
        <w:t>Prohibit users from BYOD usage unless all of the following criteria are met:</w:t>
      </w:r>
    </w:p>
    <w:p>
      <w:pPr>
        <w:pStyle w:val="ListParagraph"/>
        <w:numPr>
          <w:ilvl w:val="1"/>
          <w:numId w:val="664"/>
        </w:numPr>
        <w:rPr/>
      </w:pPr>
      <w:r>
        <w:rPr/>
        <w:t>The user’s manager specifically approves the device and eligibility requirements to allow for BYOD usage; and</w:t>
      </w:r>
    </w:p>
    <w:p>
      <w:pPr>
        <w:pStyle w:val="ListParagraph"/>
        <w:numPr>
          <w:ilvl w:val="1"/>
          <w:numId w:val="664"/>
        </w:numPr>
        <w:rPr/>
      </w:pPr>
      <w:r>
        <w:rPr/>
        <w:t>The user formally accepts the requirements for:</w:t>
      </w:r>
    </w:p>
    <w:p>
      <w:pPr>
        <w:pStyle w:val="ListParagraph"/>
        <w:numPr>
          <w:ilvl w:val="2"/>
          <w:numId w:val="243"/>
        </w:numPr>
        <w:rPr/>
      </w:pPr>
      <w:r>
        <w:rPr/>
        <w:t>Following NFCC’s requirements to protect data and individual privacy;</w:t>
      </w:r>
    </w:p>
    <w:p>
      <w:pPr>
        <w:pStyle w:val="ListParagraph"/>
        <w:numPr>
          <w:ilvl w:val="2"/>
          <w:numId w:val="243"/>
        </w:numPr>
        <w:rPr/>
      </w:pPr>
      <w:r>
        <w:rPr/>
        <w:t xml:space="preserve">Litigation, e-discovery and legal holds; </w:t>
      </w:r>
    </w:p>
    <w:p>
      <w:pPr>
        <w:pStyle w:val="ListParagraph"/>
        <w:numPr>
          <w:ilvl w:val="2"/>
          <w:numId w:val="243"/>
        </w:numPr>
        <w:rPr/>
      </w:pPr>
      <w:r>
        <w:rPr/>
        <w:t xml:space="preserve">Wiping the device, when required; </w:t>
      </w:r>
    </w:p>
    <w:p>
      <w:pPr>
        <w:pStyle w:val="ListParagraph"/>
        <w:numPr>
          <w:ilvl w:val="2"/>
          <w:numId w:val="243"/>
        </w:numPr>
        <w:rPr/>
      </w:pPr>
      <w:r>
        <w:rPr/>
        <w:t>Using anti-malware software, if supported on the device;</w:t>
      </w:r>
    </w:p>
    <w:p>
      <w:pPr>
        <w:pStyle w:val="ListParagraph"/>
        <w:numPr>
          <w:ilvl w:val="2"/>
          <w:numId w:val="243"/>
        </w:numPr>
        <w:rPr/>
      </w:pPr>
      <w:r>
        <w:rPr/>
        <w:t>Configuring the device to automatically log out the screen after no more than 5 minutes of inactivity; and</w:t>
      </w:r>
    </w:p>
    <w:p>
      <w:pPr>
        <w:pStyle w:val="ListParagraph"/>
        <w:numPr>
          <w:ilvl w:val="2"/>
          <w:numId w:val="243"/>
        </w:numPr>
        <w:rPr/>
      </w:pPr>
      <w:r>
        <w:rPr/>
        <w:t xml:space="preserve">Configuring the device to meet NFCC’s password requirements, applicable to mobile devices. </w:t>
      </w:r>
    </w:p>
    <w:p>
      <w:pPr>
        <w:pStyle w:val="Normal"/>
        <w:rPr/>
      </w:pPr>
      <w:r>
        <w:rPr/>
      </w:r>
    </w:p>
    <w:p>
      <w:pPr>
        <w:pStyle w:val="Normal"/>
        <w:tabs>
          <w:tab w:val="clear" w:pos="360"/>
          <w:tab w:val="clear" w:pos="720"/>
          <w:tab w:val="clear" w:pos="1080"/>
        </w:tabs>
        <w:jc w:val="left"/>
        <w:rPr/>
      </w:pPr>
      <w:r>
        <w:rPr>
          <w:u w:val="single"/>
        </w:rPr>
        <w:t>Guidelines</w:t>
      </w:r>
      <w:r>
        <w:rPr/>
        <w:t>: None</w:t>
      </w:r>
    </w:p>
    <w:p>
      <w:pPr>
        <w:pStyle w:val="Normal"/>
        <w:rPr/>
      </w:pPr>
      <w:r>
        <w:rPr/>
      </w:r>
    </w:p>
    <w:p>
      <w:pPr>
        <w:pStyle w:val="Normal"/>
        <w:rPr/>
      </w:pPr>
      <w:r>
        <w:rPr/>
      </w:r>
    </w:p>
    <w:p>
      <w:pPr>
        <w:pStyle w:val="Normal"/>
        <w:rPr/>
      </w:pPr>
      <w:r>
        <w:rPr/>
      </w:r>
      <w:r>
        <w:br w:type="page"/>
      </w:r>
    </w:p>
    <w:p>
      <w:pPr>
        <w:pStyle w:val="Heading1"/>
        <w:rPr/>
      </w:pPr>
      <w:bookmarkStart w:id="160" w:name="_Toc34920526"/>
      <w:bookmarkStart w:id="161" w:name="_Toc474074773"/>
      <w:bookmarkStart w:id="162" w:name="_Toc474075520"/>
      <w:r>
        <w:rPr/>
        <w:t>Business Continuity &amp; Disaster Recovery (BCD)</w:t>
      </w:r>
      <w:bookmarkEnd w:id="161"/>
      <w:bookmarkEnd w:id="162"/>
      <w:r>
        <w:rPr/>
        <w:t xml:space="preserve"> Policy &amp; Standards</w:t>
      </w:r>
      <w:bookmarkEnd w:id="160"/>
    </w:p>
    <w:p>
      <w:pPr>
        <w:pStyle w:val="Normal"/>
        <w:rPr/>
      </w:pPr>
      <w:r>
        <w:rPr/>
      </w:r>
    </w:p>
    <w:p>
      <w:pPr>
        <w:pStyle w:val="Normal"/>
        <w:rPr/>
      </w:pPr>
      <w:r>
        <w:rPr>
          <w:u w:val="single"/>
        </w:rPr>
        <w:t>Management Intent:</w:t>
      </w:r>
      <w:r>
        <w:rPr/>
        <w:t xml:space="preserve"> The purpose of the Business Continuity &amp; Disaster Recovery (BCD) policy is to establish processes that will help NFCC recover from adverse situations with the minimal impact to operations.</w:t>
      </w:r>
    </w:p>
    <w:p>
      <w:pPr>
        <w:pStyle w:val="Normal"/>
        <w:rPr>
          <w:u w:val="single"/>
        </w:rPr>
      </w:pPr>
      <w:r>
        <w:rPr>
          <w:u w:val="single"/>
        </w:rPr>
      </w:r>
    </w:p>
    <w:p>
      <w:pPr>
        <w:pStyle w:val="Normal"/>
        <w:shd w:val="clear" w:color="auto" w:fill="DDD9C3" w:themeFill="background2" w:themeFillShade="e6"/>
        <w:rPr/>
      </w:pPr>
      <w:r>
        <w:rPr>
          <w:u w:val="single"/>
        </w:rPr>
        <w:t>Policy</w:t>
      </w:r>
      <w:r>
        <w:rPr/>
        <w:t xml:space="preserve">: NFCC shall establish and manage the capability for maintaining the Continuity of Operations (COOP) to ensure the availability of critical technology resources during adverse conditions. </w:t>
      </w:r>
    </w:p>
    <w:p>
      <w:pPr>
        <w:pStyle w:val="Normal"/>
        <w:rPr/>
      </w:pPr>
      <w:r>
        <w:rPr/>
      </w:r>
    </w:p>
    <w:p>
      <w:pPr>
        <w:pStyle w:val="Normal"/>
        <w:rPr/>
      </w:pPr>
      <w:r>
        <w:rPr>
          <w:u w:val="single"/>
        </w:rPr>
        <w:t>Supporting Documentation</w:t>
      </w:r>
      <w:r>
        <w:rPr/>
        <w:t xml:space="preserve">: This policy is supported by the following control objectives, standards and guidelines. </w:t>
      </w:r>
    </w:p>
    <w:p>
      <w:pPr>
        <w:pStyle w:val="Normal"/>
        <w:rPr/>
      </w:pPr>
      <w:r>
        <w:rPr/>
      </w:r>
    </w:p>
    <w:p>
      <w:pPr>
        <w:pStyle w:val="Normal"/>
        <w:rPr/>
      </w:pPr>
      <w:r>
        <w:rPr/>
      </w:r>
    </w:p>
    <w:p>
      <w:pPr>
        <w:pStyle w:val="Heading2"/>
        <w:rPr/>
      </w:pPr>
      <w:bookmarkStart w:id="163" w:name="_Toc34920527"/>
      <w:bookmarkStart w:id="164" w:name="_Toc474074774"/>
      <w:bookmarkStart w:id="165" w:name="_Toc474075521"/>
      <w:r>
        <w:rPr/>
        <w:t xml:space="preserve">BCD-01: </w:t>
      </w:r>
      <w:bookmarkEnd w:id="164"/>
      <w:bookmarkEnd w:id="165"/>
      <w:r>
        <w:rPr/>
        <w:t>Business Continuity Management System (BCMS)</w:t>
      </w:r>
      <w:bookmarkEnd w:id="163"/>
    </w:p>
    <w:p>
      <w:pPr>
        <w:pStyle w:val="Normal"/>
        <w:rPr/>
      </w:pPr>
      <w:r>
        <w:rPr>
          <w:u w:val="single"/>
        </w:rPr>
        <w:t>Control Objective</w:t>
      </w:r>
      <w:r>
        <w:rPr/>
        <w:t>: The organization develops, implements and governs processes and documentation to facilitate the implementation of an enterprise-wide Continuity of Operations (COOP) policy, as well as associated standards, controls and procedures.</w:t>
      </w:r>
      <w:r>
        <w:rPr>
          <w:rStyle w:val="FootnoteAnchor"/>
          <w:rStyle w:val="FootnoteAnchor"/>
          <w:rFonts w:cs="Calibri"/>
        </w:rPr>
        <w:footnoteReference w:id="45"/>
      </w:r>
      <w:r>
        <w:rPr/>
        <w:t xml:space="preserve"> </w:t>
      </w:r>
    </w:p>
    <w:p>
      <w:pPr>
        <w:pStyle w:val="Normal"/>
        <w:rPr/>
      </w:pPr>
      <w:r>
        <w:rPr/>
      </w:r>
    </w:p>
    <w:p>
      <w:pPr>
        <w:pStyle w:val="Normal"/>
        <w:rPr/>
      </w:pPr>
      <w:r>
        <w:rPr>
          <w:u w:val="single"/>
        </w:rPr>
        <w:t>Standard</w:t>
      </w:r>
      <w:r>
        <w:rPr/>
        <w:t>: NFCC shall establish procedures, supporting business processes and implement technical measures to ensure the continuity and availability of operations while operating in other-than-normal conditions, that includes:</w:t>
      </w:r>
    </w:p>
    <w:p>
      <w:pPr>
        <w:pStyle w:val="ListParagraph"/>
        <w:numPr>
          <w:ilvl w:val="0"/>
          <w:numId w:val="244"/>
        </w:numPr>
        <w:rPr/>
      </w:pPr>
      <w:r>
        <w:rPr/>
        <w:t>Developing a contingency plan that:</w:t>
      </w:r>
    </w:p>
    <w:p>
      <w:pPr>
        <w:pStyle w:val="ListParagraph"/>
        <w:numPr>
          <w:ilvl w:val="1"/>
          <w:numId w:val="244"/>
        </w:numPr>
        <w:rPr/>
      </w:pPr>
      <w:r>
        <w:rPr/>
        <w:t>Identifies essential missions and business functions and associated contingency requirements;</w:t>
      </w:r>
    </w:p>
    <w:p>
      <w:pPr>
        <w:pStyle w:val="ListParagraph"/>
        <w:numPr>
          <w:ilvl w:val="1"/>
          <w:numId w:val="244"/>
        </w:numPr>
        <w:rPr/>
      </w:pPr>
      <w:r>
        <w:rPr/>
        <w:t>Provides recovery objectives, restoration priorities and metrics;</w:t>
      </w:r>
    </w:p>
    <w:p>
      <w:pPr>
        <w:pStyle w:val="ListParagraph"/>
        <w:numPr>
          <w:ilvl w:val="1"/>
          <w:numId w:val="244"/>
        </w:numPr>
        <w:rPr/>
      </w:pPr>
      <w:r>
        <w:rPr/>
        <w:t>Addresses contingency roles, responsibilities, assigned individuals with contact information;</w:t>
      </w:r>
    </w:p>
    <w:p>
      <w:pPr>
        <w:pStyle w:val="ListParagraph"/>
        <w:numPr>
          <w:ilvl w:val="1"/>
          <w:numId w:val="244"/>
        </w:numPr>
        <w:rPr/>
      </w:pPr>
      <w:r>
        <w:rPr/>
        <w:t>Addresses maintaining essential missions and business functions despite a system disruption, compromise or failure;</w:t>
      </w:r>
    </w:p>
    <w:p>
      <w:pPr>
        <w:pStyle w:val="ListParagraph"/>
        <w:numPr>
          <w:ilvl w:val="1"/>
          <w:numId w:val="244"/>
        </w:numPr>
        <w:rPr/>
      </w:pPr>
      <w:r>
        <w:rPr/>
        <w:t>Addresses eventual, full system restoration without deterioration of the security measures originally planned and implemented; and</w:t>
      </w:r>
    </w:p>
    <w:p>
      <w:pPr>
        <w:pStyle w:val="ListParagraph"/>
        <w:numPr>
          <w:ilvl w:val="1"/>
          <w:numId w:val="244"/>
        </w:numPr>
        <w:rPr/>
      </w:pPr>
      <w:r>
        <w:rPr/>
        <w:t>Is reviewed and approved by company management;</w:t>
      </w:r>
    </w:p>
    <w:p>
      <w:pPr>
        <w:pStyle w:val="ListParagraph"/>
        <w:numPr>
          <w:ilvl w:val="0"/>
          <w:numId w:val="244"/>
        </w:numPr>
        <w:rPr/>
      </w:pPr>
      <w:r>
        <w:rPr/>
        <w:t xml:space="preserve">Distributing copies of the contingency plan to </w:t>
      </w:r>
      <w:r>
        <w:rPr>
          <w:iCs/>
        </w:rPr>
        <w:t>key contingency personnel</w:t>
      </w:r>
      <w:r>
        <w:rPr/>
        <w:t>;</w:t>
      </w:r>
    </w:p>
    <w:p>
      <w:pPr>
        <w:pStyle w:val="ListParagraph"/>
        <w:numPr>
          <w:ilvl w:val="0"/>
          <w:numId w:val="244"/>
        </w:numPr>
        <w:rPr/>
      </w:pPr>
      <w:r>
        <w:rPr/>
        <w:t xml:space="preserve">Communicating contingency plan changes and updates to </w:t>
      </w:r>
      <w:r>
        <w:rPr>
          <w:iCs/>
        </w:rPr>
        <w:t xml:space="preserve">key contingency personnel; </w:t>
      </w:r>
    </w:p>
    <w:p>
      <w:pPr>
        <w:pStyle w:val="ListParagraph"/>
        <w:numPr>
          <w:ilvl w:val="0"/>
          <w:numId w:val="244"/>
        </w:numPr>
        <w:rPr/>
      </w:pPr>
      <w:r>
        <w:rPr/>
        <w:t>Coordinating contingency planning activities with incident handling activities;</w:t>
      </w:r>
    </w:p>
    <w:p>
      <w:pPr>
        <w:pStyle w:val="ListParagraph"/>
        <w:numPr>
          <w:ilvl w:val="0"/>
          <w:numId w:val="244"/>
        </w:numPr>
        <w:rPr/>
      </w:pPr>
      <w:r>
        <w:rPr/>
        <w:t>Reviewing the contingency plan at least annually;</w:t>
      </w:r>
    </w:p>
    <w:p>
      <w:pPr>
        <w:pStyle w:val="ListParagraph"/>
        <w:numPr>
          <w:ilvl w:val="0"/>
          <w:numId w:val="244"/>
        </w:numPr>
        <w:rPr/>
      </w:pPr>
      <w:r>
        <w:rPr/>
        <w:t>Revising the contingency plan to address necessary changes; and</w:t>
      </w:r>
    </w:p>
    <w:p>
      <w:pPr>
        <w:pStyle w:val="ListParagraph"/>
        <w:numPr>
          <w:ilvl w:val="0"/>
          <w:numId w:val="244"/>
        </w:numPr>
        <w:rPr/>
      </w:pPr>
      <w:r>
        <w:rPr/>
        <w:t>Establishing procedures for obtaining access to sensitive data during other-than-normal or emergency conditions.</w:t>
      </w:r>
    </w:p>
    <w:p>
      <w:pPr>
        <w:pStyle w:val="Normal"/>
        <w:rPr/>
      </w:pPr>
      <w:r>
        <w:rPr/>
      </w:r>
    </w:p>
    <w:p>
      <w:pPr>
        <w:pStyle w:val="Normal"/>
        <w:rPr/>
      </w:pPr>
      <w:r>
        <w:rPr>
          <w:u w:val="single"/>
        </w:rPr>
        <w:t>Guidelines</w:t>
      </w:r>
      <w:r>
        <w:rPr/>
        <w:t>: A consistent, unified framework for business continuity planning and plan development should be established, documented and adopted to ensure all business continuity plans are consistent in addressing priorities for testing, maintenance and cybersecurity requirements. Requirements for business continuity plans include the following:</w:t>
      </w:r>
    </w:p>
    <w:p>
      <w:pPr>
        <w:pStyle w:val="ListParagraph"/>
        <w:numPr>
          <w:ilvl w:val="0"/>
          <w:numId w:val="213"/>
        </w:numPr>
        <w:rPr/>
      </w:pPr>
      <w:r>
        <w:rPr/>
        <w:t>Defined purpose and scope, aligned with relevant dependencies</w:t>
      </w:r>
    </w:p>
    <w:p>
      <w:pPr>
        <w:pStyle w:val="ListParagraph"/>
        <w:numPr>
          <w:ilvl w:val="0"/>
          <w:numId w:val="213"/>
        </w:numPr>
        <w:rPr/>
      </w:pPr>
      <w:r>
        <w:rPr/>
        <w:t>Accessible to and understood by those who will use them</w:t>
      </w:r>
    </w:p>
    <w:p>
      <w:pPr>
        <w:pStyle w:val="ListParagraph"/>
        <w:numPr>
          <w:ilvl w:val="0"/>
          <w:numId w:val="213"/>
        </w:numPr>
        <w:rPr/>
      </w:pPr>
      <w:r>
        <w:rPr/>
        <w:t>Owned by a named person(s) who is assigned the responsibility for their review, update and approval</w:t>
      </w:r>
    </w:p>
    <w:p>
      <w:pPr>
        <w:pStyle w:val="ListParagraph"/>
        <w:numPr>
          <w:ilvl w:val="0"/>
          <w:numId w:val="213"/>
        </w:numPr>
        <w:rPr/>
      </w:pPr>
      <w:r>
        <w:rPr/>
        <w:t>Defined lines of communication, roles and responsibilities</w:t>
      </w:r>
    </w:p>
    <w:p>
      <w:pPr>
        <w:pStyle w:val="ListParagraph"/>
        <w:numPr>
          <w:ilvl w:val="0"/>
          <w:numId w:val="213"/>
        </w:numPr>
        <w:rPr/>
      </w:pPr>
      <w:r>
        <w:rPr/>
        <w:t>Detailed recovery procedures, manual workaround and reference information</w:t>
      </w:r>
    </w:p>
    <w:p>
      <w:pPr>
        <w:pStyle w:val="ListParagraph"/>
        <w:numPr>
          <w:ilvl w:val="0"/>
          <w:numId w:val="213"/>
        </w:numPr>
        <w:rPr/>
      </w:pPr>
      <w:r>
        <w:rPr/>
        <w:t>Method for plan invocation</w:t>
      </w:r>
    </w:p>
    <w:p>
      <w:pPr>
        <w:pStyle w:val="Normal"/>
        <w:rPr/>
      </w:pPr>
      <w:r>
        <w:rPr/>
      </w:r>
    </w:p>
    <w:p>
      <w:pPr>
        <w:pStyle w:val="Heading3"/>
        <w:rPr/>
      </w:pPr>
      <w:bookmarkStart w:id="166" w:name="_Toc474074775"/>
      <w:bookmarkStart w:id="167" w:name="_Toc34920528"/>
      <w:r>
        <w:rPr/>
        <w:t>BCD-01(a): Business Continuity Management System (BCMS) | Coordinate with Related Plans</w:t>
      </w:r>
      <w:bookmarkEnd w:id="166"/>
      <w:bookmarkEnd w:id="167"/>
      <w:r>
        <w:rPr/>
        <w:t xml:space="preserve"> </w:t>
      </w:r>
    </w:p>
    <w:p>
      <w:pPr>
        <w:pStyle w:val="Normal"/>
        <w:rPr/>
      </w:pPr>
      <w:r>
        <w:rPr>
          <w:u w:val="single"/>
        </w:rPr>
        <w:t>Control Objective</w:t>
      </w:r>
      <w:r>
        <w:rPr/>
        <w:t>: The organization coordinates contingency plan development with organizational elements responsible for related plans.</w:t>
      </w:r>
      <w:r>
        <w:rPr>
          <w:rStyle w:val="FootnoteAnchor"/>
          <w:rStyle w:val="FootnoteAnchor"/>
          <w:rFonts w:cs="Calibri"/>
        </w:rPr>
        <w:footnoteReference w:id="46"/>
      </w:r>
    </w:p>
    <w:p>
      <w:pPr>
        <w:pStyle w:val="Normal"/>
        <w:rPr/>
      </w:pPr>
      <w:r>
        <w:rPr/>
      </w:r>
    </w:p>
    <w:p>
      <w:pPr>
        <w:pStyle w:val="Normal"/>
        <w:rPr/>
      </w:pPr>
      <w:r>
        <w:rPr>
          <w:u w:val="single"/>
        </w:rPr>
        <w:t>Standard:</w:t>
      </w:r>
      <w:r>
        <w:rPr/>
        <w:t xml:space="preserve"> Process owners must ensure coordinated contingency plan development with appropriate personnel responsible for related plans.</w:t>
      </w:r>
    </w:p>
    <w:p>
      <w:pPr>
        <w:pStyle w:val="ListParagraph"/>
        <w:rPr/>
      </w:pPr>
      <w:r>
        <w:rPr/>
      </w:r>
    </w:p>
    <w:p>
      <w:pPr>
        <w:pStyle w:val="Normal"/>
        <w:rPr/>
      </w:pPr>
      <w:r>
        <w:rPr>
          <w:u w:val="single"/>
        </w:rPr>
        <w:t>Guidelines</w:t>
      </w:r>
      <w:r>
        <w:rPr/>
        <w:t xml:space="preserve">: Plans related to contingency plans for organizational systems include, for example, </w:t>
      </w:r>
    </w:p>
    <w:p>
      <w:pPr>
        <w:pStyle w:val="ListParagraph"/>
        <w:numPr>
          <w:ilvl w:val="0"/>
          <w:numId w:val="214"/>
        </w:numPr>
        <w:rPr/>
      </w:pPr>
      <w:r>
        <w:rPr/>
        <w:t>Business Continuity Plans;</w:t>
      </w:r>
    </w:p>
    <w:p>
      <w:pPr>
        <w:pStyle w:val="ListParagraph"/>
        <w:numPr>
          <w:ilvl w:val="0"/>
          <w:numId w:val="214"/>
        </w:numPr>
        <w:rPr/>
      </w:pPr>
      <w:r>
        <w:rPr/>
        <w:t>Disaster Recovery Plans;</w:t>
      </w:r>
    </w:p>
    <w:p>
      <w:pPr>
        <w:pStyle w:val="ListParagraph"/>
        <w:numPr>
          <w:ilvl w:val="0"/>
          <w:numId w:val="214"/>
        </w:numPr>
        <w:rPr/>
      </w:pPr>
      <w:r>
        <w:rPr/>
        <w:t>Continuity of Operations Plans;</w:t>
      </w:r>
    </w:p>
    <w:p>
      <w:pPr>
        <w:pStyle w:val="ListParagraph"/>
        <w:numPr>
          <w:ilvl w:val="0"/>
          <w:numId w:val="214"/>
        </w:numPr>
        <w:rPr/>
      </w:pPr>
      <w:r>
        <w:rPr/>
        <w:t>Crisis Communications Plans</w:t>
      </w:r>
    </w:p>
    <w:p>
      <w:pPr>
        <w:pStyle w:val="ListParagraph"/>
        <w:numPr>
          <w:ilvl w:val="0"/>
          <w:numId w:val="214"/>
        </w:numPr>
        <w:rPr/>
      </w:pPr>
      <w:r>
        <w:rPr/>
        <w:t>Critical Infrastructure Plans</w:t>
      </w:r>
    </w:p>
    <w:p>
      <w:pPr>
        <w:pStyle w:val="ListParagraph"/>
        <w:numPr>
          <w:ilvl w:val="0"/>
          <w:numId w:val="214"/>
        </w:numPr>
        <w:rPr/>
      </w:pPr>
      <w:r>
        <w:rPr/>
        <w:t>Cyber Incident Response Plans</w:t>
      </w:r>
    </w:p>
    <w:p>
      <w:pPr>
        <w:pStyle w:val="ListParagraph"/>
        <w:numPr>
          <w:ilvl w:val="0"/>
          <w:numId w:val="214"/>
        </w:numPr>
        <w:rPr/>
      </w:pPr>
      <w:r>
        <w:rPr/>
        <w:t xml:space="preserve">Insider Threat Implementation Plan; and </w:t>
      </w:r>
    </w:p>
    <w:p>
      <w:pPr>
        <w:pStyle w:val="ListParagraph"/>
        <w:numPr>
          <w:ilvl w:val="0"/>
          <w:numId w:val="214"/>
        </w:numPr>
        <w:rPr/>
      </w:pPr>
      <w:r>
        <w:rPr/>
        <w:t>Occupant Emergency Plans.</w:t>
      </w:r>
    </w:p>
    <w:p>
      <w:pPr>
        <w:pStyle w:val="Normal"/>
        <w:rPr/>
      </w:pPr>
      <w:r>
        <w:rPr/>
      </w:r>
    </w:p>
    <w:p>
      <w:pPr>
        <w:pStyle w:val="Heading3"/>
        <w:rPr/>
      </w:pPr>
      <w:bookmarkStart w:id="168" w:name="_Toc34920529"/>
      <w:r>
        <w:rPr/>
        <w:t>BCD-01(b): Business Continuity Management System (BCMS) | Coordinate With External Service Providers</w:t>
      </w:r>
      <w:bookmarkEnd w:id="168"/>
      <w:r>
        <w:rPr/>
        <w:t xml:space="preserve"> </w:t>
      </w:r>
    </w:p>
    <w:p>
      <w:pPr>
        <w:pStyle w:val="Normal"/>
        <w:rPr/>
      </w:pPr>
      <w:r>
        <w:rPr>
          <w:u w:val="single"/>
        </w:rPr>
        <w:t>Control Objective</w:t>
      </w:r>
      <w:r>
        <w:rPr/>
        <w:t>: The organization coordinates contingency plans with the contingency plans of external service providers to ensure that contingency requirements can be satisfied.</w:t>
      </w:r>
    </w:p>
    <w:p>
      <w:pPr>
        <w:pStyle w:val="Normal"/>
        <w:rPr/>
      </w:pPr>
      <w:r>
        <w:rPr/>
      </w:r>
    </w:p>
    <w:p>
      <w:pPr>
        <w:pStyle w:val="Normal"/>
        <w:rPr/>
      </w:pPr>
      <w:r>
        <w:rPr>
          <w:u w:val="single"/>
        </w:rPr>
        <w:t>Standard</w:t>
      </w:r>
      <w:r>
        <w:rPr/>
        <w:t>: Contingency plans must be coordinated and tested with the contingency plans of external service providers to ensure that contingency requirements can be satisfied.</w:t>
      </w:r>
    </w:p>
    <w:p>
      <w:pPr>
        <w:pStyle w:val="Normal"/>
        <w:rPr/>
      </w:pPr>
      <w:r>
        <w:rPr/>
      </w:r>
    </w:p>
    <w:p>
      <w:pPr>
        <w:pStyle w:val="Normal"/>
        <w:rPr/>
      </w:pPr>
      <w:r>
        <w:rPr>
          <w:u w:val="single"/>
        </w:rPr>
        <w:t>Guidelines</w:t>
      </w:r>
      <w:r>
        <w:rPr/>
        <w:t>: When the capability of an organization to successfully carry out its core missions and business functions is dependent on external service providers, developing a timely and comprehensive contingency plan may become more challenging. In this situation, organizations coordinate contingency planning activities with the external entities to ensure that the individual plans reflect the overall contingency needs of the organization.</w:t>
      </w:r>
    </w:p>
    <w:p>
      <w:pPr>
        <w:pStyle w:val="Normal"/>
        <w:rPr/>
      </w:pPr>
      <w:r>
        <w:rPr/>
      </w:r>
    </w:p>
    <w:p>
      <w:pPr>
        <w:pStyle w:val="Normal"/>
        <w:rPr/>
      </w:pPr>
      <w:r>
        <w:rPr/>
        <w:t>Plans related to contingency plans for organizational systems include, for example:</w:t>
      </w:r>
    </w:p>
    <w:p>
      <w:pPr>
        <w:pStyle w:val="ListParagraph"/>
        <w:numPr>
          <w:ilvl w:val="0"/>
          <w:numId w:val="565"/>
        </w:numPr>
        <w:tabs>
          <w:tab w:val="clear" w:pos="360"/>
          <w:tab w:val="clear" w:pos="720"/>
          <w:tab w:val="clear" w:pos="1080"/>
        </w:tabs>
        <w:rPr/>
      </w:pPr>
      <w:r>
        <w:rPr/>
        <w:t>Business Continuity Plans;</w:t>
      </w:r>
    </w:p>
    <w:p>
      <w:pPr>
        <w:pStyle w:val="ListParagraph"/>
        <w:numPr>
          <w:ilvl w:val="0"/>
          <w:numId w:val="565"/>
        </w:numPr>
        <w:tabs>
          <w:tab w:val="clear" w:pos="360"/>
          <w:tab w:val="clear" w:pos="720"/>
          <w:tab w:val="clear" w:pos="1080"/>
        </w:tabs>
        <w:rPr/>
      </w:pPr>
      <w:r>
        <w:rPr/>
        <w:t>Disaster Recovery Plans;</w:t>
      </w:r>
    </w:p>
    <w:p>
      <w:pPr>
        <w:pStyle w:val="ListParagraph"/>
        <w:numPr>
          <w:ilvl w:val="0"/>
          <w:numId w:val="565"/>
        </w:numPr>
        <w:tabs>
          <w:tab w:val="clear" w:pos="360"/>
          <w:tab w:val="clear" w:pos="720"/>
          <w:tab w:val="clear" w:pos="1080"/>
        </w:tabs>
        <w:rPr/>
      </w:pPr>
      <w:r>
        <w:rPr/>
        <w:t>Continuity of Operations Plans (CONOPS)</w:t>
      </w:r>
    </w:p>
    <w:p>
      <w:pPr>
        <w:pStyle w:val="ListParagraph"/>
        <w:numPr>
          <w:ilvl w:val="0"/>
          <w:numId w:val="565"/>
        </w:numPr>
        <w:tabs>
          <w:tab w:val="clear" w:pos="360"/>
          <w:tab w:val="clear" w:pos="720"/>
          <w:tab w:val="clear" w:pos="1080"/>
        </w:tabs>
        <w:rPr/>
      </w:pPr>
      <w:r>
        <w:rPr/>
        <w:t>Crisis Communications Plans;</w:t>
      </w:r>
    </w:p>
    <w:p>
      <w:pPr>
        <w:pStyle w:val="ListParagraph"/>
        <w:numPr>
          <w:ilvl w:val="0"/>
          <w:numId w:val="565"/>
        </w:numPr>
        <w:tabs>
          <w:tab w:val="clear" w:pos="360"/>
          <w:tab w:val="clear" w:pos="720"/>
          <w:tab w:val="clear" w:pos="1080"/>
        </w:tabs>
        <w:rPr/>
      </w:pPr>
      <w:r>
        <w:rPr/>
        <w:t>Critical Infrastructure Plans;</w:t>
      </w:r>
    </w:p>
    <w:p>
      <w:pPr>
        <w:pStyle w:val="ListParagraph"/>
        <w:numPr>
          <w:ilvl w:val="0"/>
          <w:numId w:val="565"/>
        </w:numPr>
        <w:tabs>
          <w:tab w:val="clear" w:pos="360"/>
          <w:tab w:val="clear" w:pos="720"/>
          <w:tab w:val="clear" w:pos="1080"/>
        </w:tabs>
        <w:rPr/>
      </w:pPr>
      <w:r>
        <w:rPr/>
        <w:t>Cyber Incident Response Plans (IRP);</w:t>
      </w:r>
    </w:p>
    <w:p>
      <w:pPr>
        <w:pStyle w:val="ListParagraph"/>
        <w:numPr>
          <w:ilvl w:val="0"/>
          <w:numId w:val="565"/>
        </w:numPr>
        <w:tabs>
          <w:tab w:val="clear" w:pos="360"/>
          <w:tab w:val="clear" w:pos="720"/>
          <w:tab w:val="clear" w:pos="1080"/>
        </w:tabs>
        <w:rPr/>
      </w:pPr>
      <w:r>
        <w:rPr/>
        <w:t xml:space="preserve">Insider Threat Implementation Plan; and </w:t>
      </w:r>
    </w:p>
    <w:p>
      <w:pPr>
        <w:pStyle w:val="ListParagraph"/>
        <w:numPr>
          <w:ilvl w:val="0"/>
          <w:numId w:val="565"/>
        </w:numPr>
        <w:tabs>
          <w:tab w:val="clear" w:pos="360"/>
          <w:tab w:val="clear" w:pos="720"/>
          <w:tab w:val="clear" w:pos="1080"/>
        </w:tabs>
        <w:rPr/>
      </w:pPr>
      <w:r>
        <w:rPr/>
        <w:t>Occupant Emergency Plans.</w:t>
      </w:r>
    </w:p>
    <w:p>
      <w:pPr>
        <w:pStyle w:val="Normal"/>
        <w:rPr/>
      </w:pPr>
      <w:r>
        <w:rPr/>
      </w:r>
    </w:p>
    <w:p>
      <w:pPr>
        <w:pStyle w:val="Heading3"/>
        <w:rPr/>
      </w:pPr>
      <w:bookmarkStart w:id="169" w:name="_Toc23241763"/>
      <w:bookmarkStart w:id="170" w:name="_Toc34920530"/>
      <w:r>
        <w:rPr/>
        <w:t>BCD-01(c): Business Continuity Management System (BCMS) | Transfer To Alternate Processing / Storage Site</w:t>
      </w:r>
      <w:bookmarkEnd w:id="169"/>
      <w:bookmarkEnd w:id="170"/>
      <w:r>
        <w:rPr/>
        <w:t xml:space="preserve"> </w:t>
      </w:r>
    </w:p>
    <w:p>
      <w:pPr>
        <w:pStyle w:val="Normal"/>
        <w:rPr>
          <w:rFonts w:cs="Calibri"/>
          <w:bCs w:val="false"/>
        </w:rPr>
      </w:pPr>
      <w:r>
        <w:rPr>
          <w:rFonts w:cs="Calibri"/>
          <w:u w:val="single"/>
        </w:rPr>
        <w:t>Control Objective</w:t>
      </w:r>
      <w:r>
        <w:rPr>
          <w:rFonts w:cs="Calibri"/>
        </w:rPr>
        <w:t>: The organization plans for the transfer of essential missions and business functions to alternate processing and/or storage sites with little or no loss of operational continuity and sustains that continuity through information system restoration to primary processing and/or storage sites.</w:t>
      </w:r>
      <w:r>
        <w:rPr>
          <w:rStyle w:val="FootnoteCharacters"/>
          <w:rFonts w:cs="Calibri"/>
        </w:rPr>
        <w:t xml:space="preserve"> </w:t>
      </w:r>
      <w:r>
        <w:rPr>
          <w:rStyle w:val="FootnoteAnchor"/>
          <w:rStyle w:val="FootnoteAnchor"/>
          <w:rFonts w:cs="Calibri"/>
        </w:rPr>
        <w:footnoteReference w:id="47"/>
      </w:r>
    </w:p>
    <w:p>
      <w:pPr>
        <w:pStyle w:val="Normal"/>
        <w:rPr/>
      </w:pPr>
      <w:r>
        <w:rPr/>
      </w:r>
    </w:p>
    <w:p>
      <w:pPr>
        <w:pStyle w:val="Normal"/>
        <w:rPr>
          <w:rFonts w:cs="Calibri"/>
        </w:rPr>
      </w:pPr>
      <w:r>
        <w:rPr>
          <w:rFonts w:cs="Calibri"/>
          <w:u w:val="single"/>
        </w:rPr>
        <w:t>Standard</w:t>
      </w:r>
      <w:r>
        <w:rPr>
          <w:rFonts w:cs="Calibri"/>
        </w:rPr>
        <w:t>: Data/process owners and asset custodians are required to:</w:t>
      </w:r>
    </w:p>
    <w:p>
      <w:pPr>
        <w:pStyle w:val="ListParagraph"/>
        <w:numPr>
          <w:ilvl w:val="0"/>
          <w:numId w:val="600"/>
        </w:numPr>
        <w:rPr>
          <w:rFonts w:cs="Calibri"/>
        </w:rPr>
      </w:pPr>
      <w:r>
        <w:rPr>
          <w:rFonts w:cs="Calibri"/>
        </w:rPr>
        <w:t xml:space="preserve">Develop and implement contingency-related plans and technologies to enable </w:t>
      </w:r>
      <w:r>
        <w:rPr>
          <w:rFonts w:cs="Calibri"/>
          <w:bCs w:val="false"/>
        </w:rPr>
        <w:t xml:space="preserve">the transfer of essential missions and business functions to alternate processing and/or storage sites with little or no loss of operational continuity </w:t>
      </w:r>
      <w:r>
        <w:rPr>
          <w:rFonts w:cs="Calibri"/>
        </w:rPr>
        <w:t>resumption of essentials missions and business functions within the defined Recovery Time Objective (RTO) from contingency plan activation; and</w:t>
      </w:r>
    </w:p>
    <w:p>
      <w:pPr>
        <w:pStyle w:val="ListParagraph"/>
        <w:numPr>
          <w:ilvl w:val="0"/>
          <w:numId w:val="600"/>
        </w:numPr>
        <w:rPr>
          <w:rFonts w:cs="Calibri"/>
        </w:rPr>
      </w:pPr>
      <w:r>
        <w:rPr>
          <w:rFonts w:cs="Calibri"/>
        </w:rPr>
        <w:t>Conduct a review of the RTO and business processes in question at least once a year or upon significant technology changes that potentially affect recovery operations.</w:t>
      </w:r>
    </w:p>
    <w:p>
      <w:pPr>
        <w:pStyle w:val="ListParagraph"/>
        <w:ind w:left="765" w:hanging="0"/>
        <w:rPr>
          <w:rFonts w:cs="Calibri"/>
        </w:rPr>
      </w:pPr>
      <w:r>
        <w:rPr>
          <w:rFonts w:cs="Calibri"/>
        </w:rPr>
      </w:r>
    </w:p>
    <w:p>
      <w:pPr>
        <w:pStyle w:val="Normal"/>
        <w:rPr>
          <w:rFonts w:cs="Calibri"/>
        </w:rPr>
      </w:pPr>
      <w:r>
        <w:rPr>
          <w:rFonts w:cs="Calibri"/>
          <w:u w:val="single"/>
        </w:rPr>
        <w:t>Guidelines</w:t>
      </w:r>
      <w:r>
        <w:rPr>
          <w:rFonts w:cs="Calibri"/>
        </w:rPr>
        <w:t>: Organizations may choose to carry out the contingency planning activities in this control enhancement as part of organizational business continuity planning including, for example, as part of business impact analyses. Primary processing and/or storage sites defined by organizations as part of contingency planning may change depending on the circumstances associated with the contingency (e.g., backup sites may become primary sites).</w:t>
      </w:r>
    </w:p>
    <w:p>
      <w:pPr>
        <w:pStyle w:val="Normal"/>
        <w:rPr/>
      </w:pPr>
      <w:r>
        <w:rPr/>
      </w:r>
    </w:p>
    <w:p>
      <w:pPr>
        <w:pStyle w:val="Heading3"/>
        <w:rPr/>
      </w:pPr>
      <w:bookmarkStart w:id="171" w:name="_Toc23241773"/>
      <w:bookmarkStart w:id="172" w:name="_Toc34920531"/>
      <w:r>
        <w:rPr/>
        <w:t>BCD-01(d): Business Continuity Management System (BCMS) | Recovery Time / Point Objectives</w:t>
      </w:r>
      <w:bookmarkEnd w:id="171"/>
      <w:bookmarkEnd w:id="172"/>
      <w:r>
        <w:rPr/>
        <w:t xml:space="preserve"> </w:t>
      </w:r>
    </w:p>
    <w:p>
      <w:pPr>
        <w:pStyle w:val="Normal"/>
        <w:rPr/>
      </w:pPr>
      <w:r>
        <w:rPr>
          <w:rFonts w:cs="Calibri"/>
          <w:u w:val="single"/>
        </w:rPr>
        <w:t>Control Objective</w:t>
      </w:r>
      <w:r>
        <w:rPr>
          <w:rFonts w:cs="Calibri"/>
        </w:rPr>
        <w:t xml:space="preserve">: </w:t>
      </w:r>
      <w:r>
        <w:rPr/>
        <w:t>The organization configures the alternate storage site to facilitate recovery operations in accordance with recovery time and recovery point objectives.</w:t>
      </w:r>
      <w:r>
        <w:rPr>
          <w:rStyle w:val="FootnoteCharacters"/>
          <w:rFonts w:cs="Calibri"/>
        </w:rPr>
        <w:t xml:space="preserve"> </w:t>
      </w:r>
      <w:r>
        <w:rPr>
          <w:rStyle w:val="FootnoteAnchor"/>
          <w:rStyle w:val="FootnoteAnchor"/>
          <w:rFonts w:cs="Calibri"/>
        </w:rPr>
        <w:footnoteReference w:id="48"/>
      </w:r>
    </w:p>
    <w:p>
      <w:pPr>
        <w:pStyle w:val="Normal"/>
        <w:rPr>
          <w:rFonts w:cs="Calibri"/>
        </w:rPr>
      </w:pPr>
      <w:r>
        <w:rPr>
          <w:rFonts w:cs="Calibri"/>
        </w:rPr>
      </w:r>
    </w:p>
    <w:p>
      <w:pPr>
        <w:pStyle w:val="Normal"/>
        <w:rPr>
          <w:rFonts w:cs="Calibri"/>
        </w:rPr>
      </w:pPr>
      <w:r>
        <w:rPr>
          <w:rFonts w:cs="Calibri"/>
          <w:u w:val="single"/>
        </w:rPr>
        <w:t>Standard</w:t>
      </w:r>
      <w:r>
        <w:rPr>
          <w:rFonts w:cs="Calibri"/>
        </w:rPr>
        <w:t>: Data/process owners and asset custodians are required to:</w:t>
      </w:r>
    </w:p>
    <w:p>
      <w:pPr>
        <w:pStyle w:val="ListParagraph"/>
        <w:numPr>
          <w:ilvl w:val="0"/>
          <w:numId w:val="603"/>
        </w:numPr>
        <w:rPr>
          <w:rFonts w:cs="Calibri"/>
        </w:rPr>
      </w:pPr>
      <w:r>
        <w:rPr>
          <w:rFonts w:cs="Calibri"/>
        </w:rPr>
        <w:t xml:space="preserve">Work with key stakeholders to identify a Recovery Time Objective (RTO) for each business function they control; </w:t>
      </w:r>
    </w:p>
    <w:p>
      <w:pPr>
        <w:pStyle w:val="ListParagraph"/>
        <w:numPr>
          <w:ilvl w:val="0"/>
          <w:numId w:val="603"/>
        </w:numPr>
        <w:rPr>
          <w:rFonts w:cs="Calibri"/>
        </w:rPr>
      </w:pPr>
      <w:r>
        <w:rPr>
          <w:rFonts w:cs="Calibri"/>
        </w:rPr>
        <w:t>Develop and implement contingency-related plans and technologies to enable the resumption of impacted missions and business functions within the defined RTO from contingency plan activation at the alternate storage site; and</w:t>
      </w:r>
    </w:p>
    <w:p>
      <w:pPr>
        <w:pStyle w:val="ListParagraph"/>
        <w:numPr>
          <w:ilvl w:val="0"/>
          <w:numId w:val="603"/>
        </w:numPr>
        <w:rPr>
          <w:rFonts w:cs="Calibri"/>
        </w:rPr>
      </w:pPr>
      <w:r>
        <w:rPr>
          <w:rFonts w:cs="Calibri"/>
        </w:rPr>
        <w:t>Conduct a review of the RTO and business processes in question at least once a year or upon significant technology changes that potentially affect recovery operations.</w:t>
      </w:r>
    </w:p>
    <w:p>
      <w:pPr>
        <w:pStyle w:val="Normal"/>
        <w:rPr>
          <w:rFonts w:cs="Calibri"/>
        </w:rPr>
      </w:pPr>
      <w:r>
        <w:rPr>
          <w:rFonts w:cs="Calibri"/>
        </w:rPr>
      </w:r>
    </w:p>
    <w:p>
      <w:pPr>
        <w:pStyle w:val="Normal"/>
        <w:rPr>
          <w:rFonts w:cs="Calibri"/>
        </w:rPr>
      </w:pPr>
      <w:r>
        <w:rPr>
          <w:rFonts w:cs="Calibri"/>
          <w:u w:val="single"/>
        </w:rPr>
        <w:t>Guidelines</w:t>
      </w:r>
      <w:r>
        <w:rPr>
          <w:rFonts w:cs="Calibri"/>
        </w:rPr>
        <w:t>: None</w:t>
      </w:r>
    </w:p>
    <w:p>
      <w:pPr>
        <w:pStyle w:val="Normal"/>
        <w:rPr/>
      </w:pPr>
      <w:r>
        <w:rPr/>
      </w:r>
    </w:p>
    <w:p>
      <w:pPr>
        <w:pStyle w:val="Normal"/>
        <w:tabs>
          <w:tab w:val="clear" w:pos="360"/>
          <w:tab w:val="clear" w:pos="720"/>
          <w:tab w:val="clear" w:pos="1080"/>
        </w:tabs>
        <w:jc w:val="left"/>
        <w:rPr/>
      </w:pPr>
      <w:r>
        <w:rPr/>
      </w:r>
    </w:p>
    <w:p>
      <w:pPr>
        <w:pStyle w:val="Heading2"/>
        <w:rPr/>
      </w:pPr>
      <w:bookmarkStart w:id="173" w:name="_Toc34920532"/>
      <w:bookmarkStart w:id="174" w:name="_Toc474074778"/>
      <w:r>
        <w:rPr/>
        <w:t>BCD-02: Identify Critical Assets</w:t>
      </w:r>
      <w:bookmarkEnd w:id="173"/>
      <w:bookmarkEnd w:id="174"/>
      <w:r>
        <w:rPr/>
        <w:t xml:space="preserve"> </w:t>
      </w:r>
    </w:p>
    <w:p>
      <w:pPr>
        <w:pStyle w:val="Normal"/>
        <w:rPr/>
      </w:pPr>
      <w:r>
        <w:rPr>
          <w:u w:val="single"/>
        </w:rPr>
        <w:t>Control Objective</w:t>
      </w:r>
      <w:r>
        <w:rPr/>
        <w:t>: The organization identifies critical systems supporting essential missions and business functions.</w:t>
      </w:r>
      <w:r>
        <w:rPr>
          <w:rStyle w:val="FootnoteAnchor"/>
          <w:rStyle w:val="FootnoteAnchor"/>
          <w:rFonts w:cs="Calibri"/>
        </w:rPr>
        <w:footnoteReference w:id="49"/>
      </w:r>
    </w:p>
    <w:p>
      <w:pPr>
        <w:pStyle w:val="Normal"/>
        <w:rPr/>
      </w:pPr>
      <w:r>
        <w:rPr/>
      </w:r>
    </w:p>
    <w:p>
      <w:pPr>
        <w:pStyle w:val="Normal"/>
        <w:rPr/>
      </w:pPr>
      <w:r>
        <w:rPr>
          <w:u w:val="single"/>
        </w:rPr>
        <w:t>Standard:</w:t>
      </w:r>
      <w:r>
        <w:rPr/>
        <w:t xml:space="preserve"> Asset and process owners are required to identify critical system assets that support essential missions and business functions. </w:t>
      </w:r>
    </w:p>
    <w:p>
      <w:pPr>
        <w:pStyle w:val="ListParagraph"/>
        <w:rPr/>
      </w:pPr>
      <w:r>
        <w:rPr/>
      </w:r>
    </w:p>
    <w:p>
      <w:pPr>
        <w:pStyle w:val="Normal"/>
        <w:rPr/>
      </w:pPr>
      <w:r>
        <w:rPr>
          <w:u w:val="single"/>
        </w:rPr>
        <w:t>Guidelines</w:t>
      </w:r>
      <w:r>
        <w:rPr/>
        <w:t>: Organizations may choose to carry out the contingency planning activities in this control enhancement as part of organizational business continuity planning including, for example, as part of business impact analyses. Organizations identify critical system assets so that additional safeguards and countermeasures can be employed (above and beyond those safeguards and countermeasures routinely implemented) to help ensure that organizational missions / business functions can continue to be conducted during contingency operations. In addition, the identification of critical information assets facilitates the prioritization of organizational resources. Critical system assets include technical and operational aspects. Technical aspects include, for example, information technology services, system components, information technology products and mechanisms. Operational aspects include, for example, procedures (manually executed operations) and personnel (individuals operating technical safeguards and / or executing manual procedures). Organizational program protection plans can provide assistance in identifying critical assets.</w:t>
      </w:r>
    </w:p>
    <w:p>
      <w:pPr>
        <w:pStyle w:val="Normal"/>
        <w:rPr/>
      </w:pPr>
      <w:r>
        <w:rPr/>
      </w:r>
    </w:p>
    <w:p>
      <w:pPr>
        <w:pStyle w:val="Heading3"/>
        <w:rPr/>
      </w:pPr>
      <w:bookmarkStart w:id="175" w:name="_Toc474074777"/>
      <w:bookmarkStart w:id="176" w:name="_Toc34920533"/>
      <w:r>
        <w:rPr/>
        <w:t>BCD-02(a): Identify Critical Assets | Resume All Missions &amp; Business Functions</w:t>
      </w:r>
      <w:bookmarkEnd w:id="175"/>
      <w:bookmarkEnd w:id="176"/>
      <w:r>
        <w:rPr/>
        <w:t xml:space="preserve"> </w:t>
      </w:r>
    </w:p>
    <w:p>
      <w:pPr>
        <w:pStyle w:val="Normal"/>
        <w:rPr/>
      </w:pPr>
      <w:r>
        <w:rPr>
          <w:u w:val="single"/>
        </w:rPr>
        <w:t>Control Objective</w:t>
      </w:r>
      <w:r>
        <w:rPr/>
        <w:t>: The organization plans for the resumption of all missions and business functions within Recovery Time Objectives (RTOs) of the contingency plan's activation.</w:t>
      </w:r>
      <w:r>
        <w:rPr>
          <w:rStyle w:val="FootnoteAnchor"/>
          <w:rStyle w:val="FootnoteAnchor"/>
          <w:rFonts w:cs="Calibri"/>
        </w:rPr>
        <w:footnoteReference w:id="50"/>
      </w:r>
    </w:p>
    <w:p>
      <w:pPr>
        <w:pStyle w:val="Normal"/>
        <w:rPr/>
      </w:pPr>
      <w:r>
        <w:rPr/>
      </w:r>
    </w:p>
    <w:p>
      <w:pPr>
        <w:pStyle w:val="Normal"/>
        <w:rPr/>
      </w:pPr>
      <w:r>
        <w:rPr>
          <w:u w:val="single"/>
        </w:rPr>
        <w:t>Standard</w:t>
      </w:r>
      <w:r>
        <w:rPr/>
        <w:t>: All critical systems must have:</w:t>
      </w:r>
    </w:p>
    <w:p>
      <w:pPr>
        <w:pStyle w:val="ListParagraph"/>
        <w:numPr>
          <w:ilvl w:val="0"/>
          <w:numId w:val="567"/>
        </w:numPr>
        <w:tabs>
          <w:tab w:val="clear" w:pos="360"/>
          <w:tab w:val="clear" w:pos="720"/>
          <w:tab w:val="clear" w:pos="1080"/>
        </w:tabs>
        <w:rPr/>
      </w:pPr>
      <w:r>
        <w:rPr/>
        <w:t>A designated Recovery Time Objective (RTO) established; and</w:t>
      </w:r>
    </w:p>
    <w:p>
      <w:pPr>
        <w:pStyle w:val="ListParagraph"/>
        <w:numPr>
          <w:ilvl w:val="0"/>
          <w:numId w:val="567"/>
        </w:numPr>
        <w:tabs>
          <w:tab w:val="clear" w:pos="360"/>
          <w:tab w:val="clear" w:pos="720"/>
          <w:tab w:val="clear" w:pos="1080"/>
        </w:tabs>
        <w:rPr/>
      </w:pPr>
      <w:r>
        <w:rPr/>
        <w:t>Processes developed and implemented to achieve the stated RTO.</w:t>
      </w:r>
    </w:p>
    <w:p>
      <w:pPr>
        <w:pStyle w:val="Normal"/>
        <w:rPr/>
      </w:pPr>
      <w:r>
        <w:rPr/>
      </w:r>
    </w:p>
    <w:p>
      <w:pPr>
        <w:pStyle w:val="Normal"/>
        <w:rPr/>
      </w:pPr>
      <w:r>
        <w:rPr>
          <w:u w:val="single"/>
        </w:rPr>
        <w:t>Guidelines</w:t>
      </w:r>
      <w:r>
        <w:rPr/>
        <w:t>: Organizations may choose to carry out the contingency planning activities in this control enhancement as part of organizational business continuity planning including, for example, as part of business impact analyses. The time-period for resumption of missions and business functions may be dependent on the severity and extent of disruptions to the system and its supporting infrastructure.</w:t>
      </w:r>
    </w:p>
    <w:p>
      <w:pPr>
        <w:pStyle w:val="Normal"/>
        <w:rPr/>
      </w:pPr>
      <w:r>
        <w:rPr/>
      </w:r>
    </w:p>
    <w:p>
      <w:pPr>
        <w:pStyle w:val="Normal"/>
        <w:rPr/>
      </w:pPr>
      <w:r>
        <w:rPr/>
        <w:t>Recovery Time Objective (RTO) is related to downtime. The metric refers to the amount of time it takes to recover from a data loss event and how long it takes to return to service. RTO refers then to the amount of time the system's data is unavailable or inaccessible preventing normal service.</w:t>
      </w:r>
    </w:p>
    <w:p>
      <w:pPr>
        <w:pStyle w:val="Normal"/>
        <w:rPr/>
      </w:pPr>
      <w:r>
        <w:rPr/>
      </w:r>
    </w:p>
    <w:p>
      <w:pPr>
        <w:pStyle w:val="Heading3"/>
        <w:rPr/>
      </w:pPr>
      <w:bookmarkStart w:id="177" w:name="_Toc34920534"/>
      <w:r>
        <w:rPr/>
        <w:t>BCD-02(b): Identify Critical Assets | Continue Essential Mission &amp; Business Functions</w:t>
      </w:r>
      <w:bookmarkEnd w:id="177"/>
    </w:p>
    <w:p>
      <w:pPr>
        <w:pStyle w:val="Normal"/>
        <w:rPr/>
      </w:pPr>
      <w:r>
        <w:rPr>
          <w:u w:val="single"/>
        </w:rPr>
        <w:t>Control Objective</w:t>
      </w:r>
      <w:r>
        <w:rPr/>
        <w:t>: The organization plans for the continuance of essential missions and business functions with little or no loss of operational continuity and sustains that continuity until full system restoration at primary processing and / or storage sites.</w:t>
      </w:r>
    </w:p>
    <w:p>
      <w:pPr>
        <w:pStyle w:val="Normal"/>
        <w:rPr/>
      </w:pPr>
      <w:r>
        <w:rPr/>
      </w:r>
    </w:p>
    <w:p>
      <w:pPr>
        <w:pStyle w:val="Normal"/>
        <w:rPr/>
      </w:pPr>
      <w:r>
        <w:rPr>
          <w:u w:val="single"/>
        </w:rPr>
        <w:t>Standard</w:t>
      </w:r>
      <w:r>
        <w:rPr/>
        <w:t>: All critical systems must have:</w:t>
      </w:r>
    </w:p>
    <w:p>
      <w:pPr>
        <w:pStyle w:val="ListParagraph"/>
        <w:numPr>
          <w:ilvl w:val="0"/>
          <w:numId w:val="566"/>
        </w:numPr>
        <w:tabs>
          <w:tab w:val="clear" w:pos="360"/>
          <w:tab w:val="clear" w:pos="720"/>
          <w:tab w:val="clear" w:pos="1080"/>
        </w:tabs>
        <w:rPr/>
      </w:pPr>
      <w:r>
        <w:rPr/>
        <w:t>A designated Recovery Point Objective (RPO) established; and</w:t>
      </w:r>
    </w:p>
    <w:p>
      <w:pPr>
        <w:pStyle w:val="ListParagraph"/>
        <w:numPr>
          <w:ilvl w:val="0"/>
          <w:numId w:val="566"/>
        </w:numPr>
        <w:tabs>
          <w:tab w:val="clear" w:pos="360"/>
          <w:tab w:val="clear" w:pos="720"/>
          <w:tab w:val="clear" w:pos="1080"/>
        </w:tabs>
        <w:rPr/>
      </w:pPr>
      <w:r>
        <w:rPr/>
        <w:t>Processes developed and implemented to achieve the stated RPO.</w:t>
      </w:r>
    </w:p>
    <w:p>
      <w:pPr>
        <w:pStyle w:val="Normal"/>
        <w:rPr/>
      </w:pPr>
      <w:r>
        <w:rPr/>
      </w:r>
    </w:p>
    <w:p>
      <w:pPr>
        <w:pStyle w:val="Normal"/>
        <w:rPr/>
      </w:pPr>
      <w:r>
        <w:rPr>
          <w:u w:val="single"/>
        </w:rPr>
        <w:t>Guidelines</w:t>
      </w:r>
      <w:r>
        <w:rPr/>
        <w:t>: Organizations may choose to carry out the contingency planning activities in this control enhancement as part of organizational business continuity planning including, for example, as part of business impact analyses. Primary processing and/or storage sites defined by organizations as part of contingency planning may change depending on the circumstances associated with the contingency.</w:t>
      </w:r>
    </w:p>
    <w:p>
      <w:pPr>
        <w:pStyle w:val="Normal"/>
        <w:rPr/>
      </w:pPr>
      <w:r>
        <w:rPr/>
      </w:r>
    </w:p>
    <w:p>
      <w:pPr>
        <w:pStyle w:val="Normal"/>
        <w:rPr/>
      </w:pPr>
      <w:r>
        <w:rPr/>
        <w:t>Recovery Point Objective (RPO) refers to the amount of data at risk. It's determined by the amount of time between data protection events and reflects the amount of data that potentially could be lost during a disaster recovery. The metric is an indication of the amount of data at risk of being lost.</w:t>
      </w:r>
    </w:p>
    <w:p>
      <w:pPr>
        <w:pStyle w:val="Normal"/>
        <w:rPr/>
      </w:pPr>
      <w:r>
        <w:rPr/>
      </w:r>
    </w:p>
    <w:p>
      <w:pPr>
        <w:pStyle w:val="Heading3"/>
        <w:rPr/>
      </w:pPr>
      <w:bookmarkStart w:id="178" w:name="_Toc34920535"/>
      <w:r>
        <w:rPr/>
        <w:t>BCD-02(c): Identify Critical Assets | Resume Essential Mission &amp; Business Functions</w:t>
      </w:r>
      <w:bookmarkEnd w:id="178"/>
    </w:p>
    <w:p>
      <w:pPr>
        <w:pStyle w:val="Normal"/>
        <w:rPr/>
      </w:pPr>
      <w:r>
        <w:rPr>
          <w:u w:val="single"/>
        </w:rPr>
        <w:t>Control Objective</w:t>
      </w:r>
      <w:r>
        <w:rPr/>
        <w:t>: The organization plans for the resumption of essential missions and business functions within an organization-defined time period of contingency plan activation.</w:t>
      </w:r>
    </w:p>
    <w:p>
      <w:pPr>
        <w:pStyle w:val="Normal"/>
        <w:rPr/>
      </w:pPr>
      <w:r>
        <w:rPr/>
      </w:r>
    </w:p>
    <w:p>
      <w:pPr>
        <w:pStyle w:val="Normal"/>
        <w:rPr/>
      </w:pPr>
      <w:r>
        <w:rPr>
          <w:u w:val="single"/>
        </w:rPr>
        <w:t>Standard</w:t>
      </w:r>
      <w:r>
        <w:rPr/>
        <w:t>: NFCC plans for the resumption of essential missions and business functions within the planned Recovery Time Objective (RTO) from the Contingency Plan.</w:t>
      </w:r>
    </w:p>
    <w:p>
      <w:pPr>
        <w:pStyle w:val="ListParagraph"/>
        <w:rPr/>
      </w:pPr>
      <w:r>
        <w:rPr/>
      </w:r>
    </w:p>
    <w:p>
      <w:pPr>
        <w:pStyle w:val="Normal"/>
        <w:rPr/>
      </w:pPr>
      <w:r>
        <w:rPr>
          <w:u w:val="single"/>
        </w:rPr>
        <w:t>Guidelines</w:t>
      </w:r>
      <w:r>
        <w:rPr/>
        <w:t>: Organizations may choose to carry out the contingency planning activities in this control enhancement as part of organizational business continuity planning including, for example, as part of business impact analyses. The time period for the resumption of essential missions/business functions may be dependent on the severity/extent of disruptions to the system and its supporting infrastructure.</w:t>
      </w:r>
    </w:p>
    <w:p>
      <w:pPr>
        <w:pStyle w:val="Normal"/>
        <w:rPr/>
      </w:pPr>
      <w:r>
        <w:rPr/>
      </w:r>
    </w:p>
    <w:p>
      <w:pPr>
        <w:pStyle w:val="Normal"/>
        <w:rPr/>
      </w:pPr>
      <w:r>
        <w:rPr/>
      </w:r>
    </w:p>
    <w:p>
      <w:pPr>
        <w:pStyle w:val="Heading2"/>
        <w:rPr/>
      </w:pPr>
      <w:bookmarkStart w:id="179" w:name="_Toc474074779"/>
      <w:bookmarkStart w:id="180" w:name="_Toc474075522"/>
      <w:bookmarkStart w:id="181" w:name="_Toc34920536"/>
      <w:r>
        <w:rPr/>
        <w:t>BCD-03: Contingency Training</w:t>
      </w:r>
      <w:bookmarkEnd w:id="179"/>
      <w:bookmarkEnd w:id="180"/>
      <w:bookmarkEnd w:id="181"/>
    </w:p>
    <w:p>
      <w:pPr>
        <w:pStyle w:val="Normal"/>
        <w:rPr/>
      </w:pPr>
      <w:r>
        <w:rPr>
          <w:u w:val="single"/>
        </w:rPr>
        <w:t>Control Objective</w:t>
      </w:r>
      <w:r>
        <w:rPr/>
        <w:t>: The organization trains personnel in their contingency roles and responsibilities.</w:t>
      </w:r>
      <w:r>
        <w:rPr>
          <w:rStyle w:val="FootnoteAnchor"/>
          <w:rStyle w:val="FootnoteAnchor"/>
          <w:rFonts w:cs="Calibri"/>
        </w:rPr>
        <w:footnoteReference w:id="51"/>
      </w:r>
    </w:p>
    <w:p>
      <w:pPr>
        <w:pStyle w:val="Normal"/>
        <w:rPr/>
      </w:pPr>
      <w:r>
        <w:rPr/>
      </w:r>
    </w:p>
    <w:p>
      <w:pPr>
        <w:pStyle w:val="Normal"/>
        <w:rPr/>
      </w:pPr>
      <w:r>
        <w:rPr>
          <w:u w:val="single"/>
        </w:rPr>
        <w:t>Standard</w:t>
      </w:r>
      <w:r>
        <w:rPr/>
        <w:t>: Data/process owners and asset custodians are required to be trained in their contingency roles and responsibilities with respect to systems.</w:t>
      </w:r>
    </w:p>
    <w:p>
      <w:pPr>
        <w:pStyle w:val="Normal"/>
        <w:rPr/>
      </w:pPr>
      <w:r>
        <w:rPr/>
      </w:r>
    </w:p>
    <w:p>
      <w:pPr>
        <w:pStyle w:val="Normal"/>
        <w:rPr/>
      </w:pPr>
      <w:r>
        <w:rPr>
          <w:u w:val="single"/>
        </w:rPr>
        <w:t>Guidelines</w:t>
      </w:r>
      <w:r>
        <w:rPr/>
        <w:t>: Contingency training provided by organizations is linked to the assigned roles and responsibilities of organizational personnel to ensure the appropriate content and level of detail is included in such training. For example, regular users may only need to know when and where to report for duty during contingency operations and if normal duties are affected; system administrators may require additional training on how to set up systems at alternate processing and storage sites; and managers / senior leaders may receive more specific training on how to conduct mission essential functions in designated off-site locations and how to establish communications with other entities for purposes of coordination of contingency-related activities.</w:t>
      </w:r>
    </w:p>
    <w:p>
      <w:pPr>
        <w:pStyle w:val="Normal"/>
        <w:rPr/>
      </w:pPr>
      <w:r>
        <w:rPr/>
      </w:r>
    </w:p>
    <w:p>
      <w:pPr>
        <w:pStyle w:val="Heading3"/>
        <w:rPr/>
      </w:pPr>
      <w:bookmarkStart w:id="182" w:name="_Toc34920537"/>
      <w:r>
        <w:rPr/>
        <w:t>BCD-03(a): Contingency Training | Simulated Events</w:t>
      </w:r>
      <w:bookmarkEnd w:id="182"/>
    </w:p>
    <w:p>
      <w:pPr>
        <w:pStyle w:val="Normal"/>
        <w:rPr/>
      </w:pPr>
      <w:r>
        <w:rPr>
          <w:u w:val="single"/>
        </w:rPr>
        <w:t>Control Objective</w:t>
      </w:r>
      <w:r>
        <w:rPr/>
        <w:t>: The organization incorporates simulated events into contingency training to facilitate effective response by personnel in crisis situations.</w:t>
      </w:r>
    </w:p>
    <w:p>
      <w:pPr>
        <w:pStyle w:val="Normal"/>
        <w:rPr/>
      </w:pPr>
      <w:r>
        <w:rPr/>
      </w:r>
    </w:p>
    <w:p>
      <w:pPr>
        <w:pStyle w:val="Normal"/>
        <w:rPr/>
      </w:pPr>
      <w:r>
        <w:rPr>
          <w:u w:val="single"/>
        </w:rPr>
        <w:t>Standard</w:t>
      </w:r>
      <w:r>
        <w:rPr/>
        <w:t>: Contingency plan training must incorporate simulated events to facilitate effective response by personnel in crisis situations.</w:t>
      </w:r>
    </w:p>
    <w:p>
      <w:pPr>
        <w:pStyle w:val="Normal"/>
        <w:rPr/>
      </w:pPr>
      <w:r>
        <w:rPr/>
      </w:r>
    </w:p>
    <w:p>
      <w:pPr>
        <w:pStyle w:val="Normal"/>
        <w:rPr/>
      </w:pPr>
      <w:r>
        <w:rPr>
          <w:u w:val="single"/>
        </w:rPr>
        <w:t>Guidelines</w:t>
      </w:r>
      <w:r>
        <w:rPr/>
        <w:t>: None</w:t>
      </w:r>
    </w:p>
    <w:p>
      <w:pPr>
        <w:pStyle w:val="Normal"/>
        <w:rPr/>
      </w:pPr>
      <w:r>
        <w:rPr/>
      </w:r>
    </w:p>
    <w:p>
      <w:pPr>
        <w:pStyle w:val="Heading3"/>
        <w:rPr/>
      </w:pPr>
      <w:bookmarkStart w:id="183" w:name="_Toc34920538"/>
      <w:r>
        <w:rPr/>
        <w:t>BCD-03(b): Contingency Training | Automated Training Environments</w:t>
      </w:r>
      <w:bookmarkEnd w:id="183"/>
      <w:r>
        <w:rPr/>
        <w:t xml:space="preserve"> </w:t>
      </w:r>
    </w:p>
    <w:p>
      <w:pPr>
        <w:pStyle w:val="Normal"/>
        <w:rPr/>
      </w:pPr>
      <w:r>
        <w:rPr>
          <w:u w:val="single"/>
        </w:rPr>
        <w:t>Control Objective</w:t>
      </w:r>
      <w:r>
        <w:rPr/>
        <w:t>: The organization employs automated mechanisms to provide a more thorough and realistic contingency training environment.</w:t>
      </w:r>
    </w:p>
    <w:p>
      <w:pPr>
        <w:pStyle w:val="Normal"/>
        <w:rPr/>
      </w:pPr>
      <w:r>
        <w:rPr/>
      </w:r>
    </w:p>
    <w:p>
      <w:pPr>
        <w:pStyle w:val="Normal"/>
        <w:rPr/>
      </w:pPr>
      <w:r>
        <w:rPr>
          <w:u w:val="single"/>
        </w:rPr>
        <w:t>Standard</w:t>
      </w:r>
      <w:r>
        <w:rPr/>
        <w:t>: Where technically feasible and justified by a valid business case, contingency plan training must employ automated mechanisms to provide a more thorough and realistic contingency training environment.</w:t>
      </w:r>
    </w:p>
    <w:p>
      <w:pPr>
        <w:pStyle w:val="Normal"/>
        <w:rPr/>
      </w:pPr>
      <w:r>
        <w:rPr/>
      </w:r>
    </w:p>
    <w:p>
      <w:pPr>
        <w:pStyle w:val="Normal"/>
        <w:rPr/>
      </w:pPr>
      <w:r>
        <w:rPr>
          <w:u w:val="single"/>
        </w:rPr>
        <w:t>Guidelines</w:t>
      </w:r>
      <w:r>
        <w:rPr/>
        <w:t>: None</w:t>
      </w:r>
    </w:p>
    <w:p>
      <w:pPr>
        <w:pStyle w:val="Normal"/>
        <w:rPr/>
      </w:pPr>
      <w:r>
        <w:rPr/>
      </w:r>
    </w:p>
    <w:p>
      <w:pPr>
        <w:pStyle w:val="Normal"/>
        <w:rPr/>
      </w:pPr>
      <w:r>
        <w:rPr/>
      </w:r>
    </w:p>
    <w:p>
      <w:pPr>
        <w:pStyle w:val="Heading2"/>
        <w:rPr/>
      </w:pPr>
      <w:bookmarkStart w:id="184" w:name="_Toc474074780"/>
      <w:bookmarkStart w:id="185" w:name="_Toc474075523"/>
      <w:bookmarkStart w:id="186" w:name="_Toc34920539"/>
      <w:r>
        <w:rPr/>
        <w:t>BCD-04: Contingency Plan Testing &amp; Exercises</w:t>
      </w:r>
      <w:bookmarkEnd w:id="184"/>
      <w:bookmarkEnd w:id="185"/>
      <w:bookmarkEnd w:id="186"/>
      <w:r>
        <w:rPr/>
        <w:t xml:space="preserve"> </w:t>
      </w:r>
    </w:p>
    <w:p>
      <w:pPr>
        <w:pStyle w:val="Normal"/>
        <w:rPr/>
      </w:pPr>
      <w:r>
        <w:rPr>
          <w:u w:val="single"/>
        </w:rPr>
        <w:t>Control Objective</w:t>
      </w:r>
      <w:r>
        <w:rPr/>
        <w:t xml:space="preserve">: The organization tests the contingency plan for the information using organization-defined tests and / or exercises to determine the plan’s effectiveness and the organization’s readiness to execute the plan. </w:t>
      </w:r>
      <w:r>
        <w:rPr>
          <w:rStyle w:val="FootnoteAnchor"/>
          <w:rStyle w:val="FootnoteAnchor"/>
          <w:rFonts w:cs="Calibri"/>
        </w:rPr>
        <w:footnoteReference w:id="52"/>
      </w:r>
      <w:r>
        <w:rPr/>
        <w:t xml:space="preserve"> </w:t>
      </w:r>
    </w:p>
    <w:p>
      <w:pPr>
        <w:pStyle w:val="Normal"/>
        <w:rPr/>
      </w:pPr>
      <w:r>
        <w:rPr/>
      </w:r>
    </w:p>
    <w:p>
      <w:pPr>
        <w:pStyle w:val="Normal"/>
        <w:rPr/>
      </w:pPr>
      <w:r>
        <w:rPr>
          <w:u w:val="single"/>
        </w:rPr>
        <w:t>Standard</w:t>
      </w:r>
      <w:r>
        <w:rPr/>
        <w:t>: Business continuity and security incident response plans shall be subject to testing at planned intervals or upon significant organizational or environmental changes. Data/process owners and asset custodians are required to:</w:t>
      </w:r>
    </w:p>
    <w:p>
      <w:pPr>
        <w:pStyle w:val="ListParagraph"/>
        <w:numPr>
          <w:ilvl w:val="0"/>
          <w:numId w:val="245"/>
        </w:numPr>
        <w:rPr/>
      </w:pPr>
      <w:r>
        <w:rPr/>
        <w:t xml:space="preserve">Establish and implement periodic testing procedures; </w:t>
      </w:r>
    </w:p>
    <w:p>
      <w:pPr>
        <w:pStyle w:val="ListParagraph"/>
        <w:numPr>
          <w:ilvl w:val="0"/>
          <w:numId w:val="245"/>
        </w:numPr>
        <w:rPr/>
      </w:pPr>
      <w:r>
        <w:rPr/>
        <w:t>Test their contingency plan to determine the plan’s effectiveness and the company’s readiness to execute the plan; and</w:t>
      </w:r>
    </w:p>
    <w:p>
      <w:pPr>
        <w:pStyle w:val="ListParagraph"/>
        <w:numPr>
          <w:ilvl w:val="0"/>
          <w:numId w:val="245"/>
        </w:numPr>
        <w:rPr/>
      </w:pPr>
      <w:r>
        <w:rPr/>
        <w:t>Document the contingency plan test results.</w:t>
      </w:r>
    </w:p>
    <w:p>
      <w:pPr>
        <w:pStyle w:val="Normal"/>
        <w:rPr/>
      </w:pPr>
      <w:r>
        <w:rPr/>
      </w:r>
    </w:p>
    <w:p>
      <w:pPr>
        <w:pStyle w:val="Normal"/>
        <w:rPr/>
      </w:pPr>
      <w:r>
        <w:rPr>
          <w:u w:val="single"/>
        </w:rPr>
        <w:t>Guidelines</w:t>
      </w:r>
      <w:r>
        <w:rPr/>
        <w:t>: Data/process owners and asset custodians are required to perform a full recovery and reconstitution of critical systems to a known state as part of contingency plan testing, at least once a year. As applicable, IRPs should involve impacted customers (tenant) and other business relationships that represent critical intra-supply chain business process dependencies.</w:t>
      </w:r>
    </w:p>
    <w:p>
      <w:pPr>
        <w:pStyle w:val="Normal"/>
        <w:rPr/>
      </w:pPr>
      <w:r>
        <w:rPr/>
      </w:r>
    </w:p>
    <w:p>
      <w:pPr>
        <w:pStyle w:val="Heading3"/>
        <w:rPr/>
      </w:pPr>
      <w:bookmarkStart w:id="187" w:name="_Toc474074781"/>
      <w:bookmarkStart w:id="188" w:name="_Toc34920540"/>
      <w:r>
        <w:rPr/>
        <w:t>BCD-04(a): Contingency Plan Testing &amp; Exercises | Coordinated Testing with Related Plans</w:t>
      </w:r>
      <w:bookmarkEnd w:id="187"/>
      <w:bookmarkEnd w:id="188"/>
      <w:r>
        <w:rPr/>
        <w:t xml:space="preserve"> </w:t>
      </w:r>
    </w:p>
    <w:p>
      <w:pPr>
        <w:pStyle w:val="Normal"/>
        <w:rPr/>
      </w:pPr>
      <w:r>
        <w:rPr>
          <w:u w:val="single"/>
        </w:rPr>
        <w:t>Control Objective</w:t>
      </w:r>
      <w:r>
        <w:rPr/>
        <w:t>: The organization coordinates contingency plan testing with organizational elements responsible for related plans.</w:t>
      </w:r>
      <w:r>
        <w:rPr>
          <w:rStyle w:val="FootnoteAnchor"/>
          <w:rStyle w:val="FootnoteAnchor"/>
          <w:rFonts w:cs="Calibri"/>
        </w:rPr>
        <w:footnoteReference w:id="53"/>
      </w:r>
    </w:p>
    <w:p>
      <w:pPr>
        <w:pStyle w:val="Normal"/>
        <w:rPr/>
      </w:pPr>
      <w:r>
        <w:rPr/>
      </w:r>
    </w:p>
    <w:p>
      <w:pPr>
        <w:pStyle w:val="Normal"/>
        <w:rPr/>
      </w:pPr>
      <w:r>
        <w:rPr>
          <w:u w:val="single"/>
        </w:rPr>
        <w:t>Standard:</w:t>
      </w:r>
      <w:r>
        <w:rPr/>
        <w:t xml:space="preserve"> Process owners must ensure coordinated contingency plan testing with appropriate personnel responsible for related plans.</w:t>
      </w:r>
    </w:p>
    <w:p>
      <w:pPr>
        <w:pStyle w:val="ListParagraph"/>
        <w:rPr/>
      </w:pPr>
      <w:r>
        <w:rPr/>
      </w:r>
    </w:p>
    <w:p>
      <w:pPr>
        <w:pStyle w:val="Normal"/>
        <w:rPr/>
      </w:pPr>
      <w:r>
        <w:rPr>
          <w:u w:val="single"/>
        </w:rPr>
        <w:t>Guidelines</w:t>
      </w:r>
      <w:r>
        <w:rPr/>
        <w:t xml:space="preserve">: Plans related to contingency plans for organizational systems include, for example, </w:t>
      </w:r>
    </w:p>
    <w:p>
      <w:pPr>
        <w:pStyle w:val="ListParagraph"/>
        <w:numPr>
          <w:ilvl w:val="0"/>
          <w:numId w:val="214"/>
        </w:numPr>
        <w:rPr/>
      </w:pPr>
      <w:r>
        <w:rPr/>
        <w:t>Business Continuity Plans;</w:t>
      </w:r>
    </w:p>
    <w:p>
      <w:pPr>
        <w:pStyle w:val="ListParagraph"/>
        <w:numPr>
          <w:ilvl w:val="0"/>
          <w:numId w:val="214"/>
        </w:numPr>
        <w:rPr/>
      </w:pPr>
      <w:r>
        <w:rPr/>
        <w:t>Disaster Recovery Plans;</w:t>
      </w:r>
    </w:p>
    <w:p>
      <w:pPr>
        <w:pStyle w:val="ListParagraph"/>
        <w:numPr>
          <w:ilvl w:val="0"/>
          <w:numId w:val="214"/>
        </w:numPr>
        <w:rPr/>
      </w:pPr>
      <w:r>
        <w:rPr/>
        <w:t>Continuity of Operations Plans;</w:t>
      </w:r>
    </w:p>
    <w:p>
      <w:pPr>
        <w:pStyle w:val="ListParagraph"/>
        <w:numPr>
          <w:ilvl w:val="0"/>
          <w:numId w:val="214"/>
        </w:numPr>
        <w:rPr/>
      </w:pPr>
      <w:r>
        <w:rPr/>
        <w:t>Crisis Communications Plans</w:t>
      </w:r>
    </w:p>
    <w:p>
      <w:pPr>
        <w:pStyle w:val="ListParagraph"/>
        <w:numPr>
          <w:ilvl w:val="0"/>
          <w:numId w:val="214"/>
        </w:numPr>
        <w:rPr/>
      </w:pPr>
      <w:r>
        <w:rPr/>
        <w:t>Critical Infrastructure Plans</w:t>
      </w:r>
    </w:p>
    <w:p>
      <w:pPr>
        <w:pStyle w:val="ListParagraph"/>
        <w:numPr>
          <w:ilvl w:val="0"/>
          <w:numId w:val="214"/>
        </w:numPr>
        <w:rPr/>
      </w:pPr>
      <w:r>
        <w:rPr/>
        <w:t>Cyber Incident Response Plans</w:t>
      </w:r>
    </w:p>
    <w:p>
      <w:pPr>
        <w:pStyle w:val="ListParagraph"/>
        <w:numPr>
          <w:ilvl w:val="0"/>
          <w:numId w:val="214"/>
        </w:numPr>
        <w:rPr/>
      </w:pPr>
      <w:r>
        <w:rPr/>
        <w:t xml:space="preserve">Insider Threat Implementation Plan; and </w:t>
      </w:r>
    </w:p>
    <w:p>
      <w:pPr>
        <w:pStyle w:val="ListParagraph"/>
        <w:numPr>
          <w:ilvl w:val="0"/>
          <w:numId w:val="214"/>
        </w:numPr>
        <w:rPr/>
      </w:pPr>
      <w:r>
        <w:rPr/>
        <w:t>Occupant Emergency Plans.</w:t>
      </w:r>
    </w:p>
    <w:p>
      <w:pPr>
        <w:pStyle w:val="Normal"/>
        <w:rPr/>
      </w:pPr>
      <w:r>
        <w:rPr/>
      </w:r>
    </w:p>
    <w:p>
      <w:pPr>
        <w:pStyle w:val="Heading3"/>
        <w:rPr/>
      </w:pPr>
      <w:bookmarkStart w:id="189" w:name="_Toc34920541"/>
      <w:bookmarkStart w:id="190" w:name="_Toc23241769"/>
      <w:r>
        <w:rPr/>
        <w:t>BCD-04(b): Contingency Plan Testing &amp; Exercises | Alternate Storage &amp; Processing Site</w:t>
      </w:r>
      <w:bookmarkEnd w:id="190"/>
      <w:r>
        <w:rPr/>
        <w:t>s</w:t>
      </w:r>
      <w:bookmarkEnd w:id="189"/>
      <w:r>
        <w:rPr/>
        <w:t xml:space="preserve"> </w:t>
      </w:r>
    </w:p>
    <w:p>
      <w:pPr>
        <w:pStyle w:val="Normal"/>
        <w:rPr/>
      </w:pPr>
      <w:r>
        <w:rPr>
          <w:rFonts w:cs="Calibri"/>
          <w:u w:val="single"/>
        </w:rPr>
        <w:t>Control Objective</w:t>
      </w:r>
      <w:r>
        <w:rPr>
          <w:rFonts w:cs="Calibri"/>
        </w:rPr>
        <w:t xml:space="preserve">: </w:t>
      </w:r>
      <w:r>
        <w:rPr/>
        <w:t>The organization tests the contingency plan at the alternate storage and processing site(s):</w:t>
      </w:r>
      <w:r>
        <w:rPr>
          <w:rStyle w:val="FootnoteCharacters"/>
          <w:rFonts w:cs="Calibri"/>
        </w:rPr>
        <w:t xml:space="preserve"> </w:t>
      </w:r>
      <w:r>
        <w:rPr>
          <w:rStyle w:val="FootnoteAnchor"/>
          <w:rStyle w:val="FootnoteAnchor"/>
          <w:rFonts w:cs="Calibri"/>
        </w:rPr>
        <w:footnoteReference w:id="54"/>
      </w:r>
      <w:r>
        <w:rPr/>
        <w:t xml:space="preserve"> </w:t>
      </w:r>
    </w:p>
    <w:p>
      <w:pPr>
        <w:pStyle w:val="ListParagraph"/>
        <w:numPr>
          <w:ilvl w:val="0"/>
          <w:numId w:val="601"/>
        </w:numPr>
        <w:rPr/>
      </w:pPr>
      <w:r>
        <w:rPr/>
        <w:t xml:space="preserve">To familiarize contingency personnel with the facility and available resources; and </w:t>
      </w:r>
    </w:p>
    <w:p>
      <w:pPr>
        <w:pStyle w:val="ListParagraph"/>
        <w:numPr>
          <w:ilvl w:val="0"/>
          <w:numId w:val="601"/>
        </w:numPr>
        <w:rPr/>
      </w:pPr>
      <w:r>
        <w:rPr/>
        <w:t xml:space="preserve">To evaluate the capabilities of the alternate processing site to support contingency operations. </w:t>
      </w:r>
    </w:p>
    <w:p>
      <w:pPr>
        <w:pStyle w:val="Normal"/>
        <w:rPr>
          <w:rFonts w:cs="Calibri"/>
        </w:rPr>
      </w:pPr>
      <w:r>
        <w:rPr>
          <w:rFonts w:cs="Calibri"/>
        </w:rPr>
      </w:r>
    </w:p>
    <w:p>
      <w:pPr>
        <w:pStyle w:val="Normal"/>
        <w:rPr>
          <w:rFonts w:cs="Calibri"/>
        </w:rPr>
      </w:pPr>
      <w:r>
        <w:rPr>
          <w:rFonts w:cs="Calibri"/>
          <w:u w:val="single"/>
        </w:rPr>
        <w:t>Standard</w:t>
      </w:r>
      <w:r>
        <w:rPr>
          <w:rFonts w:cs="Calibri"/>
        </w:rPr>
        <w:t xml:space="preserve">: Data/process owners and asset custodians are required to tests the contingency plan at the alternate storage and/or processing site(s) to: </w:t>
      </w:r>
    </w:p>
    <w:p>
      <w:pPr>
        <w:pStyle w:val="ListParagraph"/>
        <w:numPr>
          <w:ilvl w:val="0"/>
          <w:numId w:val="602"/>
        </w:numPr>
        <w:rPr>
          <w:rFonts w:cs="Calibri"/>
        </w:rPr>
      </w:pPr>
      <w:r>
        <w:rPr>
          <w:rFonts w:cs="Calibri"/>
        </w:rPr>
        <w:t xml:space="preserve">Familiarize key contingency personnel with the alternate facility and its available resources; and </w:t>
      </w:r>
    </w:p>
    <w:p>
      <w:pPr>
        <w:pStyle w:val="ListParagraph"/>
        <w:numPr>
          <w:ilvl w:val="0"/>
          <w:numId w:val="602"/>
        </w:numPr>
        <w:rPr>
          <w:rFonts w:cs="Calibri"/>
        </w:rPr>
      </w:pPr>
      <w:r>
        <w:rPr>
          <w:rFonts w:cs="Calibri"/>
        </w:rPr>
        <w:t>Evaluate the existing capabilities of the alternate storage and/or processing site to support NFCC’s current and planned contingency operations.</w:t>
      </w:r>
    </w:p>
    <w:p>
      <w:pPr>
        <w:pStyle w:val="Normal"/>
        <w:rPr>
          <w:rFonts w:cs="Calibri"/>
        </w:rPr>
      </w:pPr>
      <w:r>
        <w:rPr>
          <w:rFonts w:cs="Calibri"/>
        </w:rPr>
      </w:r>
    </w:p>
    <w:p>
      <w:pPr>
        <w:pStyle w:val="Normal"/>
        <w:rPr>
          <w:rFonts w:cs="Calibri"/>
        </w:rPr>
      </w:pPr>
      <w:r>
        <w:rPr>
          <w:rFonts w:cs="Calibri"/>
          <w:u w:val="single"/>
        </w:rPr>
        <w:t>Guidelines</w:t>
      </w:r>
      <w:r>
        <w:rPr>
          <w:rFonts w:cs="Calibri"/>
        </w:rPr>
        <w:t>: None</w:t>
      </w:r>
    </w:p>
    <w:p>
      <w:pPr>
        <w:pStyle w:val="Normal"/>
        <w:rPr/>
      </w:pPr>
      <w:r>
        <w:rPr/>
      </w:r>
    </w:p>
    <w:p>
      <w:pPr>
        <w:pStyle w:val="Normal"/>
        <w:rPr/>
      </w:pPr>
      <w:r>
        <w:rPr/>
      </w:r>
    </w:p>
    <w:p>
      <w:pPr>
        <w:pStyle w:val="Heading2"/>
        <w:rPr/>
      </w:pPr>
      <w:bookmarkStart w:id="191" w:name="_Toc34920542"/>
      <w:r>
        <w:rPr/>
        <w:t>BCD-05: Contingency Plan Root Cause Analysis (RCA) &amp; Lessons Learned</w:t>
      </w:r>
      <w:bookmarkEnd w:id="191"/>
      <w:r>
        <w:rPr/>
        <w:t xml:space="preserve"> </w:t>
      </w:r>
    </w:p>
    <w:p>
      <w:pPr>
        <w:pStyle w:val="Normal"/>
        <w:rPr/>
      </w:pPr>
      <w:r>
        <w:rPr>
          <w:u w:val="single"/>
        </w:rPr>
        <w:t>Control Objective</w:t>
      </w:r>
      <w:r>
        <w:rPr/>
        <w:t>: The organization incorporates lessons learned for contingency plans.</w:t>
      </w:r>
      <w:r>
        <w:rPr>
          <w:rStyle w:val="FootnoteAnchor"/>
          <w:rStyle w:val="FootnoteAnchor"/>
          <w:rFonts w:cs="Calibri"/>
        </w:rPr>
        <w:footnoteReference w:id="55"/>
      </w:r>
      <w:r>
        <w:rPr/>
        <w:t xml:space="preserve"> </w:t>
      </w:r>
    </w:p>
    <w:p>
      <w:pPr>
        <w:pStyle w:val="Normal"/>
        <w:rPr/>
      </w:pPr>
      <w:r>
        <w:rPr/>
      </w:r>
    </w:p>
    <w:p>
      <w:pPr>
        <w:pStyle w:val="Normal"/>
        <w:rPr/>
      </w:pPr>
      <w:r>
        <w:rPr>
          <w:u w:val="single"/>
        </w:rPr>
        <w:t>Standard</w:t>
      </w:r>
      <w:r>
        <w:rPr/>
        <w:t>: Data/process owners and asset custodians are required to:</w:t>
      </w:r>
    </w:p>
    <w:p>
      <w:pPr>
        <w:pStyle w:val="ListParagraph"/>
        <w:numPr>
          <w:ilvl w:val="0"/>
          <w:numId w:val="246"/>
        </w:numPr>
        <w:rPr/>
      </w:pPr>
      <w:r>
        <w:rPr/>
        <w:t>Perform a Root Cause Analysis (RCA) following events that trigger usage of continuity plans; and</w:t>
      </w:r>
    </w:p>
    <w:p>
      <w:pPr>
        <w:pStyle w:val="ListParagraph"/>
        <w:numPr>
          <w:ilvl w:val="0"/>
          <w:numId w:val="246"/>
        </w:numPr>
        <w:rPr/>
      </w:pPr>
      <w:r>
        <w:rPr/>
        <w:t>Incorporate lessons learned in updates to the continuity plans.</w:t>
      </w:r>
    </w:p>
    <w:p>
      <w:pPr>
        <w:pStyle w:val="Normal"/>
        <w:rPr/>
      </w:pPr>
      <w:r>
        <w:rPr/>
      </w:r>
    </w:p>
    <w:p>
      <w:pPr>
        <w:pStyle w:val="Normal"/>
        <w:rPr/>
      </w:pPr>
      <w:r>
        <w:rPr>
          <w:u w:val="single"/>
        </w:rPr>
        <w:t>Guidelines</w:t>
      </w:r>
      <w:r>
        <w:rPr/>
        <w:t>: None</w:t>
      </w:r>
    </w:p>
    <w:p>
      <w:pPr>
        <w:pStyle w:val="Normal"/>
        <w:rPr/>
      </w:pPr>
      <w:r>
        <w:rPr/>
      </w:r>
    </w:p>
    <w:p>
      <w:pPr>
        <w:pStyle w:val="Normal"/>
        <w:rPr/>
      </w:pPr>
      <w:r>
        <w:rPr/>
      </w:r>
    </w:p>
    <w:p>
      <w:pPr>
        <w:pStyle w:val="Heading2"/>
        <w:rPr/>
      </w:pPr>
      <w:bookmarkStart w:id="192" w:name="_Toc34920543"/>
      <w:bookmarkStart w:id="193" w:name="_Toc474074782"/>
      <w:bookmarkStart w:id="194" w:name="_Toc474075524"/>
      <w:r>
        <w:rPr/>
        <w:t>BCD-06: Contingency Planning &amp; Update</w:t>
      </w:r>
      <w:bookmarkEnd w:id="193"/>
      <w:bookmarkEnd w:id="194"/>
      <w:r>
        <w:rPr/>
        <w:t>s</w:t>
      </w:r>
      <w:bookmarkEnd w:id="192"/>
      <w:r>
        <w:rPr/>
        <w:t xml:space="preserve"> </w:t>
      </w:r>
    </w:p>
    <w:p>
      <w:pPr>
        <w:pStyle w:val="Normal"/>
        <w:rPr/>
      </w:pPr>
      <w:r>
        <w:rPr>
          <w:u w:val="single"/>
        </w:rPr>
        <w:t>Control Objective</w:t>
      </w:r>
      <w:r>
        <w:rPr/>
        <w:t>: The organization regularly updates recovery strategies to keep current with business needs and technology changes.</w:t>
      </w:r>
      <w:r>
        <w:rPr>
          <w:rStyle w:val="FootnoteAnchor"/>
          <w:rStyle w:val="FootnoteAnchor"/>
          <w:rFonts w:cs="Calibri"/>
        </w:rPr>
        <w:footnoteReference w:id="56"/>
      </w:r>
      <w:r>
        <w:rPr/>
        <w:t xml:space="preserve"> </w:t>
      </w:r>
    </w:p>
    <w:p>
      <w:pPr>
        <w:pStyle w:val="Normal"/>
        <w:rPr/>
      </w:pPr>
      <w:r>
        <w:rPr/>
      </w:r>
    </w:p>
    <w:p>
      <w:pPr>
        <w:pStyle w:val="Normal"/>
        <w:rPr/>
      </w:pPr>
      <w:r>
        <w:rPr>
          <w:u w:val="single"/>
        </w:rPr>
        <w:t>Standard</w:t>
      </w:r>
      <w:r>
        <w:rPr/>
        <w:t>: Data/process owners and asset custodians are required to:</w:t>
      </w:r>
    </w:p>
    <w:p>
      <w:pPr>
        <w:pStyle w:val="ListParagraph"/>
        <w:numPr>
          <w:ilvl w:val="0"/>
          <w:numId w:val="247"/>
        </w:numPr>
        <w:rPr/>
      </w:pPr>
      <w:r>
        <w:rPr/>
        <w:t>Review the entire contingency plan at least once a year;</w:t>
      </w:r>
    </w:p>
    <w:p>
      <w:pPr>
        <w:pStyle w:val="ListParagraph"/>
        <w:numPr>
          <w:ilvl w:val="0"/>
          <w:numId w:val="247"/>
        </w:numPr>
        <w:rPr/>
      </w:pPr>
      <w:r>
        <w:rPr/>
        <w:t xml:space="preserve">Review any test / exercise results; and </w:t>
      </w:r>
    </w:p>
    <w:p>
      <w:pPr>
        <w:pStyle w:val="ListParagraph"/>
        <w:numPr>
          <w:ilvl w:val="0"/>
          <w:numId w:val="247"/>
        </w:numPr>
        <w:rPr/>
      </w:pPr>
      <w:r>
        <w:rPr/>
        <w:t xml:space="preserve">Initiate corrective actions, as necessary. </w:t>
      </w:r>
    </w:p>
    <w:p>
      <w:pPr>
        <w:pStyle w:val="Normal"/>
        <w:rPr/>
      </w:pPr>
      <w:r>
        <w:rPr/>
      </w:r>
    </w:p>
    <w:p>
      <w:pPr>
        <w:pStyle w:val="Normal"/>
        <w:rPr/>
      </w:pPr>
      <w:r>
        <w:rPr>
          <w:u w:val="single"/>
        </w:rPr>
        <w:t>Guidelines</w:t>
      </w:r>
      <w:r>
        <w:rPr/>
        <w:t>: None</w:t>
      </w:r>
    </w:p>
    <w:p>
      <w:pPr>
        <w:pStyle w:val="Normal"/>
        <w:rPr/>
      </w:pPr>
      <w:r>
        <w:rPr/>
      </w:r>
    </w:p>
    <w:p>
      <w:pPr>
        <w:pStyle w:val="Normal"/>
        <w:rPr/>
      </w:pPr>
      <w:r>
        <w:rPr/>
      </w:r>
    </w:p>
    <w:p>
      <w:pPr>
        <w:pStyle w:val="Heading2"/>
        <w:rPr/>
      </w:pPr>
      <w:bookmarkStart w:id="195" w:name="_Toc474074783"/>
      <w:bookmarkStart w:id="196" w:name="_Toc474075525"/>
      <w:bookmarkStart w:id="197" w:name="_Toc34920544"/>
      <w:r>
        <w:rPr/>
        <w:t>BCD-07: Alternative Security Measures</w:t>
      </w:r>
      <w:bookmarkEnd w:id="195"/>
      <w:bookmarkEnd w:id="196"/>
      <w:bookmarkEnd w:id="197"/>
      <w:r>
        <w:rPr/>
        <w:t xml:space="preserve"> </w:t>
      </w:r>
    </w:p>
    <w:p>
      <w:pPr>
        <w:pStyle w:val="Normal"/>
        <w:rPr/>
      </w:pPr>
      <w:r>
        <w:rPr>
          <w:u w:val="single"/>
        </w:rPr>
        <w:t>Control Objective</w:t>
      </w:r>
      <w:r>
        <w:rPr/>
        <w:t>: The organization employs alternative or supplemental security mechanisms for satisfying security functions when the primary means of implementing the security function is unavailable or compromised.</w:t>
      </w:r>
      <w:r>
        <w:rPr>
          <w:rStyle w:val="FootnoteAnchor"/>
          <w:rStyle w:val="FootnoteAnchor"/>
        </w:rPr>
        <w:footnoteReference w:id="57"/>
      </w:r>
    </w:p>
    <w:p>
      <w:pPr>
        <w:pStyle w:val="Normal"/>
        <w:rPr/>
      </w:pPr>
      <w:r>
        <w:rPr/>
      </w:r>
    </w:p>
    <w:p>
      <w:pPr>
        <w:pStyle w:val="Normal"/>
        <w:rPr/>
      </w:pPr>
      <w:r>
        <w:rPr>
          <w:u w:val="single"/>
        </w:rPr>
        <w:t>Standard</w:t>
      </w:r>
      <w:r>
        <w:rPr/>
        <w:t xml:space="preserve">: For critical systems, asset custodians and data / process owners are required to provide the capability to employ alternative or supplemental security mechanisms for satisfying security functions when the primary means of implementing the security function is unavailable or compromised. </w:t>
      </w:r>
    </w:p>
    <w:p>
      <w:pPr>
        <w:pStyle w:val="Normal"/>
        <w:rPr/>
      </w:pPr>
      <w:r>
        <w:rPr/>
      </w:r>
    </w:p>
    <w:p>
      <w:pPr>
        <w:pStyle w:val="Normal"/>
        <w:rPr/>
      </w:pPr>
      <w:r>
        <w:rPr>
          <w:u w:val="single"/>
        </w:rPr>
        <w:t>Guidelines</w:t>
      </w:r>
      <w:r>
        <w:rPr/>
        <w:t xml:space="preserve">: This control supports system resiliency and contingency planning / continuity of operations. These mechanisms may be less effective than the primary mechanisms (e.g., not as easy to use, not as scalable or not as secure). Given the cost and level of effort required to provide such alternative capabilities, this control would typically be applied only to critical security capabilities provided by systems, system components or system services. For example, an organization may issue to senior executives and system administrators one-time pads in case multifactor tokens, the NFCC’s standard means for secure remote authentication, is compromised. </w:t>
      </w:r>
    </w:p>
    <w:p>
      <w:pPr>
        <w:pStyle w:val="Normal"/>
        <w:rPr/>
      </w:pPr>
      <w:r>
        <w:rPr/>
      </w:r>
    </w:p>
    <w:p>
      <w:pPr>
        <w:pStyle w:val="Normal"/>
        <w:tabs>
          <w:tab w:val="clear" w:pos="360"/>
          <w:tab w:val="clear" w:pos="720"/>
          <w:tab w:val="clear" w:pos="1080"/>
        </w:tabs>
        <w:jc w:val="left"/>
        <w:rPr>
          <w:rFonts w:cs="Calibri"/>
          <w:b/>
          <w:b/>
          <w:bCs w:val="false"/>
          <w:smallCaps/>
          <w:color w:val="1F497D" w:themeColor="text2"/>
        </w:rPr>
      </w:pPr>
      <w:r>
        <w:rPr>
          <w:rFonts w:cs="Calibri"/>
          <w:b/>
          <w:bCs w:val="false"/>
          <w:smallCaps/>
          <w:color w:val="1F497D" w:themeColor="text2"/>
        </w:rPr>
      </w:r>
    </w:p>
    <w:p>
      <w:pPr>
        <w:pStyle w:val="Heading2"/>
        <w:rPr/>
      </w:pPr>
      <w:bookmarkStart w:id="198" w:name="_Toc474074784"/>
      <w:bookmarkStart w:id="199" w:name="_Toc474075526"/>
      <w:bookmarkStart w:id="200" w:name="_Toc34920545"/>
      <w:r>
        <w:rPr/>
        <w:t>BCD-08: Alternate Storage Site</w:t>
      </w:r>
      <w:bookmarkEnd w:id="198"/>
      <w:bookmarkEnd w:id="199"/>
      <w:bookmarkEnd w:id="200"/>
    </w:p>
    <w:p>
      <w:pPr>
        <w:pStyle w:val="Normal"/>
        <w:rPr/>
      </w:pPr>
      <w:r>
        <w:rPr>
          <w:u w:val="single"/>
        </w:rPr>
        <w:t>Control Objective</w:t>
      </w:r>
      <w:r>
        <w:rPr/>
        <w:t>: The organization establishes an alternate storage site including the assets and necessary agreements to permit the storage and recovery of system backup information.</w:t>
      </w:r>
      <w:r>
        <w:rPr>
          <w:rStyle w:val="FootnoteAnchor"/>
          <w:rStyle w:val="FootnoteAnchor"/>
          <w:rFonts w:cs="Calibri"/>
        </w:rPr>
        <w:footnoteReference w:id="58"/>
      </w:r>
    </w:p>
    <w:p>
      <w:pPr>
        <w:pStyle w:val="Normal"/>
        <w:rPr/>
      </w:pPr>
      <w:r>
        <w:rPr/>
      </w:r>
    </w:p>
    <w:p>
      <w:pPr>
        <w:pStyle w:val="Normal"/>
        <w:rPr/>
      </w:pPr>
      <w:r>
        <w:rPr>
          <w:u w:val="single"/>
        </w:rPr>
        <w:t>Standard</w:t>
      </w:r>
      <w:r>
        <w:rPr/>
        <w:t>: The responsible party for NFCC’s technology infrastructure is required to identify an alternate storage site that is separated from the primary storage site so as not to be susceptible to the same hazards, in the event of an area-wide disruption or disaster.</w:t>
      </w:r>
    </w:p>
    <w:p>
      <w:pPr>
        <w:pStyle w:val="Normal"/>
        <w:rPr/>
      </w:pPr>
      <w:r>
        <w:rPr/>
      </w:r>
    </w:p>
    <w:p>
      <w:pPr>
        <w:pStyle w:val="Normal"/>
        <w:rPr/>
      </w:pPr>
      <w:r>
        <w:rPr>
          <w:u w:val="single"/>
        </w:rPr>
        <w:t>Guidelines</w:t>
      </w:r>
      <w:r>
        <w:rPr/>
        <w:t>: NFCC should determine who needs access to facilities and offices in the event of a disaster. Access should be restricted to business essential personnel until operations and facilities are returned to normal operating conditions.</w:t>
      </w:r>
    </w:p>
    <w:p>
      <w:pPr>
        <w:pStyle w:val="ListParagraph"/>
        <w:numPr>
          <w:ilvl w:val="0"/>
          <w:numId w:val="27"/>
        </w:numPr>
        <w:rPr/>
      </w:pPr>
      <w:r>
        <w:rPr/>
        <w:t>The organization ensures that the established alternate storage site is separated from the primary storage site to reduce susceptibility to the same hazards.</w:t>
      </w:r>
    </w:p>
    <w:p>
      <w:pPr>
        <w:pStyle w:val="ListParagraph"/>
        <w:numPr>
          <w:ilvl w:val="0"/>
          <w:numId w:val="27"/>
        </w:numPr>
        <w:rPr/>
      </w:pPr>
      <w:r>
        <w:rPr/>
        <w:t>The organization configures the alternate storage site to facilitate recovery operations in accordance with recovery time and recovery point objectives.</w:t>
      </w:r>
    </w:p>
    <w:p>
      <w:pPr>
        <w:pStyle w:val="ListParagraph"/>
        <w:numPr>
          <w:ilvl w:val="0"/>
          <w:numId w:val="27"/>
        </w:numPr>
        <w:rPr/>
      </w:pPr>
      <w:r>
        <w:rPr/>
        <w:t>The organization identifies potential accessibility problems to the alternate storage site in the event of an area-wide disruption or disaster and outlines explicit mitigation actions.</w:t>
      </w:r>
    </w:p>
    <w:p>
      <w:pPr>
        <w:pStyle w:val="Normal"/>
        <w:rPr/>
      </w:pPr>
      <w:r>
        <w:rPr/>
      </w:r>
    </w:p>
    <w:p>
      <w:pPr>
        <w:pStyle w:val="Heading3"/>
        <w:rPr/>
      </w:pPr>
      <w:bookmarkStart w:id="201" w:name="_Toc474074785"/>
      <w:bookmarkStart w:id="202" w:name="_Toc34920546"/>
      <w:r>
        <w:rPr/>
        <w:t>BCD-08(a): Alternate Storage Site | Separation from Primary Site</w:t>
      </w:r>
      <w:bookmarkEnd w:id="201"/>
      <w:bookmarkEnd w:id="202"/>
      <w:r>
        <w:rPr/>
        <w:t xml:space="preserve"> </w:t>
      </w:r>
    </w:p>
    <w:p>
      <w:pPr>
        <w:pStyle w:val="Normal"/>
        <w:rPr/>
      </w:pPr>
      <w:r>
        <w:rPr>
          <w:u w:val="single"/>
        </w:rPr>
        <w:t>Control Objective</w:t>
      </w:r>
      <w:r>
        <w:rPr/>
        <w:t>: The organization identifies an alternate storage site that is separated from the primary storage site to reduce susceptibility to the same threats.</w:t>
      </w:r>
      <w:r>
        <w:rPr>
          <w:rStyle w:val="FootnoteAnchor"/>
          <w:rStyle w:val="FootnoteAnchor"/>
          <w:rFonts w:cs="Calibri"/>
        </w:rPr>
        <w:footnoteReference w:id="59"/>
      </w:r>
    </w:p>
    <w:p>
      <w:pPr>
        <w:pStyle w:val="Normal"/>
        <w:rPr/>
      </w:pPr>
      <w:r>
        <w:rPr/>
      </w:r>
    </w:p>
    <w:p>
      <w:pPr>
        <w:pStyle w:val="Normal"/>
        <w:rPr/>
      </w:pPr>
      <w:r>
        <w:rPr>
          <w:u w:val="single"/>
        </w:rPr>
        <w:t>Standard</w:t>
      </w:r>
      <w:r>
        <w:rPr/>
        <w:t>: Asset and process owners must identify an alternate storage site that is separated from the primary storage site to reduce susceptibility to the same threats.</w:t>
      </w:r>
    </w:p>
    <w:p>
      <w:pPr>
        <w:pStyle w:val="ListParagraph"/>
        <w:rPr/>
      </w:pPr>
      <w:r>
        <w:rPr/>
      </w:r>
    </w:p>
    <w:p>
      <w:pPr>
        <w:pStyle w:val="Normal"/>
        <w:rPr/>
      </w:pPr>
      <w:r>
        <w:rPr>
          <w:u w:val="single"/>
        </w:rPr>
        <w:t>Guidelines</w:t>
      </w:r>
      <w:r>
        <w:rPr/>
        <w:t>: Threats that affect alternate storage sites are typically defined in organizational assessments of risk and include, for example, natural disasters, structural failures, hostile cyber-attacks and errors of omission / commission. Organizations determine what is considered a sufficient degree of separation between primary and alternate storage sites based on the types of threats that are of concern. For one particular type of threat (e.g., hostile cyber-attack), the degree of separation between sites is less relevant.</w:t>
      </w:r>
    </w:p>
    <w:p>
      <w:pPr>
        <w:pStyle w:val="Normal"/>
        <w:rPr/>
      </w:pPr>
      <w:r>
        <w:rPr/>
      </w:r>
    </w:p>
    <w:p>
      <w:pPr>
        <w:pStyle w:val="Heading3"/>
        <w:rPr/>
      </w:pPr>
      <w:bookmarkStart w:id="203" w:name="_Toc474074786"/>
      <w:bookmarkStart w:id="204" w:name="_Toc34920547"/>
      <w:r>
        <w:rPr/>
        <w:t>BCD-08(b): Alternate Storage Site | Accessibility</w:t>
      </w:r>
      <w:bookmarkEnd w:id="203"/>
      <w:bookmarkEnd w:id="204"/>
      <w:r>
        <w:rPr/>
        <w:t xml:space="preserve"> </w:t>
      </w:r>
    </w:p>
    <w:p>
      <w:pPr>
        <w:pStyle w:val="Normal"/>
        <w:rPr/>
      </w:pPr>
      <w:r>
        <w:rPr>
          <w:u w:val="single"/>
        </w:rPr>
        <w:t>Control Objective</w:t>
      </w:r>
      <w:r>
        <w:rPr/>
        <w:t>: The organization identifies potential accessibility problems to the alternate storage site in the event of an area-wide disruption or disaster and outlines explicit mitigation actions.</w:t>
      </w:r>
      <w:r>
        <w:rPr>
          <w:rStyle w:val="FootnoteAnchor"/>
          <w:rStyle w:val="FootnoteAnchor"/>
          <w:rFonts w:cs="Calibri"/>
        </w:rPr>
        <w:footnoteReference w:id="60"/>
      </w:r>
    </w:p>
    <w:p>
      <w:pPr>
        <w:pStyle w:val="Normal"/>
        <w:rPr/>
      </w:pPr>
      <w:r>
        <w:rPr/>
      </w:r>
    </w:p>
    <w:p>
      <w:pPr>
        <w:pStyle w:val="Normal"/>
        <w:rPr/>
      </w:pPr>
      <w:r>
        <w:rPr>
          <w:u w:val="single"/>
        </w:rPr>
        <w:t>Standard</w:t>
      </w:r>
      <w:r>
        <w:rPr/>
        <w:t>: Asset and process owners must identify potential accessibility problems to the alternate storage site in the event of an area-wide disruption or disaster and outlines explicit mitigation actions.</w:t>
      </w:r>
    </w:p>
    <w:p>
      <w:pPr>
        <w:pStyle w:val="ListParagraph"/>
        <w:rPr/>
      </w:pPr>
      <w:r>
        <w:rPr/>
      </w:r>
    </w:p>
    <w:p>
      <w:pPr>
        <w:pStyle w:val="Normal"/>
        <w:rPr/>
      </w:pPr>
      <w:r>
        <w:rPr>
          <w:u w:val="single"/>
        </w:rPr>
        <w:t>Guidelines</w:t>
      </w:r>
      <w:r>
        <w:rPr/>
        <w:t>: Area-wide disruptions refer to those types of disruptions that are broad in geographic scope (e.g., hurricane, regional power outage) with such determinations made by organizations based on organizational assessments of risk. Explicit mitigation actions include, for example: (i) duplicating backup information at other alternate storage sites if access problems occur at originally designated alternate sites; or (ii) planning for physical access to retrieve backup information if electronic accessibility to the alternate site is disrupted.</w:t>
      </w:r>
    </w:p>
    <w:p>
      <w:pPr>
        <w:pStyle w:val="Normal"/>
        <w:rPr/>
      </w:pPr>
      <w:r>
        <w:rPr/>
      </w:r>
    </w:p>
    <w:p>
      <w:pPr>
        <w:pStyle w:val="Normal"/>
        <w:tabs>
          <w:tab w:val="clear" w:pos="360"/>
          <w:tab w:val="clear" w:pos="720"/>
          <w:tab w:val="clear" w:pos="1080"/>
        </w:tabs>
        <w:jc w:val="left"/>
        <w:rPr>
          <w:rFonts w:cs="Calibri"/>
          <w:b/>
          <w:b/>
          <w:bCs w:val="false"/>
          <w:smallCaps/>
          <w:color w:val="1F497D" w:themeColor="text2"/>
        </w:rPr>
      </w:pPr>
      <w:r>
        <w:rPr>
          <w:rFonts w:cs="Calibri"/>
          <w:b/>
          <w:bCs w:val="false"/>
          <w:smallCaps/>
          <w:color w:val="1F497D" w:themeColor="text2"/>
        </w:rPr>
      </w:r>
    </w:p>
    <w:p>
      <w:pPr>
        <w:pStyle w:val="Heading2"/>
        <w:rPr/>
      </w:pPr>
      <w:bookmarkStart w:id="205" w:name="_Toc474074787"/>
      <w:bookmarkStart w:id="206" w:name="_Toc474075527"/>
      <w:bookmarkStart w:id="207" w:name="_Toc34920548"/>
      <w:r>
        <w:rPr/>
        <w:t>BCD-09: Alternate Processing Site</w:t>
      </w:r>
      <w:bookmarkEnd w:id="205"/>
      <w:bookmarkEnd w:id="206"/>
      <w:bookmarkEnd w:id="207"/>
    </w:p>
    <w:p>
      <w:pPr>
        <w:pStyle w:val="Normal"/>
        <w:rPr/>
      </w:pPr>
      <w:r>
        <w:rPr>
          <w:u w:val="single"/>
        </w:rPr>
        <w:t>Control Objective</w:t>
      </w:r>
      <w:r>
        <w:rPr/>
        <w:t>: The organization ensures that the alternate processing site provides security measures equivalent to that of the primary site.</w:t>
      </w:r>
      <w:r>
        <w:rPr>
          <w:rStyle w:val="FootnoteAnchor"/>
          <w:rStyle w:val="FootnoteAnchor"/>
          <w:rFonts w:cs="Calibri"/>
        </w:rPr>
        <w:footnoteReference w:id="61"/>
      </w:r>
    </w:p>
    <w:p>
      <w:pPr>
        <w:pStyle w:val="Normal"/>
        <w:rPr/>
      </w:pPr>
      <w:r>
        <w:rPr/>
      </w:r>
    </w:p>
    <w:p>
      <w:pPr>
        <w:pStyle w:val="Normal"/>
        <w:rPr/>
      </w:pPr>
      <w:r>
        <w:rPr>
          <w:u w:val="single"/>
        </w:rPr>
        <w:t>Standard</w:t>
      </w:r>
      <w:r>
        <w:rPr/>
        <w:t>: The responsible party for NFCC’s technology infrastructure is required to identify an alternate processing site that is separated from the primary processing site so as not to be susceptible to the same hazards, in the event of an area-wide disruption or disaster.</w:t>
      </w:r>
    </w:p>
    <w:p>
      <w:pPr>
        <w:pStyle w:val="Normal"/>
        <w:rPr/>
      </w:pPr>
      <w:r>
        <w:rPr/>
      </w:r>
    </w:p>
    <w:p>
      <w:pPr>
        <w:pStyle w:val="Normal"/>
        <w:rPr/>
      </w:pPr>
      <w:r>
        <w:rPr>
          <w:u w:val="single"/>
        </w:rPr>
        <w:t>Guidelines</w:t>
      </w:r>
      <w:r>
        <w:rPr/>
        <w:t>: Items covered by alternate processing site agreements include, for example, environmental conditions at alternate sites, access rules, physical and environmental protection requirements and coordination for the transfer / assignment of personnel. Alternate processing sites reflect the continuity requirements in contingency plans to maintain essential missions / business functions despite the disruption, compromise or failure in organizational systems. Access should be restricted to business essential personnel until operations and facilities are returned to normal operating conditions.</w:t>
      </w:r>
    </w:p>
    <w:p>
      <w:pPr>
        <w:pStyle w:val="Normal"/>
        <w:rPr/>
      </w:pPr>
      <w:r>
        <w:rPr/>
      </w:r>
    </w:p>
    <w:p>
      <w:pPr>
        <w:pStyle w:val="Heading3"/>
        <w:rPr/>
      </w:pPr>
      <w:bookmarkStart w:id="208" w:name="_Toc474074788"/>
      <w:bookmarkStart w:id="209" w:name="_Toc34920549"/>
      <w:r>
        <w:rPr/>
        <w:t>BCD-09(a): Alternate Processing Site | Separation from Primary Site</w:t>
      </w:r>
      <w:bookmarkEnd w:id="208"/>
      <w:bookmarkEnd w:id="209"/>
      <w:r>
        <w:rPr/>
        <w:t xml:space="preserve"> </w:t>
      </w:r>
    </w:p>
    <w:p>
      <w:pPr>
        <w:pStyle w:val="Normal"/>
        <w:rPr/>
      </w:pPr>
      <w:r>
        <w:rPr>
          <w:u w:val="single"/>
        </w:rPr>
        <w:t>Control Objective</w:t>
      </w:r>
      <w:r>
        <w:rPr/>
        <w:t>: The organization identifies an alternate processing site that is separated from the primary processing site to reduce susceptibility to the same threats.</w:t>
      </w:r>
      <w:r>
        <w:rPr>
          <w:rStyle w:val="FootnoteAnchor"/>
          <w:rStyle w:val="FootnoteAnchor"/>
          <w:rFonts w:cs="Calibri"/>
        </w:rPr>
        <w:footnoteReference w:id="62"/>
      </w:r>
    </w:p>
    <w:p>
      <w:pPr>
        <w:pStyle w:val="Normal"/>
        <w:rPr/>
      </w:pPr>
      <w:r>
        <w:rPr/>
      </w:r>
    </w:p>
    <w:p>
      <w:pPr>
        <w:pStyle w:val="Normal"/>
        <w:rPr/>
      </w:pPr>
      <w:r>
        <w:rPr>
          <w:u w:val="single"/>
        </w:rPr>
        <w:t>Standard:</w:t>
      </w:r>
      <w:r>
        <w:rPr/>
        <w:t xml:space="preserve"> Asset and process owners must identify an alternate processing site that is separated from the primary processing site to reduce susceptibility to the same threats.</w:t>
      </w:r>
    </w:p>
    <w:p>
      <w:pPr>
        <w:pStyle w:val="ListParagraph"/>
        <w:rPr/>
      </w:pPr>
      <w:r>
        <w:rPr/>
      </w:r>
    </w:p>
    <w:p>
      <w:pPr>
        <w:pStyle w:val="Normal"/>
        <w:rPr/>
      </w:pPr>
      <w:r>
        <w:rPr>
          <w:u w:val="single"/>
        </w:rPr>
        <w:t>Guidelines</w:t>
      </w:r>
      <w:r>
        <w:rPr/>
        <w:t>: Threats that affect alternate processing sites are typically defined in organizational assessments of risk and include, for example, natural disasters, structural failures, hostile cyber-attacks and errors of omission / commission. Organizations determine what is considered a sufficient degree of separation between primary and alternate processing sites based on the types of threats that are of concern. For one particular type of threat (e.g., hostile cyber-attack), the degree of separation between sites is less relevant.</w:t>
      </w:r>
    </w:p>
    <w:p>
      <w:pPr>
        <w:pStyle w:val="Normal"/>
        <w:rPr/>
      </w:pPr>
      <w:r>
        <w:rPr/>
      </w:r>
    </w:p>
    <w:p>
      <w:pPr>
        <w:pStyle w:val="Heading3"/>
        <w:rPr/>
      </w:pPr>
      <w:bookmarkStart w:id="210" w:name="_Toc474074789"/>
      <w:bookmarkStart w:id="211" w:name="_Toc34920550"/>
      <w:r>
        <w:rPr/>
        <w:t>BCD-09(b): Alternate Processing Site | Accessibility</w:t>
      </w:r>
      <w:bookmarkEnd w:id="210"/>
      <w:bookmarkEnd w:id="211"/>
    </w:p>
    <w:p>
      <w:pPr>
        <w:pStyle w:val="Normal"/>
        <w:rPr/>
      </w:pPr>
      <w:r>
        <w:rPr>
          <w:u w:val="single"/>
        </w:rPr>
        <w:t>Control Objective</w:t>
      </w:r>
      <w:r>
        <w:rPr/>
        <w:t>: The organization identifies potential accessibility problems to the alternate processing site in the event of an area-wide disruption or disaster and outlines explicit mitigation actions.</w:t>
      </w:r>
      <w:r>
        <w:rPr>
          <w:rStyle w:val="FootnoteAnchor"/>
          <w:rStyle w:val="FootnoteAnchor"/>
          <w:rFonts w:cs="Calibri"/>
        </w:rPr>
        <w:footnoteReference w:id="63"/>
      </w:r>
    </w:p>
    <w:p>
      <w:pPr>
        <w:pStyle w:val="Normal"/>
        <w:rPr/>
      </w:pPr>
      <w:r>
        <w:rPr/>
      </w:r>
    </w:p>
    <w:p>
      <w:pPr>
        <w:pStyle w:val="Normal"/>
        <w:rPr/>
      </w:pPr>
      <w:r>
        <w:rPr>
          <w:u w:val="single"/>
        </w:rPr>
        <w:t>Standard:</w:t>
      </w:r>
      <w:r>
        <w:rPr/>
        <w:t xml:space="preserve"> Asset and process owners must identify potential accessibility problems to the alternate processing site in the event of an area-wide disruption or disaster and outlines explicit mitigation actions.</w:t>
      </w:r>
    </w:p>
    <w:p>
      <w:pPr>
        <w:pStyle w:val="ListParagraph"/>
        <w:rPr/>
      </w:pPr>
      <w:r>
        <w:rPr/>
      </w:r>
    </w:p>
    <w:p>
      <w:pPr>
        <w:pStyle w:val="Normal"/>
        <w:rPr/>
      </w:pPr>
      <w:r>
        <w:rPr>
          <w:u w:val="single"/>
        </w:rPr>
        <w:t>Guidelines</w:t>
      </w:r>
      <w:r>
        <w:rPr/>
        <w:t>: Area-wide disruptions refer to those types of disruptions that are broad in geographic scope (e.g., hurricane, regional power outage) with such determinations made by organizations based on organizational assessments of risk.</w:t>
      </w:r>
    </w:p>
    <w:p>
      <w:pPr>
        <w:pStyle w:val="Normal"/>
        <w:rPr/>
      </w:pPr>
      <w:r>
        <w:rPr/>
      </w:r>
    </w:p>
    <w:p>
      <w:pPr>
        <w:pStyle w:val="Heading3"/>
        <w:rPr/>
      </w:pPr>
      <w:bookmarkStart w:id="212" w:name="_Toc474074790"/>
      <w:bookmarkStart w:id="213" w:name="_Toc34920551"/>
      <w:r>
        <w:rPr/>
        <w:t>BCD-09(c): Alternate Processing Site | Priority of Service</w:t>
      </w:r>
      <w:bookmarkEnd w:id="212"/>
      <w:bookmarkEnd w:id="213"/>
      <w:r>
        <w:rPr/>
        <w:t xml:space="preserve"> </w:t>
      </w:r>
    </w:p>
    <w:p>
      <w:pPr>
        <w:pStyle w:val="Normal"/>
        <w:rPr/>
      </w:pPr>
      <w:r>
        <w:rPr>
          <w:u w:val="single"/>
        </w:rPr>
        <w:t>Control Objective</w:t>
      </w:r>
      <w:r>
        <w:rPr/>
        <w:t>: The organization develops alternate processing and storage site agreements that contain priority-of-service provisions in accordance with organizational availability requirements, including Recovery Time Objectives (RTOs).</w:t>
      </w:r>
      <w:r>
        <w:rPr>
          <w:rStyle w:val="FootnoteAnchor"/>
          <w:rStyle w:val="FootnoteAnchor"/>
          <w:rFonts w:cs="Calibri"/>
        </w:rPr>
        <w:footnoteReference w:id="64"/>
      </w:r>
    </w:p>
    <w:p>
      <w:pPr>
        <w:pStyle w:val="Normal"/>
        <w:rPr/>
      </w:pPr>
      <w:r>
        <w:rPr/>
      </w:r>
    </w:p>
    <w:p>
      <w:pPr>
        <w:pStyle w:val="Normal"/>
        <w:rPr/>
      </w:pPr>
      <w:r>
        <w:rPr>
          <w:u w:val="single"/>
        </w:rPr>
        <w:t>Standard:</w:t>
      </w:r>
      <w:r>
        <w:rPr/>
        <w:t xml:space="preserve"> NFCC must develop alternate processing site agreements that contain priority-of-service provisions in accordance with availability requirements.</w:t>
      </w:r>
    </w:p>
    <w:p>
      <w:pPr>
        <w:pStyle w:val="ListParagraph"/>
        <w:rPr/>
      </w:pPr>
      <w:r>
        <w:rPr/>
      </w:r>
    </w:p>
    <w:p>
      <w:pPr>
        <w:pStyle w:val="Normal"/>
        <w:rPr/>
      </w:pPr>
      <w:r>
        <w:rPr>
          <w:u w:val="single"/>
        </w:rPr>
        <w:t>Guidelines</w:t>
      </w:r>
      <w:r>
        <w:rPr/>
        <w:t>: Priority-of-service agreements refer to negotiated agreements with service providers that ensure that organizations receive priority treatment consistent with their availability requirements and the availability of information resources at the alternate processing site.</w:t>
      </w:r>
    </w:p>
    <w:p>
      <w:pPr>
        <w:pStyle w:val="Normal"/>
        <w:rPr/>
      </w:pPr>
      <w:r>
        <w:rPr/>
      </w:r>
    </w:p>
    <w:p>
      <w:pPr>
        <w:pStyle w:val="Heading3"/>
        <w:rPr/>
      </w:pPr>
      <w:bookmarkStart w:id="214" w:name="_Toc23241779"/>
      <w:bookmarkStart w:id="215" w:name="_Toc34920552"/>
      <w:r>
        <w:rPr/>
        <w:t>BCD-09(d): Alternate Processing Site | Preparation for Use</w:t>
      </w:r>
      <w:bookmarkEnd w:id="214"/>
      <w:bookmarkEnd w:id="215"/>
      <w:r>
        <w:rPr/>
        <w:t xml:space="preserve"> </w:t>
      </w:r>
    </w:p>
    <w:p>
      <w:pPr>
        <w:pStyle w:val="Normal"/>
        <w:rPr/>
      </w:pPr>
      <w:r>
        <w:rPr>
          <w:rFonts w:cs="Calibri"/>
          <w:u w:val="single"/>
        </w:rPr>
        <w:t>Control Objective</w:t>
      </w:r>
      <w:r>
        <w:rPr>
          <w:rFonts w:cs="Calibri"/>
        </w:rPr>
        <w:t xml:space="preserve">: </w:t>
      </w:r>
      <w:r>
        <w:rPr/>
        <w:t>The organization prepares the alternate processing site so that the site is ready to be used as the operational site supporting essential missions and business functions.</w:t>
      </w:r>
      <w:r>
        <w:rPr>
          <w:rStyle w:val="FootnoteCharacters"/>
          <w:rFonts w:cs="Calibri"/>
        </w:rPr>
        <w:t xml:space="preserve"> </w:t>
      </w:r>
      <w:r>
        <w:rPr>
          <w:rStyle w:val="FootnoteAnchor"/>
          <w:rStyle w:val="FootnoteAnchor"/>
          <w:rFonts w:cs="Calibri"/>
        </w:rPr>
        <w:footnoteReference w:id="65"/>
      </w:r>
      <w:r>
        <w:rPr/>
        <w:t xml:space="preserve"> </w:t>
      </w:r>
    </w:p>
    <w:p>
      <w:pPr>
        <w:pStyle w:val="Normal"/>
        <w:rPr>
          <w:rFonts w:cs="Calibri"/>
        </w:rPr>
      </w:pPr>
      <w:r>
        <w:rPr>
          <w:rFonts w:cs="Calibri"/>
        </w:rPr>
      </w:r>
    </w:p>
    <w:p>
      <w:pPr>
        <w:pStyle w:val="Normal"/>
        <w:rPr>
          <w:rFonts w:cs="Calibri"/>
        </w:rPr>
      </w:pPr>
      <w:r>
        <w:rPr>
          <w:rFonts w:cs="Calibri"/>
          <w:u w:val="single"/>
        </w:rPr>
        <w:t>Standard</w:t>
      </w:r>
      <w:r>
        <w:rPr>
          <w:rFonts w:cs="Calibri"/>
        </w:rPr>
        <w:t xml:space="preserve">: NFCC’s facility management team is required to develop plans and capabilities for </w:t>
      </w:r>
      <w:r>
        <w:rPr/>
        <w:t>the alternate processing site so that the site is ready to be used as the operational site supporting essential missions and business functions.</w:t>
      </w:r>
    </w:p>
    <w:p>
      <w:pPr>
        <w:pStyle w:val="Normal"/>
        <w:rPr>
          <w:rFonts w:cs="Calibri"/>
        </w:rPr>
      </w:pPr>
      <w:r>
        <w:rPr>
          <w:rFonts w:cs="Calibri"/>
        </w:rPr>
      </w:r>
    </w:p>
    <w:p>
      <w:pPr>
        <w:pStyle w:val="Normal"/>
        <w:rPr>
          <w:rFonts w:cs="Calibri"/>
        </w:rPr>
      </w:pPr>
      <w:r>
        <w:rPr>
          <w:rFonts w:cs="Calibri"/>
          <w:u w:val="single"/>
        </w:rPr>
        <w:t>Guidelines</w:t>
      </w:r>
      <w:r>
        <w:rPr>
          <w:rFonts w:cs="Calibri"/>
        </w:rPr>
        <w:t xml:space="preserve">: </w:t>
      </w:r>
      <w:r>
        <w:rPr/>
        <w:t>Site preparation includes, for example, establishing configuration settings for information system components at the alternate processing site consistent with the requirements for such settings at the primary site and ensuring that essential supplies and other logistical considerations are in place.</w:t>
      </w:r>
    </w:p>
    <w:p>
      <w:pPr>
        <w:pStyle w:val="Normal"/>
        <w:rPr>
          <w:rFonts w:cs="Calibri"/>
        </w:rPr>
      </w:pPr>
      <w:r>
        <w:rPr>
          <w:rFonts w:cs="Calibri"/>
        </w:rPr>
      </w:r>
    </w:p>
    <w:p>
      <w:pPr>
        <w:pStyle w:val="Heading3"/>
        <w:rPr/>
      </w:pPr>
      <w:bookmarkStart w:id="216" w:name="_Toc23241780"/>
      <w:bookmarkStart w:id="217" w:name="_Toc34920553"/>
      <w:r>
        <w:rPr/>
        <w:t>BCD-09(e): Alternate Processing Site | Inability to Return to Primary Site</w:t>
      </w:r>
      <w:bookmarkEnd w:id="216"/>
      <w:bookmarkEnd w:id="217"/>
      <w:r>
        <w:rPr/>
        <w:t xml:space="preserve"> </w:t>
      </w:r>
    </w:p>
    <w:p>
      <w:pPr>
        <w:pStyle w:val="Normal"/>
        <w:rPr>
          <w:rFonts w:cs="Calibri"/>
        </w:rPr>
      </w:pPr>
      <w:r>
        <w:rPr>
          <w:rFonts w:cs="Calibri"/>
          <w:u w:val="single"/>
        </w:rPr>
        <w:t>Control Objective</w:t>
      </w:r>
      <w:r>
        <w:rPr>
          <w:rFonts w:cs="Calibri"/>
        </w:rPr>
        <w:t>: The organization plans and prepares for circumstances that preclude returning to the primary processing site.</w:t>
      </w:r>
      <w:r>
        <w:rPr>
          <w:rStyle w:val="FootnoteCharacters"/>
          <w:rFonts w:cs="Calibri"/>
        </w:rPr>
        <w:t xml:space="preserve"> </w:t>
      </w:r>
      <w:r>
        <w:rPr>
          <w:rStyle w:val="FootnoteAnchor"/>
          <w:rStyle w:val="FootnoteAnchor"/>
          <w:rFonts w:cs="Calibri"/>
        </w:rPr>
        <w:footnoteReference w:id="66"/>
      </w:r>
    </w:p>
    <w:p>
      <w:pPr>
        <w:pStyle w:val="Normal"/>
        <w:rPr>
          <w:rFonts w:cs="Calibri"/>
        </w:rPr>
      </w:pPr>
      <w:r>
        <w:rPr>
          <w:rFonts w:cs="Calibri"/>
        </w:rPr>
      </w:r>
    </w:p>
    <w:p>
      <w:pPr>
        <w:pStyle w:val="Normal"/>
        <w:rPr/>
      </w:pPr>
      <w:r>
        <w:rPr>
          <w:rFonts w:cs="Calibri"/>
          <w:u w:val="single"/>
        </w:rPr>
        <w:t>Standard</w:t>
      </w:r>
      <w:r>
        <w:rPr>
          <w:rFonts w:cs="Calibri"/>
        </w:rPr>
        <w:t xml:space="preserve">: NFCC’s facility management team is required to develop plans and identify resource requirements needed to sustain operations away from the primary site for scenarios where NFCC personnel are prohibited from returning to the primary site. </w:t>
      </w:r>
    </w:p>
    <w:p>
      <w:pPr>
        <w:pStyle w:val="Normal"/>
        <w:rPr>
          <w:rFonts w:cs="Calibri"/>
        </w:rPr>
      </w:pPr>
      <w:r>
        <w:rPr>
          <w:rFonts w:cs="Calibri"/>
        </w:rPr>
      </w:r>
    </w:p>
    <w:p>
      <w:pPr>
        <w:pStyle w:val="Normal"/>
        <w:rPr>
          <w:rFonts w:cs="Calibri"/>
        </w:rPr>
      </w:pPr>
      <w:r>
        <w:rPr>
          <w:rFonts w:cs="Calibri"/>
          <w:u w:val="single"/>
        </w:rPr>
        <w:t>Guidelines</w:t>
      </w:r>
      <w:r>
        <w:rPr>
          <w:rFonts w:cs="Calibri"/>
        </w:rPr>
        <w:t>: None</w:t>
      </w:r>
    </w:p>
    <w:p>
      <w:pPr>
        <w:pStyle w:val="Normal"/>
        <w:rPr/>
      </w:pPr>
      <w:r>
        <w:rPr/>
      </w:r>
    </w:p>
    <w:p>
      <w:pPr>
        <w:pStyle w:val="Normal"/>
        <w:rPr/>
      </w:pPr>
      <w:r>
        <w:rPr/>
      </w:r>
    </w:p>
    <w:p>
      <w:pPr>
        <w:pStyle w:val="Heading2"/>
        <w:rPr/>
      </w:pPr>
      <w:bookmarkStart w:id="218" w:name="_Toc34920554"/>
      <w:bookmarkStart w:id="219" w:name="_Toc474074791"/>
      <w:bookmarkStart w:id="220" w:name="_Toc474075528"/>
      <w:r>
        <w:rPr/>
        <w:t>BCD-10: Telecommunications Services</w:t>
      </w:r>
      <w:bookmarkEnd w:id="219"/>
      <w:bookmarkEnd w:id="220"/>
      <w:r>
        <w:rPr/>
        <w:t xml:space="preserve"> Availability</w:t>
      </w:r>
      <w:bookmarkEnd w:id="218"/>
    </w:p>
    <w:p>
      <w:pPr>
        <w:pStyle w:val="Normal"/>
        <w:rPr/>
      </w:pPr>
      <w:r>
        <w:rPr>
          <w:u w:val="single"/>
        </w:rPr>
        <w:t>Control Objective</w:t>
      </w:r>
      <w:r>
        <w:rPr/>
        <w:t>: The organization establishes alternate telecommunications services including necessary agreements to permit the resumption of information for essential missions and business functions within the organization’s defined time period when the primary telecommunications capabilities system operations are unavailable.</w:t>
      </w:r>
      <w:r>
        <w:rPr>
          <w:rStyle w:val="FootnoteAnchor"/>
          <w:rStyle w:val="FootnoteAnchor"/>
          <w:rFonts w:cs="Calibri"/>
        </w:rPr>
        <w:footnoteReference w:id="67"/>
      </w:r>
      <w:r>
        <w:rPr>
          <w:rStyle w:val="FootnoteCharacters"/>
          <w:rFonts w:cs="Calibri"/>
        </w:rPr>
        <w:t xml:space="preserve"> </w:t>
      </w:r>
    </w:p>
    <w:p>
      <w:pPr>
        <w:pStyle w:val="Normal"/>
        <w:rPr/>
      </w:pPr>
      <w:r>
        <w:rPr/>
      </w:r>
    </w:p>
    <w:p>
      <w:pPr>
        <w:pStyle w:val="Normal"/>
        <w:rPr/>
      </w:pPr>
      <w:r>
        <w:rPr>
          <w:u w:val="single"/>
        </w:rPr>
        <w:t>Standard</w:t>
      </w:r>
      <w:r>
        <w:rPr/>
        <w:t xml:space="preserve">: For critical systems and services, asset custodians and data / process owners are required to establish alternate telecommunications services (e.g., satellite, microwave, IPv6, etc.), including necessary Service Level Agreement (SLA) to permit the resumption essential communication functions within an acceptable </w:t>
      </w:r>
      <w:r>
        <w:rPr>
          <w:iCs/>
        </w:rPr>
        <w:t>time period</w:t>
      </w:r>
      <w:r>
        <w:rPr/>
        <w:t xml:space="preserve"> when the primary telecommunications capability is unavailable and provide the capability to employ alternative communications protocols in support of maintaining continuity of operations.</w:t>
      </w:r>
    </w:p>
    <w:p>
      <w:pPr>
        <w:pStyle w:val="Normal"/>
        <w:rPr/>
      </w:pPr>
      <w:r>
        <w:rPr/>
      </w:r>
    </w:p>
    <w:p>
      <w:pPr>
        <w:pStyle w:val="Normal"/>
        <w:rPr/>
      </w:pPr>
      <w:r>
        <w:rPr>
          <w:u w:val="single"/>
        </w:rPr>
        <w:t>Guidelines</w:t>
      </w:r>
      <w:r>
        <w:rPr/>
        <w:t xml:space="preserve">: Alternate telecommunications services reflect the continuity requirements in contingency plans to maintain essential missions / business functions despite the loss of primary telecommunications services. </w:t>
      </w:r>
    </w:p>
    <w:p>
      <w:pPr>
        <w:pStyle w:val="Normal"/>
        <w:rPr/>
      </w:pPr>
      <w:r>
        <w:rPr/>
      </w:r>
    </w:p>
    <w:p>
      <w:pPr>
        <w:pStyle w:val="Normal"/>
        <w:rPr/>
      </w:pPr>
      <w:r>
        <w:rPr/>
        <w:t>Contingency plans and the associated training and testing for those plans should incorporate an alternate communications protocol capability as part of increasing the resilience of organizational systems. Alternate communications protocols include, for example, switching from Transmission Control Protocol / Internet Protocol (TCP / IP) Version 4 to TCP / IP Version 6. Switching communications protocols may affect software applications and therefore, the potential side effects of introducing alternate communications protocols are analyzed prior to implementation.</w:t>
      </w:r>
    </w:p>
    <w:p>
      <w:pPr>
        <w:pStyle w:val="Normal"/>
        <w:rPr/>
      </w:pPr>
      <w:r>
        <w:rPr/>
      </w:r>
    </w:p>
    <w:p>
      <w:pPr>
        <w:pStyle w:val="Heading3"/>
        <w:rPr/>
      </w:pPr>
      <w:bookmarkStart w:id="221" w:name="_Toc474074792"/>
      <w:bookmarkStart w:id="222" w:name="_Toc34920555"/>
      <w:r>
        <w:rPr/>
        <w:t>BCD-10(a): Telecommunications Services Availability | Priority of Service Provisions</w:t>
      </w:r>
      <w:bookmarkEnd w:id="221"/>
      <w:bookmarkEnd w:id="222"/>
    </w:p>
    <w:p>
      <w:pPr>
        <w:pStyle w:val="Normal"/>
        <w:rPr/>
      </w:pPr>
      <w:r>
        <w:rPr>
          <w:u w:val="single"/>
        </w:rPr>
        <w:t>Control Objective</w:t>
      </w:r>
      <w:r>
        <w:rPr/>
        <w:t>: The organization develops primary and alternate telecommunications service agreements that contain priority-of-service provisions in accordance with the organization’s availability requirements.</w:t>
      </w:r>
      <w:r>
        <w:rPr>
          <w:rStyle w:val="FootnoteAnchor"/>
          <w:rStyle w:val="FootnoteAnchor"/>
          <w:rFonts w:cs="Calibri"/>
          <w:bCs w:val="false"/>
        </w:rPr>
        <w:footnoteReference w:id="68"/>
      </w:r>
    </w:p>
    <w:p>
      <w:pPr>
        <w:pStyle w:val="Normal"/>
        <w:rPr/>
      </w:pPr>
      <w:r>
        <w:rPr/>
      </w:r>
    </w:p>
    <w:p>
      <w:pPr>
        <w:pStyle w:val="Normal"/>
        <w:rPr>
          <w:b/>
          <w:b/>
          <w:i/>
          <w:i/>
        </w:rPr>
      </w:pPr>
      <w:r>
        <w:rPr>
          <w:u w:val="single"/>
        </w:rPr>
        <w:t>Standard</w:t>
      </w:r>
      <w:r>
        <w:rPr/>
        <w:t>: The responsible party for NFCC’s technology infrastructure is required to develop primary and alternate telecommunications service agreements that contain priority-of-service provisions in accordance with the business operations availability requirements.</w:t>
      </w:r>
    </w:p>
    <w:p>
      <w:pPr>
        <w:pStyle w:val="Normal"/>
        <w:rPr/>
      </w:pPr>
      <w:r>
        <w:rPr/>
      </w:r>
    </w:p>
    <w:p>
      <w:pPr>
        <w:pStyle w:val="Normal"/>
        <w:rPr/>
      </w:pPr>
      <w:r>
        <w:rPr>
          <w:u w:val="single"/>
        </w:rPr>
        <w:t>Guidelines</w:t>
      </w:r>
      <w:r>
        <w:rPr/>
        <w:t>: None</w:t>
      </w:r>
    </w:p>
    <w:p>
      <w:pPr>
        <w:pStyle w:val="Normal"/>
        <w:rPr/>
      </w:pPr>
      <w:r>
        <w:rPr/>
      </w:r>
    </w:p>
    <w:p>
      <w:pPr>
        <w:pStyle w:val="Heading3"/>
        <w:rPr/>
      </w:pPr>
      <w:bookmarkStart w:id="223" w:name="_Toc23241784"/>
      <w:bookmarkStart w:id="224" w:name="_Toc34920556"/>
      <w:r>
        <w:rPr/>
        <w:t>BCD-10(b): Telecommunications Services Availability | Separation of Primary / Alternate Providers</w:t>
      </w:r>
      <w:bookmarkEnd w:id="223"/>
      <w:bookmarkEnd w:id="224"/>
      <w:r>
        <w:rPr/>
        <w:t xml:space="preserve"> </w:t>
      </w:r>
    </w:p>
    <w:p>
      <w:pPr>
        <w:pStyle w:val="Normal"/>
        <w:rPr/>
      </w:pPr>
      <w:r>
        <w:rPr>
          <w:rFonts w:cs="Calibri"/>
          <w:u w:val="single"/>
        </w:rPr>
        <w:t>Control Objective</w:t>
      </w:r>
      <w:r>
        <w:rPr>
          <w:rFonts w:cs="Calibri"/>
        </w:rPr>
        <w:t xml:space="preserve">: </w:t>
      </w:r>
      <w:r>
        <w:rPr/>
        <w:t>The organization obtains alternate telecommunications services from providers that are separated from primary service providers to reduce susceptibility to the same threats.</w:t>
      </w:r>
      <w:r>
        <w:rPr>
          <w:rStyle w:val="FootnoteCharacters"/>
          <w:rFonts w:cs="Calibri"/>
          <w:bCs w:val="false"/>
        </w:rPr>
        <w:t xml:space="preserve"> </w:t>
      </w:r>
      <w:r>
        <w:rPr>
          <w:rStyle w:val="FootnoteAnchor"/>
          <w:rStyle w:val="FootnoteAnchor"/>
          <w:rFonts w:cs="Calibri"/>
          <w:bCs w:val="false"/>
        </w:rPr>
        <w:footnoteReference w:id="69"/>
      </w:r>
      <w:r>
        <w:rPr/>
        <w:t xml:space="preserve"> </w:t>
      </w:r>
    </w:p>
    <w:p>
      <w:pPr>
        <w:pStyle w:val="Normal"/>
        <w:rPr>
          <w:rFonts w:cs="Calibri"/>
        </w:rPr>
      </w:pPr>
      <w:r>
        <w:rPr>
          <w:rFonts w:cs="Calibri"/>
        </w:rPr>
      </w:r>
    </w:p>
    <w:p>
      <w:pPr>
        <w:pStyle w:val="Normal"/>
        <w:rPr>
          <w:rFonts w:cs="Calibri"/>
        </w:rPr>
      </w:pPr>
      <w:r>
        <w:rPr>
          <w:rFonts w:cs="Calibri"/>
          <w:u w:val="single"/>
        </w:rPr>
        <w:t>Standard</w:t>
      </w:r>
      <w:r>
        <w:rPr>
          <w:rFonts w:cs="Calibri"/>
        </w:rPr>
        <w:t xml:space="preserve">: NFCC’s procurement team and technology architects are required to identify and obtain </w:t>
      </w:r>
      <w:r>
        <w:rPr/>
        <w:t>alternate telecommunications services from providers that are separated from NFCC’s primary service providers to reduce susceptibility to the same threats.</w:t>
      </w:r>
    </w:p>
    <w:p>
      <w:pPr>
        <w:pStyle w:val="Normal"/>
        <w:rPr>
          <w:rFonts w:cs="Calibri"/>
        </w:rPr>
      </w:pPr>
      <w:r>
        <w:rPr>
          <w:rFonts w:cs="Calibri"/>
        </w:rPr>
      </w:r>
    </w:p>
    <w:p>
      <w:pPr>
        <w:pStyle w:val="Normal"/>
        <w:rPr/>
      </w:pPr>
      <w:r>
        <w:rPr>
          <w:rFonts w:cs="Calibri"/>
          <w:u w:val="single"/>
        </w:rPr>
        <w:t>Guidelines</w:t>
      </w:r>
      <w:r>
        <w:rPr>
          <w:rFonts w:cs="Calibri"/>
        </w:rPr>
        <w:t xml:space="preserve">: </w:t>
      </w:r>
      <w:r>
        <w:rPr/>
        <w:t>Threats that affect telecommunications services are typically defined in organizational assessments of risk and include, for example, natural disasters, structural failures, hostile cyber/physical attacks and errors of omission/commission. Organizations seek to reduce common susceptibilities by, for example, minimizing shared infrastructure among telecommunications service providers and achieving sufficient geographic separation between services. Organizations may consider using a single service provider in situations where the service provider can provide alternate telecommunications services meeting the separation needs addressed in the risk assessment.</w:t>
      </w:r>
    </w:p>
    <w:p>
      <w:pPr>
        <w:pStyle w:val="Normal"/>
        <w:rPr>
          <w:rFonts w:cs="Calibri"/>
        </w:rPr>
      </w:pPr>
      <w:r>
        <w:rPr>
          <w:rFonts w:cs="Calibri"/>
        </w:rPr>
      </w:r>
    </w:p>
    <w:p>
      <w:pPr>
        <w:pStyle w:val="Heading3"/>
        <w:rPr/>
      </w:pPr>
      <w:bookmarkStart w:id="225" w:name="_Toc23241785"/>
      <w:bookmarkStart w:id="226" w:name="_Toc34920557"/>
      <w:r>
        <w:rPr/>
        <w:t>BCD-10(c): Telecommunications Services Availability | Provider Contingency Plan</w:t>
      </w:r>
      <w:bookmarkEnd w:id="225"/>
      <w:bookmarkEnd w:id="226"/>
      <w:r>
        <w:rPr/>
        <w:t xml:space="preserve"> </w:t>
      </w:r>
    </w:p>
    <w:p>
      <w:pPr>
        <w:pStyle w:val="Normal"/>
        <w:rPr/>
      </w:pPr>
      <w:r>
        <w:rPr>
          <w:rFonts w:cs="Calibri"/>
          <w:u w:val="single"/>
        </w:rPr>
        <w:t>Control Objective</w:t>
      </w:r>
      <w:r>
        <w:rPr>
          <w:rFonts w:cs="Calibri"/>
        </w:rPr>
        <w:t xml:space="preserve">: </w:t>
      </w:r>
      <w:r>
        <w:rPr/>
        <w:t>The organization:</w:t>
      </w:r>
      <w:r>
        <w:rPr>
          <w:rStyle w:val="FootnoteCharacters"/>
          <w:rFonts w:cs="Calibri"/>
          <w:bCs w:val="false"/>
        </w:rPr>
        <w:t xml:space="preserve"> </w:t>
      </w:r>
      <w:r>
        <w:rPr>
          <w:rStyle w:val="FootnoteAnchor"/>
          <w:rStyle w:val="FootnoteAnchor"/>
          <w:rFonts w:cs="Calibri"/>
          <w:bCs w:val="false"/>
        </w:rPr>
        <w:footnoteReference w:id="70"/>
      </w:r>
      <w:r>
        <w:rPr/>
        <w:t xml:space="preserve"> </w:t>
      </w:r>
    </w:p>
    <w:p>
      <w:pPr>
        <w:pStyle w:val="ListParagraph"/>
        <w:numPr>
          <w:ilvl w:val="0"/>
          <w:numId w:val="604"/>
        </w:numPr>
        <w:rPr/>
      </w:pPr>
      <w:r>
        <w:rPr/>
        <w:t xml:space="preserve">Requires primary and alternate telecommunications service providers to have contingency plans; </w:t>
      </w:r>
    </w:p>
    <w:p>
      <w:pPr>
        <w:pStyle w:val="ListParagraph"/>
        <w:numPr>
          <w:ilvl w:val="0"/>
          <w:numId w:val="604"/>
        </w:numPr>
        <w:rPr/>
      </w:pPr>
      <w:r>
        <w:rPr/>
        <w:t xml:space="preserve">Reviews provider contingency plans to ensure that the plans meet organizational contingency requirements; and </w:t>
      </w:r>
    </w:p>
    <w:p>
      <w:pPr>
        <w:pStyle w:val="ListParagraph"/>
        <w:numPr>
          <w:ilvl w:val="0"/>
          <w:numId w:val="604"/>
        </w:numPr>
        <w:rPr/>
      </w:pPr>
      <w:r>
        <w:rPr/>
        <w:t>Obtains evidence of contingency testing/training by providers at an organization-defined frequency.</w:t>
      </w:r>
    </w:p>
    <w:p>
      <w:pPr>
        <w:pStyle w:val="Normal"/>
        <w:rPr>
          <w:rFonts w:cs="Calibri"/>
        </w:rPr>
      </w:pPr>
      <w:r>
        <w:rPr>
          <w:rFonts w:cs="Calibri"/>
        </w:rPr>
      </w:r>
    </w:p>
    <w:p>
      <w:pPr>
        <w:pStyle w:val="Normal"/>
        <w:rPr>
          <w:rFonts w:cs="Calibri"/>
        </w:rPr>
      </w:pPr>
      <w:r>
        <w:rPr>
          <w:rFonts w:cs="Calibri"/>
          <w:u w:val="single"/>
        </w:rPr>
        <w:t>Standard</w:t>
      </w:r>
      <w:r>
        <w:rPr>
          <w:rFonts w:cs="Calibri"/>
        </w:rPr>
        <w:t>: NFCC’s procurement team must ensure:</w:t>
      </w:r>
    </w:p>
    <w:p>
      <w:pPr>
        <w:pStyle w:val="ListParagraph"/>
        <w:numPr>
          <w:ilvl w:val="0"/>
          <w:numId w:val="605"/>
        </w:numPr>
        <w:rPr/>
      </w:pPr>
      <w:r>
        <w:rPr/>
        <w:t xml:space="preserve">Primary and alternate telecommunications service providers have contingency plans; </w:t>
      </w:r>
    </w:p>
    <w:p>
      <w:pPr>
        <w:pStyle w:val="ListParagraph"/>
        <w:numPr>
          <w:ilvl w:val="0"/>
          <w:numId w:val="605"/>
        </w:numPr>
        <w:rPr/>
      </w:pPr>
      <w:r>
        <w:rPr/>
        <w:t xml:space="preserve">Provider contingency plans are reviewed to ensure that the plans meet organizational contingency requirements; and </w:t>
      </w:r>
    </w:p>
    <w:p>
      <w:pPr>
        <w:pStyle w:val="ListParagraph"/>
        <w:numPr>
          <w:ilvl w:val="0"/>
          <w:numId w:val="605"/>
        </w:numPr>
        <w:rPr/>
      </w:pPr>
      <w:r>
        <w:rPr/>
        <w:t xml:space="preserve">Evidence of annual contingency testing/training by providers is obtained. </w:t>
      </w:r>
    </w:p>
    <w:p>
      <w:pPr>
        <w:pStyle w:val="Normal"/>
        <w:rPr>
          <w:rFonts w:cs="Calibri"/>
        </w:rPr>
      </w:pPr>
      <w:r>
        <w:rPr>
          <w:rFonts w:cs="Calibri"/>
        </w:rPr>
      </w:r>
    </w:p>
    <w:p>
      <w:pPr>
        <w:pStyle w:val="Normal"/>
        <w:rPr>
          <w:rFonts w:cs="Calibri"/>
        </w:rPr>
      </w:pPr>
      <w:r>
        <w:rPr>
          <w:rFonts w:cs="Calibri"/>
          <w:u w:val="single"/>
        </w:rPr>
        <w:t>Guidelines</w:t>
      </w:r>
      <w:r>
        <w:rPr>
          <w:rFonts w:cs="Calibri"/>
        </w:rPr>
        <w:t xml:space="preserve">: </w:t>
      </w:r>
      <w:r>
        <w:rPr/>
        <w:t>Reviews of provider contingency plans consider the proprietary nature of such plans. In some situations, a summary of provider contingency plans may be sufficient evidence for organizations to satisfy the review requirement. Telecommunications service providers may also participate in ongoing disaster recovery exercises in coordination with the Department of Homeland Security, state and local governments. Organizations may use these types of activities to satisfy evidentiary requirements related to service provider contingency plan reviews, testing and training.</w:t>
      </w:r>
    </w:p>
    <w:p>
      <w:pPr>
        <w:pStyle w:val="Normal"/>
        <w:rPr/>
      </w:pPr>
      <w:r>
        <w:rPr/>
      </w:r>
    </w:p>
    <w:p>
      <w:pPr>
        <w:pStyle w:val="Normal"/>
        <w:rPr/>
      </w:pPr>
      <w:r>
        <w:rPr/>
      </w:r>
    </w:p>
    <w:p>
      <w:pPr>
        <w:pStyle w:val="Heading2"/>
        <w:rPr/>
      </w:pPr>
      <w:bookmarkStart w:id="227" w:name="_Toc34920558"/>
      <w:bookmarkStart w:id="228" w:name="_Toc474074795"/>
      <w:bookmarkStart w:id="229" w:name="_Toc474075530"/>
      <w:r>
        <w:rPr/>
        <w:t>BCD-11: Data Backup</w:t>
      </w:r>
      <w:bookmarkEnd w:id="228"/>
      <w:bookmarkEnd w:id="229"/>
      <w:r>
        <w:rPr/>
        <w:t>s</w:t>
      </w:r>
      <w:bookmarkEnd w:id="227"/>
    </w:p>
    <w:p>
      <w:pPr>
        <w:pStyle w:val="Normal"/>
        <w:rPr/>
      </w:pPr>
      <w:r>
        <w:rPr>
          <w:u w:val="single"/>
        </w:rPr>
        <w:t>Control Objective</w:t>
      </w:r>
      <w:r>
        <w:rPr/>
        <w:t>: The organization:</w:t>
      </w:r>
      <w:r>
        <w:rPr>
          <w:rStyle w:val="FootnoteAnchor"/>
          <w:rStyle w:val="FootnoteAnchor"/>
          <w:rFonts w:cs="Calibri"/>
        </w:rPr>
        <w:footnoteReference w:id="71"/>
      </w:r>
    </w:p>
    <w:p>
      <w:pPr>
        <w:pStyle w:val="ListParagraph"/>
        <w:numPr>
          <w:ilvl w:val="0"/>
          <w:numId w:val="28"/>
        </w:numPr>
        <w:rPr/>
      </w:pPr>
      <w:r>
        <w:rPr/>
        <w:t>Conducts backups of user-level information contained in the systems;</w:t>
      </w:r>
    </w:p>
    <w:p>
      <w:pPr>
        <w:pStyle w:val="ListParagraph"/>
        <w:numPr>
          <w:ilvl w:val="0"/>
          <w:numId w:val="28"/>
        </w:numPr>
        <w:rPr/>
      </w:pPr>
      <w:r>
        <w:rPr/>
        <w:t>Conducts backups of system-level information contained in the systems;</w:t>
      </w:r>
    </w:p>
    <w:p>
      <w:pPr>
        <w:pStyle w:val="ListParagraph"/>
        <w:numPr>
          <w:ilvl w:val="0"/>
          <w:numId w:val="28"/>
        </w:numPr>
        <w:rPr/>
      </w:pPr>
      <w:r>
        <w:rPr/>
        <w:t>Conducts backups of system documentation including security-related documentation; and</w:t>
      </w:r>
    </w:p>
    <w:p>
      <w:pPr>
        <w:pStyle w:val="ListParagraph"/>
        <w:numPr>
          <w:ilvl w:val="0"/>
          <w:numId w:val="28"/>
        </w:numPr>
        <w:rPr/>
      </w:pPr>
      <w:r>
        <w:rPr/>
        <w:t>Protects the confidentiality and integrity of backup information at the storage location.</w:t>
      </w:r>
    </w:p>
    <w:p>
      <w:pPr>
        <w:pStyle w:val="Normal"/>
        <w:rPr/>
      </w:pPr>
      <w:r>
        <w:rPr/>
      </w:r>
    </w:p>
    <w:p>
      <w:pPr>
        <w:pStyle w:val="Normal"/>
        <w:rPr/>
      </w:pPr>
      <w:r>
        <w:rPr>
          <w:u w:val="single"/>
        </w:rPr>
        <w:t>Standard</w:t>
      </w:r>
      <w:r>
        <w:rPr/>
        <w:t>: Data/process owners and asset custodians are responsible for:</w:t>
      </w:r>
    </w:p>
    <w:p>
      <w:pPr>
        <w:pStyle w:val="ListParagraph"/>
        <w:numPr>
          <w:ilvl w:val="0"/>
          <w:numId w:val="248"/>
        </w:numPr>
        <w:rPr/>
      </w:pPr>
      <w:r>
        <w:rPr/>
        <w:t>Conducting backups of user-level information contained in systems;</w:t>
      </w:r>
    </w:p>
    <w:p>
      <w:pPr>
        <w:pStyle w:val="ListParagraph"/>
        <w:numPr>
          <w:ilvl w:val="0"/>
          <w:numId w:val="248"/>
        </w:numPr>
        <w:rPr/>
      </w:pPr>
      <w:r>
        <w:rPr/>
        <w:t>Conducting backups of system-level information contained in systems;</w:t>
      </w:r>
    </w:p>
    <w:p>
      <w:pPr>
        <w:pStyle w:val="ListParagraph"/>
        <w:numPr>
          <w:ilvl w:val="0"/>
          <w:numId w:val="248"/>
        </w:numPr>
        <w:rPr/>
      </w:pPr>
      <w:r>
        <w:rPr/>
        <w:t>Conducting backups of system documentation including security-related documentation; and</w:t>
      </w:r>
    </w:p>
    <w:p>
      <w:pPr>
        <w:pStyle w:val="ListParagraph"/>
        <w:numPr>
          <w:ilvl w:val="0"/>
          <w:numId w:val="248"/>
        </w:numPr>
        <w:rPr/>
      </w:pPr>
      <w:r>
        <w:rPr/>
        <w:t>Protecting the confidentiality and integrity of backup information at the storage location.</w:t>
      </w:r>
    </w:p>
    <w:p>
      <w:pPr>
        <w:pStyle w:val="Normal"/>
        <w:rPr/>
      </w:pPr>
      <w:r>
        <w:rPr/>
      </w:r>
    </w:p>
    <w:p>
      <w:pPr>
        <w:pStyle w:val="Normal"/>
        <w:rPr/>
      </w:pPr>
      <w:r>
        <w:rPr>
          <w:u w:val="single"/>
        </w:rPr>
        <w:t>Guidelines</w:t>
      </w:r>
      <w:r>
        <w:rPr/>
        <w:t>: Data / process owners should ensure that each system is automatically backed up on at least a weekly basis and more often for systems storing sensitive information. To help ensure the ability to rapidly restore a system from backup, the operating system, application software and data on a machine should each be included in the overall backup procedure. These three components of a system do not have to be included in the same backup file or use the same backup software. There should be multiple backups over time, so that in the event of malware infection, restoration can be from a version that is believed to predate the original infection. All backup policies should be compliant with any regulatory or official requirements.</w:t>
      </w:r>
    </w:p>
    <w:p>
      <w:pPr>
        <w:pStyle w:val="Normal"/>
        <w:rPr/>
      </w:pPr>
      <w:r>
        <w:rPr/>
      </w:r>
    </w:p>
    <w:p>
      <w:pPr>
        <w:pStyle w:val="Normal"/>
        <w:rPr/>
      </w:pPr>
      <w:r>
        <w:rPr/>
        <w:t xml:space="preserve">System backups reflect the requirements in contingency plans as well as other organizational requirements for backing up information. It is necessary for orderly and efficient data backup and restoration. The individual responsible for data backups should fully document the following items for each generated data backup: </w:t>
      </w:r>
    </w:p>
    <w:p>
      <w:pPr>
        <w:pStyle w:val="ListParagraph"/>
        <w:numPr>
          <w:ilvl w:val="0"/>
          <w:numId w:val="29"/>
        </w:numPr>
        <w:rPr/>
      </w:pPr>
      <w:r>
        <w:rPr/>
        <w:t>Date of data backup;</w:t>
      </w:r>
    </w:p>
    <w:p>
      <w:pPr>
        <w:pStyle w:val="ListParagraph"/>
        <w:numPr>
          <w:ilvl w:val="0"/>
          <w:numId w:val="29"/>
        </w:numPr>
        <w:rPr/>
      </w:pPr>
      <w:r>
        <w:rPr/>
        <w:t>Type of data backup (e.g., differential, incremental, full or copy);</w:t>
      </w:r>
    </w:p>
    <w:p>
      <w:pPr>
        <w:pStyle w:val="ListParagraph"/>
        <w:numPr>
          <w:ilvl w:val="0"/>
          <w:numId w:val="29"/>
        </w:numPr>
        <w:rPr/>
      </w:pPr>
      <w:r>
        <w:rPr/>
        <w:t>Generation (e.g., grandfather / father / son);</w:t>
      </w:r>
    </w:p>
    <w:p>
      <w:pPr>
        <w:pStyle w:val="ListParagraph"/>
        <w:numPr>
          <w:ilvl w:val="0"/>
          <w:numId w:val="29"/>
        </w:numPr>
        <w:rPr/>
      </w:pPr>
      <w:r>
        <w:rPr/>
        <w:t>Individual responsible for data backup;</w:t>
      </w:r>
    </w:p>
    <w:p>
      <w:pPr>
        <w:pStyle w:val="ListParagraph"/>
        <w:numPr>
          <w:ilvl w:val="0"/>
          <w:numId w:val="29"/>
        </w:numPr>
        <w:rPr/>
      </w:pPr>
      <w:r>
        <w:rPr/>
        <w:t>Extent of data backup (e.g., files / directories);</w:t>
      </w:r>
    </w:p>
    <w:p>
      <w:pPr>
        <w:pStyle w:val="ListParagraph"/>
        <w:numPr>
          <w:ilvl w:val="0"/>
          <w:numId w:val="29"/>
        </w:numPr>
        <w:rPr/>
      </w:pPr>
      <w:r>
        <w:rPr/>
        <w:t>Data media on which the operational data are stored;</w:t>
      </w:r>
    </w:p>
    <w:p>
      <w:pPr>
        <w:pStyle w:val="ListParagraph"/>
        <w:numPr>
          <w:ilvl w:val="0"/>
          <w:numId w:val="29"/>
        </w:numPr>
        <w:rPr/>
      </w:pPr>
      <w:r>
        <w:rPr/>
        <w:t>Data media on which the backup data are stored;</w:t>
      </w:r>
    </w:p>
    <w:p>
      <w:pPr>
        <w:pStyle w:val="ListParagraph"/>
        <w:numPr>
          <w:ilvl w:val="0"/>
          <w:numId w:val="29"/>
        </w:numPr>
        <w:rPr/>
      </w:pPr>
      <w:r>
        <w:rPr/>
        <w:t>Data backup hardware and software with version number(s);</w:t>
      </w:r>
    </w:p>
    <w:p>
      <w:pPr>
        <w:pStyle w:val="ListParagraph"/>
        <w:numPr>
          <w:ilvl w:val="0"/>
          <w:numId w:val="29"/>
        </w:numPr>
        <w:rPr/>
      </w:pPr>
      <w:r>
        <w:rPr/>
        <w:t>Data backup parameters (e.g., type of data backup, etc.); and</w:t>
      </w:r>
    </w:p>
    <w:p>
      <w:pPr>
        <w:pStyle w:val="ListParagraph"/>
        <w:numPr>
          <w:ilvl w:val="0"/>
          <w:numId w:val="29"/>
        </w:numPr>
        <w:rPr/>
      </w:pPr>
      <w:r>
        <w:rPr/>
        <w:t>Storage location of backup copies.</w:t>
      </w:r>
    </w:p>
    <w:p>
      <w:pPr>
        <w:pStyle w:val="Normal"/>
        <w:rPr/>
      </w:pPr>
      <w:r>
        <w:rPr/>
      </w:r>
    </w:p>
    <w:p>
      <w:pPr>
        <w:pStyle w:val="Normal"/>
        <w:rPr/>
      </w:pPr>
      <w:r>
        <w:rPr/>
        <w:t>Selecting the appropriate backup technology is a management decision. The level of risk will determine the level of data backup technologies and redundancies required. Regardless of the available technology solution, the following methods of data backup may be used:</w:t>
      </w:r>
    </w:p>
    <w:p>
      <w:pPr>
        <w:pStyle w:val="Normal"/>
        <w:rPr/>
      </w:pPr>
      <w:r>
        <w:rPr/>
      </w:r>
    </w:p>
    <w:p>
      <w:pPr>
        <w:pStyle w:val="Normal"/>
        <w:rPr/>
      </w:pPr>
      <w:r>
        <w:rPr/>
        <w:t>Data Backup Methods:</w:t>
      </w:r>
    </w:p>
    <w:p>
      <w:pPr>
        <w:pStyle w:val="ListParagraph"/>
        <w:numPr>
          <w:ilvl w:val="0"/>
          <w:numId w:val="30"/>
        </w:numPr>
        <w:rPr/>
      </w:pPr>
      <w:r>
        <w:rPr>
          <w:b/>
          <w:u w:val="single"/>
        </w:rPr>
        <w:t>Full</w:t>
      </w:r>
      <w:r>
        <w:rPr/>
        <w:t>: A full backup is a backup of every file on a file system, whether that file has changed or not. The alternatives to a full backup are incremental backup and differential backup. A full backup takes longer to accomplish and requires the most storage space on the backup media, but it also provides the quickest restore times. A full backup should be performed weekly on production systems, along with daily differential or incremental backups. A full backup should also be performed before any major planned changes to a system.</w:t>
      </w:r>
    </w:p>
    <w:p>
      <w:pPr>
        <w:pStyle w:val="Normal"/>
        <w:rPr/>
      </w:pPr>
      <w:r>
        <w:rPr/>
      </w:r>
    </w:p>
    <w:p>
      <w:pPr>
        <w:pStyle w:val="ListParagraph"/>
        <w:numPr>
          <w:ilvl w:val="0"/>
          <w:numId w:val="30"/>
        </w:numPr>
        <w:rPr/>
      </w:pPr>
      <w:r>
        <w:rPr>
          <w:b/>
          <w:u w:val="single"/>
        </w:rPr>
        <w:t>Incremental</w:t>
      </w:r>
      <w:r>
        <w:rPr/>
        <w:t>: An incremental backup image is a copy of all database data that has changed since the most recent, successful, backup operation (whether that was a full or incremental backup). This is also known as a cumulative backup image, because a series of incremental backups taken over time will each have the contents of the previous incremental backup image. The predecessor of an incremental backup image is always the most recent successful backup of the same object.</w:t>
      </w:r>
    </w:p>
    <w:p>
      <w:pPr>
        <w:pStyle w:val="Normal"/>
        <w:rPr/>
      </w:pPr>
      <w:r>
        <w:rPr/>
      </w:r>
    </w:p>
    <w:p>
      <w:pPr>
        <w:pStyle w:val="ListParagraph"/>
        <w:numPr>
          <w:ilvl w:val="0"/>
          <w:numId w:val="30"/>
        </w:numPr>
        <w:rPr/>
      </w:pPr>
      <w:r>
        <w:rPr>
          <w:b/>
          <w:u w:val="single"/>
        </w:rPr>
        <w:t>Differential (Delta)</w:t>
      </w:r>
      <w:r>
        <w:rPr>
          <w:b/>
        </w:rPr>
        <w:t>:</w:t>
      </w:r>
      <w:r>
        <w:rPr/>
        <w:t xml:space="preserve"> A delta or incremental delta, backup image is a copy of all database data that has changed since the last successful backup (full) of the data in question. This is also known as a differential or non-cumulative, backup image. The predecessor of a delta backup image is the most recent full backup.</w:t>
      </w:r>
    </w:p>
    <w:p>
      <w:pPr>
        <w:pStyle w:val="Normal"/>
        <w:rPr/>
      </w:pPr>
      <w:r>
        <w:rPr/>
      </w:r>
    </w:p>
    <w:p>
      <w:pPr>
        <w:pStyle w:val="Normal"/>
        <w:rPr/>
      </w:pPr>
      <w:r>
        <w:rPr/>
        <w:t>Depending on the available technology solution, the following procedures will be used:</w:t>
      </w:r>
    </w:p>
    <w:p>
      <w:pPr>
        <w:pStyle w:val="Normal"/>
        <w:rPr/>
      </w:pPr>
      <w:r>
        <w:rPr/>
      </w:r>
    </w:p>
    <w:p>
      <w:pPr>
        <w:pStyle w:val="Normal"/>
        <w:rPr>
          <w:b/>
          <w:b/>
        </w:rPr>
      </w:pPr>
      <w:r>
        <w:rPr>
          <w:b/>
        </w:rPr>
        <w:t>Tape / Removable Hard Disk Drive (HDD) Cartridge Backups</w:t>
      </w:r>
    </w:p>
    <w:p>
      <w:pPr>
        <w:pStyle w:val="Normal"/>
        <w:rPr/>
      </w:pPr>
      <w:r>
        <w:rPr/>
        <w:t>The most commonly used tape / Hard Disk Drive (HDD) cartridge (tape) rotation schedule is called “Grandfather / Father / Son” (GFS). This rotation scheme operates on a five-day work week principle:</w:t>
      </w:r>
    </w:p>
    <w:p>
      <w:pPr>
        <w:pStyle w:val="ListParagraph"/>
        <w:numPr>
          <w:ilvl w:val="0"/>
          <w:numId w:val="31"/>
        </w:numPr>
        <w:rPr/>
      </w:pPr>
      <w:r>
        <w:rPr/>
        <w:t>“</w:t>
      </w:r>
      <w:r>
        <w:rPr/>
        <w:t>Son” tapes are for daily backups;</w:t>
      </w:r>
    </w:p>
    <w:p>
      <w:pPr>
        <w:pStyle w:val="ListParagraph"/>
        <w:numPr>
          <w:ilvl w:val="0"/>
          <w:numId w:val="31"/>
        </w:numPr>
        <w:rPr/>
      </w:pPr>
      <w:r>
        <w:rPr/>
        <w:t>“</w:t>
      </w:r>
      <w:r>
        <w:rPr/>
        <w:t>Father” tapes are for weekly backups; and</w:t>
      </w:r>
    </w:p>
    <w:p>
      <w:pPr>
        <w:pStyle w:val="ListParagraph"/>
        <w:numPr>
          <w:ilvl w:val="0"/>
          <w:numId w:val="31"/>
        </w:numPr>
        <w:rPr/>
      </w:pPr>
      <w:r>
        <w:rPr/>
        <w:t>“</w:t>
      </w:r>
      <w:r>
        <w:rPr/>
        <w:t>Grandfather” are for monthly backups</w:t>
      </w:r>
    </w:p>
    <w:p>
      <w:pPr>
        <w:pStyle w:val="Normal"/>
        <w:rPr/>
      </w:pPr>
      <w:r>
        <w:rPr/>
      </w:r>
    </w:p>
    <w:p>
      <w:pPr>
        <w:pStyle w:val="Normal"/>
        <w:rPr/>
      </w:pPr>
      <w:r>
        <w:rPr/>
        <w:t>The monthly and annual tapes should be archived for storage. Daily and weekly tapes should be replaced every 6 months, due to wear and tear. The following steps show how to perform a simple GFS rotation method using 20 tapes:</w:t>
      </w:r>
    </w:p>
    <w:p>
      <w:pPr>
        <w:pStyle w:val="ListParagraph"/>
        <w:numPr>
          <w:ilvl w:val="0"/>
          <w:numId w:val="32"/>
        </w:numPr>
        <w:rPr/>
      </w:pPr>
      <w:r>
        <w:rPr/>
        <w:t>Obtain 20 tapes and label them as follows:</w:t>
      </w:r>
    </w:p>
    <w:p>
      <w:pPr>
        <w:pStyle w:val="ListParagraph"/>
        <w:numPr>
          <w:ilvl w:val="1"/>
          <w:numId w:val="32"/>
        </w:numPr>
        <w:rPr/>
      </w:pPr>
      <w:r>
        <w:rPr/>
        <w:t>4 daily tapes (sons) labeled “MONDAY” through “THURSDAY”</w:t>
      </w:r>
    </w:p>
    <w:p>
      <w:pPr>
        <w:pStyle w:val="ListParagraph"/>
        <w:numPr>
          <w:ilvl w:val="1"/>
          <w:numId w:val="32"/>
        </w:numPr>
        <w:rPr/>
      </w:pPr>
      <w:r>
        <w:rPr/>
        <w:t>4 weekly tapes (fathers) labeled “WEEK 1” through “WEEK 4”</w:t>
      </w:r>
    </w:p>
    <w:p>
      <w:pPr>
        <w:pStyle w:val="ListParagraph"/>
        <w:numPr>
          <w:ilvl w:val="1"/>
          <w:numId w:val="32"/>
        </w:numPr>
        <w:rPr/>
      </w:pPr>
      <w:r>
        <w:rPr/>
        <w:t>12 monthly tapes (grandfathers) labeled with the month and year</w:t>
      </w:r>
    </w:p>
    <w:p>
      <w:pPr>
        <w:pStyle w:val="ListParagraph"/>
        <w:numPr>
          <w:ilvl w:val="0"/>
          <w:numId w:val="32"/>
        </w:numPr>
        <w:rPr/>
      </w:pPr>
      <w:r>
        <w:rPr/>
        <w:t>If a full backup exceeds the capacity of one tape, create tape sets</w:t>
      </w:r>
    </w:p>
    <w:p>
      <w:pPr>
        <w:pStyle w:val="ListParagraph"/>
        <w:numPr>
          <w:ilvl w:val="0"/>
          <w:numId w:val="32"/>
        </w:numPr>
        <w:rPr/>
      </w:pPr>
      <w:r>
        <w:rPr/>
        <w:t>Beginning on a Friday, perform a full backup on the “WEEK 1” tape. Store the Week tapes off-site.</w:t>
      </w:r>
    </w:p>
    <w:p>
      <w:pPr>
        <w:pStyle w:val="ListParagraph"/>
        <w:numPr>
          <w:ilvl w:val="0"/>
          <w:numId w:val="32"/>
        </w:numPr>
        <w:rPr/>
      </w:pPr>
      <w:r>
        <w:rPr/>
        <w:t>Beginning on the following Monday, perform daily differential or incremental backups on the “MONDAY” through “THURSDAY” tapes. Store the daily backup tapes off-site.</w:t>
      </w:r>
    </w:p>
    <w:p>
      <w:pPr>
        <w:pStyle w:val="ListParagraph"/>
        <w:numPr>
          <w:ilvl w:val="0"/>
          <w:numId w:val="32"/>
        </w:numPr>
        <w:rPr/>
      </w:pPr>
      <w:r>
        <w:rPr/>
        <w:t>On Friday, perform another full backup on the “WEEK 2” tape.</w:t>
      </w:r>
    </w:p>
    <w:p>
      <w:pPr>
        <w:pStyle w:val="ListParagraph"/>
        <w:numPr>
          <w:ilvl w:val="0"/>
          <w:numId w:val="32"/>
        </w:numPr>
        <w:rPr/>
      </w:pPr>
      <w:r>
        <w:rPr/>
        <w:t xml:space="preserve">Continue with this rotation method until the last business day of the month. </w:t>
      </w:r>
    </w:p>
    <w:p>
      <w:pPr>
        <w:pStyle w:val="ListParagraph"/>
        <w:numPr>
          <w:ilvl w:val="0"/>
          <w:numId w:val="32"/>
        </w:numPr>
        <w:rPr/>
      </w:pPr>
      <w:r>
        <w:rPr/>
        <w:t>On the last business day (no matter what the day of the week it is), perform a full backup on the first monthly (grandfather) tape. Label the tape with the current date and store it off-site.</w:t>
      </w:r>
    </w:p>
    <w:p>
      <w:pPr>
        <w:pStyle w:val="Normal"/>
        <w:rPr/>
      </w:pPr>
      <w:r>
        <w:rPr/>
      </w:r>
    </w:p>
    <w:p>
      <w:pPr>
        <w:pStyle w:val="Normal"/>
        <w:rPr>
          <w:b/>
          <w:b/>
        </w:rPr>
      </w:pPr>
      <w:r>
        <w:rPr>
          <w:b/>
        </w:rPr>
        <w:t>Continuous Data Protection (CDP) Backups</w:t>
      </w:r>
    </w:p>
    <w:p>
      <w:pPr>
        <w:pStyle w:val="Normal"/>
        <w:rPr/>
      </w:pPr>
      <w:r>
        <w:rPr/>
        <w:t>Continuous Data Protection (CDP), also called continuous backup or disk-to-disk (D2D), refers to backup of computer data by automatically saving a copy of every change made to that data, essentially capturing every version of the data that the user saves. It allows the user or administrator to restore data to any point in time.</w:t>
      </w:r>
    </w:p>
    <w:p>
      <w:pPr>
        <w:pStyle w:val="Normal"/>
        <w:rPr/>
      </w:pPr>
      <w:r>
        <w:rPr/>
      </w:r>
    </w:p>
    <w:p>
      <w:pPr>
        <w:pStyle w:val="Normal"/>
        <w:rPr/>
      </w:pPr>
      <w:r>
        <w:rPr/>
        <w:t>CDP backups should be used in conjunction with archiving backups, such as tape or HDD cassette backups. This rationale is due to the need to have archived “snapshots” of the data in case the current and CDP data become corrupted.</w:t>
      </w:r>
    </w:p>
    <w:p>
      <w:pPr>
        <w:pStyle w:val="Normal"/>
        <w:tabs>
          <w:tab w:val="clear" w:pos="360"/>
          <w:tab w:val="clear" w:pos="720"/>
          <w:tab w:val="clear" w:pos="1080"/>
        </w:tabs>
        <w:jc w:val="left"/>
        <w:rPr>
          <w:b/>
          <w:b/>
        </w:rPr>
      </w:pPr>
      <w:r>
        <w:rPr>
          <w:b/>
        </w:rPr>
      </w:r>
    </w:p>
    <w:p>
      <w:pPr>
        <w:pStyle w:val="Normal"/>
        <w:rPr>
          <w:b/>
          <w:b/>
        </w:rPr>
      </w:pPr>
      <w:r>
        <w:rPr>
          <w:b/>
        </w:rPr>
        <w:t xml:space="preserve">Internet-Based Backups </w:t>
      </w:r>
    </w:p>
    <w:p>
      <w:pPr>
        <w:pStyle w:val="Normal"/>
        <w:rPr/>
      </w:pPr>
      <w:r>
        <w:rPr/>
        <w:t>The preferred method for data backups is through utilizing both a local copy of a backup, be it tape, HDD cassette or CDP device, as well as an automated Internet-based data backup provider. Internet-based backups help eliminate human error associated with manually producing tape backups and can be scheduled each day, without human intervention.</w:t>
      </w:r>
    </w:p>
    <w:p>
      <w:pPr>
        <w:pStyle w:val="Normal"/>
        <w:rPr/>
      </w:pPr>
      <w:r>
        <w:rPr/>
      </w:r>
    </w:p>
    <w:p>
      <w:pPr>
        <w:pStyle w:val="Normal"/>
        <w:rPr/>
      </w:pPr>
      <w:r>
        <w:rPr/>
        <w:t>Just as with traditional tape backups, care must be taken to ensure all data is captured in the backup set. Data not selected to be transmitted off-site will not be backed up remotely, so regular testing is required regardless of the backup technology used.</w:t>
      </w:r>
    </w:p>
    <w:p>
      <w:pPr>
        <w:pStyle w:val="Normal"/>
        <w:rPr/>
      </w:pPr>
      <w:r>
        <w:rPr/>
      </w:r>
    </w:p>
    <w:p>
      <w:pPr>
        <w:pStyle w:val="Heading3"/>
        <w:rPr/>
      </w:pPr>
      <w:bookmarkStart w:id="230" w:name="_Toc474074796"/>
      <w:bookmarkStart w:id="231" w:name="_Toc34920559"/>
      <w:r>
        <w:rPr/>
        <w:t>BCD-11(a): Data Backups | Testing for Reliability &amp; Integrity</w:t>
      </w:r>
      <w:bookmarkEnd w:id="230"/>
      <w:bookmarkEnd w:id="231"/>
      <w:r>
        <w:rPr/>
        <w:t xml:space="preserve"> </w:t>
      </w:r>
    </w:p>
    <w:p>
      <w:pPr>
        <w:pStyle w:val="Normal"/>
        <w:rPr/>
      </w:pPr>
      <w:r>
        <w:rPr>
          <w:u w:val="single"/>
        </w:rPr>
        <w:t>Control Objective</w:t>
      </w:r>
      <w:r>
        <w:rPr/>
        <w:t>: The organization tests backup information at an organization-defined frequency to verify media reliability and information integrity.</w:t>
      </w:r>
      <w:r>
        <w:rPr>
          <w:rStyle w:val="FootnoteAnchor"/>
          <w:rStyle w:val="FootnoteAnchor"/>
          <w:rFonts w:cs="Calibri"/>
        </w:rPr>
        <w:footnoteReference w:id="72"/>
      </w:r>
    </w:p>
    <w:p>
      <w:pPr>
        <w:pStyle w:val="Normal"/>
        <w:rPr/>
      </w:pPr>
      <w:r>
        <w:rPr/>
      </w:r>
    </w:p>
    <w:p>
      <w:pPr>
        <w:pStyle w:val="Normal"/>
        <w:rPr>
          <w:b/>
          <w:b/>
          <w:i/>
          <w:i/>
        </w:rPr>
      </w:pPr>
      <w:r>
        <w:rPr>
          <w:u w:val="single"/>
        </w:rPr>
        <w:t>Standard</w:t>
      </w:r>
      <w:r>
        <w:rPr/>
        <w:t>: At least annually, asset owners and custodians must test backup information to verify media reliability and information integrity.</w:t>
      </w:r>
    </w:p>
    <w:p>
      <w:pPr>
        <w:pStyle w:val="Normal"/>
        <w:rPr/>
      </w:pPr>
      <w:r>
        <w:rPr/>
      </w:r>
    </w:p>
    <w:p>
      <w:pPr>
        <w:pStyle w:val="Normal"/>
        <w:rPr/>
      </w:pPr>
      <w:r>
        <w:rPr>
          <w:u w:val="single"/>
        </w:rPr>
        <w:t>Guidelines</w:t>
      </w:r>
      <w:r>
        <w:rPr/>
        <w:t>: None</w:t>
      </w:r>
    </w:p>
    <w:p>
      <w:pPr>
        <w:pStyle w:val="Normal"/>
        <w:rPr/>
      </w:pPr>
      <w:r>
        <w:rPr/>
      </w:r>
    </w:p>
    <w:p>
      <w:pPr>
        <w:pStyle w:val="Heading3"/>
        <w:rPr/>
      </w:pPr>
      <w:bookmarkStart w:id="232" w:name="_Toc474074797"/>
      <w:bookmarkStart w:id="233" w:name="_Toc34920560"/>
      <w:r>
        <w:rPr/>
        <w:t>BCD-11(b): Data Backups | Separate Storage for Critical Information</w:t>
      </w:r>
      <w:bookmarkEnd w:id="232"/>
      <w:bookmarkEnd w:id="233"/>
      <w:r>
        <w:rPr/>
        <w:t xml:space="preserve"> </w:t>
      </w:r>
    </w:p>
    <w:p>
      <w:pPr>
        <w:pStyle w:val="Normal"/>
        <w:rPr/>
      </w:pPr>
      <w:r>
        <w:rPr>
          <w:u w:val="single"/>
        </w:rPr>
        <w:t>Control Objective</w:t>
      </w:r>
      <w:r>
        <w:rPr/>
        <w:t>: The organization stores backup copies of critical software and other security-related information in a separate facility or in a fire-rated container that is not collocated with system being backed up.</w:t>
      </w:r>
      <w:r>
        <w:rPr>
          <w:rStyle w:val="FootnoteAnchor"/>
          <w:rStyle w:val="FootnoteAnchor"/>
          <w:rFonts w:cs="Calibri"/>
        </w:rPr>
        <w:footnoteReference w:id="73"/>
      </w:r>
    </w:p>
    <w:p>
      <w:pPr>
        <w:pStyle w:val="Normal"/>
        <w:rPr/>
      </w:pPr>
      <w:r>
        <w:rPr/>
      </w:r>
    </w:p>
    <w:p>
      <w:pPr>
        <w:pStyle w:val="Normal"/>
        <w:rPr/>
      </w:pPr>
      <w:r>
        <w:rPr>
          <w:u w:val="single"/>
        </w:rPr>
        <w:t>Standard</w:t>
      </w:r>
      <w:r>
        <w:rPr/>
        <w:t xml:space="preserve">: </w:t>
      </w:r>
      <w:bookmarkStart w:id="234" w:name="_Hlk504457472"/>
      <w:r>
        <w:rPr/>
        <w:t xml:space="preserve">Where technically feasible and justified by a valid business case, NFCC shall </w:t>
      </w:r>
      <w:bookmarkEnd w:id="234"/>
      <w:r>
        <w:rPr/>
        <w:t>store backup copies of critical system software and other security-related information in a:</w:t>
      </w:r>
    </w:p>
    <w:p>
      <w:pPr>
        <w:pStyle w:val="ListParagraph"/>
        <w:numPr>
          <w:ilvl w:val="0"/>
          <w:numId w:val="249"/>
        </w:numPr>
        <w:rPr/>
      </w:pPr>
      <w:r>
        <w:rPr/>
        <w:t>Separate, commercial facility; or</w:t>
      </w:r>
    </w:p>
    <w:p>
      <w:pPr>
        <w:pStyle w:val="ListParagraph"/>
        <w:numPr>
          <w:ilvl w:val="0"/>
          <w:numId w:val="249"/>
        </w:numPr>
        <w:rPr/>
      </w:pPr>
      <w:r>
        <w:rPr/>
        <w:t>Fire-rated container that is not collocated with the operational system at the same facility.</w:t>
      </w:r>
    </w:p>
    <w:p>
      <w:pPr>
        <w:pStyle w:val="Normal"/>
        <w:rPr/>
      </w:pPr>
      <w:r>
        <w:rPr/>
      </w:r>
    </w:p>
    <w:p>
      <w:pPr>
        <w:pStyle w:val="Normal"/>
        <w:rPr/>
      </w:pPr>
      <w:r>
        <w:rPr>
          <w:u w:val="single"/>
        </w:rPr>
        <w:t>Guidelines</w:t>
      </w:r>
      <w:r>
        <w:rPr/>
        <w:t>: Critical system software includes, for example, operating systems, cryptographic key management systems and intrusion detection / prevention systems. Security-related information includes, for example, organizational inventories of hardware, software and firmware components. Alternate storage sites typically serve as separate storage facilities for organizations.</w:t>
      </w:r>
    </w:p>
    <w:p>
      <w:pPr>
        <w:pStyle w:val="Normal"/>
        <w:rPr/>
      </w:pPr>
      <w:r>
        <w:rPr/>
      </w:r>
    </w:p>
    <w:p>
      <w:pPr>
        <w:pStyle w:val="Heading3"/>
        <w:rPr/>
      </w:pPr>
      <w:bookmarkStart w:id="235" w:name="_Toc474074798"/>
      <w:bookmarkStart w:id="236" w:name="_Toc34920561"/>
      <w:r>
        <w:rPr/>
        <w:t>BCD-11(c): Data Backups | Information System Imaging</w:t>
      </w:r>
      <w:bookmarkEnd w:id="235"/>
      <w:bookmarkEnd w:id="236"/>
    </w:p>
    <w:p>
      <w:pPr>
        <w:pStyle w:val="Normal"/>
        <w:rPr/>
      </w:pPr>
      <w:r>
        <w:rPr>
          <w:u w:val="single"/>
        </w:rPr>
        <w:t>Control Objective</w:t>
      </w:r>
      <w:r>
        <w:rPr/>
        <w:t>: The organization provides the capability to reimage system components from configuration-controlled and integrity-protected disk images representing a secure, operational state for the components.</w:t>
      </w:r>
    </w:p>
    <w:p>
      <w:pPr>
        <w:pStyle w:val="Normal"/>
        <w:rPr/>
      </w:pPr>
      <w:r>
        <w:rPr/>
      </w:r>
    </w:p>
    <w:p>
      <w:pPr>
        <w:pStyle w:val="Normal"/>
        <w:rPr/>
      </w:pPr>
      <w:r>
        <w:rPr>
          <w:u w:val="single"/>
        </w:rPr>
        <w:t>Standard</w:t>
      </w:r>
      <w:r>
        <w:rPr/>
        <w:t>: NFCC’s IT department is required to provide the capability to re-image systems from configuration-controlled and integrity-protected disk images representing a secure, operational state for the system.</w:t>
      </w:r>
    </w:p>
    <w:p>
      <w:pPr>
        <w:pStyle w:val="Normal"/>
        <w:rPr/>
      </w:pPr>
      <w:r>
        <w:rPr/>
      </w:r>
    </w:p>
    <w:p>
      <w:pPr>
        <w:pStyle w:val="Normal"/>
        <w:rPr/>
      </w:pPr>
      <w:r>
        <w:rPr>
          <w:u w:val="single"/>
        </w:rPr>
        <w:t>Guidelines</w:t>
      </w:r>
      <w:r>
        <w:rPr/>
        <w:t>: The process of re-imaging should be used since it has several key benefits, including:</w:t>
      </w:r>
    </w:p>
    <w:p>
      <w:pPr>
        <w:pStyle w:val="ListParagraph"/>
        <w:numPr>
          <w:ilvl w:val="0"/>
          <w:numId w:val="33"/>
        </w:numPr>
        <w:rPr/>
      </w:pPr>
      <w:r>
        <w:rPr/>
        <w:t>Fast recovery time for a complete OS;</w:t>
      </w:r>
    </w:p>
    <w:p>
      <w:pPr>
        <w:pStyle w:val="ListParagraph"/>
        <w:numPr>
          <w:ilvl w:val="0"/>
          <w:numId w:val="33"/>
        </w:numPr>
        <w:rPr/>
      </w:pPr>
      <w:r>
        <w:rPr/>
        <w:t>Ability to load one image on multiple like-systems; and</w:t>
      </w:r>
    </w:p>
    <w:p>
      <w:pPr>
        <w:pStyle w:val="ListParagraph"/>
        <w:numPr>
          <w:ilvl w:val="0"/>
          <w:numId w:val="33"/>
        </w:numPr>
        <w:rPr/>
      </w:pPr>
      <w:r>
        <w:rPr/>
        <w:t>Reduces troubleshooting by being able to quickly reload an OS, while keeping data intact.</w:t>
      </w:r>
    </w:p>
    <w:p>
      <w:pPr>
        <w:pStyle w:val="Normal"/>
        <w:rPr/>
      </w:pPr>
      <w:r>
        <w:rPr/>
      </w:r>
    </w:p>
    <w:p>
      <w:pPr>
        <w:pStyle w:val="Heading3"/>
        <w:rPr/>
      </w:pPr>
      <w:bookmarkStart w:id="237" w:name="_Toc34920562"/>
      <w:r>
        <w:rPr/>
        <w:t>BCD-11(d): Data Backups | Cryptographic Protection</w:t>
      </w:r>
      <w:bookmarkEnd w:id="237"/>
    </w:p>
    <w:p>
      <w:pPr>
        <w:pStyle w:val="Normal"/>
        <w:rPr/>
      </w:pPr>
      <w:r>
        <w:rPr>
          <w:u w:val="single"/>
        </w:rPr>
        <w:t>Control Objective</w:t>
      </w:r>
      <w:r>
        <w:rPr/>
        <w:t>: The organization utilized cryptographic mechanisms to prevent the unauthorized disclosure and modification of backup information.</w:t>
      </w:r>
    </w:p>
    <w:p>
      <w:pPr>
        <w:pStyle w:val="Normal"/>
        <w:rPr/>
      </w:pPr>
      <w:r>
        <w:rPr/>
      </w:r>
    </w:p>
    <w:p>
      <w:pPr>
        <w:pStyle w:val="Normal"/>
        <w:rPr>
          <w:b/>
          <w:b/>
          <w:i/>
          <w:i/>
        </w:rPr>
      </w:pPr>
      <w:r>
        <w:rPr>
          <w:u w:val="single"/>
        </w:rPr>
        <w:t>Standard</w:t>
      </w:r>
      <w:r>
        <w:rPr/>
        <w:t>: Asset custodians are required to Implement cryptographic mechanisms to prevent unauthorized disclosure and modification of NFCC backup information.</w:t>
      </w:r>
    </w:p>
    <w:p>
      <w:pPr>
        <w:pStyle w:val="Normal"/>
        <w:rPr/>
      </w:pPr>
      <w:r>
        <w:rPr/>
      </w:r>
    </w:p>
    <w:p>
      <w:pPr>
        <w:pStyle w:val="Normal"/>
        <w:rPr>
          <w:bCs w:val="false"/>
        </w:rPr>
      </w:pPr>
      <w:r>
        <w:rPr>
          <w:u w:val="single"/>
        </w:rPr>
        <w:t>Guidelines</w:t>
      </w:r>
      <w:r>
        <w:rPr/>
        <w:t>: The selection of cryptographic mechanisms is based on the need to protect the confidentiality and integrity of backup information. The strength of mechanism is commensurate with the security category and/or classification of the information. This control enhancement applies to system backup information in storage at primary and alternate locations. Organizations implementing cryptographic mechanisms to protect information at rest also consider cryptographic key management solutions.</w:t>
      </w:r>
    </w:p>
    <w:p>
      <w:pPr>
        <w:pStyle w:val="Normal"/>
        <w:rPr/>
      </w:pPr>
      <w:r>
        <w:rPr/>
      </w:r>
    </w:p>
    <w:p>
      <w:pPr>
        <w:pStyle w:val="Heading3"/>
        <w:rPr/>
      </w:pPr>
      <w:bookmarkStart w:id="238" w:name="_Toc23241788"/>
      <w:bookmarkStart w:id="239" w:name="_Toc34920563"/>
      <w:r>
        <w:rPr/>
        <w:t>BCD-11(e): Data Backups | Test Restoration Using Sampling</w:t>
      </w:r>
      <w:bookmarkEnd w:id="238"/>
      <w:bookmarkEnd w:id="239"/>
      <w:r>
        <w:rPr/>
        <w:t xml:space="preserve"> </w:t>
      </w:r>
    </w:p>
    <w:p>
      <w:pPr>
        <w:pStyle w:val="Normal"/>
        <w:rPr/>
      </w:pPr>
      <w:r>
        <w:rPr>
          <w:rFonts w:cs="Calibri"/>
          <w:u w:val="single"/>
        </w:rPr>
        <w:t>Control Objective</w:t>
      </w:r>
      <w:r>
        <w:rPr>
          <w:rFonts w:cs="Calibri"/>
        </w:rPr>
        <w:t xml:space="preserve">: </w:t>
      </w:r>
      <w:r>
        <w:rPr/>
        <w:t>The organization uses a sample of backup information in the restoration of selected information system functions as part of contingency plan testing.</w:t>
      </w:r>
      <w:r>
        <w:rPr>
          <w:rStyle w:val="FootnoteCharacters"/>
          <w:rFonts w:cs="Calibri"/>
        </w:rPr>
        <w:t xml:space="preserve"> </w:t>
      </w:r>
      <w:r>
        <w:rPr>
          <w:rStyle w:val="FootnoteAnchor"/>
          <w:rStyle w:val="FootnoteAnchor"/>
          <w:rFonts w:cs="Calibri"/>
        </w:rPr>
        <w:footnoteReference w:id="74"/>
      </w:r>
      <w:r>
        <w:rPr/>
        <w:t xml:space="preserve"> </w:t>
      </w:r>
    </w:p>
    <w:p>
      <w:pPr>
        <w:pStyle w:val="Normal"/>
        <w:rPr>
          <w:rFonts w:cs="Calibri"/>
        </w:rPr>
      </w:pPr>
      <w:r>
        <w:rPr>
          <w:rFonts w:cs="Calibri"/>
        </w:rPr>
      </w:r>
    </w:p>
    <w:p>
      <w:pPr>
        <w:pStyle w:val="Normal"/>
        <w:rPr>
          <w:rFonts w:cs="Calibri"/>
          <w:b/>
          <w:b/>
          <w:i/>
          <w:i/>
        </w:rPr>
      </w:pPr>
      <w:r>
        <w:rPr>
          <w:rFonts w:cs="Calibri"/>
          <w:u w:val="single"/>
        </w:rPr>
        <w:t>Standard</w:t>
      </w:r>
      <w:r>
        <w:rPr>
          <w:rFonts w:cs="Calibri"/>
        </w:rPr>
        <w:t>: At least annually, data/process owners and asset custodians must test backup information to verify media reliability and information integrity by using random files to restore from both critical and non-critical data sets.</w:t>
      </w:r>
    </w:p>
    <w:p>
      <w:pPr>
        <w:pStyle w:val="Normal"/>
        <w:rPr>
          <w:rFonts w:cs="Calibri"/>
        </w:rPr>
      </w:pPr>
      <w:r>
        <w:rPr>
          <w:rFonts w:cs="Calibri"/>
        </w:rPr>
      </w:r>
    </w:p>
    <w:p>
      <w:pPr>
        <w:pStyle w:val="Normal"/>
        <w:rPr>
          <w:rFonts w:cs="Calibri"/>
        </w:rPr>
      </w:pPr>
      <w:r>
        <w:rPr>
          <w:rFonts w:cs="Calibri"/>
          <w:u w:val="single"/>
        </w:rPr>
        <w:t>Guidelines</w:t>
      </w:r>
      <w:r>
        <w:rPr>
          <w:rFonts w:cs="Calibri"/>
        </w:rPr>
        <w:t>: None</w:t>
      </w:r>
    </w:p>
    <w:p>
      <w:pPr>
        <w:pStyle w:val="Normal"/>
        <w:rPr/>
      </w:pPr>
      <w:r>
        <w:rPr/>
      </w:r>
    </w:p>
    <w:p>
      <w:pPr>
        <w:pStyle w:val="Heading3"/>
        <w:rPr/>
      </w:pPr>
      <w:bookmarkStart w:id="240" w:name="_Toc23241790"/>
      <w:bookmarkStart w:id="241" w:name="_Toc34920564"/>
      <w:r>
        <w:rPr/>
        <w:t>BCD-11(f): Data Backups | Transfer to Alternate Storage Site</w:t>
      </w:r>
      <w:bookmarkEnd w:id="240"/>
      <w:bookmarkEnd w:id="241"/>
      <w:r>
        <w:rPr/>
        <w:t xml:space="preserve"> </w:t>
      </w:r>
    </w:p>
    <w:p>
      <w:pPr>
        <w:pStyle w:val="Normal"/>
        <w:rPr/>
      </w:pPr>
      <w:r>
        <w:rPr>
          <w:rFonts w:cs="Calibri"/>
          <w:u w:val="single"/>
        </w:rPr>
        <w:t>Control Objective</w:t>
      </w:r>
      <w:r>
        <w:rPr>
          <w:rFonts w:cs="Calibri"/>
        </w:rPr>
        <w:t xml:space="preserve">: </w:t>
      </w:r>
      <w:r>
        <w:rPr/>
        <w:t>The organization transfers information system backup information to the alternate storage site according to an organization-defined time period and transfer rate consistent with the recovery time and recovery point objectives.</w:t>
      </w:r>
      <w:r>
        <w:rPr>
          <w:rStyle w:val="FootnoteCharacters"/>
          <w:rFonts w:cs="Calibri"/>
        </w:rPr>
        <w:t xml:space="preserve"> </w:t>
      </w:r>
      <w:r>
        <w:rPr>
          <w:rStyle w:val="FootnoteAnchor"/>
          <w:rStyle w:val="FootnoteAnchor"/>
          <w:rFonts w:cs="Calibri"/>
        </w:rPr>
        <w:footnoteReference w:id="75"/>
      </w:r>
      <w:r>
        <w:rPr/>
        <w:t xml:space="preserve"> </w:t>
      </w:r>
    </w:p>
    <w:p>
      <w:pPr>
        <w:pStyle w:val="Normal"/>
        <w:rPr>
          <w:rFonts w:cs="Calibri"/>
        </w:rPr>
      </w:pPr>
      <w:r>
        <w:rPr>
          <w:rFonts w:cs="Calibri"/>
        </w:rPr>
      </w:r>
    </w:p>
    <w:p>
      <w:pPr>
        <w:pStyle w:val="Normal"/>
        <w:rPr>
          <w:rFonts w:cs="Calibri"/>
        </w:rPr>
      </w:pPr>
      <w:r>
        <w:rPr>
          <w:rFonts w:cs="Calibri"/>
          <w:u w:val="single"/>
        </w:rPr>
        <w:t>Standard</w:t>
      </w:r>
      <w:r>
        <w:rPr>
          <w:rFonts w:cs="Calibri"/>
        </w:rPr>
        <w:t>: Data/process owners and asset custodians are required to:</w:t>
      </w:r>
    </w:p>
    <w:p>
      <w:pPr>
        <w:pStyle w:val="Normal"/>
        <w:rPr>
          <w:rFonts w:cs="Calibri"/>
        </w:rPr>
      </w:pPr>
      <w:r>
        <w:rPr>
          <w:rFonts w:cs="Calibri"/>
        </w:rPr>
      </w:r>
    </w:p>
    <w:p>
      <w:pPr>
        <w:pStyle w:val="ListParagraph"/>
        <w:numPr>
          <w:ilvl w:val="0"/>
          <w:numId w:val="606"/>
        </w:numPr>
        <w:rPr>
          <w:rFonts w:cs="Calibri"/>
        </w:rPr>
      </w:pPr>
      <w:r>
        <w:rPr>
          <w:rFonts w:cs="Calibri"/>
        </w:rPr>
        <w:t xml:space="preserve"> </w:t>
      </w:r>
      <w:r>
        <w:rPr>
          <w:rFonts w:cs="Calibri"/>
        </w:rPr>
        <w:t>For critical systems or transactional data, configure backup systems to transfer information system backups to the alternate storage site at a transfer rate consistent with an established Recovery Time Objective (RTO) / Recovery Point Objective (RPO); and</w:t>
      </w:r>
    </w:p>
    <w:p>
      <w:pPr>
        <w:pStyle w:val="ListParagraph"/>
        <w:numPr>
          <w:ilvl w:val="0"/>
          <w:numId w:val="606"/>
        </w:numPr>
        <w:rPr>
          <w:rFonts w:cs="Calibri"/>
        </w:rPr>
      </w:pPr>
      <w:r>
        <w:rPr>
          <w:rFonts w:cs="Calibri"/>
        </w:rPr>
        <w:t>For non-critical systems, either:</w:t>
      </w:r>
    </w:p>
    <w:p>
      <w:pPr>
        <w:pStyle w:val="ListParagraph"/>
        <w:numPr>
          <w:ilvl w:val="1"/>
          <w:numId w:val="606"/>
        </w:numPr>
        <w:rPr>
          <w:rFonts w:cs="Calibri"/>
        </w:rPr>
      </w:pPr>
      <w:r>
        <w:rPr>
          <w:rFonts w:cs="Calibri"/>
        </w:rPr>
        <w:t>Configure systems to transfer backups on no less than a daily basis; or</w:t>
      </w:r>
    </w:p>
    <w:p>
      <w:pPr>
        <w:pStyle w:val="ListParagraph"/>
        <w:numPr>
          <w:ilvl w:val="1"/>
          <w:numId w:val="606"/>
        </w:numPr>
        <w:rPr>
          <w:rFonts w:cs="Calibri"/>
        </w:rPr>
      </w:pPr>
      <w:r>
        <w:rPr>
          <w:rFonts w:cs="Calibri"/>
        </w:rPr>
        <w:t>Contract with a service provider to pick up physical backup media for secure transport and storage at the alternate storage site; and</w:t>
      </w:r>
    </w:p>
    <w:p>
      <w:pPr>
        <w:pStyle w:val="ListParagraph"/>
        <w:numPr>
          <w:ilvl w:val="0"/>
          <w:numId w:val="606"/>
        </w:numPr>
        <w:rPr>
          <w:rFonts w:cs="Calibri"/>
        </w:rPr>
      </w:pPr>
      <w:r>
        <w:rPr>
          <w:rFonts w:cs="Calibri"/>
        </w:rPr>
        <w:t xml:space="preserve">Conduct a review of the RTO and business processes in question at least once a year or upon significant technology changes that potentially affect data recovery needs. </w:t>
      </w:r>
    </w:p>
    <w:p>
      <w:pPr>
        <w:pStyle w:val="Normal"/>
        <w:rPr>
          <w:rFonts w:cs="Calibri"/>
        </w:rPr>
      </w:pPr>
      <w:r>
        <w:rPr>
          <w:rFonts w:cs="Calibri"/>
        </w:rPr>
      </w:r>
    </w:p>
    <w:p>
      <w:pPr>
        <w:pStyle w:val="Normal"/>
        <w:rPr>
          <w:rFonts w:cs="Calibri"/>
        </w:rPr>
      </w:pPr>
      <w:r>
        <w:rPr>
          <w:rFonts w:cs="Calibri"/>
          <w:u w:val="single"/>
        </w:rPr>
        <w:t>Guidelines</w:t>
      </w:r>
      <w:r>
        <w:rPr>
          <w:rFonts w:cs="Calibri"/>
        </w:rPr>
        <w:t xml:space="preserve">: </w:t>
      </w:r>
      <w:r>
        <w:rPr/>
        <w:t>Information system backup information can be transferred to alternate storage sites either electronically or by physical shipment of storage media.</w:t>
      </w:r>
    </w:p>
    <w:p>
      <w:pPr>
        <w:pStyle w:val="Normal"/>
        <w:rPr>
          <w:rFonts w:cs="Calibri"/>
        </w:rPr>
      </w:pPr>
      <w:r>
        <w:rPr>
          <w:rFonts w:cs="Calibri"/>
        </w:rPr>
      </w:r>
    </w:p>
    <w:p>
      <w:pPr>
        <w:pStyle w:val="Heading3"/>
        <w:rPr/>
      </w:pPr>
      <w:bookmarkStart w:id="242" w:name="_Toc23241791"/>
      <w:bookmarkStart w:id="243" w:name="_Toc34920565"/>
      <w:r>
        <w:rPr/>
        <w:t>BCD-11(g): Data Backups | Redundant Secondary System</w:t>
      </w:r>
      <w:bookmarkEnd w:id="242"/>
      <w:bookmarkEnd w:id="243"/>
      <w:r>
        <w:rPr/>
        <w:t xml:space="preserve"> </w:t>
      </w:r>
    </w:p>
    <w:p>
      <w:pPr>
        <w:pStyle w:val="Normal"/>
        <w:rPr>
          <w:rFonts w:cs="Calibri"/>
        </w:rPr>
      </w:pPr>
      <w:r>
        <w:rPr>
          <w:rFonts w:cs="Calibri"/>
          <w:u w:val="single"/>
        </w:rPr>
        <w:t>Control Objective</w:t>
      </w:r>
      <w:r>
        <w:rPr>
          <w:rFonts w:cs="Calibri"/>
        </w:rPr>
        <w:t>: The organization accomplishes information system backup by maintaining a redundant secondary system that is not collocated with the primary system and that can be activated without loss of information or disruption to operations.</w:t>
      </w:r>
      <w:r>
        <w:rPr>
          <w:rStyle w:val="FootnoteCharacters"/>
          <w:rFonts w:cs="Calibri"/>
        </w:rPr>
        <w:t xml:space="preserve"> </w:t>
      </w:r>
      <w:r>
        <w:rPr>
          <w:rStyle w:val="FootnoteAnchor"/>
          <w:rStyle w:val="FootnoteAnchor"/>
          <w:rFonts w:cs="Calibri"/>
        </w:rPr>
        <w:footnoteReference w:id="76"/>
      </w:r>
    </w:p>
    <w:p>
      <w:pPr>
        <w:pStyle w:val="Normal"/>
        <w:rPr>
          <w:rFonts w:cs="Calibri"/>
        </w:rPr>
      </w:pPr>
      <w:r>
        <w:rPr>
          <w:rFonts w:cs="Calibri"/>
        </w:rPr>
      </w:r>
    </w:p>
    <w:p>
      <w:pPr>
        <w:pStyle w:val="Normal"/>
        <w:rPr>
          <w:rFonts w:cs="Calibri"/>
        </w:rPr>
      </w:pPr>
      <w:r>
        <w:rPr>
          <w:rFonts w:cs="Calibri"/>
          <w:u w:val="single"/>
        </w:rPr>
        <w:t>Standard</w:t>
      </w:r>
      <w:r>
        <w:rPr>
          <w:rFonts w:cs="Calibri"/>
        </w:rPr>
        <w:t>: Where technically feasible and a business justification exists, data/process owners and asset custodians are required to maintain a redundant secondary system that is not collocated with the primary system and that can be activated without loss of information or disruption to operations.</w:t>
      </w:r>
    </w:p>
    <w:p>
      <w:pPr>
        <w:pStyle w:val="Normal"/>
        <w:rPr>
          <w:rFonts w:cs="Calibri"/>
        </w:rPr>
      </w:pPr>
      <w:r>
        <w:rPr>
          <w:rFonts w:cs="Calibri"/>
        </w:rPr>
      </w:r>
    </w:p>
    <w:p>
      <w:pPr>
        <w:pStyle w:val="Normal"/>
        <w:rPr>
          <w:rFonts w:cs="Calibri"/>
        </w:rPr>
      </w:pPr>
      <w:r>
        <w:rPr>
          <w:rFonts w:cs="Calibri"/>
          <w:u w:val="single"/>
        </w:rPr>
        <w:t>Guidelines</w:t>
      </w:r>
      <w:r>
        <w:rPr>
          <w:rFonts w:cs="Calibri"/>
        </w:rPr>
        <w:t>: None</w:t>
      </w:r>
    </w:p>
    <w:p>
      <w:pPr>
        <w:pStyle w:val="Normal"/>
        <w:rPr>
          <w:rFonts w:cs="Calibri"/>
          <w:b/>
          <w:b/>
          <w:bCs w:val="false"/>
          <w:smallCaps/>
          <w:color w:val="000099"/>
        </w:rPr>
      </w:pPr>
      <w:r>
        <w:rPr>
          <w:rFonts w:cs="Calibri"/>
          <w:b/>
          <w:bCs w:val="false"/>
          <w:smallCaps/>
          <w:color w:val="000099"/>
        </w:rPr>
      </w:r>
    </w:p>
    <w:p>
      <w:pPr>
        <w:pStyle w:val="Heading3"/>
        <w:rPr/>
      </w:pPr>
      <w:bookmarkStart w:id="244" w:name="_Toc23241792"/>
      <w:bookmarkStart w:id="245" w:name="_Toc34920566"/>
      <w:r>
        <w:rPr/>
        <w:t>BCD-11(h): Data Backups | Dual Authorization</w:t>
      </w:r>
      <w:bookmarkEnd w:id="244"/>
      <w:bookmarkEnd w:id="245"/>
      <w:r>
        <w:rPr/>
        <w:t xml:space="preserve"> </w:t>
      </w:r>
    </w:p>
    <w:p>
      <w:pPr>
        <w:pStyle w:val="Normal"/>
        <w:rPr>
          <w:rFonts w:cs="Calibri"/>
        </w:rPr>
      </w:pPr>
      <w:r>
        <w:rPr>
          <w:rFonts w:cs="Calibri"/>
          <w:u w:val="single"/>
        </w:rPr>
        <w:t>Control Objective</w:t>
      </w:r>
      <w:r>
        <w:rPr>
          <w:rFonts w:cs="Calibri"/>
        </w:rPr>
        <w:t>: The organization enforces dual authorization for the deletion or destruction of organization-defined backup information.</w:t>
      </w:r>
      <w:r>
        <w:rPr>
          <w:rStyle w:val="FootnoteCharacters"/>
          <w:rFonts w:cs="Calibri"/>
        </w:rPr>
        <w:t xml:space="preserve"> </w:t>
      </w:r>
      <w:r>
        <w:rPr>
          <w:rStyle w:val="FootnoteAnchor"/>
          <w:rStyle w:val="FootnoteAnchor"/>
          <w:rFonts w:cs="Calibri"/>
        </w:rPr>
        <w:footnoteReference w:id="77"/>
      </w:r>
    </w:p>
    <w:p>
      <w:pPr>
        <w:pStyle w:val="Normal"/>
        <w:rPr>
          <w:rFonts w:cs="Calibri"/>
        </w:rPr>
      </w:pPr>
      <w:r>
        <w:rPr>
          <w:rFonts w:cs="Calibri"/>
        </w:rPr>
      </w:r>
    </w:p>
    <w:p>
      <w:pPr>
        <w:pStyle w:val="Normal"/>
        <w:rPr>
          <w:rFonts w:cs="Calibri"/>
        </w:rPr>
      </w:pPr>
      <w:r>
        <w:rPr>
          <w:rFonts w:cs="Calibri"/>
          <w:u w:val="single"/>
        </w:rPr>
        <w:t>Standard</w:t>
      </w:r>
      <w:r>
        <w:rPr>
          <w:rFonts w:cs="Calibri"/>
        </w:rPr>
        <w:t>: Where technically feasible and a business justification exists, data/process owners and asset custodians are required to implement and enforce a dual authorization process for the deletion or destruction of sensitive backup information.</w:t>
      </w:r>
    </w:p>
    <w:p>
      <w:pPr>
        <w:pStyle w:val="Normal"/>
        <w:rPr>
          <w:rFonts w:cs="Calibri"/>
        </w:rPr>
      </w:pPr>
      <w:r>
        <w:rPr>
          <w:rFonts w:cs="Calibri"/>
        </w:rPr>
      </w:r>
    </w:p>
    <w:p>
      <w:pPr>
        <w:pStyle w:val="Normal"/>
        <w:rPr>
          <w:rFonts w:cs="Calibri"/>
        </w:rPr>
      </w:pPr>
      <w:r>
        <w:rPr>
          <w:rFonts w:cs="Calibri"/>
          <w:u w:val="single"/>
        </w:rPr>
        <w:t>Guidelines</w:t>
      </w:r>
      <w:r>
        <w:rPr>
          <w:rFonts w:cs="Calibri"/>
        </w:rPr>
        <w:t>: Dual authorization ensures that the deletion or destruction of backup information cannot occur unless two qualified individuals carry out the task. Individuals deleting/destroying backup information possess sufficient skills/expertise to determine if the proposed deletion/destruction of backup information reflects organizational policies and procedures. Dual authorization may also be known as two-person control.</w:t>
      </w:r>
    </w:p>
    <w:p>
      <w:pPr>
        <w:pStyle w:val="Normal"/>
        <w:rPr/>
      </w:pPr>
      <w:r>
        <w:rPr/>
      </w:r>
    </w:p>
    <w:p>
      <w:pPr>
        <w:pStyle w:val="Normal"/>
        <w:tabs>
          <w:tab w:val="left" w:pos="360" w:leader="none"/>
          <w:tab w:val="left" w:pos="720" w:leader="none"/>
          <w:tab w:val="left" w:pos="1080" w:leader="none"/>
          <w:tab w:val="left" w:pos="2700" w:leader="none"/>
        </w:tabs>
        <w:rPr/>
      </w:pPr>
      <w:r>
        <w:rPr/>
        <w:tab/>
      </w:r>
    </w:p>
    <w:p>
      <w:pPr>
        <w:pStyle w:val="Heading2"/>
        <w:rPr/>
      </w:pPr>
      <w:bookmarkStart w:id="246" w:name="_Toc474074799"/>
      <w:bookmarkStart w:id="247" w:name="_Toc474075531"/>
      <w:bookmarkStart w:id="248" w:name="_Toc34920567"/>
      <w:r>
        <w:rPr/>
        <w:t>BCD-12: Information System Recovery &amp; Reconstitution</w:t>
      </w:r>
      <w:bookmarkEnd w:id="246"/>
      <w:bookmarkEnd w:id="247"/>
      <w:bookmarkEnd w:id="248"/>
      <w:r>
        <w:rPr/>
        <w:t xml:space="preserve"> </w:t>
      </w:r>
    </w:p>
    <w:p>
      <w:pPr>
        <w:pStyle w:val="Normal"/>
        <w:rPr/>
      </w:pPr>
      <w:r>
        <w:rPr>
          <w:u w:val="single"/>
        </w:rPr>
        <w:t>Control Objective</w:t>
      </w:r>
      <w:r>
        <w:rPr/>
        <w:t>: The organization provides for the recovery and reconstitution of systems to a known state after a disruption, compromise or failure.</w:t>
      </w:r>
      <w:r>
        <w:rPr>
          <w:rStyle w:val="FootnoteAnchor"/>
          <w:rStyle w:val="FootnoteAnchor"/>
          <w:rFonts w:cs="Calibri"/>
        </w:rPr>
        <w:footnoteReference w:id="78"/>
      </w:r>
      <w:r>
        <w:rPr/>
        <w:t xml:space="preserve"> </w:t>
      </w:r>
    </w:p>
    <w:p>
      <w:pPr>
        <w:pStyle w:val="Normal"/>
        <w:rPr/>
      </w:pPr>
      <w:r>
        <w:rPr/>
      </w:r>
    </w:p>
    <w:p>
      <w:pPr>
        <w:pStyle w:val="Normal"/>
        <w:rPr/>
      </w:pPr>
      <w:r>
        <w:rPr>
          <w:u w:val="single"/>
        </w:rPr>
        <w:t>Standard</w:t>
      </w:r>
      <w:r>
        <w:rPr/>
        <w:t>: NFCC’s IT department is required to provide for the recovery and reconstitution of systems to a known state after a disruption, compromise or failure. This includes but is not limited to:</w:t>
      </w:r>
    </w:p>
    <w:p>
      <w:pPr>
        <w:pStyle w:val="ListParagraph"/>
        <w:numPr>
          <w:ilvl w:val="0"/>
          <w:numId w:val="250"/>
        </w:numPr>
        <w:rPr/>
      </w:pPr>
      <w:r>
        <w:rPr/>
        <w:t>Conducting backups;</w:t>
      </w:r>
    </w:p>
    <w:p>
      <w:pPr>
        <w:pStyle w:val="ListParagraph"/>
        <w:numPr>
          <w:ilvl w:val="0"/>
          <w:numId w:val="250"/>
        </w:numPr>
        <w:rPr/>
      </w:pPr>
      <w:r>
        <w:rPr/>
        <w:t>Maintaining backup solutions and media; and</w:t>
      </w:r>
    </w:p>
    <w:p>
      <w:pPr>
        <w:pStyle w:val="ListParagraph"/>
        <w:numPr>
          <w:ilvl w:val="0"/>
          <w:numId w:val="250"/>
        </w:numPr>
        <w:rPr/>
      </w:pPr>
      <w:r>
        <w:rPr/>
        <w:t>Periodically testing backup solutions to validate that successful recovery is possible.</w:t>
      </w:r>
    </w:p>
    <w:p>
      <w:pPr>
        <w:pStyle w:val="Normal"/>
        <w:rPr/>
      </w:pPr>
      <w:r>
        <w:rPr/>
      </w:r>
    </w:p>
    <w:p>
      <w:pPr>
        <w:pStyle w:val="Normal"/>
        <w:rPr/>
      </w:pPr>
      <w:r>
        <w:rPr>
          <w:u w:val="single"/>
        </w:rPr>
        <w:t>Guidelines</w:t>
      </w:r>
      <w:r>
        <w:rPr/>
        <w:t xml:space="preserve">: Recovery is executing system contingency plan activities to restore organizational missions / business functions. Reconstitution takes place following recovery and includes activities for returning organizational systems to fully operational states. Recovery and reconstitution operations reflect mission and business priorities, recovery point / time and reconstitution objectives and established organizational metrics consistent with contingency plan requirements. Reconstitution includes the deactivation of any interim system capabilities that may have been needed during recovery operations. Reconstitution also includes assessments of fully restored system capabilities, reestablishment of continuous monitoring activities, potential system reauthorizations and activities to prepare the systems against future disruptions, compromises or failures. </w:t>
      </w:r>
    </w:p>
    <w:p>
      <w:pPr>
        <w:pStyle w:val="Normal"/>
        <w:rPr/>
      </w:pPr>
      <w:r>
        <w:rPr/>
      </w:r>
    </w:p>
    <w:p>
      <w:pPr>
        <w:pStyle w:val="Heading3"/>
        <w:rPr/>
      </w:pPr>
      <w:bookmarkStart w:id="249" w:name="_Toc474074800"/>
      <w:bookmarkStart w:id="250" w:name="_Toc34920568"/>
      <w:r>
        <w:rPr/>
        <w:t>BCD-12(a): Information System Recovery &amp; Reconstitution | Transaction Recovery</w:t>
      </w:r>
      <w:bookmarkEnd w:id="249"/>
      <w:bookmarkEnd w:id="250"/>
    </w:p>
    <w:p>
      <w:pPr>
        <w:pStyle w:val="Normal"/>
        <w:rPr/>
      </w:pPr>
      <w:r>
        <w:rPr>
          <w:u w:val="single"/>
        </w:rPr>
        <w:t>Control Objective</w:t>
      </w:r>
      <w:r>
        <w:rPr/>
        <w:t>: The organization implements transaction recovery for systems that are transaction-based.</w:t>
      </w:r>
      <w:r>
        <w:rPr>
          <w:rStyle w:val="FootnoteAnchor"/>
          <w:rStyle w:val="FootnoteAnchor"/>
          <w:rFonts w:cs="Calibri"/>
          <w:bCs w:val="false"/>
        </w:rPr>
        <w:footnoteReference w:id="79"/>
      </w:r>
    </w:p>
    <w:p>
      <w:pPr>
        <w:pStyle w:val="Normal"/>
        <w:rPr/>
      </w:pPr>
      <w:r>
        <w:rPr/>
      </w:r>
    </w:p>
    <w:p>
      <w:pPr>
        <w:pStyle w:val="Normal"/>
        <w:rPr/>
      </w:pPr>
      <w:r>
        <w:rPr>
          <w:u w:val="single"/>
        </w:rPr>
        <w:t>Standard</w:t>
      </w:r>
      <w:r>
        <w:rPr/>
        <w:t>: For critical systems, asset custodians and data / process owners are required to provide for transaction recovery of systems that are transaction-based.</w:t>
      </w:r>
    </w:p>
    <w:p>
      <w:pPr>
        <w:pStyle w:val="Normal"/>
        <w:rPr/>
      </w:pPr>
      <w:r>
        <w:rPr/>
      </w:r>
    </w:p>
    <w:p>
      <w:pPr>
        <w:pStyle w:val="Normal"/>
        <w:rPr/>
      </w:pPr>
      <w:r>
        <w:rPr>
          <w:u w:val="single"/>
        </w:rPr>
        <w:t>Guidelines</w:t>
      </w:r>
      <w:r>
        <w:rPr/>
        <w:t>: Transaction-based systems include, for example, database management systems and transaction processing systems. Mechanisms supporting transaction recovery include, for example, transaction rollback and transaction journaling.</w:t>
      </w:r>
    </w:p>
    <w:p>
      <w:pPr>
        <w:pStyle w:val="Normal"/>
        <w:rPr/>
      </w:pPr>
      <w:r>
        <w:rPr/>
      </w:r>
    </w:p>
    <w:p>
      <w:pPr>
        <w:pStyle w:val="Heading3"/>
        <w:rPr/>
      </w:pPr>
      <w:bookmarkStart w:id="251" w:name="_Toc474074801"/>
      <w:bookmarkStart w:id="252" w:name="_Toc34920569"/>
      <w:r>
        <w:rPr/>
        <w:t>BCD-12(b): Information System Recovery &amp; Reconstitution | Failover Capability</w:t>
      </w:r>
      <w:bookmarkEnd w:id="251"/>
      <w:bookmarkEnd w:id="252"/>
    </w:p>
    <w:p>
      <w:pPr>
        <w:pStyle w:val="Normal"/>
        <w:rPr/>
      </w:pPr>
      <w:r>
        <w:rPr>
          <w:u w:val="single"/>
        </w:rPr>
        <w:t>Control Objective</w:t>
      </w:r>
      <w:r>
        <w:rPr/>
        <w:t>: The organization provides real-time or near-real-time failover capability for systems.</w:t>
      </w:r>
    </w:p>
    <w:p>
      <w:pPr>
        <w:pStyle w:val="Normal"/>
        <w:rPr/>
      </w:pPr>
      <w:r>
        <w:rPr/>
      </w:r>
    </w:p>
    <w:p>
      <w:pPr>
        <w:pStyle w:val="Normal"/>
        <w:rPr/>
      </w:pPr>
      <w:r>
        <w:rPr>
          <w:u w:val="single"/>
        </w:rPr>
        <w:t>Standard</w:t>
      </w:r>
      <w:r>
        <w:rPr/>
        <w:t xml:space="preserve">: For critical systems, asset custodians and data / process owners are required to provide </w:t>
      </w:r>
      <w:r>
        <w:rPr>
          <w:iCs/>
        </w:rPr>
        <w:t>real-time or near-real-time failover capability for critical systems</w:t>
      </w:r>
      <w:r>
        <w:rPr/>
        <w:t>.</w:t>
      </w:r>
    </w:p>
    <w:p>
      <w:pPr>
        <w:pStyle w:val="Normal"/>
        <w:rPr/>
      </w:pPr>
      <w:r>
        <w:rPr/>
      </w:r>
    </w:p>
    <w:p>
      <w:pPr>
        <w:pStyle w:val="Normal"/>
        <w:rPr/>
      </w:pPr>
      <w:r>
        <w:rPr>
          <w:u w:val="single"/>
        </w:rPr>
        <w:t>Guidelines</w:t>
      </w:r>
      <w:r>
        <w:rPr/>
        <w:t>: None</w:t>
      </w:r>
    </w:p>
    <w:p>
      <w:pPr>
        <w:pStyle w:val="Normal"/>
        <w:rPr/>
      </w:pPr>
      <w:r>
        <w:rPr/>
      </w:r>
    </w:p>
    <w:p>
      <w:pPr>
        <w:pStyle w:val="Heading3"/>
        <w:rPr/>
      </w:pPr>
      <w:bookmarkStart w:id="253" w:name="_Toc34920570"/>
      <w:bookmarkStart w:id="254" w:name="_Toc474074803"/>
      <w:r>
        <w:rPr/>
        <w:t xml:space="preserve">BCD-12(c): Information System Recovery &amp; Reconstitution | </w:t>
      </w:r>
      <w:bookmarkEnd w:id="254"/>
      <w:r>
        <w:rPr/>
        <w:t>Electronic Discovery (eDiscovery)</w:t>
      </w:r>
      <w:bookmarkEnd w:id="253"/>
    </w:p>
    <w:p>
      <w:pPr>
        <w:pStyle w:val="Normal"/>
        <w:rPr/>
      </w:pPr>
      <w:r>
        <w:rPr>
          <w:u w:val="single"/>
        </w:rPr>
        <w:t>Control Objective</w:t>
      </w:r>
      <w:r>
        <w:rPr/>
        <w:t>: The organization provides for electronic discovery (eDiscovery) for its current and archived communication transactions.</w:t>
      </w:r>
    </w:p>
    <w:p>
      <w:pPr>
        <w:pStyle w:val="Normal"/>
        <w:rPr/>
      </w:pPr>
      <w:r>
        <w:rPr/>
      </w:r>
    </w:p>
    <w:p>
      <w:pPr>
        <w:pStyle w:val="Normal"/>
        <w:rPr/>
      </w:pPr>
      <w:r>
        <w:rPr>
          <w:u w:val="single"/>
        </w:rPr>
        <w:t>Standard</w:t>
      </w:r>
      <w:r>
        <w:rPr/>
        <w:t>: NFCC’s IT department is required to provide for electronic discovery (eDiscovery) for communication transactions, covering both active and archived communications data.</w:t>
      </w:r>
    </w:p>
    <w:p>
      <w:pPr>
        <w:pStyle w:val="Normal"/>
        <w:rPr/>
      </w:pPr>
      <w:r>
        <w:rPr/>
      </w:r>
    </w:p>
    <w:p>
      <w:pPr>
        <w:pStyle w:val="Normal"/>
        <w:rPr/>
      </w:pPr>
      <w:r>
        <w:rPr>
          <w:u w:val="single"/>
        </w:rPr>
        <w:t>Guidelines</w:t>
      </w:r>
      <w:r>
        <w:rPr/>
        <w:t>: None</w:t>
      </w:r>
    </w:p>
    <w:p>
      <w:pPr>
        <w:pStyle w:val="Normal"/>
        <w:rPr/>
      </w:pPr>
      <w:r>
        <w:rPr/>
      </w:r>
    </w:p>
    <w:p>
      <w:pPr>
        <w:pStyle w:val="Heading3"/>
        <w:rPr/>
      </w:pPr>
      <w:bookmarkStart w:id="255" w:name="_Toc23241795"/>
      <w:bookmarkStart w:id="256" w:name="_Toc34920571"/>
      <w:r>
        <w:rPr/>
        <w:t>BCD-12(d): Information System Recovery &amp; Reconstitution | Restore Within Time Period</w:t>
      </w:r>
      <w:bookmarkEnd w:id="255"/>
      <w:bookmarkEnd w:id="256"/>
      <w:r>
        <w:rPr/>
        <w:t xml:space="preserve"> </w:t>
      </w:r>
    </w:p>
    <w:p>
      <w:pPr>
        <w:pStyle w:val="Normal"/>
        <w:rPr/>
      </w:pPr>
      <w:r>
        <w:rPr>
          <w:rFonts w:cs="Calibri"/>
          <w:u w:val="single"/>
        </w:rPr>
        <w:t>Control Objective</w:t>
      </w:r>
      <w:r>
        <w:rPr>
          <w:rFonts w:cs="Calibri"/>
        </w:rPr>
        <w:t xml:space="preserve">: </w:t>
      </w:r>
      <w:r>
        <w:rPr/>
        <w:t>The organization provides the capability to restore information system components within organization-defined restoration time-periods from configuration-controlled and integrity-protected information representing a known, operational state for the components.</w:t>
      </w:r>
      <w:r>
        <w:rPr>
          <w:rStyle w:val="FootnoteCharacters"/>
          <w:rFonts w:cs="Calibri"/>
          <w:bCs w:val="false"/>
        </w:rPr>
        <w:t xml:space="preserve"> </w:t>
      </w:r>
      <w:r>
        <w:rPr>
          <w:rStyle w:val="FootnoteAnchor"/>
          <w:rStyle w:val="FootnoteAnchor"/>
          <w:rFonts w:cs="Calibri"/>
          <w:bCs w:val="false"/>
        </w:rPr>
        <w:footnoteReference w:id="80"/>
      </w:r>
      <w:r>
        <w:rPr/>
        <w:t xml:space="preserve"> </w:t>
      </w:r>
    </w:p>
    <w:p>
      <w:pPr>
        <w:pStyle w:val="Normal"/>
        <w:rPr>
          <w:rFonts w:cs="Calibri"/>
        </w:rPr>
      </w:pPr>
      <w:r>
        <w:rPr>
          <w:rFonts w:cs="Calibri"/>
        </w:rPr>
      </w:r>
    </w:p>
    <w:p>
      <w:pPr>
        <w:pStyle w:val="Normal"/>
        <w:rPr/>
      </w:pPr>
      <w:r>
        <w:rPr>
          <w:u w:val="single"/>
        </w:rPr>
        <w:t>Standard</w:t>
      </w:r>
      <w:r>
        <w:rPr/>
        <w:t>: NFCC’s IT department is required to provide the capability to re-image systems from configuration-controlled and integrity-protected disk images representing a secure, operational state for the system to enable:</w:t>
      </w:r>
    </w:p>
    <w:p>
      <w:pPr>
        <w:pStyle w:val="ListParagraph"/>
        <w:numPr>
          <w:ilvl w:val="0"/>
          <w:numId w:val="607"/>
        </w:numPr>
        <w:rPr/>
      </w:pPr>
      <w:r>
        <w:rPr/>
        <w:t>Fast recovery time for a complete OS;</w:t>
      </w:r>
    </w:p>
    <w:p>
      <w:pPr>
        <w:pStyle w:val="ListParagraph"/>
        <w:numPr>
          <w:ilvl w:val="0"/>
          <w:numId w:val="607"/>
        </w:numPr>
        <w:rPr/>
      </w:pPr>
      <w:r>
        <w:rPr/>
        <w:t>The ability to load one image on multiple like-systems; and</w:t>
      </w:r>
    </w:p>
    <w:p>
      <w:pPr>
        <w:pStyle w:val="ListParagraph"/>
        <w:numPr>
          <w:ilvl w:val="0"/>
          <w:numId w:val="607"/>
        </w:numPr>
        <w:rPr/>
      </w:pPr>
      <w:r>
        <w:rPr/>
        <w:t>A reduction in troubleshooting by being able to quickly reload an OS, while keeping data intact.</w:t>
      </w:r>
    </w:p>
    <w:p>
      <w:pPr>
        <w:pStyle w:val="Normal"/>
        <w:rPr>
          <w:rFonts w:cs="Calibri"/>
        </w:rPr>
      </w:pPr>
      <w:r>
        <w:rPr>
          <w:rFonts w:cs="Calibri"/>
        </w:rPr>
      </w:r>
    </w:p>
    <w:p>
      <w:pPr>
        <w:pStyle w:val="Normal"/>
        <w:rPr>
          <w:rFonts w:cs="Calibri"/>
        </w:rPr>
      </w:pPr>
      <w:r>
        <w:rPr>
          <w:rFonts w:cs="Calibri"/>
          <w:u w:val="single"/>
        </w:rPr>
        <w:t>Guidelines</w:t>
      </w:r>
      <w:r>
        <w:rPr>
          <w:rFonts w:cs="Calibri"/>
        </w:rPr>
        <w:t xml:space="preserve">: </w:t>
      </w:r>
      <w:r>
        <w:rPr/>
        <w:t>Restoration of information system components includes, for example, reimaging which restores components to known, operational states.</w:t>
      </w:r>
    </w:p>
    <w:p>
      <w:pPr>
        <w:pStyle w:val="Normal"/>
        <w:rPr/>
      </w:pPr>
      <w:r>
        <w:rPr/>
      </w:r>
    </w:p>
    <w:p>
      <w:pPr>
        <w:pStyle w:val="Normal"/>
        <w:rPr/>
      </w:pPr>
      <w:r>
        <w:rPr/>
      </w:r>
    </w:p>
    <w:p>
      <w:pPr>
        <w:pStyle w:val="Heading2"/>
        <w:rPr/>
      </w:pPr>
      <w:bookmarkStart w:id="257" w:name="_Toc474074804"/>
      <w:bookmarkStart w:id="258" w:name="_Toc474075532"/>
      <w:bookmarkStart w:id="259" w:name="_Toc34920572"/>
      <w:r>
        <w:rPr/>
        <w:t>BCD-13: Backup &amp; Restoration Hardware Protection</w:t>
      </w:r>
      <w:bookmarkEnd w:id="257"/>
      <w:bookmarkEnd w:id="258"/>
      <w:bookmarkEnd w:id="259"/>
      <w:r>
        <w:rPr/>
        <w:t xml:space="preserve"> </w:t>
      </w:r>
    </w:p>
    <w:p>
      <w:pPr>
        <w:pStyle w:val="Normal"/>
        <w:rPr/>
      </w:pPr>
      <w:r>
        <w:rPr>
          <w:u w:val="single"/>
        </w:rPr>
        <w:t>Control Objective</w:t>
      </w:r>
      <w:r>
        <w:rPr/>
        <w:t>: The organization protects backup and restoration hardware and software.</w:t>
      </w:r>
      <w:r>
        <w:rPr>
          <w:rStyle w:val="FootnoteAnchor"/>
          <w:rStyle w:val="FootnoteAnchor"/>
        </w:rPr>
        <w:footnoteReference w:id="81"/>
      </w:r>
    </w:p>
    <w:p>
      <w:pPr>
        <w:pStyle w:val="Normal"/>
        <w:rPr/>
      </w:pPr>
      <w:r>
        <w:rPr/>
      </w:r>
    </w:p>
    <w:p>
      <w:pPr>
        <w:pStyle w:val="Normal"/>
        <w:rPr/>
      </w:pPr>
      <w:r>
        <w:rPr>
          <w:u w:val="single"/>
        </w:rPr>
        <w:t>Standard</w:t>
      </w:r>
      <w:r>
        <w:rPr/>
        <w:t xml:space="preserve">: For critical systems, asset custodians and data / process owners are required to ensure that backups and restoration hardware are properly protected via physical and logical security mechanisms. </w:t>
      </w:r>
    </w:p>
    <w:p>
      <w:pPr>
        <w:pStyle w:val="Normal"/>
        <w:rPr/>
      </w:pPr>
      <w:r>
        <w:rPr/>
      </w:r>
    </w:p>
    <w:p>
      <w:pPr>
        <w:pStyle w:val="Normal"/>
        <w:rPr/>
      </w:pPr>
      <w:r>
        <w:rPr>
          <w:u w:val="single"/>
        </w:rPr>
        <w:t>Guidelines</w:t>
      </w:r>
      <w:r>
        <w:rPr/>
        <w:t>: Protection of backup and restoration hardware, firmware and software components includes both physical and technical safeguards. Backup and restoration software</w:t>
      </w:r>
    </w:p>
    <w:p>
      <w:pPr>
        <w:pStyle w:val="Normal"/>
        <w:rPr/>
      </w:pPr>
      <w:r>
        <w:rPr/>
      </w:r>
    </w:p>
    <w:p>
      <w:pPr>
        <w:pStyle w:val="Normal"/>
        <w:rPr/>
      </w:pPr>
      <w:r>
        <w:rPr/>
        <w:t>Critical systems should have at least one (1) backup destination that is not continuously addressable through operating system calls. This will mitigate the risk of attacks like Crypto Locker which seek to encrypt or damage data on all addressable data shares, including backup destinations.</w:t>
      </w:r>
    </w:p>
    <w:p>
      <w:pPr>
        <w:pStyle w:val="Normal"/>
        <w:rPr/>
      </w:pPr>
      <w:r>
        <w:rPr/>
      </w:r>
    </w:p>
    <w:p>
      <w:pPr>
        <w:pStyle w:val="Normal"/>
        <w:rPr/>
      </w:pPr>
      <w:r>
        <w:rPr/>
      </w:r>
    </w:p>
    <w:p>
      <w:pPr>
        <w:pStyle w:val="Normal"/>
        <w:rPr/>
      </w:pPr>
      <w:r>
        <w:rPr/>
      </w:r>
    </w:p>
    <w:p>
      <w:pPr>
        <w:pStyle w:val="Normal"/>
        <w:tabs>
          <w:tab w:val="clear" w:pos="360"/>
          <w:tab w:val="clear" w:pos="720"/>
          <w:tab w:val="clear" w:pos="1080"/>
        </w:tabs>
        <w:jc w:val="left"/>
        <w:rPr/>
      </w:pPr>
      <w:r>
        <w:rPr/>
      </w:r>
      <w:r>
        <w:br w:type="page"/>
      </w:r>
    </w:p>
    <w:p>
      <w:pPr>
        <w:pStyle w:val="Heading1"/>
        <w:rPr/>
      </w:pPr>
      <w:bookmarkStart w:id="260" w:name="_Toc34920573"/>
      <w:bookmarkStart w:id="261" w:name="_Toc474074806"/>
      <w:bookmarkStart w:id="262" w:name="_Toc474075534"/>
      <w:r>
        <w:rPr/>
        <w:t>Capacity &amp; Performance Planning (CAP)</w:t>
      </w:r>
      <w:bookmarkEnd w:id="261"/>
      <w:bookmarkEnd w:id="262"/>
      <w:r>
        <w:rPr/>
        <w:t xml:space="preserve"> Policy &amp; Standards</w:t>
      </w:r>
      <w:bookmarkEnd w:id="260"/>
    </w:p>
    <w:p>
      <w:pPr>
        <w:pStyle w:val="Normal"/>
        <w:rPr/>
      </w:pPr>
      <w:r>
        <w:rPr/>
      </w:r>
    </w:p>
    <w:p>
      <w:pPr>
        <w:pStyle w:val="Normal"/>
        <w:shd w:val="clear" w:color="auto" w:fill="FFFFFF" w:themeFill="background1"/>
        <w:rPr/>
      </w:pPr>
      <w:r>
        <w:rPr>
          <w:u w:val="single"/>
        </w:rPr>
        <w:t>Management Intent:</w:t>
      </w:r>
      <w:r>
        <w:rPr/>
        <w:t xml:space="preserve"> The purpose of the Capacity &amp; Performance Planning (CAP) policy is to prevent avoidable business interruptions caused by capacity and performance limitations through requiring both technology and business leadership to maintain situational awareness of current and future performance.</w:t>
      </w:r>
    </w:p>
    <w:p>
      <w:pPr>
        <w:pStyle w:val="Normal"/>
        <w:rPr>
          <w:rFonts w:eastAsia="Calibri"/>
        </w:rPr>
      </w:pPr>
      <w:r>
        <w:rPr>
          <w:rFonts w:eastAsia="Calibri"/>
        </w:rPr>
      </w:r>
    </w:p>
    <w:p>
      <w:pPr>
        <w:pStyle w:val="Normal"/>
        <w:shd w:val="clear" w:color="auto" w:fill="DDD9C3" w:themeFill="background2" w:themeFillShade="e6"/>
        <w:rPr/>
      </w:pPr>
      <w:r>
        <w:rPr>
          <w:u w:val="single"/>
        </w:rPr>
        <w:t>Policy</w:t>
      </w:r>
      <w:r>
        <w:rPr/>
        <w:t xml:space="preserve">: NFCC shall protect against avoidable impacts to operations by proactively managing the capacity and performance of its critical technology and supporting infrastructure. </w:t>
      </w:r>
    </w:p>
    <w:p>
      <w:pPr>
        <w:pStyle w:val="Normal"/>
        <w:rPr>
          <w:rFonts w:eastAsia="Calibri"/>
        </w:rPr>
      </w:pPr>
      <w:r>
        <w:rPr>
          <w:rFonts w:eastAsia="Calibri"/>
        </w:rPr>
      </w:r>
    </w:p>
    <w:p>
      <w:pPr>
        <w:pStyle w:val="Normal"/>
        <w:rPr/>
      </w:pPr>
      <w:r>
        <w:rPr>
          <w:u w:val="single"/>
        </w:rPr>
        <w:t>Supporting Documentation</w:t>
      </w:r>
      <w:r>
        <w:rPr/>
        <w:t xml:space="preserve">: This policy is supported by the following control objectives, standards and guidelines. </w:t>
      </w:r>
    </w:p>
    <w:p>
      <w:pPr>
        <w:pStyle w:val="Normal"/>
        <w:rPr>
          <w:rFonts w:eastAsia="Calibri"/>
        </w:rPr>
      </w:pPr>
      <w:r>
        <w:rPr>
          <w:rFonts w:eastAsia="Calibri"/>
        </w:rPr>
      </w:r>
    </w:p>
    <w:p>
      <w:pPr>
        <w:pStyle w:val="Normal"/>
        <w:rPr/>
      </w:pPr>
      <w:r>
        <w:rPr/>
      </w:r>
    </w:p>
    <w:p>
      <w:pPr>
        <w:pStyle w:val="Heading2"/>
        <w:rPr/>
      </w:pPr>
      <w:bookmarkStart w:id="263" w:name="_Toc474074807"/>
      <w:bookmarkStart w:id="264" w:name="_Toc474075535"/>
      <w:bookmarkStart w:id="265" w:name="_Toc34920574"/>
      <w:r>
        <w:rPr/>
        <w:t>CAP-01: Capacity &amp; Performance Management</w:t>
      </w:r>
      <w:bookmarkEnd w:id="263"/>
      <w:bookmarkEnd w:id="264"/>
      <w:bookmarkEnd w:id="265"/>
    </w:p>
    <w:p>
      <w:pPr>
        <w:pStyle w:val="Normal"/>
        <w:rPr/>
      </w:pPr>
      <w:r>
        <w:rPr>
          <w:u w:val="single"/>
        </w:rPr>
        <w:t>Control Objective</w:t>
      </w:r>
      <w:r>
        <w:rPr/>
        <w:t>: The organization develops, implements and governs processes and documentation to facilitate the implementation of an enterprise-wide capacity and performance management policy, as well as associated standards, controls and procedures.</w:t>
      </w:r>
      <w:r>
        <w:rPr>
          <w:rStyle w:val="FootnoteAnchor"/>
          <w:rStyle w:val="FootnoteAnchor"/>
          <w:rFonts w:cs="Calibri"/>
        </w:rPr>
        <w:footnoteReference w:id="82"/>
      </w:r>
    </w:p>
    <w:p>
      <w:pPr>
        <w:pStyle w:val="Normal"/>
        <w:rPr/>
      </w:pPr>
      <w:r>
        <w:rPr/>
      </w:r>
    </w:p>
    <w:p>
      <w:pPr>
        <w:pStyle w:val="Normal"/>
        <w:rPr/>
      </w:pPr>
      <w:r>
        <w:rPr>
          <w:u w:val="single"/>
        </w:rPr>
        <w:t>Standard</w:t>
      </w:r>
      <w:r>
        <w:rPr/>
        <w:t>: Data/process owners and asset custodians are required to allocate sufficient processing and storage capacity to reduce the likelihood of exceeding capacity that could negatively impact functionality:</w:t>
      </w:r>
    </w:p>
    <w:p>
      <w:pPr>
        <w:pStyle w:val="ListParagraph"/>
        <w:numPr>
          <w:ilvl w:val="0"/>
          <w:numId w:val="251"/>
        </w:numPr>
        <w:rPr/>
      </w:pPr>
      <w:r>
        <w:rPr/>
        <w:t>The availability, quality and adequate capacity and resources shall be planned, prepared and measured to deliver the required system performance by legal, statutory and regulatory compliance obligations; and</w:t>
      </w:r>
    </w:p>
    <w:p>
      <w:pPr>
        <w:pStyle w:val="ListParagraph"/>
        <w:numPr>
          <w:ilvl w:val="0"/>
          <w:numId w:val="251"/>
        </w:numPr>
        <w:rPr/>
      </w:pPr>
      <w:r>
        <w:rPr/>
        <w:t>Projections of future capacity requirements shall be made to mitigate the risk of system overload.</w:t>
      </w:r>
    </w:p>
    <w:p>
      <w:pPr>
        <w:pStyle w:val="Normal"/>
        <w:rPr/>
      </w:pPr>
      <w:r>
        <w:rPr/>
      </w:r>
    </w:p>
    <w:p>
      <w:pPr>
        <w:pStyle w:val="Normal"/>
        <w:rPr/>
      </w:pPr>
      <w:r>
        <w:rPr>
          <w:u w:val="single"/>
        </w:rPr>
        <w:t>Guidelines</w:t>
      </w:r>
      <w:r>
        <w:rPr/>
        <w:t>: Data / process owners must consider the types of auditing to be performed and the audit processing requirements when allocating audit storage capacity. Allocating sufficient audit storage capacity reduces the likelihood of such capacity being exceeded and resulting in the potential loss or reduction of auditing capability.</w:t>
      </w:r>
    </w:p>
    <w:p>
      <w:pPr>
        <w:pStyle w:val="Normal"/>
        <w:rPr/>
      </w:pPr>
      <w:r>
        <w:rPr/>
      </w:r>
    </w:p>
    <w:p>
      <w:pPr>
        <w:pStyle w:val="Normal"/>
        <w:rPr/>
      </w:pPr>
      <w:r>
        <w:rPr/>
      </w:r>
    </w:p>
    <w:p>
      <w:pPr>
        <w:pStyle w:val="Heading2"/>
        <w:rPr/>
      </w:pPr>
      <w:bookmarkStart w:id="266" w:name="_Toc474074808"/>
      <w:bookmarkStart w:id="267" w:name="_Toc474075536"/>
      <w:bookmarkStart w:id="268" w:name="_Toc34920575"/>
      <w:r>
        <w:rPr/>
        <w:t>CAP-02: Resource Priority</w:t>
      </w:r>
      <w:bookmarkEnd w:id="266"/>
      <w:bookmarkEnd w:id="267"/>
      <w:bookmarkEnd w:id="268"/>
    </w:p>
    <w:p>
      <w:pPr>
        <w:pStyle w:val="Normal"/>
        <w:rPr/>
      </w:pPr>
      <w:r>
        <w:rPr>
          <w:u w:val="single"/>
        </w:rPr>
        <w:t>Control Objective</w:t>
      </w:r>
      <w:r>
        <w:rPr/>
        <w:t>: Systems limit the use of resources by priority.</w:t>
      </w:r>
      <w:r>
        <w:rPr>
          <w:rStyle w:val="FootnoteAnchor"/>
          <w:rStyle w:val="FootnoteAnchor"/>
          <w:rFonts w:cs="Calibri"/>
        </w:rPr>
        <w:footnoteReference w:id="83"/>
      </w:r>
    </w:p>
    <w:p>
      <w:pPr>
        <w:pStyle w:val="Normal"/>
        <w:rPr/>
      </w:pPr>
      <w:r>
        <w:rPr/>
      </w:r>
    </w:p>
    <w:p>
      <w:pPr>
        <w:pStyle w:val="Normal"/>
        <w:rPr/>
      </w:pPr>
      <w:r>
        <w:rPr>
          <w:u w:val="single"/>
        </w:rPr>
        <w:t>Standard</w:t>
      </w:r>
      <w:r>
        <w:rPr/>
        <w:t xml:space="preserve">: Data/process owners and asset custodians are required to prioritize resources to prevent or limit Denial of Service (DoS) attack effectiveness. </w:t>
      </w:r>
    </w:p>
    <w:p>
      <w:pPr>
        <w:pStyle w:val="Normal"/>
        <w:rPr/>
      </w:pPr>
      <w:r>
        <w:rPr/>
      </w:r>
    </w:p>
    <w:p>
      <w:pPr>
        <w:pStyle w:val="Normal"/>
        <w:rPr/>
      </w:pPr>
      <w:r>
        <w:rPr>
          <w:u w:val="single"/>
        </w:rPr>
        <w:t>Guidelines</w:t>
      </w:r>
      <w:r>
        <w:rPr/>
        <w:t>: Priority protection helps prevent lower-priority processes from delaying or interfering with the system servicing any higher-priority processes. Quotas prevent users or processes from obtaining more than predetermined amounts of resources. This control does not apply to system components for which there are only single users / roles.</w:t>
      </w:r>
    </w:p>
    <w:p>
      <w:pPr>
        <w:pStyle w:val="Normal"/>
        <w:rPr/>
      </w:pPr>
      <w:r>
        <w:rPr/>
      </w:r>
    </w:p>
    <w:p>
      <w:pPr>
        <w:pStyle w:val="Normal"/>
        <w:rPr/>
      </w:pPr>
      <w:r>
        <w:rPr/>
      </w:r>
    </w:p>
    <w:p>
      <w:pPr>
        <w:pStyle w:val="Heading2"/>
        <w:rPr/>
      </w:pPr>
      <w:bookmarkStart w:id="269" w:name="_Toc474074776"/>
      <w:bookmarkStart w:id="270" w:name="_Toc34920576"/>
      <w:r>
        <w:rPr/>
        <w:t>CAP-03: Capacity Planning</w:t>
      </w:r>
      <w:bookmarkEnd w:id="269"/>
      <w:bookmarkEnd w:id="270"/>
      <w:r>
        <w:rPr/>
        <w:t xml:space="preserve"> </w:t>
      </w:r>
    </w:p>
    <w:p>
      <w:pPr>
        <w:pStyle w:val="Normal"/>
        <w:rPr/>
      </w:pPr>
      <w:r>
        <w:rPr>
          <w:u w:val="single"/>
        </w:rPr>
        <w:t>Control Objective</w:t>
      </w:r>
      <w:r>
        <w:rPr/>
        <w:t>: The organization conducts capacity planning so that necessary capacity for information processing, telecommunications and environmental support exists during contingency operations.</w:t>
      </w:r>
      <w:r>
        <w:rPr>
          <w:rStyle w:val="FootnoteAnchor"/>
          <w:rStyle w:val="FootnoteAnchor"/>
          <w:rFonts w:cs="Calibri"/>
        </w:rPr>
        <w:footnoteReference w:id="84"/>
      </w:r>
    </w:p>
    <w:p>
      <w:pPr>
        <w:pStyle w:val="Normal"/>
        <w:rPr/>
      </w:pPr>
      <w:r>
        <w:rPr/>
      </w:r>
    </w:p>
    <w:p>
      <w:pPr>
        <w:pStyle w:val="Normal"/>
        <w:rPr/>
      </w:pPr>
      <w:r>
        <w:rPr>
          <w:u w:val="single"/>
        </w:rPr>
        <w:t>Standard:</w:t>
      </w:r>
      <w:r>
        <w:rPr/>
        <w:t xml:space="preserve"> NFCC’s management is required to conduct capacity planning so that necessary capacity for critical information processing, telecommunications and environmental support exists during contingency operations.</w:t>
      </w:r>
    </w:p>
    <w:p>
      <w:pPr>
        <w:pStyle w:val="Normal"/>
        <w:rPr/>
      </w:pPr>
      <w:r>
        <w:rPr/>
      </w:r>
    </w:p>
    <w:p>
      <w:pPr>
        <w:pStyle w:val="Normal"/>
        <w:rPr/>
      </w:pPr>
      <w:r>
        <w:rPr>
          <w:u w:val="single"/>
        </w:rPr>
        <w:t>Guidelines</w:t>
      </w:r>
      <w:r>
        <w:rPr/>
        <w:t>: Capacity planning is needed because different types of threats (e.g., natural disasters, targeted cyber-attacks) can result in a reduction of the available processing, telecommunications and support services originally intended to support the organizational missions / business functions. Organizations may need to anticipate degraded operations during contingency operations and factor such degradation into capacity planning.</w:t>
      </w:r>
    </w:p>
    <w:p>
      <w:pPr>
        <w:pStyle w:val="Normal"/>
        <w:rPr/>
      </w:pPr>
      <w:r>
        <w:rPr/>
      </w:r>
    </w:p>
    <w:p>
      <w:pPr>
        <w:pStyle w:val="Normal"/>
        <w:rPr>
          <w:rFonts w:eastAsia="Calibri" w:cs="Calibri"/>
          <w:sz w:val="24"/>
        </w:rPr>
      </w:pPr>
      <w:r>
        <w:rPr>
          <w:rFonts w:eastAsia="Calibri" w:cs="Calibri"/>
          <w:sz w:val="24"/>
        </w:rPr>
      </w:r>
      <w:r>
        <w:br w:type="page"/>
      </w:r>
    </w:p>
    <w:p>
      <w:pPr>
        <w:pStyle w:val="Heading1"/>
        <w:rPr/>
      </w:pPr>
      <w:bookmarkStart w:id="271" w:name="_Toc34920577"/>
      <w:bookmarkStart w:id="272" w:name="_Toc474074809"/>
      <w:bookmarkStart w:id="273" w:name="_Toc474075537"/>
      <w:r>
        <w:rPr/>
        <w:t>Change Management (CHG)</w:t>
      </w:r>
      <w:bookmarkEnd w:id="272"/>
      <w:bookmarkEnd w:id="273"/>
      <w:r>
        <w:rPr/>
        <w:t xml:space="preserve"> Policy &amp; Standards</w:t>
      </w:r>
      <w:bookmarkEnd w:id="271"/>
    </w:p>
    <w:p>
      <w:pPr>
        <w:pStyle w:val="Normal"/>
        <w:rPr/>
      </w:pPr>
      <w:r>
        <w:rPr/>
      </w:r>
    </w:p>
    <w:p>
      <w:pPr>
        <w:pStyle w:val="Normal"/>
        <w:rPr/>
      </w:pPr>
      <w:r>
        <w:rPr>
          <w:u w:val="single"/>
        </w:rPr>
        <w:t>Management Intent:</w:t>
      </w:r>
      <w:r>
        <w:rPr/>
        <w:t xml:space="preserve"> The purpose of the Change Management (CHG) policy is for both technology and business leadership to proactively manage change. Without properly documented and implemented change controls, security features could be inadvertently or deliberately omitted or rendered inoperable, processing irregularities could occur or malicious code could be introduced. This includes the assessment, authorization and monitoring of technical changes across the enterprise. </w:t>
      </w:r>
    </w:p>
    <w:p>
      <w:pPr>
        <w:pStyle w:val="Normal"/>
        <w:rPr>
          <w:u w:val="single"/>
        </w:rPr>
      </w:pPr>
      <w:r>
        <w:rPr>
          <w:u w:val="single"/>
        </w:rPr>
      </w:r>
    </w:p>
    <w:p>
      <w:pPr>
        <w:pStyle w:val="Normal"/>
        <w:shd w:val="clear" w:color="auto" w:fill="DDD9C3" w:themeFill="background2" w:themeFillShade="e6"/>
        <w:rPr/>
      </w:pPr>
      <w:r>
        <w:rPr>
          <w:u w:val="single"/>
        </w:rPr>
        <w:t>Policy</w:t>
      </w:r>
      <w:r>
        <w:rPr/>
        <w:t xml:space="preserve">: All technology changes to production environments must follow a standard process to reduce the risk associated with change. NFCC requires active stakeholder involvement to ensure changes are appropriately tested, validated and documented before implementing any change on a production network. </w:t>
      </w:r>
    </w:p>
    <w:p>
      <w:pPr>
        <w:pStyle w:val="Normal"/>
        <w:rPr/>
      </w:pPr>
      <w:r>
        <w:rPr/>
      </w:r>
    </w:p>
    <w:p>
      <w:pPr>
        <w:pStyle w:val="Normal"/>
        <w:rPr/>
      </w:pPr>
      <w:r>
        <w:rPr>
          <w:u w:val="single"/>
        </w:rPr>
        <w:t>Supporting Documentation</w:t>
      </w:r>
      <w:r>
        <w:rPr/>
        <w:t xml:space="preserve">: This policy is supported by the following control objectives, standards and guidelines. </w:t>
      </w:r>
    </w:p>
    <w:p>
      <w:pPr>
        <w:pStyle w:val="Normal"/>
        <w:rPr/>
      </w:pPr>
      <w:r>
        <w:rPr/>
      </w:r>
    </w:p>
    <w:p>
      <w:pPr>
        <w:pStyle w:val="Normal"/>
        <w:tabs>
          <w:tab w:val="clear" w:pos="360"/>
          <w:tab w:val="clear" w:pos="720"/>
          <w:tab w:val="clear" w:pos="1080"/>
        </w:tabs>
        <w:jc w:val="left"/>
        <w:rPr>
          <w:rFonts w:cs="Calibri"/>
          <w:b/>
          <w:b/>
          <w:bCs w:val="false"/>
          <w:smallCaps/>
          <w:color w:val="1F497D" w:themeColor="text2"/>
        </w:rPr>
      </w:pPr>
      <w:r>
        <w:rPr>
          <w:rFonts w:cs="Calibri"/>
          <w:b/>
          <w:bCs w:val="false"/>
          <w:smallCaps/>
          <w:color w:val="1F497D" w:themeColor="text2"/>
        </w:rPr>
      </w:r>
    </w:p>
    <w:p>
      <w:pPr>
        <w:pStyle w:val="Heading2"/>
        <w:rPr/>
      </w:pPr>
      <w:bookmarkStart w:id="274" w:name="_Toc474074810"/>
      <w:bookmarkStart w:id="275" w:name="_Toc474075538"/>
      <w:bookmarkStart w:id="276" w:name="_Toc34920578"/>
      <w:r>
        <w:rPr/>
        <w:t>CHG-01: Change Management Program</w:t>
      </w:r>
      <w:bookmarkEnd w:id="274"/>
      <w:bookmarkEnd w:id="275"/>
      <w:bookmarkEnd w:id="276"/>
      <w:r>
        <w:rPr/>
        <w:t xml:space="preserve"> </w:t>
      </w:r>
    </w:p>
    <w:p>
      <w:pPr>
        <w:pStyle w:val="Normal"/>
        <w:rPr/>
      </w:pPr>
      <w:r>
        <w:rPr>
          <w:u w:val="single"/>
        </w:rPr>
        <w:t>Control Objective</w:t>
      </w:r>
      <w:r>
        <w:rPr/>
        <w:t>: The organization develops, implements and governs processes and documentation to facilitate the implementation of an enterprise-wide change management policy, as well as associated standards, controls and procedures.</w:t>
      </w:r>
      <w:r>
        <w:rPr>
          <w:rStyle w:val="FootnoteCharacters"/>
          <w:rFonts w:cs="Calibri"/>
        </w:rPr>
        <w:t xml:space="preserve"> </w:t>
      </w:r>
      <w:r>
        <w:rPr>
          <w:rStyle w:val="FootnoteAnchor"/>
          <w:rStyle w:val="FootnoteAnchor"/>
          <w:rFonts w:cs="Calibri"/>
        </w:rPr>
        <w:footnoteReference w:id="85"/>
      </w:r>
    </w:p>
    <w:p>
      <w:pPr>
        <w:pStyle w:val="Normal"/>
        <w:rPr/>
      </w:pPr>
      <w:r>
        <w:rPr/>
      </w:r>
    </w:p>
    <w:p>
      <w:pPr>
        <w:pStyle w:val="Normal"/>
        <w:rPr/>
      </w:pPr>
      <w:r>
        <w:rPr>
          <w:u w:val="single"/>
        </w:rPr>
        <w:t>Standard</w:t>
      </w:r>
      <w:r>
        <w:rPr/>
        <w:t xml:space="preserve">: Data/process owners and asset custodians are required to test, validate and document changes to systems before implementing the changes on the production network. </w:t>
      </w:r>
    </w:p>
    <w:p>
      <w:pPr>
        <w:pStyle w:val="Normal"/>
        <w:rPr/>
      </w:pPr>
      <w:r>
        <w:rPr/>
      </w:r>
    </w:p>
    <w:p>
      <w:pPr>
        <w:pStyle w:val="Normal"/>
        <w:rPr/>
      </w:pPr>
      <w:r>
        <w:rPr>
          <w:u w:val="single"/>
        </w:rPr>
        <w:t>Guidelines</w:t>
      </w:r>
      <w:r>
        <w:rPr/>
        <w:t>: Change management processes are initiated when deficiencies in the design or operating effectiveness of controls are identified during system operation and are monitored to meet the entity’s commitments and system requirements as they relate to security, availability, processing integrity, confidentiality or privacy or any combination thereof.</w:t>
      </w:r>
    </w:p>
    <w:p>
      <w:pPr>
        <w:pStyle w:val="Normal"/>
        <w:rPr/>
      </w:pPr>
      <w:r>
        <w:rPr/>
      </w:r>
    </w:p>
    <w:p>
      <w:pPr>
        <w:pStyle w:val="Normal"/>
        <w:rPr/>
      </w:pPr>
      <w:r>
        <w:rPr/>
      </w:r>
    </w:p>
    <w:p>
      <w:pPr>
        <w:pStyle w:val="Heading2"/>
        <w:rPr/>
      </w:pPr>
      <w:bookmarkStart w:id="277" w:name="_Toc474074811"/>
      <w:bookmarkStart w:id="278" w:name="_Toc474075539"/>
      <w:bookmarkStart w:id="279" w:name="_Toc34920579"/>
      <w:r>
        <w:rPr/>
        <w:t>CHG-02: Configuration Change Control</w:t>
      </w:r>
      <w:bookmarkEnd w:id="277"/>
      <w:bookmarkEnd w:id="278"/>
      <w:bookmarkEnd w:id="279"/>
      <w:r>
        <w:rPr/>
        <w:t xml:space="preserve"> </w:t>
      </w:r>
    </w:p>
    <w:p>
      <w:pPr>
        <w:pStyle w:val="Normal"/>
        <w:rPr/>
      </w:pPr>
      <w:r>
        <w:rPr>
          <w:u w:val="single"/>
        </w:rPr>
        <w:t>Control Objective</w:t>
      </w:r>
      <w:r>
        <w:rPr/>
        <w:t>: The organization follows change control processes and procedures for all changes to system components.</w:t>
      </w:r>
      <w:r>
        <w:rPr>
          <w:rStyle w:val="FootnoteCharacters"/>
          <w:rFonts w:cs="Calibri"/>
        </w:rPr>
        <w:t xml:space="preserve"> </w:t>
      </w:r>
      <w:r>
        <w:rPr/>
        <w:t>The organization:</w:t>
      </w:r>
      <w:r>
        <w:rPr>
          <w:rStyle w:val="FootnoteAnchor"/>
          <w:rStyle w:val="FootnoteAnchor"/>
          <w:rFonts w:cs="Calibri"/>
        </w:rPr>
        <w:footnoteReference w:id="86"/>
      </w:r>
    </w:p>
    <w:p>
      <w:pPr>
        <w:pStyle w:val="ListParagraph"/>
        <w:numPr>
          <w:ilvl w:val="0"/>
          <w:numId w:val="22"/>
        </w:numPr>
        <w:rPr/>
      </w:pPr>
      <w:r>
        <w:rPr/>
        <w:t xml:space="preserve">Determines the types of changes to systems that are configuration controlled; </w:t>
      </w:r>
    </w:p>
    <w:p>
      <w:pPr>
        <w:pStyle w:val="ListParagraph"/>
        <w:numPr>
          <w:ilvl w:val="0"/>
          <w:numId w:val="22"/>
        </w:numPr>
        <w:rPr/>
      </w:pPr>
      <w:r>
        <w:rPr/>
        <w:t>Approves configuration-controlled changes to systems with explicit consideration for security impact analyses;</w:t>
      </w:r>
    </w:p>
    <w:p>
      <w:pPr>
        <w:pStyle w:val="ListParagraph"/>
        <w:numPr>
          <w:ilvl w:val="0"/>
          <w:numId w:val="22"/>
        </w:numPr>
        <w:rPr/>
      </w:pPr>
      <w:r>
        <w:rPr/>
        <w:t>Documents approved configuration-controlled changes to systems;</w:t>
      </w:r>
    </w:p>
    <w:p>
      <w:pPr>
        <w:pStyle w:val="ListParagraph"/>
        <w:numPr>
          <w:ilvl w:val="0"/>
          <w:numId w:val="22"/>
        </w:numPr>
        <w:rPr/>
      </w:pPr>
      <w:r>
        <w:rPr/>
        <w:t>Retains and reviews records of configuration-controlled changes to systems;</w:t>
      </w:r>
    </w:p>
    <w:p>
      <w:pPr>
        <w:pStyle w:val="ListParagraph"/>
        <w:numPr>
          <w:ilvl w:val="0"/>
          <w:numId w:val="22"/>
        </w:numPr>
        <w:rPr/>
      </w:pPr>
      <w:r>
        <w:rPr/>
        <w:t>Audits activities associated with configuration-controlled changes to systems; and</w:t>
      </w:r>
    </w:p>
    <w:p>
      <w:pPr>
        <w:pStyle w:val="ListParagraph"/>
        <w:numPr>
          <w:ilvl w:val="0"/>
          <w:numId w:val="22"/>
        </w:numPr>
        <w:rPr/>
      </w:pPr>
      <w:r>
        <w:rPr/>
        <w:t xml:space="preserve">Coordinates and provides oversight for configuration change control activities through an </w:t>
      </w:r>
      <w:r>
        <w:rPr>
          <w:iCs/>
        </w:rPr>
        <w:t>organization-defined configuration change control element (e.g., committee, board)</w:t>
      </w:r>
      <w:r>
        <w:rPr/>
        <w:t xml:space="preserve"> that convenes on a routine basis.</w:t>
      </w:r>
    </w:p>
    <w:p>
      <w:pPr>
        <w:pStyle w:val="Normal"/>
        <w:rPr/>
      </w:pPr>
      <w:r>
        <w:rPr/>
      </w:r>
    </w:p>
    <w:p>
      <w:pPr>
        <w:pStyle w:val="Normal"/>
        <w:rPr/>
      </w:pPr>
      <w:r>
        <w:rPr>
          <w:u w:val="single"/>
        </w:rPr>
        <w:t>Standard</w:t>
      </w:r>
      <w:r>
        <w:rPr/>
        <w:t>: Data/process owners and asset custodians are required to follow change control processes and procedures for all changes to system components:</w:t>
      </w:r>
      <w:r>
        <w:rPr>
          <w:rStyle w:val="FootnoteCharacters"/>
          <w:rFonts w:cs="Calibri"/>
        </w:rPr>
        <w:t xml:space="preserve"> </w:t>
      </w:r>
    </w:p>
    <w:p>
      <w:pPr>
        <w:pStyle w:val="ListParagraph"/>
        <w:numPr>
          <w:ilvl w:val="0"/>
          <w:numId w:val="252"/>
        </w:numPr>
        <w:rPr/>
      </w:pPr>
      <w:r>
        <w:rPr/>
        <w:t>Utilize separate environments for development / testing / staging and production;</w:t>
      </w:r>
      <w:r>
        <w:rPr>
          <w:rStyle w:val="FootnoteCharacters"/>
          <w:rFonts w:cs="Calibri"/>
        </w:rPr>
        <w:t xml:space="preserve"> </w:t>
      </w:r>
    </w:p>
    <w:p>
      <w:pPr>
        <w:pStyle w:val="ListParagraph"/>
        <w:numPr>
          <w:ilvl w:val="0"/>
          <w:numId w:val="252"/>
        </w:numPr>
        <w:rPr/>
      </w:pPr>
      <w:r>
        <w:rPr/>
        <w:t>Utilize a separation of duties between development / testing / staging and production environments;</w:t>
      </w:r>
      <w:r>
        <w:rPr>
          <w:rStyle w:val="FootnoteCharacters"/>
          <w:rFonts w:cs="Calibri"/>
        </w:rPr>
        <w:t xml:space="preserve"> </w:t>
      </w:r>
    </w:p>
    <w:p>
      <w:pPr>
        <w:pStyle w:val="ListParagraph"/>
        <w:numPr>
          <w:ilvl w:val="0"/>
          <w:numId w:val="252"/>
        </w:numPr>
        <w:rPr/>
      </w:pPr>
      <w:r>
        <w:rPr/>
        <w:t>Prohibit the use of production data (e.g., live PANs) for testing or development;</w:t>
      </w:r>
      <w:r>
        <w:rPr>
          <w:rStyle w:val="FootnoteCharacters"/>
          <w:rFonts w:cs="Calibri"/>
        </w:rPr>
        <w:t xml:space="preserve"> </w:t>
      </w:r>
    </w:p>
    <w:p>
      <w:pPr>
        <w:pStyle w:val="ListParagraph"/>
        <w:numPr>
          <w:ilvl w:val="0"/>
          <w:numId w:val="252"/>
        </w:numPr>
        <w:rPr/>
      </w:pPr>
      <w:r>
        <w:rPr/>
        <w:t>Remove test data and accounts before production systems become active / goes into production;</w:t>
      </w:r>
      <w:r>
        <w:rPr>
          <w:rStyle w:val="FootnoteCharacters"/>
          <w:rFonts w:cs="Calibri"/>
        </w:rPr>
        <w:t xml:space="preserve"> </w:t>
      </w:r>
      <w:r>
        <w:rPr/>
        <w:t>and</w:t>
      </w:r>
    </w:p>
    <w:p>
      <w:pPr>
        <w:pStyle w:val="ListParagraph"/>
        <w:numPr>
          <w:ilvl w:val="0"/>
          <w:numId w:val="252"/>
        </w:numPr>
        <w:rPr/>
      </w:pPr>
      <w:r>
        <w:rPr/>
        <w:t>Develop change control procedures for the implementation of security patches and software modifications, which includes, but is not limited to the following:</w:t>
      </w:r>
      <w:r>
        <w:rPr>
          <w:rStyle w:val="FootnoteCharacters"/>
          <w:rFonts w:cs="Calibri"/>
        </w:rPr>
        <w:t xml:space="preserve"> </w:t>
      </w:r>
    </w:p>
    <w:p>
      <w:pPr>
        <w:pStyle w:val="ListParagraph"/>
        <w:numPr>
          <w:ilvl w:val="1"/>
          <w:numId w:val="252"/>
        </w:numPr>
        <w:rPr/>
      </w:pPr>
      <w:r>
        <w:rPr/>
        <w:t>Documentation of impact;</w:t>
      </w:r>
      <w:r>
        <w:rPr>
          <w:rStyle w:val="FootnoteCharacters"/>
          <w:rFonts w:cs="Calibri"/>
        </w:rPr>
        <w:t xml:space="preserve"> </w:t>
      </w:r>
    </w:p>
    <w:p>
      <w:pPr>
        <w:pStyle w:val="ListParagraph"/>
        <w:numPr>
          <w:ilvl w:val="1"/>
          <w:numId w:val="252"/>
        </w:numPr>
        <w:rPr/>
      </w:pPr>
      <w:r>
        <w:rPr/>
        <w:t>Documented change approval by authorized parties;</w:t>
      </w:r>
    </w:p>
    <w:p>
      <w:pPr>
        <w:pStyle w:val="ListParagraph"/>
        <w:numPr>
          <w:ilvl w:val="1"/>
          <w:numId w:val="252"/>
        </w:numPr>
        <w:rPr/>
      </w:pPr>
      <w:r>
        <w:rPr/>
        <w:t>Functionality testing to verify that the change does not adversely impact the security of the system;</w:t>
      </w:r>
      <w:r>
        <w:rPr>
          <w:rStyle w:val="FootnoteCharacters"/>
          <w:rFonts w:cs="Calibri"/>
        </w:rPr>
        <w:t xml:space="preserve"> </w:t>
      </w:r>
      <w:r>
        <w:rPr/>
        <w:t>and</w:t>
      </w:r>
    </w:p>
    <w:p>
      <w:pPr>
        <w:pStyle w:val="ListParagraph"/>
        <w:numPr>
          <w:ilvl w:val="0"/>
          <w:numId w:val="252"/>
        </w:numPr>
        <w:rPr/>
      </w:pPr>
      <w:r>
        <w:rPr/>
        <w:t>Back-out procedures.</w:t>
      </w:r>
      <w:r>
        <w:rPr>
          <w:rStyle w:val="FootnoteCharacters"/>
          <w:rFonts w:cs="Calibri"/>
        </w:rPr>
        <w:t xml:space="preserve"> </w:t>
      </w:r>
    </w:p>
    <w:p>
      <w:pPr>
        <w:pStyle w:val="ListParagraph"/>
        <w:numPr>
          <w:ilvl w:val="0"/>
          <w:numId w:val="252"/>
        </w:numPr>
        <w:rPr/>
      </w:pPr>
      <w:r>
        <w:rPr/>
        <w:t>Upon completion of significant change, all relevant compliance requirements must be implemented on all new or changed systems and networks and documentation updated as applicable.</w:t>
      </w:r>
      <w:r>
        <w:rPr>
          <w:rStyle w:val="FootnoteCharacters"/>
          <w:rFonts w:cs="Calibri"/>
        </w:rPr>
        <w:t xml:space="preserve"> </w:t>
      </w:r>
    </w:p>
    <w:p>
      <w:pPr>
        <w:pStyle w:val="Normal"/>
        <w:rPr/>
      </w:pPr>
      <w:r>
        <w:rPr/>
      </w:r>
    </w:p>
    <w:p>
      <w:pPr>
        <w:pStyle w:val="Normal"/>
        <w:rPr/>
      </w:pPr>
      <w:r>
        <w:rPr>
          <w:u w:val="single"/>
        </w:rPr>
        <w:t>Guidelines</w:t>
      </w:r>
      <w:r>
        <w:rPr/>
        <w:t>: Configuration change controls for organizational systems involve the systematic proposal, justification, implementation, testing, review and disposition of changes to the systems, including system upgrades and modifications. Configuration change control includes changes to baseline configurations for components and configuration items of systems, changes to configuration settings for information technology products (e.g., operating systems, applications, firewalls, routers and mobile devices), unscheduled / unauthorized changes and changes to remediate vulnerabilities.</w:t>
      </w:r>
    </w:p>
    <w:p>
      <w:pPr>
        <w:pStyle w:val="Normal"/>
        <w:rPr/>
      </w:pPr>
      <w:r>
        <w:rPr/>
      </w:r>
    </w:p>
    <w:p>
      <w:pPr>
        <w:pStyle w:val="Heading3"/>
        <w:rPr/>
      </w:pPr>
      <w:bookmarkStart w:id="280" w:name="_Toc474074812"/>
      <w:bookmarkStart w:id="281" w:name="_Toc34920580"/>
      <w:r>
        <w:rPr/>
        <w:t>CHG-02(a): Configuration Change Control | Prohibition Of Changes</w:t>
      </w:r>
      <w:bookmarkEnd w:id="280"/>
      <w:bookmarkEnd w:id="281"/>
    </w:p>
    <w:p>
      <w:pPr>
        <w:pStyle w:val="Normal"/>
        <w:rPr/>
      </w:pPr>
      <w:r>
        <w:rPr>
          <w:u w:val="single"/>
        </w:rPr>
        <w:t>Control Objective</w:t>
      </w:r>
      <w:r>
        <w:rPr/>
        <w:t>: The organization prohibits changes to systems until designated approvals are received.</w:t>
      </w:r>
      <w:r>
        <w:rPr>
          <w:rStyle w:val="FootnoteAnchor"/>
          <w:rStyle w:val="FootnoteAnchor"/>
        </w:rPr>
        <w:footnoteReference w:id="87"/>
      </w:r>
    </w:p>
    <w:p>
      <w:pPr>
        <w:pStyle w:val="Normal"/>
        <w:rPr/>
      </w:pPr>
      <w:r>
        <w:rPr/>
      </w:r>
    </w:p>
    <w:p>
      <w:pPr>
        <w:pStyle w:val="Normal"/>
        <w:rPr/>
      </w:pPr>
      <w:r>
        <w:rPr>
          <w:u w:val="single"/>
        </w:rPr>
        <w:t>Standard</w:t>
      </w:r>
      <w:r>
        <w:rPr/>
        <w:t xml:space="preserve">: Data/process owners and asset custodians are prohibited from implementing a change without first obtaining Pre-approval from the Change Control Board (CCB) and notifying all affected parties prior to the implementation of the change. </w:t>
      </w:r>
    </w:p>
    <w:p>
      <w:pPr>
        <w:pStyle w:val="Normal"/>
        <w:rPr/>
      </w:pPr>
      <w:r>
        <w:rPr/>
      </w:r>
    </w:p>
    <w:p>
      <w:pPr>
        <w:pStyle w:val="Normal"/>
        <w:rPr>
          <w:rFonts w:eastAsia="Calibri"/>
          <w:b/>
          <w:b/>
          <w:iCs/>
          <w:color w:val="000099"/>
        </w:rPr>
      </w:pPr>
      <w:r>
        <w:rPr>
          <w:u w:val="single"/>
        </w:rPr>
        <w:t>Guidelines</w:t>
      </w:r>
      <w:r>
        <w:rPr/>
        <w:t xml:space="preserve">: The scope of affected parties must include any clients, partners or vendors that would be affected by the change. </w:t>
      </w:r>
    </w:p>
    <w:p>
      <w:pPr>
        <w:pStyle w:val="Normal"/>
        <w:rPr>
          <w:rFonts w:eastAsia="Calibri"/>
        </w:rPr>
      </w:pPr>
      <w:r>
        <w:rPr>
          <w:rFonts w:eastAsia="Calibri"/>
        </w:rPr>
      </w:r>
    </w:p>
    <w:p>
      <w:pPr>
        <w:pStyle w:val="Heading3"/>
        <w:rPr/>
      </w:pPr>
      <w:bookmarkStart w:id="282" w:name="_Toc474074813"/>
      <w:bookmarkStart w:id="283" w:name="_Toc34920581"/>
      <w:r>
        <w:rPr/>
        <w:t>CHG-02(b): Configuration Change Control | Test, Validate &amp; Document Changes</w:t>
      </w:r>
      <w:bookmarkEnd w:id="282"/>
      <w:bookmarkEnd w:id="283"/>
      <w:r>
        <w:rPr/>
        <w:t xml:space="preserve"> </w:t>
      </w:r>
    </w:p>
    <w:p>
      <w:pPr>
        <w:pStyle w:val="Normal"/>
        <w:rPr/>
      </w:pPr>
      <w:r>
        <w:rPr>
          <w:u w:val="single"/>
        </w:rPr>
        <w:t>Control Objective</w:t>
      </w:r>
      <w:r>
        <w:rPr/>
        <w:t>: The organization tests, validates and documents changes in a non-production environment before changes are implemented in a production environment.</w:t>
      </w:r>
      <w:r>
        <w:rPr>
          <w:rStyle w:val="FootnoteAnchor"/>
          <w:rStyle w:val="FootnoteAnchor"/>
          <w:rFonts w:cs="Calibri"/>
        </w:rPr>
        <w:footnoteReference w:id="88"/>
      </w:r>
    </w:p>
    <w:p>
      <w:pPr>
        <w:pStyle w:val="Normal"/>
        <w:rPr/>
      </w:pPr>
      <w:r>
        <w:rPr/>
      </w:r>
    </w:p>
    <w:p>
      <w:pPr>
        <w:pStyle w:val="Normal"/>
        <w:rPr/>
      </w:pPr>
      <w:r>
        <w:rPr>
          <w:u w:val="single"/>
        </w:rPr>
        <w:t>Standard</w:t>
      </w:r>
      <w:r>
        <w:rPr/>
        <w:t xml:space="preserve">: Where technically feasible, asset custodians and data / process owners are required to test and validate configuration changes in a test environment, prior to deploying the change in the production environment. </w:t>
      </w:r>
    </w:p>
    <w:p>
      <w:pPr>
        <w:pStyle w:val="Normal"/>
        <w:rPr/>
      </w:pPr>
      <w:r>
        <w:rPr/>
      </w:r>
    </w:p>
    <w:p>
      <w:pPr>
        <w:pStyle w:val="Normal"/>
        <w:rPr/>
      </w:pPr>
      <w:r>
        <w:rPr>
          <w:u w:val="single"/>
        </w:rPr>
        <w:t>Guidelines</w:t>
      </w:r>
      <w:r>
        <w:rPr/>
        <w:t>: When operating platforms are changed, business critical applications should be reviewed and tested to ensure there is no adverse impact on organizational operations or security. If it is not technically or logistically feasible to test a configuration change, compensating control should be identified and implemented in order to mitigate any negative impact to the production environment from an adverse change event. Compensating controls can include, but is not limited to:</w:t>
      </w:r>
    </w:p>
    <w:p>
      <w:pPr>
        <w:pStyle w:val="ListParagraph"/>
        <w:numPr>
          <w:ilvl w:val="0"/>
          <w:numId w:val="23"/>
        </w:numPr>
        <w:rPr/>
      </w:pPr>
      <w:r>
        <w:rPr/>
        <w:t>Images of systems;</w:t>
      </w:r>
    </w:p>
    <w:p>
      <w:pPr>
        <w:pStyle w:val="ListParagraph"/>
        <w:numPr>
          <w:ilvl w:val="0"/>
          <w:numId w:val="23"/>
        </w:numPr>
        <w:rPr/>
      </w:pPr>
      <w:r>
        <w:rPr/>
        <w:t>Backups of configurations;</w:t>
      </w:r>
    </w:p>
    <w:p>
      <w:pPr>
        <w:pStyle w:val="ListParagraph"/>
        <w:numPr>
          <w:ilvl w:val="0"/>
          <w:numId w:val="23"/>
        </w:numPr>
        <w:rPr/>
      </w:pPr>
      <w:r>
        <w:rPr/>
        <w:t>Viable back out plan;</w:t>
      </w:r>
    </w:p>
    <w:p>
      <w:pPr>
        <w:pStyle w:val="ListParagraph"/>
        <w:numPr>
          <w:ilvl w:val="0"/>
          <w:numId w:val="23"/>
        </w:numPr>
        <w:rPr/>
      </w:pPr>
      <w:r>
        <w:rPr/>
        <w:t>After-hours implementation; and</w:t>
      </w:r>
    </w:p>
    <w:p>
      <w:pPr>
        <w:pStyle w:val="ListParagraph"/>
        <w:numPr>
          <w:ilvl w:val="0"/>
          <w:numId w:val="23"/>
        </w:numPr>
        <w:rPr/>
      </w:pPr>
      <w:r>
        <w:rPr/>
        <w:t>Pilot / test group rollouts.</w:t>
      </w:r>
    </w:p>
    <w:p>
      <w:pPr>
        <w:pStyle w:val="Normal"/>
        <w:tabs>
          <w:tab w:val="clear" w:pos="360"/>
          <w:tab w:val="clear" w:pos="720"/>
          <w:tab w:val="clear" w:pos="1080"/>
        </w:tabs>
        <w:jc w:val="left"/>
        <w:rPr/>
      </w:pPr>
      <w:r>
        <w:rPr/>
      </w:r>
    </w:p>
    <w:p>
      <w:pPr>
        <w:pStyle w:val="Heading3"/>
        <w:rPr/>
      </w:pPr>
      <w:bookmarkStart w:id="284" w:name="_Toc34920582"/>
      <w:bookmarkStart w:id="285" w:name="_Toc474074814"/>
      <w:r>
        <w:rPr/>
        <w:t>CHG-02(c): Configuration Change Control | Security Representative</w:t>
      </w:r>
      <w:bookmarkEnd w:id="285"/>
      <w:r>
        <w:rPr/>
        <w:t xml:space="preserve"> for Change</w:t>
      </w:r>
      <w:bookmarkEnd w:id="284"/>
    </w:p>
    <w:p>
      <w:pPr>
        <w:pStyle w:val="Normal"/>
        <w:rPr/>
      </w:pPr>
      <w:r>
        <w:rPr>
          <w:u w:val="single"/>
        </w:rPr>
        <w:t>Control Objective</w:t>
      </w:r>
      <w:r>
        <w:rPr/>
        <w:t>: The organization includes a cybersecurity representative in the configuration change control review process.</w:t>
      </w:r>
      <w:r>
        <w:rPr>
          <w:rStyle w:val="FootnoteAnchor"/>
          <w:rStyle w:val="FootnoteAnchor"/>
        </w:rPr>
        <w:footnoteReference w:id="89"/>
      </w:r>
    </w:p>
    <w:p>
      <w:pPr>
        <w:pStyle w:val="Normal"/>
        <w:rPr/>
      </w:pPr>
      <w:r>
        <w:rPr/>
      </w:r>
    </w:p>
    <w:p>
      <w:pPr>
        <w:pStyle w:val="Normal"/>
        <w:rPr/>
      </w:pPr>
      <w:r>
        <w:rPr>
          <w:u w:val="single"/>
        </w:rPr>
        <w:t>Standard</w:t>
      </w:r>
      <w:r>
        <w:rPr/>
        <w:t>: NFCC’s cybersecurity personnel are required to represent cybersecurity topics as a representative of NFCC’s Change Control Board (CCB).</w:t>
      </w:r>
    </w:p>
    <w:p>
      <w:pPr>
        <w:pStyle w:val="Normal"/>
        <w:rPr>
          <w:rFonts w:eastAsia="Calibri"/>
        </w:rPr>
      </w:pPr>
      <w:r>
        <w:rPr>
          <w:rFonts w:eastAsia="Calibri"/>
        </w:rPr>
      </w:r>
    </w:p>
    <w:p>
      <w:pPr>
        <w:pStyle w:val="Normal"/>
        <w:rPr>
          <w:b/>
          <w:b/>
        </w:rPr>
      </w:pPr>
      <w:r>
        <w:rPr>
          <w:u w:val="single"/>
        </w:rPr>
        <w:t>Guidelines</w:t>
      </w:r>
      <w:r>
        <w:rPr/>
        <w:t xml:space="preserve">: Information security representatives can include, for example, system security officers or system security managers. </w:t>
      </w:r>
    </w:p>
    <w:p>
      <w:pPr>
        <w:pStyle w:val="Normal"/>
        <w:rPr/>
      </w:pPr>
      <w:r>
        <w:rPr/>
      </w:r>
    </w:p>
    <w:p>
      <w:pPr>
        <w:pStyle w:val="Heading3"/>
        <w:rPr/>
      </w:pPr>
      <w:bookmarkStart w:id="286" w:name="_Toc34920583"/>
      <w:r>
        <w:rPr/>
        <w:t>CHG-02(d): Configuration Change Control | Automated Security Response</w:t>
      </w:r>
      <w:bookmarkEnd w:id="286"/>
      <w:r>
        <w:rPr/>
        <w:t xml:space="preserve"> </w:t>
      </w:r>
    </w:p>
    <w:p>
      <w:pPr>
        <w:pStyle w:val="Normal"/>
        <w:rPr>
          <w:rFonts w:cs="Calibri"/>
        </w:rPr>
      </w:pPr>
      <w:r>
        <w:rPr>
          <w:rFonts w:cs="Calibri"/>
          <w:u w:val="single"/>
        </w:rPr>
        <w:t>Control Objective</w:t>
      </w:r>
      <w:r>
        <w:rPr>
          <w:rFonts w:cs="Calibri"/>
        </w:rPr>
        <w:t>: The information system implements organization-defined security responses automatically if baseline configurations are changed in an unauthorized manner.</w:t>
      </w:r>
      <w:r>
        <w:rPr>
          <w:rStyle w:val="FootnoteCharacters"/>
        </w:rPr>
        <w:t xml:space="preserve"> </w:t>
      </w:r>
      <w:r>
        <w:rPr>
          <w:rStyle w:val="FootnoteAnchor"/>
          <w:rStyle w:val="FootnoteAnchor"/>
        </w:rPr>
        <w:footnoteReference w:id="90"/>
      </w:r>
    </w:p>
    <w:p>
      <w:pPr>
        <w:pStyle w:val="Normal"/>
        <w:rPr>
          <w:rFonts w:cs="Calibri"/>
        </w:rPr>
      </w:pPr>
      <w:r>
        <w:rPr>
          <w:rFonts w:cs="Calibri"/>
        </w:rPr>
      </w:r>
    </w:p>
    <w:p>
      <w:pPr>
        <w:pStyle w:val="Normal"/>
        <w:rPr>
          <w:rFonts w:cs="Calibri"/>
          <w:bCs w:val="false"/>
        </w:rPr>
      </w:pPr>
      <w:r>
        <w:rPr>
          <w:rFonts w:cs="Calibri"/>
          <w:bCs w:val="false"/>
          <w:u w:val="single"/>
        </w:rPr>
        <w:t>Standard</w:t>
      </w:r>
      <w:r>
        <w:rPr>
          <w:rFonts w:cs="Calibri"/>
          <w:bCs w:val="false"/>
        </w:rPr>
        <w:t>: Where technically feasible and justified by a valid business case, NFCC shall:</w:t>
      </w:r>
    </w:p>
    <w:p>
      <w:pPr>
        <w:pStyle w:val="ListParagraph"/>
        <w:numPr>
          <w:ilvl w:val="0"/>
          <w:numId w:val="631"/>
        </w:numPr>
        <w:rPr>
          <w:rFonts w:cs="Calibri"/>
        </w:rPr>
      </w:pPr>
      <w:r>
        <w:rPr>
          <w:rFonts w:cs="Calibri"/>
        </w:rPr>
        <w:t>Employ automated mechanisms that remediate non-conforming systems to NFCC-approved baseline configurations; and</w:t>
      </w:r>
    </w:p>
    <w:p>
      <w:pPr>
        <w:pStyle w:val="ListParagraph"/>
        <w:numPr>
          <w:ilvl w:val="0"/>
          <w:numId w:val="631"/>
        </w:numPr>
        <w:rPr>
          <w:rFonts w:cs="Calibri"/>
        </w:rPr>
      </w:pPr>
      <w:r>
        <w:rPr>
          <w:rFonts w:cs="Calibri"/>
        </w:rPr>
        <w:t>Alert incident response personnel to the possible security incident that generated the need to revert the configuration.</w:t>
      </w:r>
    </w:p>
    <w:p>
      <w:pPr>
        <w:pStyle w:val="Normal"/>
        <w:rPr>
          <w:rFonts w:cs="Calibri"/>
        </w:rPr>
      </w:pPr>
      <w:r>
        <w:rPr>
          <w:rFonts w:cs="Calibri"/>
        </w:rPr>
      </w:r>
    </w:p>
    <w:p>
      <w:pPr>
        <w:pStyle w:val="Normal"/>
        <w:rPr>
          <w:rFonts w:cs="Calibri"/>
        </w:rPr>
      </w:pPr>
      <w:r>
        <w:rPr>
          <w:rFonts w:cs="Calibri"/>
          <w:u w:val="single"/>
        </w:rPr>
        <w:t>Guidelines</w:t>
      </w:r>
      <w:r>
        <w:rPr>
          <w:rFonts w:cs="Calibri"/>
        </w:rPr>
        <w:t>: Security responses include, for example, halting information system processing, halting selected system functions or issuing alerts/notifications to organizational personnel when there is an unauthorized modification of a configuration item.</w:t>
      </w:r>
    </w:p>
    <w:p>
      <w:pPr>
        <w:pStyle w:val="Normal"/>
        <w:rPr/>
      </w:pPr>
      <w:r>
        <w:rPr/>
      </w:r>
    </w:p>
    <w:p>
      <w:pPr>
        <w:pStyle w:val="Heading3"/>
        <w:rPr/>
      </w:pPr>
      <w:bookmarkStart w:id="287" w:name="_Toc34920584"/>
      <w:r>
        <w:rPr/>
        <w:t>CHG-02(e): Configuration Change Control | Cryptographic Management</w:t>
      </w:r>
      <w:bookmarkEnd w:id="287"/>
      <w:r>
        <w:rPr/>
        <w:t xml:space="preserve"> </w:t>
      </w:r>
    </w:p>
    <w:p>
      <w:pPr>
        <w:pStyle w:val="Normal"/>
        <w:rPr/>
      </w:pPr>
      <w:r>
        <w:rPr>
          <w:rFonts w:cs="Calibri"/>
          <w:u w:val="single"/>
        </w:rPr>
        <w:t>Control Objective</w:t>
      </w:r>
      <w:r>
        <w:rPr>
          <w:rFonts w:cs="Calibri"/>
        </w:rPr>
        <w:t xml:space="preserve">: </w:t>
      </w:r>
      <w:r>
        <w:rPr/>
        <w:t>The organization ensures that cryptographic mechanisms used to provide organization-defined security safeguards are under configuration management.</w:t>
      </w:r>
      <w:r>
        <w:rPr>
          <w:rStyle w:val="FootnoteCharacters"/>
        </w:rPr>
        <w:t xml:space="preserve"> </w:t>
      </w:r>
      <w:r>
        <w:rPr>
          <w:rStyle w:val="FootnoteAnchor"/>
          <w:rStyle w:val="FootnoteAnchor"/>
        </w:rPr>
        <w:footnoteReference w:id="91"/>
      </w:r>
      <w:r>
        <w:rPr/>
        <w:t xml:space="preserve"> </w:t>
      </w:r>
    </w:p>
    <w:p>
      <w:pPr>
        <w:pStyle w:val="Normal"/>
        <w:rPr>
          <w:rFonts w:cs="Calibri"/>
        </w:rPr>
      </w:pPr>
      <w:r>
        <w:rPr>
          <w:rFonts w:cs="Calibri"/>
        </w:rPr>
      </w:r>
    </w:p>
    <w:p>
      <w:pPr>
        <w:pStyle w:val="Normal"/>
        <w:rPr/>
      </w:pPr>
      <w:r>
        <w:rPr>
          <w:rFonts w:cs="Calibri"/>
          <w:bCs w:val="false"/>
          <w:u w:val="single"/>
        </w:rPr>
        <w:t>Standard</w:t>
      </w:r>
      <w:r>
        <w:rPr>
          <w:rFonts w:cs="Calibri"/>
          <w:bCs w:val="false"/>
        </w:rPr>
        <w:t>:</w:t>
      </w:r>
      <w:r>
        <w:rPr>
          <w:rFonts w:cs="Calibri"/>
        </w:rPr>
        <w:t xml:space="preserve"> Data/process owners and asset custodians are required to implement vendor-recommended and industry-recognized secure practices to configure </w:t>
      </w:r>
      <w:r>
        <w:rPr/>
        <w:t xml:space="preserve">cryptographic mechanisms that are used to provide security safeguards for systems, processes and services. </w:t>
      </w:r>
    </w:p>
    <w:p>
      <w:pPr>
        <w:pStyle w:val="Normal"/>
        <w:rPr>
          <w:rFonts w:cs="Calibri"/>
        </w:rPr>
      </w:pPr>
      <w:r>
        <w:rPr>
          <w:rFonts w:cs="Calibri"/>
        </w:rPr>
      </w:r>
    </w:p>
    <w:p>
      <w:pPr>
        <w:pStyle w:val="Normal"/>
        <w:rPr>
          <w:rFonts w:cs="Calibri"/>
        </w:rPr>
      </w:pPr>
      <w:r>
        <w:rPr>
          <w:rFonts w:cs="Calibri"/>
          <w:u w:val="single"/>
        </w:rPr>
        <w:t>Guidelines</w:t>
      </w:r>
      <w:r>
        <w:rPr>
          <w:rFonts w:cs="Calibri"/>
        </w:rPr>
        <w:t xml:space="preserve">: </w:t>
      </w:r>
      <w:r>
        <w:rPr/>
        <w:t>Regardless of the cryptographic means employed (e.g., public key, private key, shared secrets), organizations ensure that there are processes and procedures in place to effectively manage those means. For example, if devices use certificates as a basis for identification and authentication, there needs to be a process in place to address the expiration of those certificates.</w:t>
      </w:r>
    </w:p>
    <w:p>
      <w:pPr>
        <w:pStyle w:val="Normal"/>
        <w:rPr/>
      </w:pPr>
      <w:r>
        <w:rPr/>
      </w:r>
    </w:p>
    <w:p>
      <w:pPr>
        <w:pStyle w:val="Normal"/>
        <w:rPr/>
      </w:pPr>
      <w:r>
        <w:rPr/>
      </w:r>
    </w:p>
    <w:p>
      <w:pPr>
        <w:pStyle w:val="Heading2"/>
        <w:rPr/>
      </w:pPr>
      <w:bookmarkStart w:id="288" w:name="_Toc474074815"/>
      <w:bookmarkStart w:id="289" w:name="_Toc474075540"/>
      <w:bookmarkStart w:id="290" w:name="_Toc34920585"/>
      <w:r>
        <w:rPr/>
        <w:t>CHG-03: Security Impact Analysis for Changes</w:t>
      </w:r>
      <w:bookmarkEnd w:id="288"/>
      <w:bookmarkEnd w:id="289"/>
      <w:bookmarkEnd w:id="290"/>
      <w:r>
        <w:rPr/>
        <w:t xml:space="preserve"> </w:t>
      </w:r>
    </w:p>
    <w:p>
      <w:pPr>
        <w:pStyle w:val="Normal"/>
        <w:rPr/>
      </w:pPr>
      <w:r>
        <w:rPr>
          <w:u w:val="single"/>
        </w:rPr>
        <w:t>Control Objective</w:t>
      </w:r>
      <w:r>
        <w:rPr/>
        <w:t>: The organization analyzes changes to systems to determine potential security impacts prior to change implementation.</w:t>
      </w:r>
      <w:r>
        <w:rPr>
          <w:rStyle w:val="FootnoteCharacters"/>
          <w:rFonts w:cs="Calibri"/>
        </w:rPr>
        <w:t xml:space="preserve"> </w:t>
      </w:r>
      <w:r>
        <w:rPr>
          <w:rStyle w:val="FootnoteAnchor"/>
          <w:rStyle w:val="FootnoteAnchor"/>
          <w:rFonts w:cs="Calibri"/>
        </w:rPr>
        <w:footnoteReference w:id="92"/>
      </w:r>
    </w:p>
    <w:p>
      <w:pPr>
        <w:pStyle w:val="Normal"/>
        <w:rPr/>
      </w:pPr>
      <w:r>
        <w:rPr/>
      </w:r>
    </w:p>
    <w:p>
      <w:pPr>
        <w:pStyle w:val="Normal"/>
        <w:rPr/>
      </w:pPr>
      <w:r>
        <w:rPr>
          <w:u w:val="single"/>
        </w:rPr>
        <w:t>Standard</w:t>
      </w:r>
      <w:r>
        <w:rPr/>
        <w:t>: Change control processes and procedures must be followed for all changes to system components. From a test environment, asset custodians are required to test proposed changes specifically to assess the security functions of the system(s) to verify that those functions are:</w:t>
      </w:r>
      <w:r>
        <w:rPr>
          <w:rStyle w:val="FootnoteCharacters"/>
          <w:rFonts w:cs="Calibri"/>
        </w:rPr>
        <w:t xml:space="preserve"> </w:t>
      </w:r>
    </w:p>
    <w:p>
      <w:pPr>
        <w:pStyle w:val="ListParagraph"/>
        <w:numPr>
          <w:ilvl w:val="0"/>
          <w:numId w:val="253"/>
        </w:numPr>
        <w:rPr/>
      </w:pPr>
      <w:r>
        <w:rPr/>
        <w:t>Implemented correctly;</w:t>
      </w:r>
    </w:p>
    <w:p>
      <w:pPr>
        <w:pStyle w:val="ListParagraph"/>
        <w:numPr>
          <w:ilvl w:val="0"/>
          <w:numId w:val="253"/>
        </w:numPr>
        <w:rPr/>
      </w:pPr>
      <w:r>
        <w:rPr/>
        <w:t xml:space="preserve">Operate as intended; and </w:t>
      </w:r>
    </w:p>
    <w:p>
      <w:pPr>
        <w:pStyle w:val="ListParagraph"/>
        <w:numPr>
          <w:ilvl w:val="0"/>
          <w:numId w:val="253"/>
        </w:numPr>
        <w:rPr/>
      </w:pPr>
      <w:r>
        <w:rPr/>
        <w:t xml:space="preserve">Meet the security requirements for the system. </w:t>
      </w:r>
    </w:p>
    <w:p>
      <w:pPr>
        <w:pStyle w:val="Normal"/>
        <w:rPr/>
      </w:pPr>
      <w:r>
        <w:rPr/>
      </w:r>
    </w:p>
    <w:p>
      <w:pPr>
        <w:pStyle w:val="Normal"/>
        <w:rPr/>
      </w:pPr>
      <w:r>
        <w:rPr>
          <w:u w:val="single"/>
        </w:rPr>
        <w:t>Guidelines</w:t>
      </w:r>
      <w:r>
        <w:rPr/>
        <w:t>: Security impact analysis may include, for example, reviewing security plans to understand security control requirements and reviewing system design documentation to understand control implementation and how specific changes might affect the controls. The analysis process should include a review of the following:</w:t>
      </w:r>
    </w:p>
    <w:p>
      <w:pPr>
        <w:pStyle w:val="ListParagraph"/>
        <w:numPr>
          <w:ilvl w:val="0"/>
          <w:numId w:val="24"/>
        </w:numPr>
        <w:rPr/>
      </w:pPr>
      <w:r>
        <w:rPr/>
        <w:t>Separate development / test and production environments;</w:t>
      </w:r>
    </w:p>
    <w:p>
      <w:pPr>
        <w:pStyle w:val="ListParagraph"/>
        <w:numPr>
          <w:ilvl w:val="0"/>
          <w:numId w:val="24"/>
        </w:numPr>
        <w:rPr/>
      </w:pPr>
      <w:r>
        <w:rPr/>
        <w:t>Separation of duties between development / test and production environments;</w:t>
      </w:r>
    </w:p>
    <w:p>
      <w:pPr>
        <w:pStyle w:val="ListParagraph"/>
        <w:numPr>
          <w:ilvl w:val="0"/>
          <w:numId w:val="24"/>
        </w:numPr>
        <w:rPr/>
      </w:pPr>
      <w:r>
        <w:rPr/>
        <w:t>Production data (live data) are not used for testing or development; and</w:t>
      </w:r>
    </w:p>
    <w:p>
      <w:pPr>
        <w:pStyle w:val="ListParagraph"/>
        <w:numPr>
          <w:ilvl w:val="0"/>
          <w:numId w:val="24"/>
        </w:numPr>
        <w:rPr/>
      </w:pPr>
      <w:r>
        <w:rPr/>
        <w:t>Removal of test data and accounts before production systems become active.</w:t>
      </w:r>
    </w:p>
    <w:p>
      <w:pPr>
        <w:pStyle w:val="Normal"/>
        <w:rPr/>
      </w:pPr>
      <w:r>
        <w:rPr/>
      </w:r>
    </w:p>
    <w:p>
      <w:pPr>
        <w:pStyle w:val="Normal"/>
        <w:rPr>
          <w:rFonts w:eastAsia="Calibri" w:cs="Calibri"/>
          <w:sz w:val="24"/>
        </w:rPr>
      </w:pPr>
      <w:r>
        <w:rPr>
          <w:rFonts w:eastAsia="Calibri" w:cs="Calibri"/>
          <w:sz w:val="24"/>
        </w:rPr>
      </w:r>
    </w:p>
    <w:p>
      <w:pPr>
        <w:pStyle w:val="Heading2"/>
        <w:rPr/>
      </w:pPr>
      <w:bookmarkStart w:id="291" w:name="_Toc474074816"/>
      <w:bookmarkStart w:id="292" w:name="_Toc474075541"/>
      <w:bookmarkStart w:id="293" w:name="_Toc34920586"/>
      <w:r>
        <w:rPr/>
        <w:t>CHG-04: Access Restriction For Change</w:t>
      </w:r>
      <w:bookmarkEnd w:id="291"/>
      <w:bookmarkEnd w:id="292"/>
      <w:bookmarkEnd w:id="293"/>
    </w:p>
    <w:p>
      <w:pPr>
        <w:pStyle w:val="Normal"/>
        <w:rPr/>
      </w:pPr>
      <w:r>
        <w:rPr>
          <w:u w:val="single"/>
        </w:rPr>
        <w:t>Control Objective</w:t>
      </w:r>
      <w:r>
        <w:rPr/>
        <w:t>: The organization defines, documents, approves and enforces access restrictions associated with changes to systems.</w:t>
      </w:r>
      <w:r>
        <w:rPr>
          <w:rStyle w:val="FootnoteAnchor"/>
          <w:rStyle w:val="FootnoteAnchor"/>
        </w:rPr>
        <w:footnoteReference w:id="93"/>
      </w:r>
    </w:p>
    <w:p>
      <w:pPr>
        <w:pStyle w:val="Normal"/>
        <w:rPr/>
      </w:pPr>
      <w:r>
        <w:rPr/>
      </w:r>
    </w:p>
    <w:p>
      <w:pPr>
        <w:pStyle w:val="Normal"/>
        <w:rPr/>
      </w:pPr>
      <w:r>
        <w:rPr>
          <w:u w:val="single"/>
        </w:rPr>
        <w:t>Standard</w:t>
      </w:r>
      <w:r>
        <w:rPr/>
        <w:t xml:space="preserve">: Asset custodians are required to configure systems to prevent the installation of software and hardware components by non-administrators through limiting users’ actions. </w:t>
      </w:r>
    </w:p>
    <w:p>
      <w:pPr>
        <w:pStyle w:val="Normal"/>
        <w:rPr/>
      </w:pPr>
      <w:r>
        <w:rPr/>
      </w:r>
    </w:p>
    <w:p>
      <w:pPr>
        <w:pStyle w:val="Normal"/>
        <w:rPr/>
      </w:pPr>
      <w:r>
        <w:rPr>
          <w:u w:val="single"/>
        </w:rPr>
        <w:t>Guidelines</w:t>
      </w:r>
      <w:r>
        <w:rPr/>
        <w:t>: Any changes to the hardware, software and / or firmware components of systems can potentially have significant effects on the overall security of the systems. Therefore, NFCC permits only qualified and authorized individuals to access systems for purposes of initiating changes, including upgrades and modifications.</w:t>
      </w:r>
    </w:p>
    <w:p>
      <w:pPr>
        <w:pStyle w:val="Normal"/>
        <w:rPr/>
      </w:pPr>
      <w:r>
        <w:rPr/>
      </w:r>
    </w:p>
    <w:p>
      <w:pPr>
        <w:pStyle w:val="Heading3"/>
        <w:rPr/>
      </w:pPr>
      <w:bookmarkStart w:id="294" w:name="_Toc474074817"/>
      <w:bookmarkStart w:id="295" w:name="_Toc34920587"/>
      <w:r>
        <w:rPr/>
        <w:t>CHG-04(a): Access Restrictions For Change | Automated Access Enforcement / Auditing</w:t>
      </w:r>
      <w:bookmarkEnd w:id="294"/>
      <w:bookmarkEnd w:id="295"/>
      <w:r>
        <w:rPr/>
        <w:t xml:space="preserve"> </w:t>
      </w:r>
    </w:p>
    <w:p>
      <w:pPr>
        <w:pStyle w:val="Normal"/>
        <w:rPr/>
      </w:pPr>
      <w:r>
        <w:rPr>
          <w:u w:val="single"/>
        </w:rPr>
        <w:t>Control Objective</w:t>
      </w:r>
      <w:r>
        <w:rPr/>
        <w:t>: Systems enforce access restrictions and supports auditing of the enforcement actions.</w:t>
      </w:r>
      <w:r>
        <w:rPr>
          <w:rStyle w:val="FootnoteAnchor"/>
          <w:rStyle w:val="FootnoteAnchor"/>
          <w:rFonts w:cs="Calibri"/>
        </w:rPr>
        <w:footnoteReference w:id="94"/>
      </w:r>
    </w:p>
    <w:p>
      <w:pPr>
        <w:pStyle w:val="Normal"/>
        <w:rPr/>
      </w:pPr>
      <w:r>
        <w:rPr/>
      </w:r>
    </w:p>
    <w:p>
      <w:pPr>
        <w:pStyle w:val="Normal"/>
        <w:rPr/>
      </w:pPr>
      <w:r>
        <w:rPr>
          <w:u w:val="single"/>
        </w:rPr>
        <w:t>Standard</w:t>
      </w:r>
      <w:r>
        <w:rPr/>
        <w:t>: Where technically feasible, systems must enforce access restrictions and support auditing of the enforcement actions.</w:t>
      </w:r>
    </w:p>
    <w:p>
      <w:pPr>
        <w:pStyle w:val="Normal"/>
        <w:rPr>
          <w:rFonts w:eastAsia="Calibri"/>
        </w:rPr>
      </w:pPr>
      <w:r>
        <w:rPr>
          <w:rFonts w:eastAsia="Calibri"/>
        </w:rPr>
      </w:r>
    </w:p>
    <w:p>
      <w:pPr>
        <w:pStyle w:val="Normal"/>
        <w:rPr/>
      </w:pPr>
      <w:r>
        <w:rPr>
          <w:u w:val="single"/>
        </w:rPr>
        <w:t>Guidelines</w:t>
      </w:r>
      <w:r>
        <w:rPr/>
        <w:t>: Technical measures should be implemented to provide assurance that all changes directly correspond to an approved change request.</w:t>
      </w:r>
    </w:p>
    <w:p>
      <w:pPr>
        <w:pStyle w:val="Normal"/>
        <w:rPr/>
      </w:pPr>
      <w:r>
        <w:rPr/>
      </w:r>
    </w:p>
    <w:p>
      <w:pPr>
        <w:pStyle w:val="Heading3"/>
        <w:rPr/>
      </w:pPr>
      <w:bookmarkStart w:id="296" w:name="_Toc474074818"/>
      <w:bookmarkStart w:id="297" w:name="_Toc34920588"/>
      <w:r>
        <w:rPr/>
        <w:t>CHG-04(b): Access Restrictions For Change | Signed Components</w:t>
      </w:r>
      <w:bookmarkEnd w:id="296"/>
      <w:bookmarkEnd w:id="297"/>
      <w:r>
        <w:rPr/>
        <w:t xml:space="preserve"> </w:t>
      </w:r>
    </w:p>
    <w:p>
      <w:pPr>
        <w:pStyle w:val="Normal"/>
        <w:rPr/>
      </w:pPr>
      <w:r>
        <w:rPr>
          <w:u w:val="single"/>
        </w:rPr>
        <w:t>Control Objective</w:t>
      </w:r>
      <w:r>
        <w:rPr/>
        <w:t>: Systems prevent the installation of software and firmware components without verification that the component has been digitally signed using a certificate that is recognized and approved by the organization.</w:t>
      </w:r>
      <w:r>
        <w:rPr>
          <w:rStyle w:val="FootnoteAnchor"/>
          <w:rStyle w:val="FootnoteAnchor"/>
          <w:rFonts w:cs="Calibri"/>
        </w:rPr>
        <w:footnoteReference w:id="95"/>
      </w:r>
    </w:p>
    <w:p>
      <w:pPr>
        <w:pStyle w:val="Normal"/>
        <w:rPr/>
      </w:pPr>
      <w:r>
        <w:rPr/>
      </w:r>
    </w:p>
    <w:p>
      <w:pPr>
        <w:pStyle w:val="Normal"/>
        <w:rPr/>
      </w:pPr>
      <w:r>
        <w:rPr>
          <w:u w:val="single"/>
        </w:rPr>
        <w:t>Standard</w:t>
      </w:r>
      <w:r>
        <w:rPr/>
        <w:t xml:space="preserve">: Where technically feasible, systems must prevent the installation of software and firmware components without verification that the component has been digitally signed using a certificate that is recognized and approved by NFCC. </w:t>
      </w:r>
    </w:p>
    <w:p>
      <w:pPr>
        <w:pStyle w:val="Normal"/>
        <w:rPr>
          <w:rFonts w:eastAsia="Calibri"/>
        </w:rPr>
      </w:pPr>
      <w:r>
        <w:rPr>
          <w:rFonts w:eastAsia="Calibri"/>
        </w:rPr>
      </w:r>
    </w:p>
    <w:p>
      <w:pPr>
        <w:pStyle w:val="Normal"/>
        <w:rPr/>
      </w:pPr>
      <w:r>
        <w:rPr>
          <w:u w:val="single"/>
        </w:rPr>
        <w:t>Guidelines</w:t>
      </w:r>
      <w:r>
        <w:rPr/>
        <w:t>: Software and firmware components prevented from installation unless signed with recognized and approved certificates include, for example, software and firmware version updates, patches, service packs, device drivers and basic input output system (BIOS) updates. Organizations can identify applicable software and firmware components by type, by specific items or a combination of both. Digital signatures and organizational verification of such signatures, is a method of code authentication.</w:t>
      </w:r>
    </w:p>
    <w:p>
      <w:pPr>
        <w:pStyle w:val="Normal"/>
        <w:rPr/>
      </w:pPr>
      <w:r>
        <w:rPr/>
      </w:r>
    </w:p>
    <w:p>
      <w:pPr>
        <w:pStyle w:val="Heading3"/>
        <w:rPr/>
      </w:pPr>
      <w:bookmarkStart w:id="298" w:name="_Toc34920589"/>
      <w:bookmarkStart w:id="299" w:name="_Toc474074819"/>
      <w:r>
        <w:rPr/>
        <w:t xml:space="preserve">CHG-04(c): Access Restrictions For Change | </w:t>
      </w:r>
      <w:bookmarkEnd w:id="299"/>
      <w:r>
        <w:rPr/>
        <w:t>Dual Authorization for Change</w:t>
      </w:r>
      <w:bookmarkEnd w:id="298"/>
      <w:r>
        <w:rPr/>
        <w:t xml:space="preserve"> </w:t>
      </w:r>
    </w:p>
    <w:p>
      <w:pPr>
        <w:pStyle w:val="Normal"/>
        <w:rPr/>
      </w:pPr>
      <w:r>
        <w:rPr>
          <w:u w:val="single"/>
        </w:rPr>
        <w:t>Control Objective</w:t>
      </w:r>
      <w:r>
        <w:rPr/>
        <w:t>: The organization enforces a two-person rule for implementing changes to sensitive system components and system-level information.</w:t>
      </w:r>
      <w:r>
        <w:rPr>
          <w:rStyle w:val="FootnoteAnchor"/>
          <w:rStyle w:val="FootnoteAnchor"/>
        </w:rPr>
        <w:footnoteReference w:id="96"/>
      </w:r>
    </w:p>
    <w:p>
      <w:pPr>
        <w:pStyle w:val="Normal"/>
        <w:rPr/>
      </w:pPr>
      <w:r>
        <w:rPr/>
      </w:r>
    </w:p>
    <w:p>
      <w:pPr>
        <w:pStyle w:val="Normal"/>
        <w:rPr>
          <w:rFonts w:eastAsia="Calibri"/>
        </w:rPr>
      </w:pPr>
      <w:r>
        <w:rPr>
          <w:u w:val="single"/>
        </w:rPr>
        <w:t>Standard</w:t>
      </w:r>
      <w:r>
        <w:rPr/>
        <w:t xml:space="preserve">: When dictated by a compensating control, asset custodians are required to develop and implement a two-person rule for implementing changes to sensitive system components and system-level information to </w:t>
      </w:r>
      <w:r>
        <w:rPr>
          <w:rFonts w:eastAsia="Calibri"/>
        </w:rPr>
        <w:t>address business risks associated with a user role conflict of interest.</w:t>
      </w:r>
    </w:p>
    <w:p>
      <w:pPr>
        <w:pStyle w:val="Normal"/>
        <w:rPr>
          <w:rFonts w:eastAsia="Calibri"/>
        </w:rPr>
      </w:pPr>
      <w:r>
        <w:rPr>
          <w:rFonts w:eastAsia="Calibri"/>
        </w:rPr>
      </w:r>
    </w:p>
    <w:p>
      <w:pPr>
        <w:pStyle w:val="Normal"/>
        <w:rPr/>
      </w:pPr>
      <w:r>
        <w:rPr>
          <w:u w:val="single"/>
        </w:rPr>
        <w:t>Guidelines</w:t>
      </w:r>
      <w:r>
        <w:rPr/>
        <w:t>: Organizations employ a two-person rule to ensure that any changes to selected system components and information cannot occur unless two qualified individuals implement such changes. The two individuals possess sufficient skills / expertise to determine if the proposed changes are correct implementations of approved changes.</w:t>
      </w:r>
    </w:p>
    <w:p>
      <w:pPr>
        <w:pStyle w:val="Normal"/>
        <w:rPr/>
      </w:pPr>
      <w:r>
        <w:rPr/>
      </w:r>
    </w:p>
    <w:p>
      <w:pPr>
        <w:pStyle w:val="Normal"/>
        <w:rPr/>
      </w:pPr>
      <w:r>
        <w:rPr/>
        <w:t>As changes occur in the organizational, functional and technological environments, assessments shall be performed to address the impact on the segregation of duties resulting from such changes. Management shall review, revise and enforce this policy as significant developments occur with respect to the segregation of duties and possibly implement a two-person rule.</w:t>
      </w:r>
    </w:p>
    <w:p>
      <w:pPr>
        <w:pStyle w:val="Normal"/>
        <w:rPr/>
      </w:pPr>
      <w:r>
        <w:rPr/>
      </w:r>
    </w:p>
    <w:p>
      <w:pPr>
        <w:pStyle w:val="Heading3"/>
        <w:rPr/>
      </w:pPr>
      <w:bookmarkStart w:id="300" w:name="_Toc474074820"/>
      <w:bookmarkStart w:id="301" w:name="_Toc34920590"/>
      <w:r>
        <w:rPr/>
        <w:t>CHG-04(d): Access Restrictions For Change | Limit Production / Operational Privileges (Incompatible Roles)</w:t>
      </w:r>
      <w:bookmarkEnd w:id="300"/>
      <w:bookmarkEnd w:id="301"/>
    </w:p>
    <w:p>
      <w:pPr>
        <w:pStyle w:val="Normal"/>
        <w:rPr/>
      </w:pPr>
      <w:r>
        <w:rPr>
          <w:u w:val="single"/>
        </w:rPr>
        <w:t>Control Objective</w:t>
      </w:r>
      <w:r>
        <w:rPr/>
        <w:t>: The organization:</w:t>
      </w:r>
      <w:r>
        <w:rPr>
          <w:rStyle w:val="FootnoteAnchor"/>
          <w:rStyle w:val="FootnoteAnchor"/>
          <w:rFonts w:cs="Calibri"/>
        </w:rPr>
        <w:footnoteReference w:id="97"/>
      </w:r>
    </w:p>
    <w:p>
      <w:pPr>
        <w:pStyle w:val="ListParagraph"/>
        <w:numPr>
          <w:ilvl w:val="0"/>
          <w:numId w:val="174"/>
        </w:numPr>
        <w:rPr/>
      </w:pPr>
      <w:r>
        <w:rPr/>
        <w:t>Limits privileges to change system components and system-related information within a production or operational environment; and</w:t>
      </w:r>
    </w:p>
    <w:p>
      <w:pPr>
        <w:pStyle w:val="ListParagraph"/>
        <w:numPr>
          <w:ilvl w:val="0"/>
          <w:numId w:val="174"/>
        </w:numPr>
        <w:rPr/>
      </w:pPr>
      <w:r>
        <w:rPr/>
        <w:t>Reviews and re-evaluates privileges at an organization-defined frequency.</w:t>
      </w:r>
    </w:p>
    <w:p>
      <w:pPr>
        <w:pStyle w:val="Normal"/>
        <w:rPr/>
      </w:pPr>
      <w:r>
        <w:rPr/>
      </w:r>
    </w:p>
    <w:p>
      <w:pPr>
        <w:pStyle w:val="Normal"/>
        <w:rPr/>
      </w:pPr>
      <w:r>
        <w:rPr>
          <w:u w:val="single"/>
        </w:rPr>
        <w:t>Standard</w:t>
      </w:r>
      <w:r>
        <w:rPr/>
        <w:t>: NFCC’s management is required to:</w:t>
      </w:r>
    </w:p>
    <w:p>
      <w:pPr>
        <w:pStyle w:val="ListParagraph"/>
        <w:numPr>
          <w:ilvl w:val="0"/>
          <w:numId w:val="254"/>
        </w:numPr>
        <w:rPr/>
      </w:pPr>
      <w:r>
        <w:rPr/>
        <w:t xml:space="preserve">Identify incompatible business roles; </w:t>
      </w:r>
    </w:p>
    <w:p>
      <w:pPr>
        <w:pStyle w:val="ListParagraph"/>
        <w:numPr>
          <w:ilvl w:val="0"/>
          <w:numId w:val="254"/>
        </w:numPr>
        <w:rPr/>
      </w:pPr>
      <w:r>
        <w:rPr/>
        <w:t xml:space="preserve">Limits privileges to change system components and system-related information within a production or operational environment; </w:t>
      </w:r>
    </w:p>
    <w:p>
      <w:pPr>
        <w:pStyle w:val="ListParagraph"/>
        <w:numPr>
          <w:ilvl w:val="0"/>
          <w:numId w:val="254"/>
        </w:numPr>
        <w:rPr/>
      </w:pPr>
      <w:r>
        <w:rPr/>
        <w:t>Implement steps to remediate incompatible business roles; and</w:t>
      </w:r>
    </w:p>
    <w:p>
      <w:pPr>
        <w:pStyle w:val="ListParagraph"/>
        <w:numPr>
          <w:ilvl w:val="0"/>
          <w:numId w:val="254"/>
        </w:numPr>
        <w:rPr/>
      </w:pPr>
      <w:r>
        <w:rPr/>
        <w:t>Perform reviews, based on NFCC’s access permission review requirements.</w:t>
      </w:r>
    </w:p>
    <w:p>
      <w:pPr>
        <w:pStyle w:val="Normal"/>
        <w:rPr>
          <w:rFonts w:eastAsia="Calibri"/>
        </w:rPr>
      </w:pPr>
      <w:r>
        <w:rPr>
          <w:rFonts w:eastAsia="Calibri"/>
        </w:rPr>
      </w:r>
    </w:p>
    <w:p>
      <w:pPr>
        <w:pStyle w:val="Normal"/>
        <w:rPr/>
      </w:pPr>
      <w:r>
        <w:rPr>
          <w:u w:val="single"/>
        </w:rPr>
        <w:t>Guidelines</w:t>
      </w:r>
      <w:r>
        <w:rPr/>
        <w:t>: In many organizations, systems support multiple core missions / business functions. Limiting privileges to change system components with respect to operational systems is necessary because changes to a particular system component may have far-reaching effects on mission / business processes supported by the system where the component resides. The complex, many-to-many relationships between systems and mission / business processes are in some cases, unknown to developers.</w:t>
      </w:r>
    </w:p>
    <w:p>
      <w:pPr>
        <w:pStyle w:val="Normal"/>
        <w:rPr/>
      </w:pPr>
      <w:r>
        <w:rPr/>
      </w:r>
    </w:p>
    <w:p>
      <w:pPr>
        <w:pStyle w:val="Heading3"/>
        <w:rPr/>
      </w:pPr>
      <w:bookmarkStart w:id="302" w:name="_Toc474074821"/>
      <w:bookmarkStart w:id="303" w:name="_Toc34920591"/>
      <w:r>
        <w:rPr/>
        <w:t>CHG-04(e): Access Restrictions For Change | Library Privileges</w:t>
      </w:r>
      <w:bookmarkEnd w:id="302"/>
      <w:bookmarkEnd w:id="303"/>
    </w:p>
    <w:p>
      <w:pPr>
        <w:pStyle w:val="Normal"/>
        <w:rPr/>
      </w:pPr>
      <w:r>
        <w:rPr>
          <w:u w:val="single"/>
        </w:rPr>
        <w:t>Control Objective</w:t>
      </w:r>
      <w:r>
        <w:rPr/>
        <w:t>: The organization limits privileges to change software resident within software libraries.</w:t>
      </w:r>
      <w:r>
        <w:rPr>
          <w:rStyle w:val="FootnoteCharacters"/>
          <w:rFonts w:cs="Calibri"/>
        </w:rPr>
        <w:t xml:space="preserve"> </w:t>
      </w:r>
      <w:r>
        <w:rPr>
          <w:rStyle w:val="FootnoteAnchor"/>
          <w:rStyle w:val="FootnoteAnchor"/>
          <w:rFonts w:cs="Calibri"/>
        </w:rPr>
        <w:footnoteReference w:id="98"/>
      </w:r>
    </w:p>
    <w:p>
      <w:pPr>
        <w:pStyle w:val="Normal"/>
        <w:rPr/>
      </w:pPr>
      <w:r>
        <w:rPr/>
      </w:r>
    </w:p>
    <w:p>
      <w:pPr>
        <w:pStyle w:val="Normal"/>
        <w:rPr/>
      </w:pPr>
      <w:r>
        <w:rPr>
          <w:u w:val="single"/>
        </w:rPr>
        <w:t>Standard</w:t>
      </w:r>
      <w:r>
        <w:rPr/>
        <w:t>: Data / process owners are required to limit privileges to change software archived within software libraries.</w:t>
      </w:r>
    </w:p>
    <w:p>
      <w:pPr>
        <w:pStyle w:val="Normal"/>
        <w:rPr>
          <w:rFonts w:eastAsia="Calibri"/>
        </w:rPr>
      </w:pPr>
      <w:r>
        <w:rPr>
          <w:rFonts w:eastAsia="Calibri"/>
        </w:rPr>
      </w:r>
    </w:p>
    <w:p>
      <w:pPr>
        <w:pStyle w:val="Normal"/>
        <w:rPr>
          <w:b/>
          <w:b/>
        </w:rPr>
      </w:pPr>
      <w:r>
        <w:rPr>
          <w:u w:val="single"/>
        </w:rPr>
        <w:t>Guidelines</w:t>
      </w:r>
      <w:r>
        <w:rPr/>
        <w:t>: Software libraries include privileged programs.</w:t>
      </w:r>
    </w:p>
    <w:p>
      <w:pPr>
        <w:pStyle w:val="Normal"/>
        <w:rPr/>
      </w:pPr>
      <w:r>
        <w:rPr/>
      </w:r>
    </w:p>
    <w:p>
      <w:pPr>
        <w:pStyle w:val="Normal"/>
        <w:rPr/>
      </w:pPr>
      <w:r>
        <w:rPr/>
      </w:r>
    </w:p>
    <w:p>
      <w:pPr>
        <w:pStyle w:val="Heading2"/>
        <w:rPr/>
      </w:pPr>
      <w:bookmarkStart w:id="304" w:name="_Toc474074822"/>
      <w:bookmarkStart w:id="305" w:name="_Toc474075542"/>
      <w:bookmarkStart w:id="306" w:name="_Toc34920592"/>
      <w:r>
        <w:rPr/>
        <w:t>CHG-05: Stakeholder Notification of Changes</w:t>
      </w:r>
      <w:bookmarkEnd w:id="304"/>
      <w:bookmarkEnd w:id="305"/>
      <w:bookmarkEnd w:id="306"/>
      <w:r>
        <w:rPr/>
        <w:t xml:space="preserve"> </w:t>
      </w:r>
    </w:p>
    <w:p>
      <w:pPr>
        <w:pStyle w:val="Normal"/>
        <w:rPr/>
      </w:pPr>
      <w:r>
        <w:rPr>
          <w:u w:val="single"/>
        </w:rPr>
        <w:t>Control Objective</w:t>
      </w:r>
      <w:r>
        <w:rPr/>
        <w:t>: The organization manages processes to ensure stakeholders are aware of and understand the impact of proposed changes.</w:t>
      </w:r>
      <w:r>
        <w:rPr>
          <w:rStyle w:val="FootnoteAnchor"/>
          <w:rStyle w:val="FootnoteAnchor"/>
        </w:rPr>
        <w:footnoteReference w:id="99"/>
      </w:r>
    </w:p>
    <w:p>
      <w:pPr>
        <w:pStyle w:val="Normal"/>
        <w:rPr/>
      </w:pPr>
      <w:r>
        <w:rPr/>
      </w:r>
    </w:p>
    <w:p>
      <w:pPr>
        <w:pStyle w:val="Normal"/>
        <w:rPr/>
      </w:pPr>
      <w:r>
        <w:rPr>
          <w:u w:val="single"/>
        </w:rPr>
        <w:t>Standard</w:t>
      </w:r>
      <w:r>
        <w:rPr/>
        <w:t xml:space="preserve">: Data / process owners are required to establish and maintain processes to inform key stakeholders of system changes that affect operations or NFCC’s commitments. </w:t>
      </w:r>
    </w:p>
    <w:p>
      <w:pPr>
        <w:pStyle w:val="Normal"/>
        <w:rPr/>
      </w:pPr>
      <w:r>
        <w:rPr/>
      </w:r>
    </w:p>
    <w:p>
      <w:pPr>
        <w:pStyle w:val="Normal"/>
        <w:rPr/>
      </w:pPr>
      <w:r>
        <w:rPr>
          <w:u w:val="single"/>
        </w:rPr>
        <w:t>Guidelines</w:t>
      </w:r>
      <w:r>
        <w:rPr/>
        <w:t>: None</w:t>
      </w:r>
    </w:p>
    <w:p>
      <w:pPr>
        <w:pStyle w:val="Normal"/>
        <w:rPr/>
      </w:pPr>
      <w:r>
        <w:rPr/>
      </w:r>
    </w:p>
    <w:p>
      <w:pPr>
        <w:pStyle w:val="Normal"/>
        <w:rPr/>
      </w:pPr>
      <w:r>
        <w:rPr/>
      </w:r>
    </w:p>
    <w:p>
      <w:pPr>
        <w:pStyle w:val="Heading2"/>
        <w:rPr/>
      </w:pPr>
      <w:bookmarkStart w:id="307" w:name="_Toc474074823"/>
      <w:bookmarkStart w:id="308" w:name="_Toc474075543"/>
      <w:bookmarkStart w:id="309" w:name="_Toc34920593"/>
      <w:r>
        <w:rPr/>
        <w:t>CHG-06: Security Functionality Verification</w:t>
      </w:r>
      <w:bookmarkEnd w:id="307"/>
      <w:bookmarkEnd w:id="308"/>
      <w:bookmarkEnd w:id="309"/>
    </w:p>
    <w:p>
      <w:pPr>
        <w:pStyle w:val="Normal"/>
        <w:rPr/>
      </w:pPr>
      <w:r>
        <w:rPr>
          <w:u w:val="single"/>
        </w:rPr>
        <w:t>Control Objective</w:t>
      </w:r>
      <w:r>
        <w:rPr/>
        <w:t>: Systems are verified to correctly process security functions when anomalies are discovered.</w:t>
      </w:r>
      <w:r>
        <w:rPr>
          <w:rStyle w:val="FootnoteAnchor"/>
          <w:rStyle w:val="FootnoteAnchor"/>
          <w:rFonts w:cs="Calibri"/>
        </w:rPr>
        <w:footnoteReference w:id="100"/>
      </w:r>
    </w:p>
    <w:p>
      <w:pPr>
        <w:pStyle w:val="Normal"/>
        <w:rPr/>
      </w:pPr>
      <w:r>
        <w:rPr/>
      </w:r>
    </w:p>
    <w:p>
      <w:pPr>
        <w:pStyle w:val="Normal"/>
        <w:rPr/>
      </w:pPr>
      <w:r>
        <w:rPr>
          <w:u w:val="single"/>
        </w:rPr>
        <w:t>Standard</w:t>
      </w:r>
      <w:r>
        <w:rPr/>
        <w:t xml:space="preserve">: Asset custodians are required to validate that security-related controls (e.g., antimalware software) are operational after significant changes are implemented. </w:t>
      </w:r>
    </w:p>
    <w:p>
      <w:pPr>
        <w:pStyle w:val="Normal"/>
        <w:rPr/>
      </w:pPr>
      <w:r>
        <w:rPr/>
      </w:r>
    </w:p>
    <w:p>
      <w:pPr>
        <w:pStyle w:val="Normal"/>
        <w:rPr/>
      </w:pPr>
      <w:r>
        <w:rPr>
          <w:u w:val="single"/>
        </w:rPr>
        <w:t>Guidelines</w:t>
      </w:r>
      <w:r>
        <w:rPr/>
        <w:t>: After major changes or software upgrades, it is recommended to test security-related tools to ensure the change did not disable the functionality of the security tool. An example of security functionality verification is the European Institute of Computer Anti-virus Research (EICAR) Standard Anti-Virus Test File, which is used to ensure antimalware software is properly detecting and removing threats.</w:t>
      </w:r>
    </w:p>
    <w:p>
      <w:pPr>
        <w:pStyle w:val="Normal"/>
        <w:rPr/>
      </w:pPr>
      <w:r>
        <w:rPr/>
      </w:r>
    </w:p>
    <w:p>
      <w:pPr>
        <w:pStyle w:val="Heading3"/>
        <w:rPr/>
      </w:pPr>
      <w:bookmarkStart w:id="310" w:name="_Toc34920594"/>
      <w:r>
        <w:rPr/>
        <w:t>CHG-06(a): Security Functionality Verification | Report Verification Results</w:t>
      </w:r>
      <w:bookmarkEnd w:id="310"/>
      <w:r>
        <w:rPr/>
        <w:t xml:space="preserve"> </w:t>
      </w:r>
    </w:p>
    <w:p>
      <w:pPr>
        <w:pStyle w:val="Normal"/>
        <w:rPr/>
      </w:pPr>
      <w:r>
        <w:rPr>
          <w:u w:val="single"/>
        </w:rPr>
        <w:t>Control Objective</w:t>
      </w:r>
      <w:r>
        <w:rPr/>
        <w:t>: The organization reports the results of security and privacy function verification to senior management.</w:t>
      </w:r>
    </w:p>
    <w:p>
      <w:pPr>
        <w:pStyle w:val="Normal"/>
        <w:rPr/>
      </w:pPr>
      <w:r>
        <w:rPr/>
      </w:r>
    </w:p>
    <w:p>
      <w:pPr>
        <w:pStyle w:val="Normal"/>
        <w:rPr/>
      </w:pPr>
      <w:r>
        <w:rPr>
          <w:u w:val="single"/>
        </w:rPr>
        <w:t>Standard</w:t>
      </w:r>
      <w:r>
        <w:rPr/>
        <w:t xml:space="preserve">: Asset custodians are required to reports the results of security and privacy function verification as part of configuration change control processes. </w:t>
      </w:r>
    </w:p>
    <w:p>
      <w:pPr>
        <w:pStyle w:val="Normal"/>
        <w:rPr/>
      </w:pPr>
      <w:r>
        <w:rPr/>
      </w:r>
    </w:p>
    <w:p>
      <w:pPr>
        <w:pStyle w:val="Normal"/>
        <w:rPr>
          <w:color w:val="C00000"/>
        </w:rPr>
      </w:pPr>
      <w:r>
        <w:rPr>
          <w:u w:val="single"/>
        </w:rPr>
        <w:t>Guidelines</w:t>
      </w:r>
      <w:r>
        <w:rPr/>
        <w:t>: Organizational personnel with potential interest in the results of the verification of security and privacy function include, for example, system security managers, systems security officers, Senior Agency Information Security Officers and Senior Agency Officials for Privacy.</w:t>
      </w:r>
    </w:p>
    <w:p>
      <w:pPr>
        <w:pStyle w:val="Normal"/>
        <w:rPr>
          <w:rFonts w:eastAsia="Calibri" w:cs="Calibri"/>
          <w:sz w:val="24"/>
        </w:rPr>
      </w:pPr>
      <w:r>
        <w:rPr>
          <w:rFonts w:eastAsia="Calibri" w:cs="Calibri"/>
          <w:sz w:val="24"/>
        </w:rPr>
      </w:r>
      <w:r>
        <w:br w:type="page"/>
      </w:r>
    </w:p>
    <w:p>
      <w:pPr>
        <w:pStyle w:val="Heading1"/>
        <w:rPr/>
      </w:pPr>
      <w:bookmarkStart w:id="311" w:name="_Toc34920595"/>
      <w:bookmarkStart w:id="312" w:name="_Toc474074824"/>
      <w:bookmarkStart w:id="313" w:name="_Toc474075544"/>
      <w:r>
        <w:rPr/>
        <w:t>Cloud Security (CLD)</w:t>
      </w:r>
      <w:bookmarkEnd w:id="312"/>
      <w:bookmarkEnd w:id="313"/>
      <w:r>
        <w:rPr/>
        <w:t xml:space="preserve"> Policy &amp; Standards</w:t>
      </w:r>
      <w:bookmarkEnd w:id="311"/>
    </w:p>
    <w:p>
      <w:pPr>
        <w:pStyle w:val="Normal"/>
        <w:shd w:val="clear" w:color="auto" w:fill="FFFFFF" w:themeFill="background1"/>
        <w:rPr>
          <w:u w:val="single"/>
        </w:rPr>
      </w:pPr>
      <w:r>
        <w:rPr>
          <w:u w:val="single"/>
        </w:rPr>
      </w:r>
    </w:p>
    <w:p>
      <w:pPr>
        <w:pStyle w:val="Normal"/>
        <w:shd w:val="clear" w:color="auto" w:fill="FFFFFF" w:themeFill="background1"/>
        <w:rPr/>
      </w:pPr>
      <w:r>
        <w:rPr>
          <w:u w:val="single"/>
        </w:rPr>
        <w:t>Management Intent:</w:t>
      </w:r>
      <w:r>
        <w:rPr/>
        <w:t xml:space="preserve"> The purpose of the Cloud Security (CLD) policy is to govern the use of private and public cloud environments (e.g., IaaS, PaaS and SaaS) to holistically manage risks associated with third-party involvement and architectural decisions. </w:t>
      </w:r>
    </w:p>
    <w:p>
      <w:pPr>
        <w:pStyle w:val="Normal"/>
        <w:rPr>
          <w:rFonts w:eastAsia="Calibri"/>
        </w:rPr>
      </w:pPr>
      <w:r>
        <w:rPr>
          <w:rFonts w:eastAsia="Calibri"/>
        </w:rPr>
      </w:r>
    </w:p>
    <w:p>
      <w:pPr>
        <w:pStyle w:val="Normal"/>
        <w:shd w:val="clear" w:color="auto" w:fill="DDD9C3" w:themeFill="background2" w:themeFillShade="e6"/>
        <w:rPr/>
      </w:pPr>
      <w:r>
        <w:rPr>
          <w:u w:val="single"/>
        </w:rPr>
        <w:t>Policy</w:t>
      </w:r>
      <w:r>
        <w:rPr/>
        <w:t xml:space="preserve">: NFCC shall proactively manage risk in all of its private and public cloud environments through secure architectural decisions that align with NFCC’s technology architecture strategy and provide continuous oversight of third-party responsibilities for keeping the environments both secure and efficient. </w:t>
      </w:r>
    </w:p>
    <w:p>
      <w:pPr>
        <w:pStyle w:val="Normal"/>
        <w:rPr/>
      </w:pPr>
      <w:r>
        <w:rPr/>
      </w:r>
    </w:p>
    <w:p>
      <w:pPr>
        <w:pStyle w:val="Normal"/>
        <w:rPr/>
      </w:pPr>
      <w:r>
        <w:rPr>
          <w:u w:val="single"/>
        </w:rPr>
        <w:t>Supporting Documentation</w:t>
      </w:r>
      <w:r>
        <w:rPr/>
        <w:t xml:space="preserve">: This policy is supported by the following control objectives, standards and guidelines. </w:t>
      </w:r>
    </w:p>
    <w:p>
      <w:pPr>
        <w:pStyle w:val="Normal"/>
        <w:rPr/>
      </w:pPr>
      <w:r>
        <w:rPr/>
      </w:r>
    </w:p>
    <w:p>
      <w:pPr>
        <w:pStyle w:val="Normal"/>
        <w:rPr/>
      </w:pPr>
      <w:r>
        <w:rPr/>
      </w:r>
    </w:p>
    <w:p>
      <w:pPr>
        <w:pStyle w:val="Heading2"/>
        <w:rPr/>
      </w:pPr>
      <w:bookmarkStart w:id="314" w:name="_Toc474074825"/>
      <w:bookmarkStart w:id="315" w:name="_Toc474075545"/>
      <w:bookmarkStart w:id="316" w:name="_Toc34920596"/>
      <w:r>
        <w:rPr/>
        <w:t>CLD-01: Cloud Services</w:t>
      </w:r>
      <w:bookmarkEnd w:id="314"/>
      <w:bookmarkEnd w:id="315"/>
      <w:bookmarkEnd w:id="316"/>
      <w:r>
        <w:rPr/>
        <w:t xml:space="preserve"> </w:t>
      </w:r>
    </w:p>
    <w:p>
      <w:pPr>
        <w:pStyle w:val="Normal"/>
        <w:rPr/>
      </w:pPr>
      <w:r>
        <w:rPr>
          <w:u w:val="single"/>
        </w:rPr>
        <w:t>Control Objective</w:t>
      </w:r>
      <w:r>
        <w:rPr/>
        <w:t>: The organization develops, implements and governs processes and documentation to facilitate the implementation of an enterprise-wide cloud management policy, as well as associated standards, controls and procedures.</w:t>
      </w:r>
      <w:r>
        <w:rPr>
          <w:rStyle w:val="FootnoteCharacters"/>
          <w:rFonts w:cs="Calibri"/>
        </w:rPr>
        <w:t xml:space="preserve"> </w:t>
      </w:r>
    </w:p>
    <w:p>
      <w:pPr>
        <w:pStyle w:val="Normal"/>
        <w:rPr/>
      </w:pPr>
      <w:r>
        <w:rPr/>
      </w:r>
    </w:p>
    <w:p>
      <w:pPr>
        <w:pStyle w:val="Normal"/>
        <w:rPr/>
      </w:pPr>
      <w:r>
        <w:rPr>
          <w:u w:val="single"/>
        </w:rPr>
        <w:t>Standard</w:t>
      </w:r>
      <w:r>
        <w:rPr/>
        <w:t>: For cloud service providers, data / process owners and asset custodians are required to:</w:t>
      </w:r>
      <w:r>
        <w:rPr>
          <w:rStyle w:val="FootnoteCharacters"/>
          <w:rFonts w:cs="Calibri"/>
        </w:rPr>
        <w:t xml:space="preserve"> </w:t>
      </w:r>
    </w:p>
    <w:p>
      <w:pPr>
        <w:pStyle w:val="ListParagraph"/>
        <w:numPr>
          <w:ilvl w:val="0"/>
          <w:numId w:val="255"/>
        </w:numPr>
        <w:tabs>
          <w:tab w:val="left" w:pos="360" w:leader="none"/>
          <w:tab w:val="left" w:pos="720" w:leader="none"/>
          <w:tab w:val="left" w:pos="1080" w:leader="none"/>
        </w:tabs>
        <w:rPr/>
      </w:pPr>
      <w:r>
        <w:rPr/>
        <w:t>Maintain a comprehensive list of those service providers, including all applicable Service Level Agreements (SLAs);</w:t>
      </w:r>
    </w:p>
    <w:p>
      <w:pPr>
        <w:pStyle w:val="ListParagraph"/>
        <w:numPr>
          <w:ilvl w:val="0"/>
          <w:numId w:val="255"/>
        </w:numPr>
        <w:tabs>
          <w:tab w:val="left" w:pos="360" w:leader="none"/>
          <w:tab w:val="left" w:pos="720" w:leader="none"/>
          <w:tab w:val="left" w:pos="1080" w:leader="none"/>
        </w:tabs>
        <w:rPr/>
      </w:pPr>
      <w:r>
        <w:rPr/>
        <w:t>Require that providers of external systems comply with NFCC cybersecurity requirements and employ appropriate security controls in accordance with local, state and Federal laws, as well as all applicable regulatory and contractual requirements (e.g., PCI DSS);</w:t>
      </w:r>
    </w:p>
    <w:p>
      <w:pPr>
        <w:pStyle w:val="ListParagraph"/>
        <w:numPr>
          <w:ilvl w:val="0"/>
          <w:numId w:val="255"/>
        </w:numPr>
        <w:tabs>
          <w:tab w:val="left" w:pos="360" w:leader="none"/>
          <w:tab w:val="left" w:pos="720" w:leader="none"/>
          <w:tab w:val="left" w:pos="1080" w:leader="none"/>
        </w:tabs>
        <w:rPr/>
      </w:pPr>
      <w:r>
        <w:rPr/>
        <w:t xml:space="preserve">Define oversight responsibilities regarding external system services; </w:t>
      </w:r>
    </w:p>
    <w:p>
      <w:pPr>
        <w:pStyle w:val="ListParagraph"/>
        <w:numPr>
          <w:ilvl w:val="0"/>
          <w:numId w:val="255"/>
        </w:numPr>
        <w:tabs>
          <w:tab w:val="left" w:pos="360" w:leader="none"/>
          <w:tab w:val="left" w:pos="720" w:leader="none"/>
          <w:tab w:val="left" w:pos="1080" w:leader="none"/>
        </w:tabs>
        <w:rPr/>
      </w:pPr>
      <w:r>
        <w:rPr/>
        <w:t>Perform a review of the service provided for acceptable service levels;</w:t>
      </w:r>
    </w:p>
    <w:p>
      <w:pPr>
        <w:pStyle w:val="ListParagraph"/>
        <w:numPr>
          <w:ilvl w:val="0"/>
          <w:numId w:val="255"/>
        </w:numPr>
        <w:tabs>
          <w:tab w:val="left" w:pos="360" w:leader="none"/>
          <w:tab w:val="left" w:pos="720" w:leader="none"/>
          <w:tab w:val="left" w:pos="1080" w:leader="none"/>
        </w:tabs>
        <w:rPr/>
      </w:pPr>
      <w:r>
        <w:rPr/>
        <w:t>Conduct a risk assessment outsourcing of services; and</w:t>
      </w:r>
    </w:p>
    <w:p>
      <w:pPr>
        <w:pStyle w:val="ListParagraph"/>
        <w:numPr>
          <w:ilvl w:val="0"/>
          <w:numId w:val="255"/>
        </w:numPr>
        <w:tabs>
          <w:tab w:val="left" w:pos="360" w:leader="none"/>
          <w:tab w:val="left" w:pos="720" w:leader="none"/>
          <w:tab w:val="left" w:pos="1080" w:leader="none"/>
        </w:tabs>
        <w:rPr/>
      </w:pPr>
      <w:r>
        <w:rPr/>
        <w:t>Monitor security control compliance by those external service providers.</w:t>
      </w:r>
    </w:p>
    <w:p>
      <w:pPr>
        <w:pStyle w:val="Normal"/>
        <w:rPr/>
      </w:pPr>
      <w:r>
        <w:rPr/>
      </w:r>
    </w:p>
    <w:p>
      <w:pPr>
        <w:pStyle w:val="Normal"/>
        <w:rPr/>
      </w:pPr>
      <w:r>
        <w:rPr>
          <w:u w:val="single"/>
        </w:rPr>
        <w:t>Guidelines</w:t>
      </w:r>
      <w:r>
        <w:rPr/>
        <w:t xml:space="preserve">: Applicable providers for PCI DSS compliance must meet specific requirements as detailed in </w:t>
      </w:r>
      <w:r>
        <w:rPr>
          <w:i/>
        </w:rPr>
        <w:t>Appendix A (Additional PCI DSS Requirements for Shared Hosting Provider)</w:t>
      </w:r>
      <w:r>
        <w:rPr/>
        <w:t xml:space="preserve"> of the PCI DSS.</w:t>
      </w:r>
    </w:p>
    <w:p>
      <w:pPr>
        <w:pStyle w:val="Normal"/>
        <w:rPr/>
      </w:pPr>
      <w:r>
        <w:rPr/>
      </w:r>
    </w:p>
    <w:p>
      <w:pPr>
        <w:pStyle w:val="Normal"/>
        <w:tabs>
          <w:tab w:val="clear" w:pos="360"/>
          <w:tab w:val="clear" w:pos="720"/>
          <w:tab w:val="clear" w:pos="1080"/>
        </w:tabs>
        <w:jc w:val="left"/>
        <w:rPr>
          <w:rFonts w:cs="Calibri"/>
          <w:b/>
          <w:b/>
          <w:bCs w:val="false"/>
          <w:color w:val="1F497D" w:themeColor="text2"/>
        </w:rPr>
      </w:pPr>
      <w:r>
        <w:rPr>
          <w:rFonts w:cs="Calibri"/>
          <w:b/>
          <w:bCs w:val="false"/>
          <w:color w:val="1F497D" w:themeColor="text2"/>
        </w:rPr>
      </w:r>
    </w:p>
    <w:p>
      <w:pPr>
        <w:pStyle w:val="Heading2"/>
        <w:rPr/>
      </w:pPr>
      <w:bookmarkStart w:id="317" w:name="_Toc474074826"/>
      <w:bookmarkStart w:id="318" w:name="_Toc474075546"/>
      <w:bookmarkStart w:id="319" w:name="_Toc34920597"/>
      <w:r>
        <w:rPr/>
        <w:t>CLD-02: Cloud Security Architecture</w:t>
      </w:r>
      <w:bookmarkEnd w:id="317"/>
      <w:bookmarkEnd w:id="318"/>
      <w:bookmarkEnd w:id="319"/>
      <w:r>
        <w:rPr/>
        <w:t xml:space="preserve"> </w:t>
      </w:r>
    </w:p>
    <w:p>
      <w:pPr>
        <w:pStyle w:val="Normal"/>
        <w:rPr/>
      </w:pPr>
      <w:r>
        <w:rPr>
          <w:u w:val="single"/>
        </w:rPr>
        <w:t>Control Objective</w:t>
      </w:r>
      <w:r>
        <w:rPr/>
        <w:t>: The organization's cloud security architecture supports the its technology strategy to securely design, configure and maintain cloud deployments.</w:t>
      </w:r>
    </w:p>
    <w:p>
      <w:pPr>
        <w:pStyle w:val="Normal"/>
        <w:rPr/>
      </w:pPr>
      <w:r>
        <w:rPr/>
      </w:r>
    </w:p>
    <w:p>
      <w:pPr>
        <w:pStyle w:val="Normal"/>
        <w:rPr/>
      </w:pPr>
      <w:r>
        <w:rPr>
          <w:u w:val="single"/>
        </w:rPr>
        <w:t>Standard</w:t>
      </w:r>
      <w:r>
        <w:rPr/>
        <w:t>: The design, configuration and implementation of cloud-based applications, infrastructure and system-system interfaces (e.g., API) must be conducted in accordance with mutually agreed-upon service, security and capacity-level expectations from both enterprise technology and security architects. Minimum expectations for cloud-based architecture includes, but is not limited to:</w:t>
      </w:r>
    </w:p>
    <w:p>
      <w:pPr>
        <w:pStyle w:val="ListParagraph"/>
        <w:numPr>
          <w:ilvl w:val="0"/>
          <w:numId w:val="256"/>
        </w:numPr>
        <w:tabs>
          <w:tab w:val="left" w:pos="360" w:leader="none"/>
          <w:tab w:val="left" w:pos="720" w:leader="none"/>
          <w:tab w:val="left" w:pos="1080" w:leader="none"/>
        </w:tabs>
        <w:rPr/>
      </w:pPr>
      <w:r>
        <w:rPr/>
        <w:t>Services running in a cloud must follow the principles of least privileges;</w:t>
      </w:r>
    </w:p>
    <w:p>
      <w:pPr>
        <w:pStyle w:val="ListParagraph"/>
        <w:numPr>
          <w:ilvl w:val="0"/>
          <w:numId w:val="256"/>
        </w:numPr>
        <w:tabs>
          <w:tab w:val="left" w:pos="360" w:leader="none"/>
          <w:tab w:val="left" w:pos="720" w:leader="none"/>
          <w:tab w:val="left" w:pos="1080" w:leader="none"/>
        </w:tabs>
        <w:rPr/>
      </w:pPr>
      <w:r>
        <w:rPr/>
        <w:t>Isolation between various security zones must be guaranteed using layers of firewalls (e.g., cloud firewall, hypervisor firewall, guest firewall and application container);</w:t>
      </w:r>
    </w:p>
    <w:p>
      <w:pPr>
        <w:pStyle w:val="ListParagraph"/>
        <w:numPr>
          <w:ilvl w:val="0"/>
          <w:numId w:val="256"/>
        </w:numPr>
        <w:tabs>
          <w:tab w:val="left" w:pos="360" w:leader="none"/>
          <w:tab w:val="left" w:pos="720" w:leader="none"/>
          <w:tab w:val="left" w:pos="1080" w:leader="none"/>
        </w:tabs>
        <w:rPr/>
      </w:pPr>
      <w:r>
        <w:rPr/>
        <w:t>Firewall policies in the cloud must comply with trust zone isolation standards based on data sensitivity;</w:t>
      </w:r>
    </w:p>
    <w:p>
      <w:pPr>
        <w:pStyle w:val="ListParagraph"/>
        <w:numPr>
          <w:ilvl w:val="0"/>
          <w:numId w:val="256"/>
        </w:numPr>
        <w:tabs>
          <w:tab w:val="left" w:pos="360" w:leader="none"/>
          <w:tab w:val="left" w:pos="720" w:leader="none"/>
          <w:tab w:val="left" w:pos="1080" w:leader="none"/>
        </w:tabs>
        <w:rPr/>
      </w:pPr>
      <w:r>
        <w:rPr/>
        <w:t>Applications must use end-to-end transport level encryption (e.g., TLS or IPSEC) to secure data in transit between applications deployed in the cloud as well as to NFCC;</w:t>
      </w:r>
    </w:p>
    <w:p>
      <w:pPr>
        <w:pStyle w:val="ListParagraph"/>
        <w:numPr>
          <w:ilvl w:val="0"/>
          <w:numId w:val="256"/>
        </w:numPr>
        <w:tabs>
          <w:tab w:val="left" w:pos="360" w:leader="none"/>
          <w:tab w:val="left" w:pos="720" w:leader="none"/>
          <w:tab w:val="left" w:pos="1080" w:leader="none"/>
        </w:tabs>
        <w:rPr/>
      </w:pPr>
      <w:r>
        <w:rPr/>
        <w:t xml:space="preserve">Applications must externalize authentication and authorization to trusted security services; </w:t>
      </w:r>
    </w:p>
    <w:p>
      <w:pPr>
        <w:pStyle w:val="ListParagraph"/>
        <w:numPr>
          <w:ilvl w:val="0"/>
          <w:numId w:val="256"/>
        </w:numPr>
        <w:tabs>
          <w:tab w:val="left" w:pos="360" w:leader="none"/>
          <w:tab w:val="left" w:pos="720" w:leader="none"/>
          <w:tab w:val="left" w:pos="1080" w:leader="none"/>
        </w:tabs>
        <w:rPr/>
      </w:pPr>
      <w:r>
        <w:rPr/>
        <w:t>If Single Sign-On (SSO) is used, it must support industry-recognized protocols (e.g., SAML 2.0);</w:t>
      </w:r>
    </w:p>
    <w:p>
      <w:pPr>
        <w:pStyle w:val="ListParagraph"/>
        <w:numPr>
          <w:ilvl w:val="0"/>
          <w:numId w:val="256"/>
        </w:numPr>
        <w:tabs>
          <w:tab w:val="left" w:pos="360" w:leader="none"/>
          <w:tab w:val="left" w:pos="720" w:leader="none"/>
          <w:tab w:val="left" w:pos="1080" w:leader="none"/>
        </w:tabs>
        <w:rPr/>
      </w:pPr>
      <w:r>
        <w:rPr/>
        <w:t>Data masking and encryption must be employed based on data sensitivity aligned with NFCC’s data classification standard;</w:t>
      </w:r>
    </w:p>
    <w:p>
      <w:pPr>
        <w:pStyle w:val="ListParagraph"/>
        <w:numPr>
          <w:ilvl w:val="0"/>
          <w:numId w:val="256"/>
        </w:numPr>
        <w:tabs>
          <w:tab w:val="left" w:pos="360" w:leader="none"/>
          <w:tab w:val="left" w:pos="720" w:leader="none"/>
          <w:tab w:val="left" w:pos="1080" w:leader="none"/>
        </w:tabs>
        <w:rPr/>
      </w:pPr>
      <w:r>
        <w:rPr/>
        <w:t>Applications in a trusted zone must be deployed on authorized, standard VM images;</w:t>
      </w:r>
    </w:p>
    <w:p>
      <w:pPr>
        <w:pStyle w:val="ListParagraph"/>
        <w:numPr>
          <w:ilvl w:val="0"/>
          <w:numId w:val="256"/>
        </w:numPr>
        <w:tabs>
          <w:tab w:val="left" w:pos="360" w:leader="none"/>
          <w:tab w:val="left" w:pos="720" w:leader="none"/>
          <w:tab w:val="left" w:pos="1080" w:leader="none"/>
        </w:tabs>
        <w:rPr/>
      </w:pPr>
      <w:r>
        <w:rPr/>
        <w:t>Industry standard VPN protocols such as SSH, TLS and IPSEC must be employed when deploying Virtual Private Cloud (VPC); and</w:t>
      </w:r>
    </w:p>
    <w:p>
      <w:pPr>
        <w:pStyle w:val="ListParagraph"/>
        <w:numPr>
          <w:ilvl w:val="0"/>
          <w:numId w:val="256"/>
        </w:numPr>
        <w:tabs>
          <w:tab w:val="left" w:pos="360" w:leader="none"/>
          <w:tab w:val="left" w:pos="720" w:leader="none"/>
          <w:tab w:val="left" w:pos="1080" w:leader="none"/>
        </w:tabs>
        <w:rPr/>
      </w:pPr>
      <w:r>
        <w:rPr/>
        <w:t>Security monitoring in the cloud must be integrated with existing NFCC security monitoring tools (e.g., API feeds to SIEM).</w:t>
      </w:r>
    </w:p>
    <w:p>
      <w:pPr>
        <w:pStyle w:val="Normal"/>
        <w:rPr/>
      </w:pPr>
      <w:r>
        <w:rPr/>
      </w:r>
    </w:p>
    <w:p>
      <w:pPr>
        <w:pStyle w:val="Normal"/>
        <w:rPr/>
      </w:pPr>
      <w:r>
        <w:rPr>
          <w:u w:val="single"/>
        </w:rPr>
        <w:t>Guidelines</w:t>
      </w:r>
      <w:r>
        <w:rPr/>
        <w:t>: The Cloud Security Alliance (CSA) should be referenced for security-related architectural questions for cloud deployments.</w:t>
      </w:r>
      <w:r>
        <w:rPr>
          <w:rStyle w:val="FootnoteAnchor"/>
          <w:rStyle w:val="FootnoteAnchor"/>
        </w:rPr>
        <w:footnoteReference w:id="101"/>
      </w:r>
      <w:r>
        <w:rPr/>
        <w:t xml:space="preserve"> The CSA provides industry-leading practice for:</w:t>
      </w:r>
    </w:p>
    <w:p>
      <w:pPr>
        <w:pStyle w:val="ListParagraph"/>
        <w:numPr>
          <w:ilvl w:val="0"/>
          <w:numId w:val="219"/>
        </w:numPr>
        <w:rPr/>
      </w:pPr>
      <w:r>
        <w:rPr/>
        <w:t>Software as a Service (SaaS);</w:t>
      </w:r>
    </w:p>
    <w:p>
      <w:pPr>
        <w:pStyle w:val="ListParagraph"/>
        <w:numPr>
          <w:ilvl w:val="0"/>
          <w:numId w:val="219"/>
        </w:numPr>
        <w:rPr/>
      </w:pPr>
      <w:r>
        <w:rPr/>
        <w:t>Infrastructure as a Service (IaaS); and</w:t>
      </w:r>
    </w:p>
    <w:p>
      <w:pPr>
        <w:pStyle w:val="ListParagraph"/>
        <w:numPr>
          <w:ilvl w:val="0"/>
          <w:numId w:val="219"/>
        </w:numPr>
        <w:rPr/>
      </w:pPr>
      <w:r>
        <w:rPr/>
        <w:t>Platform as a Service (PaaS).</w:t>
      </w:r>
    </w:p>
    <w:p>
      <w:pPr>
        <w:pStyle w:val="Normal"/>
        <w:rPr/>
      </w:pPr>
      <w:r>
        <w:rPr/>
      </w:r>
    </w:p>
    <w:p>
      <w:pPr>
        <w:pStyle w:val="Normal"/>
        <w:rPr/>
      </w:pPr>
      <w:r>
        <w:rPr/>
      </w:r>
    </w:p>
    <w:p>
      <w:pPr>
        <w:pStyle w:val="Heading2"/>
        <w:rPr/>
      </w:pPr>
      <w:bookmarkStart w:id="320" w:name="_Toc474074827"/>
      <w:bookmarkStart w:id="321" w:name="_Toc474075547"/>
      <w:bookmarkStart w:id="322" w:name="_Toc34920598"/>
      <w:r>
        <w:rPr/>
        <w:t>CLD-03: Security Management Subnet</w:t>
      </w:r>
      <w:bookmarkEnd w:id="322"/>
      <w:r>
        <w:rPr/>
        <w:t xml:space="preserve"> </w:t>
      </w:r>
      <w:bookmarkEnd w:id="320"/>
      <w:bookmarkEnd w:id="321"/>
    </w:p>
    <w:p>
      <w:pPr>
        <w:pStyle w:val="Normal"/>
        <w:rPr/>
      </w:pPr>
      <w:r>
        <w:rPr>
          <w:u w:val="single"/>
        </w:rPr>
        <w:t>Control Objective</w:t>
      </w:r>
      <w:r>
        <w:rPr/>
        <w:t>: The organization manages the security of the network infrastructure on a separate network, relying on separate VLANs or, preferably, on an entirely different subnet.</w:t>
      </w:r>
    </w:p>
    <w:p>
      <w:pPr>
        <w:pStyle w:val="Normal"/>
        <w:rPr/>
      </w:pPr>
      <w:r>
        <w:rPr/>
      </w:r>
    </w:p>
    <w:p>
      <w:pPr>
        <w:pStyle w:val="Normal"/>
        <w:rPr/>
      </w:pPr>
      <w:r>
        <w:rPr>
          <w:u w:val="single"/>
        </w:rPr>
        <w:t>Standard</w:t>
      </w:r>
      <w:r>
        <w:rPr/>
        <w:t>: Where technically feasible, network administrators are required to:</w:t>
      </w:r>
    </w:p>
    <w:p>
      <w:pPr>
        <w:pStyle w:val="ListParagraph"/>
        <w:numPr>
          <w:ilvl w:val="0"/>
          <w:numId w:val="507"/>
        </w:numPr>
        <w:rPr/>
      </w:pPr>
      <w:r>
        <w:rPr/>
        <w:t>Manage the network infrastructure across network connections that are separated from the business use of that network, relying on separate VLANs or, preferably, on entirely different physical connectivity for management sessions for network devices; and</w:t>
      </w:r>
    </w:p>
    <w:p>
      <w:pPr>
        <w:pStyle w:val="ListParagraph"/>
        <w:numPr>
          <w:ilvl w:val="0"/>
          <w:numId w:val="507"/>
        </w:numPr>
        <w:rPr/>
      </w:pPr>
      <w:r>
        <w:rPr/>
        <w:t>Use secure protocols.</w:t>
      </w:r>
    </w:p>
    <w:p>
      <w:pPr>
        <w:pStyle w:val="Normal"/>
        <w:rPr/>
      </w:pPr>
      <w:r>
        <w:rPr/>
      </w:r>
    </w:p>
    <w:p>
      <w:pPr>
        <w:pStyle w:val="Normal"/>
        <w:rPr/>
      </w:pPr>
      <w:r>
        <w:rPr>
          <w:u w:val="single"/>
        </w:rPr>
        <w:t>Guidelines</w:t>
      </w:r>
      <w:r>
        <w:rPr/>
        <w:t>: None</w:t>
      </w:r>
    </w:p>
    <w:p>
      <w:pPr>
        <w:pStyle w:val="Normal"/>
        <w:rPr/>
      </w:pPr>
      <w:r>
        <w:rPr/>
      </w:r>
    </w:p>
    <w:p>
      <w:pPr>
        <w:pStyle w:val="Normal"/>
        <w:rPr/>
      </w:pPr>
      <w:r>
        <w:rPr/>
      </w:r>
    </w:p>
    <w:p>
      <w:pPr>
        <w:pStyle w:val="Heading2"/>
        <w:rPr/>
      </w:pPr>
      <w:bookmarkStart w:id="323" w:name="_Toc474074828"/>
      <w:bookmarkStart w:id="324" w:name="_Toc474075548"/>
      <w:bookmarkStart w:id="325" w:name="_Toc34920599"/>
      <w:r>
        <w:rPr/>
        <w:t>CLD-04: Application &amp; Program Interface (API) Security</w:t>
      </w:r>
      <w:bookmarkEnd w:id="325"/>
      <w:r>
        <w:rPr/>
        <w:t xml:space="preserve"> </w:t>
      </w:r>
      <w:bookmarkEnd w:id="323"/>
      <w:bookmarkEnd w:id="324"/>
    </w:p>
    <w:p>
      <w:pPr>
        <w:pStyle w:val="Normal"/>
        <w:rPr/>
      </w:pPr>
      <w:r>
        <w:rPr>
          <w:u w:val="single"/>
        </w:rPr>
        <w:t>Control Objective</w:t>
      </w:r>
      <w:r>
        <w:rPr/>
        <w:t>: The organization uses open and published APIs to ensure support for interoperability between components and to facilitate migrating applications.</w:t>
      </w:r>
    </w:p>
    <w:p>
      <w:pPr>
        <w:pStyle w:val="Normal"/>
        <w:rPr/>
      </w:pPr>
      <w:r>
        <w:rPr/>
      </w:r>
    </w:p>
    <w:p>
      <w:pPr>
        <w:pStyle w:val="Normal"/>
        <w:rPr/>
      </w:pPr>
      <w:r>
        <w:rPr>
          <w:u w:val="single"/>
        </w:rPr>
        <w:t>Standard</w:t>
      </w:r>
      <w:r>
        <w:rPr/>
        <w:t>: Where technically feasible, only open and published APIs are authorized for use to:</w:t>
      </w:r>
    </w:p>
    <w:p>
      <w:pPr>
        <w:pStyle w:val="ListParagraph"/>
        <w:numPr>
          <w:ilvl w:val="0"/>
          <w:numId w:val="508"/>
        </w:numPr>
        <w:rPr/>
      </w:pPr>
      <w:r>
        <w:rPr/>
        <w:t xml:space="preserve">Ensure support for interoperability between components; and </w:t>
      </w:r>
    </w:p>
    <w:p>
      <w:pPr>
        <w:pStyle w:val="ListParagraph"/>
        <w:numPr>
          <w:ilvl w:val="0"/>
          <w:numId w:val="508"/>
        </w:numPr>
        <w:rPr/>
      </w:pPr>
      <w:r>
        <w:rPr/>
        <w:t>Facilitate migrating applications.</w:t>
      </w:r>
    </w:p>
    <w:p>
      <w:pPr>
        <w:pStyle w:val="Normal"/>
        <w:rPr/>
      </w:pPr>
      <w:r>
        <w:rPr/>
      </w:r>
    </w:p>
    <w:p>
      <w:pPr>
        <w:pStyle w:val="Normal"/>
        <w:rPr/>
      </w:pPr>
      <w:r>
        <w:rPr>
          <w:u w:val="single"/>
        </w:rPr>
        <w:t>Guidelines</w:t>
      </w:r>
      <w:r>
        <w:rPr/>
        <w:t>: None</w:t>
      </w:r>
    </w:p>
    <w:p>
      <w:pPr>
        <w:pStyle w:val="Normal"/>
        <w:rPr/>
      </w:pPr>
      <w:r>
        <w:rPr/>
      </w:r>
    </w:p>
    <w:p>
      <w:pPr>
        <w:pStyle w:val="Normal"/>
        <w:rPr/>
      </w:pPr>
      <w:r>
        <w:rPr/>
      </w:r>
    </w:p>
    <w:p>
      <w:pPr>
        <w:pStyle w:val="Heading2"/>
        <w:rPr/>
      </w:pPr>
      <w:bookmarkStart w:id="326" w:name="_Toc474074829"/>
      <w:bookmarkStart w:id="327" w:name="_Toc474075549"/>
      <w:bookmarkStart w:id="328" w:name="_Toc34920600"/>
      <w:r>
        <w:rPr/>
        <w:t>CLD-05: Virtual Machine Images</w:t>
      </w:r>
      <w:bookmarkEnd w:id="328"/>
      <w:r>
        <w:rPr/>
        <w:t xml:space="preserve"> </w:t>
      </w:r>
      <w:bookmarkEnd w:id="326"/>
      <w:bookmarkEnd w:id="327"/>
    </w:p>
    <w:p>
      <w:pPr>
        <w:pStyle w:val="Normal"/>
        <w:rPr/>
      </w:pPr>
      <w:r>
        <w:rPr>
          <w:u w:val="single"/>
        </w:rPr>
        <w:t>Control Objective</w:t>
      </w:r>
      <w:r>
        <w:rPr/>
        <w:t>: The organization implements mechanisms to ensure the integrity of all virtual machine images at all times.</w:t>
      </w:r>
    </w:p>
    <w:p>
      <w:pPr>
        <w:pStyle w:val="Normal"/>
        <w:rPr/>
      </w:pPr>
      <w:r>
        <w:rPr/>
      </w:r>
    </w:p>
    <w:p>
      <w:pPr>
        <w:pStyle w:val="Normal"/>
        <w:rPr/>
      </w:pPr>
      <w:r>
        <w:rPr>
          <w:u w:val="single"/>
        </w:rPr>
        <w:t>Standard</w:t>
      </w:r>
      <w:r>
        <w:rPr/>
        <w:t xml:space="preserve">: Any changes made to virtual machine images must be logged and an alert raised regardless of their running state (e.g., dormant, off or running). </w:t>
      </w:r>
    </w:p>
    <w:p>
      <w:pPr>
        <w:pStyle w:val="Normal"/>
        <w:rPr/>
      </w:pPr>
      <w:r>
        <w:rPr/>
      </w:r>
    </w:p>
    <w:p>
      <w:pPr>
        <w:pStyle w:val="Normal"/>
        <w:rPr/>
      </w:pPr>
      <w:r>
        <w:rPr>
          <w:u w:val="single"/>
        </w:rPr>
        <w:t>Guidelines</w:t>
      </w:r>
      <w:r>
        <w:rPr/>
        <w:t>: None</w:t>
      </w:r>
    </w:p>
    <w:p>
      <w:pPr>
        <w:pStyle w:val="Normal"/>
        <w:rPr/>
      </w:pPr>
      <w:r>
        <w:rPr/>
      </w:r>
    </w:p>
    <w:p>
      <w:pPr>
        <w:pStyle w:val="Normal"/>
        <w:rPr/>
      </w:pPr>
      <w:r>
        <w:rPr/>
      </w:r>
    </w:p>
    <w:p>
      <w:pPr>
        <w:pStyle w:val="Heading2"/>
        <w:rPr/>
      </w:pPr>
      <w:bookmarkStart w:id="329" w:name="_Toc474074830"/>
      <w:bookmarkStart w:id="330" w:name="_Toc474075550"/>
      <w:bookmarkStart w:id="331" w:name="_Toc34920601"/>
      <w:r>
        <w:rPr/>
        <w:t>CLD-06: Multi-Tenant Environments</w:t>
      </w:r>
      <w:bookmarkEnd w:id="331"/>
      <w:r>
        <w:rPr/>
        <w:t xml:space="preserve"> </w:t>
      </w:r>
      <w:bookmarkEnd w:id="329"/>
      <w:bookmarkEnd w:id="330"/>
    </w:p>
    <w:p>
      <w:pPr>
        <w:pStyle w:val="Normal"/>
        <w:rPr/>
      </w:pPr>
      <w:r>
        <w:rPr>
          <w:u w:val="single"/>
        </w:rPr>
        <w:t>Control Objective</w:t>
      </w:r>
      <w:r>
        <w:rPr/>
        <w:t>: Within multi-tenant organizationally owned or managed (physical and virtual) applications and infrastructure system and network components, the organization designs, develops, deploys and manages controls such that provider and customer (tenant) user access is appropriately segmented from other tenant users, based on the following considerations:</w:t>
      </w:r>
    </w:p>
    <w:p>
      <w:pPr>
        <w:pStyle w:val="ListParagraph"/>
        <w:numPr>
          <w:ilvl w:val="0"/>
          <w:numId w:val="509"/>
        </w:numPr>
        <w:rPr/>
      </w:pPr>
      <w:r>
        <w:rPr/>
        <w:t>Established policies and procedures;</w:t>
      </w:r>
    </w:p>
    <w:p>
      <w:pPr>
        <w:pStyle w:val="ListParagraph"/>
        <w:numPr>
          <w:ilvl w:val="0"/>
          <w:numId w:val="509"/>
        </w:numPr>
        <w:rPr/>
      </w:pPr>
      <w:r>
        <w:rPr/>
        <w:t>Isolation of business-critical assets and / or sensitive user data and sessions that mandate stronger internal controls and high levels of assurance; and</w:t>
      </w:r>
    </w:p>
    <w:p>
      <w:pPr>
        <w:pStyle w:val="ListParagraph"/>
        <w:numPr>
          <w:ilvl w:val="0"/>
          <w:numId w:val="509"/>
        </w:numPr>
        <w:rPr/>
      </w:pPr>
      <w:r>
        <w:rPr/>
        <w:t>Compliance with statutory, regulatory and contractual compliance obligations.</w:t>
      </w:r>
    </w:p>
    <w:p>
      <w:pPr>
        <w:pStyle w:val="Normal"/>
        <w:rPr/>
      </w:pPr>
      <w:r>
        <w:rPr/>
      </w:r>
    </w:p>
    <w:p>
      <w:pPr>
        <w:pStyle w:val="Normal"/>
        <w:rPr/>
      </w:pPr>
      <w:r>
        <w:rPr>
          <w:u w:val="single"/>
        </w:rPr>
        <w:t>Standard</w:t>
      </w:r>
      <w:r>
        <w:rPr/>
        <w:t>: Multi-tenant applications, infrastructure system and network components, must be designed, developed, deployed and configured such that provider and customer (tenant) user access is appropriately segmented from other tenant users, based on the following considerations:</w:t>
      </w:r>
    </w:p>
    <w:p>
      <w:pPr>
        <w:pStyle w:val="ListParagraph"/>
        <w:numPr>
          <w:ilvl w:val="0"/>
          <w:numId w:val="510"/>
        </w:numPr>
        <w:rPr/>
      </w:pPr>
      <w:r>
        <w:rPr/>
        <w:t>Established policies and procedures;</w:t>
      </w:r>
    </w:p>
    <w:p>
      <w:pPr>
        <w:pStyle w:val="ListParagraph"/>
        <w:numPr>
          <w:ilvl w:val="0"/>
          <w:numId w:val="510"/>
        </w:numPr>
        <w:rPr/>
      </w:pPr>
      <w:r>
        <w:rPr/>
        <w:t>Isolation of business-critical assets and / or sensitive user data and sessions that mandate stronger internal controls and high levels of assurance; and</w:t>
      </w:r>
    </w:p>
    <w:p>
      <w:pPr>
        <w:pStyle w:val="ListParagraph"/>
        <w:numPr>
          <w:ilvl w:val="0"/>
          <w:numId w:val="510"/>
        </w:numPr>
        <w:rPr/>
      </w:pPr>
      <w:r>
        <w:rPr/>
        <w:t>Compliance with statutory, regulatory and contractual compliance obligations.</w:t>
      </w:r>
    </w:p>
    <w:p>
      <w:pPr>
        <w:pStyle w:val="Normal"/>
        <w:rPr/>
      </w:pPr>
      <w:r>
        <w:rPr/>
      </w:r>
    </w:p>
    <w:p>
      <w:pPr>
        <w:pStyle w:val="Normal"/>
        <w:rPr/>
      </w:pPr>
      <w:r>
        <w:rPr>
          <w:u w:val="single"/>
        </w:rPr>
        <w:t>Guidelines</w:t>
      </w:r>
      <w:r>
        <w:rPr/>
        <w:t>: None</w:t>
      </w:r>
    </w:p>
    <w:p>
      <w:pPr>
        <w:pStyle w:val="Normal"/>
        <w:rPr/>
      </w:pPr>
      <w:r>
        <w:rPr/>
      </w:r>
    </w:p>
    <w:p>
      <w:pPr>
        <w:pStyle w:val="Normal"/>
        <w:rPr/>
      </w:pPr>
      <w:r>
        <w:rPr/>
      </w:r>
    </w:p>
    <w:p>
      <w:pPr>
        <w:pStyle w:val="Heading2"/>
        <w:rPr/>
      </w:pPr>
      <w:bookmarkStart w:id="332" w:name="_Toc474074831"/>
      <w:bookmarkStart w:id="333" w:name="_Toc474075551"/>
      <w:bookmarkStart w:id="334" w:name="_Toc34920602"/>
      <w:r>
        <w:rPr/>
        <w:t>CLD-07: Data Handling &amp; Portability</w:t>
      </w:r>
      <w:bookmarkEnd w:id="334"/>
      <w:r>
        <w:rPr/>
        <w:t xml:space="preserve"> </w:t>
      </w:r>
      <w:bookmarkEnd w:id="332"/>
      <w:bookmarkEnd w:id="333"/>
    </w:p>
    <w:p>
      <w:pPr>
        <w:pStyle w:val="Normal"/>
        <w:rPr/>
      </w:pPr>
      <w:r>
        <w:rPr>
          <w:u w:val="single"/>
        </w:rPr>
        <w:t>Control Objective</w:t>
      </w:r>
      <w:r>
        <w:rPr/>
        <w:t>: Cloud providers use secure (e.g., non-clear text and authenticated) standardized network protocols for the import and export of data and to manage cloud-based services.</w:t>
      </w:r>
    </w:p>
    <w:p>
      <w:pPr>
        <w:pStyle w:val="Normal"/>
        <w:rPr/>
      </w:pPr>
      <w:r>
        <w:rPr/>
      </w:r>
    </w:p>
    <w:p>
      <w:pPr>
        <w:pStyle w:val="Normal"/>
        <w:rPr/>
      </w:pPr>
      <w:r>
        <w:rPr>
          <w:u w:val="single"/>
        </w:rPr>
        <w:t>Standard</w:t>
      </w:r>
      <w:r>
        <w:rPr/>
        <w:t>: NFCC requires that cloud providers:</w:t>
      </w:r>
    </w:p>
    <w:p>
      <w:pPr>
        <w:pStyle w:val="ListParagraph"/>
        <w:numPr>
          <w:ilvl w:val="0"/>
          <w:numId w:val="511"/>
        </w:numPr>
        <w:rPr/>
      </w:pPr>
      <w:r>
        <w:rPr/>
        <w:t>Use secure (e.g., non-clear text and authenticated) standardized network protocols for the import and export of data and to manage cloud-based services; and</w:t>
      </w:r>
    </w:p>
    <w:p>
      <w:pPr>
        <w:pStyle w:val="ListParagraph"/>
        <w:numPr>
          <w:ilvl w:val="0"/>
          <w:numId w:val="511"/>
        </w:numPr>
        <w:rPr/>
      </w:pPr>
      <w:r>
        <w:rPr/>
        <w:t>All structured and unstructured data must be available to the NFCC upon request in an industry-standard format (e.g., .doc, .xls, .pdf, logs and flat files).</w:t>
      </w:r>
    </w:p>
    <w:p>
      <w:pPr>
        <w:pStyle w:val="Normal"/>
        <w:rPr/>
      </w:pPr>
      <w:r>
        <w:rPr/>
      </w:r>
    </w:p>
    <w:p>
      <w:pPr>
        <w:pStyle w:val="Normal"/>
        <w:rPr/>
      </w:pPr>
      <w:r>
        <w:rPr>
          <w:u w:val="single"/>
        </w:rPr>
        <w:t>Guidelines</w:t>
      </w:r>
      <w:r>
        <w:rPr/>
        <w:t>: None</w:t>
      </w:r>
    </w:p>
    <w:p>
      <w:pPr>
        <w:pStyle w:val="Normal"/>
        <w:rPr/>
      </w:pPr>
      <w:r>
        <w:rPr/>
      </w:r>
    </w:p>
    <w:p>
      <w:pPr>
        <w:pStyle w:val="Normal"/>
        <w:rPr/>
      </w:pPr>
      <w:r>
        <w:rPr/>
      </w:r>
    </w:p>
    <w:p>
      <w:pPr>
        <w:pStyle w:val="Heading2"/>
        <w:rPr/>
      </w:pPr>
      <w:bookmarkStart w:id="335" w:name="_Toc474074832"/>
      <w:bookmarkStart w:id="336" w:name="_Toc474075552"/>
      <w:bookmarkStart w:id="337" w:name="_Toc34920603"/>
      <w:r>
        <w:rPr/>
        <w:t>CLD-08: Standardized Virtualization Formats</w:t>
      </w:r>
      <w:bookmarkEnd w:id="337"/>
      <w:r>
        <w:rPr/>
        <w:t xml:space="preserve"> </w:t>
      </w:r>
      <w:bookmarkEnd w:id="335"/>
      <w:bookmarkEnd w:id="336"/>
    </w:p>
    <w:p>
      <w:pPr>
        <w:pStyle w:val="Normal"/>
        <w:rPr/>
      </w:pPr>
      <w:r>
        <w:rPr>
          <w:u w:val="single"/>
        </w:rPr>
        <w:t>Control Objective</w:t>
      </w:r>
      <w:r>
        <w:rPr/>
        <w:t>: The organization's cloud provider(s):</w:t>
      </w:r>
    </w:p>
    <w:p>
      <w:pPr>
        <w:pStyle w:val="ListParagraph"/>
        <w:numPr>
          <w:ilvl w:val="0"/>
          <w:numId w:val="512"/>
        </w:numPr>
        <w:rPr/>
      </w:pPr>
      <w:r>
        <w:rPr/>
        <w:t>Uses an industry-recognized virtualization platform and standard virtualization formats (e.g., OVF) to help ensure interoperability; and</w:t>
      </w:r>
    </w:p>
    <w:p>
      <w:pPr>
        <w:pStyle w:val="ListParagraph"/>
        <w:numPr>
          <w:ilvl w:val="0"/>
          <w:numId w:val="512"/>
        </w:numPr>
        <w:rPr/>
      </w:pPr>
      <w:r>
        <w:rPr/>
        <w:t>Has documented custom changes made to any hypervisor in use and all solution-specific virtualization hooks available for customer review.</w:t>
      </w:r>
    </w:p>
    <w:p>
      <w:pPr>
        <w:pStyle w:val="Normal"/>
        <w:rPr/>
      </w:pPr>
      <w:r>
        <w:rPr/>
      </w:r>
    </w:p>
    <w:p>
      <w:pPr>
        <w:pStyle w:val="Normal"/>
        <w:rPr/>
      </w:pPr>
      <w:r>
        <w:rPr>
          <w:u w:val="single"/>
        </w:rPr>
        <w:t>Standard</w:t>
      </w:r>
      <w:r>
        <w:rPr/>
        <w:t>: NFCC requires that cloud providers:</w:t>
      </w:r>
    </w:p>
    <w:p>
      <w:pPr>
        <w:pStyle w:val="ListParagraph"/>
        <w:numPr>
          <w:ilvl w:val="0"/>
          <w:numId w:val="513"/>
        </w:numPr>
        <w:rPr/>
      </w:pPr>
      <w:r>
        <w:rPr/>
        <w:t>Use an industry-recognized virtualization platform and standard virtualization formats (e.g., OVF) to help ensure interoperability; and</w:t>
      </w:r>
    </w:p>
    <w:p>
      <w:pPr>
        <w:pStyle w:val="ListParagraph"/>
        <w:numPr>
          <w:ilvl w:val="0"/>
          <w:numId w:val="513"/>
        </w:numPr>
        <w:rPr/>
      </w:pPr>
      <w:r>
        <w:rPr/>
        <w:t>Have documented custom changes made to any hypervisor in use and all solution-specific virtualization hooks available for NFCC review.</w:t>
      </w:r>
    </w:p>
    <w:p>
      <w:pPr>
        <w:pStyle w:val="Normal"/>
        <w:rPr/>
      </w:pPr>
      <w:r>
        <w:rPr/>
      </w:r>
    </w:p>
    <w:p>
      <w:pPr>
        <w:pStyle w:val="Normal"/>
        <w:rPr/>
      </w:pPr>
      <w:r>
        <w:rPr>
          <w:u w:val="single"/>
        </w:rPr>
        <w:t>Guidelines</w:t>
      </w:r>
      <w:r>
        <w:rPr/>
        <w:t>: None</w:t>
      </w:r>
    </w:p>
    <w:p>
      <w:pPr>
        <w:pStyle w:val="Normal"/>
        <w:rPr/>
      </w:pPr>
      <w:r>
        <w:rPr/>
      </w:r>
    </w:p>
    <w:p>
      <w:pPr>
        <w:pStyle w:val="Normal"/>
        <w:rPr/>
      </w:pPr>
      <w:r>
        <w:rPr/>
      </w:r>
    </w:p>
    <w:p>
      <w:pPr>
        <w:pStyle w:val="Heading2"/>
        <w:rPr/>
      </w:pPr>
      <w:bookmarkStart w:id="338" w:name="_Toc34920604"/>
      <w:bookmarkStart w:id="339" w:name="_Toc474074834"/>
      <w:bookmarkStart w:id="340" w:name="_Toc474075554"/>
      <w:r>
        <w:rPr/>
        <w:t>CLD-09: Geolocation Requirements</w:t>
      </w:r>
      <w:bookmarkEnd w:id="339"/>
      <w:bookmarkEnd w:id="340"/>
      <w:r>
        <w:rPr/>
        <w:t xml:space="preserve"> for Processing, Storage and Service Locations</w:t>
      </w:r>
      <w:bookmarkEnd w:id="338"/>
    </w:p>
    <w:p>
      <w:pPr>
        <w:pStyle w:val="Normal"/>
        <w:rPr/>
      </w:pPr>
      <w:r>
        <w:rPr>
          <w:u w:val="single"/>
        </w:rPr>
        <w:t>Control Objective</w:t>
      </w:r>
      <w:r>
        <w:rPr/>
        <w:t>: The organization restricts the location of cloud processing / storage based on business requirements, as well as statutory, regulatory and contractual obligations.</w:t>
      </w:r>
      <w:r>
        <w:rPr>
          <w:rStyle w:val="FootnoteAnchor"/>
          <w:rStyle w:val="FootnoteAnchor"/>
          <w:rFonts w:cs="Calibri"/>
          <w:bCs w:val="false"/>
        </w:rPr>
        <w:footnoteReference w:id="102"/>
      </w:r>
    </w:p>
    <w:p>
      <w:pPr>
        <w:pStyle w:val="Normal"/>
        <w:rPr/>
      </w:pPr>
      <w:r>
        <w:rPr/>
      </w:r>
    </w:p>
    <w:p>
      <w:pPr>
        <w:pStyle w:val="Normal"/>
        <w:rPr/>
      </w:pPr>
      <w:r>
        <w:rPr>
          <w:u w:val="single"/>
        </w:rPr>
        <w:t>Standard</w:t>
      </w:r>
      <w:r>
        <w:rPr/>
        <w:t xml:space="preserve">: Data / process owners are required to ensure the location(s) of information processing / storage is compliant with NFCC’s business requirements. </w:t>
      </w:r>
    </w:p>
    <w:p>
      <w:pPr>
        <w:pStyle w:val="Normal"/>
        <w:rPr/>
      </w:pPr>
      <w:r>
        <w:rPr/>
      </w:r>
    </w:p>
    <w:p>
      <w:pPr>
        <w:pStyle w:val="Normal"/>
        <w:rPr/>
      </w:pPr>
      <w:r>
        <w:rPr>
          <w:u w:val="single"/>
        </w:rPr>
        <w:t>Guidelines</w:t>
      </w:r>
      <w:r>
        <w:rPr/>
        <w:t>: The location of information processing, information / data storage or services that are critical to organizations can have a direct impact on the ability of those organizations to successfully execute their missions / business functions. This situation exists when external providers control the location of processing, storage or services. The criteria external providers use for the selection of processing, storage or service locations may be different from organizational criteria. For example, organizations may want to ensure that data / information storage locations are restricted to certain locations to facilitate incident response activities (e.g., forensic analyses, after-the-fact investigations) in the case of cybersecurity breaches / compromises. Such incident response activities may be adversely affected by the governing laws or protocols in the locations where processing and storage occur and / or the locations from which services emanate.</w:t>
      </w:r>
    </w:p>
    <w:p>
      <w:pPr>
        <w:pStyle w:val="Normal"/>
        <w:rPr/>
      </w:pPr>
      <w:r>
        <w:rPr/>
      </w:r>
    </w:p>
    <w:p>
      <w:pPr>
        <w:pStyle w:val="Normal"/>
        <w:rPr/>
      </w:pPr>
      <w:r>
        <w:rPr/>
      </w:r>
    </w:p>
    <w:p>
      <w:pPr>
        <w:pStyle w:val="Heading2"/>
        <w:rPr/>
      </w:pPr>
      <w:bookmarkStart w:id="341" w:name="_Toc474074835"/>
      <w:bookmarkStart w:id="342" w:name="_Toc474075555"/>
      <w:bookmarkStart w:id="343" w:name="_Toc34920605"/>
      <w:r>
        <w:rPr/>
        <w:t>CLD-10: Sensitive Data In Public Cloud Providers</w:t>
      </w:r>
      <w:bookmarkEnd w:id="341"/>
      <w:bookmarkEnd w:id="342"/>
      <w:bookmarkEnd w:id="343"/>
    </w:p>
    <w:p>
      <w:pPr>
        <w:pStyle w:val="Normal"/>
        <w:rPr/>
      </w:pPr>
      <w:r>
        <w:rPr>
          <w:u w:val="single"/>
        </w:rPr>
        <w:t>Control Objective</w:t>
      </w:r>
      <w:r>
        <w:rPr/>
        <w:t xml:space="preserve">: The organization limits and manages the storage of sensitive data in public cloud providers. </w:t>
      </w:r>
    </w:p>
    <w:p>
      <w:pPr>
        <w:pStyle w:val="Normal"/>
        <w:rPr/>
      </w:pPr>
      <w:r>
        <w:rPr/>
      </w:r>
    </w:p>
    <w:p>
      <w:pPr>
        <w:pStyle w:val="Normal"/>
        <w:rPr/>
      </w:pPr>
      <w:r>
        <w:rPr>
          <w:u w:val="single"/>
        </w:rPr>
        <w:t>Standard</w:t>
      </w:r>
      <w:r>
        <w:rPr/>
        <w:t>: NFCC:</w:t>
      </w:r>
    </w:p>
    <w:p>
      <w:pPr>
        <w:pStyle w:val="ListParagraph"/>
        <w:numPr>
          <w:ilvl w:val="0"/>
          <w:numId w:val="514"/>
        </w:numPr>
        <w:rPr/>
      </w:pPr>
      <w:r>
        <w:rPr/>
        <w:t xml:space="preserve">Prohibits the storage of cryptographic keys in public cloud environments (e.g., at the cloud provider in question); and </w:t>
      </w:r>
    </w:p>
    <w:p>
      <w:pPr>
        <w:pStyle w:val="ListParagraph"/>
        <w:numPr>
          <w:ilvl w:val="0"/>
          <w:numId w:val="514"/>
        </w:numPr>
        <w:rPr/>
      </w:pPr>
      <w:r>
        <w:rPr/>
        <w:t xml:space="preserve">Requires cryptographic keys to be maintained by the cloud consumer or trusted key management provider. </w:t>
      </w:r>
    </w:p>
    <w:p>
      <w:pPr>
        <w:pStyle w:val="Normal"/>
        <w:rPr/>
      </w:pPr>
      <w:r>
        <w:rPr/>
      </w:r>
    </w:p>
    <w:p>
      <w:pPr>
        <w:pStyle w:val="Normal"/>
        <w:rPr/>
      </w:pPr>
      <w:r>
        <w:rPr>
          <w:u w:val="single"/>
        </w:rPr>
        <w:t>Guidelines</w:t>
      </w:r>
      <w:r>
        <w:rPr/>
        <w:t>: For more guidance, reference ISO 27008 as it is the leading practice describing security pertaining to sensitive data in public cloud providers.</w:t>
      </w:r>
    </w:p>
    <w:p>
      <w:pPr>
        <w:pStyle w:val="Normal"/>
        <w:rPr/>
      </w:pPr>
      <w:r>
        <w:rPr/>
      </w:r>
    </w:p>
    <w:p>
      <w:pPr>
        <w:pStyle w:val="Normal"/>
        <w:rPr/>
      </w:pPr>
      <w:r>
        <w:rPr/>
      </w:r>
    </w:p>
    <w:p>
      <w:pPr>
        <w:pStyle w:val="Heading2"/>
        <w:rPr/>
      </w:pPr>
      <w:bookmarkStart w:id="344" w:name="_Toc34920606"/>
      <w:r>
        <w:rPr/>
        <w:t>CLD-11: Cloud Access Point (CAP)</w:t>
      </w:r>
      <w:bookmarkEnd w:id="344"/>
      <w:r>
        <w:rPr/>
        <w:t xml:space="preserve"> </w:t>
      </w:r>
    </w:p>
    <w:p>
      <w:pPr>
        <w:pStyle w:val="Normal"/>
        <w:rPr/>
      </w:pPr>
      <w:r>
        <w:rPr>
          <w:u w:val="single"/>
        </w:rPr>
        <w:t>Control Objective</w:t>
      </w:r>
      <w:r>
        <w:rPr/>
        <w:t>: The organization utilizes Cloud Access Points (CAPs) to provide boundary protection and monitoring functions that both provide access to the cloud and protect the organization from the cloud.</w:t>
      </w:r>
    </w:p>
    <w:p>
      <w:pPr>
        <w:pStyle w:val="Normal"/>
        <w:rPr/>
      </w:pPr>
      <w:r>
        <w:rPr/>
      </w:r>
    </w:p>
    <w:p>
      <w:pPr>
        <w:pStyle w:val="Normal"/>
        <w:rPr/>
      </w:pPr>
      <w:r>
        <w:rPr>
          <w:u w:val="single"/>
        </w:rPr>
        <w:t>Standard</w:t>
      </w:r>
      <w:r>
        <w:rPr/>
        <w:t>: NFCC shall architect its private cloud instances to access cloud-based resources through a Cloud Access Point (CAP) that both provides access to the cloud and protects NFCC networks from the cloud, using streamlined protections that are focused on protecting the network boundary.</w:t>
      </w:r>
    </w:p>
    <w:p>
      <w:pPr>
        <w:pStyle w:val="Normal"/>
        <w:rPr/>
      </w:pPr>
      <w:r>
        <w:rPr/>
      </w:r>
    </w:p>
    <w:p>
      <w:pPr>
        <w:pStyle w:val="Normal"/>
        <w:rPr/>
      </w:pPr>
      <w:r>
        <w:rPr>
          <w:u w:val="single"/>
        </w:rPr>
        <w:t>Guidelines</w:t>
      </w:r>
      <w:r>
        <w:rPr/>
        <w:t xml:space="preserve">: Technologies used in a CAP may include: </w:t>
      </w:r>
    </w:p>
    <w:p>
      <w:pPr>
        <w:pStyle w:val="ListParagraph"/>
        <w:numPr>
          <w:ilvl w:val="0"/>
          <w:numId w:val="528"/>
        </w:numPr>
        <w:rPr/>
      </w:pPr>
      <w:r>
        <w:rPr/>
        <w:t>Next Generation Firewall (NGF)</w:t>
      </w:r>
    </w:p>
    <w:p>
      <w:pPr>
        <w:pStyle w:val="ListParagraph"/>
        <w:numPr>
          <w:ilvl w:val="0"/>
          <w:numId w:val="528"/>
        </w:numPr>
        <w:rPr/>
      </w:pPr>
      <w:r>
        <w:rPr/>
        <w:t>Web Application Firewall (WAF)</w:t>
      </w:r>
    </w:p>
    <w:p>
      <w:pPr>
        <w:pStyle w:val="ListParagraph"/>
        <w:numPr>
          <w:ilvl w:val="0"/>
          <w:numId w:val="528"/>
        </w:numPr>
        <w:rPr/>
      </w:pPr>
      <w:r>
        <w:rPr/>
        <w:t>Network Routing / Switching</w:t>
      </w:r>
    </w:p>
    <w:p>
      <w:pPr>
        <w:pStyle w:val="ListParagraph"/>
        <w:numPr>
          <w:ilvl w:val="0"/>
          <w:numId w:val="528"/>
        </w:numPr>
        <w:rPr/>
      </w:pPr>
      <w:r>
        <w:rPr/>
        <w:t>Network Intrusion Detection / Protection (NIDS / NIPS)</w:t>
      </w:r>
    </w:p>
    <w:p>
      <w:pPr>
        <w:pStyle w:val="ListParagraph"/>
        <w:numPr>
          <w:ilvl w:val="0"/>
          <w:numId w:val="528"/>
        </w:numPr>
        <w:rPr/>
      </w:pPr>
      <w:r>
        <w:rPr/>
        <w:t>Data Loss Prevention (DLP)</w:t>
      </w:r>
    </w:p>
    <w:p>
      <w:pPr>
        <w:pStyle w:val="ListParagraph"/>
        <w:numPr>
          <w:ilvl w:val="0"/>
          <w:numId w:val="528"/>
        </w:numPr>
        <w:rPr/>
      </w:pPr>
      <w:r>
        <w:rPr/>
        <w:t>Full Packet Capture</w:t>
      </w:r>
    </w:p>
    <w:p>
      <w:pPr>
        <w:pStyle w:val="Normal"/>
        <w:rPr/>
      </w:pPr>
      <w:r>
        <w:rPr/>
      </w:r>
    </w:p>
    <w:p>
      <w:pPr>
        <w:pStyle w:val="Normal"/>
        <w:rPr/>
      </w:pPr>
      <w:r>
        <w:rPr/>
      </w:r>
    </w:p>
    <w:p>
      <w:pPr>
        <w:pStyle w:val="Normal"/>
        <w:rPr/>
      </w:pPr>
      <w:r>
        <w:rPr/>
      </w:r>
    </w:p>
    <w:p>
      <w:pPr>
        <w:pStyle w:val="Normal"/>
        <w:rPr>
          <w:rFonts w:eastAsia="Calibri" w:cs="Calibri"/>
          <w:sz w:val="24"/>
        </w:rPr>
      </w:pPr>
      <w:r>
        <w:rPr>
          <w:rFonts w:eastAsia="Calibri" w:cs="Calibri"/>
          <w:sz w:val="24"/>
        </w:rPr>
      </w:r>
      <w:r>
        <w:br w:type="page"/>
      </w:r>
    </w:p>
    <w:p>
      <w:pPr>
        <w:pStyle w:val="Heading1"/>
        <w:rPr/>
      </w:pPr>
      <w:bookmarkStart w:id="345" w:name="_Toc34920607"/>
      <w:bookmarkStart w:id="346" w:name="_Toc474074836"/>
      <w:bookmarkStart w:id="347" w:name="_Toc474075556"/>
      <w:r>
        <w:rPr/>
        <w:t>Compliance (CPL)</w:t>
      </w:r>
      <w:bookmarkEnd w:id="346"/>
      <w:bookmarkEnd w:id="347"/>
      <w:r>
        <w:rPr/>
        <w:t xml:space="preserve"> Policy &amp; Standards</w:t>
      </w:r>
      <w:bookmarkEnd w:id="345"/>
    </w:p>
    <w:p>
      <w:pPr>
        <w:pStyle w:val="Normal"/>
        <w:rPr/>
      </w:pPr>
      <w:r>
        <w:rPr/>
      </w:r>
    </w:p>
    <w:p>
      <w:pPr>
        <w:pStyle w:val="Normal"/>
        <w:rPr/>
      </w:pPr>
      <w:r>
        <w:rPr>
          <w:u w:val="single"/>
        </w:rPr>
        <w:t>Management Intent</w:t>
      </w:r>
      <w:r>
        <w:rPr/>
        <w:t>: The purpose of the Compliance (CPL) policy is to ensure safeguards are in place to be aware of and comply with applicable statutory, regulatory and contractual compliance obligations.</w:t>
      </w:r>
    </w:p>
    <w:p>
      <w:pPr>
        <w:pStyle w:val="Normal"/>
        <w:rPr/>
      </w:pPr>
      <w:r>
        <w:rPr/>
      </w:r>
    </w:p>
    <w:p>
      <w:pPr>
        <w:pStyle w:val="Normal"/>
        <w:shd w:val="clear" w:color="auto" w:fill="DDD9C3" w:themeFill="background2" w:themeFillShade="e6"/>
        <w:rPr/>
      </w:pPr>
      <w:r>
        <w:rPr>
          <w:u w:val="single"/>
        </w:rPr>
        <w:t>Policy</w:t>
      </w:r>
      <w:r>
        <w:rPr/>
        <w:t>: In accordance with all applicable legal requirements, NFCC shall ensure appropriate safeguards are in place to protect sensitive business data against loss, unauthorized access or disclosure.</w:t>
      </w:r>
    </w:p>
    <w:p>
      <w:pPr>
        <w:pStyle w:val="Normal"/>
        <w:rPr/>
      </w:pPr>
      <w:r>
        <w:rPr/>
      </w:r>
    </w:p>
    <w:p>
      <w:pPr>
        <w:pStyle w:val="Normal"/>
        <w:rPr/>
      </w:pPr>
      <w:r>
        <w:rPr>
          <w:u w:val="single"/>
        </w:rPr>
        <w:t>Supporting Documentation</w:t>
      </w:r>
      <w:r>
        <w:rPr/>
        <w:t xml:space="preserve">: This policy is supported by the following control objectives, standards and guidelines. </w:t>
      </w:r>
    </w:p>
    <w:p>
      <w:pPr>
        <w:pStyle w:val="Normal"/>
        <w:rPr/>
      </w:pPr>
      <w:r>
        <w:rPr/>
      </w:r>
    </w:p>
    <w:p>
      <w:pPr>
        <w:pStyle w:val="Normal"/>
        <w:rPr/>
      </w:pPr>
      <w:r>
        <w:rPr/>
      </w:r>
    </w:p>
    <w:p>
      <w:pPr>
        <w:pStyle w:val="Heading2"/>
        <w:rPr/>
      </w:pPr>
      <w:bookmarkStart w:id="348" w:name="_Toc474074837"/>
      <w:bookmarkStart w:id="349" w:name="_Toc474075557"/>
      <w:bookmarkStart w:id="350" w:name="_Toc34920608"/>
      <w:r>
        <w:rPr/>
        <w:t>CPL-01: Statutory, Regulatory &amp; Contractual Compliance</w:t>
      </w:r>
      <w:bookmarkEnd w:id="348"/>
      <w:bookmarkEnd w:id="349"/>
      <w:bookmarkEnd w:id="350"/>
      <w:r>
        <w:rPr/>
        <w:t xml:space="preserve"> </w:t>
      </w:r>
    </w:p>
    <w:p>
      <w:pPr>
        <w:pStyle w:val="Normal"/>
        <w:rPr/>
      </w:pPr>
      <w:r>
        <w:rPr>
          <w:u w:val="single"/>
        </w:rPr>
        <w:t>Control Objective</w:t>
      </w:r>
      <w:r>
        <w:rPr/>
        <w:t>: The organization develops, implements and governs processes and documentation to facilitate the implementation of an enterprise-wide statutory, regulatory and contractual compliance policy, as well as associated standards, controls and procedures.</w:t>
      </w:r>
      <w:r>
        <w:rPr>
          <w:rStyle w:val="FootnoteCharacters"/>
          <w:rFonts w:cs="Calibri"/>
        </w:rPr>
        <w:t xml:space="preserve"> </w:t>
      </w:r>
      <w:r>
        <w:rPr>
          <w:rStyle w:val="FootnoteAnchor"/>
          <w:rStyle w:val="FootnoteAnchor"/>
          <w:rFonts w:cs="Calibri"/>
        </w:rPr>
        <w:footnoteReference w:id="103"/>
      </w:r>
      <w:r>
        <w:rPr>
          <w:rStyle w:val="FootnoteCharacters"/>
        </w:rPr>
        <w:t xml:space="preserve"> </w:t>
      </w:r>
      <w:r>
        <w:fldChar w:fldCharType="begin"/>
      </w:r>
      <w:r>
        <w:rPr/>
        <w:instrText> XE "Compliance: : " </w:instrText>
      </w:r>
      <w:r>
        <w:rPr/>
        <w:fldChar w:fldCharType="separate"/>
      </w:r>
      <w:r>
        <w:rPr/>
      </w:r>
      <w:r>
        <w:rPr/>
        <w:fldChar w:fldCharType="end"/>
      </w:r>
    </w:p>
    <w:p>
      <w:pPr>
        <w:pStyle w:val="Normal"/>
        <w:rPr/>
      </w:pPr>
      <w:r>
        <w:rPr/>
      </w:r>
    </w:p>
    <w:p>
      <w:pPr>
        <w:pStyle w:val="Normal"/>
        <w:rPr/>
      </w:pPr>
      <w:r>
        <w:rPr>
          <w:u w:val="single"/>
        </w:rPr>
        <w:t>Standard</w:t>
      </w:r>
      <w:r>
        <w:rPr/>
        <w:t>: Data/process owners and asset custodians are required to protect NFCC’s systems and data in accordance with applicable statutory, regulatory and contractual compliance obligations.</w:t>
      </w:r>
    </w:p>
    <w:p>
      <w:pPr>
        <w:pStyle w:val="Normal"/>
        <w:rPr/>
      </w:pPr>
      <w:r>
        <w:rPr/>
      </w:r>
    </w:p>
    <w:p>
      <w:pPr>
        <w:pStyle w:val="Normal"/>
        <w:rPr/>
      </w:pPr>
      <w:r>
        <w:rPr>
          <w:u w:val="single"/>
        </w:rPr>
        <w:t>Guidelines</w:t>
      </w:r>
      <w:r>
        <w:rPr/>
        <w:t xml:space="preserve">: The requirements for defining critical infrastructure and key resources are found in applicable laws, regulations and contract requirements. </w:t>
      </w:r>
    </w:p>
    <w:p>
      <w:pPr>
        <w:pStyle w:val="Normal"/>
        <w:rPr/>
      </w:pPr>
      <w:r>
        <w:rPr/>
      </w:r>
    </w:p>
    <w:p>
      <w:pPr>
        <w:pStyle w:val="Normal"/>
        <w:tabs>
          <w:tab w:val="clear" w:pos="360"/>
          <w:tab w:val="clear" w:pos="720"/>
          <w:tab w:val="clear" w:pos="1080"/>
        </w:tabs>
        <w:jc w:val="left"/>
        <w:rPr/>
      </w:pPr>
      <w:r>
        <w:rPr/>
      </w:r>
    </w:p>
    <w:p>
      <w:pPr>
        <w:pStyle w:val="Heading2"/>
        <w:rPr/>
      </w:pPr>
      <w:bookmarkStart w:id="351" w:name="_Toc474074838"/>
      <w:bookmarkStart w:id="352" w:name="_Toc474075558"/>
      <w:bookmarkStart w:id="353" w:name="_Toc34920609"/>
      <w:bookmarkStart w:id="354" w:name="_Toc346202637"/>
      <w:r>
        <w:rPr/>
        <w:t>CPL-02: Security Controls Oversight</w:t>
      </w:r>
      <w:bookmarkEnd w:id="351"/>
      <w:bookmarkEnd w:id="352"/>
      <w:bookmarkEnd w:id="353"/>
      <w:bookmarkEnd w:id="354"/>
      <w:r>
        <w:rPr/>
        <w:t xml:space="preserve"> </w:t>
      </w:r>
    </w:p>
    <w:p>
      <w:pPr>
        <w:pStyle w:val="Normal"/>
        <w:rPr/>
      </w:pPr>
      <w:r>
        <w:rPr>
          <w:u w:val="single"/>
        </w:rPr>
        <w:t>Control Objective</w:t>
      </w:r>
      <w:r>
        <w:rPr/>
        <w:t>: The organization:</w:t>
      </w:r>
      <w:r>
        <w:rPr>
          <w:rStyle w:val="FootnoteCharacters"/>
          <w:rFonts w:cs="Calibri"/>
        </w:rPr>
        <w:t xml:space="preserve"> </w:t>
      </w:r>
      <w:r>
        <w:rPr>
          <w:rStyle w:val="FootnoteAnchor"/>
          <w:rStyle w:val="FootnoteAnchor"/>
          <w:rFonts w:cs="Calibri"/>
        </w:rPr>
        <w:footnoteReference w:id="104"/>
      </w:r>
    </w:p>
    <w:p>
      <w:pPr>
        <w:pStyle w:val="ListParagraph"/>
        <w:numPr>
          <w:ilvl w:val="0"/>
          <w:numId w:val="136"/>
        </w:numPr>
        <w:rPr/>
      </w:pPr>
      <w:r>
        <w:rPr/>
        <w:t>Implements a process for ensuring that organizational plans for conducting security testing, training and monitoring activities associated with organizational systems:</w:t>
      </w:r>
    </w:p>
    <w:p>
      <w:pPr>
        <w:pStyle w:val="ListParagraph"/>
        <w:numPr>
          <w:ilvl w:val="1"/>
          <w:numId w:val="136"/>
        </w:numPr>
        <w:rPr/>
      </w:pPr>
      <w:r>
        <w:rPr/>
        <w:t>Are developed and maintained; and</w:t>
      </w:r>
    </w:p>
    <w:p>
      <w:pPr>
        <w:pStyle w:val="ListParagraph"/>
        <w:numPr>
          <w:ilvl w:val="1"/>
          <w:numId w:val="136"/>
        </w:numPr>
        <w:rPr/>
      </w:pPr>
      <w:r>
        <w:rPr/>
        <w:t>Continue to be executed in a timely manner;</w:t>
      </w:r>
    </w:p>
    <w:p>
      <w:pPr>
        <w:pStyle w:val="ListParagraph"/>
        <w:numPr>
          <w:ilvl w:val="0"/>
          <w:numId w:val="136"/>
        </w:numPr>
        <w:rPr/>
      </w:pPr>
      <w:r>
        <w:rPr/>
        <w:t>Reviews testing, training and monitoring plans for consistency with the organizational risk management strategy and organization-wide priorities for risk response actions; and</w:t>
      </w:r>
    </w:p>
    <w:p>
      <w:pPr>
        <w:pStyle w:val="ListParagraph"/>
        <w:numPr>
          <w:ilvl w:val="0"/>
          <w:numId w:val="136"/>
        </w:numPr>
        <w:rPr/>
      </w:pPr>
      <w:r>
        <w:rPr/>
        <w:t>Assigns a senior individual with technical experience the responsibility to monitor the effectiveness of NFCC’s cybersecurity controls and establish a continuous monitoring strategy and implements a continuous monitoring program that includes:</w:t>
      </w:r>
      <w:r>
        <w:rPr>
          <w:rStyle w:val="FootnoteCharacters"/>
          <w:rFonts w:cs="Calibri"/>
        </w:rPr>
        <w:t xml:space="preserve"> </w:t>
      </w:r>
    </w:p>
    <w:p>
      <w:pPr>
        <w:pStyle w:val="ListParagraph"/>
        <w:numPr>
          <w:ilvl w:val="1"/>
          <w:numId w:val="136"/>
        </w:numPr>
        <w:rPr/>
      </w:pPr>
      <w:r>
        <w:rPr/>
        <w:t>A configuration management process for systems;</w:t>
      </w:r>
    </w:p>
    <w:p>
      <w:pPr>
        <w:pStyle w:val="ListParagraph"/>
        <w:numPr>
          <w:ilvl w:val="1"/>
          <w:numId w:val="136"/>
        </w:numPr>
        <w:rPr/>
      </w:pPr>
      <w:r>
        <w:rPr/>
        <w:t>A determination of the security impact of changes to systems and the environment of operation;</w:t>
      </w:r>
    </w:p>
    <w:p>
      <w:pPr>
        <w:pStyle w:val="ListParagraph"/>
        <w:numPr>
          <w:ilvl w:val="1"/>
          <w:numId w:val="136"/>
        </w:numPr>
        <w:rPr/>
      </w:pPr>
      <w:r>
        <w:rPr/>
        <w:t>Ongoing security control assessments in accordance with organizational continuous monitoring strategy; and</w:t>
      </w:r>
    </w:p>
    <w:p>
      <w:pPr>
        <w:pStyle w:val="ListParagraph"/>
        <w:numPr>
          <w:ilvl w:val="1"/>
          <w:numId w:val="136"/>
        </w:numPr>
        <w:rPr/>
      </w:pPr>
      <w:r>
        <w:rPr/>
        <w:t>Reporting the security state of systems to appropriate organizational officials.</w:t>
      </w:r>
    </w:p>
    <w:p>
      <w:pPr>
        <w:pStyle w:val="Normal"/>
        <w:rPr/>
      </w:pPr>
      <w:r>
        <w:rPr/>
      </w:r>
    </w:p>
    <w:p>
      <w:pPr>
        <w:pStyle w:val="Normal"/>
        <w:rPr/>
      </w:pPr>
      <w:r>
        <w:rPr>
          <w:u w:val="single"/>
        </w:rPr>
        <w:t>Standard</w:t>
      </w:r>
      <w:r>
        <w:rPr/>
        <w:t xml:space="preserve">: </w:t>
      </w:r>
      <w:r>
        <w:rPr>
          <w:rFonts w:cs="Calibri"/>
        </w:rPr>
        <w:t>The Chief Information Security Officer (CISO) and his / her designated representatives shall create and maintain a control framework that captures statutory, regulatory and contractual requirements relevant to the NFCC’s needs that includes establishing and maintaining a process to:</w:t>
      </w:r>
      <w:r>
        <w:rPr>
          <w:rStyle w:val="FootnoteCharacters"/>
          <w:rFonts w:cs="Calibri"/>
        </w:rPr>
        <w:t xml:space="preserve"> </w:t>
      </w:r>
    </w:p>
    <w:p>
      <w:pPr>
        <w:pStyle w:val="ListParagraph"/>
        <w:numPr>
          <w:ilvl w:val="0"/>
          <w:numId w:val="257"/>
        </w:numPr>
        <w:rPr/>
      </w:pPr>
      <w:r>
        <w:rPr/>
        <w:t>Continuously improve both detection and protection processes;</w:t>
      </w:r>
    </w:p>
    <w:p>
      <w:pPr>
        <w:pStyle w:val="ListParagraph"/>
        <w:numPr>
          <w:ilvl w:val="0"/>
          <w:numId w:val="257"/>
        </w:numPr>
        <w:rPr/>
      </w:pPr>
      <w:r>
        <w:rPr/>
        <w:t>Employ assessors or assessment teams with reasonable independence to monitor the security controls in the system on an ongoing basis;</w:t>
      </w:r>
    </w:p>
    <w:p>
      <w:pPr>
        <w:pStyle w:val="ListParagraph"/>
        <w:numPr>
          <w:ilvl w:val="0"/>
          <w:numId w:val="257"/>
        </w:numPr>
        <w:rPr/>
      </w:pPr>
      <w:r>
        <w:rPr/>
        <w:t>Review the control framework at least annually to ensure changes that could affect the business processes are reflected;</w:t>
      </w:r>
    </w:p>
    <w:p>
      <w:pPr>
        <w:pStyle w:val="ListParagraph"/>
        <w:numPr>
          <w:ilvl w:val="0"/>
          <w:numId w:val="257"/>
        </w:numPr>
        <w:rPr/>
      </w:pPr>
      <w:r>
        <w:rPr/>
        <w:t>Perform reviews of security operations at least quarterly to ensure that the organization addresses nonconformities of established policies, standards, procedures and compliance obligations. At a minimum, the reviews must cover the following processes:</w:t>
      </w:r>
    </w:p>
    <w:p>
      <w:pPr>
        <w:pStyle w:val="ListParagraph"/>
        <w:numPr>
          <w:ilvl w:val="1"/>
          <w:numId w:val="257"/>
        </w:numPr>
        <w:rPr/>
      </w:pPr>
      <w:r>
        <w:rPr/>
        <w:t>Daily log reviews;</w:t>
      </w:r>
    </w:p>
    <w:p>
      <w:pPr>
        <w:pStyle w:val="ListParagraph"/>
        <w:numPr>
          <w:ilvl w:val="1"/>
          <w:numId w:val="257"/>
        </w:numPr>
        <w:rPr/>
      </w:pPr>
      <w:r>
        <w:rPr/>
        <w:t>Firewall ruleset reviews;</w:t>
      </w:r>
    </w:p>
    <w:p>
      <w:pPr>
        <w:pStyle w:val="ListParagraph"/>
        <w:numPr>
          <w:ilvl w:val="1"/>
          <w:numId w:val="257"/>
        </w:numPr>
        <w:rPr/>
      </w:pPr>
      <w:r>
        <w:rPr/>
        <w:t>Applying configuration standards to new systems;</w:t>
      </w:r>
    </w:p>
    <w:p>
      <w:pPr>
        <w:pStyle w:val="ListParagraph"/>
        <w:numPr>
          <w:ilvl w:val="1"/>
          <w:numId w:val="257"/>
        </w:numPr>
        <w:rPr/>
      </w:pPr>
      <w:r>
        <w:rPr/>
        <w:t>Responding to security alerts; and</w:t>
      </w:r>
    </w:p>
    <w:p>
      <w:pPr>
        <w:pStyle w:val="ListParagraph"/>
        <w:numPr>
          <w:ilvl w:val="1"/>
          <w:numId w:val="257"/>
        </w:numPr>
        <w:rPr/>
      </w:pPr>
      <w:r>
        <w:rPr/>
        <w:t>Change management processes;</w:t>
      </w:r>
    </w:p>
    <w:p>
      <w:pPr>
        <w:pStyle w:val="ListParagraph"/>
        <w:numPr>
          <w:ilvl w:val="0"/>
          <w:numId w:val="257"/>
        </w:numPr>
        <w:rPr/>
      </w:pPr>
      <w:r>
        <w:rPr/>
        <w:t>Maintain documentation of the review process to include:</w:t>
      </w:r>
    </w:p>
    <w:p>
      <w:pPr>
        <w:pStyle w:val="ListParagraph"/>
        <w:numPr>
          <w:ilvl w:val="1"/>
          <w:numId w:val="257"/>
        </w:numPr>
        <w:rPr/>
      </w:pPr>
      <w:r>
        <w:rPr/>
        <w:t>Documenting results of the reviews; and</w:t>
      </w:r>
    </w:p>
    <w:p>
      <w:pPr>
        <w:pStyle w:val="ListParagraph"/>
        <w:numPr>
          <w:ilvl w:val="1"/>
          <w:numId w:val="257"/>
        </w:numPr>
        <w:rPr/>
      </w:pPr>
      <w:r>
        <w:rPr/>
        <w:t>Review and sign-off of results by authorized personnel.</w:t>
      </w:r>
    </w:p>
    <w:p>
      <w:pPr>
        <w:pStyle w:val="Normal"/>
        <w:rPr/>
      </w:pPr>
      <w:r>
        <w:rPr/>
      </w:r>
    </w:p>
    <w:p>
      <w:pPr>
        <w:pStyle w:val="Normal"/>
        <w:rPr/>
      </w:pPr>
      <w:r>
        <w:rPr>
          <w:u w:val="single"/>
        </w:rPr>
        <w:t>Guidelines</w:t>
      </w:r>
      <w:r>
        <w:rPr/>
        <w:t xml:space="preserve">: Organizations can maximize the value of assessments of security controls during the continuous monitoring process by requiring that such assessments be conducted by assessors or assessment teams with appropriate levels of independence based on continuous monitoring strategies. Assessor independence provides a degree of impartiality to the monitoring process. To achieve such impartiality, assessors should not: </w:t>
      </w:r>
    </w:p>
    <w:p>
      <w:pPr>
        <w:pStyle w:val="ListParagraph"/>
        <w:numPr>
          <w:ilvl w:val="0"/>
          <w:numId w:val="162"/>
        </w:numPr>
        <w:rPr/>
      </w:pPr>
      <w:r>
        <w:rPr/>
        <w:t xml:space="preserve">Create a mutual or conflicting interest with the organizations where the assessments are being conducted; </w:t>
      </w:r>
    </w:p>
    <w:p>
      <w:pPr>
        <w:pStyle w:val="ListParagraph"/>
        <w:numPr>
          <w:ilvl w:val="0"/>
          <w:numId w:val="162"/>
        </w:numPr>
        <w:rPr/>
      </w:pPr>
      <w:r>
        <w:rPr/>
        <w:t xml:space="preserve">Assess their own work; </w:t>
      </w:r>
    </w:p>
    <w:p>
      <w:pPr>
        <w:pStyle w:val="ListParagraph"/>
        <w:numPr>
          <w:ilvl w:val="0"/>
          <w:numId w:val="162"/>
        </w:numPr>
        <w:rPr/>
      </w:pPr>
      <w:r>
        <w:rPr/>
        <w:t xml:space="preserve">Act as management or employees of the organizations they are serving; or </w:t>
      </w:r>
    </w:p>
    <w:p>
      <w:pPr>
        <w:pStyle w:val="ListParagraph"/>
        <w:numPr>
          <w:ilvl w:val="0"/>
          <w:numId w:val="162"/>
        </w:numPr>
        <w:rPr/>
      </w:pPr>
      <w:r>
        <w:rPr/>
        <w:t>Place themselves in advocacy positions for the organizations acquiring their services.</w:t>
      </w:r>
    </w:p>
    <w:p>
      <w:pPr>
        <w:pStyle w:val="Normal"/>
        <w:rPr/>
      </w:pPr>
      <w:r>
        <w:rPr/>
      </w:r>
    </w:p>
    <w:p>
      <w:pPr>
        <w:pStyle w:val="Normal"/>
        <w:rPr/>
      </w:pPr>
      <w:r>
        <w:rPr/>
        <w:t>Continuous monitoring programs facilitate ongoing awareness of threats, vulnerabilities and cybersecurity to support organizational risk management decisions. The terms continuous and ongoing imply that organizations assess / analyze security controls and cybersecurity-related risks at a frequency sufficient to support organizational security controls oversight.</w:t>
      </w:r>
    </w:p>
    <w:p>
      <w:pPr>
        <w:pStyle w:val="Normal"/>
        <w:rPr/>
      </w:pPr>
      <w:r>
        <w:rPr/>
      </w:r>
    </w:p>
    <w:p>
      <w:pPr>
        <w:pStyle w:val="Heading3"/>
        <w:rPr/>
      </w:pPr>
      <w:bookmarkStart w:id="355" w:name="_Toc34920610"/>
      <w:r>
        <w:rPr/>
        <w:t>CPL-02(a): Security Controls Oversight | Internal Audit Function</w:t>
      </w:r>
      <w:bookmarkEnd w:id="355"/>
      <w:r>
        <w:rPr/>
        <w:t xml:space="preserve"> </w:t>
      </w:r>
    </w:p>
    <w:p>
      <w:pPr>
        <w:pStyle w:val="Normal"/>
        <w:rPr/>
      </w:pPr>
      <w:r>
        <w:rPr>
          <w:u w:val="single"/>
        </w:rPr>
        <w:t>Control Objective</w:t>
      </w:r>
      <w:r>
        <w:rPr/>
        <w:t>: The organization establishes an internal audit function that:</w:t>
      </w:r>
    </w:p>
    <w:p>
      <w:pPr>
        <w:pStyle w:val="ListParagraph"/>
        <w:numPr>
          <w:ilvl w:val="0"/>
          <w:numId w:val="660"/>
        </w:numPr>
        <w:rPr/>
      </w:pPr>
      <w:r>
        <w:rPr/>
        <w:t>Documents an audit program that including the frequency, methods, responsibilities, planning requirements and reporting;</w:t>
      </w:r>
    </w:p>
    <w:p>
      <w:pPr>
        <w:pStyle w:val="ListParagraph"/>
        <w:numPr>
          <w:ilvl w:val="0"/>
          <w:numId w:val="660"/>
        </w:numPr>
        <w:rPr/>
      </w:pPr>
      <w:r>
        <w:rPr/>
        <w:t>Identifies gaps between current and target environments;</w:t>
      </w:r>
    </w:p>
    <w:p>
      <w:pPr>
        <w:pStyle w:val="ListParagraph"/>
        <w:numPr>
          <w:ilvl w:val="0"/>
          <w:numId w:val="660"/>
        </w:numPr>
        <w:rPr/>
      </w:pPr>
      <w:r>
        <w:rPr/>
        <w:t>Reports on high-level changes in the enterprise architecture; and</w:t>
      </w:r>
    </w:p>
    <w:p>
      <w:pPr>
        <w:pStyle w:val="ListParagraph"/>
        <w:numPr>
          <w:ilvl w:val="0"/>
          <w:numId w:val="660"/>
        </w:numPr>
        <w:rPr/>
      </w:pPr>
      <w:r>
        <w:rPr/>
        <w:t>Continuously monitors, benchmarks and improves the control set used for audit purposes.</w:t>
      </w:r>
    </w:p>
    <w:p>
      <w:pPr>
        <w:pStyle w:val="Normal"/>
        <w:rPr/>
      </w:pPr>
      <w:r>
        <w:rPr/>
      </w:r>
    </w:p>
    <w:p>
      <w:pPr>
        <w:pStyle w:val="Normal"/>
        <w:rPr/>
      </w:pPr>
      <w:r>
        <w:rPr>
          <w:u w:val="single"/>
        </w:rPr>
        <w:t>Standard</w:t>
      </w:r>
      <w:r>
        <w:rPr/>
        <w:t>: The Chief Information Security Officer (CISO) and his / her designated representatives shall:</w:t>
      </w:r>
    </w:p>
    <w:p>
      <w:pPr>
        <w:pStyle w:val="ListParagraph"/>
        <w:numPr>
          <w:ilvl w:val="0"/>
          <w:numId w:val="665"/>
        </w:numPr>
        <w:rPr/>
      </w:pPr>
      <w:r>
        <w:rPr/>
        <w:t>Establish a formal internal audit program that addresses the frequency, methods, responsibilities, planning requirements and reporting associated with conducting internal audits;</w:t>
      </w:r>
    </w:p>
    <w:p>
      <w:pPr>
        <w:pStyle w:val="ListParagraph"/>
        <w:numPr>
          <w:ilvl w:val="0"/>
          <w:numId w:val="665"/>
        </w:numPr>
        <w:rPr/>
      </w:pPr>
      <w:r>
        <w:rPr/>
        <w:t>Assign competent personnel to identify gaps between current and target environments;</w:t>
      </w:r>
    </w:p>
    <w:p>
      <w:pPr>
        <w:pStyle w:val="ListParagraph"/>
        <w:numPr>
          <w:ilvl w:val="0"/>
          <w:numId w:val="665"/>
        </w:numPr>
        <w:rPr/>
      </w:pPr>
      <w:r>
        <w:rPr/>
        <w:t>Develop usable reports that assess technical and information risks from high-level changes in the enterprise architecture; and</w:t>
      </w:r>
    </w:p>
    <w:p>
      <w:pPr>
        <w:pStyle w:val="ListParagraph"/>
        <w:numPr>
          <w:ilvl w:val="0"/>
          <w:numId w:val="665"/>
        </w:numPr>
        <w:rPr/>
      </w:pPr>
      <w:r>
        <w:rPr/>
        <w:t xml:space="preserve">Utilize a flexible control set that is appropriate to meet all of NFCC’s applicable statutory, regulatory and contractual control requirements.  </w:t>
      </w:r>
    </w:p>
    <w:p>
      <w:pPr>
        <w:pStyle w:val="Normal"/>
        <w:rPr/>
      </w:pPr>
      <w:r>
        <w:rPr/>
      </w:r>
    </w:p>
    <w:p>
      <w:pPr>
        <w:pStyle w:val="Normal"/>
        <w:rPr/>
      </w:pPr>
      <w:r>
        <w:rPr>
          <w:u w:val="single"/>
        </w:rPr>
        <w:t>Guidelines</w:t>
      </w:r>
      <w:r>
        <w:rPr/>
        <w:t>: None</w:t>
      </w:r>
    </w:p>
    <w:p>
      <w:pPr>
        <w:pStyle w:val="Normal"/>
        <w:rPr/>
      </w:pPr>
      <w:r>
        <w:rPr/>
      </w:r>
    </w:p>
    <w:p>
      <w:pPr>
        <w:pStyle w:val="Normal"/>
        <w:rPr/>
      </w:pPr>
      <w:r>
        <w:rPr/>
      </w:r>
    </w:p>
    <w:p>
      <w:pPr>
        <w:pStyle w:val="Heading2"/>
        <w:rPr/>
      </w:pPr>
      <w:bookmarkStart w:id="356" w:name="_Toc474074839"/>
      <w:bookmarkStart w:id="357" w:name="_Toc474075559"/>
      <w:bookmarkStart w:id="358" w:name="_Toc34920611"/>
      <w:r>
        <w:rPr/>
        <w:t>CPL-03: Security Assessments</w:t>
      </w:r>
      <w:bookmarkEnd w:id="356"/>
      <w:bookmarkEnd w:id="357"/>
      <w:bookmarkEnd w:id="358"/>
      <w:r>
        <w:rPr/>
        <w:t xml:space="preserve"> </w:t>
      </w:r>
    </w:p>
    <w:p>
      <w:pPr>
        <w:pStyle w:val="Normal"/>
        <w:rPr/>
      </w:pPr>
      <w:r>
        <w:rPr>
          <w:u w:val="single"/>
        </w:rPr>
        <w:t>Control Objective</w:t>
      </w:r>
      <w:r>
        <w:rPr/>
        <w:t xml:space="preserve">: The organization: </w:t>
      </w:r>
      <w:r>
        <w:rPr>
          <w:rStyle w:val="FootnoteAnchor"/>
          <w:rStyle w:val="FootnoteAnchor"/>
          <w:rFonts w:cs="Calibri"/>
        </w:rPr>
        <w:footnoteReference w:id="105"/>
      </w:r>
    </w:p>
    <w:p>
      <w:pPr>
        <w:pStyle w:val="ListParagraph"/>
        <w:numPr>
          <w:ilvl w:val="0"/>
          <w:numId w:val="113"/>
        </w:numPr>
        <w:rPr/>
      </w:pPr>
      <w:r>
        <w:rPr/>
        <w:t>Assesses the security controls in systems to determine the extent to which the controls are implemented correctly, operating as intended and producing the desired outcome with respect to meeting the security requirements for the system;</w:t>
      </w:r>
    </w:p>
    <w:p>
      <w:pPr>
        <w:pStyle w:val="ListParagraph"/>
        <w:numPr>
          <w:ilvl w:val="0"/>
          <w:numId w:val="113"/>
        </w:numPr>
        <w:rPr/>
      </w:pPr>
      <w:r>
        <w:rPr/>
        <w:t>Produces a security assessment report that documents the results of the assessment; and</w:t>
      </w:r>
    </w:p>
    <w:p>
      <w:pPr>
        <w:pStyle w:val="ListParagraph"/>
        <w:numPr>
          <w:ilvl w:val="0"/>
          <w:numId w:val="113"/>
        </w:numPr>
        <w:rPr/>
      </w:pPr>
      <w:r>
        <w:rPr/>
        <w:t>Provides the results of the security control assessment, in writing, to the senior cybersecurity official or officially designated representative.</w:t>
      </w:r>
    </w:p>
    <w:p>
      <w:pPr>
        <w:pStyle w:val="Normal"/>
        <w:rPr/>
      </w:pPr>
      <w:r>
        <w:rPr/>
      </w:r>
    </w:p>
    <w:p>
      <w:pPr>
        <w:pStyle w:val="Normal"/>
        <w:rPr/>
      </w:pPr>
      <w:r>
        <w:rPr>
          <w:rFonts w:cs="Calibri"/>
          <w:u w:val="single"/>
        </w:rPr>
        <w:t>Standard</w:t>
      </w:r>
      <w:r>
        <w:rPr>
          <w:rFonts w:cs="Calibri"/>
        </w:rPr>
        <w:t xml:space="preserve">: </w:t>
      </w:r>
      <w:r>
        <w:rPr/>
        <w:t>A formal security assessment must be performed on all significant development and / or acquisitions, prior to systems being placed into production:</w:t>
      </w:r>
      <w:r>
        <w:rPr>
          <w:rStyle w:val="FootnoteCharacters"/>
          <w:rFonts w:cs="Calibri"/>
        </w:rPr>
        <w:t xml:space="preserve"> </w:t>
      </w:r>
    </w:p>
    <w:p>
      <w:pPr>
        <w:pStyle w:val="ListParagraph"/>
        <w:numPr>
          <w:ilvl w:val="0"/>
          <w:numId w:val="258"/>
        </w:numPr>
        <w:rPr>
          <w:rFonts w:cs="Calibri"/>
        </w:rPr>
      </w:pPr>
      <w:r>
        <w:rPr/>
        <w:t>New systems and applications must be appropriately tested for functionality prior to being placed in production; and</w:t>
      </w:r>
    </w:p>
    <w:p>
      <w:pPr>
        <w:pStyle w:val="ListParagraph"/>
        <w:numPr>
          <w:ilvl w:val="0"/>
          <w:numId w:val="258"/>
        </w:numPr>
        <w:rPr/>
      </w:pPr>
      <w:r>
        <w:rPr/>
        <w:t xml:space="preserve">Data/process owners and asset custodians are required to perform a gap analysis, at least once per year, to determine any deviations from their systems’ current state of compliance and that which is required. </w:t>
      </w:r>
    </w:p>
    <w:p>
      <w:pPr>
        <w:pStyle w:val="Normal"/>
        <w:rPr/>
      </w:pPr>
      <w:r>
        <w:rPr/>
      </w:r>
    </w:p>
    <w:p>
      <w:pPr>
        <w:pStyle w:val="Normal"/>
        <w:rPr/>
      </w:pPr>
      <w:r>
        <w:rPr>
          <w:u w:val="single"/>
        </w:rPr>
        <w:t>Guidelines</w:t>
      </w:r>
      <w:r>
        <w:rPr/>
        <w:t>: Control evaluators should have sufficient independence to provide confidence that the assessment results produced are sound and can be used to make a credible, risk-based decision.</w:t>
      </w:r>
    </w:p>
    <w:p>
      <w:pPr>
        <w:pStyle w:val="Normal"/>
        <w:rPr/>
      </w:pPr>
      <w:r>
        <w:rPr/>
      </w:r>
    </w:p>
    <w:p>
      <w:pPr>
        <w:pStyle w:val="Heading3"/>
        <w:rPr/>
      </w:pPr>
      <w:bookmarkStart w:id="359" w:name="_Toc474074840"/>
      <w:bookmarkStart w:id="360" w:name="_Toc34920612"/>
      <w:r>
        <w:rPr/>
        <w:t>CPL-03(a): Security Assessments | Independent Assessors</w:t>
      </w:r>
      <w:bookmarkEnd w:id="359"/>
      <w:bookmarkEnd w:id="360"/>
      <w:r>
        <w:rPr/>
        <w:t xml:space="preserve"> </w:t>
      </w:r>
    </w:p>
    <w:p>
      <w:pPr>
        <w:pStyle w:val="Normal"/>
        <w:rPr/>
      </w:pPr>
      <w:r>
        <w:rPr>
          <w:u w:val="single"/>
        </w:rPr>
        <w:t>Control Objective</w:t>
      </w:r>
      <w:r>
        <w:rPr/>
        <w:t>: The organization’s approach to managing cybersecurity and its implementation are reviewed independently at planned intervals or when significant changes occur.</w:t>
      </w:r>
      <w:r>
        <w:rPr>
          <w:rStyle w:val="FootnoteAnchor"/>
          <w:rStyle w:val="FootnoteAnchor"/>
          <w:rFonts w:cs="Calibri"/>
        </w:rPr>
        <w:footnoteReference w:id="106"/>
      </w:r>
    </w:p>
    <w:p>
      <w:pPr>
        <w:pStyle w:val="Normal"/>
        <w:rPr/>
      </w:pPr>
      <w:r>
        <w:rPr/>
      </w:r>
    </w:p>
    <w:p>
      <w:pPr>
        <w:pStyle w:val="Normal"/>
        <w:rPr>
          <w:rFonts w:cs="Calibri"/>
        </w:rPr>
      </w:pPr>
      <w:r>
        <w:rPr>
          <w:rFonts w:cs="Calibri"/>
          <w:u w:val="single"/>
        </w:rPr>
        <w:t>Standard</w:t>
      </w:r>
      <w:r>
        <w:rPr>
          <w:rFonts w:cs="Calibri"/>
        </w:rPr>
        <w:t xml:space="preserve">: </w:t>
      </w:r>
      <w:r>
        <w:rPr/>
        <w:t>Whenever feasible, NFCC will utilize independent assessors for security assessment functions.</w:t>
      </w:r>
    </w:p>
    <w:p>
      <w:pPr>
        <w:pStyle w:val="Normal"/>
        <w:rPr/>
      </w:pPr>
      <w:r>
        <w:rPr/>
      </w:r>
    </w:p>
    <w:p>
      <w:pPr>
        <w:pStyle w:val="Normal"/>
        <w:rPr/>
      </w:pPr>
      <w:r>
        <w:rPr>
          <w:u w:val="single"/>
        </w:rPr>
        <w:t>Guidelines</w:t>
      </w:r>
      <w:r>
        <w:rPr/>
        <w:t xml:space="preserve">: The objective is to ensure that cybersecurity is implemented and operated in accordance with the organizational policies and procedures. Independent assessors or assessment teams are individuals or groups who conduct impartial assessments of organizational systems. Impartiality implies that assessors are free from any perceived or actual conflicts of interest with regard to the development, operation or management of the organizational systems under assessment or to the determination of security control effectiveness. </w:t>
      </w:r>
    </w:p>
    <w:p>
      <w:pPr>
        <w:pStyle w:val="Normal"/>
        <w:rPr/>
      </w:pPr>
      <w:r>
        <w:rPr/>
      </w:r>
    </w:p>
    <w:p>
      <w:pPr>
        <w:pStyle w:val="Heading3"/>
        <w:rPr/>
      </w:pPr>
      <w:bookmarkStart w:id="361" w:name="_Toc474074841"/>
      <w:bookmarkStart w:id="362" w:name="_Toc34920613"/>
      <w:r>
        <w:rPr/>
        <w:t>CPL-03(b): Security Assessments | Functional Review Of Security Controls</w:t>
      </w:r>
      <w:bookmarkEnd w:id="361"/>
      <w:bookmarkEnd w:id="362"/>
      <w:r>
        <w:rPr/>
        <w:t xml:space="preserve"> </w:t>
      </w:r>
    </w:p>
    <w:p>
      <w:pPr>
        <w:pStyle w:val="Normal"/>
        <w:rPr/>
      </w:pPr>
      <w:r>
        <w:rPr>
          <w:u w:val="single"/>
        </w:rPr>
        <w:t>Control Objective</w:t>
      </w:r>
      <w:r>
        <w:rPr/>
        <w:t>: Systems are regularly reviewed for compliance with the organization’s cybersecurity and privacy policies and standards.</w:t>
      </w:r>
      <w:r>
        <w:rPr>
          <w:rStyle w:val="FootnoteCharacters"/>
          <w:rFonts w:cs="Calibri"/>
        </w:rPr>
        <w:t xml:space="preserve"> </w:t>
      </w:r>
      <w:r>
        <w:rPr>
          <w:rStyle w:val="FootnoteAnchor"/>
          <w:rStyle w:val="FootnoteAnchor"/>
          <w:rFonts w:cs="Calibri"/>
        </w:rPr>
        <w:footnoteReference w:id="107"/>
      </w:r>
    </w:p>
    <w:p>
      <w:pPr>
        <w:pStyle w:val="Normal"/>
        <w:rPr/>
      </w:pPr>
      <w:r>
        <w:rPr/>
      </w:r>
    </w:p>
    <w:p>
      <w:pPr>
        <w:pStyle w:val="Normal"/>
        <w:rPr/>
      </w:pPr>
      <w:r>
        <w:rPr>
          <w:u w:val="single"/>
        </w:rPr>
        <w:t>Standard</w:t>
      </w:r>
      <w:r>
        <w:rPr/>
        <w:t>: The design and operating effectiveness of controls are periodically evaluated against NFCC’s commitments and system requirements as they relate to security, availability, processing integrity, confidentiality or privacy or any combination thereof and corrections and other necessary actions relating to identified deficiencies are taken in a timely manner. Data / process owners, in conjunction with asset custodians, are required to:</w:t>
      </w:r>
    </w:p>
    <w:p>
      <w:pPr>
        <w:pStyle w:val="ListParagraph"/>
        <w:numPr>
          <w:ilvl w:val="0"/>
          <w:numId w:val="259"/>
        </w:numPr>
        <w:rPr/>
      </w:pPr>
      <w:r>
        <w:rPr/>
        <w:t>Maintain documentation describing the functional properties of the security controls employed within systems, system components or services in sufficient detail to permit analysis and testing of the controls; and</w:t>
      </w:r>
    </w:p>
    <w:p>
      <w:pPr>
        <w:pStyle w:val="ListParagraph"/>
        <w:numPr>
          <w:ilvl w:val="0"/>
          <w:numId w:val="259"/>
        </w:numPr>
        <w:rPr/>
      </w:pPr>
      <w:r>
        <w:rPr/>
        <w:t>Regularly review the status of compliance with NFCC’s required security controls.</w:t>
      </w:r>
    </w:p>
    <w:p>
      <w:pPr>
        <w:pStyle w:val="Normal"/>
        <w:rPr/>
      </w:pPr>
      <w:r>
        <w:rPr/>
      </w:r>
    </w:p>
    <w:p>
      <w:pPr>
        <w:pStyle w:val="Normal"/>
        <w:rPr/>
      </w:pPr>
      <w:r>
        <w:rPr>
          <w:u w:val="single"/>
        </w:rPr>
        <w:t>Guidelines</w:t>
      </w:r>
      <w:r>
        <w:rPr/>
        <w:t xml:space="preserve">: The purpose is to ensure that documentation is available to facilitate organizational understanding of testing, implementation and / or operational issues associated with deployed security controls. </w:t>
      </w:r>
    </w:p>
    <w:p>
      <w:pPr>
        <w:pStyle w:val="Normal"/>
        <w:rPr/>
      </w:pPr>
      <w:r>
        <w:rPr/>
      </w:r>
    </w:p>
    <w:p>
      <w:pPr>
        <w:pStyle w:val="Normal"/>
        <w:rPr/>
      </w:pPr>
      <w:r>
        <w:rPr/>
      </w:r>
    </w:p>
    <w:p>
      <w:pPr>
        <w:pStyle w:val="Heading2"/>
        <w:rPr/>
      </w:pPr>
      <w:bookmarkStart w:id="363" w:name="_Toc474074842"/>
      <w:bookmarkStart w:id="364" w:name="_Toc474075560"/>
      <w:bookmarkStart w:id="365" w:name="_Toc34920614"/>
      <w:r>
        <w:rPr/>
        <w:t>CPL-04: Audit Activities</w:t>
      </w:r>
      <w:bookmarkEnd w:id="363"/>
      <w:bookmarkEnd w:id="364"/>
      <w:bookmarkEnd w:id="365"/>
      <w:r>
        <w:rPr/>
        <w:t xml:space="preserve"> </w:t>
      </w:r>
    </w:p>
    <w:p>
      <w:pPr>
        <w:pStyle w:val="Normal"/>
        <w:rPr/>
      </w:pPr>
      <w:r>
        <w:rPr>
          <w:u w:val="single"/>
        </w:rPr>
        <w:t>Control Objective</w:t>
      </w:r>
      <w:r>
        <w:rPr/>
        <w:t>: The organization plans and coordinates security-related activities affecting systems before conducting such activities in order to reduce the impact on business operations.</w:t>
      </w:r>
      <w:r>
        <w:rPr>
          <w:rStyle w:val="FootnoteAnchor"/>
          <w:rStyle w:val="FootnoteAnchor"/>
          <w:rFonts w:cs="Calibri"/>
        </w:rPr>
        <w:footnoteReference w:id="108"/>
      </w:r>
    </w:p>
    <w:p>
      <w:pPr>
        <w:pStyle w:val="Normal"/>
        <w:rPr/>
      </w:pPr>
      <w:r>
        <w:rPr/>
      </w:r>
    </w:p>
    <w:p>
      <w:pPr>
        <w:pStyle w:val="Normal"/>
        <w:rPr/>
      </w:pPr>
      <w:r>
        <w:rPr>
          <w:rFonts w:cs="Calibri"/>
          <w:u w:val="single"/>
        </w:rPr>
        <w:t>Standard</w:t>
      </w:r>
      <w:r>
        <w:rPr>
          <w:rFonts w:cs="Calibri"/>
        </w:rPr>
        <w:t xml:space="preserve">: </w:t>
      </w:r>
      <w:r>
        <w:rPr/>
        <w:t>Audit requirements and activities involving verification of operational systems must be carefully planned and agreed to with stakeholders to minimize disruptions of business processes.</w:t>
      </w:r>
      <w:r>
        <w:rPr>
          <w:rFonts w:cs="Calibri"/>
        </w:rPr>
        <w:t xml:space="preserve"> Data/process owners and asset custodians </w:t>
      </w:r>
      <w:r>
        <w:rPr/>
        <w:t xml:space="preserve">shall develop and maintain audit plans to address business process disruptions: </w:t>
      </w:r>
    </w:p>
    <w:p>
      <w:pPr>
        <w:pStyle w:val="ListParagraph"/>
        <w:numPr>
          <w:ilvl w:val="0"/>
          <w:numId w:val="260"/>
        </w:numPr>
        <w:rPr/>
      </w:pPr>
      <w:r>
        <w:rPr/>
        <w:t>Auditing plans shall focus on reviewing the effectiveness of the implementation of security operations; and</w:t>
      </w:r>
    </w:p>
    <w:p>
      <w:pPr>
        <w:pStyle w:val="ListParagraph"/>
        <w:numPr>
          <w:ilvl w:val="0"/>
          <w:numId w:val="260"/>
        </w:numPr>
        <w:rPr/>
      </w:pPr>
      <w:r>
        <w:rPr/>
        <w:t>All audit activities must be agreed upon prior to executing any audits:</w:t>
      </w:r>
    </w:p>
    <w:p>
      <w:pPr>
        <w:pStyle w:val="ListParagraph"/>
        <w:numPr>
          <w:ilvl w:val="1"/>
          <w:numId w:val="260"/>
        </w:numPr>
        <w:rPr/>
      </w:pPr>
      <w:r>
        <w:rPr/>
        <w:t>Scope, impact and urgency of any new threat(s) to NFCC;</w:t>
      </w:r>
    </w:p>
    <w:p>
      <w:pPr>
        <w:pStyle w:val="ListParagraph"/>
        <w:numPr>
          <w:ilvl w:val="1"/>
          <w:numId w:val="260"/>
        </w:numPr>
        <w:rPr/>
      </w:pPr>
      <w:r>
        <w:rPr/>
        <w:t>Upcoming business initiatives and their potential security risk(s);</w:t>
      </w:r>
    </w:p>
    <w:p>
      <w:pPr>
        <w:pStyle w:val="ListParagraph"/>
        <w:numPr>
          <w:ilvl w:val="1"/>
          <w:numId w:val="260"/>
        </w:numPr>
        <w:rPr/>
      </w:pPr>
      <w:r>
        <w:rPr/>
        <w:t>Mergers or acquisitions that have occurred and their potential security risk(s);</w:t>
      </w:r>
    </w:p>
    <w:p>
      <w:pPr>
        <w:pStyle w:val="ListParagraph"/>
        <w:numPr>
          <w:ilvl w:val="1"/>
          <w:numId w:val="260"/>
        </w:numPr>
        <w:rPr/>
      </w:pPr>
      <w:r>
        <w:rPr/>
        <w:t xml:space="preserve">New technologies that have been introduced to NFCC’s computing environment; </w:t>
      </w:r>
    </w:p>
    <w:p>
      <w:pPr>
        <w:pStyle w:val="ListParagraph"/>
        <w:numPr>
          <w:ilvl w:val="1"/>
          <w:numId w:val="260"/>
        </w:numPr>
        <w:rPr/>
      </w:pPr>
      <w:r>
        <w:rPr/>
        <w:t>Anticipated technologies that may be introduced into NFCC’s computing environment;</w:t>
      </w:r>
    </w:p>
    <w:p>
      <w:pPr>
        <w:pStyle w:val="ListParagraph"/>
        <w:numPr>
          <w:ilvl w:val="1"/>
          <w:numId w:val="260"/>
        </w:numPr>
        <w:rPr/>
      </w:pPr>
      <w:r>
        <w:rPr/>
        <w:t>Planned system conversions; and</w:t>
      </w:r>
    </w:p>
    <w:p>
      <w:pPr>
        <w:pStyle w:val="ListParagraph"/>
        <w:numPr>
          <w:ilvl w:val="1"/>
          <w:numId w:val="260"/>
        </w:numPr>
        <w:rPr/>
      </w:pPr>
      <w:r>
        <w:rPr/>
        <w:t xml:space="preserve">Industry trends and recent releases of industry-recognized leading practice controls and benchmarks. </w:t>
      </w:r>
    </w:p>
    <w:p>
      <w:pPr>
        <w:pStyle w:val="Normal"/>
        <w:rPr/>
      </w:pPr>
      <w:r>
        <w:rPr/>
      </w:r>
    </w:p>
    <w:p>
      <w:pPr>
        <w:pStyle w:val="Normal"/>
        <w:rPr/>
      </w:pPr>
      <w:r>
        <w:rPr>
          <w:rFonts w:cs="Calibri"/>
          <w:u w:val="single"/>
        </w:rPr>
        <w:t>Guidelines</w:t>
      </w:r>
      <w:r>
        <w:rPr>
          <w:rFonts w:cs="Calibri"/>
        </w:rPr>
        <w:t xml:space="preserve">: </w:t>
      </w:r>
      <w:r>
        <w:rPr/>
        <w:t xml:space="preserve">The proposed security-related activity plan should be reviewed and vetted by management business representatives and technology representatives. Additionally, validation of the strategy by an independent assessor should be considered. </w:t>
      </w:r>
    </w:p>
    <w:p>
      <w:pPr>
        <w:pStyle w:val="Normal"/>
        <w:rPr/>
      </w:pPr>
      <w:r>
        <w:rPr/>
      </w:r>
    </w:p>
    <w:p>
      <w:pPr>
        <w:pStyle w:val="Normal"/>
        <w:tabs>
          <w:tab w:val="clear" w:pos="360"/>
          <w:tab w:val="clear" w:pos="720"/>
          <w:tab w:val="clear" w:pos="1080"/>
        </w:tabs>
        <w:jc w:val="left"/>
        <w:rPr/>
      </w:pPr>
      <w:r>
        <w:rPr/>
      </w:r>
      <w:r>
        <w:br w:type="page"/>
      </w:r>
    </w:p>
    <w:p>
      <w:pPr>
        <w:pStyle w:val="Heading1"/>
        <w:rPr/>
      </w:pPr>
      <w:bookmarkStart w:id="366" w:name="_Toc34920615"/>
      <w:bookmarkStart w:id="367" w:name="_Toc474074843"/>
      <w:bookmarkStart w:id="368" w:name="_Toc474075561"/>
      <w:r>
        <w:rPr/>
        <w:t>Configuration Management (CFG)</w:t>
      </w:r>
      <w:bookmarkEnd w:id="367"/>
      <w:bookmarkEnd w:id="368"/>
      <w:r>
        <w:rPr/>
        <w:t xml:space="preserve"> Policy &amp; Standards</w:t>
      </w:r>
      <w:bookmarkEnd w:id="366"/>
    </w:p>
    <w:p>
      <w:pPr>
        <w:pStyle w:val="Normal"/>
        <w:rPr/>
      </w:pPr>
      <w:r>
        <w:rPr/>
      </w:r>
      <w:bookmarkStart w:id="369" w:name="_Toc346202626"/>
      <w:bookmarkStart w:id="370" w:name="_Toc346202626"/>
      <w:bookmarkEnd w:id="370"/>
    </w:p>
    <w:p>
      <w:pPr>
        <w:pStyle w:val="Normal"/>
        <w:rPr/>
      </w:pPr>
      <w:r>
        <w:rPr>
          <w:u w:val="single"/>
        </w:rPr>
        <w:t>Management Intent:</w:t>
      </w:r>
      <w:r>
        <w:rPr/>
        <w:t xml:space="preserve"> The purpose of the Configuration Management (CFG) policy is to establish and maintain the integrity of systems. Without properly documented and implemented configuration management controls, security features could be inadvertently or deliberately omitted or rendered inoperable, processing irregularities could occur or malicious code could be introduced. </w:t>
      </w:r>
    </w:p>
    <w:p>
      <w:pPr>
        <w:pStyle w:val="Normal"/>
        <w:rPr>
          <w:u w:val="single"/>
        </w:rPr>
      </w:pPr>
      <w:r>
        <w:rPr>
          <w:u w:val="single"/>
        </w:rPr>
      </w:r>
    </w:p>
    <w:p>
      <w:pPr>
        <w:pStyle w:val="Normal"/>
        <w:shd w:val="clear" w:color="auto" w:fill="DDD9C3" w:themeFill="background2" w:themeFillShade="e6"/>
        <w:rPr/>
      </w:pPr>
      <w:r>
        <w:rPr>
          <w:u w:val="single"/>
        </w:rPr>
        <w:t>Policy</w:t>
      </w:r>
      <w:r>
        <w:rPr/>
        <w:t xml:space="preserve">: All technology platforms must adhere to configuration management requirements. </w:t>
      </w:r>
      <w:r>
        <w:rPr>
          <w:rFonts w:cs="Calibri"/>
        </w:rPr>
        <w:t>NFCC shall maintain accurate inventories of its technology platforms and enforce security configuration settings those technology platforms used in support of NFCC’s business operations.</w:t>
      </w:r>
    </w:p>
    <w:p>
      <w:pPr>
        <w:pStyle w:val="Normal"/>
        <w:rPr/>
      </w:pPr>
      <w:r>
        <w:rPr/>
      </w:r>
    </w:p>
    <w:p>
      <w:pPr>
        <w:pStyle w:val="Normal"/>
        <w:rPr/>
      </w:pPr>
      <w:r>
        <w:rPr>
          <w:u w:val="single"/>
        </w:rPr>
        <w:t>Supporting Documentation</w:t>
      </w:r>
      <w:r>
        <w:rPr/>
        <w:t xml:space="preserve">: This policy is supported by the following control objectives, standards and guidelines. </w:t>
      </w:r>
    </w:p>
    <w:p>
      <w:pPr>
        <w:pStyle w:val="Normal"/>
        <w:rPr/>
      </w:pPr>
      <w:r>
        <w:rPr/>
      </w:r>
    </w:p>
    <w:p>
      <w:pPr>
        <w:pStyle w:val="Normal"/>
        <w:rPr/>
      </w:pPr>
      <w:r>
        <w:rPr/>
      </w:r>
    </w:p>
    <w:p>
      <w:pPr>
        <w:pStyle w:val="Heading2"/>
        <w:rPr/>
      </w:pPr>
      <w:bookmarkStart w:id="371" w:name="_Toc474074844"/>
      <w:bookmarkStart w:id="372" w:name="_Toc474075562"/>
      <w:bookmarkStart w:id="373" w:name="_Toc34920616"/>
      <w:r>
        <w:rPr/>
        <w:t>CFG-01: Configuration Management Program</w:t>
      </w:r>
      <w:bookmarkEnd w:id="371"/>
      <w:bookmarkEnd w:id="372"/>
      <w:bookmarkEnd w:id="373"/>
    </w:p>
    <w:p>
      <w:pPr>
        <w:pStyle w:val="Normal"/>
        <w:rPr/>
      </w:pPr>
      <w:r>
        <w:rPr>
          <w:u w:val="single"/>
        </w:rPr>
        <w:t>Control Objective</w:t>
      </w:r>
      <w:r>
        <w:rPr/>
        <w:t>: The organization develops, implements and governs processes and documentation to facilitate the implementation of an enterprise-wide configuration management policy, as well as associated standards, controls and procedures.</w:t>
      </w:r>
      <w:r>
        <w:rPr>
          <w:rStyle w:val="FootnoteAnchor"/>
          <w:rStyle w:val="FootnoteAnchor"/>
          <w:rFonts w:cs="Calibri"/>
        </w:rPr>
        <w:footnoteReference w:id="109"/>
      </w:r>
    </w:p>
    <w:p>
      <w:pPr>
        <w:pStyle w:val="Normal"/>
        <w:rPr/>
      </w:pPr>
      <w:r>
        <w:rPr/>
      </w:r>
    </w:p>
    <w:p>
      <w:pPr>
        <w:pStyle w:val="Normal"/>
        <w:rPr>
          <w:rFonts w:cs="Arial"/>
        </w:rPr>
      </w:pPr>
      <w:r>
        <w:rPr>
          <w:u w:val="single"/>
        </w:rPr>
        <w:t>Standard</w:t>
      </w:r>
      <w:r>
        <w:rPr/>
        <w:t>: NFCC is required to document organization-wide configuration management controls that, at a minimum, include</w:t>
      </w:r>
      <w:r>
        <w:rPr>
          <w:rFonts w:cs="Arial"/>
        </w:rPr>
        <w:t>:</w:t>
      </w:r>
    </w:p>
    <w:p>
      <w:pPr>
        <w:pStyle w:val="ListParagraph"/>
        <w:numPr>
          <w:ilvl w:val="0"/>
          <w:numId w:val="261"/>
        </w:numPr>
        <w:rPr/>
      </w:pPr>
      <w:r>
        <w:rPr/>
        <w:t xml:space="preserve">A formal, documented configuration management program; </w:t>
      </w:r>
    </w:p>
    <w:p>
      <w:pPr>
        <w:pStyle w:val="ListParagraph"/>
        <w:numPr>
          <w:ilvl w:val="0"/>
          <w:numId w:val="261"/>
        </w:numPr>
        <w:rPr/>
      </w:pPr>
      <w:r>
        <w:rPr>
          <w:szCs w:val="22"/>
        </w:rPr>
        <w:t>Processes to facilitate the implementation</w:t>
      </w:r>
      <w:r>
        <w:rPr>
          <w:sz w:val="18"/>
        </w:rPr>
        <w:t xml:space="preserve"> </w:t>
      </w:r>
      <w:r>
        <w:rPr/>
        <w:t>of the configuration management program, including procedures and associated controls; and</w:t>
      </w:r>
    </w:p>
    <w:p>
      <w:pPr>
        <w:pStyle w:val="ListParagraph"/>
        <w:numPr>
          <w:ilvl w:val="0"/>
          <w:numId w:val="261"/>
        </w:numPr>
        <w:rPr/>
      </w:pPr>
      <w:r>
        <w:rPr/>
        <w:t>Where technically feasible, asset custodians and data / process owners are required to configure systems to include a description of groups, roles and responsibilities for the logical management of those devices.</w:t>
      </w:r>
    </w:p>
    <w:p>
      <w:pPr>
        <w:pStyle w:val="Normal"/>
        <w:rPr/>
      </w:pPr>
      <w:r>
        <w:rPr/>
      </w:r>
    </w:p>
    <w:p>
      <w:pPr>
        <w:pStyle w:val="Normal"/>
        <w:rPr/>
      </w:pPr>
      <w:r>
        <w:rPr>
          <w:u w:val="single"/>
        </w:rPr>
        <w:t>Guidelines</w:t>
      </w:r>
      <w:r>
        <w:rPr/>
        <w:t>: As systems continue through the Secure Development Life Cycle (SDLC), new configuration items may be identified and some existing configuration items may no longer need to be under configuration control. Configuration management plans satisfy the requirements in organizational configuration management policies while being tailored to individual systems.</w:t>
      </w:r>
    </w:p>
    <w:p>
      <w:pPr>
        <w:pStyle w:val="Normal"/>
        <w:rPr/>
      </w:pPr>
      <w:r>
        <w:rPr/>
      </w:r>
    </w:p>
    <w:p>
      <w:pPr>
        <w:pStyle w:val="Heading3"/>
        <w:rPr/>
      </w:pPr>
      <w:bookmarkStart w:id="374" w:name="_Toc23242051"/>
      <w:bookmarkStart w:id="375" w:name="_Toc34920617"/>
      <w:r>
        <w:rPr/>
        <w:t>CFG-01(a): Configuration Management Program | Assignment of Responsibility</w:t>
      </w:r>
      <w:bookmarkEnd w:id="374"/>
      <w:bookmarkEnd w:id="375"/>
      <w:r>
        <w:rPr/>
        <w:t xml:space="preserve"> </w:t>
      </w:r>
    </w:p>
    <w:p>
      <w:pPr>
        <w:pStyle w:val="Normal"/>
        <w:rPr>
          <w:rFonts w:cs="Calibri"/>
          <w:bCs w:val="false"/>
        </w:rPr>
      </w:pPr>
      <w:r>
        <w:rPr>
          <w:rFonts w:cs="Calibri"/>
          <w:u w:val="single"/>
        </w:rPr>
        <w:t>Control Objective</w:t>
      </w:r>
      <w:r>
        <w:rPr>
          <w:rFonts w:cs="Calibri"/>
        </w:rPr>
        <w:t>:</w:t>
      </w:r>
      <w:r>
        <w:rPr>
          <w:rFonts w:cs="Calibri"/>
          <w:bCs w:val="false"/>
        </w:rPr>
        <w:t xml:space="preserve"> The organization assigns responsibility for developing the configuration management process to organizational personnel that are not directly involved in information system development.</w:t>
      </w:r>
      <w:r>
        <w:rPr>
          <w:rStyle w:val="FootnoteCharacters"/>
          <w:rFonts w:cs="Calibri"/>
        </w:rPr>
        <w:t xml:space="preserve"> </w:t>
      </w:r>
      <w:r>
        <w:rPr>
          <w:rStyle w:val="FootnoteAnchor"/>
          <w:rStyle w:val="FootnoteAnchor"/>
          <w:rFonts w:cs="Calibri"/>
        </w:rPr>
        <w:footnoteReference w:id="110"/>
      </w:r>
    </w:p>
    <w:p>
      <w:pPr>
        <w:pStyle w:val="Normal"/>
        <w:rPr>
          <w:rFonts w:cs="Calibri"/>
        </w:rPr>
      </w:pPr>
      <w:r>
        <w:rPr>
          <w:rFonts w:cs="Calibri"/>
        </w:rPr>
      </w:r>
    </w:p>
    <w:p>
      <w:pPr>
        <w:pStyle w:val="Normal"/>
        <w:rPr>
          <w:rFonts w:cs="Calibri"/>
        </w:rPr>
      </w:pPr>
      <w:r>
        <w:rPr>
          <w:rFonts w:cs="Calibri"/>
          <w:u w:val="single"/>
        </w:rPr>
        <w:t>Standard</w:t>
      </w:r>
      <w:r>
        <w:rPr>
          <w:rFonts w:cs="Calibri"/>
        </w:rPr>
        <w:t xml:space="preserve">: NFCC’s IT department is </w:t>
      </w:r>
      <w:r>
        <w:rPr>
          <w:rFonts w:cs="Calibri"/>
          <w:bCs w:val="false"/>
        </w:rPr>
        <w:t>assigned the responsibility for developing the configuration management process that includes separation of duties, where possible.</w:t>
      </w:r>
    </w:p>
    <w:p>
      <w:pPr>
        <w:pStyle w:val="Normal"/>
        <w:rPr>
          <w:rFonts w:cs="Calibri"/>
        </w:rPr>
      </w:pPr>
      <w:r>
        <w:rPr>
          <w:rFonts w:cs="Calibri"/>
        </w:rPr>
      </w:r>
    </w:p>
    <w:p>
      <w:pPr>
        <w:pStyle w:val="Normal"/>
        <w:rPr>
          <w:rFonts w:cs="Calibri"/>
          <w:bCs w:val="false"/>
        </w:rPr>
      </w:pPr>
      <w:r>
        <w:rPr>
          <w:rFonts w:cs="Calibri"/>
          <w:u w:val="single"/>
        </w:rPr>
        <w:t>Guidelines</w:t>
      </w:r>
      <w:r>
        <w:rPr>
          <w:rFonts w:cs="Calibri"/>
        </w:rPr>
        <w:t xml:space="preserve">: </w:t>
      </w:r>
      <w:r>
        <w:rPr>
          <w:rFonts w:cs="Calibri"/>
          <w:bCs w:val="false"/>
        </w:rPr>
        <w:t>In the absence of dedicated configuration management teams assigned within organizations, system developers may be tasked to develop configuration management processes using personnel who are not directly involved in system development or integration. This separation of duties ensures that organizations establish and maintain a sufficient degree of independence between the information system development and integration processes and configuration management processes to facilitate quality control and more effective oversight.</w:t>
      </w:r>
    </w:p>
    <w:p>
      <w:pPr>
        <w:pStyle w:val="Normal"/>
        <w:rPr/>
      </w:pPr>
      <w:r>
        <w:rPr/>
      </w:r>
    </w:p>
    <w:p>
      <w:pPr>
        <w:pStyle w:val="Normal"/>
        <w:tabs>
          <w:tab w:val="clear" w:pos="360"/>
          <w:tab w:val="clear" w:pos="720"/>
          <w:tab w:val="clear" w:pos="1080"/>
        </w:tabs>
        <w:jc w:val="left"/>
        <w:rPr>
          <w:rFonts w:cs="Calibri"/>
          <w:b/>
          <w:b/>
          <w:bCs w:val="false"/>
          <w:smallCaps/>
          <w:color w:val="1F497D" w:themeColor="text2"/>
        </w:rPr>
      </w:pPr>
      <w:r>
        <w:rPr>
          <w:rFonts w:cs="Calibri"/>
          <w:b/>
          <w:bCs w:val="false"/>
          <w:smallCaps/>
          <w:color w:val="1F497D" w:themeColor="text2"/>
        </w:rPr>
      </w:r>
    </w:p>
    <w:p>
      <w:pPr>
        <w:pStyle w:val="Heading2"/>
        <w:rPr/>
      </w:pPr>
      <w:bookmarkStart w:id="376" w:name="_Toc474074845"/>
      <w:bookmarkStart w:id="377" w:name="_Toc474075563"/>
      <w:bookmarkStart w:id="378" w:name="_Toc34920618"/>
      <w:r>
        <w:rPr/>
        <w:t>CFG-02: System Hardening Through Baseline Configurations</w:t>
      </w:r>
      <w:bookmarkEnd w:id="376"/>
      <w:bookmarkEnd w:id="377"/>
      <w:bookmarkEnd w:id="378"/>
      <w:r>
        <w:rPr/>
        <w:t xml:space="preserve"> </w:t>
      </w:r>
    </w:p>
    <w:p>
      <w:pPr>
        <w:pStyle w:val="Normal"/>
        <w:rPr/>
      </w:pPr>
      <w:r>
        <w:rPr>
          <w:u w:val="single"/>
        </w:rPr>
        <w:t>Control Objective</w:t>
      </w:r>
      <w:r>
        <w:rPr/>
        <w:t>: The organization develops and controls configuration standards for all system components that are consistent with industry-accepted system hardening standards.</w:t>
      </w:r>
      <w:r>
        <w:rPr>
          <w:rStyle w:val="FootnoteCharacters"/>
          <w:rFonts w:cs="Calibri"/>
        </w:rPr>
        <w:t xml:space="preserve"> </w:t>
      </w:r>
      <w:r>
        <w:rPr>
          <w:rStyle w:val="FootnoteAnchor"/>
          <w:rStyle w:val="FootnoteAnchor"/>
          <w:rFonts w:cs="Calibri"/>
        </w:rPr>
        <w:footnoteReference w:id="111"/>
      </w:r>
    </w:p>
    <w:p>
      <w:pPr>
        <w:pStyle w:val="Normal"/>
        <w:rPr/>
      </w:pPr>
      <w:r>
        <w:rPr/>
      </w:r>
    </w:p>
    <w:p>
      <w:pPr>
        <w:pStyle w:val="Normal"/>
        <w:rPr/>
      </w:pPr>
      <w:r>
        <w:rPr>
          <w:u w:val="single"/>
        </w:rPr>
        <w:t>Standard</w:t>
      </w:r>
      <w:r>
        <w:rPr/>
        <w:t>: Baseline security requirements shall be established for all NFCC owned or managed assets that comply with applicable legal, statutory and regulatory compliance obligations:</w:t>
      </w:r>
    </w:p>
    <w:p>
      <w:pPr>
        <w:pStyle w:val="ListParagraph"/>
        <w:numPr>
          <w:ilvl w:val="0"/>
          <w:numId w:val="262"/>
        </w:numPr>
        <w:rPr/>
      </w:pPr>
      <w:r>
        <w:rPr/>
        <w:t>Each operating system shall be hardened to provide only necessary ports, protocols and services to meet business needs and have in place supporting technical controls such as: antivirus, file integrity monitoring and logging as part of their baseline operating build standard or template;</w:t>
      </w:r>
    </w:p>
    <w:p>
      <w:pPr>
        <w:pStyle w:val="ListParagraph"/>
        <w:numPr>
          <w:ilvl w:val="0"/>
          <w:numId w:val="262"/>
        </w:numPr>
        <w:rPr/>
      </w:pPr>
      <w:r>
        <w:rPr/>
        <w:t>Deviations from standard baseline configurations must be authorized following change management processes prior to deployment, provisioning or use; and</w:t>
      </w:r>
    </w:p>
    <w:p>
      <w:pPr>
        <w:pStyle w:val="ListParagraph"/>
        <w:numPr>
          <w:ilvl w:val="0"/>
          <w:numId w:val="262"/>
        </w:numPr>
        <w:rPr/>
      </w:pPr>
      <w:r>
        <w:rPr/>
        <w:t>Unless a technical or business reason exists, standardized images will be used to represent hardened versions of the underlying operating system and the applications installed on the system. These images must be validated and refreshed on a regular basis to update their security configuration in light of recent vulnerabilities and attack vectors.</w:t>
      </w:r>
    </w:p>
    <w:p>
      <w:pPr>
        <w:pStyle w:val="ListParagraph"/>
        <w:numPr>
          <w:ilvl w:val="0"/>
          <w:numId w:val="262"/>
        </w:numPr>
        <w:rPr/>
      </w:pPr>
      <w:r>
        <w:rPr/>
        <w:t>Asset custodians are required to develop configuration standards for all system components that are consistent with industry-accepted system hardening standards. This process of pre-production hardening systems includes, but is not limited to:</w:t>
      </w:r>
      <w:r>
        <w:rPr>
          <w:rStyle w:val="FootnoteCharacters"/>
          <w:rFonts w:cs="Calibri"/>
        </w:rPr>
        <w:t xml:space="preserve"> </w:t>
      </w:r>
    </w:p>
    <w:p>
      <w:pPr>
        <w:pStyle w:val="ListParagraph"/>
        <w:numPr>
          <w:ilvl w:val="1"/>
          <w:numId w:val="262"/>
        </w:numPr>
        <w:rPr/>
      </w:pPr>
      <w:r>
        <w:rPr/>
        <w:t>Verifying that system configuration standards are:</w:t>
      </w:r>
    </w:p>
    <w:p>
      <w:pPr>
        <w:pStyle w:val="ListParagraph"/>
        <w:numPr>
          <w:ilvl w:val="2"/>
          <w:numId w:val="262"/>
        </w:numPr>
        <w:rPr/>
      </w:pPr>
      <w:r>
        <w:rPr/>
        <w:t>Updated as new vulnerability issues are identified;</w:t>
      </w:r>
    </w:p>
    <w:p>
      <w:pPr>
        <w:pStyle w:val="ListParagraph"/>
        <w:numPr>
          <w:ilvl w:val="2"/>
          <w:numId w:val="262"/>
        </w:numPr>
        <w:rPr/>
      </w:pPr>
      <w:r>
        <w:rPr/>
        <w:t>Applied when new systems are configured;</w:t>
      </w:r>
    </w:p>
    <w:p>
      <w:pPr>
        <w:pStyle w:val="ListParagraph"/>
        <w:numPr>
          <w:ilvl w:val="2"/>
          <w:numId w:val="262"/>
        </w:numPr>
        <w:rPr/>
      </w:pPr>
      <w:r>
        <w:rPr/>
        <w:t>Consistent with industry-accepted hardening standards;</w:t>
      </w:r>
    </w:p>
    <w:p>
      <w:pPr>
        <w:pStyle w:val="ListParagraph"/>
        <w:numPr>
          <w:ilvl w:val="1"/>
          <w:numId w:val="262"/>
        </w:numPr>
        <w:rPr/>
      </w:pPr>
      <w:r>
        <w:rPr/>
        <w:t>Implementing only one primary function per server to prevent functions that require different security levels from co-existing on the same server (e.g., web servers, database servers and DNS should be implemented on separate servers);</w:t>
      </w:r>
      <w:r>
        <w:rPr>
          <w:rStyle w:val="FootnoteCharacters"/>
          <w:rFonts w:cs="Calibri"/>
        </w:rPr>
        <w:t xml:space="preserve"> </w:t>
      </w:r>
    </w:p>
    <w:p>
      <w:pPr>
        <w:pStyle w:val="ListParagraph"/>
        <w:numPr>
          <w:ilvl w:val="1"/>
          <w:numId w:val="262"/>
        </w:numPr>
        <w:rPr/>
      </w:pPr>
      <w:r>
        <w:rPr/>
        <w:t>Enforcing least functionality, which includes but is not limited to:</w:t>
      </w:r>
      <w:r>
        <w:rPr>
          <w:rStyle w:val="FootnoteCharacters"/>
          <w:rFonts w:cs="Calibri"/>
        </w:rPr>
        <w:t xml:space="preserve"> </w:t>
      </w:r>
    </w:p>
    <w:p>
      <w:pPr>
        <w:pStyle w:val="ListParagraph"/>
        <w:numPr>
          <w:ilvl w:val="2"/>
          <w:numId w:val="262"/>
        </w:numPr>
        <w:rPr/>
      </w:pPr>
      <w:r>
        <w:rPr/>
        <w:t>Allowing only necessary and secure services, protocols and daemons;</w:t>
      </w:r>
      <w:r>
        <w:rPr>
          <w:rStyle w:val="FootnoteCharacters"/>
          <w:rFonts w:cs="Calibri"/>
        </w:rPr>
        <w:t xml:space="preserve"> </w:t>
      </w:r>
    </w:p>
    <w:p>
      <w:pPr>
        <w:pStyle w:val="ListParagraph"/>
        <w:numPr>
          <w:ilvl w:val="2"/>
          <w:numId w:val="262"/>
        </w:numPr>
        <w:rPr/>
      </w:pPr>
      <w:r>
        <w:rPr/>
        <w:t>Removing all unnecessary functionality, which includes but is not limited to:</w:t>
      </w:r>
      <w:r>
        <w:rPr>
          <w:rStyle w:val="FootnoteCharacters"/>
          <w:rFonts w:cs="Calibri"/>
        </w:rPr>
        <w:t xml:space="preserve"> </w:t>
      </w:r>
    </w:p>
    <w:p>
      <w:pPr>
        <w:pStyle w:val="ListParagraph"/>
        <w:numPr>
          <w:ilvl w:val="3"/>
          <w:numId w:val="262"/>
        </w:numPr>
        <w:rPr/>
      </w:pPr>
      <w:r>
        <w:rPr/>
        <w:t>Scripts;</w:t>
      </w:r>
    </w:p>
    <w:p>
      <w:pPr>
        <w:pStyle w:val="ListParagraph"/>
        <w:numPr>
          <w:ilvl w:val="3"/>
          <w:numId w:val="262"/>
        </w:numPr>
        <w:rPr/>
      </w:pPr>
      <w:r>
        <w:rPr/>
        <w:t>Drivers;</w:t>
      </w:r>
    </w:p>
    <w:p>
      <w:pPr>
        <w:pStyle w:val="ListParagraph"/>
        <w:numPr>
          <w:ilvl w:val="3"/>
          <w:numId w:val="262"/>
        </w:numPr>
        <w:rPr/>
      </w:pPr>
      <w:r>
        <w:rPr/>
        <w:t>Features;</w:t>
      </w:r>
    </w:p>
    <w:p>
      <w:pPr>
        <w:pStyle w:val="ListParagraph"/>
        <w:numPr>
          <w:ilvl w:val="3"/>
          <w:numId w:val="262"/>
        </w:numPr>
        <w:rPr/>
      </w:pPr>
      <w:r>
        <w:rPr/>
        <w:t>Subsystems;</w:t>
      </w:r>
    </w:p>
    <w:p>
      <w:pPr>
        <w:pStyle w:val="ListParagraph"/>
        <w:numPr>
          <w:ilvl w:val="3"/>
          <w:numId w:val="262"/>
        </w:numPr>
        <w:rPr/>
      </w:pPr>
      <w:r>
        <w:rPr/>
        <w:t>File systems; and</w:t>
      </w:r>
    </w:p>
    <w:p>
      <w:pPr>
        <w:pStyle w:val="ListParagraph"/>
        <w:numPr>
          <w:ilvl w:val="3"/>
          <w:numId w:val="262"/>
        </w:numPr>
        <w:rPr/>
      </w:pPr>
      <w:r>
        <w:rPr/>
        <w:t>Unnecessary web servers</w:t>
      </w:r>
    </w:p>
    <w:p>
      <w:pPr>
        <w:pStyle w:val="ListParagraph"/>
        <w:numPr>
          <w:ilvl w:val="2"/>
          <w:numId w:val="262"/>
        </w:numPr>
        <w:rPr/>
      </w:pPr>
      <w:r>
        <w:rPr/>
        <w:t>Implementing security features for any required services, protocols or daemons that are considered to be insecure, which includes but is not limited to using secured technologies such as Secure Shell (SSH), Secure File Transfer Protocol (S-FTP), Transport Layer Security (TLS) or IPSec VPN to protect insecure services such as NetBIOS, file-sharing, Telnet and FTP;</w:t>
      </w:r>
      <w:r>
        <w:rPr>
          <w:rStyle w:val="FootnoteCharacters"/>
          <w:rFonts w:cs="Calibri"/>
        </w:rPr>
        <w:t xml:space="preserve"> </w:t>
      </w:r>
    </w:p>
    <w:p>
      <w:pPr>
        <w:pStyle w:val="ListParagraph"/>
        <w:numPr>
          <w:ilvl w:val="2"/>
          <w:numId w:val="262"/>
        </w:numPr>
        <w:rPr/>
      </w:pPr>
      <w:r>
        <w:rPr/>
        <w:t>Verifying system security parameters are configured to prevent misuse;</w:t>
      </w:r>
      <w:r>
        <w:rPr>
          <w:rStyle w:val="FootnoteCharacters"/>
          <w:rFonts w:cs="Calibri"/>
        </w:rPr>
        <w:t xml:space="preserve"> </w:t>
      </w:r>
      <w:r>
        <w:rPr/>
        <w:t>and</w:t>
      </w:r>
    </w:p>
    <w:p>
      <w:pPr>
        <w:pStyle w:val="ListParagraph"/>
        <w:numPr>
          <w:ilvl w:val="2"/>
          <w:numId w:val="262"/>
        </w:numPr>
        <w:rPr/>
      </w:pPr>
      <w:r>
        <w:rPr/>
        <w:t>Documenting the functionality present on systems.</w:t>
      </w:r>
    </w:p>
    <w:p>
      <w:pPr>
        <w:pStyle w:val="Normal"/>
        <w:rPr/>
      </w:pPr>
      <w:r>
        <w:rPr/>
      </w:r>
    </w:p>
    <w:p>
      <w:pPr>
        <w:pStyle w:val="Normal"/>
        <w:rPr/>
      </w:pPr>
      <w:r>
        <w:rPr>
          <w:u w:val="single"/>
        </w:rPr>
        <w:t>Guidelines</w:t>
      </w:r>
      <w:r>
        <w:rPr/>
        <w:t>: Baseline configurations should be based on industry-recognized leading practices. Sources of approved baseline configurations are:</w:t>
      </w:r>
    </w:p>
    <w:p>
      <w:pPr>
        <w:pStyle w:val="ListParagraph"/>
        <w:numPr>
          <w:ilvl w:val="0"/>
          <w:numId w:val="207"/>
        </w:numPr>
        <w:rPr/>
      </w:pPr>
      <w:r>
        <w:rPr/>
        <w:t>Microsoft Security Configuration Wizard</w:t>
      </w:r>
    </w:p>
    <w:p>
      <w:pPr>
        <w:pStyle w:val="ListParagraph"/>
        <w:numPr>
          <w:ilvl w:val="0"/>
          <w:numId w:val="207"/>
        </w:numPr>
        <w:rPr/>
      </w:pPr>
      <w:r>
        <w:rPr/>
        <w:t>Center for Internet Security (CIS)</w:t>
      </w:r>
    </w:p>
    <w:p>
      <w:pPr>
        <w:pStyle w:val="ListParagraph"/>
        <w:numPr>
          <w:ilvl w:val="0"/>
          <w:numId w:val="207"/>
        </w:numPr>
        <w:rPr/>
      </w:pPr>
      <w:r>
        <w:rPr/>
        <w:t>Defense Information Systems Agency (DISA) Security Technical Implementation Guides (STIGs)</w:t>
      </w:r>
      <w:r>
        <w:rPr>
          <w:rStyle w:val="FootnoteCharacters"/>
          <w:rFonts w:cs="Calibri"/>
        </w:rPr>
        <w:t xml:space="preserve"> </w:t>
      </w:r>
      <w:r>
        <w:rPr>
          <w:rStyle w:val="FootnoteAnchor"/>
          <w:rStyle w:val="FootnoteAnchor"/>
          <w:rFonts w:cs="Calibri"/>
        </w:rPr>
        <w:footnoteReference w:id="112"/>
      </w:r>
    </w:p>
    <w:p>
      <w:pPr>
        <w:pStyle w:val="Normal"/>
        <w:rPr/>
      </w:pPr>
      <w:r>
        <w:rPr/>
      </w:r>
    </w:p>
    <w:p>
      <w:pPr>
        <w:pStyle w:val="Normal"/>
        <w:rPr/>
      </w:pPr>
      <w:r>
        <w:rPr/>
        <w:t>Technology platforms includes but are not limited to:</w:t>
      </w:r>
    </w:p>
    <w:p>
      <w:pPr>
        <w:pStyle w:val="ListParagraph"/>
        <w:numPr>
          <w:ilvl w:val="0"/>
          <w:numId w:val="215"/>
        </w:numPr>
        <w:rPr/>
      </w:pPr>
      <w:r>
        <w:rPr/>
        <w:t>Firewalls;</w:t>
      </w:r>
    </w:p>
    <w:p>
      <w:pPr>
        <w:pStyle w:val="ListParagraph"/>
        <w:numPr>
          <w:ilvl w:val="0"/>
          <w:numId w:val="215"/>
        </w:numPr>
        <w:rPr/>
      </w:pPr>
      <w:r>
        <w:rPr/>
        <w:t>Routers;</w:t>
      </w:r>
    </w:p>
    <w:p>
      <w:pPr>
        <w:pStyle w:val="ListParagraph"/>
        <w:numPr>
          <w:ilvl w:val="0"/>
          <w:numId w:val="215"/>
        </w:numPr>
        <w:rPr/>
      </w:pPr>
      <w:r>
        <w:rPr/>
        <w:t>Switches, capable of being managed;</w:t>
      </w:r>
    </w:p>
    <w:p>
      <w:pPr>
        <w:pStyle w:val="ListParagraph"/>
        <w:numPr>
          <w:ilvl w:val="0"/>
          <w:numId w:val="215"/>
        </w:numPr>
        <w:rPr/>
      </w:pPr>
      <w:r>
        <w:rPr/>
        <w:t>Wireless Access Points (WAPs);</w:t>
      </w:r>
    </w:p>
    <w:p>
      <w:pPr>
        <w:pStyle w:val="ListParagraph"/>
        <w:numPr>
          <w:ilvl w:val="0"/>
          <w:numId w:val="215"/>
        </w:numPr>
        <w:rPr/>
      </w:pPr>
      <w:r>
        <w:rPr/>
        <w:t>Servers;</w:t>
      </w:r>
    </w:p>
    <w:p>
      <w:pPr>
        <w:pStyle w:val="ListParagraph"/>
        <w:numPr>
          <w:ilvl w:val="0"/>
          <w:numId w:val="215"/>
        </w:numPr>
        <w:rPr/>
      </w:pPr>
      <w:r>
        <w:rPr/>
        <w:t xml:space="preserve">Workstations; </w:t>
      </w:r>
    </w:p>
    <w:p>
      <w:pPr>
        <w:pStyle w:val="ListParagraph"/>
        <w:numPr>
          <w:ilvl w:val="0"/>
          <w:numId w:val="215"/>
        </w:numPr>
        <w:rPr/>
      </w:pPr>
      <w:r>
        <w:rPr/>
        <w:t>Embedded devices; and</w:t>
      </w:r>
    </w:p>
    <w:p>
      <w:pPr>
        <w:pStyle w:val="ListParagraph"/>
        <w:numPr>
          <w:ilvl w:val="0"/>
          <w:numId w:val="215"/>
        </w:numPr>
        <w:rPr/>
      </w:pPr>
      <w:r>
        <w:rPr/>
        <w:t>Mobile Devices, capable of being managed.</w:t>
      </w:r>
    </w:p>
    <w:p>
      <w:pPr>
        <w:pStyle w:val="Normal"/>
        <w:rPr/>
      </w:pPr>
      <w:r>
        <w:rPr/>
      </w:r>
    </w:p>
    <w:p>
      <w:pPr>
        <w:pStyle w:val="Heading3"/>
        <w:rPr/>
      </w:pPr>
      <w:bookmarkStart w:id="379" w:name="_Toc474074846"/>
      <w:bookmarkStart w:id="380" w:name="_Toc34920619"/>
      <w:r>
        <w:rPr/>
        <w:t>CFG-02(a): System Hardening Through Baseline Configurations | Reviews &amp; Updates</w:t>
      </w:r>
      <w:bookmarkEnd w:id="379"/>
      <w:bookmarkEnd w:id="380"/>
    </w:p>
    <w:p>
      <w:pPr>
        <w:pStyle w:val="Normal"/>
        <w:rPr/>
      </w:pPr>
      <w:r>
        <w:rPr>
          <w:u w:val="single"/>
        </w:rPr>
        <w:t>Control Objective</w:t>
      </w:r>
      <w:r>
        <w:rPr/>
        <w:t>: The organization reviews and updates the baseline configurations of systems:</w:t>
      </w:r>
      <w:r>
        <w:rPr>
          <w:rStyle w:val="FootnoteAnchor"/>
          <w:rStyle w:val="FootnoteAnchor"/>
          <w:rFonts w:cs="Calibri"/>
        </w:rPr>
        <w:footnoteReference w:id="113"/>
      </w:r>
    </w:p>
    <w:p>
      <w:pPr>
        <w:pStyle w:val="ListParagraph"/>
        <w:numPr>
          <w:ilvl w:val="0"/>
          <w:numId w:val="21"/>
        </w:numPr>
        <w:rPr/>
      </w:pPr>
      <w:r>
        <w:rPr/>
        <w:t>At least annually;</w:t>
      </w:r>
    </w:p>
    <w:p>
      <w:pPr>
        <w:pStyle w:val="ListParagraph"/>
        <w:numPr>
          <w:ilvl w:val="0"/>
          <w:numId w:val="21"/>
        </w:numPr>
        <w:rPr/>
      </w:pPr>
      <w:r>
        <w:rPr/>
        <w:t>When required due to so; or</w:t>
      </w:r>
    </w:p>
    <w:p>
      <w:pPr>
        <w:pStyle w:val="ListParagraph"/>
        <w:numPr>
          <w:ilvl w:val="0"/>
          <w:numId w:val="21"/>
        </w:numPr>
        <w:rPr/>
      </w:pPr>
      <w:r>
        <w:rPr/>
        <w:t>As part of system component installations and upgrades.</w:t>
      </w:r>
    </w:p>
    <w:p>
      <w:pPr>
        <w:pStyle w:val="Normal"/>
        <w:rPr/>
      </w:pPr>
      <w:r>
        <w:rPr/>
      </w:r>
    </w:p>
    <w:p>
      <w:pPr>
        <w:pStyle w:val="Normal"/>
        <w:rPr/>
      </w:pPr>
      <w:r>
        <w:rPr>
          <w:u w:val="single"/>
        </w:rPr>
        <w:t>Standard</w:t>
      </w:r>
      <w:r>
        <w:rPr/>
        <w:t>: Compliance with security baseline requirements must be reassessed at least annually, unless an alternate frequency has been established and authorized based on business needs. Therefore, asset custodians are required to review and update baseline configurations for systems under their control:</w:t>
      </w:r>
    </w:p>
    <w:p>
      <w:pPr>
        <w:pStyle w:val="ListParagraph"/>
        <w:numPr>
          <w:ilvl w:val="0"/>
          <w:numId w:val="263"/>
        </w:numPr>
        <w:rPr/>
      </w:pPr>
      <w:r>
        <w:rPr/>
        <w:t>At least annually;</w:t>
      </w:r>
    </w:p>
    <w:p>
      <w:pPr>
        <w:pStyle w:val="ListParagraph"/>
        <w:numPr>
          <w:ilvl w:val="0"/>
          <w:numId w:val="263"/>
        </w:numPr>
        <w:rPr/>
      </w:pPr>
      <w:r>
        <w:rPr/>
        <w:t>When required due to so; or</w:t>
      </w:r>
    </w:p>
    <w:p>
      <w:pPr>
        <w:pStyle w:val="ListParagraph"/>
        <w:numPr>
          <w:ilvl w:val="0"/>
          <w:numId w:val="263"/>
        </w:numPr>
        <w:rPr/>
      </w:pPr>
      <w:r>
        <w:rPr/>
        <w:t>As part of system component installations and upgrades.</w:t>
      </w:r>
    </w:p>
    <w:p>
      <w:pPr>
        <w:pStyle w:val="Normal"/>
        <w:rPr/>
      </w:pPr>
      <w:r>
        <w:rPr/>
      </w:r>
    </w:p>
    <w:p>
      <w:pPr>
        <w:pStyle w:val="Normal"/>
        <w:rPr/>
      </w:pPr>
      <w:r>
        <w:rPr>
          <w:u w:val="single"/>
        </w:rPr>
        <w:t>Guidelines</w:t>
      </w:r>
      <w:r>
        <w:rPr/>
        <w:t>: None</w:t>
      </w:r>
    </w:p>
    <w:p>
      <w:pPr>
        <w:pStyle w:val="Normal"/>
        <w:tabs>
          <w:tab w:val="clear" w:pos="360"/>
          <w:tab w:val="clear" w:pos="720"/>
          <w:tab w:val="clear" w:pos="1080"/>
        </w:tabs>
        <w:jc w:val="left"/>
        <w:rPr/>
      </w:pPr>
      <w:r>
        <w:rPr/>
      </w:r>
    </w:p>
    <w:p>
      <w:pPr>
        <w:pStyle w:val="Heading3"/>
        <w:rPr/>
      </w:pPr>
      <w:bookmarkStart w:id="381" w:name="_Toc34920620"/>
      <w:bookmarkStart w:id="382" w:name="_Toc474074847"/>
      <w:r>
        <w:rPr/>
        <w:t>CFG-02(b): System Hardening Through Baseline Configurations | Automated Central Management &amp; Verification</w:t>
      </w:r>
      <w:bookmarkEnd w:id="381"/>
      <w:bookmarkEnd w:id="382"/>
      <w:r>
        <w:rPr/>
        <w:t xml:space="preserve"> </w:t>
      </w:r>
    </w:p>
    <w:p>
      <w:pPr>
        <w:pStyle w:val="Normal"/>
        <w:rPr/>
      </w:pPr>
      <w:r>
        <w:rPr>
          <w:u w:val="single"/>
        </w:rPr>
        <w:t>Control Objective</w:t>
      </w:r>
      <w:r>
        <w:rPr/>
        <w:t>: The organization employs automated mechanisms to maintain an up-to-date, complete, accurate and readily available baseline configuration of systems.</w:t>
      </w:r>
      <w:r>
        <w:rPr>
          <w:rStyle w:val="FootnoteAnchor"/>
          <w:rStyle w:val="FootnoteAnchor"/>
          <w:rFonts w:cs="Calibri"/>
        </w:rPr>
        <w:footnoteReference w:id="114"/>
      </w:r>
    </w:p>
    <w:p>
      <w:pPr>
        <w:pStyle w:val="Normal"/>
        <w:rPr/>
      </w:pPr>
      <w:r>
        <w:rPr/>
      </w:r>
    </w:p>
    <w:p>
      <w:pPr>
        <w:pStyle w:val="Normal"/>
        <w:rPr/>
      </w:pPr>
      <w:r>
        <w:rPr>
          <w:u w:val="single"/>
        </w:rPr>
        <w:t>Standard</w:t>
      </w:r>
      <w:r>
        <w:rPr/>
        <w:t>: Where technically feasible, NFCC shall employ automated mechanisms to verify standard device configurations and detect changes. This includes but is not limited to:</w:t>
      </w:r>
    </w:p>
    <w:p>
      <w:pPr>
        <w:pStyle w:val="ListParagraph"/>
        <w:numPr>
          <w:ilvl w:val="0"/>
          <w:numId w:val="264"/>
        </w:numPr>
        <w:rPr/>
      </w:pPr>
      <w:r>
        <w:rPr/>
        <w:t>Implementing and testing an automated configuration monitoring system that verifies all remotely testable secure configuration elements and alerts when unauthorized changes occur;</w:t>
      </w:r>
    </w:p>
    <w:p>
      <w:pPr>
        <w:pStyle w:val="ListParagraph"/>
        <w:numPr>
          <w:ilvl w:val="0"/>
          <w:numId w:val="264"/>
        </w:numPr>
        <w:rPr/>
      </w:pPr>
      <w:r>
        <w:rPr/>
        <w:t>Logging all alterations to such files and automatically reporting deviations to security personnel;</w:t>
      </w:r>
    </w:p>
    <w:p>
      <w:pPr>
        <w:pStyle w:val="ListParagraph"/>
        <w:numPr>
          <w:ilvl w:val="0"/>
          <w:numId w:val="264"/>
        </w:numPr>
        <w:rPr/>
      </w:pPr>
      <w:r>
        <w:rPr/>
        <w:t>Detecting new listening ports, new administrative users, changes to group and local policy objects (where applicable) and new services running on a system; and</w:t>
      </w:r>
    </w:p>
    <w:p>
      <w:pPr>
        <w:pStyle w:val="ListParagraph"/>
        <w:numPr>
          <w:ilvl w:val="0"/>
          <w:numId w:val="264"/>
        </w:numPr>
        <w:rPr/>
      </w:pPr>
      <w:r>
        <w:rPr/>
        <w:t xml:space="preserve">Devising a list of authorized software and version that is required for each technology platform, including servers, workstations and laptops of various kinds and uses. </w:t>
      </w:r>
    </w:p>
    <w:p>
      <w:pPr>
        <w:pStyle w:val="Normal"/>
        <w:rPr/>
      </w:pPr>
      <w:r>
        <w:rPr/>
      </w:r>
    </w:p>
    <w:p>
      <w:pPr>
        <w:pStyle w:val="Normal"/>
        <w:rPr/>
      </w:pPr>
      <w:r>
        <w:rPr>
          <w:u w:val="single"/>
        </w:rPr>
        <w:t>Guidelines</w:t>
      </w:r>
      <w:r>
        <w:rPr/>
        <w:t>: Whenever possible use tools compliant with the Security Content Automation Protocol (SCAP) in order to streamline reporting and integration. Automated mechanisms that help organizations maintain consistent baseline configurations for systems include, for example, hardware and software inventory tools, configuration management tools and network management tools. Such tools can be deployed and / or allocated as common controls, at the system level or at the operating system or component level (e.g., on workstations, servers, notebook computers, network components or mobile devices). Tools can be used, for example, to track version numbers on operating system applications, types of software installed and current patch levels.</w:t>
      </w:r>
    </w:p>
    <w:p>
      <w:pPr>
        <w:pStyle w:val="Normal"/>
        <w:rPr/>
      </w:pPr>
      <w:r>
        <w:rPr/>
      </w:r>
    </w:p>
    <w:p>
      <w:pPr>
        <w:pStyle w:val="Heading3"/>
        <w:rPr/>
      </w:pPr>
      <w:bookmarkStart w:id="383" w:name="_Toc474074848"/>
      <w:bookmarkStart w:id="384" w:name="_Toc34920621"/>
      <w:r>
        <w:rPr/>
        <w:t>CFG-02(c): System Hardening Through Baseline Configurations | Retention Of Previous Configurations</w:t>
      </w:r>
      <w:bookmarkEnd w:id="383"/>
      <w:bookmarkEnd w:id="384"/>
      <w:r>
        <w:rPr/>
        <w:t xml:space="preserve"> </w:t>
      </w:r>
    </w:p>
    <w:p>
      <w:pPr>
        <w:pStyle w:val="Normal"/>
        <w:rPr/>
      </w:pPr>
      <w:r>
        <w:rPr>
          <w:u w:val="single"/>
        </w:rPr>
        <w:t>Control Objective</w:t>
      </w:r>
      <w:r>
        <w:rPr/>
        <w:t>: The organization retains previous versions of baseline configurations of systems to support rollback.</w:t>
      </w:r>
      <w:r>
        <w:rPr>
          <w:rStyle w:val="FootnoteAnchor"/>
          <w:rStyle w:val="FootnoteAnchor"/>
          <w:rFonts w:cs="Calibri"/>
        </w:rPr>
        <w:footnoteReference w:id="115"/>
      </w:r>
    </w:p>
    <w:p>
      <w:pPr>
        <w:pStyle w:val="Normal"/>
        <w:rPr/>
      </w:pPr>
      <w:r>
        <w:rPr/>
      </w:r>
    </w:p>
    <w:p>
      <w:pPr>
        <w:pStyle w:val="Normal"/>
        <w:rPr/>
      </w:pPr>
      <w:r>
        <w:rPr>
          <w:u w:val="single"/>
        </w:rPr>
        <w:t>Standard</w:t>
      </w:r>
      <w:r>
        <w:rPr/>
        <w:t>: Asset custodians are required to store and maintain at least three (3) previous versions of configurations to support rollback and troubleshooting operations. For storage:</w:t>
      </w:r>
    </w:p>
    <w:p>
      <w:pPr>
        <w:pStyle w:val="ListParagraph"/>
        <w:numPr>
          <w:ilvl w:val="0"/>
          <w:numId w:val="265"/>
        </w:numPr>
        <w:rPr/>
      </w:pPr>
      <w:r>
        <w:rPr/>
        <w:t>Store the master images on securely configured servers, validated with integrity checking tools capable of continuous inspection and change management to ensure that only authorized changes to the images are possible; or</w:t>
      </w:r>
    </w:p>
    <w:p>
      <w:pPr>
        <w:pStyle w:val="ListParagraph"/>
        <w:numPr>
          <w:ilvl w:val="0"/>
          <w:numId w:val="265"/>
        </w:numPr>
        <w:rPr/>
      </w:pPr>
      <w:r>
        <w:rPr/>
        <w:t>Alternatively, these master images can be stored in offline machines, air-gapped from the production network, with images copied via secure media to move them between the image storage servers and the production network.</w:t>
      </w:r>
    </w:p>
    <w:p>
      <w:pPr>
        <w:pStyle w:val="Normal"/>
        <w:rPr/>
      </w:pPr>
      <w:r>
        <w:rPr/>
      </w:r>
    </w:p>
    <w:p>
      <w:pPr>
        <w:pStyle w:val="Normal"/>
        <w:rPr/>
      </w:pPr>
      <w:r>
        <w:rPr>
          <w:u w:val="single"/>
        </w:rPr>
        <w:t>Guidelines</w:t>
      </w:r>
      <w:r>
        <w:rPr/>
        <w:t>: Retaining previous versions of baseline configurations to support rollback may include, for example, hardware, software, firmware, configuration files and configuration records.</w:t>
      </w:r>
    </w:p>
    <w:p>
      <w:pPr>
        <w:pStyle w:val="Normal"/>
        <w:rPr/>
      </w:pPr>
      <w:r>
        <w:rPr/>
      </w:r>
    </w:p>
    <w:p>
      <w:pPr>
        <w:pStyle w:val="Heading3"/>
        <w:rPr/>
      </w:pPr>
      <w:bookmarkStart w:id="385" w:name="_Toc474074849"/>
      <w:bookmarkStart w:id="386" w:name="_Toc34920622"/>
      <w:r>
        <w:rPr/>
        <w:t>CFG-02(d): System Hardening Through Baseline Configurations | Development &amp; Test Environments</w:t>
      </w:r>
      <w:bookmarkEnd w:id="385"/>
      <w:bookmarkEnd w:id="386"/>
    </w:p>
    <w:p>
      <w:pPr>
        <w:pStyle w:val="Normal"/>
        <w:rPr/>
      </w:pPr>
      <w:r>
        <w:rPr>
          <w:u w:val="single"/>
        </w:rPr>
        <w:t>Control Objective</w:t>
      </w:r>
      <w:r>
        <w:rPr/>
        <w:t>: The organization maintains baseline configurations for development and test environments that are managed separately from the operational baseline configuration.</w:t>
      </w:r>
      <w:r>
        <w:rPr>
          <w:rStyle w:val="FootnoteCharacters"/>
          <w:rFonts w:cs="Calibri"/>
          <w:bCs w:val="false"/>
        </w:rPr>
        <w:t xml:space="preserve"> </w:t>
      </w:r>
      <w:r>
        <w:rPr>
          <w:rStyle w:val="FootnoteAnchor"/>
          <w:rStyle w:val="FootnoteAnchor"/>
          <w:rFonts w:cs="Calibri"/>
          <w:bCs w:val="false"/>
        </w:rPr>
        <w:footnoteReference w:id="116"/>
      </w:r>
    </w:p>
    <w:p>
      <w:pPr>
        <w:pStyle w:val="Normal"/>
        <w:rPr/>
      </w:pPr>
      <w:r>
        <w:rPr/>
      </w:r>
    </w:p>
    <w:p>
      <w:pPr>
        <w:pStyle w:val="Normal"/>
        <w:rPr/>
      </w:pPr>
      <w:r>
        <w:rPr>
          <w:u w:val="single"/>
        </w:rPr>
        <w:t>Standard</w:t>
      </w:r>
      <w:r>
        <w:rPr/>
        <w:t>: Asset custodians are required to maintain and manage baseline configurations for development and test environments separately from its production baseline configurations.</w:t>
      </w:r>
    </w:p>
    <w:p>
      <w:pPr>
        <w:pStyle w:val="Normal"/>
        <w:rPr/>
      </w:pPr>
      <w:r>
        <w:rPr/>
      </w:r>
    </w:p>
    <w:p>
      <w:pPr>
        <w:pStyle w:val="Normal"/>
        <w:rPr/>
      </w:pPr>
      <w:r>
        <w:rPr>
          <w:u w:val="single"/>
        </w:rPr>
        <w:t>Guidelines</w:t>
      </w:r>
      <w:r>
        <w:rPr/>
        <w:t>: Establishing separate baseline configurations for development, testing and operational environments help protect systems from unplanned / unexpected events related to development and testing activities. Separate baseline configurations allow organizations to apply the configuration management that is most appropriate for each type of configuration. For example, management of operational configurations typically emphasizes the need for stability, while management of development / test configurations requires greater flexibility. This standard requires separate configurations but not necessarily separate physical environments.</w:t>
      </w:r>
    </w:p>
    <w:p>
      <w:pPr>
        <w:pStyle w:val="Normal"/>
        <w:tabs>
          <w:tab w:val="clear" w:pos="360"/>
          <w:tab w:val="clear" w:pos="720"/>
          <w:tab w:val="clear" w:pos="1080"/>
        </w:tabs>
        <w:jc w:val="left"/>
        <w:rPr/>
      </w:pPr>
      <w:r>
        <w:rPr/>
      </w:r>
    </w:p>
    <w:p>
      <w:pPr>
        <w:pStyle w:val="Heading3"/>
        <w:rPr/>
      </w:pPr>
      <w:bookmarkStart w:id="387" w:name="_Toc34920623"/>
      <w:bookmarkStart w:id="388" w:name="_Toc474074850"/>
      <w:r>
        <w:rPr/>
        <w:t>CFG-02(e): System Hardening Through Baseline Configurations | Configure Systems, Components or Devices for High-Risk Areas</w:t>
      </w:r>
      <w:bookmarkEnd w:id="387"/>
      <w:bookmarkEnd w:id="388"/>
      <w:r>
        <w:rPr/>
        <w:t xml:space="preserve"> </w:t>
      </w:r>
    </w:p>
    <w:p>
      <w:pPr>
        <w:pStyle w:val="Normal"/>
        <w:rPr/>
      </w:pPr>
      <w:r>
        <w:rPr>
          <w:u w:val="single"/>
        </w:rPr>
        <w:t>Control Objective</w:t>
      </w:r>
      <w:r>
        <w:rPr/>
        <w:t>: The organization:</w:t>
      </w:r>
      <w:r>
        <w:rPr>
          <w:rStyle w:val="FootnoteAnchor"/>
          <w:rStyle w:val="FootnoteAnchor"/>
          <w:rFonts w:cs="Calibri"/>
        </w:rPr>
        <w:footnoteReference w:id="117"/>
      </w:r>
    </w:p>
    <w:p>
      <w:pPr>
        <w:pStyle w:val="ListParagraph"/>
        <w:numPr>
          <w:ilvl w:val="0"/>
          <w:numId w:val="170"/>
        </w:numPr>
        <w:rPr/>
      </w:pPr>
      <w:r>
        <w:rPr/>
        <w:t>Issues systems, system components or services with organization-defined configurations to individuals traveling to locations that the organization deems to be of significant risk; and</w:t>
      </w:r>
    </w:p>
    <w:p>
      <w:pPr>
        <w:pStyle w:val="ListParagraph"/>
        <w:numPr>
          <w:ilvl w:val="0"/>
          <w:numId w:val="170"/>
        </w:numPr>
        <w:rPr/>
      </w:pPr>
      <w:r>
        <w:rPr/>
        <w:t>Applies organization-defined security safeguards to the devices when the individuals return.</w:t>
      </w:r>
    </w:p>
    <w:p>
      <w:pPr>
        <w:pStyle w:val="Normal"/>
        <w:rPr/>
      </w:pPr>
      <w:r>
        <w:rPr/>
      </w:r>
    </w:p>
    <w:p>
      <w:pPr>
        <w:pStyle w:val="Normal"/>
        <w:rPr/>
      </w:pPr>
      <w:r>
        <w:rPr>
          <w:u w:val="single"/>
        </w:rPr>
        <w:t>Standard</w:t>
      </w:r>
      <w:r>
        <w:rPr/>
        <w:t>: Where technically and / or economically feasible, NFCC must:</w:t>
      </w:r>
    </w:p>
    <w:p>
      <w:pPr>
        <w:pStyle w:val="ListParagraph"/>
        <w:numPr>
          <w:ilvl w:val="0"/>
          <w:numId w:val="266"/>
        </w:numPr>
        <w:rPr/>
      </w:pPr>
      <w:r>
        <w:rPr/>
        <w:t>Issue systems, system components or services with enhanced security configurations to individuals traveling to locations that NFCC deems to be of significant risk; and</w:t>
      </w:r>
    </w:p>
    <w:p>
      <w:pPr>
        <w:pStyle w:val="ListParagraph"/>
        <w:numPr>
          <w:ilvl w:val="0"/>
          <w:numId w:val="266"/>
        </w:numPr>
        <w:rPr/>
      </w:pPr>
      <w:r>
        <w:rPr/>
        <w:t>Apply additional, NFCC-defined security safeguards to validate the devices are still secure when the individual(s) return.</w:t>
      </w:r>
    </w:p>
    <w:p>
      <w:pPr>
        <w:pStyle w:val="Normal"/>
        <w:rPr/>
      </w:pPr>
      <w:r>
        <w:rPr/>
      </w:r>
    </w:p>
    <w:p>
      <w:pPr>
        <w:pStyle w:val="Normal"/>
        <w:rPr/>
      </w:pPr>
      <w:r>
        <w:rPr>
          <w:u w:val="single"/>
        </w:rPr>
        <w:t>Guidelines</w:t>
      </w:r>
      <w:r>
        <w:rPr/>
        <w:t>: When it is known that systems, system components or devices (e.g., notebook computers, mobile devices) will be located in high-risk areas, additional security controls may be implemented to counter the greater threat in such areas compared with the relative physical security to organizational-controlled areas. For example, organizational policies and procedures for notebook computers used by individuals departing on and returning from travel include, for example, determining which locations are of concern, defining required configurations for the devices, ensuring that the devices are configured as intended before travel is initiated and applying specific safeguards to the device after travel is completed. Specially configured notebook computers include, for example, computers with sanitized hard drives, limited applications and additional hardening (e.g., more stringent configuration settings). Specified safeguards applied to mobile devices upon return from travel include, for example, examining the device for signs of physical tampering and purging / reimaging the hard disk drive. Protecting information residing on mobile devices is covered in the media protection policy family.</w:t>
      </w:r>
    </w:p>
    <w:p>
      <w:pPr>
        <w:pStyle w:val="Normal"/>
        <w:rPr/>
      </w:pPr>
      <w:r>
        <w:rPr/>
      </w:r>
    </w:p>
    <w:p>
      <w:pPr>
        <w:pStyle w:val="Heading3"/>
        <w:rPr/>
      </w:pPr>
      <w:bookmarkStart w:id="389" w:name="_Toc474074851"/>
      <w:bookmarkStart w:id="390" w:name="_Toc34920624"/>
      <w:r>
        <w:rPr/>
        <w:t>CFG-02(f): System Hardening Through Baseline Configurations | Network Device Configuration File Synchronization</w:t>
      </w:r>
      <w:bookmarkEnd w:id="389"/>
      <w:bookmarkEnd w:id="390"/>
      <w:r>
        <w:rPr/>
        <w:t xml:space="preserve"> </w:t>
      </w:r>
    </w:p>
    <w:p>
      <w:pPr>
        <w:pStyle w:val="Normal"/>
        <w:rPr/>
      </w:pPr>
      <w:r>
        <w:rPr>
          <w:u w:val="single"/>
        </w:rPr>
        <w:t>Control Objective</w:t>
      </w:r>
      <w:r>
        <w:rPr/>
        <w:t>: The organization synchronizes startup and running configuration files for network devices.</w:t>
      </w:r>
    </w:p>
    <w:p>
      <w:pPr>
        <w:pStyle w:val="Normal"/>
        <w:rPr/>
      </w:pPr>
      <w:r>
        <w:rPr/>
      </w:r>
    </w:p>
    <w:p>
      <w:pPr>
        <w:pStyle w:val="Normal"/>
        <w:rPr/>
      </w:pPr>
      <w:r>
        <w:rPr>
          <w:u w:val="single"/>
        </w:rPr>
        <w:t>Standard</w:t>
      </w:r>
      <w:r>
        <w:rPr/>
        <w:t>: Where technically feasible, asset custodians responsible for network devices are required to verify running configuration files and start-up configuration files are:</w:t>
      </w:r>
    </w:p>
    <w:p>
      <w:pPr>
        <w:pStyle w:val="ListParagraph"/>
        <w:numPr>
          <w:ilvl w:val="0"/>
          <w:numId w:val="267"/>
        </w:numPr>
        <w:rPr/>
      </w:pPr>
      <w:r>
        <w:rPr/>
        <w:t xml:space="preserve">Synchronized with the correct build; and </w:t>
      </w:r>
    </w:p>
    <w:p>
      <w:pPr>
        <w:pStyle w:val="ListParagraph"/>
        <w:numPr>
          <w:ilvl w:val="0"/>
          <w:numId w:val="267"/>
        </w:numPr>
        <w:rPr/>
      </w:pPr>
      <w:r>
        <w:rPr/>
        <w:t>The same secure configurations.</w:t>
      </w:r>
    </w:p>
    <w:p>
      <w:pPr>
        <w:pStyle w:val="Normal"/>
        <w:rPr/>
      </w:pPr>
      <w:r>
        <w:rPr/>
      </w:r>
    </w:p>
    <w:p>
      <w:pPr>
        <w:pStyle w:val="Normal"/>
        <w:rPr/>
      </w:pPr>
      <w:r>
        <w:rPr>
          <w:u w:val="single"/>
        </w:rPr>
        <w:t>Guidelines</w:t>
      </w:r>
      <w:r>
        <w:rPr/>
        <w:t>: The security configuration of such devices should be documented, reviewed and approved by an organization change control board. Any deviations from the standard configuration or updates to the standard configuration should be documented and approved in a change control system. NFCC should deploy system configuration management tools, such as Active Directory Group Policy Objects for Microsoft Windows systems or Puppet for UNIX systems that will automatically enforce and redeploy configuration settings to systems at regularly scheduled intervals. They should be capable of triggering redeployment of configuration settings on a scheduled, manual or event-driven basis.</w:t>
      </w:r>
    </w:p>
    <w:p>
      <w:pPr>
        <w:pStyle w:val="Normal"/>
        <w:rPr/>
      </w:pPr>
      <w:r>
        <w:rPr/>
      </w:r>
    </w:p>
    <w:p>
      <w:pPr>
        <w:pStyle w:val="Heading3"/>
        <w:rPr/>
      </w:pPr>
      <w:bookmarkStart w:id="391" w:name="_Toc474074852"/>
      <w:bookmarkStart w:id="392" w:name="_Toc34920625"/>
      <w:r>
        <w:rPr/>
        <w:t>CFG-02(g): System Hardening Through Baseline Configurations | Approved Deviations</w:t>
      </w:r>
      <w:bookmarkEnd w:id="391"/>
      <w:bookmarkEnd w:id="392"/>
      <w:r>
        <w:rPr/>
        <w:t xml:space="preserve"> </w:t>
      </w:r>
    </w:p>
    <w:p>
      <w:pPr>
        <w:pStyle w:val="Normal"/>
        <w:rPr/>
      </w:pPr>
      <w:r>
        <w:rPr>
          <w:u w:val="single"/>
        </w:rPr>
        <w:t>Control Objective</w:t>
      </w:r>
      <w:r>
        <w:rPr/>
        <w:t>: The organization documents and manages approved deviations to deployed baselines configurations in the system component inventory.</w:t>
      </w:r>
    </w:p>
    <w:p>
      <w:pPr>
        <w:pStyle w:val="Normal"/>
        <w:rPr/>
      </w:pPr>
      <w:r>
        <w:rPr/>
      </w:r>
    </w:p>
    <w:p>
      <w:pPr>
        <w:pStyle w:val="Normal"/>
        <w:rPr/>
      </w:pPr>
      <w:r>
        <w:rPr>
          <w:u w:val="single"/>
        </w:rPr>
        <w:t>Standard</w:t>
      </w:r>
      <w:r>
        <w:rPr/>
        <w:t>: Asset custodians are required to request and document approved deviations to deployed configurations in systems under their control.</w:t>
      </w:r>
    </w:p>
    <w:p>
      <w:pPr>
        <w:pStyle w:val="Normal"/>
        <w:rPr/>
      </w:pPr>
      <w:r>
        <w:rPr/>
      </w:r>
    </w:p>
    <w:p>
      <w:pPr>
        <w:pStyle w:val="Normal"/>
        <w:rPr/>
      </w:pPr>
      <w:r>
        <w:rPr>
          <w:u w:val="single"/>
        </w:rPr>
        <w:t>Guidelines</w:t>
      </w:r>
      <w:r>
        <w:rPr/>
        <w:t>: This standard focuses on configuration settings established by organizations for system components, the specific components that have been assessed to determine compliance with the required configuration settings and any approved deviations from established configuration settings.</w:t>
      </w:r>
    </w:p>
    <w:p>
      <w:pPr>
        <w:pStyle w:val="Normal"/>
        <w:rPr/>
      </w:pPr>
      <w:r>
        <w:rPr/>
      </w:r>
    </w:p>
    <w:p>
      <w:pPr>
        <w:pStyle w:val="Heading3"/>
        <w:rPr/>
      </w:pPr>
      <w:bookmarkStart w:id="393" w:name="_Toc474074853"/>
      <w:bookmarkStart w:id="394" w:name="_Toc34920626"/>
      <w:r>
        <w:rPr/>
        <w:t>CFG-02(h): System Hardening Through Baseline Configurations | Respond To Unauthorized Changes</w:t>
      </w:r>
      <w:bookmarkEnd w:id="393"/>
      <w:bookmarkEnd w:id="394"/>
      <w:r>
        <w:rPr/>
        <w:t xml:space="preserve"> </w:t>
      </w:r>
    </w:p>
    <w:p>
      <w:pPr>
        <w:pStyle w:val="Normal"/>
        <w:rPr/>
      </w:pPr>
      <w:r>
        <w:rPr>
          <w:u w:val="single"/>
        </w:rPr>
        <w:t>Control Objective</w:t>
      </w:r>
      <w:r>
        <w:rPr/>
        <w:t>: The organization employs security safeguards to respond to unauthorized changes to organization-defined configuration settings.</w:t>
      </w:r>
      <w:r>
        <w:rPr>
          <w:rStyle w:val="FootnoteAnchor"/>
          <w:rStyle w:val="FootnoteAnchor"/>
        </w:rPr>
        <w:footnoteReference w:id="118"/>
      </w:r>
    </w:p>
    <w:p>
      <w:pPr>
        <w:pStyle w:val="Normal"/>
        <w:rPr/>
      </w:pPr>
      <w:r>
        <w:rPr/>
      </w:r>
    </w:p>
    <w:p>
      <w:pPr>
        <w:pStyle w:val="Normal"/>
        <w:rPr/>
      </w:pPr>
      <w:r>
        <w:rPr>
          <w:u w:val="single"/>
        </w:rPr>
        <w:t>Standard</w:t>
      </w:r>
      <w:r>
        <w:rPr/>
        <w:t>: Upon identifying an unauthorized change to an approved configuration setting, users are required to report the unauthorized change to NFCC’s cybersecurity personnel.</w:t>
      </w:r>
    </w:p>
    <w:p>
      <w:pPr>
        <w:pStyle w:val="Normal"/>
        <w:rPr>
          <w:rFonts w:eastAsia="Calibri"/>
        </w:rPr>
      </w:pPr>
      <w:r>
        <w:rPr>
          <w:rFonts w:eastAsia="Calibri"/>
        </w:rPr>
      </w:r>
    </w:p>
    <w:p>
      <w:pPr>
        <w:pStyle w:val="Normal"/>
        <w:rPr/>
      </w:pPr>
      <w:r>
        <w:rPr>
          <w:u w:val="single"/>
        </w:rPr>
        <w:t>Guidelines</w:t>
      </w:r>
      <w:r>
        <w:rPr/>
        <w:t xml:space="preserve">: </w:t>
      </w:r>
      <w:r>
        <w:rPr>
          <w:rFonts w:eastAsia="Calibri"/>
        </w:rPr>
        <w:t xml:space="preserve">Any existing system that becomes compromised should be re-imaged with the secure build. </w:t>
      </w:r>
      <w:r>
        <w:rPr/>
        <w:t>Responses to unauthorized changes to configuration settings can include, for example, alerting designated organizational personnel, restoring established configuration settings or in extreme cases, halting affected system processing.</w:t>
      </w:r>
    </w:p>
    <w:p>
      <w:pPr>
        <w:pStyle w:val="Normal"/>
        <w:rPr/>
      </w:pPr>
      <w:r>
        <w:rPr/>
      </w:r>
    </w:p>
    <w:p>
      <w:pPr>
        <w:pStyle w:val="Heading3"/>
        <w:rPr/>
      </w:pPr>
      <w:bookmarkStart w:id="395" w:name="_Toc34920627"/>
      <w:r>
        <w:rPr/>
        <w:t>CFG-02(i): System Hardening Through Baseline Configurations | Baseline Tailoring</w:t>
      </w:r>
      <w:bookmarkEnd w:id="395"/>
      <w:r>
        <w:rPr/>
        <w:t xml:space="preserve"> </w:t>
      </w:r>
    </w:p>
    <w:p>
      <w:pPr>
        <w:pStyle w:val="Normal"/>
        <w:rPr/>
      </w:pPr>
      <w:r>
        <w:rPr>
          <w:u w:val="single"/>
        </w:rPr>
        <w:t>Control Objective</w:t>
      </w:r>
      <w:r>
        <w:rPr/>
        <w:t>: The organization allows baseline controls to be specialized or customized by applying a defined set of tailoring actions that are specific to:</w:t>
      </w:r>
    </w:p>
    <w:p>
      <w:pPr>
        <w:pStyle w:val="ListParagraph"/>
        <w:numPr>
          <w:ilvl w:val="0"/>
          <w:numId w:val="529"/>
        </w:numPr>
        <w:rPr/>
      </w:pPr>
      <w:r>
        <w:rPr/>
        <w:t>Mission and business functions;</w:t>
      </w:r>
    </w:p>
    <w:p>
      <w:pPr>
        <w:pStyle w:val="ListParagraph"/>
        <w:numPr>
          <w:ilvl w:val="0"/>
          <w:numId w:val="529"/>
        </w:numPr>
        <w:rPr/>
      </w:pPr>
      <w:r>
        <w:rPr/>
        <w:t>Operational environment;</w:t>
      </w:r>
    </w:p>
    <w:p>
      <w:pPr>
        <w:pStyle w:val="ListParagraph"/>
        <w:numPr>
          <w:ilvl w:val="0"/>
          <w:numId w:val="529"/>
        </w:numPr>
        <w:rPr/>
      </w:pPr>
      <w:r>
        <w:rPr/>
        <w:t>Specific threats or vulnerabilities; or</w:t>
      </w:r>
    </w:p>
    <w:p>
      <w:pPr>
        <w:pStyle w:val="ListParagraph"/>
        <w:numPr>
          <w:ilvl w:val="0"/>
          <w:numId w:val="529"/>
        </w:numPr>
        <w:rPr/>
      </w:pPr>
      <w:r>
        <w:rPr/>
        <w:t>Other conditions or situations that could affect mission / business success.</w:t>
      </w:r>
    </w:p>
    <w:p>
      <w:pPr>
        <w:pStyle w:val="Normal"/>
        <w:rPr/>
      </w:pPr>
      <w:r>
        <w:rPr/>
      </w:r>
    </w:p>
    <w:p>
      <w:pPr>
        <w:pStyle w:val="Normal"/>
        <w:rPr/>
      </w:pPr>
      <w:r>
        <w:rPr>
          <w:u w:val="single"/>
        </w:rPr>
        <w:t>Standard</w:t>
      </w:r>
      <w:r>
        <w:rPr/>
        <w:t>: As needed, NFCC can tailor security control baselines to meet business and technology:</w:t>
      </w:r>
    </w:p>
    <w:p>
      <w:pPr>
        <w:pStyle w:val="ListParagraph"/>
        <w:numPr>
          <w:ilvl w:val="0"/>
          <w:numId w:val="568"/>
        </w:numPr>
        <w:tabs>
          <w:tab w:val="clear" w:pos="360"/>
          <w:tab w:val="clear" w:pos="720"/>
          <w:tab w:val="clear" w:pos="1080"/>
        </w:tabs>
        <w:rPr/>
      </w:pPr>
      <w:r>
        <w:rPr/>
        <w:t>Specialized requirement; or</w:t>
      </w:r>
    </w:p>
    <w:p>
      <w:pPr>
        <w:pStyle w:val="ListParagraph"/>
        <w:numPr>
          <w:ilvl w:val="0"/>
          <w:numId w:val="568"/>
        </w:numPr>
        <w:tabs>
          <w:tab w:val="clear" w:pos="360"/>
          <w:tab w:val="clear" w:pos="720"/>
          <w:tab w:val="clear" w:pos="1080"/>
        </w:tabs>
        <w:rPr/>
      </w:pPr>
      <w:r>
        <w:rPr/>
        <w:t>Feasibility limitations.</w:t>
      </w:r>
    </w:p>
    <w:p>
      <w:pPr>
        <w:pStyle w:val="Normal"/>
        <w:rPr/>
      </w:pPr>
      <w:r>
        <w:rPr/>
      </w:r>
    </w:p>
    <w:p>
      <w:pPr>
        <w:pStyle w:val="Normal"/>
        <w:rPr/>
      </w:pPr>
      <w:r>
        <w:rPr>
          <w:u w:val="single"/>
        </w:rPr>
        <w:t>Guidelines</w:t>
      </w:r>
      <w:r>
        <w:rPr/>
        <w:t xml:space="preserve">: </w:t>
      </w:r>
      <w:r>
        <w:rPr>
          <w:i/>
          <w:u w:val="single"/>
        </w:rPr>
        <w:t>Annex 4: Baseline Security Categorization Guidelines</w:t>
      </w:r>
      <w:r>
        <w:rPr/>
        <w:t xml:space="preserve"> provides guidance on selecting control baselines.</w:t>
      </w:r>
    </w:p>
    <w:p>
      <w:pPr>
        <w:pStyle w:val="Normal"/>
        <w:rPr/>
      </w:pPr>
      <w:r>
        <w:rPr/>
      </w:r>
    </w:p>
    <w:p>
      <w:pPr>
        <w:pStyle w:val="Normal"/>
        <w:rPr/>
      </w:pPr>
      <w:r>
        <w:rPr/>
        <w:t xml:space="preserve">The concept of tailoring allows organizations to specialize or customize a set of baseline controls by applying a defined set of tailoring actions. These actions facilitate such specialization and customization by allowing organizations to develop security and privacy plans that reflect their specific missions and business functions, the environments where their systems operate, the threats and vulnerabilities that can affect their systems and any other conditions or situations that can impact their mission or business success. </w:t>
      </w:r>
    </w:p>
    <w:p>
      <w:pPr>
        <w:pStyle w:val="Normal"/>
        <w:rPr/>
      </w:pPr>
      <w:r>
        <w:rPr/>
      </w:r>
    </w:p>
    <w:p>
      <w:pPr>
        <w:pStyle w:val="Normal"/>
        <w:rPr/>
      </w:pPr>
      <w:r>
        <w:rPr/>
        <w:t>Tailoring a control baseline is accomplished by identifying and designating common controls; applying scoping considerations; selecting compensating controls; assigning values to control parameters; supplementing the control baseline with additional controls, as needed; and providing information for control implementation. The general tailoring actions can be supplemented with additional actions based on the needs of organizations. Tailoring actions can be applied to the baselines in accordance with the security requirements from the Federal Information Security Modernization Act (FISMA) and the privacy requirements from the Privacy Act. Alternatively, other communities of interest adopting different control baselines can apply the tailoring actions to specialize or customize the controls that represent the specific needs and concerns of those entities.</w:t>
      </w:r>
    </w:p>
    <w:p>
      <w:pPr>
        <w:pStyle w:val="Normal"/>
        <w:rPr/>
      </w:pPr>
      <w:r>
        <w:rPr/>
      </w:r>
    </w:p>
    <w:p>
      <w:pPr>
        <w:pStyle w:val="Normal"/>
        <w:rPr/>
      </w:pPr>
      <w:r>
        <w:rPr/>
      </w:r>
    </w:p>
    <w:p>
      <w:pPr>
        <w:pStyle w:val="Heading2"/>
        <w:rPr/>
      </w:pPr>
      <w:bookmarkStart w:id="396" w:name="_Toc474074854"/>
      <w:bookmarkStart w:id="397" w:name="_Toc474075564"/>
      <w:bookmarkStart w:id="398" w:name="_Toc34920628"/>
      <w:r>
        <w:rPr/>
        <w:t>CFG-03: Least Functionality</w:t>
      </w:r>
      <w:bookmarkEnd w:id="396"/>
      <w:bookmarkEnd w:id="397"/>
      <w:bookmarkEnd w:id="398"/>
    </w:p>
    <w:p>
      <w:pPr>
        <w:pStyle w:val="Normal"/>
        <w:rPr/>
      </w:pPr>
      <w:r>
        <w:rPr>
          <w:u w:val="single"/>
        </w:rPr>
        <w:t>Control Objective</w:t>
      </w:r>
      <w:r>
        <w:rPr/>
        <w:t>: The organization configures systems to provide only essential capabilities and specifically prohibits or restricts the use of ports, protocols and / or services.</w:t>
      </w:r>
      <w:r>
        <w:rPr>
          <w:rStyle w:val="FootnoteAnchor"/>
          <w:rStyle w:val="FootnoteAnchor"/>
          <w:rFonts w:cs="Calibri"/>
        </w:rPr>
        <w:footnoteReference w:id="119"/>
      </w:r>
      <w:r>
        <w:fldChar w:fldCharType="begin"/>
      </w:r>
      <w:r>
        <w:rPr/>
        <w:instrText> XE "Least Functionality: : " </w:instrText>
      </w:r>
      <w:r>
        <w:rPr/>
        <w:fldChar w:fldCharType="separate"/>
      </w:r>
      <w:r>
        <w:rPr/>
      </w:r>
      <w:r>
        <w:rPr/>
        <w:fldChar w:fldCharType="end"/>
      </w:r>
      <w:r>
        <w:fldChar w:fldCharType="begin"/>
      </w:r>
      <w:r>
        <w:rPr/>
        <w:instrText> XE "Least Functionality:Least Privileges: : " </w:instrText>
      </w:r>
      <w:r>
        <w:rPr/>
        <w:fldChar w:fldCharType="separate"/>
      </w:r>
      <w:r>
        <w:rPr/>
      </w:r>
      <w:r>
        <w:rPr/>
        <w:fldChar w:fldCharType="end"/>
      </w:r>
    </w:p>
    <w:p>
      <w:pPr>
        <w:pStyle w:val="Normal"/>
        <w:rPr/>
      </w:pPr>
      <w:r>
        <w:rPr/>
      </w:r>
    </w:p>
    <w:p>
      <w:pPr>
        <w:pStyle w:val="Normal"/>
        <w:rPr/>
      </w:pPr>
      <w:r>
        <w:rPr>
          <w:u w:val="single"/>
        </w:rPr>
        <w:t>Standard</w:t>
      </w:r>
      <w:r>
        <w:rPr/>
        <w:t>: NFCC utilizes the “principle of least privilege,”</w:t>
      </w:r>
      <w:r>
        <w:rPr>
          <w:rStyle w:val="FootnoteAnchor"/>
          <w:rStyle w:val="FootnoteAnchor"/>
          <w:rFonts w:cs="Calibri"/>
        </w:rPr>
        <w:footnoteReference w:id="120"/>
      </w:r>
      <w:r>
        <w:rPr/>
        <w:t xml:space="preserve">  which states that only the minimum access and functionality necessary to perform an operation should be granted and only for the minimum amount of time necessary. Asset custodians are required to:</w:t>
      </w:r>
    </w:p>
    <w:p>
      <w:pPr>
        <w:pStyle w:val="ListParagraph"/>
        <w:numPr>
          <w:ilvl w:val="0"/>
          <w:numId w:val="268"/>
        </w:numPr>
        <w:rPr/>
      </w:pPr>
      <w:r>
        <w:rPr/>
        <w:t xml:space="preserve">Identifying and removing insecure services, protocols and ports; </w:t>
      </w:r>
    </w:p>
    <w:p>
      <w:pPr>
        <w:pStyle w:val="ListParagraph"/>
        <w:numPr>
          <w:ilvl w:val="0"/>
          <w:numId w:val="268"/>
        </w:numPr>
        <w:rPr/>
      </w:pPr>
      <w:r>
        <w:rPr/>
        <w:t>Enabling only necessary and secure services, protocols and daemons, as required for the function of the system;</w:t>
      </w:r>
    </w:p>
    <w:p>
      <w:pPr>
        <w:pStyle w:val="ListParagraph"/>
        <w:numPr>
          <w:ilvl w:val="0"/>
          <w:numId w:val="268"/>
        </w:numPr>
        <w:rPr/>
      </w:pPr>
      <w:r>
        <w:rPr/>
        <w:t xml:space="preserve">Implementing security features for any required services, protocols or daemons that are considered to be insecure (e.g., NetBIOS, Telnet, FTP, etc.); </w:t>
      </w:r>
    </w:p>
    <w:p>
      <w:pPr>
        <w:pStyle w:val="ListParagraph"/>
        <w:numPr>
          <w:ilvl w:val="0"/>
          <w:numId w:val="268"/>
        </w:numPr>
        <w:rPr/>
      </w:pPr>
      <w:r>
        <w:rPr/>
        <w:t>Verifying services, protocols and ports are documented and properly implemented by examining firewall and router configuration settings; and</w:t>
      </w:r>
    </w:p>
    <w:p>
      <w:pPr>
        <w:pStyle w:val="ListParagraph"/>
        <w:numPr>
          <w:ilvl w:val="0"/>
          <w:numId w:val="268"/>
        </w:numPr>
        <w:rPr/>
      </w:pPr>
      <w:r>
        <w:rPr/>
        <w:t>Removing all unnecessary functionality, such as:</w:t>
      </w:r>
    </w:p>
    <w:p>
      <w:pPr>
        <w:pStyle w:val="ListParagraph"/>
        <w:numPr>
          <w:ilvl w:val="1"/>
          <w:numId w:val="268"/>
        </w:numPr>
        <w:rPr/>
      </w:pPr>
      <w:r>
        <w:rPr/>
        <w:t>Scripts;</w:t>
      </w:r>
    </w:p>
    <w:p>
      <w:pPr>
        <w:pStyle w:val="ListParagraph"/>
        <w:numPr>
          <w:ilvl w:val="1"/>
          <w:numId w:val="268"/>
        </w:numPr>
        <w:rPr/>
      </w:pPr>
      <w:r>
        <w:rPr/>
        <w:t>Drivers;</w:t>
      </w:r>
    </w:p>
    <w:p>
      <w:pPr>
        <w:pStyle w:val="ListParagraph"/>
        <w:numPr>
          <w:ilvl w:val="1"/>
          <w:numId w:val="268"/>
        </w:numPr>
        <w:rPr/>
      </w:pPr>
      <w:r>
        <w:rPr/>
        <w:t>Features;</w:t>
      </w:r>
    </w:p>
    <w:p>
      <w:pPr>
        <w:pStyle w:val="ListParagraph"/>
        <w:numPr>
          <w:ilvl w:val="1"/>
          <w:numId w:val="268"/>
        </w:numPr>
        <w:rPr/>
      </w:pPr>
      <w:r>
        <w:rPr/>
        <w:t>Subsystems;</w:t>
      </w:r>
    </w:p>
    <w:p>
      <w:pPr>
        <w:pStyle w:val="ListParagraph"/>
        <w:numPr>
          <w:ilvl w:val="1"/>
          <w:numId w:val="268"/>
        </w:numPr>
        <w:rPr/>
      </w:pPr>
      <w:r>
        <w:rPr/>
        <w:t xml:space="preserve">File systems; and </w:t>
      </w:r>
    </w:p>
    <w:p>
      <w:pPr>
        <w:pStyle w:val="ListParagraph"/>
        <w:numPr>
          <w:ilvl w:val="1"/>
          <w:numId w:val="268"/>
        </w:numPr>
        <w:rPr/>
      </w:pPr>
      <w:r>
        <w:rPr/>
        <w:t>Unnecessary web servers.</w:t>
      </w:r>
    </w:p>
    <w:p>
      <w:pPr>
        <w:pStyle w:val="Normal"/>
        <w:rPr/>
      </w:pPr>
      <w:r>
        <w:rPr/>
      </w:r>
    </w:p>
    <w:p>
      <w:pPr>
        <w:pStyle w:val="Normal"/>
        <w:rPr/>
      </w:pPr>
      <w:r>
        <w:rPr>
          <w:u w:val="single"/>
        </w:rPr>
        <w:t>Guidelines</w:t>
      </w:r>
      <w:r>
        <w:rPr/>
        <w:t>: Asset custodians should review functions and services of systems, to determine which functions and services are candidates for elimination (e.g., Instant Messaging, SMS, auto-execute and file sharing). NFCC may utilize network scanning tools, intrusion detection and prevention systems and endpoint protections such as firewalls and host-based intrusion detection systems to identify and prevent the use of prohibited functions, ports, protocols and services.</w:t>
      </w:r>
    </w:p>
    <w:p>
      <w:pPr>
        <w:pStyle w:val="Normal"/>
        <w:rPr/>
      </w:pPr>
      <w:r>
        <w:rPr/>
      </w:r>
    </w:p>
    <w:p>
      <w:pPr>
        <w:pStyle w:val="Heading3"/>
        <w:rPr/>
      </w:pPr>
      <w:bookmarkStart w:id="399" w:name="_Toc474074855"/>
      <w:bookmarkStart w:id="400" w:name="_Toc34920629"/>
      <w:r>
        <w:rPr/>
        <w:t>CFG-03(a): Least Functionality | Periodic Review</w:t>
      </w:r>
      <w:bookmarkEnd w:id="399"/>
      <w:bookmarkEnd w:id="400"/>
    </w:p>
    <w:p>
      <w:pPr>
        <w:pStyle w:val="Normal"/>
        <w:rPr/>
      </w:pPr>
      <w:r>
        <w:rPr>
          <w:u w:val="single"/>
        </w:rPr>
        <w:t>Control Objective</w:t>
      </w:r>
      <w:r>
        <w:rPr/>
        <w:t>: The organization:</w:t>
      </w:r>
      <w:r>
        <w:rPr>
          <w:rStyle w:val="FootnoteAnchor"/>
          <w:rStyle w:val="FootnoteAnchor"/>
          <w:rFonts w:cs="Calibri"/>
        </w:rPr>
        <w:footnoteReference w:id="121"/>
      </w:r>
    </w:p>
    <w:p>
      <w:pPr>
        <w:pStyle w:val="ListParagraph"/>
        <w:numPr>
          <w:ilvl w:val="0"/>
          <w:numId w:val="25"/>
        </w:numPr>
        <w:rPr/>
      </w:pPr>
      <w:r>
        <w:rPr/>
        <w:t>Reviews systems prior to production use to identify unnecessary and non-secure functions, ports, protocols and services; and</w:t>
      </w:r>
    </w:p>
    <w:p>
      <w:pPr>
        <w:pStyle w:val="ListParagraph"/>
        <w:numPr>
          <w:ilvl w:val="0"/>
          <w:numId w:val="25"/>
        </w:numPr>
        <w:rPr/>
      </w:pPr>
      <w:r>
        <w:rPr/>
        <w:t>Disables organization-defined functions, ports, protocols and services within systems deemed to be unnecessary or non-secure.</w:t>
      </w:r>
    </w:p>
    <w:p>
      <w:pPr>
        <w:pStyle w:val="Normal"/>
        <w:rPr/>
      </w:pPr>
      <w:r>
        <w:rPr/>
      </w:r>
    </w:p>
    <w:p>
      <w:pPr>
        <w:pStyle w:val="Normal"/>
        <w:rPr/>
      </w:pPr>
      <w:r>
        <w:rPr>
          <w:u w:val="single"/>
        </w:rPr>
        <w:t>Standard</w:t>
      </w:r>
      <w:r>
        <w:rPr/>
        <w:t xml:space="preserve">: Asset custodians are required to: </w:t>
      </w:r>
    </w:p>
    <w:p>
      <w:pPr>
        <w:pStyle w:val="ListParagraph"/>
        <w:numPr>
          <w:ilvl w:val="0"/>
          <w:numId w:val="269"/>
        </w:numPr>
        <w:rPr/>
      </w:pPr>
      <w:r>
        <w:rPr/>
        <w:t xml:space="preserve">Periodically review their systems to identify non-secure functions, ports, protocols and services; and </w:t>
      </w:r>
    </w:p>
    <w:p>
      <w:pPr>
        <w:pStyle w:val="ListParagraph"/>
        <w:numPr>
          <w:ilvl w:val="0"/>
          <w:numId w:val="269"/>
        </w:numPr>
        <w:rPr/>
      </w:pPr>
      <w:r>
        <w:rPr/>
        <w:t>Disable unnecessary and non-secure functions, ports, protocols and services.</w:t>
      </w:r>
    </w:p>
    <w:p>
      <w:pPr>
        <w:pStyle w:val="Normal"/>
        <w:rPr>
          <w:rFonts w:eastAsia="Calibri"/>
        </w:rPr>
      </w:pPr>
      <w:r>
        <w:rPr>
          <w:rFonts w:eastAsia="Calibri"/>
        </w:rPr>
      </w:r>
    </w:p>
    <w:p>
      <w:pPr>
        <w:pStyle w:val="Normal"/>
        <w:rPr>
          <w:b/>
          <w:b/>
        </w:rPr>
      </w:pPr>
      <w:r>
        <w:rPr>
          <w:u w:val="single"/>
        </w:rPr>
        <w:t>Guidelines</w:t>
      </w:r>
      <w:r>
        <w:rPr/>
        <w:t>: The organization can either determine the relative security of the function, port, protocol and / or service or base the security decision on assessments made by other entities. Bluetooth, FTP and peer-to-peer networking are examples of less than secure protocols.</w:t>
      </w:r>
    </w:p>
    <w:p>
      <w:pPr>
        <w:pStyle w:val="Normal"/>
        <w:rPr/>
      </w:pPr>
      <w:r>
        <w:rPr/>
      </w:r>
    </w:p>
    <w:p>
      <w:pPr>
        <w:pStyle w:val="Heading3"/>
        <w:rPr/>
      </w:pPr>
      <w:bookmarkStart w:id="401" w:name="_Toc474074856"/>
      <w:bookmarkStart w:id="402" w:name="_Toc34920630"/>
      <w:r>
        <w:rPr/>
        <w:t>CFG-03(b): Least Functionality | Prevent Program Execution</w:t>
      </w:r>
      <w:bookmarkEnd w:id="401"/>
      <w:bookmarkEnd w:id="402"/>
    </w:p>
    <w:p>
      <w:pPr>
        <w:pStyle w:val="Normal"/>
        <w:rPr/>
      </w:pPr>
      <w:r>
        <w:rPr>
          <w:u w:val="single"/>
        </w:rPr>
        <w:t>Control Objective</w:t>
      </w:r>
      <w:r>
        <w:rPr/>
        <w:t>: Systems employ automated mechanisms to prevent program execution of unauthorized software programs.</w:t>
      </w:r>
      <w:r>
        <w:rPr>
          <w:rStyle w:val="FootnoteAnchor"/>
          <w:rStyle w:val="FootnoteAnchor"/>
          <w:rFonts w:cs="Calibri"/>
        </w:rPr>
        <w:footnoteReference w:id="122"/>
      </w:r>
    </w:p>
    <w:p>
      <w:pPr>
        <w:pStyle w:val="Normal"/>
        <w:rPr/>
      </w:pPr>
      <w:r>
        <w:rPr/>
      </w:r>
    </w:p>
    <w:p>
      <w:pPr>
        <w:pStyle w:val="Normal"/>
        <w:rPr/>
      </w:pPr>
      <w:r>
        <w:rPr>
          <w:u w:val="single"/>
        </w:rPr>
        <w:t>Standard</w:t>
      </w:r>
      <w:r>
        <w:rPr/>
        <w:t>: Asset custodians are required to configure systems to employ automated mechanisms to prevent program execution of unauthorized software programs.</w:t>
      </w:r>
    </w:p>
    <w:p>
      <w:pPr>
        <w:pStyle w:val="Normal"/>
        <w:rPr>
          <w:rFonts w:eastAsia="Calibri"/>
        </w:rPr>
      </w:pPr>
      <w:r>
        <w:rPr>
          <w:rFonts w:eastAsia="Calibri"/>
        </w:rPr>
      </w:r>
    </w:p>
    <w:p>
      <w:pPr>
        <w:pStyle w:val="Normal"/>
        <w:rPr>
          <w:b/>
          <w:b/>
        </w:rPr>
      </w:pPr>
      <w:r>
        <w:rPr>
          <w:u w:val="single"/>
        </w:rPr>
        <w:t>Guidelines</w:t>
      </w:r>
      <w:r>
        <w:rPr/>
        <w:t>: None</w:t>
      </w:r>
    </w:p>
    <w:p>
      <w:pPr>
        <w:pStyle w:val="Normal"/>
        <w:rPr/>
      </w:pPr>
      <w:r>
        <w:rPr/>
      </w:r>
    </w:p>
    <w:p>
      <w:pPr>
        <w:pStyle w:val="Heading3"/>
        <w:rPr/>
      </w:pPr>
      <w:bookmarkStart w:id="403" w:name="_Toc474074857"/>
      <w:bookmarkStart w:id="404" w:name="_Toc34920631"/>
      <w:r>
        <w:rPr/>
        <w:t>CFG-03(c): Least Functionality | Unauthorized or Authorized Software (Blacklisting or Whitelisting)</w:t>
      </w:r>
      <w:bookmarkEnd w:id="403"/>
      <w:bookmarkEnd w:id="404"/>
    </w:p>
    <w:p>
      <w:pPr>
        <w:pStyle w:val="Normal"/>
        <w:rPr/>
      </w:pPr>
      <w:r>
        <w:rPr>
          <w:u w:val="single"/>
        </w:rPr>
        <w:t>Control Objective</w:t>
      </w:r>
      <w:r>
        <w:rPr/>
        <w:t>: The organization:</w:t>
      </w:r>
      <w:r>
        <w:rPr>
          <w:rStyle w:val="FootnoteAnchor"/>
          <w:rStyle w:val="FootnoteAnchor"/>
          <w:rFonts w:cs="Calibri"/>
        </w:rPr>
        <w:footnoteReference w:id="123"/>
      </w:r>
    </w:p>
    <w:p>
      <w:pPr>
        <w:pStyle w:val="ListParagraph"/>
        <w:numPr>
          <w:ilvl w:val="0"/>
          <w:numId w:val="171"/>
        </w:numPr>
        <w:rPr/>
      </w:pPr>
      <w:r>
        <w:rPr/>
        <w:t>Identifies software programs are or are not authorized to execute on the system;</w:t>
      </w:r>
    </w:p>
    <w:p>
      <w:pPr>
        <w:pStyle w:val="ListParagraph"/>
        <w:numPr>
          <w:ilvl w:val="0"/>
          <w:numId w:val="171"/>
        </w:numPr>
        <w:rPr/>
      </w:pPr>
      <w:r>
        <w:rPr/>
        <w:t>Employs whitelisting or blacklisting mechanisms; and</w:t>
      </w:r>
    </w:p>
    <w:p>
      <w:pPr>
        <w:pStyle w:val="ListParagraph"/>
        <w:numPr>
          <w:ilvl w:val="0"/>
          <w:numId w:val="171"/>
        </w:numPr>
        <w:rPr/>
      </w:pPr>
      <w:r>
        <w:rPr/>
        <w:t>Reviews and updates the list of authorized / unauthorized software programs at an organization-defined frequency.</w:t>
      </w:r>
    </w:p>
    <w:p>
      <w:pPr>
        <w:pStyle w:val="Normal"/>
        <w:rPr/>
      </w:pPr>
      <w:r>
        <w:rPr/>
      </w:r>
    </w:p>
    <w:p>
      <w:pPr>
        <w:pStyle w:val="Normal"/>
        <w:rPr/>
      </w:pPr>
      <w:r>
        <w:rPr>
          <w:u w:val="single"/>
        </w:rPr>
        <w:t>Standard</w:t>
      </w:r>
      <w:r>
        <w:rPr/>
        <w:t xml:space="preserve">: Where technically feasible and a business justification exists, NFCC may deploy application blacklisting and / or whitelisting technology to control application execution on the system. </w:t>
      </w:r>
    </w:p>
    <w:p>
      <w:pPr>
        <w:pStyle w:val="Normal"/>
        <w:rPr>
          <w:rFonts w:eastAsia="Calibri"/>
        </w:rPr>
      </w:pPr>
      <w:r>
        <w:rPr>
          <w:rFonts w:eastAsia="Calibri"/>
        </w:rPr>
      </w:r>
    </w:p>
    <w:p>
      <w:pPr>
        <w:pStyle w:val="Normal"/>
        <w:rPr/>
      </w:pPr>
      <w:r>
        <w:rPr>
          <w:u w:val="single"/>
        </w:rPr>
        <w:t>Guidelines</w:t>
      </w:r>
      <w:r>
        <w:rPr/>
        <w:t>: The process used to identify software programs that are not authorized to execute on organizational systems is commonly referred to as blacklisting. The process used to identify software programs that are authorized to execute on organizational systems is commonly referred to as whitelisting. In addition to whitelisting, organizations consider verifying the integrity of white-listed software programs using, for example, cryptographic checksums, digital signatures or hash functions. Verification of white-listed software can occur either prior to execution or at the time of execution.</w:t>
      </w:r>
    </w:p>
    <w:p>
      <w:pPr>
        <w:pStyle w:val="Normal"/>
        <w:rPr/>
      </w:pPr>
      <w:r>
        <w:rPr/>
      </w:r>
    </w:p>
    <w:p>
      <w:pPr>
        <w:pStyle w:val="Heading3"/>
        <w:rPr/>
      </w:pPr>
      <w:bookmarkStart w:id="405" w:name="_Toc474075143"/>
      <w:bookmarkStart w:id="406" w:name="_Toc34920632"/>
      <w:r>
        <w:rPr/>
        <w:t>CFG-03(d): Least Functionality | Split Tunneling</w:t>
      </w:r>
      <w:bookmarkEnd w:id="406"/>
      <w:r>
        <w:rPr/>
        <w:t xml:space="preserve"> </w:t>
      </w:r>
      <w:bookmarkEnd w:id="405"/>
    </w:p>
    <w:p>
      <w:pPr>
        <w:pStyle w:val="Normal"/>
        <w:rPr/>
      </w:pPr>
      <w:r>
        <w:rPr>
          <w:u w:val="single"/>
        </w:rPr>
        <w:t>Control Objective</w:t>
      </w:r>
      <w:r>
        <w:rPr/>
        <w:t>: The organization implements configurations to prevents systems from simultaneously establishing non-remote connections and communicating via some other connection to resources in external networks.</w:t>
      </w:r>
      <w:r>
        <w:rPr>
          <w:rStyle w:val="FootnoteAnchor"/>
          <w:rStyle w:val="FootnoteAnchor"/>
          <w:rFonts w:cs="Calibri"/>
          <w:bCs w:val="false"/>
        </w:rPr>
        <w:footnoteReference w:id="124"/>
      </w:r>
    </w:p>
    <w:p>
      <w:pPr>
        <w:pStyle w:val="Normal"/>
        <w:rPr/>
      </w:pPr>
      <w:r>
        <w:rPr/>
      </w:r>
    </w:p>
    <w:p>
      <w:pPr>
        <w:pStyle w:val="Normal"/>
        <w:rPr/>
      </w:pPr>
      <w:r>
        <w:rPr>
          <w:u w:val="single"/>
        </w:rPr>
        <w:t>Standard</w:t>
      </w:r>
      <w:r>
        <w:rPr/>
        <w:t>: Asset custodians are required to configure systems to prevent “split tunneling” for remote devices.</w:t>
      </w:r>
    </w:p>
    <w:p>
      <w:pPr>
        <w:pStyle w:val="Normal"/>
        <w:rPr/>
      </w:pPr>
      <w:r>
        <w:rPr/>
      </w:r>
    </w:p>
    <w:p>
      <w:pPr>
        <w:pStyle w:val="Normal"/>
        <w:rPr/>
      </w:pPr>
      <w:r>
        <w:rPr>
          <w:u w:val="single"/>
        </w:rPr>
        <w:t>Guidelines</w:t>
      </w:r>
      <w:r>
        <w:rPr/>
        <w:t xml:space="preserve">: This standard is implemented within remote devices (e.g., notebook computers) through configuration settings to disable split tunneling in those devices and by preventing those configuration settings from being readily configurable by users. This standard is implemented within the system by the detection of split tunneling (or of configuration settings that allow split tunneling) in the remote device and by prohibiting the connection if the remote device is using split tunneling. </w:t>
      </w:r>
    </w:p>
    <w:p>
      <w:pPr>
        <w:pStyle w:val="Normal"/>
        <w:rPr/>
      </w:pPr>
      <w:r>
        <w:rPr/>
      </w:r>
    </w:p>
    <w:p>
      <w:pPr>
        <w:pStyle w:val="Normal"/>
        <w:rPr/>
      </w:pPr>
      <w:r>
        <w:rPr/>
        <w:t>Split tunneling might be desirable by remote users to communicate with local system resources such as printers / file servers. However, split tunneling would in effect allow unauthorized external connections, making the system more vulnerable to attack and to exfiltration of organizational data. VPNs provide a means for allowing non-remote communications paths from remote devices. However, the use of an adequately provisioned VPN does not eliminate the need for preventing split tunneling.</w:t>
      </w:r>
    </w:p>
    <w:p>
      <w:pPr>
        <w:pStyle w:val="Normal"/>
        <w:rPr/>
      </w:pPr>
      <w:r>
        <w:rPr/>
      </w:r>
    </w:p>
    <w:p>
      <w:pPr>
        <w:pStyle w:val="Normal"/>
        <w:rPr/>
      </w:pPr>
      <w:r>
        <w:rPr/>
      </w:r>
    </w:p>
    <w:p>
      <w:pPr>
        <w:pStyle w:val="Heading2"/>
        <w:rPr/>
      </w:pPr>
      <w:bookmarkStart w:id="407" w:name="_Toc474074858"/>
      <w:bookmarkStart w:id="408" w:name="_Toc474075565"/>
      <w:bookmarkStart w:id="409" w:name="_Toc34920633"/>
      <w:r>
        <w:rPr/>
        <w:t>CFG-04: Software Usage Restrictions</w:t>
      </w:r>
      <w:bookmarkEnd w:id="407"/>
      <w:bookmarkEnd w:id="408"/>
      <w:bookmarkEnd w:id="409"/>
      <w:r>
        <w:rPr/>
        <w:t xml:space="preserve"> </w:t>
      </w:r>
    </w:p>
    <w:p>
      <w:pPr>
        <w:pStyle w:val="Normal"/>
        <w:rPr/>
      </w:pPr>
      <w:r>
        <w:rPr>
          <w:u w:val="single"/>
        </w:rPr>
        <w:t>Control Objective</w:t>
      </w:r>
      <w:r>
        <w:rPr/>
        <w:t>: The organization:</w:t>
      </w:r>
      <w:r>
        <w:rPr>
          <w:rStyle w:val="FootnoteAnchor"/>
          <w:rStyle w:val="FootnoteAnchor"/>
          <w:rFonts w:cs="Calibri"/>
        </w:rPr>
        <w:footnoteReference w:id="125"/>
      </w:r>
    </w:p>
    <w:p>
      <w:pPr>
        <w:pStyle w:val="ListParagraph"/>
        <w:numPr>
          <w:ilvl w:val="0"/>
          <w:numId w:val="129"/>
        </w:numPr>
        <w:rPr/>
      </w:pPr>
      <w:r>
        <w:rPr/>
        <w:t>Uses software and associated documentation in accordance with contract agreements and copyright laws;</w:t>
      </w:r>
    </w:p>
    <w:p>
      <w:pPr>
        <w:pStyle w:val="ListParagraph"/>
        <w:numPr>
          <w:ilvl w:val="0"/>
          <w:numId w:val="129"/>
        </w:numPr>
        <w:rPr/>
      </w:pPr>
      <w:r>
        <w:rPr/>
        <w:t>Employs tracking systems for software and associated documentation protected by quantity licenses to control copying and distribution; and</w:t>
      </w:r>
    </w:p>
    <w:p>
      <w:pPr>
        <w:pStyle w:val="ListParagraph"/>
        <w:numPr>
          <w:ilvl w:val="0"/>
          <w:numId w:val="129"/>
        </w:numPr>
        <w:rPr/>
      </w:pPr>
      <w:r>
        <w:rPr/>
        <w:t>Controls and documents the use of peer-to-peer file sharing technology to ensure that this capability is not used for the unauthorized distribution, display, performance or reproduction of copyrighted work.</w:t>
      </w:r>
    </w:p>
    <w:p>
      <w:pPr>
        <w:pStyle w:val="Normal"/>
        <w:rPr/>
      </w:pPr>
      <w:r>
        <w:rPr/>
      </w:r>
    </w:p>
    <w:p>
      <w:pPr>
        <w:pStyle w:val="Normal"/>
        <w:rPr/>
      </w:pPr>
      <w:r>
        <w:rPr>
          <w:u w:val="single"/>
        </w:rPr>
        <w:t>Standard</w:t>
      </w:r>
      <w:r>
        <w:rPr/>
        <w:t>: Users are required to implement and utilize software in accordance with license agreements and copyright laws.</w:t>
      </w:r>
    </w:p>
    <w:p>
      <w:pPr>
        <w:pStyle w:val="Normal"/>
        <w:rPr/>
      </w:pPr>
      <w:r>
        <w:rPr/>
      </w:r>
    </w:p>
    <w:p>
      <w:pPr>
        <w:pStyle w:val="Normal"/>
        <w:rPr/>
      </w:pPr>
      <w:r>
        <w:rPr>
          <w:u w:val="single"/>
        </w:rPr>
        <w:t>Guidelines</w:t>
      </w:r>
      <w:r>
        <w:rPr/>
        <w:t>: The software inventory system should track the version of the underlying operating system as well as the applications installed on it. The software inventory systems should be tied into the hardware asset inventory, so all devices and associated software are tracked from a single location. Tracking systems can include, for example, simple spreadsheets or fully automated, specialized applications depending on organizational needs. NFCC should:</w:t>
      </w:r>
    </w:p>
    <w:p>
      <w:pPr>
        <w:pStyle w:val="ListParagraph"/>
        <w:numPr>
          <w:ilvl w:val="0"/>
          <w:numId w:val="130"/>
        </w:numPr>
        <w:rPr/>
      </w:pPr>
      <w:r>
        <w:rPr/>
        <w:t>Employ tracking systems for software and associated documentation protected by quantity licenses to control copying and distribution; and</w:t>
      </w:r>
    </w:p>
    <w:p>
      <w:pPr>
        <w:pStyle w:val="ListParagraph"/>
        <w:numPr>
          <w:ilvl w:val="0"/>
          <w:numId w:val="130"/>
        </w:numPr>
        <w:rPr/>
      </w:pPr>
      <w:r>
        <w:rPr/>
        <w:t>Control and document the use of peer-to-peer file sharing technology to ensure that this capability is not used for the unauthorized distribution, display, performance or reproduction of copyrighted work.</w:t>
      </w:r>
    </w:p>
    <w:p>
      <w:pPr>
        <w:pStyle w:val="Normal"/>
        <w:rPr/>
      </w:pPr>
      <w:r>
        <w:rPr/>
      </w:r>
    </w:p>
    <w:p>
      <w:pPr>
        <w:pStyle w:val="Heading3"/>
        <w:rPr/>
      </w:pPr>
      <w:bookmarkStart w:id="410" w:name="_Toc474074859"/>
      <w:bookmarkStart w:id="411" w:name="_Toc34920634"/>
      <w:r>
        <w:rPr/>
        <w:t>CFG-04(a): Software Usage Restrictions | Open Source Software</w:t>
      </w:r>
      <w:bookmarkEnd w:id="410"/>
      <w:bookmarkEnd w:id="411"/>
    </w:p>
    <w:p>
      <w:pPr>
        <w:pStyle w:val="Normal"/>
        <w:rPr/>
      </w:pPr>
      <w:r>
        <w:rPr>
          <w:u w:val="single"/>
        </w:rPr>
        <w:t>Control Objective</w:t>
      </w:r>
      <w:r>
        <w:rPr/>
        <w:t>: The organization establishes restrictions on the use of open source software.</w:t>
      </w:r>
      <w:r>
        <w:rPr>
          <w:rStyle w:val="FootnoteCharacters"/>
          <w:rFonts w:cs="Calibri"/>
        </w:rPr>
        <w:t xml:space="preserve"> </w:t>
      </w:r>
      <w:r>
        <w:rPr>
          <w:rStyle w:val="FootnoteAnchor"/>
          <w:rStyle w:val="FootnoteAnchor"/>
          <w:rFonts w:cs="Calibri"/>
        </w:rPr>
        <w:footnoteReference w:id="126"/>
      </w:r>
    </w:p>
    <w:p>
      <w:pPr>
        <w:pStyle w:val="Normal"/>
        <w:rPr/>
      </w:pPr>
      <w:r>
        <w:rPr/>
        <w:t xml:space="preserve"> </w:t>
      </w:r>
    </w:p>
    <w:p>
      <w:pPr>
        <w:pStyle w:val="Normal"/>
        <w:rPr/>
      </w:pPr>
      <w:r>
        <w:rPr>
          <w:u w:val="single"/>
        </w:rPr>
        <w:t>Standard</w:t>
      </w:r>
      <w:r>
        <w:rPr/>
        <w:t>: Only when a strong business case exists and a risk assessment supports it is open source software approved for use.</w:t>
      </w:r>
    </w:p>
    <w:p>
      <w:pPr>
        <w:pStyle w:val="ListParagraph"/>
        <w:rPr/>
      </w:pPr>
      <w:r>
        <w:rPr/>
      </w:r>
    </w:p>
    <w:p>
      <w:pPr>
        <w:pStyle w:val="Normal"/>
        <w:rPr/>
      </w:pPr>
      <w:r>
        <w:rPr>
          <w:u w:val="single"/>
        </w:rPr>
        <w:t>Guidelines</w:t>
      </w:r>
      <w:r>
        <w:rPr/>
        <w:t>: Open source software refers to software that is available in source code form. Certain software rights normally reserved for copyright holders are routinely provided under software license agreements that permit individuals to study, change and improve the software. Licensing schemes can vary widely, so the organization needs to understand the implications of implementing any open source software. For instance, some licenses require that modified versions of open source software must, in turn, be open sourced.</w:t>
      </w:r>
    </w:p>
    <w:p>
      <w:pPr>
        <w:pStyle w:val="Normal"/>
        <w:rPr/>
      </w:pPr>
      <w:r>
        <w:rPr/>
      </w:r>
    </w:p>
    <w:p>
      <w:pPr>
        <w:pStyle w:val="Heading3"/>
        <w:rPr/>
      </w:pPr>
      <w:bookmarkStart w:id="412" w:name="_Toc474074860"/>
      <w:bookmarkStart w:id="413" w:name="_Toc34920635"/>
      <w:r>
        <w:rPr/>
        <w:t>CFG-04(b): Software Usage Restrictions | Unsupported Internet Browsers &amp; Email Clients</w:t>
      </w:r>
      <w:bookmarkEnd w:id="412"/>
      <w:bookmarkEnd w:id="413"/>
      <w:r>
        <w:rPr/>
        <w:t xml:space="preserve"> </w:t>
      </w:r>
    </w:p>
    <w:p>
      <w:pPr>
        <w:pStyle w:val="Normal"/>
        <w:rPr/>
      </w:pPr>
      <w:r>
        <w:rPr>
          <w:u w:val="single"/>
        </w:rPr>
        <w:t>Control Objective</w:t>
      </w:r>
      <w:r>
        <w:rPr/>
        <w:t>: The organization ensures that only fully supported web browsers and email clients are allowed to execute in the organization, ideally only using the latest version of the application provided by the vendor in order to take advantage of the latest security functions and fixes.</w:t>
      </w:r>
    </w:p>
    <w:p>
      <w:pPr>
        <w:pStyle w:val="Normal"/>
        <w:rPr/>
      </w:pPr>
      <w:r>
        <w:rPr/>
        <w:t xml:space="preserve"> </w:t>
      </w:r>
    </w:p>
    <w:p>
      <w:pPr>
        <w:pStyle w:val="Normal"/>
        <w:rPr/>
      </w:pPr>
      <w:r>
        <w:rPr>
          <w:u w:val="single"/>
        </w:rPr>
        <w:t>Standard</w:t>
      </w:r>
      <w:r>
        <w:rPr/>
        <w:t>: NFCC:</w:t>
      </w:r>
    </w:p>
    <w:p>
      <w:pPr>
        <w:pStyle w:val="ListParagraph"/>
        <w:numPr>
          <w:ilvl w:val="0"/>
          <w:numId w:val="270"/>
        </w:numPr>
        <w:rPr/>
      </w:pPr>
      <w:r>
        <w:rPr/>
        <w:t>Officially supports the following Internet browsers and email clients:</w:t>
      </w:r>
    </w:p>
    <w:p>
      <w:pPr>
        <w:pStyle w:val="ListParagraph"/>
        <w:numPr>
          <w:ilvl w:val="1"/>
          <w:numId w:val="270"/>
        </w:numPr>
        <w:rPr/>
      </w:pPr>
      <w:r>
        <w:rPr/>
        <w:t>Internet Browsers:</w:t>
      </w:r>
    </w:p>
    <w:p>
      <w:pPr>
        <w:pStyle w:val="ListParagraph"/>
        <w:numPr>
          <w:ilvl w:val="2"/>
          <w:numId w:val="270"/>
        </w:numPr>
        <w:rPr/>
      </w:pPr>
      <w:r>
        <w:rPr/>
        <w:t>Internet Explorer;</w:t>
      </w:r>
    </w:p>
    <w:p>
      <w:pPr>
        <w:pStyle w:val="ListParagraph"/>
        <w:numPr>
          <w:ilvl w:val="2"/>
          <w:numId w:val="270"/>
        </w:numPr>
        <w:rPr/>
      </w:pPr>
      <w:r>
        <w:rPr/>
        <w:t>Firefox;</w:t>
      </w:r>
    </w:p>
    <w:p>
      <w:pPr>
        <w:pStyle w:val="ListParagraph"/>
        <w:numPr>
          <w:ilvl w:val="2"/>
          <w:numId w:val="270"/>
        </w:numPr>
        <w:rPr/>
      </w:pPr>
      <w:r>
        <w:rPr/>
        <w:t>Chrome; and</w:t>
      </w:r>
    </w:p>
    <w:p>
      <w:pPr>
        <w:pStyle w:val="ListParagraph"/>
        <w:numPr>
          <w:ilvl w:val="2"/>
          <w:numId w:val="270"/>
        </w:numPr>
        <w:rPr/>
      </w:pPr>
      <w:r>
        <w:rPr/>
        <w:t>Safari (Apple);</w:t>
      </w:r>
    </w:p>
    <w:p>
      <w:pPr>
        <w:pStyle w:val="ListParagraph"/>
        <w:numPr>
          <w:ilvl w:val="1"/>
          <w:numId w:val="270"/>
        </w:numPr>
        <w:rPr/>
      </w:pPr>
      <w:r>
        <w:rPr/>
        <w:t>Email Clients:</w:t>
      </w:r>
    </w:p>
    <w:p>
      <w:pPr>
        <w:pStyle w:val="ListParagraph"/>
        <w:numPr>
          <w:ilvl w:val="2"/>
          <w:numId w:val="270"/>
        </w:numPr>
        <w:rPr/>
      </w:pPr>
      <w:r>
        <w:rPr/>
        <w:t>Microsoft Outlook; and</w:t>
      </w:r>
    </w:p>
    <w:p>
      <w:pPr>
        <w:pStyle w:val="ListParagraph"/>
        <w:numPr>
          <w:ilvl w:val="0"/>
          <w:numId w:val="270"/>
        </w:numPr>
        <w:rPr/>
      </w:pPr>
      <w:r>
        <w:rPr/>
        <w:t>Prohibits unnecessary or unauthorized:</w:t>
      </w:r>
    </w:p>
    <w:p>
      <w:pPr>
        <w:pStyle w:val="ListParagraph"/>
        <w:numPr>
          <w:ilvl w:val="1"/>
          <w:numId w:val="270"/>
        </w:numPr>
        <w:rPr/>
      </w:pPr>
      <w:r>
        <w:rPr/>
        <w:t>Internet browsers;</w:t>
      </w:r>
    </w:p>
    <w:p>
      <w:pPr>
        <w:pStyle w:val="ListParagraph"/>
        <w:numPr>
          <w:ilvl w:val="1"/>
          <w:numId w:val="270"/>
        </w:numPr>
        <w:rPr/>
      </w:pPr>
      <w:r>
        <w:rPr/>
        <w:t>Email clients; and</w:t>
      </w:r>
    </w:p>
    <w:p>
      <w:pPr>
        <w:pStyle w:val="ListParagraph"/>
        <w:numPr>
          <w:ilvl w:val="1"/>
          <w:numId w:val="270"/>
        </w:numPr>
        <w:rPr/>
      </w:pPr>
      <w:r>
        <w:rPr/>
        <w:t xml:space="preserve">Plugins or add-on applications for supported Internet browsers and / or email clients. </w:t>
      </w:r>
    </w:p>
    <w:p>
      <w:pPr>
        <w:pStyle w:val="Normal"/>
        <w:rPr/>
      </w:pPr>
      <w:r>
        <w:rPr/>
      </w:r>
    </w:p>
    <w:p>
      <w:pPr>
        <w:pStyle w:val="Normal"/>
        <w:rPr>
          <w:u w:val="single"/>
        </w:rPr>
      </w:pPr>
      <w:r>
        <w:rPr>
          <w:u w:val="single"/>
        </w:rPr>
        <w:t>Guidelines</w:t>
      </w:r>
      <w:r>
        <w:rPr/>
        <w:t>: None</w:t>
      </w:r>
    </w:p>
    <w:p>
      <w:pPr>
        <w:pStyle w:val="Normal"/>
        <w:rPr/>
      </w:pPr>
      <w:r>
        <w:rPr/>
      </w:r>
    </w:p>
    <w:p>
      <w:pPr>
        <w:pStyle w:val="Normal"/>
        <w:rPr/>
      </w:pPr>
      <w:r>
        <w:rPr/>
      </w:r>
    </w:p>
    <w:p>
      <w:pPr>
        <w:pStyle w:val="Heading2"/>
        <w:rPr/>
      </w:pPr>
      <w:bookmarkStart w:id="414" w:name="_Toc474074861"/>
      <w:bookmarkStart w:id="415" w:name="_Toc474075566"/>
      <w:bookmarkStart w:id="416" w:name="_Toc34920636"/>
      <w:r>
        <w:rPr/>
        <w:t>CFG-05: User-Installed Software</w:t>
      </w:r>
      <w:bookmarkEnd w:id="414"/>
      <w:bookmarkEnd w:id="415"/>
      <w:bookmarkEnd w:id="416"/>
    </w:p>
    <w:p>
      <w:pPr>
        <w:pStyle w:val="Normal"/>
        <w:rPr/>
      </w:pPr>
      <w:r>
        <w:rPr>
          <w:u w:val="single"/>
        </w:rPr>
        <w:t>Control Objective</w:t>
      </w:r>
      <w:r>
        <w:rPr/>
        <w:t>: The organization enforces explicit rules governing the installation of software by users.</w:t>
      </w:r>
      <w:r>
        <w:rPr>
          <w:rStyle w:val="FootnoteAnchor"/>
          <w:rStyle w:val="FootnoteAnchor"/>
          <w:rFonts w:cs="Calibri"/>
        </w:rPr>
        <w:footnoteReference w:id="127"/>
      </w:r>
    </w:p>
    <w:p>
      <w:pPr>
        <w:pStyle w:val="Normal"/>
        <w:rPr/>
      </w:pPr>
      <w:r>
        <w:rPr/>
      </w:r>
    </w:p>
    <w:p>
      <w:pPr>
        <w:pStyle w:val="Normal"/>
        <w:rPr/>
      </w:pPr>
      <w:r>
        <w:rPr>
          <w:u w:val="single"/>
        </w:rPr>
        <w:t>Standard</w:t>
      </w:r>
      <w:r>
        <w:rPr/>
        <w:t>: Software installation is permitted only by authorized system administrators.</w:t>
      </w:r>
    </w:p>
    <w:p>
      <w:pPr>
        <w:pStyle w:val="Normal"/>
        <w:rPr/>
      </w:pPr>
      <w:r>
        <w:rPr/>
      </w:r>
    </w:p>
    <w:p>
      <w:pPr>
        <w:pStyle w:val="Normal"/>
        <w:rPr>
          <w:u w:val="single"/>
        </w:rPr>
      </w:pPr>
      <w:r>
        <w:rPr>
          <w:u w:val="single"/>
        </w:rPr>
        <w:t>Guidelines</w:t>
      </w:r>
      <w:r>
        <w:rPr/>
        <w:t>: If provided the necessary privileges, users may have the ability to install software in organizational systems. However, to maintain control over the types of software installed, NFCC has identified permitted and prohibited software installations. Permitted software installations may include, for example, updates and security patches to existing software. Prohibited software installations may include, for example, software with unknown or suspect software that NFCC considers potentially malicious.</w:t>
      </w:r>
    </w:p>
    <w:p>
      <w:pPr>
        <w:pStyle w:val="Normal"/>
        <w:rPr/>
      </w:pPr>
      <w:r>
        <w:rPr/>
      </w:r>
    </w:p>
    <w:p>
      <w:pPr>
        <w:pStyle w:val="Heading3"/>
        <w:rPr/>
      </w:pPr>
      <w:bookmarkStart w:id="417" w:name="_Toc474074862"/>
      <w:bookmarkStart w:id="418" w:name="_Toc34920637"/>
      <w:r>
        <w:rPr/>
        <w:t>CFG-05(a): User-Installed Software | Unauthorized Installation Alerts</w:t>
      </w:r>
      <w:bookmarkEnd w:id="417"/>
      <w:bookmarkEnd w:id="418"/>
    </w:p>
    <w:p>
      <w:pPr>
        <w:pStyle w:val="Normal"/>
        <w:rPr/>
      </w:pPr>
      <w:r>
        <w:rPr>
          <w:u w:val="single"/>
        </w:rPr>
        <w:t>Control Objective</w:t>
      </w:r>
      <w:r>
        <w:rPr/>
        <w:t>: Systems alert personnel or roles when the unauthorized installation of software is detected.</w:t>
      </w:r>
      <w:r>
        <w:rPr>
          <w:rStyle w:val="FootnoteCharacters"/>
        </w:rPr>
        <w:t xml:space="preserve"> </w:t>
      </w:r>
      <w:r>
        <w:rPr>
          <w:rStyle w:val="FootnoteAnchor"/>
          <w:rStyle w:val="FootnoteAnchor"/>
        </w:rPr>
        <w:footnoteReference w:id="128"/>
      </w:r>
    </w:p>
    <w:p>
      <w:pPr>
        <w:pStyle w:val="Normal"/>
        <w:rPr/>
      </w:pPr>
      <w:r>
        <w:rPr/>
      </w:r>
    </w:p>
    <w:p>
      <w:pPr>
        <w:pStyle w:val="Normal"/>
        <w:rPr/>
      </w:pPr>
      <w:r>
        <w:rPr>
          <w:u w:val="single"/>
        </w:rPr>
        <w:t>Standard:</w:t>
      </w:r>
      <w:r>
        <w:rPr/>
        <w:t xml:space="preserve"> Where technically feasible, alerting is required to be configured to notify appropriate asset custodians or cybersecurity personnel when the unauthorized installation of software is detected.</w:t>
      </w:r>
    </w:p>
    <w:p>
      <w:pPr>
        <w:pStyle w:val="ListParagraph"/>
        <w:rPr/>
      </w:pPr>
      <w:r>
        <w:rPr/>
      </w:r>
    </w:p>
    <w:p>
      <w:pPr>
        <w:pStyle w:val="Normal"/>
        <w:rPr/>
      </w:pPr>
      <w:r>
        <w:rPr>
          <w:u w:val="single"/>
        </w:rPr>
        <w:t>Guidelines</w:t>
      </w:r>
      <w:r>
        <w:rPr/>
        <w:t>: None</w:t>
      </w:r>
    </w:p>
    <w:p>
      <w:pPr>
        <w:pStyle w:val="Normal"/>
        <w:rPr/>
      </w:pPr>
      <w:r>
        <w:rPr/>
      </w:r>
    </w:p>
    <w:p>
      <w:pPr>
        <w:pStyle w:val="Heading3"/>
        <w:rPr/>
      </w:pPr>
      <w:bookmarkStart w:id="419" w:name="_Toc474074863"/>
      <w:bookmarkStart w:id="420" w:name="_Toc34920638"/>
      <w:r>
        <w:rPr/>
        <w:t>CFG-05(b): User-Installed Software | Prohibit Installation Without Privileged Status</w:t>
      </w:r>
      <w:bookmarkEnd w:id="419"/>
      <w:bookmarkEnd w:id="420"/>
      <w:r>
        <w:rPr/>
        <w:t xml:space="preserve"> </w:t>
      </w:r>
    </w:p>
    <w:p>
      <w:pPr>
        <w:pStyle w:val="Normal"/>
        <w:rPr/>
      </w:pPr>
      <w:r>
        <w:rPr>
          <w:u w:val="single"/>
        </w:rPr>
        <w:t>Control Objective</w:t>
      </w:r>
      <w:r>
        <w:rPr/>
        <w:t>: System prohibit the installation of software, unless the action is performed by a privileged user or service.</w:t>
      </w:r>
      <w:r>
        <w:rPr>
          <w:rStyle w:val="FootnoteAnchor"/>
          <w:rStyle w:val="FootnoteAnchor"/>
        </w:rPr>
        <w:footnoteReference w:id="129"/>
      </w:r>
    </w:p>
    <w:p>
      <w:pPr>
        <w:pStyle w:val="Normal"/>
        <w:rPr/>
      </w:pPr>
      <w:r>
        <w:rPr/>
        <w:t xml:space="preserve"> </w:t>
      </w:r>
    </w:p>
    <w:p>
      <w:pPr>
        <w:pStyle w:val="Normal"/>
        <w:rPr/>
      </w:pPr>
      <w:r>
        <w:rPr>
          <w:u w:val="single"/>
        </w:rPr>
        <w:t>Standard</w:t>
      </w:r>
      <w:r>
        <w:rPr/>
        <w:t>: Software installation is permitted only by authorized system administrators to restrict the installation of unauthorized software on NFCC owned or managed user end-point devices (e.g., issued workstations, laptops and mobile devices) and technology infrastructure components.</w:t>
      </w:r>
    </w:p>
    <w:p>
      <w:pPr>
        <w:pStyle w:val="ListParagraph"/>
        <w:rPr/>
      </w:pPr>
      <w:r>
        <w:rPr/>
      </w:r>
    </w:p>
    <w:p>
      <w:pPr>
        <w:pStyle w:val="Normal"/>
        <w:rPr/>
      </w:pPr>
      <w:r>
        <w:rPr>
          <w:u w:val="single"/>
        </w:rPr>
        <w:t>Guidelines</w:t>
      </w:r>
      <w:r>
        <w:rPr/>
        <w:t>: Privileged status can be obtained, for example, by serving in the role of system administrator.</w:t>
      </w:r>
    </w:p>
    <w:p>
      <w:pPr>
        <w:pStyle w:val="Normal"/>
        <w:rPr/>
      </w:pPr>
      <w:r>
        <w:rPr/>
      </w:r>
    </w:p>
    <w:p>
      <w:pPr>
        <w:pStyle w:val="Normal"/>
        <w:rPr/>
      </w:pPr>
      <w:r>
        <w:rPr/>
      </w:r>
    </w:p>
    <w:p>
      <w:pPr>
        <w:pStyle w:val="Normal"/>
        <w:tabs>
          <w:tab w:val="clear" w:pos="360"/>
          <w:tab w:val="clear" w:pos="720"/>
          <w:tab w:val="clear" w:pos="1080"/>
        </w:tabs>
        <w:jc w:val="left"/>
        <w:rPr>
          <w:rFonts w:eastAsia="Calibri" w:cs="Calibri"/>
          <w:b/>
          <w:b/>
          <w:bCs w:val="false"/>
          <w:smallCaps/>
          <w:sz w:val="24"/>
        </w:rPr>
      </w:pPr>
      <w:r>
        <w:rPr>
          <w:rFonts w:eastAsia="Calibri" w:cs="Calibri"/>
          <w:b/>
          <w:bCs w:val="false"/>
          <w:smallCaps/>
          <w:sz w:val="24"/>
        </w:rPr>
      </w:r>
      <w:r>
        <w:br w:type="page"/>
      </w:r>
    </w:p>
    <w:p>
      <w:pPr>
        <w:pStyle w:val="Heading1"/>
        <w:rPr/>
      </w:pPr>
      <w:bookmarkStart w:id="421" w:name="_Toc34920639"/>
      <w:bookmarkStart w:id="422" w:name="_Toc474074864"/>
      <w:bookmarkStart w:id="423" w:name="_Toc474075567"/>
      <w:r>
        <w:rPr/>
        <w:t>Continuous Monitoring (MON)</w:t>
      </w:r>
      <w:bookmarkEnd w:id="422"/>
      <w:bookmarkEnd w:id="423"/>
      <w:r>
        <w:rPr/>
        <w:t xml:space="preserve"> Policy &amp; Standards</w:t>
      </w:r>
      <w:bookmarkEnd w:id="421"/>
    </w:p>
    <w:p>
      <w:pPr>
        <w:pStyle w:val="Normal"/>
        <w:rPr/>
      </w:pPr>
      <w:r>
        <w:rPr/>
      </w:r>
    </w:p>
    <w:p>
      <w:pPr>
        <w:pStyle w:val="Normal"/>
        <w:rPr/>
      </w:pPr>
      <w:r>
        <w:rPr>
          <w:u w:val="single"/>
        </w:rPr>
        <w:t>Management Intent:</w:t>
      </w:r>
      <w:r>
        <w:rPr/>
        <w:t xml:space="preserve"> The purpose of the Continuous Monitoring (MON) policy is to establish and maintain situational awareness across the enterprise through the centralized collection and review of security-related event logs. Without comprehensive visibility into infrastructure, operating system, database, application and other logs, NFCC will have “blind spots” in its situational awareness that could lead to system compromise and / or data exfiltration. </w:t>
      </w:r>
    </w:p>
    <w:p>
      <w:pPr>
        <w:pStyle w:val="Normal"/>
        <w:rPr>
          <w:u w:val="single"/>
        </w:rPr>
      </w:pPr>
      <w:r>
        <w:rPr>
          <w:u w:val="single"/>
        </w:rPr>
      </w:r>
    </w:p>
    <w:p>
      <w:pPr>
        <w:pStyle w:val="Normal"/>
        <w:shd w:val="clear" w:color="auto" w:fill="DDD9C3" w:themeFill="background2" w:themeFillShade="e6"/>
        <w:rPr/>
      </w:pPr>
      <w:r>
        <w:rPr>
          <w:u w:val="single"/>
        </w:rPr>
        <w:t>Policy</w:t>
      </w:r>
      <w:r>
        <w:rPr/>
        <w:t xml:space="preserve">: Only through the ongoing and continuous monitoring of NFCC’s technology assets can situation awareness of cybersecurity events be maintained. Therefore, technology assets must adhere to configuration management requirements to log security events and forward those events to allow for the centralized monitoring and review of logs to identify anomalous behavior so that appropriate steps can be taken to remediate potential cybersecurity incidents. </w:t>
      </w:r>
    </w:p>
    <w:p>
      <w:pPr>
        <w:pStyle w:val="Normal"/>
        <w:rPr/>
      </w:pPr>
      <w:r>
        <w:rPr/>
      </w:r>
    </w:p>
    <w:p>
      <w:pPr>
        <w:pStyle w:val="Normal"/>
        <w:rPr/>
      </w:pPr>
      <w:r>
        <w:rPr>
          <w:u w:val="single"/>
        </w:rPr>
        <w:t>Supporting Documentation</w:t>
      </w:r>
      <w:r>
        <w:rPr/>
        <w:t xml:space="preserve">: This policy is supported by the following control objectives, standards and guidelines. </w:t>
      </w:r>
    </w:p>
    <w:p>
      <w:pPr>
        <w:pStyle w:val="Normal"/>
        <w:rPr/>
      </w:pPr>
      <w:r>
        <w:rPr/>
      </w:r>
    </w:p>
    <w:p>
      <w:pPr>
        <w:pStyle w:val="Normal"/>
        <w:rPr/>
      </w:pPr>
      <w:r>
        <w:rPr/>
      </w:r>
    </w:p>
    <w:p>
      <w:pPr>
        <w:pStyle w:val="Heading2"/>
        <w:rPr/>
      </w:pPr>
      <w:bookmarkStart w:id="424" w:name="_Toc474074871"/>
      <w:bookmarkStart w:id="425" w:name="_Toc474075570"/>
      <w:bookmarkStart w:id="426" w:name="_Toc34920640"/>
      <w:r>
        <w:rPr/>
        <w:t>MON-01: Continuous Monitoring</w:t>
      </w:r>
      <w:bookmarkEnd w:id="424"/>
      <w:bookmarkEnd w:id="425"/>
      <w:bookmarkEnd w:id="426"/>
      <w:r>
        <w:rPr/>
        <w:t xml:space="preserve"> </w:t>
      </w:r>
    </w:p>
    <w:p>
      <w:pPr>
        <w:pStyle w:val="Normal"/>
        <w:rPr/>
      </w:pPr>
      <w:r>
        <w:rPr>
          <w:u w:val="single"/>
        </w:rPr>
        <w:t>Control Objective</w:t>
      </w:r>
      <w:r>
        <w:rPr/>
        <w:t xml:space="preserve">: The organization develops, implements and governs processes and documentation to facilitate the implementation of an enterprise-wide continuous monitoring policy, as well as associated standards, controls and procedures. </w:t>
      </w:r>
      <w:r>
        <w:rPr>
          <w:rStyle w:val="FootnoteAnchor"/>
          <w:rStyle w:val="FootnoteAnchor"/>
          <w:rFonts w:cs="Calibri"/>
        </w:rPr>
        <w:footnoteReference w:id="130"/>
      </w:r>
      <w:r>
        <w:rPr/>
        <w:t xml:space="preserve"> </w:t>
      </w:r>
    </w:p>
    <w:p>
      <w:pPr>
        <w:pStyle w:val="Normal"/>
        <w:rPr/>
      </w:pPr>
      <w:r>
        <w:rPr/>
      </w:r>
    </w:p>
    <w:p>
      <w:pPr>
        <w:pStyle w:val="Normal"/>
        <w:rPr/>
      </w:pPr>
      <w:r>
        <w:rPr>
          <w:u w:val="single"/>
        </w:rPr>
        <w:t>Standard</w:t>
      </w:r>
      <w:r>
        <w:rPr/>
        <w:t>: Data / process owners and asset custodians are required to develop and implement processes to capture, protect and review logs from all system components in accordance with NFCC requirements to centrally manage and identify anomalies or suspicious activity that includes, but is not limited to:</w:t>
      </w:r>
      <w:r>
        <w:rPr>
          <w:rStyle w:val="FootnoteCharacters"/>
          <w:rFonts w:cs="Calibri"/>
        </w:rPr>
        <w:t xml:space="preserve"> </w:t>
      </w:r>
    </w:p>
    <w:p>
      <w:pPr>
        <w:pStyle w:val="ListParagraph"/>
        <w:numPr>
          <w:ilvl w:val="0"/>
          <w:numId w:val="271"/>
        </w:numPr>
        <w:rPr/>
      </w:pPr>
      <w:r>
        <w:rPr/>
        <w:t>Reviewing the following, at least daily:</w:t>
      </w:r>
      <w:r>
        <w:rPr>
          <w:rStyle w:val="FootnoteCharacters"/>
          <w:rFonts w:cs="Calibri"/>
        </w:rPr>
        <w:t xml:space="preserve"> </w:t>
      </w:r>
    </w:p>
    <w:p>
      <w:pPr>
        <w:pStyle w:val="ListParagraph"/>
        <w:numPr>
          <w:ilvl w:val="1"/>
          <w:numId w:val="271"/>
        </w:numPr>
        <w:rPr/>
      </w:pPr>
      <w:r>
        <w:rPr/>
        <w:t>All security events;</w:t>
      </w:r>
    </w:p>
    <w:p>
      <w:pPr>
        <w:pStyle w:val="ListParagraph"/>
        <w:numPr>
          <w:ilvl w:val="1"/>
          <w:numId w:val="271"/>
        </w:numPr>
        <w:rPr/>
      </w:pPr>
      <w:r>
        <w:rPr/>
        <w:t>Logs of all system components that store, process or transmit sensitive data or that could impact the security of sensitive data;</w:t>
      </w:r>
    </w:p>
    <w:p>
      <w:pPr>
        <w:pStyle w:val="ListParagraph"/>
        <w:numPr>
          <w:ilvl w:val="1"/>
          <w:numId w:val="271"/>
        </w:numPr>
        <w:rPr/>
      </w:pPr>
      <w:r>
        <w:rPr/>
        <w:t>Logs of all critical system components; and</w:t>
      </w:r>
    </w:p>
    <w:p>
      <w:pPr>
        <w:pStyle w:val="ListParagraph"/>
        <w:numPr>
          <w:ilvl w:val="1"/>
          <w:numId w:val="271"/>
        </w:numPr>
        <w:rPr/>
      </w:pPr>
      <w:r>
        <w:rPr/>
        <w:t>Logs of all servers and system components that perform security functions. This includes, but is not limited to:</w:t>
      </w:r>
    </w:p>
    <w:p>
      <w:pPr>
        <w:pStyle w:val="ListParagraph"/>
        <w:numPr>
          <w:ilvl w:val="2"/>
          <w:numId w:val="271"/>
        </w:numPr>
        <w:rPr/>
      </w:pPr>
      <w:r>
        <w:rPr/>
        <w:t>Firewalls</w:t>
      </w:r>
    </w:p>
    <w:p>
      <w:pPr>
        <w:pStyle w:val="ListParagraph"/>
        <w:numPr>
          <w:ilvl w:val="2"/>
          <w:numId w:val="271"/>
        </w:numPr>
        <w:rPr/>
      </w:pPr>
      <w:r>
        <w:rPr/>
        <w:t xml:space="preserve">Intrusion Detection Systems (IDS) </w:t>
      </w:r>
    </w:p>
    <w:p>
      <w:pPr>
        <w:pStyle w:val="ListParagraph"/>
        <w:numPr>
          <w:ilvl w:val="2"/>
          <w:numId w:val="271"/>
        </w:numPr>
        <w:rPr/>
      </w:pPr>
      <w:r>
        <w:rPr/>
        <w:t>Intrusion Prevention Systems (IPS)</w:t>
      </w:r>
    </w:p>
    <w:p>
      <w:pPr>
        <w:pStyle w:val="ListParagraph"/>
        <w:numPr>
          <w:ilvl w:val="2"/>
          <w:numId w:val="271"/>
        </w:numPr>
        <w:rPr/>
      </w:pPr>
      <w:r>
        <w:rPr/>
        <w:t>Authentication servers (e.g., Active Directory domain controllers); and</w:t>
      </w:r>
    </w:p>
    <w:p>
      <w:pPr>
        <w:pStyle w:val="ListParagraph"/>
        <w:numPr>
          <w:ilvl w:val="2"/>
          <w:numId w:val="271"/>
        </w:numPr>
        <w:rPr/>
      </w:pPr>
      <w:r>
        <w:rPr/>
        <w:t>E-commerce redirection servers;</w:t>
      </w:r>
    </w:p>
    <w:p>
      <w:pPr>
        <w:pStyle w:val="ListParagraph"/>
        <w:numPr>
          <w:ilvl w:val="0"/>
          <w:numId w:val="271"/>
        </w:numPr>
        <w:rPr/>
      </w:pPr>
      <w:r>
        <w:rPr/>
        <w:t>Reviewing logs of all other system components periodically based on NFCC’s policies and risk management strategy, as determined by NFCC’s annual risk assessment;</w:t>
      </w:r>
      <w:r>
        <w:rPr>
          <w:rStyle w:val="FootnoteCharacters"/>
          <w:rFonts w:cs="Calibri"/>
        </w:rPr>
        <w:t xml:space="preserve"> </w:t>
      </w:r>
    </w:p>
    <w:p>
      <w:pPr>
        <w:pStyle w:val="ListParagraph"/>
        <w:numPr>
          <w:ilvl w:val="0"/>
          <w:numId w:val="271"/>
        </w:numPr>
        <w:rPr/>
      </w:pPr>
      <w:r>
        <w:rPr/>
        <w:t>Following up exceptions and anomalies identified during the review process;</w:t>
      </w:r>
      <w:r>
        <w:rPr>
          <w:rStyle w:val="FootnoteCharacters"/>
          <w:rFonts w:cs="Calibri"/>
        </w:rPr>
        <w:t xml:space="preserve"> </w:t>
      </w:r>
    </w:p>
    <w:p>
      <w:pPr>
        <w:pStyle w:val="ListParagraph"/>
        <w:numPr>
          <w:ilvl w:val="0"/>
          <w:numId w:val="271"/>
        </w:numPr>
        <w:rPr/>
      </w:pPr>
      <w:r>
        <w:rPr/>
        <w:t>Developing processes for the timely detection and reporting of failures of critical security control systems, including but not limited to failure of:</w:t>
      </w:r>
      <w:r>
        <w:rPr>
          <w:rStyle w:val="FootnoteCharacters"/>
          <w:rFonts w:cs="Calibri"/>
        </w:rPr>
        <w:t xml:space="preserve"> </w:t>
      </w:r>
    </w:p>
    <w:p>
      <w:pPr>
        <w:pStyle w:val="ListParagraph"/>
        <w:numPr>
          <w:ilvl w:val="1"/>
          <w:numId w:val="271"/>
        </w:numPr>
        <w:rPr/>
      </w:pPr>
      <w:r>
        <w:rPr/>
        <w:t xml:space="preserve">Firewalls; </w:t>
      </w:r>
    </w:p>
    <w:p>
      <w:pPr>
        <w:pStyle w:val="ListParagraph"/>
        <w:numPr>
          <w:ilvl w:val="1"/>
          <w:numId w:val="271"/>
        </w:numPr>
        <w:rPr/>
      </w:pPr>
      <w:r>
        <w:rPr/>
        <w:t xml:space="preserve">IDS / IPS; </w:t>
      </w:r>
    </w:p>
    <w:p>
      <w:pPr>
        <w:pStyle w:val="ListParagraph"/>
        <w:numPr>
          <w:ilvl w:val="1"/>
          <w:numId w:val="271"/>
        </w:numPr>
        <w:rPr/>
      </w:pPr>
      <w:r>
        <w:rPr/>
        <w:t>FIM;</w:t>
      </w:r>
    </w:p>
    <w:p>
      <w:pPr>
        <w:pStyle w:val="ListParagraph"/>
        <w:numPr>
          <w:ilvl w:val="1"/>
          <w:numId w:val="271"/>
        </w:numPr>
        <w:rPr/>
      </w:pPr>
      <w:r>
        <w:rPr/>
        <w:t>Anti-malware;</w:t>
      </w:r>
    </w:p>
    <w:p>
      <w:pPr>
        <w:pStyle w:val="ListParagraph"/>
        <w:numPr>
          <w:ilvl w:val="1"/>
          <w:numId w:val="271"/>
        </w:numPr>
        <w:rPr/>
      </w:pPr>
      <w:r>
        <w:rPr/>
        <w:t>Physical access controls;</w:t>
      </w:r>
    </w:p>
    <w:p>
      <w:pPr>
        <w:pStyle w:val="ListParagraph"/>
        <w:numPr>
          <w:ilvl w:val="1"/>
          <w:numId w:val="271"/>
        </w:numPr>
        <w:rPr/>
      </w:pPr>
      <w:r>
        <w:rPr/>
        <w:t>Logical access controls;</w:t>
      </w:r>
    </w:p>
    <w:p>
      <w:pPr>
        <w:pStyle w:val="ListParagraph"/>
        <w:numPr>
          <w:ilvl w:val="1"/>
          <w:numId w:val="271"/>
        </w:numPr>
        <w:rPr/>
      </w:pPr>
      <w:r>
        <w:rPr/>
        <w:t>Audit logging mechanisms; and</w:t>
      </w:r>
    </w:p>
    <w:p>
      <w:pPr>
        <w:pStyle w:val="ListParagraph"/>
        <w:numPr>
          <w:ilvl w:val="1"/>
          <w:numId w:val="271"/>
        </w:numPr>
        <w:rPr/>
      </w:pPr>
      <w:r>
        <w:rPr/>
        <w:t>Segmentation controls (if used); and</w:t>
      </w:r>
    </w:p>
    <w:p>
      <w:pPr>
        <w:pStyle w:val="ListParagraph"/>
        <w:numPr>
          <w:ilvl w:val="0"/>
          <w:numId w:val="271"/>
        </w:numPr>
        <w:rPr/>
      </w:pPr>
      <w:r>
        <w:rPr/>
        <w:t>Responding to failures of any critical security controls in a timely manner. Processes for responding to failures in security controls must include:</w:t>
      </w:r>
      <w:r>
        <w:rPr>
          <w:rStyle w:val="FootnoteCharacters"/>
          <w:rFonts w:cs="Calibri"/>
        </w:rPr>
        <w:t xml:space="preserve"> </w:t>
      </w:r>
    </w:p>
    <w:p>
      <w:pPr>
        <w:pStyle w:val="ListParagraph"/>
        <w:numPr>
          <w:ilvl w:val="1"/>
          <w:numId w:val="271"/>
        </w:numPr>
        <w:rPr/>
      </w:pPr>
      <w:r>
        <w:rPr/>
        <w:t>Restoring security functions;</w:t>
      </w:r>
    </w:p>
    <w:p>
      <w:pPr>
        <w:pStyle w:val="ListParagraph"/>
        <w:numPr>
          <w:ilvl w:val="1"/>
          <w:numId w:val="271"/>
        </w:numPr>
        <w:rPr/>
      </w:pPr>
      <w:r>
        <w:rPr/>
        <w:t>Identifying and documenting the duration (date and time start to end) of the security failure;</w:t>
      </w:r>
    </w:p>
    <w:p>
      <w:pPr>
        <w:pStyle w:val="ListParagraph"/>
        <w:numPr>
          <w:ilvl w:val="1"/>
          <w:numId w:val="271"/>
        </w:numPr>
        <w:rPr/>
      </w:pPr>
      <w:r>
        <w:rPr/>
        <w:t>Identifying and documenting cause(s) of failure, including root cause and documenting remediation required to address root cause;</w:t>
      </w:r>
    </w:p>
    <w:p>
      <w:pPr>
        <w:pStyle w:val="ListParagraph"/>
        <w:numPr>
          <w:ilvl w:val="1"/>
          <w:numId w:val="271"/>
        </w:numPr>
        <w:rPr/>
      </w:pPr>
      <w:r>
        <w:rPr/>
        <w:t>Identifying and addressing any security issues that arose during the failure;</w:t>
      </w:r>
    </w:p>
    <w:p>
      <w:pPr>
        <w:pStyle w:val="ListParagraph"/>
        <w:numPr>
          <w:ilvl w:val="1"/>
          <w:numId w:val="271"/>
        </w:numPr>
        <w:rPr/>
      </w:pPr>
      <w:r>
        <w:rPr/>
        <w:t>Performing a risk assessment to determine whether further actions are required as a result of the security failure;</w:t>
      </w:r>
    </w:p>
    <w:p>
      <w:pPr>
        <w:pStyle w:val="ListParagraph"/>
        <w:numPr>
          <w:ilvl w:val="1"/>
          <w:numId w:val="271"/>
        </w:numPr>
        <w:rPr/>
      </w:pPr>
      <w:r>
        <w:rPr/>
        <w:t>Implementing controls to prevent cause of failure from reoccurring; and</w:t>
      </w:r>
    </w:p>
    <w:p>
      <w:pPr>
        <w:pStyle w:val="ListParagraph"/>
        <w:numPr>
          <w:ilvl w:val="1"/>
          <w:numId w:val="271"/>
        </w:numPr>
        <w:rPr/>
      </w:pPr>
      <w:r>
        <w:rPr/>
        <w:t>Resuming monitoring of security controls.</w:t>
      </w:r>
    </w:p>
    <w:p>
      <w:pPr>
        <w:pStyle w:val="Normal"/>
        <w:rPr/>
      </w:pPr>
      <w:r>
        <w:rPr/>
      </w:r>
    </w:p>
    <w:p>
      <w:pPr>
        <w:pStyle w:val="Normal"/>
        <w:rPr>
          <w:b/>
          <w:b/>
        </w:rPr>
      </w:pPr>
      <w:r>
        <w:rPr>
          <w:u w:val="single"/>
        </w:rPr>
        <w:t>Guidelines</w:t>
      </w:r>
      <w:r>
        <w:rPr/>
        <w:t>: Generating audit trails of suspect activities alerts the system administrator, sends data to other monitoring mechanisms (like intrusion detection systems) and provides a history trail for post-incident follow-up. Logging of the following events enables an organization to identify and trace potentially malicious activities. The log review process does not have to be manual. The use of log harvesting, parsing and alerting tools can help facilitate the process by identifying log events that need to be reviewed.</w:t>
      </w:r>
    </w:p>
    <w:p>
      <w:pPr>
        <w:pStyle w:val="Normal"/>
        <w:rPr/>
      </w:pPr>
      <w:r>
        <w:rPr/>
      </w:r>
    </w:p>
    <w:p>
      <w:pPr>
        <w:pStyle w:val="Normal"/>
        <w:rPr/>
      </w:pPr>
      <w:r>
        <w:rPr/>
        <w:t xml:space="preserve">Many breaches occur over days or months before being detected. Checking logs daily minimizes the amount of time and exposure of a potential breach. Regular log reviews by personnel or automated means can identify and proactively address unauthorized access to the sensitive data environment. </w:t>
      </w:r>
    </w:p>
    <w:p>
      <w:pPr>
        <w:pStyle w:val="Normal"/>
        <w:rPr/>
      </w:pPr>
      <w:r>
        <w:rPr/>
      </w:r>
    </w:p>
    <w:p>
      <w:pPr>
        <w:pStyle w:val="Heading3"/>
        <w:rPr/>
      </w:pPr>
      <w:bookmarkStart w:id="427" w:name="_Toc474074872"/>
      <w:bookmarkStart w:id="428" w:name="_Toc34920641"/>
      <w:r>
        <w:rPr/>
        <w:t>MON-01(a): Continuous Monitoring | Intrusion Detection &amp; Prevention Systems (IDS &amp; IPS)</w:t>
      </w:r>
      <w:bookmarkEnd w:id="427"/>
      <w:bookmarkEnd w:id="428"/>
    </w:p>
    <w:p>
      <w:pPr>
        <w:pStyle w:val="Normal"/>
        <w:rPr/>
      </w:pPr>
      <w:r>
        <w:rPr>
          <w:u w:val="single"/>
        </w:rPr>
        <w:t>Control Objective</w:t>
      </w:r>
      <w:r>
        <w:rPr/>
        <w:t>: The organization deploys intrusion-detection and / or intrusion prevention technologies on critical systems, key network segments and network choke points.</w:t>
      </w:r>
      <w:r>
        <w:rPr>
          <w:rStyle w:val="FootnoteAnchor"/>
          <w:rStyle w:val="FootnoteAnchor"/>
          <w:rFonts w:cs="Calibri"/>
        </w:rPr>
        <w:footnoteReference w:id="131"/>
      </w:r>
    </w:p>
    <w:p>
      <w:pPr>
        <w:pStyle w:val="Normal"/>
        <w:rPr/>
      </w:pPr>
      <w:r>
        <w:rPr/>
      </w:r>
    </w:p>
    <w:p>
      <w:pPr>
        <w:pStyle w:val="Normal"/>
        <w:rPr/>
      </w:pPr>
      <w:r>
        <w:rPr>
          <w:u w:val="single"/>
        </w:rPr>
        <w:t>Standard</w:t>
      </w:r>
      <w:r>
        <w:rPr/>
        <w:t>: In order to gain the most complete situational awareness, Intrusion Detection / Prevention Systems (IDS/IPS) shall be deployed on critical systems, key network segments and network choke points.</w:t>
      </w:r>
    </w:p>
    <w:p>
      <w:pPr>
        <w:pStyle w:val="Normal"/>
        <w:rPr/>
      </w:pPr>
      <w:r>
        <w:rPr/>
      </w:r>
    </w:p>
    <w:p>
      <w:pPr>
        <w:pStyle w:val="Normal"/>
        <w:rPr>
          <w:color w:val="C00000"/>
        </w:rPr>
      </w:pPr>
      <w:r>
        <w:rPr>
          <w:u w:val="single"/>
        </w:rPr>
        <w:t>Guidelines</w:t>
      </w:r>
      <w:r>
        <w:rPr/>
        <w:t xml:space="preserve">: None </w:t>
      </w:r>
    </w:p>
    <w:p>
      <w:pPr>
        <w:pStyle w:val="Normal"/>
        <w:rPr/>
      </w:pPr>
      <w:r>
        <w:rPr/>
      </w:r>
    </w:p>
    <w:p>
      <w:pPr>
        <w:pStyle w:val="Heading3"/>
        <w:rPr/>
      </w:pPr>
      <w:bookmarkStart w:id="429" w:name="_Toc474074873"/>
      <w:bookmarkStart w:id="430" w:name="_Toc34920642"/>
      <w:r>
        <w:rPr/>
        <w:t>MON-01(b): Continuous Monitoring | Automated Tools for Real-Time Analysis</w:t>
      </w:r>
      <w:bookmarkEnd w:id="429"/>
      <w:bookmarkEnd w:id="430"/>
      <w:r>
        <w:rPr/>
        <w:t xml:space="preserve"> </w:t>
      </w:r>
    </w:p>
    <w:p>
      <w:pPr>
        <w:pStyle w:val="Normal"/>
        <w:rPr/>
      </w:pPr>
      <w:r>
        <w:rPr>
          <w:u w:val="single"/>
        </w:rPr>
        <w:t>Control Objective</w:t>
      </w:r>
      <w:r>
        <w:rPr/>
        <w:t>: The organization employs automated tools to support real-time analysis of events.</w:t>
      </w:r>
      <w:r>
        <w:rPr>
          <w:rStyle w:val="FootnoteCharacters"/>
          <w:rFonts w:cs="Calibri"/>
        </w:rPr>
        <w:t xml:space="preserve"> </w:t>
      </w:r>
      <w:r>
        <w:rPr>
          <w:rStyle w:val="FootnoteAnchor"/>
          <w:rStyle w:val="FootnoteAnchor"/>
          <w:rFonts w:cs="Calibri"/>
        </w:rPr>
        <w:footnoteReference w:id="132"/>
      </w:r>
    </w:p>
    <w:p>
      <w:pPr>
        <w:pStyle w:val="Normal"/>
        <w:rPr/>
      </w:pPr>
      <w:r>
        <w:rPr/>
      </w:r>
    </w:p>
    <w:p>
      <w:pPr>
        <w:pStyle w:val="Normal"/>
        <w:rPr/>
      </w:pPr>
      <w:r>
        <w:rPr>
          <w:u w:val="single"/>
        </w:rPr>
        <w:t>Standard</w:t>
      </w:r>
      <w:r>
        <w:rPr/>
        <w:t xml:space="preserve">: For critical systems, NFCC cybersecurity personnel are responsible for correlating information and generating near real-time alerts from monitoring tools employed throughout the network to achieve organization-wide situational awareness. </w:t>
      </w:r>
    </w:p>
    <w:p>
      <w:pPr>
        <w:pStyle w:val="Normal"/>
        <w:rPr/>
      </w:pPr>
      <w:r>
        <w:rPr/>
      </w:r>
    </w:p>
    <w:p>
      <w:pPr>
        <w:pStyle w:val="Normal"/>
        <w:rPr>
          <w:color w:val="C00000"/>
        </w:rPr>
      </w:pPr>
      <w:r>
        <w:rPr>
          <w:u w:val="single"/>
        </w:rPr>
        <w:t>Guidelines</w:t>
      </w:r>
      <w:r>
        <w:rPr/>
        <w:t xml:space="preserve">: Alerts may be generated from a variety of sources, including, for example, audit records or inputs from malicious code protection mechanisms, intrusion detection or prevention mechanisms or boundary protection devices such as firewalls, gateways and routers. </w:t>
      </w:r>
    </w:p>
    <w:p>
      <w:pPr>
        <w:pStyle w:val="Normal"/>
        <w:rPr/>
      </w:pPr>
      <w:r>
        <w:rPr/>
      </w:r>
    </w:p>
    <w:p>
      <w:pPr>
        <w:pStyle w:val="Heading3"/>
        <w:rPr/>
      </w:pPr>
      <w:bookmarkStart w:id="431" w:name="_Toc474074874"/>
      <w:bookmarkStart w:id="432" w:name="_Toc34920643"/>
      <w:r>
        <w:rPr/>
        <w:t>MON-01(c): Continuous Monitoring | Inbound &amp; Outbound Communications Traffic</w:t>
      </w:r>
      <w:bookmarkEnd w:id="431"/>
      <w:bookmarkEnd w:id="432"/>
      <w:r>
        <w:rPr/>
        <w:t xml:space="preserve"> </w:t>
      </w:r>
    </w:p>
    <w:p>
      <w:pPr>
        <w:pStyle w:val="Normal"/>
        <w:rPr/>
      </w:pPr>
      <w:r>
        <w:rPr>
          <w:u w:val="single"/>
        </w:rPr>
        <w:t>Control Objective</w:t>
      </w:r>
      <w:r>
        <w:rPr/>
        <w:t>: The organization continuously monitors inbound and outbound communications traffic for unusual or unauthorized activities or conditions.</w:t>
      </w:r>
      <w:r>
        <w:rPr>
          <w:rStyle w:val="FootnoteAnchor"/>
          <w:rStyle w:val="FootnoteAnchor"/>
          <w:rFonts w:cs="Calibri"/>
          <w:bCs w:val="false"/>
        </w:rPr>
        <w:footnoteReference w:id="133"/>
      </w:r>
    </w:p>
    <w:p>
      <w:pPr>
        <w:pStyle w:val="Normal"/>
        <w:rPr/>
      </w:pPr>
      <w:r>
        <w:rPr/>
      </w:r>
    </w:p>
    <w:p>
      <w:pPr>
        <w:pStyle w:val="Normal"/>
        <w:rPr/>
      </w:pPr>
      <w:r>
        <w:rPr>
          <w:u w:val="single"/>
        </w:rPr>
        <w:t>Standard</w:t>
      </w:r>
      <w:r>
        <w:rPr/>
        <w:t xml:space="preserve">: NFCC is required to monitor inbound and outbound communications for unusual or unauthorized activities or conditions. </w:t>
      </w:r>
    </w:p>
    <w:p>
      <w:pPr>
        <w:pStyle w:val="Normal"/>
        <w:rPr/>
      </w:pPr>
      <w:r>
        <w:rPr/>
      </w:r>
    </w:p>
    <w:p>
      <w:pPr>
        <w:pStyle w:val="Normal"/>
        <w:rPr/>
      </w:pPr>
      <w:r>
        <w:rPr>
          <w:u w:val="single"/>
        </w:rPr>
        <w:t>Guidelines</w:t>
      </w:r>
      <w:r>
        <w:rPr/>
        <w:t>: Unusual / unauthorized activities or conditions include, but is not limited to:</w:t>
      </w:r>
    </w:p>
    <w:p>
      <w:pPr>
        <w:pStyle w:val="ListParagraph"/>
        <w:numPr>
          <w:ilvl w:val="0"/>
          <w:numId w:val="74"/>
        </w:numPr>
        <w:rPr/>
      </w:pPr>
      <w:r>
        <w:rPr/>
        <w:t xml:space="preserve">Internal traffic that indicates the presence of malicious code within a system or propagating among system components, </w:t>
      </w:r>
    </w:p>
    <w:p>
      <w:pPr>
        <w:pStyle w:val="ListParagraph"/>
        <w:numPr>
          <w:ilvl w:val="0"/>
          <w:numId w:val="74"/>
        </w:numPr>
        <w:rPr/>
      </w:pPr>
      <w:r>
        <w:rPr/>
        <w:t>Internal traffic that indicates the presence of unauthorized software (e.g., Peer-to-Peer software); and</w:t>
      </w:r>
    </w:p>
    <w:p>
      <w:pPr>
        <w:pStyle w:val="ListParagraph"/>
        <w:numPr>
          <w:ilvl w:val="0"/>
          <w:numId w:val="74"/>
        </w:numPr>
        <w:rPr/>
      </w:pPr>
      <w:r>
        <w:rPr/>
        <w:t xml:space="preserve">The unauthorized export of information or signaling to an external system. </w:t>
      </w:r>
    </w:p>
    <w:p>
      <w:pPr>
        <w:pStyle w:val="Normal"/>
        <w:rPr>
          <w:rFonts w:eastAsia="Calibri"/>
        </w:rPr>
      </w:pPr>
      <w:r>
        <w:rPr>
          <w:rFonts w:eastAsia="Calibri"/>
        </w:rPr>
      </w:r>
    </w:p>
    <w:p>
      <w:pPr>
        <w:pStyle w:val="Heading3"/>
        <w:rPr/>
      </w:pPr>
      <w:bookmarkStart w:id="433" w:name="_Toc474074875"/>
      <w:bookmarkStart w:id="434" w:name="_Toc34920644"/>
      <w:r>
        <w:rPr/>
        <w:t>MON-01(d): Continuous Monitoring | System Generated Alerts</w:t>
      </w:r>
      <w:bookmarkEnd w:id="433"/>
      <w:bookmarkEnd w:id="434"/>
      <w:r>
        <w:rPr/>
        <w:t xml:space="preserve"> </w:t>
      </w:r>
    </w:p>
    <w:p>
      <w:pPr>
        <w:pStyle w:val="Normal"/>
        <w:rPr/>
      </w:pPr>
      <w:r>
        <w:rPr>
          <w:u w:val="single"/>
        </w:rPr>
        <w:t>Control Objective</w:t>
      </w:r>
      <w:r>
        <w:rPr/>
        <w:t>: The organization monitors, correlates and responds to alerts from physical, cybersecurity, privacy and supply chain activities to achieve integrated situational awareness.</w:t>
      </w:r>
      <w:r>
        <w:rPr>
          <w:rStyle w:val="FootnoteAnchor"/>
          <w:rStyle w:val="FootnoteAnchor"/>
          <w:rFonts w:cs="Calibri"/>
          <w:bCs w:val="false"/>
        </w:rPr>
        <w:footnoteReference w:id="134"/>
      </w:r>
    </w:p>
    <w:p>
      <w:pPr>
        <w:pStyle w:val="Normal"/>
        <w:rPr/>
      </w:pPr>
      <w:r>
        <w:rPr/>
      </w:r>
    </w:p>
    <w:p>
      <w:pPr>
        <w:pStyle w:val="Normal"/>
        <w:rPr/>
      </w:pPr>
      <w:r>
        <w:rPr>
          <w:u w:val="single"/>
        </w:rPr>
        <w:t>Standard</w:t>
      </w:r>
      <w:r>
        <w:rPr/>
        <w:t xml:space="preserve">: NFCC is assigned the responsibility for developing and implementing an integrated situational awareness capability to more quickly detect sophisticated attacks and investigate the methods and techniques employed to carry out the attacks. </w:t>
      </w:r>
    </w:p>
    <w:p>
      <w:pPr>
        <w:pStyle w:val="Normal"/>
        <w:rPr/>
      </w:pPr>
      <w:r>
        <w:rPr/>
      </w:r>
    </w:p>
    <w:p>
      <w:pPr>
        <w:pStyle w:val="Normal"/>
        <w:rPr/>
      </w:pPr>
      <w:r>
        <w:rPr>
          <w:u w:val="single"/>
        </w:rPr>
        <w:t>Guidelines</w:t>
      </w:r>
      <w:r>
        <w:rPr/>
        <w:t>: Situational awareness involves being aware of the following:</w:t>
      </w:r>
    </w:p>
    <w:p>
      <w:pPr>
        <w:pStyle w:val="ListParagraph"/>
        <w:numPr>
          <w:ilvl w:val="0"/>
          <w:numId w:val="75"/>
        </w:numPr>
        <w:rPr/>
      </w:pPr>
      <w:r>
        <w:rPr/>
        <w:t>Physical security incidents;</w:t>
      </w:r>
    </w:p>
    <w:p>
      <w:pPr>
        <w:pStyle w:val="ListParagraph"/>
        <w:numPr>
          <w:ilvl w:val="0"/>
          <w:numId w:val="75"/>
        </w:numPr>
        <w:rPr/>
      </w:pPr>
      <w:r>
        <w:rPr/>
        <w:t xml:space="preserve">Supply chain incidents; </w:t>
      </w:r>
    </w:p>
    <w:p>
      <w:pPr>
        <w:pStyle w:val="ListParagraph"/>
        <w:numPr>
          <w:ilvl w:val="0"/>
          <w:numId w:val="75"/>
        </w:numPr>
        <w:rPr/>
      </w:pPr>
      <w:r>
        <w:rPr/>
        <w:t>Industry-specific incidents; and</w:t>
      </w:r>
    </w:p>
    <w:p>
      <w:pPr>
        <w:pStyle w:val="ListParagraph"/>
        <w:numPr>
          <w:ilvl w:val="0"/>
          <w:numId w:val="75"/>
        </w:numPr>
        <w:rPr/>
      </w:pPr>
      <w:r>
        <w:rPr/>
        <w:t>Technology-specific incidents (related to technology currently in use on the production network).</w:t>
      </w:r>
    </w:p>
    <w:p>
      <w:pPr>
        <w:pStyle w:val="Normal"/>
        <w:rPr/>
      </w:pPr>
      <w:r>
        <w:rPr/>
      </w:r>
    </w:p>
    <w:p>
      <w:pPr>
        <w:pStyle w:val="Heading3"/>
        <w:rPr/>
      </w:pPr>
      <w:bookmarkStart w:id="435" w:name="_Toc34920645"/>
      <w:bookmarkStart w:id="436" w:name="_Toc474074876"/>
      <w:r>
        <w:rPr/>
        <w:t>MON-01(e): Continuous Monitoring | Wireless Intrusion Detection</w:t>
      </w:r>
      <w:bookmarkEnd w:id="436"/>
      <w:r>
        <w:rPr/>
        <w:t xml:space="preserve"> System (WIDS)</w:t>
      </w:r>
      <w:bookmarkEnd w:id="435"/>
    </w:p>
    <w:p>
      <w:pPr>
        <w:pStyle w:val="Normal"/>
        <w:rPr/>
      </w:pPr>
      <w:r>
        <w:rPr>
          <w:u w:val="single"/>
        </w:rPr>
        <w:t>Control Objective</w:t>
      </w:r>
      <w:r>
        <w:rPr/>
        <w:t>: The organization employs a Wireless Intrusion Detection System (WIDS) to identify rogue wireless devices and to detect attack attempts and potential compromises / breaches.</w:t>
      </w:r>
      <w:r>
        <w:rPr>
          <w:rStyle w:val="FootnoteCharacters"/>
          <w:rFonts w:cs="Calibri"/>
          <w:bCs w:val="false"/>
        </w:rPr>
        <w:t xml:space="preserve"> </w:t>
      </w:r>
      <w:r>
        <w:rPr>
          <w:rStyle w:val="FootnoteAnchor"/>
          <w:rStyle w:val="FootnoteAnchor"/>
          <w:rFonts w:cs="Calibri"/>
          <w:bCs w:val="false"/>
        </w:rPr>
        <w:footnoteReference w:id="135"/>
      </w:r>
    </w:p>
    <w:p>
      <w:pPr>
        <w:pStyle w:val="Normal"/>
        <w:rPr/>
      </w:pPr>
      <w:r>
        <w:rPr/>
      </w:r>
    </w:p>
    <w:p>
      <w:pPr>
        <w:pStyle w:val="Normal"/>
        <w:rPr/>
      </w:pPr>
      <w:r>
        <w:rPr>
          <w:u w:val="single"/>
        </w:rPr>
        <w:t>Standard</w:t>
      </w:r>
      <w:r>
        <w:rPr/>
        <w:t>: Where technically feasible and justified by a valid business case, NFCC shall employ a Wireless Intrusion Detection System (WIDS) to identify rogue wireless devices and detect attack attempts, as well as potential compromises / breaches.</w:t>
      </w:r>
    </w:p>
    <w:p>
      <w:pPr>
        <w:pStyle w:val="Normal"/>
        <w:rPr/>
      </w:pPr>
      <w:r>
        <w:rPr/>
      </w:r>
    </w:p>
    <w:p>
      <w:pPr>
        <w:pStyle w:val="Normal"/>
        <w:rPr/>
      </w:pPr>
      <w:r>
        <w:rPr>
          <w:u w:val="single"/>
        </w:rPr>
        <w:t>Guidelines</w:t>
      </w:r>
      <w:r>
        <w:rPr/>
        <w:t>: Wireless signals may radiate beyond the confines of organization-controlled facilities. Organizations should proactively search for unauthorized wireless connections including the conduct of thorough scans for unauthorized wireless access points. Scans are not limited to those areas within facilities containing systems, but also include areas outside of facilities as needed, to verify that unauthorized wireless access points are not connected to the systems.</w:t>
      </w:r>
    </w:p>
    <w:p>
      <w:pPr>
        <w:pStyle w:val="Normal"/>
        <w:rPr/>
      </w:pPr>
      <w:r>
        <w:rPr/>
      </w:r>
    </w:p>
    <w:p>
      <w:pPr>
        <w:pStyle w:val="Heading3"/>
        <w:rPr/>
      </w:pPr>
      <w:bookmarkStart w:id="437" w:name="_Toc474074878"/>
      <w:bookmarkStart w:id="438" w:name="_Toc34920646"/>
      <w:r>
        <w:rPr/>
        <w:t>MON-01(f): Continuous Monitoring | Host-Based Devices</w:t>
      </w:r>
      <w:bookmarkEnd w:id="437"/>
      <w:bookmarkEnd w:id="438"/>
      <w:r>
        <w:rPr/>
        <w:t xml:space="preserve"> </w:t>
      </w:r>
    </w:p>
    <w:p>
      <w:pPr>
        <w:pStyle w:val="Normal"/>
        <w:rPr/>
      </w:pPr>
      <w:r>
        <w:rPr>
          <w:u w:val="single"/>
        </w:rPr>
        <w:t>Control Objective</w:t>
      </w:r>
      <w:r>
        <w:rPr/>
        <w:t>: The organization implements host-based monitoring mechanisms on system components.</w:t>
      </w:r>
      <w:r>
        <w:rPr>
          <w:rStyle w:val="FootnoteAnchor"/>
          <w:rStyle w:val="FootnoteAnchor"/>
          <w:rFonts w:cs="Calibri"/>
        </w:rPr>
        <w:footnoteReference w:id="136"/>
      </w:r>
    </w:p>
    <w:p>
      <w:pPr>
        <w:pStyle w:val="Normal"/>
        <w:rPr/>
      </w:pPr>
      <w:r>
        <w:rPr/>
      </w:r>
    </w:p>
    <w:p>
      <w:pPr>
        <w:pStyle w:val="Normal"/>
        <w:rPr/>
      </w:pPr>
      <w:r>
        <w:rPr>
          <w:u w:val="single"/>
        </w:rPr>
        <w:t>Standard</w:t>
      </w:r>
      <w:r>
        <w:rPr/>
        <w:t>: Where technically feasible and justified by a valid business case, NFCC shall implement host-based monitoring mechanisms on system components.</w:t>
      </w:r>
    </w:p>
    <w:p>
      <w:pPr>
        <w:pStyle w:val="Normal"/>
        <w:rPr/>
      </w:pPr>
      <w:r>
        <w:rPr/>
      </w:r>
    </w:p>
    <w:p>
      <w:pPr>
        <w:pStyle w:val="Normal"/>
        <w:rPr/>
      </w:pPr>
      <w:r>
        <w:rPr>
          <w:u w:val="single"/>
        </w:rPr>
        <w:t>Guidelines</w:t>
      </w:r>
      <w:r>
        <w:rPr/>
        <w:t>: Information system components where host-based monitoring can be implemented include, for example, servers, workstations and mobile devices. Organizations should consider employing host-based monitoring mechanisms from multiple information technology product developers.</w:t>
      </w:r>
    </w:p>
    <w:p>
      <w:pPr>
        <w:pStyle w:val="Normal"/>
        <w:rPr/>
      </w:pPr>
      <w:r>
        <w:rPr/>
      </w:r>
    </w:p>
    <w:p>
      <w:pPr>
        <w:pStyle w:val="Heading3"/>
        <w:rPr/>
      </w:pPr>
      <w:bookmarkStart w:id="439" w:name="_Toc474074879"/>
      <w:bookmarkStart w:id="440" w:name="_Toc34920647"/>
      <w:r>
        <w:rPr/>
        <w:t>MON-01(g): Continuous Monitoring | File Integrity Monitoring (FIM)</w:t>
      </w:r>
      <w:bookmarkEnd w:id="439"/>
      <w:bookmarkEnd w:id="440"/>
    </w:p>
    <w:p>
      <w:pPr>
        <w:pStyle w:val="Normal"/>
        <w:rPr/>
      </w:pPr>
      <w:r>
        <w:rPr>
          <w:u w:val="single"/>
        </w:rPr>
        <w:t>Control Objective</w:t>
      </w:r>
      <w:r>
        <w:rPr/>
        <w:t>: The organization deploys change-detection mechanisms on critical assets to generate alerts for unauthorized modifications.</w:t>
      </w:r>
      <w:r>
        <w:rPr>
          <w:rStyle w:val="FootnoteCharacters"/>
          <w:rFonts w:cs="Calibri"/>
        </w:rPr>
        <w:t xml:space="preserve"> </w:t>
      </w:r>
      <w:r>
        <w:rPr>
          <w:rStyle w:val="FootnoteAnchor"/>
          <w:rStyle w:val="FootnoteAnchor"/>
          <w:rFonts w:cs="Calibri"/>
        </w:rPr>
        <w:footnoteReference w:id="137"/>
      </w:r>
    </w:p>
    <w:p>
      <w:pPr>
        <w:pStyle w:val="Normal"/>
        <w:rPr/>
      </w:pPr>
      <w:r>
        <w:rPr/>
      </w:r>
    </w:p>
    <w:p>
      <w:pPr>
        <w:pStyle w:val="Normal"/>
        <w:rPr/>
      </w:pPr>
      <w:r>
        <w:rPr>
          <w:u w:val="single"/>
        </w:rPr>
        <w:t>Standard</w:t>
      </w:r>
      <w:r>
        <w:rPr/>
        <w:t>: When the business case mandates it, asset custodians are required to deploy a change-detection mechanism (e.g., File Integrity Monitoring (FIM) tools) to:</w:t>
      </w:r>
      <w:r>
        <w:rPr>
          <w:rStyle w:val="FootnoteCharacters"/>
          <w:rFonts w:cs="Calibri"/>
        </w:rPr>
        <w:t xml:space="preserve"> </w:t>
      </w:r>
    </w:p>
    <w:p>
      <w:pPr>
        <w:pStyle w:val="ListParagraph"/>
        <w:numPr>
          <w:ilvl w:val="0"/>
          <w:numId w:val="272"/>
        </w:numPr>
        <w:rPr/>
      </w:pPr>
      <w:r>
        <w:rPr/>
        <w:t>Alert personnel to unauthorized modification of:</w:t>
      </w:r>
    </w:p>
    <w:p>
      <w:pPr>
        <w:pStyle w:val="ListParagraph"/>
        <w:numPr>
          <w:ilvl w:val="1"/>
          <w:numId w:val="272"/>
        </w:numPr>
        <w:rPr/>
      </w:pPr>
      <w:r>
        <w:rPr/>
        <w:t>Critical system files;</w:t>
      </w:r>
    </w:p>
    <w:p>
      <w:pPr>
        <w:pStyle w:val="ListParagraph"/>
        <w:numPr>
          <w:ilvl w:val="1"/>
          <w:numId w:val="272"/>
        </w:numPr>
        <w:rPr/>
      </w:pPr>
      <w:r>
        <w:rPr/>
        <w:t xml:space="preserve">Configuration files; or </w:t>
      </w:r>
    </w:p>
    <w:p>
      <w:pPr>
        <w:pStyle w:val="ListParagraph"/>
        <w:numPr>
          <w:ilvl w:val="1"/>
          <w:numId w:val="272"/>
        </w:numPr>
        <w:rPr/>
      </w:pPr>
      <w:r>
        <w:rPr/>
        <w:t>Content files;</w:t>
      </w:r>
    </w:p>
    <w:p>
      <w:pPr>
        <w:pStyle w:val="ListParagraph"/>
        <w:numPr>
          <w:ilvl w:val="0"/>
          <w:numId w:val="272"/>
        </w:numPr>
        <w:rPr/>
      </w:pPr>
      <w:r>
        <w:rPr/>
        <w:t>Configure the change-detection mechanism software to perform file comparisons at least weekly; and</w:t>
      </w:r>
    </w:p>
    <w:p>
      <w:pPr>
        <w:pStyle w:val="ListParagraph"/>
        <w:numPr>
          <w:ilvl w:val="0"/>
          <w:numId w:val="272"/>
        </w:numPr>
        <w:rPr/>
      </w:pPr>
      <w:r>
        <w:rPr/>
        <w:t>Implement a process to respond to any alerts generated by the change-detection mechanisms.</w:t>
      </w:r>
      <w:r>
        <w:rPr>
          <w:rStyle w:val="FootnoteCharacters"/>
          <w:rFonts w:cs="Calibri"/>
        </w:rPr>
        <w:t xml:space="preserve"> </w:t>
      </w:r>
    </w:p>
    <w:p>
      <w:pPr>
        <w:pStyle w:val="Normal"/>
        <w:rPr/>
      </w:pPr>
      <w:r>
        <w:rPr/>
      </w:r>
    </w:p>
    <w:p>
      <w:pPr>
        <w:pStyle w:val="Normal"/>
        <w:rPr/>
      </w:pPr>
      <w:r>
        <w:rPr>
          <w:u w:val="single"/>
        </w:rPr>
        <w:t>Guidelines</w:t>
      </w:r>
      <w:r>
        <w:rPr/>
        <w:t>: For change-detection purposes, critical files are usually those that do not regularly change, but the modification of which could indicate a system compromise or risk of compromise. Change-detection mechanisms such as file-integrity monitoring products usually come preconfigured with critical files for the related operating system. Other critical files, such as those for custom applications, must be evaluated and defined by the entity (that is, the merchant or service provider).</w:t>
      </w:r>
    </w:p>
    <w:p>
      <w:pPr>
        <w:pStyle w:val="Normal"/>
        <w:rPr/>
      </w:pPr>
      <w:r>
        <w:rPr/>
        <w:t>Examples of files that should be monitored:</w:t>
      </w:r>
    </w:p>
    <w:p>
      <w:pPr>
        <w:pStyle w:val="ListParagraph"/>
        <w:numPr>
          <w:ilvl w:val="0"/>
          <w:numId w:val="198"/>
        </w:numPr>
        <w:rPr/>
      </w:pPr>
      <w:r>
        <w:rPr/>
        <w:t>System executables;</w:t>
      </w:r>
    </w:p>
    <w:p>
      <w:pPr>
        <w:pStyle w:val="ListParagraph"/>
        <w:numPr>
          <w:ilvl w:val="0"/>
          <w:numId w:val="198"/>
        </w:numPr>
        <w:rPr/>
      </w:pPr>
      <w:r>
        <w:rPr/>
        <w:t>Application executables;</w:t>
      </w:r>
    </w:p>
    <w:p>
      <w:pPr>
        <w:pStyle w:val="ListParagraph"/>
        <w:numPr>
          <w:ilvl w:val="0"/>
          <w:numId w:val="198"/>
        </w:numPr>
        <w:rPr/>
      </w:pPr>
      <w:r>
        <w:rPr/>
        <w:t>Configuration and parameter files; and</w:t>
      </w:r>
    </w:p>
    <w:p>
      <w:pPr>
        <w:pStyle w:val="ListParagraph"/>
        <w:numPr>
          <w:ilvl w:val="0"/>
          <w:numId w:val="198"/>
        </w:numPr>
        <w:rPr>
          <w:b/>
          <w:b/>
        </w:rPr>
      </w:pPr>
      <w:r>
        <w:rPr/>
        <w:t>Centrally stored, historical or archived, log and audit files.</w:t>
      </w:r>
    </w:p>
    <w:p>
      <w:pPr>
        <w:pStyle w:val="Normal"/>
        <w:rPr/>
      </w:pPr>
      <w:r>
        <w:rPr/>
      </w:r>
    </w:p>
    <w:p>
      <w:pPr>
        <w:pStyle w:val="Heading3"/>
        <w:rPr/>
      </w:pPr>
      <w:bookmarkStart w:id="441" w:name="_Toc474074881"/>
      <w:bookmarkStart w:id="442" w:name="_Toc34920648"/>
      <w:r>
        <w:rPr/>
        <w:t>MON-01(h): Continuous Monitoring | Reviews &amp; Updates</w:t>
      </w:r>
      <w:bookmarkEnd w:id="441"/>
      <w:bookmarkEnd w:id="442"/>
      <w:r>
        <w:rPr/>
        <w:t xml:space="preserve"> </w:t>
      </w:r>
    </w:p>
    <w:p>
      <w:pPr>
        <w:pStyle w:val="Normal"/>
        <w:rPr/>
      </w:pPr>
      <w:r>
        <w:rPr>
          <w:u w:val="single"/>
        </w:rPr>
        <w:t>Control Objective</w:t>
      </w:r>
      <w:r>
        <w:rPr/>
        <w:t>: The organization reviews event logs according to an organization-defined frequency.</w:t>
      </w:r>
      <w:r>
        <w:rPr>
          <w:rStyle w:val="FootnoteAnchor"/>
          <w:rStyle w:val="FootnoteAnchor"/>
          <w:rFonts w:cs="Calibri"/>
        </w:rPr>
        <w:footnoteReference w:id="138"/>
      </w:r>
    </w:p>
    <w:p>
      <w:pPr>
        <w:pStyle w:val="Normal"/>
        <w:rPr/>
      </w:pPr>
      <w:r>
        <w:rPr/>
      </w:r>
    </w:p>
    <w:p>
      <w:pPr>
        <w:pStyle w:val="Normal"/>
        <w:rPr/>
      </w:pPr>
      <w:r>
        <w:rPr>
          <w:u w:val="single"/>
        </w:rPr>
        <w:t>Standard</w:t>
      </w:r>
      <w:r>
        <w:rPr/>
        <w:t xml:space="preserve">: NFCC is required to establish a daily process for reviewing events from a centralized log repository (e.g., SIEM console). </w:t>
      </w:r>
    </w:p>
    <w:p>
      <w:pPr>
        <w:pStyle w:val="Normal"/>
        <w:rPr/>
      </w:pPr>
      <w:r>
        <w:rPr/>
      </w:r>
    </w:p>
    <w:p>
      <w:pPr>
        <w:pStyle w:val="Normal"/>
        <w:rPr/>
      </w:pPr>
      <w:r>
        <w:rPr>
          <w:u w:val="single"/>
        </w:rPr>
        <w:t>Guidelines</w:t>
      </w:r>
      <w:r>
        <w:rPr/>
        <w:t>: Over time, the events that organizations believe should be audited may change. Reviewing and updating the set of audited events periodically is necessary to ensure that the current set is still necessary and sufficient.</w:t>
      </w:r>
    </w:p>
    <w:p>
      <w:pPr>
        <w:pStyle w:val="Normal"/>
        <w:rPr/>
      </w:pPr>
      <w:r>
        <w:rPr/>
      </w:r>
    </w:p>
    <w:p>
      <w:pPr>
        <w:pStyle w:val="Heading3"/>
        <w:rPr/>
      </w:pPr>
      <w:bookmarkStart w:id="443" w:name="_Toc474074882"/>
      <w:bookmarkStart w:id="444" w:name="_Toc34920649"/>
      <w:r>
        <w:rPr/>
        <w:t>MON-01(i): Continuous Monitoring | Proxy Logging</w:t>
      </w:r>
      <w:bookmarkEnd w:id="443"/>
      <w:bookmarkEnd w:id="444"/>
      <w:r>
        <w:rPr/>
        <w:t xml:space="preserve"> </w:t>
      </w:r>
    </w:p>
    <w:p>
      <w:pPr>
        <w:pStyle w:val="Normal"/>
        <w:rPr/>
      </w:pPr>
      <w:r>
        <w:rPr>
          <w:u w:val="single"/>
        </w:rPr>
        <w:t>Control Objective</w:t>
      </w:r>
      <w:r>
        <w:rPr/>
        <w:t>: The organization logs all Uniform Resource Locator (URL) requests from each of the organization's systems, whether onsite or offsite, in order to identify prohibited activities and assist incident handlers with identifying potentially compromised systems.</w:t>
      </w:r>
    </w:p>
    <w:p>
      <w:pPr>
        <w:pStyle w:val="Normal"/>
        <w:rPr/>
      </w:pPr>
      <w:r>
        <w:rPr/>
      </w:r>
    </w:p>
    <w:p>
      <w:pPr>
        <w:pStyle w:val="Normal"/>
        <w:rPr/>
      </w:pPr>
      <w:r>
        <w:rPr>
          <w:u w:val="single"/>
        </w:rPr>
        <w:t>Standard</w:t>
      </w:r>
      <w:r>
        <w:rPr/>
        <w:t>: NFCC shall:</w:t>
      </w:r>
    </w:p>
    <w:p>
      <w:pPr>
        <w:pStyle w:val="ListParagraph"/>
        <w:numPr>
          <w:ilvl w:val="0"/>
          <w:numId w:val="273"/>
        </w:numPr>
        <w:rPr/>
      </w:pPr>
      <w:r>
        <w:rPr/>
        <w:t>Log all URL requests; and</w:t>
      </w:r>
    </w:p>
    <w:p>
      <w:pPr>
        <w:pStyle w:val="ListParagraph"/>
        <w:numPr>
          <w:ilvl w:val="0"/>
          <w:numId w:val="273"/>
        </w:numPr>
        <w:rPr/>
      </w:pPr>
      <w:r>
        <w:rPr/>
        <w:t>Review blocked category requests in order to identify potentially malicious activity.</w:t>
      </w:r>
    </w:p>
    <w:p>
      <w:pPr>
        <w:pStyle w:val="Normal"/>
        <w:rPr/>
      </w:pPr>
      <w:r>
        <w:rPr/>
      </w:r>
    </w:p>
    <w:p>
      <w:pPr>
        <w:pStyle w:val="Normal"/>
        <w:rPr/>
      </w:pPr>
      <w:r>
        <w:rPr>
          <w:u w:val="single"/>
        </w:rPr>
        <w:t>Guidelines</w:t>
      </w:r>
      <w:r>
        <w:rPr/>
        <w:t>: None</w:t>
      </w:r>
    </w:p>
    <w:p>
      <w:pPr>
        <w:pStyle w:val="Normal"/>
        <w:rPr/>
      </w:pPr>
      <w:r>
        <w:rPr/>
      </w:r>
    </w:p>
    <w:p>
      <w:pPr>
        <w:pStyle w:val="Heading3"/>
        <w:rPr/>
      </w:pPr>
      <w:bookmarkStart w:id="445" w:name="_Toc474074883"/>
      <w:bookmarkStart w:id="446" w:name="_Toc34920650"/>
      <w:r>
        <w:rPr/>
        <w:t>MON-01(j): Continuous Monitoring | Deactivated Account Activity</w:t>
      </w:r>
      <w:bookmarkEnd w:id="445"/>
      <w:bookmarkEnd w:id="446"/>
      <w:r>
        <w:rPr/>
        <w:t xml:space="preserve"> </w:t>
      </w:r>
    </w:p>
    <w:p>
      <w:pPr>
        <w:pStyle w:val="Normal"/>
        <w:rPr/>
      </w:pPr>
      <w:r>
        <w:rPr>
          <w:u w:val="single"/>
        </w:rPr>
        <w:t>Control Objective</w:t>
      </w:r>
      <w:r>
        <w:rPr/>
        <w:t>: The organization monitors for the attempted usage of deactivated accounts.</w:t>
      </w:r>
      <w:r>
        <w:rPr>
          <w:rStyle w:val="FootnoteCharacters"/>
        </w:rPr>
        <w:t xml:space="preserve"> </w:t>
      </w:r>
    </w:p>
    <w:p>
      <w:pPr>
        <w:pStyle w:val="Normal"/>
        <w:rPr/>
      </w:pPr>
      <w:r>
        <w:rPr/>
      </w:r>
    </w:p>
    <w:p>
      <w:pPr>
        <w:pStyle w:val="Normal"/>
        <w:rPr/>
      </w:pPr>
      <w:r>
        <w:rPr>
          <w:u w:val="single"/>
        </w:rPr>
        <w:t>Standard</w:t>
      </w:r>
      <w:r>
        <w:rPr/>
        <w:t>: Where technically feasible, NFCC requires the attempted usage of deactivated accounts to:</w:t>
      </w:r>
    </w:p>
    <w:p>
      <w:pPr>
        <w:pStyle w:val="ListParagraph"/>
        <w:numPr>
          <w:ilvl w:val="0"/>
          <w:numId w:val="274"/>
        </w:numPr>
        <w:rPr/>
      </w:pPr>
      <w:r>
        <w:rPr/>
        <w:t>Generate an alert; and</w:t>
      </w:r>
    </w:p>
    <w:p>
      <w:pPr>
        <w:pStyle w:val="ListParagraph"/>
        <w:numPr>
          <w:ilvl w:val="0"/>
          <w:numId w:val="274"/>
        </w:numPr>
        <w:rPr/>
      </w:pPr>
      <w:r>
        <w:rPr/>
        <w:t>Be investigated as a potential security incident.</w:t>
      </w:r>
    </w:p>
    <w:p>
      <w:pPr>
        <w:pStyle w:val="Normal"/>
        <w:rPr/>
      </w:pPr>
      <w:r>
        <w:rPr/>
      </w:r>
    </w:p>
    <w:p>
      <w:pPr>
        <w:pStyle w:val="Normal"/>
        <w:rPr/>
      </w:pPr>
      <w:r>
        <w:rPr>
          <w:u w:val="single"/>
        </w:rPr>
        <w:t>Guidelines</w:t>
      </w:r>
      <w:r>
        <w:rPr/>
        <w:t>: None</w:t>
      </w:r>
    </w:p>
    <w:p>
      <w:pPr>
        <w:pStyle w:val="Normal"/>
        <w:rPr/>
      </w:pPr>
      <w:r>
        <w:rPr/>
      </w:r>
    </w:p>
    <w:p>
      <w:pPr>
        <w:pStyle w:val="Heading3"/>
        <w:rPr/>
      </w:pPr>
      <w:bookmarkStart w:id="447" w:name="_Toc23242225"/>
      <w:bookmarkStart w:id="448" w:name="_Toc34920651"/>
      <w:r>
        <w:rPr/>
        <w:t>MON-01(k): Continuous Monitoring | Automated Response To Suspicious Events</w:t>
      </w:r>
      <w:bookmarkEnd w:id="447"/>
      <w:bookmarkEnd w:id="448"/>
      <w:r>
        <w:rPr/>
        <w:t xml:space="preserve"> </w:t>
      </w:r>
    </w:p>
    <w:p>
      <w:pPr>
        <w:pStyle w:val="Normal"/>
        <w:rPr>
          <w:rFonts w:cs="Calibri"/>
        </w:rPr>
      </w:pPr>
      <w:r>
        <w:rPr>
          <w:rFonts w:cs="Calibri"/>
          <w:u w:val="single"/>
        </w:rPr>
        <w:t>Control Objective</w:t>
      </w:r>
      <w:r>
        <w:rPr>
          <w:rFonts w:cs="Calibri"/>
        </w:rPr>
        <w:t>: The information system notifies organization-defined incident response personnel (identified by name and/or by role)] of detected suspicious events and takes organization-defined least-disruptive actions to terminate suspicious events.</w:t>
      </w:r>
      <w:r>
        <w:rPr>
          <w:rStyle w:val="FootnoteCharacters"/>
          <w:rFonts w:cs="Calibri"/>
        </w:rPr>
        <w:t xml:space="preserve"> </w:t>
      </w:r>
      <w:r>
        <w:rPr>
          <w:rStyle w:val="FootnoteAnchor"/>
          <w:rStyle w:val="FootnoteAnchor"/>
          <w:rFonts w:cs="Calibri"/>
        </w:rPr>
        <w:footnoteReference w:id="139"/>
      </w:r>
    </w:p>
    <w:p>
      <w:pPr>
        <w:pStyle w:val="Normal"/>
        <w:rPr>
          <w:rFonts w:cs="Calibri"/>
        </w:rPr>
      </w:pPr>
      <w:r>
        <w:rPr>
          <w:rFonts w:cs="Calibri"/>
        </w:rPr>
      </w:r>
    </w:p>
    <w:p>
      <w:pPr>
        <w:pStyle w:val="Normal"/>
        <w:rPr>
          <w:rFonts w:cs="Calibri"/>
          <w:bCs w:val="false"/>
        </w:rPr>
      </w:pPr>
      <w:r>
        <w:rPr>
          <w:rFonts w:cs="Calibri"/>
          <w:bCs w:val="false"/>
          <w:u w:val="single"/>
        </w:rPr>
        <w:t>Standard</w:t>
      </w:r>
      <w:r>
        <w:rPr>
          <w:rFonts w:cs="Calibri"/>
          <w:bCs w:val="false"/>
        </w:rPr>
        <w:t xml:space="preserve">: </w:t>
      </w:r>
      <w:r>
        <w:rPr>
          <w:rFonts w:cs="Calibri"/>
        </w:rPr>
        <w:t xml:space="preserve">NFCC’s Security Information Event Manager (SIEM), or similar technology, must be configured to automatically alert designated incident responders upon the detection of </w:t>
      </w:r>
      <w:r>
        <w:rPr>
          <w:rFonts w:cs="Calibri"/>
          <w:bCs w:val="false"/>
        </w:rPr>
        <w:t xml:space="preserve">inappropriate or unusual activities with security implications that affect </w:t>
      </w:r>
      <w:r>
        <w:rPr>
          <w:rFonts w:cs="Calibri"/>
        </w:rPr>
        <w:t>critical assets or sensitive data.</w:t>
      </w:r>
    </w:p>
    <w:p>
      <w:pPr>
        <w:pStyle w:val="Normal"/>
        <w:rPr>
          <w:rFonts w:cs="Calibri"/>
        </w:rPr>
      </w:pPr>
      <w:r>
        <w:rPr>
          <w:rFonts w:cs="Calibri"/>
        </w:rPr>
      </w:r>
    </w:p>
    <w:p>
      <w:pPr>
        <w:pStyle w:val="Normal"/>
        <w:rPr>
          <w:rFonts w:cs="Calibri"/>
        </w:rPr>
      </w:pPr>
      <w:r>
        <w:rPr>
          <w:rFonts w:cs="Calibri"/>
          <w:u w:val="single"/>
        </w:rPr>
        <w:t>Guidelines</w:t>
      </w:r>
      <w:r>
        <w:rPr>
          <w:rFonts w:cs="Calibri"/>
        </w:rPr>
        <w:t>: Least-disruptive actions may include, for example, initiating requests for human responses.</w:t>
      </w:r>
    </w:p>
    <w:p>
      <w:pPr>
        <w:pStyle w:val="Normal"/>
        <w:rPr/>
      </w:pPr>
      <w:r>
        <w:rPr/>
      </w:r>
    </w:p>
    <w:p>
      <w:pPr>
        <w:pStyle w:val="Heading3"/>
        <w:rPr/>
      </w:pPr>
      <w:bookmarkStart w:id="449" w:name="_Toc23242227"/>
      <w:bookmarkStart w:id="450" w:name="_Toc34920652"/>
      <w:r>
        <w:rPr/>
        <w:t>MON-01(l): Continuous Monitoring | Automated Alerts</w:t>
      </w:r>
      <w:bookmarkEnd w:id="449"/>
      <w:bookmarkEnd w:id="450"/>
      <w:r>
        <w:rPr/>
        <w:t xml:space="preserve"> </w:t>
      </w:r>
    </w:p>
    <w:p>
      <w:pPr>
        <w:pStyle w:val="Normal"/>
        <w:rPr>
          <w:rFonts w:cs="Calibri"/>
          <w:bCs w:val="false"/>
        </w:rPr>
      </w:pPr>
      <w:r>
        <w:rPr>
          <w:rFonts w:cs="Calibri"/>
          <w:u w:val="single"/>
        </w:rPr>
        <w:t>Control Objective</w:t>
      </w:r>
      <w:r>
        <w:rPr>
          <w:rFonts w:cs="Calibri"/>
        </w:rPr>
        <w:t>:</w:t>
      </w:r>
      <w:r>
        <w:rPr>
          <w:rFonts w:cs="Calibri"/>
          <w:bCs w:val="false"/>
        </w:rPr>
        <w:t xml:space="preserve"> The organization employs automated mechanisms to alert security personnel of the following inappropriate or unusual activities with security implications by an organization-defined activities that trigger alerts.</w:t>
      </w:r>
      <w:r>
        <w:rPr>
          <w:rStyle w:val="FootnoteCharacters"/>
          <w:rFonts w:cs="Calibri"/>
        </w:rPr>
        <w:t xml:space="preserve"> </w:t>
      </w:r>
      <w:r>
        <w:rPr>
          <w:rStyle w:val="FootnoteAnchor"/>
          <w:rStyle w:val="FootnoteAnchor"/>
          <w:rFonts w:cs="Calibri"/>
        </w:rPr>
        <w:footnoteReference w:id="140"/>
      </w:r>
    </w:p>
    <w:p>
      <w:pPr>
        <w:pStyle w:val="Normal"/>
        <w:rPr>
          <w:rFonts w:cs="Calibri"/>
          <w:bCs w:val="false"/>
          <w:u w:val="single"/>
        </w:rPr>
      </w:pPr>
      <w:r>
        <w:rPr>
          <w:rFonts w:cs="Calibri"/>
          <w:bCs w:val="false"/>
          <w:u w:val="single"/>
        </w:rPr>
      </w:r>
    </w:p>
    <w:p>
      <w:pPr>
        <w:pStyle w:val="Normal"/>
        <w:rPr>
          <w:rFonts w:cs="Calibri"/>
          <w:bCs w:val="false"/>
        </w:rPr>
      </w:pPr>
      <w:r>
        <w:rPr>
          <w:rFonts w:cs="Calibri"/>
          <w:bCs w:val="false"/>
          <w:u w:val="single"/>
        </w:rPr>
        <w:t>Standard</w:t>
      </w:r>
      <w:r>
        <w:rPr>
          <w:rFonts w:cs="Calibri"/>
          <w:bCs w:val="false"/>
        </w:rPr>
        <w:t xml:space="preserve">: </w:t>
      </w:r>
      <w:r>
        <w:rPr>
          <w:rFonts w:cs="Calibri"/>
        </w:rPr>
        <w:t xml:space="preserve">NFCC’s Security Information Event Manager (SIEM), or similar technology, must be configured to automatically alert designated incident responders upon the detection of </w:t>
      </w:r>
      <w:r>
        <w:rPr>
          <w:rFonts w:cs="Calibri"/>
          <w:bCs w:val="false"/>
        </w:rPr>
        <w:t xml:space="preserve">inappropriate or unusual activities with security implications that affect </w:t>
      </w:r>
      <w:r>
        <w:rPr>
          <w:rFonts w:cs="Calibri"/>
        </w:rPr>
        <w:t>critical assets or sensitive data.</w:t>
      </w:r>
    </w:p>
    <w:p>
      <w:pPr>
        <w:pStyle w:val="Normal"/>
        <w:rPr>
          <w:rFonts w:cs="Calibri"/>
        </w:rPr>
      </w:pPr>
      <w:r>
        <w:rPr>
          <w:rFonts w:cs="Calibri"/>
        </w:rPr>
      </w:r>
    </w:p>
    <w:p>
      <w:pPr>
        <w:pStyle w:val="Normal"/>
        <w:rPr>
          <w:rFonts w:cs="Calibri"/>
        </w:rPr>
      </w:pPr>
      <w:r>
        <w:rPr>
          <w:rFonts w:cs="Calibri"/>
          <w:u w:val="single"/>
        </w:rPr>
        <w:t>Guidelines</w:t>
      </w:r>
      <w:r>
        <w:rPr>
          <w:rFonts w:cs="Calibri"/>
        </w:rPr>
        <w:t xml:space="preserve">: </w:t>
      </w:r>
      <w:r>
        <w:rPr>
          <w:rFonts w:cs="Calibri"/>
          <w:bCs w:val="false"/>
        </w:rPr>
        <w:t>This control enhancement focuses on the security alerts generated by organizations and transmitted using automated means. In contrast to the alerts generated by information systems in SI-4 (5), which tend to focus on information sources internal to the systems (e.g., audit records), the sources of information for this enhancement can include other entities as well (e.g., suspicious activity reports, reports on potential insider threats).</w:t>
      </w:r>
    </w:p>
    <w:p>
      <w:pPr>
        <w:pStyle w:val="Normal"/>
        <w:rPr>
          <w:rFonts w:cs="Calibri"/>
        </w:rPr>
      </w:pPr>
      <w:r>
        <w:rPr>
          <w:rFonts w:cs="Calibri"/>
        </w:rPr>
      </w:r>
    </w:p>
    <w:p>
      <w:pPr>
        <w:pStyle w:val="Heading3"/>
        <w:rPr/>
      </w:pPr>
      <w:bookmarkStart w:id="451" w:name="_Toc23242228"/>
      <w:bookmarkStart w:id="452" w:name="_Toc34920653"/>
      <w:r>
        <w:rPr/>
        <w:t>MON-01(m): Continuous Monitoring | Analyze Traffic / Event Patterns</w:t>
      </w:r>
      <w:bookmarkEnd w:id="451"/>
      <w:bookmarkEnd w:id="452"/>
      <w:r>
        <w:rPr/>
        <w:t xml:space="preserve"> </w:t>
      </w:r>
    </w:p>
    <w:p>
      <w:pPr>
        <w:pStyle w:val="Normal"/>
        <w:rPr/>
      </w:pPr>
      <w:r>
        <w:rPr>
          <w:u w:val="single"/>
        </w:rPr>
        <w:t>Control Objective</w:t>
      </w:r>
      <w:r>
        <w:rPr/>
        <w:t>: The organization:</w:t>
      </w:r>
      <w:r>
        <w:rPr>
          <w:rStyle w:val="FootnoteCharacters"/>
          <w:rFonts w:cs="Calibri"/>
        </w:rPr>
        <w:t xml:space="preserve"> </w:t>
      </w:r>
      <w:r>
        <w:rPr>
          <w:rStyle w:val="FootnoteAnchor"/>
          <w:rStyle w:val="FootnoteAnchor"/>
          <w:rFonts w:cs="Calibri"/>
        </w:rPr>
        <w:footnoteReference w:id="141"/>
      </w:r>
    </w:p>
    <w:p>
      <w:pPr>
        <w:pStyle w:val="ListParagraph"/>
        <w:numPr>
          <w:ilvl w:val="0"/>
          <w:numId w:val="646"/>
        </w:numPr>
        <w:rPr/>
      </w:pPr>
      <w:r>
        <w:rPr/>
        <w:t>Analyzes communications traffic/event patterns for the information system;</w:t>
      </w:r>
    </w:p>
    <w:p>
      <w:pPr>
        <w:pStyle w:val="ListParagraph"/>
        <w:numPr>
          <w:ilvl w:val="0"/>
          <w:numId w:val="646"/>
        </w:numPr>
        <w:rPr/>
      </w:pPr>
      <w:r>
        <w:rPr/>
        <w:t>Develops profiles representing common traffic patterns and/or events; and</w:t>
      </w:r>
    </w:p>
    <w:p>
      <w:pPr>
        <w:pStyle w:val="ListParagraph"/>
        <w:numPr>
          <w:ilvl w:val="0"/>
          <w:numId w:val="646"/>
        </w:numPr>
        <w:rPr/>
      </w:pPr>
      <w:r>
        <w:rPr/>
        <w:t>Uses the traffic/event profiles in tuning system-monitoring devices to reduce the number of false positives and the number of false negatives.</w:t>
      </w:r>
    </w:p>
    <w:p>
      <w:pPr>
        <w:pStyle w:val="Normal"/>
        <w:rPr>
          <w:rFonts w:cs="Calibri"/>
        </w:rPr>
      </w:pPr>
      <w:r>
        <w:rPr>
          <w:rFonts w:cs="Calibri"/>
        </w:rPr>
      </w:r>
    </w:p>
    <w:p>
      <w:pPr>
        <w:pStyle w:val="Normal"/>
        <w:rPr>
          <w:rFonts w:cs="Calibri"/>
        </w:rPr>
      </w:pPr>
      <w:r>
        <w:rPr>
          <w:rFonts w:cs="Calibri"/>
          <w:bCs w:val="false"/>
          <w:u w:val="single"/>
        </w:rPr>
        <w:t>Standard</w:t>
      </w:r>
      <w:r>
        <w:rPr>
          <w:rFonts w:cs="Calibri"/>
          <w:bCs w:val="false"/>
        </w:rPr>
        <w:t xml:space="preserve">: </w:t>
      </w:r>
      <w:r>
        <w:rPr>
          <w:rFonts w:cs="Calibri"/>
        </w:rPr>
        <w:t>NFCC’s Security Information Event Manager (SIEM), or similar technology, must be configured to according to vendor and industry-recognized secure practices to:</w:t>
      </w:r>
    </w:p>
    <w:p>
      <w:pPr>
        <w:pStyle w:val="ListParagraph"/>
        <w:numPr>
          <w:ilvl w:val="0"/>
          <w:numId w:val="647"/>
        </w:numPr>
        <w:rPr/>
      </w:pPr>
      <w:r>
        <w:rPr/>
        <w:t>Analyze communications traffic/event patterns for the information system;</w:t>
      </w:r>
    </w:p>
    <w:p>
      <w:pPr>
        <w:pStyle w:val="ListParagraph"/>
        <w:numPr>
          <w:ilvl w:val="0"/>
          <w:numId w:val="647"/>
        </w:numPr>
        <w:rPr/>
      </w:pPr>
      <w:r>
        <w:rPr/>
        <w:t>Develop profiles representing common traffic patterns and/or events; and</w:t>
      </w:r>
    </w:p>
    <w:p>
      <w:pPr>
        <w:pStyle w:val="ListParagraph"/>
        <w:numPr>
          <w:ilvl w:val="0"/>
          <w:numId w:val="647"/>
        </w:numPr>
        <w:rPr/>
      </w:pPr>
      <w:r>
        <w:rPr/>
        <w:t>Use the traffic/event profiles in tuning system-monitoring devices to reduce the number of false positives and the number of false negatives.</w:t>
      </w:r>
    </w:p>
    <w:p>
      <w:pPr>
        <w:pStyle w:val="Normal"/>
        <w:rPr>
          <w:rFonts w:cs="Calibri"/>
        </w:rPr>
      </w:pPr>
      <w:r>
        <w:rPr>
          <w:rFonts w:cs="Calibri"/>
        </w:rPr>
      </w:r>
    </w:p>
    <w:p>
      <w:pPr>
        <w:pStyle w:val="Normal"/>
        <w:rPr>
          <w:rFonts w:cs="Calibri"/>
        </w:rPr>
      </w:pPr>
      <w:r>
        <w:rPr>
          <w:rFonts w:cs="Calibri"/>
          <w:u w:val="single"/>
        </w:rPr>
        <w:t>Guidelines</w:t>
      </w:r>
      <w:r>
        <w:rPr>
          <w:rFonts w:cs="Calibri"/>
        </w:rPr>
        <w:t>: None</w:t>
      </w:r>
    </w:p>
    <w:p>
      <w:pPr>
        <w:pStyle w:val="Normal"/>
        <w:rPr/>
      </w:pPr>
      <w:r>
        <w:rPr/>
      </w:r>
    </w:p>
    <w:p>
      <w:pPr>
        <w:pStyle w:val="Heading3"/>
        <w:rPr/>
      </w:pPr>
      <w:bookmarkStart w:id="453" w:name="_Toc23242233"/>
      <w:bookmarkStart w:id="454" w:name="_Toc34920654"/>
      <w:r>
        <w:rPr/>
        <w:t>MON-01(n): Continuous Monitoring | Individuals Posing Greater Risk</w:t>
      </w:r>
      <w:bookmarkEnd w:id="453"/>
      <w:bookmarkEnd w:id="454"/>
      <w:r>
        <w:rPr/>
        <w:t xml:space="preserve"> </w:t>
      </w:r>
    </w:p>
    <w:p>
      <w:pPr>
        <w:pStyle w:val="Normal"/>
        <w:rPr/>
      </w:pPr>
      <w:r>
        <w:rPr>
          <w:rFonts w:cs="Calibri"/>
          <w:u w:val="single"/>
        </w:rPr>
        <w:t>Control Objective</w:t>
      </w:r>
      <w:r>
        <w:rPr>
          <w:rFonts w:cs="Calibri"/>
        </w:rPr>
        <w:t xml:space="preserve">: </w:t>
      </w:r>
      <w:r>
        <w:rPr/>
        <w:t>The organization implements organization-defined additional monitoring of individuals who have been identified by organization-defined sources as posing an increased level of risk.</w:t>
      </w:r>
      <w:r>
        <w:rPr>
          <w:rStyle w:val="FootnoteCharacters"/>
          <w:rFonts w:cs="Calibri"/>
        </w:rPr>
        <w:t xml:space="preserve"> </w:t>
      </w:r>
      <w:r>
        <w:rPr>
          <w:rStyle w:val="FootnoteAnchor"/>
          <w:rStyle w:val="FootnoteAnchor"/>
          <w:rFonts w:cs="Calibri"/>
        </w:rPr>
        <w:footnoteReference w:id="142"/>
      </w:r>
    </w:p>
    <w:p>
      <w:pPr>
        <w:pStyle w:val="Normal"/>
        <w:rPr>
          <w:rFonts w:cs="Calibri"/>
        </w:rPr>
      </w:pPr>
      <w:r>
        <w:rPr>
          <w:rFonts w:cs="Calibri"/>
        </w:rPr>
      </w:r>
    </w:p>
    <w:p>
      <w:pPr>
        <w:pStyle w:val="Normal"/>
        <w:rPr>
          <w:rFonts w:cs="Calibri"/>
        </w:rPr>
      </w:pPr>
      <w:r>
        <w:rPr>
          <w:rFonts w:cs="Calibri"/>
          <w:bCs w:val="false"/>
          <w:u w:val="single"/>
        </w:rPr>
        <w:t>Standard</w:t>
      </w:r>
      <w:r>
        <w:rPr>
          <w:rFonts w:cs="Calibri"/>
          <w:bCs w:val="false"/>
        </w:rPr>
        <w:t>:</w:t>
      </w:r>
      <w:r>
        <w:rPr>
          <w:rFonts w:cs="Calibri"/>
        </w:rPr>
        <w:t xml:space="preserve"> NFCC requires both Human Resources (HR) and Legal representatives to approve and oversee enhanced monitoring for specific individuals, who are deemed to pose an increased level of risk:</w:t>
      </w:r>
    </w:p>
    <w:p>
      <w:pPr>
        <w:pStyle w:val="ListParagraph"/>
        <w:numPr>
          <w:ilvl w:val="0"/>
          <w:numId w:val="649"/>
        </w:numPr>
        <w:rPr>
          <w:rFonts w:cs="Calibri"/>
        </w:rPr>
      </w:pPr>
      <w:r>
        <w:rPr>
          <w:rFonts w:cs="Calibri"/>
        </w:rPr>
        <w:t>Monitoring must have a valid business and legal reason; and</w:t>
      </w:r>
    </w:p>
    <w:p>
      <w:pPr>
        <w:pStyle w:val="ListParagraph"/>
        <w:numPr>
          <w:ilvl w:val="0"/>
          <w:numId w:val="649"/>
        </w:numPr>
        <w:rPr>
          <w:rFonts w:cs="Calibri"/>
        </w:rPr>
      </w:pPr>
      <w:r>
        <w:rPr>
          <w:rFonts w:cs="Calibri"/>
        </w:rPr>
        <w:t>All monitoring and personnel actions, based on monitoring, must be in accordance with applicable laws and regulations.</w:t>
      </w:r>
    </w:p>
    <w:p>
      <w:pPr>
        <w:pStyle w:val="Normal"/>
        <w:rPr>
          <w:rFonts w:cs="Calibri"/>
        </w:rPr>
      </w:pPr>
      <w:r>
        <w:rPr>
          <w:rFonts w:cs="Calibri"/>
        </w:rPr>
      </w:r>
    </w:p>
    <w:p>
      <w:pPr>
        <w:pStyle w:val="Normal"/>
        <w:rPr>
          <w:rFonts w:cs="Calibri"/>
        </w:rPr>
      </w:pPr>
      <w:r>
        <w:rPr>
          <w:rFonts w:cs="Calibri"/>
          <w:u w:val="single"/>
        </w:rPr>
        <w:t>Guidelines</w:t>
      </w:r>
      <w:r>
        <w:rPr>
          <w:rFonts w:cs="Calibri"/>
        </w:rPr>
        <w:t xml:space="preserve">: </w:t>
      </w:r>
      <w:r>
        <w:rPr/>
        <w:t>Indications of increased risk from individuals can be obtained from a variety of sources including, for example, human resource records, intelligence agencies, law enforcement organizations, and/or other credible sources. The monitoring of individuals is closely coordinated with management, legal, security and human resources officials within organizations conducting such monitoring and complies with federal legislation, Executive Orders, policies, directives, regulations and standards.</w:t>
      </w:r>
    </w:p>
    <w:p>
      <w:pPr>
        <w:pStyle w:val="Normal"/>
        <w:rPr>
          <w:rFonts w:cs="Calibri"/>
        </w:rPr>
      </w:pPr>
      <w:r>
        <w:rPr>
          <w:rFonts w:cs="Calibri"/>
        </w:rPr>
      </w:r>
    </w:p>
    <w:p>
      <w:pPr>
        <w:pStyle w:val="Heading3"/>
        <w:rPr/>
      </w:pPr>
      <w:bookmarkStart w:id="455" w:name="_Toc23242234"/>
      <w:bookmarkStart w:id="456" w:name="_Toc34920655"/>
      <w:r>
        <w:rPr/>
        <w:t>MON-01(o): Continuous Monitoring | Privileged User Oversight</w:t>
      </w:r>
      <w:bookmarkEnd w:id="455"/>
      <w:bookmarkEnd w:id="456"/>
      <w:r>
        <w:rPr/>
        <w:t xml:space="preserve"> </w:t>
      </w:r>
    </w:p>
    <w:p>
      <w:pPr>
        <w:pStyle w:val="Normal"/>
        <w:rPr/>
      </w:pPr>
      <w:r>
        <w:rPr>
          <w:rFonts w:cs="Calibri"/>
          <w:u w:val="single"/>
        </w:rPr>
        <w:t>Control Objective</w:t>
      </w:r>
      <w:r>
        <w:rPr>
          <w:rFonts w:cs="Calibri"/>
        </w:rPr>
        <w:t xml:space="preserve">: </w:t>
      </w:r>
      <w:r>
        <w:rPr/>
        <w:t>The organization implements organization-defined additional monitoring of privileged users.</w:t>
      </w:r>
      <w:r>
        <w:rPr>
          <w:rStyle w:val="FootnoteCharacters"/>
          <w:rFonts w:cs="Calibri"/>
        </w:rPr>
        <w:t xml:space="preserve"> </w:t>
      </w:r>
      <w:r>
        <w:rPr>
          <w:rStyle w:val="FootnoteAnchor"/>
          <w:rStyle w:val="FootnoteAnchor"/>
          <w:rFonts w:cs="Calibri"/>
        </w:rPr>
        <w:footnoteReference w:id="143"/>
      </w:r>
    </w:p>
    <w:p>
      <w:pPr>
        <w:pStyle w:val="Normal"/>
        <w:rPr>
          <w:rFonts w:cs="Calibri"/>
        </w:rPr>
      </w:pPr>
      <w:r>
        <w:rPr>
          <w:rFonts w:cs="Calibri"/>
        </w:rPr>
      </w:r>
    </w:p>
    <w:p>
      <w:pPr>
        <w:pStyle w:val="Normal"/>
        <w:rPr>
          <w:rFonts w:cs="Calibri"/>
        </w:rPr>
      </w:pPr>
      <w:r>
        <w:rPr>
          <w:rFonts w:cs="Calibri"/>
          <w:bCs w:val="false"/>
          <w:u w:val="single"/>
        </w:rPr>
        <w:t>Standard</w:t>
      </w:r>
      <w:r>
        <w:rPr>
          <w:rFonts w:cs="Calibri"/>
          <w:bCs w:val="false"/>
        </w:rPr>
        <w:t>:</w:t>
      </w:r>
      <w:r>
        <w:rPr>
          <w:rFonts w:cs="Calibri"/>
        </w:rPr>
        <w:t xml:space="preserve"> NFCC requires both Human Resources (HR) and Legal representatives to:</w:t>
      </w:r>
    </w:p>
    <w:p>
      <w:pPr>
        <w:pStyle w:val="ListParagraph"/>
        <w:numPr>
          <w:ilvl w:val="0"/>
          <w:numId w:val="650"/>
        </w:numPr>
        <w:rPr>
          <w:rFonts w:cs="Calibri"/>
        </w:rPr>
      </w:pPr>
      <w:r>
        <w:rPr>
          <w:rFonts w:cs="Calibri"/>
        </w:rPr>
        <w:t>Approve and oversee enhanced monitoring for privileged users; and</w:t>
      </w:r>
    </w:p>
    <w:p>
      <w:pPr>
        <w:pStyle w:val="ListParagraph"/>
        <w:numPr>
          <w:ilvl w:val="0"/>
          <w:numId w:val="650"/>
        </w:numPr>
        <w:rPr>
          <w:rFonts w:cs="Calibri"/>
        </w:rPr>
      </w:pPr>
      <w:r>
        <w:rPr>
          <w:rFonts w:cs="Calibri"/>
        </w:rPr>
        <w:t>Conduct all monitoring and personnel actions, based on monitoring, in accordance with applicable laws and regulations.</w:t>
      </w:r>
    </w:p>
    <w:p>
      <w:pPr>
        <w:pStyle w:val="Normal"/>
        <w:rPr>
          <w:rFonts w:cs="Calibri"/>
        </w:rPr>
      </w:pPr>
      <w:r>
        <w:rPr>
          <w:rFonts w:cs="Calibri"/>
        </w:rPr>
      </w:r>
    </w:p>
    <w:p>
      <w:pPr>
        <w:pStyle w:val="Normal"/>
        <w:rPr>
          <w:rFonts w:cs="Calibri"/>
        </w:rPr>
      </w:pPr>
      <w:r>
        <w:rPr>
          <w:rFonts w:cs="Calibri"/>
          <w:u w:val="single"/>
        </w:rPr>
        <w:t>Guidelines</w:t>
      </w:r>
      <w:r>
        <w:rPr>
          <w:rFonts w:cs="Calibri"/>
        </w:rPr>
        <w:t>: None</w:t>
      </w:r>
    </w:p>
    <w:p>
      <w:pPr>
        <w:pStyle w:val="Normal"/>
        <w:rPr/>
      </w:pPr>
      <w:r>
        <w:rPr/>
      </w:r>
    </w:p>
    <w:p>
      <w:pPr>
        <w:pStyle w:val="Heading3"/>
        <w:rPr/>
      </w:pPr>
      <w:bookmarkStart w:id="457" w:name="_Toc34920656"/>
      <w:r>
        <w:rPr/>
        <w:t>MON-01(p): Continuous Monitoring | Analyze &amp; Prioritize Monitoring Requirements</w:t>
      </w:r>
      <w:bookmarkEnd w:id="457"/>
      <w:r>
        <w:rPr/>
        <w:t xml:space="preserve"> </w:t>
      </w:r>
    </w:p>
    <w:p>
      <w:pPr>
        <w:pStyle w:val="Normal"/>
        <w:rPr/>
      </w:pPr>
      <w:r>
        <w:rPr>
          <w:u w:val="single"/>
        </w:rPr>
        <w:t>Control Objective</w:t>
      </w:r>
      <w:r>
        <w:rPr/>
        <w:t>: The organization:</w:t>
      </w:r>
    </w:p>
    <w:p>
      <w:pPr>
        <w:pStyle w:val="ListParagraph"/>
        <w:numPr>
          <w:ilvl w:val="0"/>
          <w:numId w:val="666"/>
        </w:numPr>
        <w:rPr/>
      </w:pPr>
      <w:r>
        <w:rPr/>
        <w:t>Analyzes its environment to determine what should and can be monitored; and</w:t>
      </w:r>
    </w:p>
    <w:p>
      <w:pPr>
        <w:pStyle w:val="ListParagraph"/>
        <w:numPr>
          <w:ilvl w:val="0"/>
          <w:numId w:val="666"/>
        </w:numPr>
        <w:rPr/>
      </w:pPr>
      <w:r>
        <w:rPr/>
        <w:t>Prioritizes the monitoring of assets, based on the criticality of the asset and the sensitivity of the data it stores, transmits and processes.</w:t>
      </w:r>
    </w:p>
    <w:p>
      <w:pPr>
        <w:pStyle w:val="Normal"/>
        <w:rPr/>
      </w:pPr>
      <w:r>
        <w:rPr/>
      </w:r>
    </w:p>
    <w:p>
      <w:pPr>
        <w:pStyle w:val="Normal"/>
        <w:rPr/>
      </w:pPr>
      <w:r>
        <w:rPr>
          <w:u w:val="single"/>
        </w:rPr>
        <w:t>Standard</w:t>
      </w:r>
      <w:r>
        <w:rPr/>
        <w:t>: NFCC IT department is required to:</w:t>
      </w:r>
    </w:p>
    <w:p>
      <w:pPr>
        <w:pStyle w:val="ListParagraph"/>
        <w:numPr>
          <w:ilvl w:val="0"/>
          <w:numId w:val="667"/>
        </w:numPr>
        <w:rPr/>
      </w:pPr>
      <w:r>
        <w:rPr/>
        <w:t>Perform an annual assessment of its monitoring activities that covers:</w:t>
      </w:r>
    </w:p>
    <w:p>
      <w:pPr>
        <w:pStyle w:val="ListParagraph"/>
        <w:numPr>
          <w:ilvl w:val="1"/>
          <w:numId w:val="667"/>
        </w:numPr>
        <w:rPr/>
      </w:pPr>
      <w:r>
        <w:rPr/>
        <w:t>The scope of the current monitoring activities;</w:t>
      </w:r>
    </w:p>
    <w:p>
      <w:pPr>
        <w:pStyle w:val="ListParagraph"/>
        <w:numPr>
          <w:ilvl w:val="1"/>
          <w:numId w:val="667"/>
        </w:numPr>
        <w:rPr/>
      </w:pPr>
      <w:r>
        <w:rPr/>
        <w:t xml:space="preserve">Potential new infrastructure needs; </w:t>
      </w:r>
    </w:p>
    <w:p>
      <w:pPr>
        <w:pStyle w:val="ListParagraph"/>
        <w:numPr>
          <w:ilvl w:val="1"/>
          <w:numId w:val="667"/>
        </w:numPr>
        <w:rPr/>
      </w:pPr>
      <w:r>
        <w:rPr/>
        <w:t xml:space="preserve">Potential new resources;  </w:t>
      </w:r>
    </w:p>
    <w:p>
      <w:pPr>
        <w:pStyle w:val="ListParagraph"/>
        <w:numPr>
          <w:ilvl w:val="1"/>
          <w:numId w:val="667"/>
        </w:numPr>
        <w:rPr/>
      </w:pPr>
      <w:r>
        <w:rPr/>
        <w:t xml:space="preserve">Alternatives in case the primary means of monitoring is inoperable;  </w:t>
      </w:r>
    </w:p>
    <w:p>
      <w:pPr>
        <w:pStyle w:val="ListParagraph"/>
        <w:numPr>
          <w:ilvl w:val="1"/>
          <w:numId w:val="667"/>
        </w:numPr>
        <w:rPr/>
      </w:pPr>
      <w:r>
        <w:rPr/>
        <w:t>Requirements that cannot be met and the potential risk that results from the deficiency; and</w:t>
      </w:r>
    </w:p>
    <w:p>
      <w:pPr>
        <w:pStyle w:val="ListParagraph"/>
        <w:numPr>
          <w:ilvl w:val="1"/>
          <w:numId w:val="667"/>
        </w:numPr>
        <w:rPr/>
      </w:pPr>
      <w:r>
        <w:rPr/>
        <w:t>Third-party contracts or activities that impact situational awareness; and</w:t>
      </w:r>
    </w:p>
    <w:p>
      <w:pPr>
        <w:pStyle w:val="ListParagraph"/>
        <w:numPr>
          <w:ilvl w:val="0"/>
          <w:numId w:val="667"/>
        </w:numPr>
        <w:rPr/>
      </w:pPr>
      <w:r>
        <w:rPr/>
        <w:t>Prioritize the monitoring of assets, based on the criticality of the asset and the sensitivity of the data it stores, transmits and processes.</w:t>
      </w:r>
    </w:p>
    <w:p>
      <w:pPr>
        <w:pStyle w:val="Normal"/>
        <w:rPr/>
      </w:pPr>
      <w:r>
        <w:rPr/>
      </w:r>
    </w:p>
    <w:p>
      <w:pPr>
        <w:pStyle w:val="Normal"/>
        <w:rPr/>
      </w:pPr>
      <w:r>
        <w:rPr>
          <w:u w:val="single"/>
        </w:rPr>
        <w:t>Guidelines</w:t>
      </w:r>
      <w:r>
        <w:rPr/>
        <w:t>: Analysis may result in infrastructure and resource needs that the organization does not currently possess. This deficiency may require expenditures for:</w:t>
      </w:r>
    </w:p>
    <w:p>
      <w:pPr>
        <w:pStyle w:val="ListParagraph"/>
        <w:numPr>
          <w:ilvl w:val="0"/>
          <w:numId w:val="668"/>
        </w:numPr>
        <w:rPr/>
      </w:pPr>
      <w:r>
        <w:rPr/>
        <w:t>Outsourcing; or</w:t>
      </w:r>
    </w:p>
    <w:p>
      <w:pPr>
        <w:pStyle w:val="ListParagraph"/>
        <w:numPr>
          <w:ilvl w:val="0"/>
          <w:numId w:val="668"/>
        </w:numPr>
        <w:rPr/>
      </w:pPr>
      <w:r>
        <w:rPr/>
        <w:t>Resourcing the function appropriately (e.g., staffing and technologies).</w:t>
      </w:r>
    </w:p>
    <w:p>
      <w:pPr>
        <w:pStyle w:val="Normal"/>
        <w:rPr/>
      </w:pPr>
      <w:r>
        <w:rPr/>
      </w:r>
    </w:p>
    <w:p>
      <w:pPr>
        <w:pStyle w:val="Normal"/>
        <w:rPr/>
      </w:pPr>
      <w:r>
        <w:rPr/>
      </w:r>
    </w:p>
    <w:p>
      <w:pPr>
        <w:pStyle w:val="Heading2"/>
        <w:rPr/>
      </w:pPr>
      <w:bookmarkStart w:id="458" w:name="_Toc34920657"/>
      <w:bookmarkStart w:id="459" w:name="_Toc474074865"/>
      <w:bookmarkStart w:id="460" w:name="_Toc474075568"/>
      <w:r>
        <w:rPr/>
        <w:t>MON-02: Centralized Event Log Collection</w:t>
      </w:r>
      <w:bookmarkEnd w:id="458"/>
      <w:bookmarkEnd w:id="459"/>
      <w:bookmarkEnd w:id="460"/>
    </w:p>
    <w:p>
      <w:pPr>
        <w:pStyle w:val="Normal"/>
        <w:rPr/>
      </w:pPr>
      <w:r>
        <w:rPr>
          <w:u w:val="single"/>
        </w:rPr>
        <w:t>Control Objective</w:t>
      </w:r>
      <w:r>
        <w:rPr/>
        <w:t>: The organization:</w:t>
      </w:r>
      <w:r>
        <w:rPr>
          <w:rStyle w:val="FootnoteAnchor"/>
          <w:rStyle w:val="FootnoteAnchor"/>
          <w:rFonts w:cs="Calibri"/>
        </w:rPr>
        <w:footnoteReference w:id="144"/>
      </w:r>
      <w:r>
        <w:rPr/>
        <w:t xml:space="preserve"> </w:t>
      </w:r>
    </w:p>
    <w:p>
      <w:pPr>
        <w:pStyle w:val="ListParagraph"/>
        <w:numPr>
          <w:ilvl w:val="0"/>
          <w:numId w:val="72"/>
        </w:numPr>
        <w:rPr/>
      </w:pPr>
      <w:r>
        <w:rPr/>
        <w:t xml:space="preserve">Monitors events on systems in accordance with </w:t>
      </w:r>
      <w:r>
        <w:rPr>
          <w:iCs/>
        </w:rPr>
        <w:t>organization-defined monitoring objectives</w:t>
      </w:r>
      <w:r>
        <w:rPr/>
        <w:t xml:space="preserve"> and detects system attacks;</w:t>
      </w:r>
    </w:p>
    <w:p>
      <w:pPr>
        <w:pStyle w:val="ListParagraph"/>
        <w:numPr>
          <w:ilvl w:val="0"/>
          <w:numId w:val="72"/>
        </w:numPr>
        <w:rPr/>
      </w:pPr>
      <w:r>
        <w:rPr/>
        <w:t>Identifies unauthorized use of systems; and</w:t>
      </w:r>
    </w:p>
    <w:p>
      <w:pPr>
        <w:pStyle w:val="ListParagraph"/>
        <w:numPr>
          <w:ilvl w:val="0"/>
          <w:numId w:val="72"/>
        </w:numPr>
        <w:rPr>
          <w:b/>
          <w:b/>
        </w:rPr>
      </w:pPr>
      <w:r>
        <w:rPr/>
        <w:t>Heightens the level of system monitoring activity whenever there is an indication of increased risk to organizational operations and assets, individuals or other organizations, based on credible sources of information.</w:t>
      </w:r>
      <w:r>
        <w:rPr>
          <w:b/>
        </w:rPr>
        <w:t xml:space="preserve"> </w:t>
      </w:r>
    </w:p>
    <w:p>
      <w:pPr>
        <w:pStyle w:val="ListParagraph"/>
        <w:numPr>
          <w:ilvl w:val="0"/>
          <w:numId w:val="72"/>
        </w:numPr>
        <w:rPr>
          <w:b/>
          <w:b/>
        </w:rPr>
      </w:pPr>
      <w:r>
        <w:rPr/>
        <w:t>Determines, based on a risk assessment and mission / business needs, that the system must be capable of auditing events;</w:t>
      </w:r>
    </w:p>
    <w:p>
      <w:pPr>
        <w:pStyle w:val="ListParagraph"/>
        <w:numPr>
          <w:ilvl w:val="0"/>
          <w:numId w:val="91"/>
        </w:numPr>
        <w:rPr/>
      </w:pPr>
      <w:r>
        <w:rPr/>
        <w:t>Coordinates the security audit function with other organizational entities requiring audit-related information to enhance mutual support and to help guide the selection of auditable events; and</w:t>
      </w:r>
    </w:p>
    <w:p>
      <w:pPr>
        <w:pStyle w:val="ListParagraph"/>
        <w:numPr>
          <w:ilvl w:val="0"/>
          <w:numId w:val="91"/>
        </w:numPr>
        <w:rPr/>
      </w:pPr>
      <w:r>
        <w:rPr/>
        <w:t>Provides a rationale for why the list of auditable events is deemed to be adequate to support after-the-fact investigations of security incidents.</w:t>
      </w:r>
    </w:p>
    <w:p>
      <w:pPr>
        <w:pStyle w:val="Normal"/>
        <w:rPr/>
      </w:pPr>
      <w:r>
        <w:rPr/>
      </w:r>
    </w:p>
    <w:p>
      <w:pPr>
        <w:pStyle w:val="Normal"/>
        <w:rPr/>
      </w:pPr>
      <w:r>
        <w:rPr>
          <w:u w:val="single"/>
        </w:rPr>
        <w:t>Standard</w:t>
      </w:r>
      <w:r>
        <w:rPr/>
        <w:t>: Asset custodians are required to configure a</w:t>
      </w:r>
      <w:r>
        <w:rPr>
          <w:rFonts w:eastAsia="Calibri"/>
        </w:rPr>
        <w:t xml:space="preserve">ll systems, devices and applications to </w:t>
      </w:r>
      <w:r>
        <w:rPr/>
        <w:t>implement automated audit trails for all system components and automatically forward security-related event logs to a centralized log collector or Security Incident Event Management (SIEM) solution to allow NFCC security personnel to reconstruct the following events:</w:t>
      </w:r>
      <w:r>
        <w:rPr>
          <w:rStyle w:val="FootnoteCharacters"/>
          <w:rFonts w:cs="Calibri"/>
        </w:rPr>
        <w:t xml:space="preserve"> </w:t>
      </w:r>
    </w:p>
    <w:p>
      <w:pPr>
        <w:pStyle w:val="ListParagraph"/>
        <w:numPr>
          <w:ilvl w:val="0"/>
          <w:numId w:val="275"/>
        </w:numPr>
        <w:rPr/>
      </w:pPr>
      <w:r>
        <w:rPr/>
        <w:t>All individual user accesses to sensitive data (e.g., payment card data, SSNs, financial accounts, etc.);</w:t>
      </w:r>
      <w:r>
        <w:rPr>
          <w:rStyle w:val="FootnoteCharacters"/>
          <w:rFonts w:cs="Calibri"/>
        </w:rPr>
        <w:t xml:space="preserve"> </w:t>
      </w:r>
    </w:p>
    <w:p>
      <w:pPr>
        <w:pStyle w:val="ListParagraph"/>
        <w:numPr>
          <w:ilvl w:val="0"/>
          <w:numId w:val="275"/>
        </w:numPr>
        <w:rPr/>
      </w:pPr>
      <w:r>
        <w:rPr/>
        <w:t>All actions taken by any individual with root or administrative privileges;</w:t>
      </w:r>
      <w:r>
        <w:rPr>
          <w:rStyle w:val="FootnoteCharacters"/>
          <w:rFonts w:cs="Calibri"/>
        </w:rPr>
        <w:t xml:space="preserve"> </w:t>
      </w:r>
    </w:p>
    <w:p>
      <w:pPr>
        <w:pStyle w:val="ListParagraph"/>
        <w:numPr>
          <w:ilvl w:val="0"/>
          <w:numId w:val="275"/>
        </w:numPr>
        <w:rPr/>
      </w:pPr>
      <w:r>
        <w:rPr/>
        <w:t>Access to all audit trails;</w:t>
      </w:r>
      <w:r>
        <w:rPr>
          <w:rStyle w:val="FootnoteCharacters"/>
          <w:rFonts w:cs="Calibri"/>
        </w:rPr>
        <w:t xml:space="preserve"> </w:t>
      </w:r>
    </w:p>
    <w:p>
      <w:pPr>
        <w:pStyle w:val="ListParagraph"/>
        <w:numPr>
          <w:ilvl w:val="0"/>
          <w:numId w:val="275"/>
        </w:numPr>
        <w:rPr/>
      </w:pPr>
      <w:r>
        <w:rPr/>
        <w:t>Invalid logical access attempts;</w:t>
      </w:r>
      <w:r>
        <w:rPr>
          <w:rStyle w:val="FootnoteCharacters"/>
          <w:rFonts w:cs="Calibri"/>
        </w:rPr>
        <w:t xml:space="preserve"> </w:t>
      </w:r>
    </w:p>
    <w:p>
      <w:pPr>
        <w:pStyle w:val="ListParagraph"/>
        <w:numPr>
          <w:ilvl w:val="0"/>
          <w:numId w:val="275"/>
        </w:numPr>
        <w:rPr/>
      </w:pPr>
      <w:r>
        <w:rPr/>
        <w:t>Use of and changes to identification and authentication mechanisms, including but not limited to:</w:t>
      </w:r>
      <w:r>
        <w:rPr>
          <w:rStyle w:val="FootnoteCharacters"/>
          <w:rFonts w:cs="Calibri"/>
        </w:rPr>
        <w:t xml:space="preserve"> </w:t>
      </w:r>
    </w:p>
    <w:p>
      <w:pPr>
        <w:pStyle w:val="ListParagraph"/>
        <w:numPr>
          <w:ilvl w:val="1"/>
          <w:numId w:val="275"/>
        </w:numPr>
        <w:rPr/>
      </w:pPr>
      <w:r>
        <w:rPr/>
        <w:t xml:space="preserve">Creation of new accounts and elevation of privileges; and </w:t>
      </w:r>
    </w:p>
    <w:p>
      <w:pPr>
        <w:pStyle w:val="ListParagraph"/>
        <w:numPr>
          <w:ilvl w:val="1"/>
          <w:numId w:val="275"/>
        </w:numPr>
        <w:rPr/>
      </w:pPr>
      <w:r>
        <w:rPr/>
        <w:t>All changes, additions or deletions to accounts with root or administrative privileges;</w:t>
      </w:r>
    </w:p>
    <w:p>
      <w:pPr>
        <w:pStyle w:val="ListParagraph"/>
        <w:numPr>
          <w:ilvl w:val="0"/>
          <w:numId w:val="275"/>
        </w:numPr>
        <w:rPr/>
      </w:pPr>
      <w:r>
        <w:rPr/>
        <w:t>Initialization, stopping or pausing of the audit logs;</w:t>
      </w:r>
      <w:r>
        <w:rPr>
          <w:rStyle w:val="FootnoteCharacters"/>
          <w:rFonts w:cs="Calibri"/>
        </w:rPr>
        <w:t xml:space="preserve"> </w:t>
      </w:r>
      <w:r>
        <w:rPr/>
        <w:t>and</w:t>
      </w:r>
    </w:p>
    <w:p>
      <w:pPr>
        <w:pStyle w:val="ListParagraph"/>
        <w:numPr>
          <w:ilvl w:val="0"/>
          <w:numId w:val="275"/>
        </w:numPr>
        <w:rPr/>
      </w:pPr>
      <w:r>
        <w:rPr/>
        <w:t>Creation and deletion of system-level objects.</w:t>
      </w:r>
      <w:r>
        <w:rPr>
          <w:rStyle w:val="FootnoteCharacters"/>
          <w:rFonts w:cs="Calibri"/>
        </w:rPr>
        <w:t xml:space="preserve"> </w:t>
      </w:r>
    </w:p>
    <w:p>
      <w:pPr>
        <w:pStyle w:val="Normal"/>
        <w:rPr/>
      </w:pPr>
      <w:r>
        <w:rPr/>
      </w:r>
    </w:p>
    <w:p>
      <w:pPr>
        <w:pStyle w:val="Normal"/>
        <w:rPr/>
      </w:pPr>
      <w:r>
        <w:rPr>
          <w:u w:val="single"/>
        </w:rPr>
        <w:t>Guidelines</w:t>
      </w:r>
      <w:r>
        <w:rPr/>
        <w:t xml:space="preserve">: Monitoring is necessary to ensure that only authorized processes are being performed. The level of monitoring required will depend upon the business function in question. All monitoring activities will be formally authorized by management. System monitoring includes external and internal monitoring and the collection of monitoring data will be limited to justifiable business and legal purposes. </w:t>
      </w:r>
    </w:p>
    <w:p>
      <w:pPr>
        <w:pStyle w:val="ListParagraph"/>
        <w:numPr>
          <w:ilvl w:val="0"/>
          <w:numId w:val="73"/>
        </w:numPr>
        <w:rPr/>
      </w:pPr>
      <w:r>
        <w:rPr/>
        <w:t xml:space="preserve">External monitoring includes the observation of events occurring at the system boundary (e.g., part of perimeter defense and boundary protection). </w:t>
      </w:r>
    </w:p>
    <w:p>
      <w:pPr>
        <w:pStyle w:val="ListParagraph"/>
        <w:numPr>
          <w:ilvl w:val="0"/>
          <w:numId w:val="73"/>
        </w:numPr>
        <w:rPr/>
      </w:pPr>
      <w:r>
        <w:rPr/>
        <w:t xml:space="preserve">Internal monitoring includes the observation of events occurring within the system. </w:t>
      </w:r>
    </w:p>
    <w:p>
      <w:pPr>
        <w:pStyle w:val="Normal"/>
        <w:rPr/>
      </w:pPr>
      <w:r>
        <w:rPr/>
      </w:r>
    </w:p>
    <w:p>
      <w:pPr>
        <w:pStyle w:val="Normal"/>
        <w:rPr/>
      </w:pPr>
      <w:r>
        <w:rPr/>
      </w:r>
    </w:p>
    <w:p>
      <w:pPr>
        <w:pStyle w:val="Heading3"/>
        <w:rPr/>
      </w:pPr>
      <w:bookmarkStart w:id="461" w:name="_Toc474074877"/>
      <w:bookmarkStart w:id="462" w:name="_Toc499095823"/>
      <w:bookmarkStart w:id="463" w:name="_Toc34920658"/>
      <w:r>
        <w:rPr/>
        <w:t>MON-02(a): Centralized Security Event Log Collection | Correlate Monitoring Information</w:t>
      </w:r>
      <w:bookmarkEnd w:id="461"/>
      <w:bookmarkEnd w:id="462"/>
      <w:bookmarkEnd w:id="463"/>
    </w:p>
    <w:p>
      <w:pPr>
        <w:pStyle w:val="Normal"/>
        <w:rPr/>
      </w:pPr>
      <w:r>
        <w:rPr>
          <w:u w:val="single"/>
        </w:rPr>
        <w:t>Control Objective</w:t>
      </w:r>
      <w:r>
        <w:rPr/>
        <w:t>: The organization correlates information from monitoring tools employed throughout the organization.</w:t>
      </w:r>
      <w:r>
        <w:rPr>
          <w:rStyle w:val="FootnoteAnchor"/>
          <w:rStyle w:val="FootnoteAnchor"/>
          <w:rFonts w:cs="Calibri"/>
        </w:rPr>
        <w:footnoteReference w:id="145"/>
      </w:r>
      <w:r>
        <w:rPr/>
        <w:t xml:space="preserve"> </w:t>
      </w:r>
    </w:p>
    <w:p>
      <w:pPr>
        <w:pStyle w:val="Normal"/>
        <w:rPr/>
      </w:pPr>
      <w:r>
        <w:rPr/>
      </w:r>
    </w:p>
    <w:p>
      <w:pPr>
        <w:pStyle w:val="Normal"/>
        <w:rPr/>
      </w:pPr>
      <w:r>
        <w:rPr>
          <w:u w:val="single"/>
        </w:rPr>
        <w:t>Standard</w:t>
      </w:r>
      <w:r>
        <w:rPr/>
        <w:t>: NFCC shall correlate information from monitoring tools employed throughout the organization.</w:t>
      </w:r>
    </w:p>
    <w:p>
      <w:pPr>
        <w:pStyle w:val="Normal"/>
        <w:rPr/>
      </w:pPr>
      <w:r>
        <w:rPr/>
      </w:r>
    </w:p>
    <w:p>
      <w:pPr>
        <w:pStyle w:val="Normal"/>
        <w:rPr/>
      </w:pPr>
      <w:r>
        <w:rPr>
          <w:u w:val="single"/>
        </w:rPr>
        <w:t>Guidelines</w:t>
      </w:r>
      <w:r>
        <w:rPr/>
        <w:t>: Correlating information from different monitoring tools can provide a more comprehensive view of information system activity. The correlation of monitoring tools that usually work in isolation (e.g., host monitoring, network monitoring, anti-virus software) can provide an organization-wide view and in so doing, may reveal otherwise unseen attack patterns. Understanding the capabilities / limitations of diverse monitoring tools and how to maximize the utility of information generated by those tools can help organizations to build, operate and maintain effective monitoring programs.</w:t>
      </w:r>
    </w:p>
    <w:p>
      <w:pPr>
        <w:pStyle w:val="Normal"/>
        <w:rPr/>
      </w:pPr>
      <w:r>
        <w:rPr/>
      </w:r>
    </w:p>
    <w:p>
      <w:pPr>
        <w:pStyle w:val="Heading3"/>
        <w:rPr/>
      </w:pPr>
      <w:bookmarkStart w:id="464" w:name="_Toc34920659"/>
      <w:r>
        <w:rPr/>
        <w:t>MON-02(b): Centralized Security Event Log Collection | Central Review &amp; Analysis</w:t>
      </w:r>
      <w:bookmarkEnd w:id="464"/>
      <w:r>
        <w:rPr/>
        <w:t xml:space="preserve"> </w:t>
      </w:r>
    </w:p>
    <w:p>
      <w:pPr>
        <w:pStyle w:val="Normal"/>
        <w:rPr/>
      </w:pPr>
      <w:r>
        <w:rPr>
          <w:rFonts w:cs="Calibri"/>
          <w:u w:val="single"/>
        </w:rPr>
        <w:t>Control Objective</w:t>
      </w:r>
      <w:r>
        <w:rPr>
          <w:rFonts w:cs="Calibri"/>
        </w:rPr>
        <w:t xml:space="preserve">: </w:t>
      </w:r>
      <w:r>
        <w:rPr/>
        <w:t>The information system provides the capability to centrally review and analyze audit records from multiple components within the system.</w:t>
      </w:r>
      <w:r>
        <w:rPr>
          <w:rStyle w:val="FootnoteCharacters"/>
          <w:rFonts w:cs="Calibri"/>
        </w:rPr>
        <w:t xml:space="preserve"> </w:t>
      </w:r>
      <w:r>
        <w:rPr>
          <w:rStyle w:val="FootnoteAnchor"/>
          <w:rStyle w:val="FootnoteAnchor"/>
          <w:rFonts w:cs="Calibri"/>
        </w:rPr>
        <w:footnoteReference w:id="146"/>
      </w:r>
      <w:r>
        <w:rPr/>
        <w:t xml:space="preserve">  </w:t>
      </w:r>
    </w:p>
    <w:p>
      <w:pPr>
        <w:pStyle w:val="Normal"/>
        <w:rPr>
          <w:rFonts w:cs="Calibri"/>
        </w:rPr>
      </w:pPr>
      <w:r>
        <w:rPr>
          <w:rFonts w:cs="Calibri"/>
        </w:rPr>
      </w:r>
    </w:p>
    <w:p>
      <w:pPr>
        <w:pStyle w:val="Normal"/>
        <w:rPr>
          <w:rFonts w:cs="Calibri"/>
        </w:rPr>
      </w:pPr>
      <w:r>
        <w:rPr>
          <w:rFonts w:cs="Calibri"/>
          <w:bCs w:val="false"/>
          <w:u w:val="single"/>
        </w:rPr>
        <w:t>Standard</w:t>
      </w:r>
      <w:r>
        <w:rPr>
          <w:rFonts w:cs="Calibri"/>
          <w:bCs w:val="false"/>
        </w:rPr>
        <w:t>:</w:t>
      </w:r>
      <w:r>
        <w:rPr>
          <w:rFonts w:cs="Calibri"/>
        </w:rPr>
        <w:t xml:space="preserve"> NFCC shall utilize a Security Incident Even Manager (SIEM) or similar technology, to enable assigned cybersecurity personnel to </w:t>
      </w:r>
      <w:r>
        <w:rPr/>
        <w:t>centrally review and analyze audit records from across the organization, regardless of the technology platform (including physical security logs) in order to maintain proper situational awareness of threats, incidents and anomalous activities.</w:t>
      </w:r>
    </w:p>
    <w:p>
      <w:pPr>
        <w:pStyle w:val="Normal"/>
        <w:rPr>
          <w:rFonts w:cs="Calibri"/>
        </w:rPr>
      </w:pPr>
      <w:r>
        <w:rPr>
          <w:rFonts w:cs="Calibri"/>
        </w:rPr>
      </w:r>
    </w:p>
    <w:p>
      <w:pPr>
        <w:pStyle w:val="Normal"/>
        <w:rPr>
          <w:rFonts w:cs="Calibri"/>
        </w:rPr>
      </w:pPr>
      <w:r>
        <w:rPr>
          <w:rFonts w:cs="Calibri"/>
          <w:u w:val="single"/>
        </w:rPr>
        <w:t>Guidelines</w:t>
      </w:r>
      <w:r>
        <w:rPr>
          <w:rFonts w:cs="Calibri"/>
        </w:rPr>
        <w:t xml:space="preserve">: </w:t>
      </w:r>
      <w:r>
        <w:rPr/>
        <w:t>Automated mechanisms for centralized reviews and analyses include, for example, Security Information Management products.</w:t>
      </w:r>
    </w:p>
    <w:p>
      <w:pPr>
        <w:pStyle w:val="Normal"/>
        <w:rPr/>
      </w:pPr>
      <w:r>
        <w:rPr/>
      </w:r>
    </w:p>
    <w:p>
      <w:pPr>
        <w:pStyle w:val="Heading3"/>
        <w:rPr/>
      </w:pPr>
      <w:bookmarkStart w:id="465" w:name="_Toc34920660"/>
      <w:r>
        <w:rPr/>
        <w:t>MON-02(c): Centralized Security Event Log Collection | Integration of Scanning &amp; Other Monitoring Information</w:t>
      </w:r>
      <w:bookmarkEnd w:id="465"/>
      <w:r>
        <w:rPr/>
        <w:t xml:space="preserve"> </w:t>
      </w:r>
    </w:p>
    <w:p>
      <w:pPr>
        <w:pStyle w:val="Normal"/>
        <w:rPr/>
      </w:pPr>
      <w:r>
        <w:rPr>
          <w:rFonts w:cs="Calibri"/>
          <w:u w:val="single"/>
        </w:rPr>
        <w:t>Control Objective</w:t>
      </w:r>
      <w:r>
        <w:rPr>
          <w:rFonts w:cs="Calibri"/>
        </w:rPr>
        <w:t xml:space="preserve">: </w:t>
      </w:r>
      <w:r>
        <w:rPr/>
        <w:t>The organization integrates analysis of audit records with analysis of vulnerability scanning information; performance data; information system monitoring information; and other sources to further enhance the ability to identify inappropriate or unusual activity.</w:t>
      </w:r>
      <w:r>
        <w:rPr>
          <w:rStyle w:val="FootnoteCharacters"/>
          <w:rFonts w:cs="Calibri"/>
        </w:rPr>
        <w:t xml:space="preserve"> </w:t>
      </w:r>
      <w:r>
        <w:rPr>
          <w:rStyle w:val="FootnoteAnchor"/>
          <w:rStyle w:val="FootnoteAnchor"/>
          <w:rFonts w:cs="Calibri"/>
        </w:rPr>
        <w:footnoteReference w:id="147"/>
      </w:r>
      <w:r>
        <w:rPr/>
        <w:t xml:space="preserve">  </w:t>
      </w:r>
    </w:p>
    <w:p>
      <w:pPr>
        <w:pStyle w:val="Normal"/>
        <w:rPr>
          <w:rFonts w:cs="Calibri"/>
        </w:rPr>
      </w:pPr>
      <w:r>
        <w:rPr>
          <w:rFonts w:cs="Calibri"/>
        </w:rPr>
      </w:r>
    </w:p>
    <w:p>
      <w:pPr>
        <w:pStyle w:val="Normal"/>
        <w:rPr>
          <w:rFonts w:cs="Calibri"/>
        </w:rPr>
      </w:pPr>
      <w:r>
        <w:rPr>
          <w:rFonts w:cs="Calibri"/>
          <w:bCs w:val="false"/>
          <w:u w:val="single"/>
        </w:rPr>
        <w:t>Standard</w:t>
      </w:r>
      <w:r>
        <w:rPr>
          <w:rFonts w:cs="Calibri"/>
          <w:bCs w:val="false"/>
        </w:rPr>
        <w:t>:</w:t>
      </w:r>
      <w:r>
        <w:rPr>
          <w:rFonts w:cs="Calibri"/>
        </w:rPr>
        <w:t xml:space="preserve"> NFCC shall utilize a Security Incident Even Manager (SIEM) or similar technology, to enable assigned cybersecurity personnel to </w:t>
      </w:r>
      <w:r>
        <w:rPr/>
        <w:t>centrally review and analyze audit records from across the organization, regardless of the technology platform (including physical security logs) in order to maintain proper situational awareness of threats, incidents and anomalous activities.</w:t>
      </w:r>
    </w:p>
    <w:p>
      <w:pPr>
        <w:pStyle w:val="Normal"/>
        <w:rPr>
          <w:rFonts w:cs="Calibri"/>
        </w:rPr>
      </w:pPr>
      <w:r>
        <w:rPr>
          <w:rFonts w:cs="Calibri"/>
        </w:rPr>
      </w:r>
    </w:p>
    <w:p>
      <w:pPr>
        <w:pStyle w:val="Normal"/>
        <w:rPr>
          <w:rFonts w:cs="Calibri"/>
        </w:rPr>
      </w:pPr>
      <w:r>
        <w:rPr>
          <w:rFonts w:cs="Calibri"/>
          <w:u w:val="single"/>
        </w:rPr>
        <w:t>Guidelines</w:t>
      </w:r>
      <w:r>
        <w:rPr>
          <w:rFonts w:cs="Calibri"/>
        </w:rPr>
        <w:t xml:space="preserve">: </w:t>
      </w:r>
      <w:r>
        <w:rPr/>
        <w:t>This control enhancement does not require vulnerability scanning, the generation of performance data or information system monitoring. Rather, the enhancement requires that the analysis of information being otherwise produced in these areas is integrated with the analysis of audit information. Security Event and Information Management System tools can facilitate audit record aggregation/consolidation from multiple information system components as well as audit record correlation and analysis. The use of standardized audit record analysis scripts developed by organizations (with localized script adjustments, as necessary) provides more cost-effective approaches for analyzing audit record information collected. The correlation of audit record information with vulnerability scanning information is important in determining the veracity of vulnerability scans and correlating attack detection events with scanning results. Correlation with performance data can help uncover denial of service attacks or cyber attacks resulting in unauthorized use of resources. Correlation with system monitoring information can assist in uncovering attacks and in better relating audit information to operational situations.</w:t>
      </w:r>
    </w:p>
    <w:p>
      <w:pPr>
        <w:pStyle w:val="Normal"/>
        <w:rPr/>
      </w:pPr>
      <w:r>
        <w:rPr/>
      </w:r>
    </w:p>
    <w:p>
      <w:pPr>
        <w:pStyle w:val="Heading3"/>
        <w:rPr/>
      </w:pPr>
      <w:bookmarkStart w:id="466" w:name="_Toc34920661"/>
      <w:r>
        <w:rPr/>
        <w:t>MON-02(d): Centralized Security Event Log Collection | Correlation with Physical Monitoring</w:t>
      </w:r>
      <w:bookmarkEnd w:id="466"/>
      <w:r>
        <w:rPr/>
        <w:t xml:space="preserve"> </w:t>
      </w:r>
    </w:p>
    <w:p>
      <w:pPr>
        <w:pStyle w:val="Normal"/>
        <w:rPr/>
      </w:pPr>
      <w:r>
        <w:rPr>
          <w:rFonts w:cs="Calibri"/>
          <w:u w:val="single"/>
        </w:rPr>
        <w:t>Control Objective</w:t>
      </w:r>
      <w:r>
        <w:rPr>
          <w:rFonts w:cs="Calibri"/>
        </w:rPr>
        <w:t xml:space="preserve">: </w:t>
      </w:r>
      <w:r>
        <w:rPr/>
        <w:t>The organization correlates information from audit records with information obtained from monitoring physical access to further enhance the ability to identify suspicious, inappropriate, unusual or malevolent activity.</w:t>
      </w:r>
      <w:r>
        <w:rPr>
          <w:rStyle w:val="FootnoteCharacters"/>
          <w:rFonts w:cs="Calibri"/>
        </w:rPr>
        <w:t xml:space="preserve"> </w:t>
      </w:r>
      <w:r>
        <w:rPr>
          <w:rStyle w:val="FootnoteAnchor"/>
          <w:rStyle w:val="FootnoteAnchor"/>
          <w:rFonts w:cs="Calibri"/>
        </w:rPr>
        <w:footnoteReference w:id="148"/>
      </w:r>
      <w:r>
        <w:rPr/>
        <w:t xml:space="preserve">   </w:t>
      </w:r>
    </w:p>
    <w:p>
      <w:pPr>
        <w:pStyle w:val="Normal"/>
        <w:rPr>
          <w:rFonts w:cs="Calibri"/>
        </w:rPr>
      </w:pPr>
      <w:r>
        <w:rPr>
          <w:rFonts w:cs="Calibri"/>
        </w:rPr>
      </w:r>
    </w:p>
    <w:p>
      <w:pPr>
        <w:pStyle w:val="Normal"/>
        <w:rPr>
          <w:rFonts w:cs="Calibri"/>
        </w:rPr>
      </w:pPr>
      <w:r>
        <w:rPr>
          <w:rFonts w:cs="Calibri"/>
          <w:bCs w:val="false"/>
          <w:u w:val="single"/>
        </w:rPr>
        <w:t>Standard</w:t>
      </w:r>
      <w:r>
        <w:rPr>
          <w:rFonts w:cs="Calibri"/>
          <w:bCs w:val="false"/>
        </w:rPr>
        <w:t>:</w:t>
      </w:r>
      <w:r>
        <w:rPr>
          <w:rFonts w:cs="Calibri"/>
        </w:rPr>
        <w:t xml:space="preserve"> NFCC shall utilize a Security Incident Even Manager (SIEM) or similar technology, to enable assigned cybersecurity personnel to </w:t>
      </w:r>
      <w:r>
        <w:rPr/>
        <w:t>centrally review and analyze audit records from across the organization, regardless of the technology platform (including physical security logs) in order to maintain proper situational awareness of threats, incidents and anomalous activities.</w:t>
      </w:r>
    </w:p>
    <w:p>
      <w:pPr>
        <w:pStyle w:val="Normal"/>
        <w:rPr>
          <w:rFonts w:cs="Calibri"/>
        </w:rPr>
      </w:pPr>
      <w:r>
        <w:rPr>
          <w:rFonts w:cs="Calibri"/>
        </w:rPr>
      </w:r>
    </w:p>
    <w:p>
      <w:pPr>
        <w:pStyle w:val="Normal"/>
        <w:rPr/>
      </w:pPr>
      <w:r>
        <w:rPr>
          <w:rFonts w:cs="Calibri"/>
          <w:u w:val="single"/>
        </w:rPr>
        <w:t>Guidelines</w:t>
      </w:r>
      <w:r>
        <w:rPr>
          <w:rFonts w:cs="Calibri"/>
        </w:rPr>
        <w:t xml:space="preserve">: </w:t>
      </w:r>
      <w:r>
        <w:rPr/>
        <w:t>The correlation of physical audit information and audit logs from information systems may assist organizations in identifying examples of suspicious behavior or supporting evidence of such behavior. For example, the correlation of an individual’s identity for logical access to certain information systems with the additional physical security information that the individual was actually present at the facility when the logical access occurred, may prove to be useful in investigations.</w:t>
      </w:r>
    </w:p>
    <w:p>
      <w:pPr>
        <w:pStyle w:val="Normal"/>
        <w:rPr/>
      </w:pPr>
      <w:r>
        <w:rPr/>
      </w:r>
    </w:p>
    <w:p>
      <w:pPr>
        <w:pStyle w:val="Heading3"/>
        <w:rPr/>
      </w:pPr>
      <w:bookmarkStart w:id="467" w:name="_Toc34920662"/>
      <w:r>
        <w:rPr/>
        <w:t>MON-02(e): Centralized Security Event Log Collection | Permitted Actions</w:t>
      </w:r>
      <w:bookmarkEnd w:id="467"/>
      <w:r>
        <w:rPr/>
        <w:t xml:space="preserve"> </w:t>
      </w:r>
    </w:p>
    <w:p>
      <w:pPr>
        <w:pStyle w:val="Normal"/>
        <w:rPr/>
      </w:pPr>
      <w:r>
        <w:rPr>
          <w:rFonts w:cs="Calibri"/>
          <w:u w:val="single"/>
        </w:rPr>
        <w:t>Control Objective</w:t>
      </w:r>
      <w:r>
        <w:rPr>
          <w:rFonts w:cs="Calibri"/>
        </w:rPr>
        <w:t xml:space="preserve">: </w:t>
      </w:r>
      <w:r>
        <w:rPr/>
        <w:t xml:space="preserve">The organization specifies the permitted actions for information system processes and user roles associated with the review, analysis and reporting of audit information. </w:t>
      </w:r>
      <w:r>
        <w:rPr>
          <w:rStyle w:val="FootnoteAnchor"/>
          <w:rStyle w:val="FootnoteAnchor"/>
          <w:rFonts w:cs="Calibri"/>
        </w:rPr>
        <w:footnoteReference w:id="149"/>
      </w:r>
      <w:r>
        <w:rPr/>
        <w:t xml:space="preserve">   </w:t>
      </w:r>
    </w:p>
    <w:p>
      <w:pPr>
        <w:pStyle w:val="Normal"/>
        <w:rPr>
          <w:rFonts w:cs="Calibri"/>
        </w:rPr>
      </w:pPr>
      <w:r>
        <w:rPr>
          <w:rFonts w:cs="Calibri"/>
        </w:rPr>
      </w:r>
    </w:p>
    <w:p>
      <w:pPr>
        <w:pStyle w:val="Normal"/>
        <w:rPr/>
      </w:pPr>
      <w:r>
        <w:rPr>
          <w:rFonts w:cs="Calibri"/>
          <w:bCs w:val="false"/>
          <w:u w:val="single"/>
        </w:rPr>
        <w:t>Standard</w:t>
      </w:r>
      <w:r>
        <w:rPr>
          <w:rFonts w:cs="Calibri"/>
          <w:bCs w:val="false"/>
        </w:rPr>
        <w:t>:</w:t>
      </w:r>
      <w:r>
        <w:rPr>
          <w:rFonts w:cs="Calibri"/>
        </w:rPr>
        <w:t xml:space="preserve"> NFCC shall configure its Security Incident Even Manager (SIEM) or similar technology, to </w:t>
      </w:r>
      <w:r>
        <w:rPr/>
        <w:t>limit the permitted actions for information system processes and user roles associated with the review, analysis and reporting of audit information, including:</w:t>
      </w:r>
    </w:p>
    <w:p>
      <w:pPr>
        <w:pStyle w:val="ListParagraph"/>
        <w:numPr>
          <w:ilvl w:val="0"/>
          <w:numId w:val="656"/>
        </w:numPr>
        <w:rPr/>
      </w:pPr>
      <w:r>
        <w:rPr/>
        <w:t>Reading;</w:t>
      </w:r>
    </w:p>
    <w:p>
      <w:pPr>
        <w:pStyle w:val="ListParagraph"/>
        <w:numPr>
          <w:ilvl w:val="0"/>
          <w:numId w:val="656"/>
        </w:numPr>
        <w:rPr/>
      </w:pPr>
      <w:r>
        <w:rPr/>
        <w:t xml:space="preserve">Writing; </w:t>
      </w:r>
    </w:p>
    <w:p>
      <w:pPr>
        <w:pStyle w:val="ListParagraph"/>
        <w:numPr>
          <w:ilvl w:val="0"/>
          <w:numId w:val="656"/>
        </w:numPr>
        <w:rPr/>
      </w:pPr>
      <w:r>
        <w:rPr/>
        <w:t>Executing;</w:t>
      </w:r>
    </w:p>
    <w:p>
      <w:pPr>
        <w:pStyle w:val="ListParagraph"/>
        <w:numPr>
          <w:ilvl w:val="0"/>
          <w:numId w:val="656"/>
        </w:numPr>
        <w:rPr/>
      </w:pPr>
      <w:r>
        <w:rPr/>
        <w:t>Appending; and</w:t>
      </w:r>
    </w:p>
    <w:p>
      <w:pPr>
        <w:pStyle w:val="ListParagraph"/>
        <w:numPr>
          <w:ilvl w:val="0"/>
          <w:numId w:val="656"/>
        </w:numPr>
        <w:rPr/>
      </w:pPr>
      <w:r>
        <w:rPr/>
        <w:t>Deleting.</w:t>
      </w:r>
    </w:p>
    <w:p>
      <w:pPr>
        <w:pStyle w:val="Normal"/>
        <w:rPr>
          <w:rFonts w:cs="Calibri"/>
        </w:rPr>
      </w:pPr>
      <w:r>
        <w:rPr>
          <w:rFonts w:cs="Calibri"/>
        </w:rPr>
      </w:r>
    </w:p>
    <w:p>
      <w:pPr>
        <w:pStyle w:val="Normal"/>
        <w:rPr>
          <w:rFonts w:cs="Calibri"/>
        </w:rPr>
      </w:pPr>
      <w:r>
        <w:rPr>
          <w:rFonts w:cs="Calibri"/>
          <w:u w:val="single"/>
        </w:rPr>
        <w:t>Guidelines</w:t>
      </w:r>
      <w:r>
        <w:rPr>
          <w:rFonts w:cs="Calibri"/>
        </w:rPr>
        <w:t xml:space="preserve">: </w:t>
      </w:r>
      <w:r>
        <w:rPr/>
        <w:t>Organizations specify permitted actions for information system processes, roles, and/or users associated with the review, analysis and reporting of audit records through account management techniques. Specifying permitted actions on audit information is a way to enforce the principle of least privilege. Permitted actions are enforced by the information system and include, for example, read, write, execute, append and delete.</w:t>
      </w:r>
    </w:p>
    <w:p>
      <w:pPr>
        <w:pStyle w:val="Normal"/>
        <w:rPr>
          <w:rFonts w:cs="Calibri"/>
        </w:rPr>
      </w:pPr>
      <w:r>
        <w:rPr>
          <w:rFonts w:cs="Calibri"/>
        </w:rPr>
      </w:r>
    </w:p>
    <w:p>
      <w:pPr>
        <w:pStyle w:val="Normal"/>
        <w:rPr>
          <w:rFonts w:cs="Calibri"/>
        </w:rPr>
      </w:pPr>
      <w:r>
        <w:rPr>
          <w:rFonts w:cs="Calibri"/>
        </w:rPr>
      </w:r>
    </w:p>
    <w:p>
      <w:pPr>
        <w:pStyle w:val="Heading3"/>
        <w:rPr/>
      </w:pPr>
      <w:bookmarkStart w:id="468" w:name="_Toc34920663"/>
      <w:r>
        <w:rPr/>
        <w:t>MON-02(f): Centralized Security Event Log Collection | Audit Level Adjustment</w:t>
      </w:r>
      <w:bookmarkEnd w:id="468"/>
      <w:r>
        <w:rPr/>
        <w:t xml:space="preserve"> </w:t>
      </w:r>
    </w:p>
    <w:p>
      <w:pPr>
        <w:pStyle w:val="Normal"/>
        <w:rPr/>
      </w:pPr>
      <w:r>
        <w:rPr>
          <w:rFonts w:cs="Calibri"/>
          <w:u w:val="single"/>
        </w:rPr>
        <w:t>Control Objective</w:t>
      </w:r>
      <w:r>
        <w:rPr>
          <w:rFonts w:cs="Calibri"/>
        </w:rPr>
        <w:t xml:space="preserve">: </w:t>
      </w:r>
      <w:r>
        <w:rPr/>
        <w:t>The organization adjusts the level of audit review, analysis and reporting within the information system when there is a change in risk based on law enforcement information, intelligence information or other credible sources of information.</w:t>
      </w:r>
      <w:r>
        <w:rPr>
          <w:rStyle w:val="FootnoteAnchor"/>
          <w:rStyle w:val="FootnoteAnchor"/>
          <w:rFonts w:cs="Calibri"/>
        </w:rPr>
        <w:footnoteReference w:id="150"/>
      </w:r>
      <w:r>
        <w:rPr/>
        <w:t xml:space="preserve">   </w:t>
      </w:r>
    </w:p>
    <w:p>
      <w:pPr>
        <w:pStyle w:val="Normal"/>
        <w:rPr>
          <w:rFonts w:cs="Calibri"/>
        </w:rPr>
      </w:pPr>
      <w:r>
        <w:rPr>
          <w:rFonts w:cs="Calibri"/>
        </w:rPr>
      </w:r>
    </w:p>
    <w:p>
      <w:pPr>
        <w:pStyle w:val="Normal"/>
        <w:rPr>
          <w:rFonts w:cs="Calibri"/>
        </w:rPr>
      </w:pPr>
      <w:r>
        <w:rPr>
          <w:rFonts w:cs="Calibri"/>
          <w:bCs w:val="false"/>
          <w:u w:val="single"/>
        </w:rPr>
        <w:t>Standard</w:t>
      </w:r>
      <w:r>
        <w:rPr>
          <w:rFonts w:cs="Calibri"/>
          <w:bCs w:val="false"/>
        </w:rPr>
        <w:t>:</w:t>
      </w:r>
      <w:r>
        <w:rPr>
          <w:rFonts w:cs="Calibri"/>
        </w:rPr>
        <w:t xml:space="preserve"> Based on received threats, NFCC shall modify the scope of its Security Incident Even Manager (SIEM) or similar technology, to enable assigned cybersecurity personnel to </w:t>
      </w:r>
      <w:r>
        <w:rPr/>
        <w:t>centrally review and analyze audit records from across the organization, regardless of the technology platform (including physical security logs) in order to maintain proper situational awareness of threats, incidents and anomalous activities.</w:t>
      </w:r>
    </w:p>
    <w:p>
      <w:pPr>
        <w:pStyle w:val="Normal"/>
        <w:rPr>
          <w:rFonts w:cs="Calibri"/>
        </w:rPr>
      </w:pPr>
      <w:r>
        <w:rPr>
          <w:rFonts w:cs="Calibri"/>
        </w:rPr>
      </w:r>
    </w:p>
    <w:p>
      <w:pPr>
        <w:pStyle w:val="Normal"/>
        <w:rPr>
          <w:rFonts w:cs="Calibri"/>
        </w:rPr>
      </w:pPr>
      <w:r>
        <w:rPr>
          <w:rFonts w:cs="Calibri"/>
          <w:u w:val="single"/>
        </w:rPr>
        <w:t>Guidelines</w:t>
      </w:r>
      <w:r>
        <w:rPr>
          <w:rFonts w:cs="Calibri"/>
        </w:rPr>
        <w:t xml:space="preserve">: </w:t>
      </w:r>
      <w:r>
        <w:rPr/>
        <w:t>The frequency, scope, and/or depth of the audit review, analysis and reporting may be adjusted to meet organizational needs based on new information received.</w:t>
      </w:r>
    </w:p>
    <w:p>
      <w:pPr>
        <w:pStyle w:val="Normal"/>
        <w:rPr>
          <w:rFonts w:cs="Calibri"/>
        </w:rPr>
      </w:pPr>
      <w:r>
        <w:rPr>
          <w:rFonts w:cs="Calibri"/>
        </w:rPr>
      </w:r>
    </w:p>
    <w:p>
      <w:pPr>
        <w:pStyle w:val="Heading3"/>
        <w:rPr/>
      </w:pPr>
      <w:bookmarkStart w:id="469" w:name="_Toc34920664"/>
      <w:r>
        <w:rPr/>
        <w:t xml:space="preserve">MON-02(g): Centralized Security Event Log Collection | </w:t>
      </w:r>
      <w:bookmarkStart w:id="470" w:name="_Toc23242004"/>
      <w:r>
        <w:rPr/>
        <w:t>System-Wide / Time-Correlated Audit Trail</w:t>
      </w:r>
      <w:bookmarkEnd w:id="469"/>
      <w:bookmarkEnd w:id="470"/>
      <w:r>
        <w:rPr/>
        <w:t xml:space="preserve">  </w:t>
      </w:r>
    </w:p>
    <w:p>
      <w:pPr>
        <w:pStyle w:val="Normal"/>
        <w:rPr/>
      </w:pPr>
      <w:r>
        <w:rPr>
          <w:rFonts w:cs="Calibri"/>
          <w:u w:val="single"/>
        </w:rPr>
        <w:t>Control Objective</w:t>
      </w:r>
      <w:r>
        <w:rPr>
          <w:rFonts w:cs="Calibri"/>
        </w:rPr>
        <w:t xml:space="preserve">: </w:t>
      </w:r>
      <w:r>
        <w:rPr/>
        <w:t>The information system compiles audit records from organization-defined information system components into a system-wide (logical or physical) audit trail that is time-correlated to within an organization-defined level of tolerance for the relationship between time stamps of individual records in the audit trail.</w:t>
      </w:r>
      <w:r>
        <w:rPr>
          <w:rStyle w:val="FootnoteCharacters"/>
          <w:rFonts w:cs="Calibri"/>
        </w:rPr>
        <w:t xml:space="preserve"> </w:t>
      </w:r>
      <w:r>
        <w:rPr>
          <w:rStyle w:val="FootnoteAnchor"/>
          <w:rStyle w:val="FootnoteAnchor"/>
          <w:rFonts w:cs="Calibri"/>
        </w:rPr>
        <w:footnoteReference w:id="151"/>
      </w:r>
      <w:r>
        <w:rPr/>
        <w:t xml:space="preserve"> </w:t>
      </w:r>
    </w:p>
    <w:p>
      <w:pPr>
        <w:pStyle w:val="Normal"/>
        <w:rPr>
          <w:rFonts w:cs="Calibri"/>
        </w:rPr>
      </w:pPr>
      <w:r>
        <w:rPr>
          <w:rFonts w:cs="Calibri"/>
        </w:rPr>
      </w:r>
    </w:p>
    <w:p>
      <w:pPr>
        <w:pStyle w:val="Normal"/>
        <w:rPr>
          <w:rFonts w:cs="Calibri"/>
          <w:bCs w:val="false"/>
        </w:rPr>
      </w:pPr>
      <w:r>
        <w:rPr>
          <w:rFonts w:cs="Calibri"/>
          <w:bCs w:val="false"/>
          <w:u w:val="single"/>
        </w:rPr>
        <w:t>Standard</w:t>
      </w:r>
      <w:r>
        <w:rPr>
          <w:rFonts w:cs="Calibri"/>
          <w:bCs w:val="false"/>
        </w:rPr>
        <w:t>:</w:t>
      </w:r>
      <w:r>
        <w:rPr>
          <w:rFonts w:cs="Calibri"/>
        </w:rPr>
        <w:t xml:space="preserve"> NFCC shall utilize a Security Incident Even Manager (SIEM) or similar technology, that is configured according to vendor recommendations and industry recognized practices o </w:t>
      </w:r>
      <w:r>
        <w:rPr>
          <w:rFonts w:cs="Calibri"/>
          <w:bCs w:val="false"/>
        </w:rPr>
        <w:t>facilitate an enterprise-wide</w:t>
      </w:r>
      <w:r>
        <w:rPr/>
        <w:t xml:space="preserve"> (logical or physical) audit trail that is time-correlated according to Coordinated Universal Time (UTC) for the relationship between time stamps of individual records in the audit trail.</w:t>
      </w:r>
    </w:p>
    <w:p>
      <w:pPr>
        <w:pStyle w:val="Normal"/>
        <w:rPr>
          <w:rFonts w:cs="Calibri"/>
        </w:rPr>
      </w:pPr>
      <w:r>
        <w:rPr>
          <w:rFonts w:cs="Calibri"/>
        </w:rPr>
      </w:r>
    </w:p>
    <w:p>
      <w:pPr>
        <w:pStyle w:val="Normal"/>
        <w:rPr>
          <w:rFonts w:cs="Calibri"/>
        </w:rPr>
      </w:pPr>
      <w:r>
        <w:rPr>
          <w:rFonts w:cs="Calibri"/>
          <w:u w:val="single"/>
        </w:rPr>
        <w:t>Guidelines</w:t>
      </w:r>
      <w:r>
        <w:rPr>
          <w:rFonts w:cs="Calibri"/>
        </w:rPr>
        <w:t xml:space="preserve">: </w:t>
      </w:r>
      <w:r>
        <w:rPr/>
        <w:t>Audit trails are time-correlated if the time stamps in the individual audit records can be reliably related to the time stamps in other audit records to achieve a time ordering of the records within organizational tolerances.</w:t>
      </w:r>
    </w:p>
    <w:p>
      <w:pPr>
        <w:pStyle w:val="Normal"/>
        <w:rPr/>
      </w:pPr>
      <w:r>
        <w:rPr/>
      </w:r>
    </w:p>
    <w:p>
      <w:pPr>
        <w:pStyle w:val="Heading3"/>
        <w:rPr/>
      </w:pPr>
      <w:bookmarkStart w:id="471" w:name="_Toc34920665"/>
      <w:r>
        <w:rPr/>
        <w:t xml:space="preserve">MON-02(h): Centralized Security Event Log Collection | </w:t>
      </w:r>
      <w:bookmarkStart w:id="472" w:name="_Toc23242005"/>
      <w:r>
        <w:rPr/>
        <w:t>Changes by Authorized Individuals</w:t>
      </w:r>
      <w:bookmarkEnd w:id="471"/>
      <w:bookmarkEnd w:id="472"/>
      <w:r>
        <w:rPr/>
        <w:t xml:space="preserve">  </w:t>
      </w:r>
    </w:p>
    <w:p>
      <w:pPr>
        <w:pStyle w:val="Normal"/>
        <w:rPr/>
      </w:pPr>
      <w:r>
        <w:rPr>
          <w:rFonts w:cs="Calibri"/>
          <w:u w:val="single"/>
        </w:rPr>
        <w:t>Control Objective</w:t>
      </w:r>
      <w:r>
        <w:rPr>
          <w:rFonts w:cs="Calibri"/>
        </w:rPr>
        <w:t xml:space="preserve">: </w:t>
      </w:r>
      <w:r>
        <w:rPr/>
        <w:t>The information system provides the capability for organization-defined individuals or roles to change the auditing to be performed on specified information system components based on specific event criteria within specified time thresholds.</w:t>
      </w:r>
      <w:r>
        <w:rPr>
          <w:rStyle w:val="FootnoteCharacters"/>
          <w:rFonts w:cs="Calibri"/>
        </w:rPr>
        <w:t xml:space="preserve"> </w:t>
      </w:r>
      <w:r>
        <w:rPr>
          <w:rStyle w:val="FootnoteAnchor"/>
          <w:rStyle w:val="FootnoteAnchor"/>
          <w:rFonts w:cs="Calibri"/>
        </w:rPr>
        <w:footnoteReference w:id="152"/>
      </w:r>
    </w:p>
    <w:p>
      <w:pPr>
        <w:pStyle w:val="Normal"/>
        <w:rPr>
          <w:rFonts w:cs="Calibri"/>
        </w:rPr>
      </w:pPr>
      <w:r>
        <w:rPr>
          <w:rFonts w:cs="Calibri"/>
        </w:rPr>
      </w:r>
    </w:p>
    <w:p>
      <w:pPr>
        <w:pStyle w:val="Normal"/>
        <w:rPr/>
      </w:pPr>
      <w:r>
        <w:rPr>
          <w:rFonts w:cs="Calibri"/>
          <w:bCs w:val="false"/>
          <w:u w:val="single"/>
        </w:rPr>
        <w:t>Standard</w:t>
      </w:r>
      <w:r>
        <w:rPr>
          <w:rFonts w:cs="Calibri"/>
          <w:bCs w:val="false"/>
        </w:rPr>
        <w:t>:</w:t>
      </w:r>
      <w:r>
        <w:rPr>
          <w:rFonts w:cs="Calibri"/>
        </w:rPr>
        <w:t xml:space="preserve"> Based on a justifiable business case, NFCC’s Information Security Officer (ISO) can direct cybersecurity personnel to modify the scope the auditing performed by the Security Incident Even Manager (SIEM) or similar technology, to provide enhanced logging/monitoring for </w:t>
      </w:r>
      <w:r>
        <w:rPr/>
        <w:t xml:space="preserve">specific event criteria within specified time thresholds. </w:t>
      </w:r>
    </w:p>
    <w:p>
      <w:pPr>
        <w:pStyle w:val="Normal"/>
        <w:rPr>
          <w:rFonts w:cs="Calibri"/>
        </w:rPr>
      </w:pPr>
      <w:r>
        <w:rPr>
          <w:rFonts w:cs="Calibri"/>
        </w:rPr>
      </w:r>
    </w:p>
    <w:p>
      <w:pPr>
        <w:pStyle w:val="Normal"/>
        <w:rPr>
          <w:rFonts w:cs="Calibri"/>
        </w:rPr>
      </w:pPr>
      <w:r>
        <w:rPr>
          <w:rFonts w:cs="Calibri"/>
          <w:u w:val="single"/>
        </w:rPr>
        <w:t>Guidelines</w:t>
      </w:r>
      <w:r>
        <w:rPr>
          <w:rFonts w:cs="Calibri"/>
        </w:rPr>
        <w:t xml:space="preserve">: </w:t>
      </w:r>
      <w:r>
        <w:rPr/>
        <w:t>This control enhancement enables organizations to extend or limit auditing as necessary to meet organizational requirements. Auditing that is limited to conserve information system resources may be extended to address certain threat situations. In addition, auditing may be limited to a specific set of events to facilitate audit reduction, analysis and reporting. Organizations can establish time thresholds in which audit actions are changed, for example, near real-time, within minutes or within hours.</w:t>
      </w:r>
    </w:p>
    <w:p>
      <w:pPr>
        <w:pStyle w:val="Normal"/>
        <w:rPr/>
      </w:pPr>
      <w:r>
        <w:rPr/>
      </w:r>
    </w:p>
    <w:p>
      <w:pPr>
        <w:pStyle w:val="Normal"/>
        <w:rPr/>
      </w:pPr>
      <w:r>
        <w:rPr/>
      </w:r>
    </w:p>
    <w:p>
      <w:pPr>
        <w:pStyle w:val="Heading2"/>
        <w:rPr/>
      </w:pPr>
      <w:bookmarkStart w:id="473" w:name="_Toc474074866"/>
      <w:bookmarkStart w:id="474" w:name="_Toc474075569"/>
      <w:bookmarkStart w:id="475" w:name="_Toc34920666"/>
      <w:r>
        <w:rPr/>
        <w:t>MON-03: Content of Audit Records</w:t>
      </w:r>
      <w:bookmarkEnd w:id="473"/>
      <w:bookmarkEnd w:id="474"/>
      <w:bookmarkEnd w:id="475"/>
      <w:r>
        <w:rPr/>
        <w:t xml:space="preserve"> </w:t>
      </w:r>
    </w:p>
    <w:p>
      <w:pPr>
        <w:pStyle w:val="Normal"/>
        <w:rPr/>
      </w:pPr>
      <w:r>
        <w:rPr>
          <w:u w:val="single"/>
        </w:rPr>
        <w:t>Control Objective</w:t>
      </w:r>
      <w:r>
        <w:rPr/>
        <w:t>: Systems are configured to produce audit records that contain sufficient information to, at a minimum:</w:t>
      </w:r>
      <w:r>
        <w:rPr>
          <w:rStyle w:val="FootnoteAnchor"/>
          <w:rStyle w:val="FootnoteAnchor"/>
          <w:rFonts w:cs="Calibri"/>
        </w:rPr>
        <w:footnoteReference w:id="153"/>
      </w:r>
    </w:p>
    <w:p>
      <w:pPr>
        <w:pStyle w:val="ListParagraph"/>
        <w:numPr>
          <w:ilvl w:val="0"/>
          <w:numId w:val="166"/>
        </w:numPr>
        <w:rPr/>
      </w:pPr>
      <w:r>
        <w:rPr/>
        <w:t>Establish what type of event occurred;</w:t>
      </w:r>
    </w:p>
    <w:p>
      <w:pPr>
        <w:pStyle w:val="ListParagraph"/>
        <w:numPr>
          <w:ilvl w:val="0"/>
          <w:numId w:val="166"/>
        </w:numPr>
        <w:rPr/>
      </w:pPr>
      <w:r>
        <w:rPr/>
        <w:t>When (date and time) the event occurred;</w:t>
      </w:r>
    </w:p>
    <w:p>
      <w:pPr>
        <w:pStyle w:val="ListParagraph"/>
        <w:numPr>
          <w:ilvl w:val="0"/>
          <w:numId w:val="166"/>
        </w:numPr>
        <w:rPr/>
      </w:pPr>
      <w:r>
        <w:rPr/>
        <w:t>Where the event occurred;</w:t>
      </w:r>
    </w:p>
    <w:p>
      <w:pPr>
        <w:pStyle w:val="ListParagraph"/>
        <w:numPr>
          <w:ilvl w:val="0"/>
          <w:numId w:val="166"/>
        </w:numPr>
        <w:rPr/>
      </w:pPr>
      <w:r>
        <w:rPr/>
        <w:t>The source of the event;</w:t>
      </w:r>
    </w:p>
    <w:p>
      <w:pPr>
        <w:pStyle w:val="ListParagraph"/>
        <w:numPr>
          <w:ilvl w:val="0"/>
          <w:numId w:val="166"/>
        </w:numPr>
        <w:rPr/>
      </w:pPr>
      <w:r>
        <w:rPr/>
        <w:t xml:space="preserve">The outcome (success or failure) of the event; and </w:t>
      </w:r>
    </w:p>
    <w:p>
      <w:pPr>
        <w:pStyle w:val="ListParagraph"/>
        <w:numPr>
          <w:ilvl w:val="0"/>
          <w:numId w:val="166"/>
        </w:numPr>
        <w:rPr/>
      </w:pPr>
      <w:r>
        <w:rPr/>
        <w:t>The identity of any user / subject associated with the event.</w:t>
      </w:r>
    </w:p>
    <w:p>
      <w:pPr>
        <w:pStyle w:val="Normal"/>
        <w:rPr/>
      </w:pPr>
      <w:r>
        <w:rPr/>
      </w:r>
    </w:p>
    <w:p>
      <w:pPr>
        <w:pStyle w:val="Normal"/>
        <w:rPr/>
      </w:pPr>
      <w:r>
        <w:rPr>
          <w:u w:val="single"/>
        </w:rPr>
        <w:t>Standard</w:t>
      </w:r>
      <w:r>
        <w:rPr/>
        <w:t>: Asset custodians are required to configure systems to record at least the following audit trail entries for all system components for each event:</w:t>
      </w:r>
      <w:r>
        <w:rPr>
          <w:rStyle w:val="FootnoteCharacters"/>
          <w:rFonts w:cs="Calibri"/>
        </w:rPr>
        <w:t xml:space="preserve"> </w:t>
      </w:r>
    </w:p>
    <w:p>
      <w:pPr>
        <w:pStyle w:val="ListParagraph"/>
        <w:numPr>
          <w:ilvl w:val="0"/>
          <w:numId w:val="276"/>
        </w:numPr>
        <w:rPr/>
      </w:pPr>
      <w:r>
        <w:rPr/>
        <w:t>User identification;</w:t>
      </w:r>
      <w:r>
        <w:rPr>
          <w:rStyle w:val="FootnoteCharacters"/>
          <w:rFonts w:cs="Calibri"/>
        </w:rPr>
        <w:t xml:space="preserve"> </w:t>
      </w:r>
    </w:p>
    <w:p>
      <w:pPr>
        <w:pStyle w:val="ListParagraph"/>
        <w:numPr>
          <w:ilvl w:val="0"/>
          <w:numId w:val="276"/>
        </w:numPr>
        <w:rPr/>
      </w:pPr>
      <w:r>
        <w:rPr/>
        <w:t>Type of event;</w:t>
      </w:r>
      <w:r>
        <w:rPr>
          <w:rStyle w:val="FootnoteCharacters"/>
          <w:rFonts w:cs="Calibri"/>
        </w:rPr>
        <w:t xml:space="preserve"> </w:t>
      </w:r>
    </w:p>
    <w:p>
      <w:pPr>
        <w:pStyle w:val="ListParagraph"/>
        <w:numPr>
          <w:ilvl w:val="0"/>
          <w:numId w:val="276"/>
        </w:numPr>
        <w:rPr/>
      </w:pPr>
      <w:r>
        <w:rPr/>
        <w:t>Date and time;</w:t>
      </w:r>
      <w:r>
        <w:rPr>
          <w:rStyle w:val="FootnoteCharacters"/>
          <w:rFonts w:cs="Calibri"/>
        </w:rPr>
        <w:t xml:space="preserve"> </w:t>
      </w:r>
    </w:p>
    <w:p>
      <w:pPr>
        <w:pStyle w:val="ListParagraph"/>
        <w:numPr>
          <w:ilvl w:val="0"/>
          <w:numId w:val="276"/>
        </w:numPr>
        <w:rPr/>
      </w:pPr>
      <w:r>
        <w:rPr/>
        <w:t>Success or failure indication;</w:t>
      </w:r>
      <w:r>
        <w:rPr>
          <w:rStyle w:val="FootnoteCharacters"/>
          <w:rFonts w:cs="Calibri"/>
        </w:rPr>
        <w:t xml:space="preserve"> </w:t>
      </w:r>
    </w:p>
    <w:p>
      <w:pPr>
        <w:pStyle w:val="ListParagraph"/>
        <w:numPr>
          <w:ilvl w:val="0"/>
          <w:numId w:val="276"/>
        </w:numPr>
        <w:rPr/>
      </w:pPr>
      <w:r>
        <w:rPr/>
        <w:t>Origination of event;</w:t>
      </w:r>
      <w:r>
        <w:rPr>
          <w:rStyle w:val="FootnoteCharacters"/>
          <w:rFonts w:cs="Calibri"/>
        </w:rPr>
        <w:t xml:space="preserve"> </w:t>
      </w:r>
      <w:r>
        <w:rPr/>
        <w:t>and</w:t>
      </w:r>
    </w:p>
    <w:p>
      <w:pPr>
        <w:pStyle w:val="ListParagraph"/>
        <w:numPr>
          <w:ilvl w:val="0"/>
          <w:numId w:val="276"/>
        </w:numPr>
        <w:rPr/>
      </w:pPr>
      <w:r>
        <w:rPr/>
        <w:t>Identity or name of affected data, system component or resource.</w:t>
      </w:r>
      <w:r>
        <w:rPr>
          <w:rStyle w:val="FootnoteCharacters"/>
          <w:rFonts w:cs="Calibri"/>
        </w:rPr>
        <w:t xml:space="preserve"> </w:t>
      </w:r>
    </w:p>
    <w:p>
      <w:pPr>
        <w:pStyle w:val="Normal"/>
        <w:rPr/>
      </w:pPr>
      <w:r>
        <w:rPr/>
      </w:r>
    </w:p>
    <w:p>
      <w:pPr>
        <w:pStyle w:val="Normal"/>
        <w:rPr/>
      </w:pPr>
      <w:r>
        <w:rPr>
          <w:u w:val="single"/>
        </w:rPr>
        <w:t>Guidelines</w:t>
      </w:r>
      <w:r>
        <w:rPr/>
        <w:t>: Systems should record logs in a standardized format such as syslog entries or those outlined by the Common Event Expression initiative. If systems cannot generate logs in a standardized format, log normalization tools can be deployed to convert logs into such a format.</w:t>
      </w:r>
    </w:p>
    <w:p>
      <w:pPr>
        <w:pStyle w:val="Normal"/>
        <w:rPr/>
      </w:pPr>
      <w:r>
        <w:rPr/>
      </w:r>
    </w:p>
    <w:p>
      <w:pPr>
        <w:pStyle w:val="Heading3"/>
        <w:rPr/>
      </w:pPr>
      <w:bookmarkStart w:id="476" w:name="_Toc474074867"/>
      <w:bookmarkStart w:id="477" w:name="_Toc34920667"/>
      <w:r>
        <w:rPr/>
        <w:t>MON-03(a): Content Of Audit Records | Sensitive Audit Information</w:t>
      </w:r>
      <w:bookmarkEnd w:id="476"/>
      <w:bookmarkEnd w:id="477"/>
    </w:p>
    <w:p>
      <w:pPr>
        <w:pStyle w:val="Normal"/>
        <w:rPr/>
      </w:pPr>
      <w:r>
        <w:rPr>
          <w:u w:val="single"/>
        </w:rPr>
        <w:t>Control Objective</w:t>
      </w:r>
      <w:r>
        <w:rPr/>
        <w:t>: The organization protects sensitive data contained in log files.</w:t>
      </w:r>
      <w:r>
        <w:rPr>
          <w:rStyle w:val="FootnoteAnchor"/>
          <w:rStyle w:val="FootnoteAnchor"/>
          <w:rFonts w:cs="Calibri"/>
          <w:bCs w:val="false"/>
        </w:rPr>
        <w:footnoteReference w:id="154"/>
      </w:r>
      <w:r>
        <w:rPr>
          <w:rStyle w:val="FootnoteCharacters"/>
          <w:rFonts w:cs="Calibri"/>
        </w:rPr>
        <w:t xml:space="preserve"> </w:t>
      </w:r>
    </w:p>
    <w:p>
      <w:pPr>
        <w:pStyle w:val="Normal"/>
        <w:rPr/>
      </w:pPr>
      <w:r>
        <w:rPr/>
      </w:r>
    </w:p>
    <w:p>
      <w:pPr>
        <w:pStyle w:val="Normal"/>
        <w:rPr/>
      </w:pPr>
      <w:r>
        <w:rPr>
          <w:u w:val="single"/>
        </w:rPr>
        <w:t>Standard</w:t>
      </w:r>
      <w:r>
        <w:rPr/>
        <w:t>: Data / process owners and custodians are required to protect and where required encrypt, log files that may contain sensitive data:</w:t>
      </w:r>
    </w:p>
    <w:p>
      <w:pPr>
        <w:pStyle w:val="ListParagraph"/>
        <w:numPr>
          <w:ilvl w:val="0"/>
          <w:numId w:val="277"/>
        </w:numPr>
        <w:rPr/>
      </w:pPr>
      <w:r>
        <w:rPr/>
        <w:t>Passwords in the clear;</w:t>
      </w:r>
    </w:p>
    <w:p>
      <w:pPr>
        <w:pStyle w:val="ListParagraph"/>
        <w:numPr>
          <w:ilvl w:val="0"/>
          <w:numId w:val="277"/>
        </w:numPr>
        <w:rPr/>
      </w:pPr>
      <w:r>
        <w:rPr/>
        <w:t>Social Security Numbers (SSN) or country-specific identification numbers;</w:t>
      </w:r>
    </w:p>
    <w:p>
      <w:pPr>
        <w:pStyle w:val="ListParagraph"/>
        <w:numPr>
          <w:ilvl w:val="0"/>
          <w:numId w:val="277"/>
        </w:numPr>
        <w:rPr/>
      </w:pPr>
      <w:r>
        <w:rPr/>
        <w:t>Payment card numbers (e.g. credit or debit card); or</w:t>
      </w:r>
    </w:p>
    <w:p>
      <w:pPr>
        <w:pStyle w:val="ListParagraph"/>
        <w:numPr>
          <w:ilvl w:val="0"/>
          <w:numId w:val="277"/>
        </w:numPr>
        <w:rPr/>
      </w:pPr>
      <w:r>
        <w:rPr/>
        <w:t>Financial account numbers.</w:t>
      </w:r>
    </w:p>
    <w:p>
      <w:pPr>
        <w:pStyle w:val="ListParagraph"/>
        <w:rPr/>
      </w:pPr>
      <w:r>
        <w:rPr/>
      </w:r>
    </w:p>
    <w:p>
      <w:pPr>
        <w:pStyle w:val="Normal"/>
        <w:rPr/>
      </w:pPr>
      <w:r>
        <w:rPr>
          <w:u w:val="single"/>
        </w:rPr>
        <w:t>Guidelines</w:t>
      </w:r>
      <w:r>
        <w:rPr/>
        <w:t>: Detailed information that organizations may consider in audit records includes, for example, full-text recording of privileged commands or the individual identities of group account users. Organizations consider limiting the additional audit information to only that information explicitly needed for specific audit requirements. This facilitates the use of audit trails and audit logs by not including information that could potentially be misleading or could make it more difficult to locate information of interest.</w:t>
      </w:r>
    </w:p>
    <w:p>
      <w:pPr>
        <w:pStyle w:val="Normal"/>
        <w:rPr/>
      </w:pPr>
      <w:r>
        <w:rPr/>
      </w:r>
    </w:p>
    <w:p>
      <w:pPr>
        <w:pStyle w:val="Heading3"/>
        <w:rPr/>
      </w:pPr>
      <w:bookmarkStart w:id="478" w:name="_Toc34920668"/>
      <w:bookmarkStart w:id="479" w:name="_Toc474074868"/>
      <w:r>
        <w:rPr/>
        <w:t xml:space="preserve">MON-03(b): Content Of Audit Records | </w:t>
      </w:r>
      <w:bookmarkEnd w:id="479"/>
      <w:r>
        <w:rPr/>
        <w:t>Audit Trails</w:t>
      </w:r>
      <w:bookmarkEnd w:id="478"/>
    </w:p>
    <w:p>
      <w:pPr>
        <w:pStyle w:val="Normal"/>
        <w:rPr>
          <w:rFonts w:cs="Calibri"/>
        </w:rPr>
      </w:pPr>
      <w:r>
        <w:rPr>
          <w:u w:val="single"/>
        </w:rPr>
        <w:t>Control Objective</w:t>
      </w:r>
      <w:r>
        <w:rPr/>
        <w:t>: The organization implements audit trails for linking access to system components to individual users.</w:t>
      </w:r>
      <w:r>
        <w:rPr>
          <w:rStyle w:val="FootnoteCharacters"/>
          <w:rFonts w:cs="Calibri"/>
        </w:rPr>
        <w:t xml:space="preserve"> </w:t>
      </w:r>
    </w:p>
    <w:p>
      <w:pPr>
        <w:pStyle w:val="Normal"/>
        <w:rPr/>
      </w:pPr>
      <w:r>
        <w:rPr/>
      </w:r>
    </w:p>
    <w:p>
      <w:pPr>
        <w:pStyle w:val="Normal"/>
        <w:rPr/>
      </w:pPr>
      <w:r>
        <w:rPr>
          <w:u w:val="single"/>
        </w:rPr>
        <w:t>Standard</w:t>
      </w:r>
      <w:r>
        <w:rPr/>
        <w:t>: Asset custodians are required to implement auditing of systems and applications that allow access to system components to be linked to individual users.</w:t>
      </w:r>
      <w:r>
        <w:rPr>
          <w:rStyle w:val="FootnoteCharacters"/>
          <w:rFonts w:cs="Calibri"/>
        </w:rPr>
        <w:t xml:space="preserve"> </w:t>
      </w:r>
    </w:p>
    <w:p>
      <w:pPr>
        <w:pStyle w:val="Normal"/>
        <w:rPr/>
      </w:pPr>
      <w:r>
        <w:rPr/>
      </w:r>
    </w:p>
    <w:p>
      <w:pPr>
        <w:pStyle w:val="Normal"/>
        <w:rPr>
          <w:b/>
          <w:b/>
        </w:rPr>
      </w:pPr>
      <w:r>
        <w:rPr>
          <w:u w:val="single"/>
        </w:rPr>
        <w:t>Guidelines</w:t>
      </w:r>
      <w:r>
        <w:rPr/>
        <w:t>: It is critical to have a process or system that links user access to system components accessed. This system generates audit logs and provides the ability to trace back suspicious activity to a specific user.</w:t>
      </w:r>
    </w:p>
    <w:p>
      <w:pPr>
        <w:pStyle w:val="Normal"/>
        <w:rPr/>
      </w:pPr>
      <w:r>
        <w:rPr/>
      </w:r>
    </w:p>
    <w:p>
      <w:pPr>
        <w:pStyle w:val="Heading3"/>
        <w:rPr/>
      </w:pPr>
      <w:bookmarkStart w:id="480" w:name="_Toc474074869"/>
      <w:bookmarkStart w:id="481" w:name="_Toc34920669"/>
      <w:r>
        <w:rPr/>
        <w:t>MON-03(c): Content Of Audit Records | Privileged Functions Logging</w:t>
      </w:r>
      <w:bookmarkEnd w:id="480"/>
      <w:bookmarkEnd w:id="481"/>
      <w:r>
        <w:rPr/>
        <w:t xml:space="preserve"> </w:t>
      </w:r>
    </w:p>
    <w:p>
      <w:pPr>
        <w:pStyle w:val="Normal"/>
        <w:rPr/>
      </w:pPr>
      <w:r>
        <w:rPr>
          <w:u w:val="single"/>
        </w:rPr>
        <w:t>Control Objective</w:t>
      </w:r>
      <w:r>
        <w:rPr/>
        <w:t>: The organization logs the execution of privileged functions and regularly reviews activities with elevated privileges.</w:t>
      </w:r>
      <w:r>
        <w:rPr>
          <w:rStyle w:val="FootnoteAnchor"/>
          <w:rStyle w:val="FootnoteAnchor"/>
          <w:rFonts w:cs="Calibri"/>
        </w:rPr>
        <w:footnoteReference w:id="155"/>
      </w:r>
    </w:p>
    <w:p>
      <w:pPr>
        <w:pStyle w:val="Normal"/>
        <w:rPr/>
      </w:pPr>
      <w:r>
        <w:rPr>
          <w:rStyle w:val="FootnoteCharacters"/>
          <w:rFonts w:cs="Calibri"/>
        </w:rPr>
        <w:t xml:space="preserve"> </w:t>
      </w:r>
    </w:p>
    <w:p>
      <w:pPr>
        <w:pStyle w:val="Normal"/>
        <w:rPr/>
      </w:pPr>
      <w:r>
        <w:rPr>
          <w:u w:val="single"/>
        </w:rPr>
        <w:t>Standard</w:t>
      </w:r>
      <w:r>
        <w:rPr/>
        <w:t>: NFCC is required to:</w:t>
      </w:r>
    </w:p>
    <w:p>
      <w:pPr>
        <w:pStyle w:val="ListParagraph"/>
        <w:numPr>
          <w:ilvl w:val="0"/>
          <w:numId w:val="216"/>
        </w:numPr>
        <w:rPr/>
      </w:pPr>
      <w:r>
        <w:rPr/>
        <w:t xml:space="preserve">Establish a process for linking all access to systems, including administrative privileged accounts (e.g., root or administrator) to each individual user; </w:t>
      </w:r>
    </w:p>
    <w:p>
      <w:pPr>
        <w:pStyle w:val="ListParagraph"/>
        <w:numPr>
          <w:ilvl w:val="0"/>
          <w:numId w:val="216"/>
        </w:numPr>
        <w:rPr/>
      </w:pPr>
      <w:r>
        <w:rPr/>
        <w:t>Configure systems to issue a log entry and alert when an account is added to or removed from an administrators’ group or when a new local administrator account is added to a system; and</w:t>
      </w:r>
    </w:p>
    <w:p>
      <w:pPr>
        <w:pStyle w:val="ListParagraph"/>
        <w:numPr>
          <w:ilvl w:val="0"/>
          <w:numId w:val="216"/>
        </w:numPr>
        <w:rPr/>
      </w:pPr>
      <w:r>
        <w:rPr/>
        <w:t>Where technically feasible, full-text analysis of privileged commands is required to be implemented to properly audit privileged actions performed on critical systems.</w:t>
      </w:r>
    </w:p>
    <w:p>
      <w:pPr>
        <w:pStyle w:val="Normal"/>
        <w:rPr/>
      </w:pPr>
      <w:r>
        <w:rPr/>
      </w:r>
    </w:p>
    <w:p>
      <w:pPr>
        <w:pStyle w:val="Normal"/>
        <w:rPr/>
      </w:pPr>
      <w:r>
        <w:rPr>
          <w:u w:val="single"/>
        </w:rPr>
        <w:t>Guidelines</w:t>
      </w:r>
      <w:r>
        <w:rPr/>
        <w:t>: Full-text analysis refers to analysis that considers the full text of privileged commands (e.g., commands and all parameters) as opposed to analysis that only considers the name of the command. Full-text analysis includes, for example, the use of pattern matching and heuristics.</w:t>
      </w:r>
    </w:p>
    <w:p>
      <w:pPr>
        <w:pStyle w:val="Normal"/>
        <w:rPr/>
      </w:pPr>
      <w:r>
        <w:rPr/>
      </w:r>
    </w:p>
    <w:p>
      <w:pPr>
        <w:pStyle w:val="Heading3"/>
        <w:rPr/>
      </w:pPr>
      <w:bookmarkStart w:id="482" w:name="_Toc474074870"/>
      <w:bookmarkStart w:id="483" w:name="_Toc34920670"/>
      <w:r>
        <w:rPr/>
        <w:t>MON-03(d): Content Of Audit Records | Verbosity Logging for Boundary Devices</w:t>
      </w:r>
      <w:bookmarkEnd w:id="482"/>
      <w:bookmarkEnd w:id="483"/>
      <w:r>
        <w:rPr/>
        <w:t xml:space="preserve"> </w:t>
      </w:r>
    </w:p>
    <w:p>
      <w:pPr>
        <w:pStyle w:val="Normal"/>
        <w:rPr/>
      </w:pPr>
      <w:r>
        <w:rPr>
          <w:u w:val="single"/>
        </w:rPr>
        <w:t>Control Objective</w:t>
      </w:r>
      <w:r>
        <w:rPr/>
        <w:t>: The organization configures network boundary devices, including firewalls, network-based Intrusion Detection / Protection Systems (IDS / IPS) and inbound and outbound proxies, to verbosely log all traffic (both allowed and blocked) arriving at the device.</w:t>
      </w:r>
    </w:p>
    <w:p>
      <w:pPr>
        <w:pStyle w:val="Normal"/>
        <w:rPr/>
      </w:pPr>
      <w:r>
        <w:rPr/>
      </w:r>
    </w:p>
    <w:p>
      <w:pPr>
        <w:pStyle w:val="Normal"/>
        <w:rPr/>
      </w:pPr>
      <w:r>
        <w:rPr>
          <w:rStyle w:val="FootnoteCharacters"/>
          <w:rFonts w:cs="Calibri"/>
        </w:rPr>
        <w:t xml:space="preserve"> </w:t>
      </w:r>
      <w:r>
        <w:rPr>
          <w:u w:val="single"/>
        </w:rPr>
        <w:t>Standard</w:t>
      </w:r>
      <w:r>
        <w:rPr/>
        <w:t>: Where technically feasible, network administrators are required to configure network boundary devices, including firewalls, network-based IPS and inbound and outbound proxies, to verbosely log all traffic (both allowed and blocked) arriving at the device.</w:t>
      </w:r>
    </w:p>
    <w:p>
      <w:pPr>
        <w:pStyle w:val="Normal"/>
        <w:rPr/>
      </w:pPr>
      <w:r>
        <w:rPr/>
      </w:r>
    </w:p>
    <w:p>
      <w:pPr>
        <w:pStyle w:val="Normal"/>
        <w:rPr/>
      </w:pPr>
      <w:r>
        <w:rPr>
          <w:u w:val="single"/>
        </w:rPr>
        <w:t>Guidelines</w:t>
      </w:r>
      <w:r>
        <w:rPr/>
        <w:t>: Logging must be sufficient to determine source and destination of every connection.</w:t>
      </w:r>
    </w:p>
    <w:p>
      <w:pPr>
        <w:pStyle w:val="Normal"/>
        <w:rPr/>
      </w:pPr>
      <w:r>
        <w:rPr/>
      </w:r>
    </w:p>
    <w:p>
      <w:pPr>
        <w:pStyle w:val="Heading3"/>
        <w:rPr/>
      </w:pPr>
      <w:bookmarkStart w:id="484" w:name="_Toc34920671"/>
      <w:r>
        <w:rPr/>
        <w:t>MON-03(e): Content Of Audit Records | Limit Personal Data (PD) In Audit Records</w:t>
      </w:r>
      <w:bookmarkEnd w:id="484"/>
      <w:r>
        <w:rPr/>
        <w:t xml:space="preserve"> </w:t>
      </w:r>
    </w:p>
    <w:p>
      <w:pPr>
        <w:pStyle w:val="Normal"/>
        <w:rPr/>
      </w:pPr>
      <w:r>
        <w:rPr>
          <w:u w:val="single"/>
        </w:rPr>
        <w:t>Control Objective</w:t>
      </w:r>
      <w:r>
        <w:rPr/>
        <w:t>: The organization limits Personal Data (PD) contained in audit records to the following elements identified in the privacy risk assessment.</w:t>
      </w:r>
    </w:p>
    <w:p>
      <w:pPr>
        <w:pStyle w:val="Normal"/>
        <w:rPr/>
      </w:pPr>
      <w:r>
        <w:rPr/>
      </w:r>
    </w:p>
    <w:p>
      <w:pPr>
        <w:pStyle w:val="Normal"/>
        <w:rPr>
          <w:bCs w:val="false"/>
        </w:rPr>
      </w:pPr>
      <w:r>
        <w:rPr>
          <w:u w:val="single"/>
        </w:rPr>
        <w:t>Standard</w:t>
      </w:r>
      <w:r>
        <w:rPr/>
        <w:t>: Asset owners and custodians are required to limit Personal Data (PD) contained in audit records to the elements identified in the Privacy Risk Assessment (PIA).</w:t>
      </w:r>
    </w:p>
    <w:p>
      <w:pPr>
        <w:pStyle w:val="Normal"/>
        <w:rPr/>
      </w:pPr>
      <w:r>
        <w:rPr/>
      </w:r>
    </w:p>
    <w:p>
      <w:pPr>
        <w:pStyle w:val="Normal"/>
        <w:rPr/>
      </w:pPr>
      <w:r>
        <w:rPr>
          <w:u w:val="single"/>
        </w:rPr>
        <w:t>Guidelines</w:t>
      </w:r>
      <w:r>
        <w:rPr/>
        <w:t>: Limiting Personal Data (PD) in audit records when such information is not needed for operational purposes helps reduce the level of privacy risk created by a system.</w:t>
      </w:r>
    </w:p>
    <w:p>
      <w:pPr>
        <w:pStyle w:val="Normal"/>
        <w:rPr/>
      </w:pPr>
      <w:r>
        <w:rPr/>
      </w:r>
    </w:p>
    <w:p>
      <w:pPr>
        <w:pStyle w:val="Heading3"/>
        <w:rPr/>
      </w:pPr>
      <w:bookmarkStart w:id="485" w:name="_Toc23241975"/>
      <w:bookmarkStart w:id="486" w:name="_Toc34920672"/>
      <w:r>
        <w:rPr/>
        <w:t>MON-03(f): Content of Audit Records | Centralized Management of Planned Audit Record Content</w:t>
      </w:r>
      <w:bookmarkEnd w:id="485"/>
      <w:bookmarkEnd w:id="486"/>
      <w:r>
        <w:rPr/>
        <w:t xml:space="preserve"> </w:t>
      </w:r>
    </w:p>
    <w:p>
      <w:pPr>
        <w:pStyle w:val="Normal"/>
        <w:rPr/>
      </w:pPr>
      <w:r>
        <w:rPr>
          <w:rFonts w:cs="Calibri"/>
          <w:u w:val="single"/>
        </w:rPr>
        <w:t>Control Objective</w:t>
      </w:r>
      <w:r>
        <w:rPr>
          <w:rFonts w:cs="Calibri"/>
        </w:rPr>
        <w:t xml:space="preserve">: </w:t>
      </w:r>
      <w:r>
        <w:rPr/>
        <w:t xml:space="preserve">The information system provides centralized management and configuration of the content to be captured in audit records generated by organization-defined information system components. </w:t>
      </w:r>
    </w:p>
    <w:p>
      <w:pPr>
        <w:pStyle w:val="Normal"/>
        <w:rPr>
          <w:rFonts w:cs="Calibri"/>
        </w:rPr>
      </w:pPr>
      <w:r>
        <w:rPr>
          <w:rFonts w:cs="Calibri"/>
        </w:rPr>
      </w:r>
    </w:p>
    <w:p>
      <w:pPr>
        <w:pStyle w:val="Normal"/>
        <w:rPr>
          <w:rFonts w:cs="Calibri"/>
        </w:rPr>
      </w:pPr>
      <w:r>
        <w:rPr>
          <w:rFonts w:cs="Calibri"/>
          <w:bCs w:val="false"/>
          <w:u w:val="single"/>
        </w:rPr>
        <w:t>Standard</w:t>
      </w:r>
      <w:r>
        <w:rPr>
          <w:rFonts w:cs="Calibri"/>
          <w:bCs w:val="false"/>
        </w:rPr>
        <w:t>:</w:t>
      </w:r>
      <w:r>
        <w:rPr>
          <w:rFonts w:cs="Calibri"/>
        </w:rPr>
        <w:t xml:space="preserve"> NFCC requires centralized management for audit records, where technically feasible:</w:t>
      </w:r>
    </w:p>
    <w:p>
      <w:pPr>
        <w:pStyle w:val="ListParagraph"/>
        <w:numPr>
          <w:ilvl w:val="0"/>
          <w:numId w:val="655"/>
        </w:numPr>
        <w:rPr>
          <w:rFonts w:cs="Calibri"/>
        </w:rPr>
      </w:pPr>
      <w:r>
        <w:rPr>
          <w:rFonts w:cs="Calibri"/>
        </w:rPr>
        <w:t>For Microsoft Windows-based systems, Active Directory (AD) will be used as the primary tool to capture audit record content;</w:t>
      </w:r>
    </w:p>
    <w:p>
      <w:pPr>
        <w:pStyle w:val="ListParagraph"/>
        <w:numPr>
          <w:ilvl w:val="0"/>
          <w:numId w:val="655"/>
        </w:numPr>
        <w:rPr>
          <w:rFonts w:cs="Calibri"/>
        </w:rPr>
      </w:pPr>
      <w:r>
        <w:rPr>
          <w:rFonts w:cs="Calibri"/>
        </w:rPr>
        <w:t>For non-Microsoft Windows-based systems, data/process owners and asset custodians are responsible for implementing a centralized capability to manage audit logs; and</w:t>
      </w:r>
    </w:p>
    <w:p>
      <w:pPr>
        <w:pStyle w:val="ListParagraph"/>
        <w:numPr>
          <w:ilvl w:val="0"/>
          <w:numId w:val="655"/>
        </w:numPr>
        <w:rPr>
          <w:rFonts w:cs="Calibri"/>
        </w:rPr>
      </w:pPr>
      <w:r>
        <w:rPr>
          <w:rFonts w:cs="Calibri"/>
        </w:rPr>
        <w:t>Where possible, a Security Information Event Manager (SIEM) can be used to manage audit record content.</w:t>
      </w:r>
    </w:p>
    <w:p>
      <w:pPr>
        <w:pStyle w:val="Normal"/>
        <w:rPr>
          <w:rFonts w:cs="Calibri"/>
        </w:rPr>
      </w:pPr>
      <w:r>
        <w:rPr>
          <w:rFonts w:cs="Calibri"/>
        </w:rPr>
      </w:r>
    </w:p>
    <w:p>
      <w:pPr>
        <w:pStyle w:val="Normal"/>
        <w:rPr>
          <w:rFonts w:cs="Calibri"/>
        </w:rPr>
      </w:pPr>
      <w:r>
        <w:rPr>
          <w:rFonts w:cs="Calibri"/>
          <w:u w:val="single"/>
        </w:rPr>
        <w:t>Guidelines</w:t>
      </w:r>
      <w:r>
        <w:rPr>
          <w:rFonts w:cs="Calibri"/>
        </w:rPr>
        <w:t xml:space="preserve">: </w:t>
      </w:r>
      <w:r>
        <w:rPr/>
        <w:t>This control enhancement requires that the content to be captured in audit records be configured from a central location (necessitating automation). Organizations coordinate the selection of required audit content to support the centralized management and configuration capability provided by the information system.</w:t>
      </w:r>
    </w:p>
    <w:p>
      <w:pPr>
        <w:pStyle w:val="Normal"/>
        <w:rPr/>
      </w:pPr>
      <w:r>
        <w:rPr/>
      </w:r>
    </w:p>
    <w:p>
      <w:pPr>
        <w:pStyle w:val="Normal"/>
        <w:rPr/>
      </w:pPr>
      <w:r>
        <w:rPr/>
      </w:r>
    </w:p>
    <w:p>
      <w:pPr>
        <w:pStyle w:val="Heading2"/>
        <w:rPr/>
      </w:pPr>
      <w:bookmarkStart w:id="487" w:name="_Toc474074884"/>
      <w:bookmarkStart w:id="488" w:name="_Toc474075571"/>
      <w:bookmarkStart w:id="489" w:name="_Toc34920673"/>
      <w:r>
        <w:rPr/>
        <w:t>MON-04: Audit Storage Capacity</w:t>
      </w:r>
      <w:bookmarkEnd w:id="487"/>
      <w:bookmarkEnd w:id="488"/>
      <w:bookmarkEnd w:id="489"/>
      <w:r>
        <w:rPr/>
        <w:t xml:space="preserve"> </w:t>
      </w:r>
    </w:p>
    <w:p>
      <w:pPr>
        <w:pStyle w:val="Normal"/>
        <w:rPr/>
      </w:pPr>
      <w:r>
        <w:rPr>
          <w:u w:val="single"/>
        </w:rPr>
        <w:t>Control Objective</w:t>
      </w:r>
      <w:r>
        <w:rPr/>
        <w:t>: The organization allocates audit record storage capacity and configures auditing to reduce the likelihood of such capacity being exceeded.</w:t>
      </w:r>
      <w:r>
        <w:rPr>
          <w:rStyle w:val="FootnoteAnchor"/>
          <w:rStyle w:val="FootnoteAnchor"/>
          <w:rFonts w:cs="Calibri"/>
        </w:rPr>
        <w:footnoteReference w:id="156"/>
      </w:r>
    </w:p>
    <w:p>
      <w:pPr>
        <w:pStyle w:val="Normal"/>
        <w:rPr/>
      </w:pPr>
      <w:r>
        <w:rPr/>
      </w:r>
    </w:p>
    <w:p>
      <w:pPr>
        <w:pStyle w:val="Normal"/>
        <w:rPr/>
      </w:pPr>
      <w:r>
        <w:rPr>
          <w:u w:val="single"/>
        </w:rPr>
        <w:t>Standard</w:t>
      </w:r>
      <w:r>
        <w:rPr/>
        <w:t>: Asset custodians are required to:</w:t>
      </w:r>
    </w:p>
    <w:p>
      <w:pPr>
        <w:pStyle w:val="ListParagraph"/>
        <w:numPr>
          <w:ilvl w:val="0"/>
          <w:numId w:val="278"/>
        </w:numPr>
        <w:rPr/>
      </w:pPr>
      <w:r>
        <w:rPr/>
        <w:t xml:space="preserve">Configure auditing to reduce the likelihood of such capacity being exceeded; </w:t>
      </w:r>
    </w:p>
    <w:p>
      <w:pPr>
        <w:pStyle w:val="ListParagraph"/>
        <w:numPr>
          <w:ilvl w:val="0"/>
          <w:numId w:val="278"/>
        </w:numPr>
        <w:rPr/>
      </w:pPr>
      <w:r>
        <w:rPr/>
        <w:t>Ensure that all systems that store logs have adequate storage space for the logs generated on a regular basis, so that log files will not fill up between log rotation intervals; and</w:t>
      </w:r>
    </w:p>
    <w:p>
      <w:pPr>
        <w:pStyle w:val="ListParagraph"/>
        <w:numPr>
          <w:ilvl w:val="0"/>
          <w:numId w:val="278"/>
        </w:numPr>
        <w:rPr/>
      </w:pPr>
      <w:r>
        <w:rPr/>
        <w:t xml:space="preserve">Periodically archive logs that are digitally signed. </w:t>
      </w:r>
    </w:p>
    <w:p>
      <w:pPr>
        <w:pStyle w:val="Normal"/>
        <w:rPr/>
      </w:pPr>
      <w:r>
        <w:rPr/>
      </w:r>
    </w:p>
    <w:p>
      <w:pPr>
        <w:pStyle w:val="Normal"/>
        <w:rPr/>
      </w:pPr>
      <w:r>
        <w:rPr>
          <w:u w:val="single"/>
        </w:rPr>
        <w:t>Guidelines</w:t>
      </w:r>
      <w:r>
        <w:rPr/>
        <w:t>: Data / process owners must consider the types of auditing to be performed and the audit processing requirements when allocating audit storage capacity. Allocating sufficient audit storage capacity reduces the likelihood of such capacity being exceeded and resulting in the potential loss or reduction of auditing capability.</w:t>
      </w:r>
    </w:p>
    <w:p>
      <w:pPr>
        <w:pStyle w:val="Normal"/>
        <w:rPr/>
      </w:pPr>
      <w:r>
        <w:rPr/>
      </w:r>
    </w:p>
    <w:p>
      <w:pPr>
        <w:pStyle w:val="Normal"/>
        <w:rPr/>
      </w:pPr>
      <w:r>
        <w:rPr/>
      </w:r>
    </w:p>
    <w:p>
      <w:pPr>
        <w:pStyle w:val="Heading2"/>
        <w:rPr/>
      </w:pPr>
      <w:bookmarkStart w:id="490" w:name="_Toc474074886"/>
      <w:bookmarkStart w:id="491" w:name="_Toc474075572"/>
      <w:bookmarkStart w:id="492" w:name="_Toc34920674"/>
      <w:r>
        <w:rPr/>
        <w:t>MON-05: Response To Audit Processing Failures</w:t>
      </w:r>
      <w:bookmarkEnd w:id="490"/>
      <w:bookmarkEnd w:id="491"/>
      <w:bookmarkEnd w:id="492"/>
    </w:p>
    <w:p>
      <w:pPr>
        <w:pStyle w:val="Normal"/>
        <w:rPr/>
      </w:pPr>
      <w:r>
        <w:rPr>
          <w:u w:val="single"/>
        </w:rPr>
        <w:t>Control Objective</w:t>
      </w:r>
      <w:r>
        <w:rPr/>
        <w:t>: Systems:</w:t>
      </w:r>
      <w:r>
        <w:rPr>
          <w:rStyle w:val="FootnoteAnchor"/>
          <w:rStyle w:val="FootnoteAnchor"/>
          <w:rFonts w:cs="Calibri"/>
        </w:rPr>
        <w:footnoteReference w:id="157"/>
      </w:r>
    </w:p>
    <w:p>
      <w:pPr>
        <w:pStyle w:val="ListParagraph"/>
        <w:numPr>
          <w:ilvl w:val="0"/>
          <w:numId w:val="92"/>
        </w:numPr>
        <w:rPr/>
      </w:pPr>
      <w:r>
        <w:rPr/>
        <w:t>Alert designated organizational officials in the event of an audit processing failure; and</w:t>
      </w:r>
    </w:p>
    <w:p>
      <w:pPr>
        <w:pStyle w:val="ListParagraph"/>
        <w:numPr>
          <w:ilvl w:val="0"/>
          <w:numId w:val="92"/>
        </w:numPr>
        <w:rPr/>
      </w:pPr>
      <w:r>
        <w:rPr/>
        <w:t>Take actions to remedy the audit processing failure.</w:t>
      </w:r>
    </w:p>
    <w:p>
      <w:pPr>
        <w:pStyle w:val="Normal"/>
        <w:rPr/>
      </w:pPr>
      <w:r>
        <w:rPr/>
      </w:r>
    </w:p>
    <w:p>
      <w:pPr>
        <w:pStyle w:val="Normal"/>
        <w:rPr/>
      </w:pPr>
      <w:r>
        <w:rPr>
          <w:u w:val="single"/>
        </w:rPr>
        <w:t>Standard</w:t>
      </w:r>
      <w:r>
        <w:rPr/>
        <w:t>: Asset custodians are required to ensure critical systems are configured to:</w:t>
      </w:r>
    </w:p>
    <w:p>
      <w:pPr>
        <w:pStyle w:val="ListParagraph"/>
        <w:numPr>
          <w:ilvl w:val="0"/>
          <w:numId w:val="279"/>
        </w:numPr>
        <w:rPr/>
      </w:pPr>
      <w:r>
        <w:rPr/>
        <w:t>Alert designated personnel in the event of an audit processing failure; and</w:t>
      </w:r>
    </w:p>
    <w:p>
      <w:pPr>
        <w:pStyle w:val="ListParagraph"/>
        <w:numPr>
          <w:ilvl w:val="0"/>
          <w:numId w:val="279"/>
        </w:numPr>
        <w:rPr/>
      </w:pPr>
      <w:r>
        <w:rPr/>
        <w:t>Take actions to remedy the audit processing failure.</w:t>
      </w:r>
    </w:p>
    <w:p>
      <w:pPr>
        <w:pStyle w:val="Normal"/>
        <w:rPr/>
      </w:pPr>
      <w:r>
        <w:rPr/>
      </w:r>
    </w:p>
    <w:p>
      <w:pPr>
        <w:pStyle w:val="Normal"/>
        <w:rPr/>
      </w:pPr>
      <w:r>
        <w:rPr>
          <w:u w:val="single"/>
        </w:rPr>
        <w:t>Guidelines</w:t>
      </w:r>
      <w:r>
        <w:rPr/>
        <w:t xml:space="preserve">: Audit processing failures include, for example, software / hardware errors, failures in the audit capturing mechanisms and audit storage capacity being reached or exceeded. </w:t>
      </w:r>
    </w:p>
    <w:p>
      <w:pPr>
        <w:pStyle w:val="Normal"/>
        <w:rPr/>
      </w:pPr>
      <w:r>
        <w:rPr/>
      </w:r>
    </w:p>
    <w:p>
      <w:pPr>
        <w:pStyle w:val="Heading3"/>
        <w:rPr/>
      </w:pPr>
      <w:bookmarkStart w:id="493" w:name="_Toc34920675"/>
      <w:bookmarkStart w:id="494" w:name="_Toc474074887"/>
      <w:r>
        <w:rPr/>
        <w:t>MON-05(a): Response To Audit Processing Failures | Real-Time Alerts</w:t>
      </w:r>
      <w:bookmarkEnd w:id="494"/>
      <w:r>
        <w:rPr/>
        <w:t xml:space="preserve"> of Audit Failure</w:t>
      </w:r>
      <w:bookmarkEnd w:id="493"/>
    </w:p>
    <w:p>
      <w:pPr>
        <w:pStyle w:val="Normal"/>
        <w:rPr/>
      </w:pPr>
      <w:r>
        <w:rPr>
          <w:u w:val="single"/>
        </w:rPr>
        <w:t>Control Objective</w:t>
      </w:r>
      <w:r>
        <w:rPr/>
        <w:t>: Systems provide a real-time alert to select personnel when the audit failure event requires real-time alerts.</w:t>
      </w:r>
      <w:r>
        <w:rPr>
          <w:rStyle w:val="FootnoteAnchor"/>
          <w:rStyle w:val="FootnoteAnchor"/>
        </w:rPr>
        <w:footnoteReference w:id="158"/>
      </w:r>
    </w:p>
    <w:p>
      <w:pPr>
        <w:pStyle w:val="Normal"/>
        <w:rPr/>
      </w:pPr>
      <w:r>
        <w:rPr/>
      </w:r>
    </w:p>
    <w:p>
      <w:pPr>
        <w:pStyle w:val="Normal"/>
        <w:rPr/>
      </w:pPr>
      <w:r>
        <w:rPr>
          <w:u w:val="single"/>
        </w:rPr>
        <w:t>Standard</w:t>
      </w:r>
      <w:r>
        <w:rPr/>
        <w:t>: NFCC’s IT staff is assigned the responsibility for managing a 24x7x365 alerting process for critical systems.</w:t>
      </w:r>
    </w:p>
    <w:p>
      <w:pPr>
        <w:pStyle w:val="Normal"/>
        <w:rPr/>
      </w:pPr>
      <w:r>
        <w:rPr/>
      </w:r>
    </w:p>
    <w:p>
      <w:pPr>
        <w:pStyle w:val="Normal"/>
        <w:rPr/>
      </w:pPr>
      <w:r>
        <w:rPr>
          <w:u w:val="single"/>
        </w:rPr>
        <w:t>Guidelines</w:t>
      </w:r>
      <w:r>
        <w:rPr/>
        <w:t>: Alerts provide organizations with urgent messages. Real-time alerts provide these messages at information technology speed (e.g., the time from event detection to alert occurs in seconds or less).</w:t>
      </w:r>
    </w:p>
    <w:p>
      <w:pPr>
        <w:pStyle w:val="Normal"/>
        <w:rPr/>
      </w:pPr>
      <w:r>
        <w:rPr/>
      </w:r>
    </w:p>
    <w:p>
      <w:pPr>
        <w:pStyle w:val="Heading3"/>
        <w:rPr/>
      </w:pPr>
      <w:bookmarkStart w:id="495" w:name="_Toc34920676"/>
      <w:r>
        <w:rPr/>
        <w:t>MON-05(b): Response To Audit Processing Failures | Audit Storage Capacity Alerting</w:t>
      </w:r>
      <w:bookmarkEnd w:id="495"/>
    </w:p>
    <w:p>
      <w:pPr>
        <w:pStyle w:val="Normal"/>
        <w:rPr>
          <w:rFonts w:cs="Calibri"/>
          <w:bCs w:val="false"/>
        </w:rPr>
      </w:pPr>
      <w:r>
        <w:rPr>
          <w:rFonts w:cs="Calibri"/>
          <w:u w:val="single"/>
        </w:rPr>
        <w:t>Control Objective</w:t>
      </w:r>
      <w:r>
        <w:rPr>
          <w:rFonts w:cs="Calibri"/>
        </w:rPr>
        <w:t>:</w:t>
      </w:r>
      <w:r>
        <w:rPr>
          <w:rFonts w:cs="Calibri"/>
          <w:bCs w:val="false"/>
        </w:rPr>
        <w:t xml:space="preserve"> The information system provides a warning to organization-defined personnel, roles, and/or locations within an organization-defined time period when allocated audit record storage volume reaches an organization-defined percentage of repository maximum audit record storage capacity.</w:t>
      </w:r>
      <w:r>
        <w:rPr>
          <w:rStyle w:val="FootnoteCharacters"/>
        </w:rPr>
        <w:t xml:space="preserve"> </w:t>
      </w:r>
      <w:r>
        <w:rPr>
          <w:rStyle w:val="FootnoteAnchor"/>
          <w:rStyle w:val="FootnoteAnchor"/>
        </w:rPr>
        <w:footnoteReference w:id="159"/>
      </w:r>
    </w:p>
    <w:p>
      <w:pPr>
        <w:pStyle w:val="Normal"/>
        <w:rPr>
          <w:rFonts w:cs="Calibri"/>
        </w:rPr>
      </w:pPr>
      <w:r>
        <w:rPr>
          <w:rFonts w:cs="Calibri"/>
        </w:rPr>
      </w:r>
    </w:p>
    <w:p>
      <w:pPr>
        <w:pStyle w:val="Normal"/>
        <w:rPr/>
      </w:pPr>
      <w:r>
        <w:rPr>
          <w:u w:val="single"/>
        </w:rPr>
        <w:t>Standard</w:t>
      </w:r>
      <w:r>
        <w:rPr/>
        <w:t>: Data/process owners and asset custodians are required to:</w:t>
      </w:r>
    </w:p>
    <w:p>
      <w:pPr>
        <w:pStyle w:val="ListParagraph"/>
        <w:numPr>
          <w:ilvl w:val="0"/>
          <w:numId w:val="630"/>
        </w:numPr>
        <w:rPr/>
      </w:pPr>
      <w:r>
        <w:rPr/>
        <w:t>Allocate sufficient processing and storage capacity to reduce the likelihood of exceeding capacity that could negatively impact functionality;</w:t>
      </w:r>
    </w:p>
    <w:p>
      <w:pPr>
        <w:pStyle w:val="ListParagraph"/>
        <w:numPr>
          <w:ilvl w:val="0"/>
          <w:numId w:val="630"/>
        </w:numPr>
        <w:rPr/>
      </w:pPr>
      <w:r>
        <w:rPr/>
        <w:t>Configure alerting to immediately notify asset custodians when audit storage capacity for the system, application or service reaches the following criteria:</w:t>
      </w:r>
    </w:p>
    <w:p>
      <w:pPr>
        <w:pStyle w:val="ListParagraph"/>
        <w:numPr>
          <w:ilvl w:val="1"/>
          <w:numId w:val="630"/>
        </w:numPr>
        <w:rPr/>
      </w:pPr>
      <w:r>
        <w:rPr/>
        <w:t>One year (365 days) or offline log storage capability;</w:t>
      </w:r>
    </w:p>
    <w:p>
      <w:pPr>
        <w:pStyle w:val="ListParagraph"/>
        <w:numPr>
          <w:ilvl w:val="1"/>
          <w:numId w:val="630"/>
        </w:numPr>
        <w:rPr/>
      </w:pPr>
      <w:r>
        <w:rPr/>
        <w:t>Ninety (90) days of online retrieval;</w:t>
      </w:r>
    </w:p>
    <w:p>
      <w:pPr>
        <w:pStyle w:val="ListParagraph"/>
        <w:numPr>
          <w:ilvl w:val="1"/>
          <w:numId w:val="630"/>
        </w:numPr>
        <w:rPr/>
      </w:pPr>
      <w:r>
        <w:rPr/>
        <w:t>Thirty (30) days of online retrieval; and</w:t>
      </w:r>
    </w:p>
    <w:p>
      <w:pPr>
        <w:pStyle w:val="ListParagraph"/>
        <w:numPr>
          <w:ilvl w:val="1"/>
          <w:numId w:val="630"/>
        </w:numPr>
        <w:rPr/>
      </w:pPr>
      <w:r>
        <w:rPr/>
        <w:t>Seven (7) days of online retrieval.</w:t>
      </w:r>
    </w:p>
    <w:p>
      <w:pPr>
        <w:pStyle w:val="Normal"/>
        <w:rPr>
          <w:rFonts w:cs="Calibri"/>
        </w:rPr>
      </w:pPr>
      <w:r>
        <w:rPr>
          <w:rFonts w:cs="Calibri"/>
        </w:rPr>
      </w:r>
    </w:p>
    <w:p>
      <w:pPr>
        <w:pStyle w:val="Normal"/>
        <w:rPr>
          <w:rFonts w:cs="Calibri"/>
        </w:rPr>
      </w:pPr>
      <w:r>
        <w:rPr>
          <w:rFonts w:cs="Calibri"/>
          <w:u w:val="single"/>
        </w:rPr>
        <w:t>Guidelines</w:t>
      </w:r>
      <w:r>
        <w:rPr>
          <w:rFonts w:cs="Calibri"/>
        </w:rPr>
        <w:t xml:space="preserve">: </w:t>
      </w:r>
      <w:r>
        <w:rPr>
          <w:rFonts w:cs="Calibri"/>
          <w:bCs w:val="false"/>
        </w:rPr>
        <w:t>Organizations may have multiple audit data storage repositories distributed across multiple information system components, with each repository having different storage volume capacities.</w:t>
      </w:r>
      <w:bookmarkStart w:id="496" w:name="_Hlk27579005"/>
      <w:bookmarkEnd w:id="496"/>
    </w:p>
    <w:p>
      <w:pPr>
        <w:pStyle w:val="Normal"/>
        <w:rPr/>
      </w:pPr>
      <w:r>
        <w:rPr/>
      </w:r>
    </w:p>
    <w:p>
      <w:pPr>
        <w:pStyle w:val="Normal"/>
        <w:rPr/>
      </w:pPr>
      <w:r>
        <w:rPr/>
      </w:r>
    </w:p>
    <w:p>
      <w:pPr>
        <w:pStyle w:val="Heading2"/>
        <w:rPr/>
      </w:pPr>
      <w:bookmarkStart w:id="497" w:name="_Toc474074888"/>
      <w:bookmarkStart w:id="498" w:name="_Toc474075573"/>
      <w:bookmarkStart w:id="499" w:name="_Toc34920677"/>
      <w:r>
        <w:rPr/>
        <w:t>MON-06: Monitoring Reporting</w:t>
      </w:r>
      <w:bookmarkEnd w:id="497"/>
      <w:bookmarkEnd w:id="498"/>
      <w:bookmarkEnd w:id="499"/>
      <w:r>
        <w:rPr/>
        <w:t xml:space="preserve"> </w:t>
      </w:r>
    </w:p>
    <w:p>
      <w:pPr>
        <w:pStyle w:val="Normal"/>
        <w:rPr/>
      </w:pPr>
      <w:r>
        <w:rPr>
          <w:u w:val="single"/>
        </w:rPr>
        <w:t>Control Objective</w:t>
      </w:r>
      <w:r>
        <w:rPr/>
        <w:t>: Systems provide an audit reduction and report generation capability to aid in detecting and assessing anomalous activity.</w:t>
      </w:r>
      <w:r>
        <w:rPr>
          <w:rStyle w:val="FootnoteAnchor"/>
          <w:rStyle w:val="FootnoteAnchor"/>
          <w:rFonts w:cs="Calibri"/>
        </w:rPr>
        <w:footnoteReference w:id="160"/>
      </w:r>
    </w:p>
    <w:p>
      <w:pPr>
        <w:pStyle w:val="Normal"/>
        <w:rPr/>
      </w:pPr>
      <w:r>
        <w:rPr/>
      </w:r>
    </w:p>
    <w:p>
      <w:pPr>
        <w:pStyle w:val="Normal"/>
        <w:rPr/>
      </w:pPr>
      <w:r>
        <w:rPr>
          <w:u w:val="single"/>
        </w:rPr>
        <w:t>Standard</w:t>
      </w:r>
      <w:r>
        <w:rPr/>
        <w:t>: Data/process owners and asset custodians are required to configure assets to:</w:t>
      </w:r>
    </w:p>
    <w:p>
      <w:pPr>
        <w:pStyle w:val="ListParagraph"/>
        <w:numPr>
          <w:ilvl w:val="0"/>
          <w:numId w:val="220"/>
        </w:numPr>
        <w:rPr/>
      </w:pPr>
      <w:r>
        <w:rPr/>
        <w:t>Automatically filter audit records for events of interest, based on selectable event criteria (e.g., clipping levels); and</w:t>
      </w:r>
    </w:p>
    <w:p>
      <w:pPr>
        <w:pStyle w:val="ListParagraph"/>
        <w:numPr>
          <w:ilvl w:val="0"/>
          <w:numId w:val="220"/>
        </w:numPr>
        <w:rPr/>
      </w:pPr>
      <w:r>
        <w:rPr/>
        <w:t>Generate reports that allow asset custodians and data / process owners to review potentially significant issues and / or incidents on the system generating the event.</w:t>
      </w:r>
    </w:p>
    <w:p>
      <w:pPr>
        <w:pStyle w:val="Normal"/>
        <w:rPr/>
      </w:pPr>
      <w:r>
        <w:rPr/>
      </w:r>
    </w:p>
    <w:p>
      <w:pPr>
        <w:pStyle w:val="Normal"/>
        <w:rPr/>
      </w:pPr>
      <w:r>
        <w:rPr>
          <w:u w:val="single"/>
        </w:rPr>
        <w:t>Guidelines</w:t>
      </w:r>
      <w:r>
        <w:rPr/>
        <w:t>: Audit reduction and report generation capabilities do not always emanate from the same system or from the same organizational entities conducting auditing activities.</w:t>
      </w:r>
    </w:p>
    <w:p>
      <w:pPr>
        <w:pStyle w:val="Normal"/>
        <w:rPr/>
      </w:pPr>
      <w:r>
        <w:rPr/>
      </w:r>
    </w:p>
    <w:p>
      <w:pPr>
        <w:pStyle w:val="Heading3"/>
        <w:rPr/>
      </w:pPr>
      <w:bookmarkStart w:id="500" w:name="_Toc474074889"/>
      <w:bookmarkStart w:id="501" w:name="_Toc34920678"/>
      <w:r>
        <w:rPr/>
        <w:t>MON-06(a): Monitoring Reporting | Query Parameter Audits of Personal Data (PD)</w:t>
      </w:r>
      <w:bookmarkEnd w:id="500"/>
      <w:bookmarkEnd w:id="501"/>
      <w:r>
        <w:rPr/>
        <w:t xml:space="preserve"> </w:t>
      </w:r>
    </w:p>
    <w:p>
      <w:pPr>
        <w:pStyle w:val="Normal"/>
        <w:rPr/>
      </w:pPr>
      <w:r>
        <w:rPr>
          <w:u w:val="single"/>
        </w:rPr>
        <w:t>Control Objective</w:t>
      </w:r>
      <w:r>
        <w:rPr/>
        <w:t>: The organization provides and implements the capability for auditing the parameters of user query events for data sets containing Personal Data (PD).</w:t>
      </w:r>
    </w:p>
    <w:p>
      <w:pPr>
        <w:pStyle w:val="Normal"/>
        <w:rPr/>
      </w:pPr>
      <w:r>
        <w:rPr/>
      </w:r>
    </w:p>
    <w:p>
      <w:pPr>
        <w:pStyle w:val="Normal"/>
        <w:rPr/>
      </w:pPr>
      <w:r>
        <w:rPr>
          <w:u w:val="single"/>
        </w:rPr>
        <w:t>Standard</w:t>
      </w:r>
      <w:r>
        <w:rPr/>
        <w:t xml:space="preserve">: </w:t>
      </w:r>
      <w:bookmarkStart w:id="502" w:name="_Hlk505232005"/>
      <w:r>
        <w:rPr/>
        <w:t>Data/process owners and asset custodians are required to configure systems and services to restrict the parameters of queries for data sets containing Personal Data (PD).</w:t>
      </w:r>
      <w:bookmarkEnd w:id="502"/>
    </w:p>
    <w:p>
      <w:pPr>
        <w:pStyle w:val="Normal"/>
        <w:rPr/>
      </w:pPr>
      <w:r>
        <w:rPr/>
      </w:r>
    </w:p>
    <w:p>
      <w:pPr>
        <w:pStyle w:val="Normal"/>
        <w:rPr/>
      </w:pPr>
      <w:r>
        <w:rPr>
          <w:u w:val="single"/>
        </w:rPr>
        <w:t>Guidelines</w:t>
      </w:r>
      <w:r>
        <w:rPr/>
        <w:t>: Query parameters are explicit criteria that a user or automated system submits to a system to retrieve data. Auditing of query parameters within systems for datasets that contain Personal Data (PD) augments an organization's ability to track and understand the access, usage, or sharing of Personal Data (PD) by authorized personnel.</w:t>
      </w:r>
    </w:p>
    <w:p>
      <w:pPr>
        <w:pStyle w:val="Normal"/>
        <w:rPr/>
      </w:pPr>
      <w:r>
        <w:rPr/>
      </w:r>
    </w:p>
    <w:p>
      <w:pPr>
        <w:pStyle w:val="Heading3"/>
        <w:rPr/>
      </w:pPr>
      <w:bookmarkStart w:id="503" w:name="_Toc34920679"/>
      <w:bookmarkStart w:id="504" w:name="_Toc23241661"/>
      <w:r>
        <w:rPr/>
        <w:t>MON-06(b): Monitoring Reporting | Trend Analysis</w:t>
      </w:r>
      <w:bookmarkEnd w:id="504"/>
      <w:r>
        <w:rPr/>
        <w:t xml:space="preserve"> Reporting</w:t>
      </w:r>
      <w:bookmarkEnd w:id="503"/>
      <w:r>
        <w:rPr/>
        <w:t xml:space="preserve"> </w:t>
      </w:r>
    </w:p>
    <w:p>
      <w:pPr>
        <w:pStyle w:val="Normal"/>
        <w:rPr/>
      </w:pPr>
      <w:r>
        <w:rPr>
          <w:rFonts w:cs="Calibri"/>
          <w:u w:val="single"/>
        </w:rPr>
        <w:t>Control Objective</w:t>
      </w:r>
      <w:r>
        <w:rPr>
          <w:rFonts w:cs="Calibri"/>
        </w:rPr>
        <w:t xml:space="preserve">: </w:t>
      </w:r>
      <w:r>
        <w:rPr/>
        <w:t>The organization employs trend analyses to determine if security control implementations, the frequency of continuous monitoring activities, and/or the types of activities used in the continuous monitoring process need to be modified based on empirical data.</w:t>
      </w:r>
      <w:r>
        <w:rPr>
          <w:rStyle w:val="FootnoteCharacters"/>
          <w:rFonts w:cs="Calibri"/>
        </w:rPr>
        <w:t xml:space="preserve"> </w:t>
      </w:r>
      <w:r>
        <w:rPr>
          <w:rStyle w:val="FootnoteAnchor"/>
          <w:rStyle w:val="FootnoteAnchor"/>
          <w:rFonts w:cs="Calibri"/>
        </w:rPr>
        <w:footnoteReference w:id="161"/>
      </w:r>
    </w:p>
    <w:p>
      <w:pPr>
        <w:pStyle w:val="Normal"/>
        <w:rPr>
          <w:rFonts w:cs="Calibri"/>
        </w:rPr>
      </w:pPr>
      <w:r>
        <w:rPr>
          <w:rFonts w:cs="Calibri"/>
        </w:rPr>
      </w:r>
    </w:p>
    <w:p>
      <w:pPr>
        <w:pStyle w:val="Normal"/>
        <w:rPr>
          <w:rFonts w:cs="Calibri"/>
        </w:rPr>
      </w:pPr>
      <w:r>
        <w:rPr>
          <w:rFonts w:cs="Calibri"/>
          <w:u w:val="single"/>
        </w:rPr>
        <w:t>Standard</w:t>
      </w:r>
      <w:r>
        <w:rPr>
          <w:rFonts w:cs="Calibri"/>
        </w:rPr>
        <w:t xml:space="preserve">: The </w:t>
      </w:r>
      <w:r>
        <w:rPr/>
        <w:t xml:space="preserve">Information Security Officer (ISO) shall develop </w:t>
      </w:r>
      <w:r>
        <w:rPr>
          <w:rFonts w:cs="Calibri"/>
        </w:rPr>
        <w:t>measures of performance or outcome-based metrics, to enable trend analysis through measuring the effectiveness or efficiency of the cybersecurity program and the security controls employed in support of the program.</w:t>
      </w:r>
    </w:p>
    <w:p>
      <w:pPr>
        <w:pStyle w:val="Normal"/>
        <w:rPr>
          <w:rFonts w:cs="Calibri"/>
        </w:rPr>
      </w:pPr>
      <w:r>
        <w:rPr>
          <w:rFonts w:cs="Calibri"/>
        </w:rPr>
      </w:r>
    </w:p>
    <w:p>
      <w:pPr>
        <w:pStyle w:val="Normal"/>
        <w:rPr>
          <w:rFonts w:cs="Calibri"/>
        </w:rPr>
      </w:pPr>
      <w:r>
        <w:rPr>
          <w:rFonts w:cs="Calibri"/>
          <w:u w:val="single"/>
        </w:rPr>
        <w:t>Guidelines</w:t>
      </w:r>
      <w:r>
        <w:rPr>
          <w:rFonts w:cs="Calibri"/>
        </w:rPr>
        <w:t xml:space="preserve">: </w:t>
      </w:r>
      <w:r>
        <w:rPr/>
        <w:t>Trend analyses can include, for example, examining recent threat information regarding the types of threat events that have occurred within the organization or across the federal government, success rates of certain types of cyber attacks, emerging vulnerabilities in information technologies, evolving social engineering techniques, results from multiple security control assessments, the effectiveness of configuration settings and findings from Inspectors General or auditors.</w:t>
      </w:r>
    </w:p>
    <w:p>
      <w:pPr>
        <w:pStyle w:val="Normal"/>
        <w:rPr/>
      </w:pPr>
      <w:r>
        <w:rPr/>
      </w:r>
    </w:p>
    <w:p>
      <w:pPr>
        <w:pStyle w:val="Normal"/>
        <w:rPr/>
      </w:pPr>
      <w:r>
        <w:rPr/>
      </w:r>
    </w:p>
    <w:p>
      <w:pPr>
        <w:pStyle w:val="Heading2"/>
        <w:rPr/>
      </w:pPr>
      <w:bookmarkStart w:id="505" w:name="_Toc474074890"/>
      <w:bookmarkStart w:id="506" w:name="_Toc474075574"/>
      <w:bookmarkStart w:id="507" w:name="_Toc34920680"/>
      <w:r>
        <w:rPr/>
        <w:t>MON-07: Time Stamps</w:t>
      </w:r>
      <w:bookmarkEnd w:id="505"/>
      <w:bookmarkEnd w:id="506"/>
      <w:bookmarkEnd w:id="507"/>
      <w:r>
        <w:rPr/>
        <w:t xml:space="preserve"> </w:t>
      </w:r>
    </w:p>
    <w:p>
      <w:pPr>
        <w:pStyle w:val="Normal"/>
        <w:rPr/>
      </w:pPr>
      <w:r>
        <w:rPr>
          <w:u w:val="single"/>
        </w:rPr>
        <w:t>Control Objective</w:t>
      </w:r>
      <w:r>
        <w:rPr/>
        <w:t>: Systems use internal system clocks to generate time stamps for audit records.</w:t>
      </w:r>
      <w:r>
        <w:rPr>
          <w:rStyle w:val="FootnoteAnchor"/>
          <w:rStyle w:val="FootnoteAnchor"/>
          <w:rFonts w:cs="Calibri"/>
        </w:rPr>
        <w:footnoteReference w:id="162"/>
      </w:r>
    </w:p>
    <w:p>
      <w:pPr>
        <w:pStyle w:val="Normal"/>
        <w:rPr/>
      </w:pPr>
      <w:r>
        <w:rPr/>
      </w:r>
    </w:p>
    <w:p>
      <w:pPr>
        <w:pStyle w:val="Normal"/>
        <w:rPr/>
      </w:pPr>
      <w:r>
        <w:rPr>
          <w:u w:val="single"/>
        </w:rPr>
        <w:t>Standard</w:t>
      </w:r>
      <w:r>
        <w:rPr/>
        <w:t xml:space="preserve">: Asset custodians are required to configure systems and applications to use authoritative Network Time Protocol (NTP) sources for its time-synchronization, to synchronize all critical system clocks and times and ensure that the following is implemented for acquiring, distributing and storing time: </w:t>
      </w:r>
    </w:p>
    <w:p>
      <w:pPr>
        <w:pStyle w:val="ListParagraph"/>
        <w:numPr>
          <w:ilvl w:val="0"/>
          <w:numId w:val="280"/>
        </w:numPr>
        <w:rPr/>
      </w:pPr>
      <w:r>
        <w:rPr/>
        <w:t>Critical systems have the correct and consistent time;</w:t>
      </w:r>
    </w:p>
    <w:p>
      <w:pPr>
        <w:pStyle w:val="ListParagraph"/>
        <w:numPr>
          <w:ilvl w:val="0"/>
          <w:numId w:val="280"/>
        </w:numPr>
        <w:rPr/>
      </w:pPr>
      <w:r>
        <w:rPr/>
        <w:t>Time data is protected; and</w:t>
      </w:r>
    </w:p>
    <w:p>
      <w:pPr>
        <w:pStyle w:val="ListParagraph"/>
        <w:numPr>
          <w:ilvl w:val="0"/>
          <w:numId w:val="280"/>
        </w:numPr>
        <w:rPr/>
      </w:pPr>
      <w:r>
        <w:rPr/>
        <w:t>Time settings are received from industry-accepted time sources.</w:t>
      </w:r>
    </w:p>
    <w:p>
      <w:pPr>
        <w:pStyle w:val="Normal"/>
        <w:rPr/>
      </w:pPr>
      <w:r>
        <w:rPr/>
      </w:r>
    </w:p>
    <w:p>
      <w:pPr>
        <w:pStyle w:val="Normal"/>
        <w:rPr/>
      </w:pPr>
      <w:r>
        <w:rPr>
          <w:u w:val="single"/>
        </w:rPr>
        <w:t>Guidelines</w:t>
      </w:r>
      <w:r>
        <w:rPr/>
        <w:t xml:space="preserve">: A reliable and mutually agreed upon external time source shall be used to synchronize the system clocks of all relevant information processing systems to facilitate tracking and reconstitution of activity timelines. Time is commonly expressed in Coordinated Universal Time (UTC), a modern continuation of Greenwich Mean Time (GMT) or local time with an offset from UTC. </w:t>
      </w:r>
    </w:p>
    <w:p>
      <w:pPr>
        <w:pStyle w:val="Normal"/>
        <w:rPr/>
      </w:pPr>
      <w:r>
        <w:rPr/>
      </w:r>
    </w:p>
    <w:p>
      <w:pPr>
        <w:pStyle w:val="Heading3"/>
        <w:rPr/>
      </w:pPr>
      <w:bookmarkStart w:id="508" w:name="_Toc474074891"/>
      <w:bookmarkStart w:id="509" w:name="_Toc34920681"/>
      <w:r>
        <w:rPr/>
        <w:t>MON-07(a): Time Stamps | Synchronization With Authoritative Time Source</w:t>
      </w:r>
      <w:bookmarkEnd w:id="508"/>
      <w:bookmarkEnd w:id="509"/>
      <w:r>
        <w:rPr/>
        <w:t xml:space="preserve"> </w:t>
      </w:r>
    </w:p>
    <w:p>
      <w:pPr>
        <w:pStyle w:val="Normal"/>
        <w:rPr/>
      </w:pPr>
      <w:r>
        <w:rPr>
          <w:u w:val="single"/>
        </w:rPr>
        <w:t>Control Objective</w:t>
      </w:r>
      <w:r>
        <w:rPr/>
        <w:t>: Systems synchronizes internal system clocks based on an organization-defined frequency with an authoritative time source.</w:t>
      </w:r>
      <w:r>
        <w:rPr>
          <w:rStyle w:val="FootnoteAnchor"/>
          <w:rStyle w:val="FootnoteAnchor"/>
          <w:rFonts w:cs="Calibri"/>
        </w:rPr>
        <w:footnoteReference w:id="163"/>
      </w:r>
    </w:p>
    <w:p>
      <w:pPr>
        <w:pStyle w:val="Normal"/>
        <w:rPr/>
      </w:pPr>
      <w:r>
        <w:rPr/>
      </w:r>
    </w:p>
    <w:p>
      <w:pPr>
        <w:pStyle w:val="Normal"/>
        <w:rPr/>
      </w:pPr>
      <w:r>
        <w:rPr>
          <w:u w:val="single"/>
        </w:rPr>
        <w:t>Standard</w:t>
      </w:r>
      <w:r>
        <w:rPr/>
        <w:t>: Include at least two (2) synchronized time sources from which all servers and network equipment retrieve time information on a regular basis so that timestamps in logs are consistent.</w:t>
      </w:r>
    </w:p>
    <w:p>
      <w:pPr>
        <w:pStyle w:val="Normal"/>
        <w:rPr/>
      </w:pPr>
      <w:r>
        <w:rPr/>
      </w:r>
    </w:p>
    <w:p>
      <w:pPr>
        <w:pStyle w:val="Normal"/>
        <w:rPr/>
      </w:pPr>
      <w:r>
        <w:rPr>
          <w:u w:val="single"/>
        </w:rPr>
        <w:t>Guidelines</w:t>
      </w:r>
      <w:r>
        <w:rPr/>
        <w:t>: NTP is an Internet standard protocol which enables client computers to maintain system time synchronization to the US Naval Observatory (USNO) Master Clocks in Washington, DC and Colorado Springs, CO.</w:t>
      </w:r>
      <w:r>
        <w:rPr>
          <w:rStyle w:val="FootnoteAnchor"/>
          <w:rStyle w:val="FootnoteAnchor"/>
          <w:rFonts w:cs="Calibri"/>
        </w:rPr>
        <w:footnoteReference w:id="164"/>
      </w:r>
      <w:r>
        <w:rPr/>
        <w:t xml:space="preserve"> The official NIST or USNO Internet Time Service (ITS) may be used for system time synchronization:</w:t>
      </w:r>
    </w:p>
    <w:p>
      <w:pPr>
        <w:pStyle w:val="ListParagraph"/>
        <w:numPr>
          <w:ilvl w:val="0"/>
          <w:numId w:val="281"/>
        </w:numPr>
        <w:rPr>
          <w:rFonts w:eastAsia="Calibri"/>
        </w:rPr>
      </w:pPr>
      <w:r>
        <w:rPr>
          <w:rFonts w:eastAsia="Calibri"/>
        </w:rPr>
        <w:t xml:space="preserve">time.nist.gov 192.43.244.18 </w:t>
      </w:r>
      <w:r>
        <w:rPr>
          <w:rFonts w:cs="Calibri"/>
        </w:rPr>
        <w:t>[primary]; and</w:t>
      </w:r>
    </w:p>
    <w:p>
      <w:pPr>
        <w:pStyle w:val="ListParagraph"/>
        <w:numPr>
          <w:ilvl w:val="0"/>
          <w:numId w:val="281"/>
        </w:numPr>
        <w:rPr>
          <w:rFonts w:eastAsia="Calibri"/>
        </w:rPr>
      </w:pPr>
      <w:r>
        <w:rPr>
          <w:rFonts w:eastAsia="Calibri"/>
        </w:rPr>
        <w:t>time-nw.nist.gov 131.107.13.100</w:t>
      </w:r>
      <w:r>
        <w:rPr>
          <w:rFonts w:cs="Calibri"/>
        </w:rPr>
        <w:t xml:space="preserve"> [alternate].</w:t>
      </w:r>
    </w:p>
    <w:p>
      <w:pPr>
        <w:pStyle w:val="Normal"/>
        <w:rPr/>
      </w:pPr>
      <w:r>
        <w:rPr/>
      </w:r>
    </w:p>
    <w:p>
      <w:pPr>
        <w:pStyle w:val="Normal"/>
        <w:rPr/>
      </w:pPr>
      <w:r>
        <w:rPr/>
      </w:r>
    </w:p>
    <w:p>
      <w:pPr>
        <w:pStyle w:val="Heading2"/>
        <w:rPr/>
      </w:pPr>
      <w:bookmarkStart w:id="510" w:name="_Toc474074892"/>
      <w:bookmarkStart w:id="511" w:name="_Toc474075575"/>
      <w:bookmarkStart w:id="512" w:name="_Toc34920682"/>
      <w:r>
        <w:rPr/>
        <w:t>MON-08: Protection of Audit Information</w:t>
      </w:r>
      <w:bookmarkEnd w:id="510"/>
      <w:bookmarkEnd w:id="511"/>
      <w:bookmarkEnd w:id="512"/>
      <w:r>
        <w:rPr/>
        <w:t xml:space="preserve"> </w:t>
      </w:r>
    </w:p>
    <w:p>
      <w:pPr>
        <w:pStyle w:val="Normal"/>
        <w:rPr/>
      </w:pPr>
      <w:r>
        <w:rPr>
          <w:u w:val="single"/>
        </w:rPr>
        <w:t>Control Objective</w:t>
      </w:r>
      <w:r>
        <w:rPr/>
        <w:t>: Systems:</w:t>
      </w:r>
      <w:r>
        <w:rPr>
          <w:rStyle w:val="FootnoteCharacters"/>
          <w:rFonts w:cs="Calibri"/>
        </w:rPr>
        <w:t xml:space="preserve"> </w:t>
      </w:r>
      <w:r>
        <w:rPr>
          <w:rStyle w:val="FootnoteAnchor"/>
          <w:rStyle w:val="FootnoteAnchor"/>
          <w:rFonts w:cs="Calibri"/>
        </w:rPr>
        <w:footnoteReference w:id="165"/>
      </w:r>
    </w:p>
    <w:p>
      <w:pPr>
        <w:pStyle w:val="ListParagraph"/>
        <w:numPr>
          <w:ilvl w:val="0"/>
          <w:numId w:val="93"/>
        </w:numPr>
        <w:rPr/>
      </w:pPr>
      <w:r>
        <w:rPr/>
        <w:t>Protect audit information and audit tools from unauthorized access, modification and deletion;</w:t>
      </w:r>
    </w:p>
    <w:p>
      <w:pPr>
        <w:pStyle w:val="ListParagraph"/>
        <w:numPr>
          <w:ilvl w:val="0"/>
          <w:numId w:val="93"/>
        </w:numPr>
        <w:rPr/>
      </w:pPr>
      <w:r>
        <w:rPr/>
        <w:t>Authorize access to management of audit functionality to only a limited subset of privileged users; and</w:t>
      </w:r>
    </w:p>
    <w:p>
      <w:pPr>
        <w:pStyle w:val="ListParagraph"/>
        <w:numPr>
          <w:ilvl w:val="0"/>
          <w:numId w:val="93"/>
        </w:numPr>
        <w:rPr/>
      </w:pPr>
      <w:r>
        <w:rPr/>
        <w:t>Protect the audit records of non-local accesses to privileged accounts and the execution of privileged functions.</w:t>
      </w:r>
    </w:p>
    <w:p>
      <w:pPr>
        <w:pStyle w:val="Normal"/>
        <w:rPr/>
      </w:pPr>
      <w:r>
        <w:rPr/>
      </w:r>
    </w:p>
    <w:p>
      <w:pPr>
        <w:pStyle w:val="Normal"/>
        <w:rPr/>
      </w:pPr>
      <w:r>
        <w:rPr>
          <w:u w:val="single"/>
        </w:rPr>
        <w:t>Standard</w:t>
      </w:r>
      <w:r>
        <w:rPr/>
        <w:t>: Data/process owners and asset custodians are required to:</w:t>
      </w:r>
    </w:p>
    <w:p>
      <w:pPr>
        <w:pStyle w:val="ListParagraph"/>
        <w:numPr>
          <w:ilvl w:val="0"/>
          <w:numId w:val="282"/>
        </w:numPr>
        <w:rPr/>
      </w:pPr>
      <w:r>
        <w:rPr/>
        <w:t>Secure audit trails so they cannot be altered;</w:t>
      </w:r>
    </w:p>
    <w:p>
      <w:pPr>
        <w:pStyle w:val="ListParagraph"/>
        <w:numPr>
          <w:ilvl w:val="0"/>
          <w:numId w:val="282"/>
        </w:numPr>
        <w:rPr/>
      </w:pPr>
      <w:r>
        <w:rPr/>
        <w:t>Limit viewing of audit trails to those with a job-related need;</w:t>
      </w:r>
    </w:p>
    <w:p>
      <w:pPr>
        <w:pStyle w:val="ListParagraph"/>
        <w:numPr>
          <w:ilvl w:val="0"/>
          <w:numId w:val="282"/>
        </w:numPr>
        <w:rPr/>
      </w:pPr>
      <w:r>
        <w:rPr/>
        <w:t>Protect audit trail files from unauthorized modifications;</w:t>
      </w:r>
    </w:p>
    <w:p>
      <w:pPr>
        <w:pStyle w:val="ListParagraph"/>
        <w:numPr>
          <w:ilvl w:val="0"/>
          <w:numId w:val="282"/>
        </w:numPr>
        <w:rPr/>
      </w:pPr>
      <w:r>
        <w:rPr/>
        <w:t>Promptly back up audit trail files to a centralized log server or media that is difficult to alter;</w:t>
      </w:r>
    </w:p>
    <w:p>
      <w:pPr>
        <w:pStyle w:val="ListParagraph"/>
        <w:numPr>
          <w:ilvl w:val="0"/>
          <w:numId w:val="282"/>
        </w:numPr>
        <w:rPr/>
      </w:pPr>
      <w:r>
        <w:rPr/>
        <w:t xml:space="preserve">Write logs for external-facing technologies onto a log server on the internal LAN; </w:t>
      </w:r>
    </w:p>
    <w:p>
      <w:pPr>
        <w:pStyle w:val="ListParagraph"/>
        <w:numPr>
          <w:ilvl w:val="0"/>
          <w:numId w:val="282"/>
        </w:numPr>
        <w:rPr/>
      </w:pPr>
      <w:r>
        <w:rPr/>
        <w:t>Use file-integrity monitoring or change detection software on logs to ensure that existing log data cannot be changed without generating alerts, although new data being added should not cause an alert;</w:t>
      </w:r>
    </w:p>
    <w:p>
      <w:pPr>
        <w:pStyle w:val="ListParagraph"/>
        <w:numPr>
          <w:ilvl w:val="0"/>
          <w:numId w:val="282"/>
        </w:numPr>
        <w:rPr/>
      </w:pPr>
      <w:r>
        <w:rPr/>
        <w:t>Identify all approved users with the ability to alter or destroy data; and</w:t>
      </w:r>
    </w:p>
    <w:p>
      <w:pPr>
        <w:pStyle w:val="ListParagraph"/>
        <w:numPr>
          <w:ilvl w:val="0"/>
          <w:numId w:val="282"/>
        </w:numPr>
        <w:rPr/>
      </w:pPr>
      <w:r>
        <w:rPr/>
        <w:t>Ensure approved users are properly trained to handle sensitive data.</w:t>
      </w:r>
    </w:p>
    <w:p>
      <w:pPr>
        <w:pStyle w:val="Normal"/>
        <w:rPr/>
      </w:pPr>
      <w:r>
        <w:rPr/>
      </w:r>
    </w:p>
    <w:p>
      <w:pPr>
        <w:pStyle w:val="Normal"/>
        <w:rPr/>
      </w:pPr>
      <w:r>
        <w:rPr>
          <w:u w:val="single"/>
        </w:rPr>
        <w:t>Guidelines</w:t>
      </w:r>
      <w:r>
        <w:rPr/>
        <w:t>: File Integrity Monitoring (FIM) or change detection software should be configured not to alert when new data is being added to logs, otherwise normal log traffic will generate change alerts on the log files.</w:t>
      </w:r>
    </w:p>
    <w:p>
      <w:pPr>
        <w:pStyle w:val="Normal"/>
        <w:rPr/>
      </w:pPr>
      <w:r>
        <w:rPr/>
      </w:r>
    </w:p>
    <w:p>
      <w:pPr>
        <w:pStyle w:val="Normal"/>
        <w:rPr>
          <w:u w:val="single"/>
        </w:rPr>
      </w:pPr>
      <w:r>
        <w:rPr/>
        <w:t xml:space="preserve">Higher levels of assurance are required for protection, retention and lifecycle management of audit logs, adhering to applicable legal, statutory or regulatory compliance obligations and providing unique user access accountability to detect potentially suspicious network behaviors and / or file integrity anomalies and to support forensic investigative capabilities in the event of a security breach. Audit information includes all information (e.g., audit records, audit settings and audit reports) needed to successfully audit system activity. </w:t>
      </w:r>
    </w:p>
    <w:p>
      <w:pPr>
        <w:pStyle w:val="Normal"/>
        <w:rPr/>
      </w:pPr>
      <w:r>
        <w:rPr/>
      </w:r>
    </w:p>
    <w:p>
      <w:pPr>
        <w:pStyle w:val="Heading3"/>
        <w:rPr/>
      </w:pPr>
      <w:bookmarkStart w:id="513" w:name="_Toc474074893"/>
      <w:bookmarkStart w:id="514" w:name="_Toc34920683"/>
      <w:r>
        <w:rPr/>
        <w:t>MON-08(a): Protection of Audit Information | Audit Backup on Separate Physical Systems / Components</w:t>
      </w:r>
      <w:bookmarkEnd w:id="513"/>
      <w:bookmarkEnd w:id="514"/>
      <w:r>
        <w:rPr/>
        <w:t xml:space="preserve"> </w:t>
      </w:r>
    </w:p>
    <w:p>
      <w:pPr>
        <w:pStyle w:val="Normal"/>
        <w:rPr/>
      </w:pPr>
      <w:r>
        <w:rPr>
          <w:u w:val="single"/>
        </w:rPr>
        <w:t>Control Objective</w:t>
      </w:r>
      <w:r>
        <w:rPr/>
        <w:t>: Systems backs up audit records onto a physically different system or system component than the system or component being audited.</w:t>
      </w:r>
      <w:r>
        <w:rPr>
          <w:rStyle w:val="FootnoteAnchor"/>
          <w:rStyle w:val="FootnoteAnchor"/>
        </w:rPr>
        <w:footnoteReference w:id="166"/>
      </w:r>
      <w:r>
        <w:rPr/>
        <w:t xml:space="preserve"> </w:t>
      </w:r>
    </w:p>
    <w:p>
      <w:pPr>
        <w:pStyle w:val="Normal"/>
        <w:rPr/>
      </w:pPr>
      <w:r>
        <w:rPr/>
      </w:r>
    </w:p>
    <w:p>
      <w:pPr>
        <w:pStyle w:val="Normal"/>
        <w:rPr/>
      </w:pPr>
      <w:r>
        <w:rPr>
          <w:u w:val="single"/>
        </w:rPr>
        <w:t>Standard</w:t>
      </w:r>
      <w:r>
        <w:rPr/>
        <w:t>: Where technically feasible, NFCC shall back up audit records onto a physically different system or system component than the system or component being audited.</w:t>
      </w:r>
    </w:p>
    <w:p>
      <w:pPr>
        <w:pStyle w:val="Normal"/>
        <w:rPr/>
      </w:pPr>
      <w:r>
        <w:rPr/>
      </w:r>
    </w:p>
    <w:p>
      <w:pPr>
        <w:pStyle w:val="Normal"/>
        <w:rPr/>
      </w:pPr>
      <w:r>
        <w:rPr>
          <w:u w:val="single"/>
        </w:rPr>
        <w:t>Guidelines</w:t>
      </w:r>
      <w:r>
        <w:rPr/>
        <w:t>: This standard helps to ensure that a compromise of the system being audited does not also result in a compromise of the audit records. This standard also addresses systems that lack the capacity to store audit records for long periods of time. Off-loading is the process of moving audit records from the primary system to a secondary or alternate system. It is a common process in systems with limited audit storage capacity; the audit storage is used only in a transitory fashion until the system can communicate with the secondary or alternate system designated for storing the audit records, at which point the information is transferred. The transfer process is designed to preserve the integrity and confidentiality of audit records.</w:t>
      </w:r>
    </w:p>
    <w:p>
      <w:pPr>
        <w:pStyle w:val="Normal"/>
        <w:rPr/>
      </w:pPr>
      <w:r>
        <w:rPr/>
      </w:r>
    </w:p>
    <w:p>
      <w:pPr>
        <w:pStyle w:val="Heading3"/>
        <w:rPr/>
      </w:pPr>
      <w:bookmarkStart w:id="515" w:name="_Toc474074894"/>
      <w:bookmarkStart w:id="516" w:name="_Toc34920684"/>
      <w:r>
        <w:rPr/>
        <w:t>MON-08(b): Protection of Audit Information | Access by Subset of Privileged Users</w:t>
      </w:r>
      <w:bookmarkEnd w:id="515"/>
      <w:bookmarkEnd w:id="516"/>
      <w:r>
        <w:rPr/>
        <w:t xml:space="preserve"> </w:t>
      </w:r>
    </w:p>
    <w:p>
      <w:pPr>
        <w:pStyle w:val="Normal"/>
        <w:rPr/>
      </w:pPr>
      <w:r>
        <w:rPr>
          <w:u w:val="single"/>
        </w:rPr>
        <w:t>Control Objective</w:t>
      </w:r>
      <w:r>
        <w:rPr/>
        <w:t>: The organization authorizes access to the management of audit functionality to only an organization-defined subset of privileged users.</w:t>
      </w:r>
      <w:r>
        <w:rPr>
          <w:rStyle w:val="FootnoteAnchor"/>
          <w:rStyle w:val="FootnoteAnchor"/>
        </w:rPr>
        <w:footnoteReference w:id="167"/>
      </w:r>
    </w:p>
    <w:p>
      <w:pPr>
        <w:pStyle w:val="Normal"/>
        <w:rPr/>
      </w:pPr>
      <w:r>
        <w:rPr/>
      </w:r>
    </w:p>
    <w:p>
      <w:pPr>
        <w:pStyle w:val="Normal"/>
        <w:rPr/>
      </w:pPr>
      <w:r>
        <w:rPr>
          <w:u w:val="single"/>
        </w:rPr>
        <w:t>Standard</w:t>
      </w:r>
      <w:r>
        <w:rPr/>
        <w:t>: NFCC restricts access to the management of audit functionality to users who have:</w:t>
      </w:r>
    </w:p>
    <w:p>
      <w:pPr>
        <w:pStyle w:val="ListParagraph"/>
        <w:numPr>
          <w:ilvl w:val="0"/>
          <w:numId w:val="283"/>
        </w:numPr>
        <w:rPr/>
      </w:pPr>
      <w:r>
        <w:rPr/>
        <w:t xml:space="preserve">A valid business justification; </w:t>
      </w:r>
    </w:p>
    <w:p>
      <w:pPr>
        <w:pStyle w:val="ListParagraph"/>
        <w:numPr>
          <w:ilvl w:val="0"/>
          <w:numId w:val="283"/>
        </w:numPr>
        <w:rPr/>
      </w:pPr>
      <w:r>
        <w:rPr/>
        <w:t>Received security awareness training commensurate with the level of risk from having privileged access; and</w:t>
      </w:r>
    </w:p>
    <w:p>
      <w:pPr>
        <w:pStyle w:val="ListParagraph"/>
        <w:numPr>
          <w:ilvl w:val="0"/>
          <w:numId w:val="283"/>
        </w:numPr>
        <w:rPr/>
      </w:pPr>
      <w:r>
        <w:rPr/>
        <w:t>Demonstrated technical competence specific to the environment where privileged access is being granted.</w:t>
      </w:r>
    </w:p>
    <w:p>
      <w:pPr>
        <w:pStyle w:val="Normal"/>
        <w:rPr/>
      </w:pPr>
      <w:r>
        <w:rPr/>
      </w:r>
    </w:p>
    <w:p>
      <w:pPr>
        <w:pStyle w:val="Normal"/>
        <w:rPr/>
      </w:pPr>
      <w:r>
        <w:rPr>
          <w:u w:val="single"/>
        </w:rPr>
        <w:t>Guidelines</w:t>
      </w:r>
      <w:r>
        <w:rPr/>
        <w:t>: Individuals with privileged access to an system and who are also the subject of an audit by that system, may affect the reliability of audit information by inhibiting audit activities or modifying audit records. This standard requires that privileged access is further defined between audit-related privileges and other privileges, thus limiting the users with audit-related privileges.</w:t>
      </w:r>
    </w:p>
    <w:p>
      <w:pPr>
        <w:pStyle w:val="Normal"/>
        <w:rPr/>
      </w:pPr>
      <w:r>
        <w:rPr/>
      </w:r>
    </w:p>
    <w:p>
      <w:pPr>
        <w:pStyle w:val="Heading3"/>
        <w:rPr/>
      </w:pPr>
      <w:bookmarkStart w:id="517" w:name="_Toc34920685"/>
      <w:bookmarkStart w:id="518" w:name="_Toc23241996"/>
      <w:r>
        <w:rPr/>
        <w:t>MON-08(c): Protection of Audit Information | Cryptographic Protection</w:t>
      </w:r>
      <w:bookmarkEnd w:id="518"/>
      <w:r>
        <w:rPr/>
        <w:t xml:space="preserve"> of Audit Information</w:t>
      </w:r>
      <w:bookmarkEnd w:id="517"/>
      <w:r>
        <w:rPr/>
        <w:t xml:space="preserve"> </w:t>
      </w:r>
    </w:p>
    <w:p>
      <w:pPr>
        <w:pStyle w:val="Normal"/>
        <w:rPr/>
      </w:pPr>
      <w:r>
        <w:rPr>
          <w:rFonts w:cs="Calibri"/>
          <w:u w:val="single"/>
        </w:rPr>
        <w:t>Control Objective</w:t>
      </w:r>
      <w:r>
        <w:rPr>
          <w:rFonts w:cs="Calibri"/>
        </w:rPr>
        <w:t xml:space="preserve">: </w:t>
      </w:r>
      <w:r>
        <w:rPr/>
        <w:t>The information system implements cryptographic mechanisms to protect the integrity of audit information and audit tools.</w:t>
      </w:r>
      <w:r>
        <w:rPr>
          <w:rStyle w:val="FootnoteCharacters"/>
        </w:rPr>
        <w:t xml:space="preserve"> </w:t>
      </w:r>
      <w:r>
        <w:rPr>
          <w:rStyle w:val="FootnoteAnchor"/>
          <w:rStyle w:val="FootnoteAnchor"/>
        </w:rPr>
        <w:footnoteReference w:id="168"/>
      </w:r>
      <w:r>
        <w:rPr/>
        <w:t xml:space="preserve"> </w:t>
      </w:r>
    </w:p>
    <w:p>
      <w:pPr>
        <w:pStyle w:val="Normal"/>
        <w:rPr>
          <w:rFonts w:cs="Calibri"/>
        </w:rPr>
      </w:pPr>
      <w:r>
        <w:rPr>
          <w:rFonts w:cs="Calibri"/>
        </w:rPr>
      </w:r>
    </w:p>
    <w:p>
      <w:pPr>
        <w:pStyle w:val="Normal"/>
        <w:rPr/>
      </w:pPr>
      <w:r>
        <w:rPr>
          <w:rFonts w:cs="Calibri"/>
          <w:bCs w:val="false"/>
          <w:u w:val="single"/>
        </w:rPr>
        <w:t>Standard</w:t>
      </w:r>
      <w:r>
        <w:rPr>
          <w:rFonts w:cs="Calibri"/>
          <w:bCs w:val="false"/>
        </w:rPr>
        <w:t>:</w:t>
      </w:r>
      <w:r>
        <w:rPr>
          <w:rFonts w:cs="Calibri"/>
        </w:rPr>
        <w:t xml:space="preserve"> NFCC shall configure its Security Incident Even Manager (SIEM) or similar technology, according to both vendor guidelines and industry practices to </w:t>
      </w:r>
      <w:r>
        <w:rPr/>
        <w:t xml:space="preserve">implement cryptographic mechanisms that can protect both the integrity of audit information and the underlying SIEM technology. </w:t>
      </w:r>
    </w:p>
    <w:p>
      <w:pPr>
        <w:pStyle w:val="Normal"/>
        <w:rPr>
          <w:rFonts w:cs="Calibri"/>
        </w:rPr>
      </w:pPr>
      <w:r>
        <w:rPr>
          <w:rFonts w:cs="Calibri"/>
        </w:rPr>
      </w:r>
    </w:p>
    <w:p>
      <w:pPr>
        <w:pStyle w:val="Normal"/>
        <w:rPr/>
      </w:pPr>
      <w:r>
        <w:rPr>
          <w:rFonts w:cs="Calibri"/>
          <w:u w:val="single"/>
        </w:rPr>
        <w:t>Guidelines</w:t>
      </w:r>
      <w:r>
        <w:rPr>
          <w:rFonts w:cs="Calibri"/>
        </w:rPr>
        <w:t xml:space="preserve">: </w:t>
      </w:r>
      <w:r>
        <w:rPr/>
        <w:t>Cryptographic mechanisms used for protecting the integrity of audit information include, for example, signed hash functions using asymmetric cryptography enabling distribution of the public key to verify the hash information while maintaining the confidentiality of the secret key used to generate the hash.</w:t>
      </w:r>
    </w:p>
    <w:p>
      <w:pPr>
        <w:pStyle w:val="Normal"/>
        <w:rPr/>
      </w:pPr>
      <w:r>
        <w:rPr/>
      </w:r>
    </w:p>
    <w:p>
      <w:pPr>
        <w:pStyle w:val="Heading3"/>
        <w:rPr/>
      </w:pPr>
      <w:bookmarkStart w:id="519" w:name="_Toc23241998"/>
      <w:bookmarkStart w:id="520" w:name="_Toc34920686"/>
      <w:r>
        <w:rPr/>
        <w:t>MON-08(d): Protection of Audit Information | Dual Authorization</w:t>
      </w:r>
      <w:bookmarkEnd w:id="519"/>
      <w:bookmarkEnd w:id="520"/>
      <w:r>
        <w:rPr/>
        <w:t xml:space="preserve"> </w:t>
      </w:r>
    </w:p>
    <w:p>
      <w:pPr>
        <w:pStyle w:val="Normal"/>
        <w:rPr>
          <w:rFonts w:cs="Calibri"/>
          <w:bCs w:val="false"/>
        </w:rPr>
      </w:pPr>
      <w:r>
        <w:rPr>
          <w:rFonts w:cs="Calibri"/>
          <w:u w:val="single"/>
        </w:rPr>
        <w:t>Control Objective</w:t>
      </w:r>
      <w:r>
        <w:rPr>
          <w:rFonts w:cs="Calibri"/>
        </w:rPr>
        <w:t>:</w:t>
      </w:r>
      <w:r>
        <w:rPr>
          <w:rFonts w:cs="Calibri"/>
          <w:bCs w:val="false"/>
        </w:rPr>
        <w:t xml:space="preserve"> The organization enforces dual authorization for movement or deletion organization-defined audit information.</w:t>
      </w:r>
      <w:r>
        <w:rPr>
          <w:rStyle w:val="FootnoteCharacters"/>
        </w:rPr>
        <w:t xml:space="preserve"> </w:t>
      </w:r>
      <w:r>
        <w:rPr>
          <w:rStyle w:val="FootnoteAnchor"/>
          <w:rStyle w:val="FootnoteAnchor"/>
        </w:rPr>
        <w:footnoteReference w:id="169"/>
      </w:r>
    </w:p>
    <w:p>
      <w:pPr>
        <w:pStyle w:val="Normal"/>
        <w:rPr>
          <w:rFonts w:cs="Calibri"/>
        </w:rPr>
      </w:pPr>
      <w:r>
        <w:rPr>
          <w:rFonts w:cs="Calibri"/>
        </w:rPr>
      </w:r>
    </w:p>
    <w:p>
      <w:pPr>
        <w:pStyle w:val="Normal"/>
        <w:rPr/>
      </w:pPr>
      <w:r>
        <w:rPr>
          <w:rFonts w:cs="Calibri"/>
          <w:bCs w:val="false"/>
          <w:u w:val="single"/>
        </w:rPr>
        <w:t>Standard</w:t>
      </w:r>
      <w:r>
        <w:rPr>
          <w:rFonts w:cs="Calibri"/>
          <w:bCs w:val="false"/>
        </w:rPr>
        <w:t>:</w:t>
      </w:r>
      <w:r>
        <w:rPr>
          <w:rFonts w:cs="Calibri"/>
        </w:rPr>
        <w:t xml:space="preserve"> NFCC shall configure its Security Incident Even Manager (SIEM) or similar technology, to </w:t>
      </w:r>
      <w:r>
        <w:rPr/>
        <w:t>limit the permitted actions for user roles associated with the SIEM, so that dual-authorization is required to move or delete audit information.</w:t>
      </w:r>
    </w:p>
    <w:p>
      <w:pPr>
        <w:pStyle w:val="Normal"/>
        <w:rPr>
          <w:rFonts w:cs="Calibri"/>
        </w:rPr>
      </w:pPr>
      <w:r>
        <w:rPr>
          <w:rFonts w:cs="Calibri"/>
        </w:rPr>
      </w:r>
    </w:p>
    <w:p>
      <w:pPr>
        <w:pStyle w:val="Normal"/>
        <w:rPr>
          <w:rFonts w:cs="Calibri"/>
          <w:bCs w:val="false"/>
        </w:rPr>
      </w:pPr>
      <w:r>
        <w:rPr>
          <w:rFonts w:cs="Calibri"/>
          <w:u w:val="single"/>
        </w:rPr>
        <w:t>Guidelines</w:t>
      </w:r>
      <w:r>
        <w:rPr>
          <w:rFonts w:cs="Calibri"/>
        </w:rPr>
        <w:t xml:space="preserve">: </w:t>
      </w:r>
      <w:r>
        <w:rPr>
          <w:rFonts w:cs="Calibri"/>
          <w:bCs w:val="false"/>
        </w:rPr>
        <w:t>Organizations may choose different selection options for different types of audit information. Dual authorization mechanisms require the approval of two authorized individuals in order to execute. Dual authorization may also be known as two-person control.</w:t>
      </w:r>
    </w:p>
    <w:p>
      <w:pPr>
        <w:pStyle w:val="Normal"/>
        <w:rPr>
          <w:rFonts w:cs="Calibri"/>
        </w:rPr>
      </w:pPr>
      <w:r>
        <w:rPr>
          <w:rFonts w:cs="Calibri"/>
        </w:rPr>
      </w:r>
    </w:p>
    <w:p>
      <w:pPr>
        <w:pStyle w:val="Normal"/>
        <w:rPr/>
      </w:pPr>
      <w:r>
        <w:rPr/>
      </w:r>
    </w:p>
    <w:p>
      <w:pPr>
        <w:pStyle w:val="Heading2"/>
        <w:rPr/>
      </w:pPr>
      <w:bookmarkStart w:id="521" w:name="_Toc474074895"/>
      <w:bookmarkStart w:id="522" w:name="_Toc474075576"/>
      <w:bookmarkStart w:id="523" w:name="_Toc34920687"/>
      <w:r>
        <w:rPr/>
        <w:t>MON-09: Non-Repudiation</w:t>
      </w:r>
      <w:bookmarkEnd w:id="521"/>
      <w:bookmarkEnd w:id="522"/>
      <w:bookmarkEnd w:id="523"/>
    </w:p>
    <w:p>
      <w:pPr>
        <w:pStyle w:val="Normal"/>
        <w:rPr/>
      </w:pPr>
      <w:r>
        <w:rPr>
          <w:u w:val="single"/>
        </w:rPr>
        <w:t>Control Objective</w:t>
      </w:r>
      <w:r>
        <w:rPr/>
        <w:t>: The organization protects against an individual falsely denying having performed a particular action.</w:t>
      </w:r>
      <w:r>
        <w:rPr>
          <w:rStyle w:val="FootnoteAnchor"/>
          <w:rStyle w:val="FootnoteAnchor"/>
          <w:rFonts w:cs="Calibri"/>
        </w:rPr>
        <w:footnoteReference w:id="170"/>
      </w:r>
    </w:p>
    <w:p>
      <w:pPr>
        <w:pStyle w:val="Normal"/>
        <w:rPr/>
      </w:pPr>
      <w:r>
        <w:rPr/>
      </w:r>
    </w:p>
    <w:p>
      <w:pPr>
        <w:pStyle w:val="Normal"/>
        <w:rPr/>
      </w:pPr>
      <w:r>
        <w:rPr>
          <w:u w:val="single"/>
        </w:rPr>
        <w:t>Standard</w:t>
      </w:r>
      <w:r>
        <w:rPr/>
        <w:t xml:space="preserve">: Data/process owners and asset custodians are required to implement electronic mechanisms to corroborate that sensitive data has not been altered in an unauthorized manner. </w:t>
      </w:r>
    </w:p>
    <w:p>
      <w:pPr>
        <w:pStyle w:val="Normal"/>
        <w:rPr/>
      </w:pPr>
      <w:r>
        <w:rPr/>
      </w:r>
    </w:p>
    <w:p>
      <w:pPr>
        <w:pStyle w:val="Normal"/>
        <w:rPr/>
      </w:pPr>
      <w:r>
        <w:rPr>
          <w:u w:val="single"/>
        </w:rPr>
        <w:t>Guidelines</w:t>
      </w:r>
      <w:r>
        <w:rPr/>
        <w:t xml:space="preserve">: Non-repudiation services can be used to determine if information originated from a particular individual or if an individual took specific actions (e.g., sending an email, signing a contract, approving a procurement request) or received specific information. Organizations obtain non-repudiation services by employing various techniques or mechanisms (e.g., digital signatures, digital message receipts). Types of individual actions covered by non-repudiation include, for example, creating information, sending and receiving messages, approving information (e.g., indicating concurrence or signing a contract). Non-repudiation protects individuals against later claims by: </w:t>
      </w:r>
    </w:p>
    <w:p>
      <w:pPr>
        <w:pStyle w:val="ListParagraph"/>
        <w:numPr>
          <w:ilvl w:val="0"/>
          <w:numId w:val="94"/>
        </w:numPr>
        <w:rPr/>
      </w:pPr>
      <w:r>
        <w:rPr/>
        <w:t xml:space="preserve">Authors of not having authored particular documents; </w:t>
      </w:r>
    </w:p>
    <w:p>
      <w:pPr>
        <w:pStyle w:val="ListParagraph"/>
        <w:numPr>
          <w:ilvl w:val="0"/>
          <w:numId w:val="94"/>
        </w:numPr>
        <w:rPr/>
      </w:pPr>
      <w:r>
        <w:rPr/>
        <w:t xml:space="preserve">Senders of not having transmitted messages; </w:t>
      </w:r>
    </w:p>
    <w:p>
      <w:pPr>
        <w:pStyle w:val="ListParagraph"/>
        <w:numPr>
          <w:ilvl w:val="0"/>
          <w:numId w:val="94"/>
        </w:numPr>
        <w:rPr/>
      </w:pPr>
      <w:r>
        <w:rPr/>
        <w:t xml:space="preserve">Receivers of not having received messages; or </w:t>
      </w:r>
    </w:p>
    <w:p>
      <w:pPr>
        <w:pStyle w:val="ListParagraph"/>
        <w:numPr>
          <w:ilvl w:val="0"/>
          <w:numId w:val="94"/>
        </w:numPr>
        <w:rPr/>
      </w:pPr>
      <w:r>
        <w:rPr/>
        <w:t xml:space="preserve">Signatories of not having signed documents. </w:t>
      </w:r>
    </w:p>
    <w:p>
      <w:pPr>
        <w:pStyle w:val="Normal"/>
        <w:rPr/>
      </w:pPr>
      <w:r>
        <w:rPr/>
      </w:r>
    </w:p>
    <w:p>
      <w:pPr>
        <w:pStyle w:val="Normal"/>
        <w:rPr/>
      </w:pPr>
      <w:r>
        <w:rPr/>
      </w:r>
    </w:p>
    <w:p>
      <w:pPr>
        <w:pStyle w:val="Heading2"/>
        <w:rPr/>
      </w:pPr>
      <w:bookmarkStart w:id="524" w:name="_Toc474074896"/>
      <w:bookmarkStart w:id="525" w:name="_Toc474075577"/>
      <w:bookmarkStart w:id="526" w:name="_Toc34920688"/>
      <w:r>
        <w:rPr/>
        <w:t>MON-10: Audit Record Retention</w:t>
      </w:r>
      <w:bookmarkEnd w:id="524"/>
      <w:bookmarkEnd w:id="525"/>
      <w:bookmarkEnd w:id="526"/>
    </w:p>
    <w:p>
      <w:pPr>
        <w:pStyle w:val="Normal"/>
        <w:rPr/>
      </w:pPr>
      <w:r>
        <w:rPr>
          <w:u w:val="single"/>
        </w:rPr>
        <w:t>Control Objective</w:t>
      </w:r>
      <w:r>
        <w:rPr/>
        <w:t>: The organization retains audit records for an organization-defined time period consistent with records retention requirements to provide support for after-the-fact investigations of security incidents and to meet regulatory and organizational information retention requirements.</w:t>
      </w:r>
      <w:r>
        <w:rPr>
          <w:rStyle w:val="FootnoteCharacters"/>
          <w:rFonts w:cs="Calibri"/>
        </w:rPr>
        <w:t xml:space="preserve"> </w:t>
      </w:r>
      <w:r>
        <w:rPr>
          <w:rStyle w:val="FootnoteAnchor"/>
          <w:rStyle w:val="FootnoteAnchor"/>
          <w:rFonts w:cs="Calibri"/>
        </w:rPr>
        <w:footnoteReference w:id="171"/>
      </w:r>
      <w:r>
        <w:rPr/>
        <w:t xml:space="preserve"> </w:t>
      </w:r>
    </w:p>
    <w:p>
      <w:pPr>
        <w:pStyle w:val="Normal"/>
        <w:rPr/>
      </w:pPr>
      <w:r>
        <w:rPr/>
      </w:r>
    </w:p>
    <w:p>
      <w:pPr>
        <w:pStyle w:val="Normal"/>
        <w:rPr>
          <w:rFonts w:eastAsia="Calibri"/>
        </w:rPr>
      </w:pPr>
      <w:r>
        <w:rPr>
          <w:u w:val="single"/>
        </w:rPr>
        <w:t>Standard</w:t>
      </w:r>
      <w:r>
        <w:rPr/>
        <w:t>: Data/process owners and asset custodians are required to retain audit records as necessary by legal or contractual</w:t>
      </w:r>
      <w:r>
        <w:rPr>
          <w:iCs/>
        </w:rPr>
        <w:t xml:space="preserve"> requirements </w:t>
      </w:r>
      <w:r>
        <w:rPr/>
        <w:t xml:space="preserve">to provide support for investigations of incidents and to meet data retention requirements. </w:t>
      </w:r>
      <w:r>
        <w:rPr>
          <w:rFonts w:eastAsia="Calibri"/>
        </w:rPr>
        <w:t>In general, logs must be retained according to NFCC’s record retention schedule:</w:t>
      </w:r>
    </w:p>
    <w:p>
      <w:pPr>
        <w:pStyle w:val="ListParagraph"/>
        <w:numPr>
          <w:ilvl w:val="0"/>
          <w:numId w:val="284"/>
        </w:numPr>
        <w:rPr>
          <w:rFonts w:eastAsia="Calibri"/>
        </w:rPr>
      </w:pPr>
      <w:r>
        <w:rPr>
          <w:rFonts w:eastAsia="Calibri"/>
        </w:rPr>
        <w:t>For critical or sensitive systems:</w:t>
      </w:r>
    </w:p>
    <w:p>
      <w:pPr>
        <w:pStyle w:val="ListParagraph"/>
        <w:numPr>
          <w:ilvl w:val="1"/>
          <w:numId w:val="284"/>
        </w:numPr>
        <w:rPr>
          <w:rFonts w:eastAsia="Calibri"/>
        </w:rPr>
      </w:pPr>
      <w:r>
        <w:rPr>
          <w:rFonts w:eastAsia="Calibri"/>
        </w:rPr>
        <w:t>Log entries must be immediately available for a minimum of 90 days (online);</w:t>
      </w:r>
    </w:p>
    <w:p>
      <w:pPr>
        <w:pStyle w:val="ListParagraph"/>
        <w:numPr>
          <w:ilvl w:val="1"/>
          <w:numId w:val="284"/>
        </w:numPr>
        <w:rPr>
          <w:rFonts w:eastAsia="Calibri"/>
        </w:rPr>
      </w:pPr>
      <w:r>
        <w:rPr>
          <w:rFonts w:eastAsia="Calibri"/>
        </w:rPr>
        <w:t>Log entries must be available for 365 days (online or offline storage);</w:t>
      </w:r>
    </w:p>
    <w:p>
      <w:pPr>
        <w:pStyle w:val="ListParagraph"/>
        <w:numPr>
          <w:ilvl w:val="0"/>
          <w:numId w:val="284"/>
        </w:numPr>
        <w:rPr>
          <w:rFonts w:eastAsia="Calibri"/>
        </w:rPr>
      </w:pPr>
      <w:r>
        <w:rPr>
          <w:rFonts w:eastAsia="Calibri"/>
        </w:rPr>
        <w:t>All logs must be exportable or transferable in an automated fashion;</w:t>
      </w:r>
    </w:p>
    <w:p>
      <w:pPr>
        <w:pStyle w:val="ListParagraph"/>
        <w:numPr>
          <w:ilvl w:val="0"/>
          <w:numId w:val="284"/>
        </w:numPr>
        <w:rPr>
          <w:rFonts w:eastAsia="Calibri"/>
        </w:rPr>
      </w:pPr>
      <w:r>
        <w:rPr>
          <w:rFonts w:eastAsia="Calibri"/>
        </w:rPr>
        <w:t>Once logs are offloaded to a NFCC-approved log collector, the local logs may be removed from the reporting system or application.</w:t>
      </w:r>
    </w:p>
    <w:p>
      <w:pPr>
        <w:pStyle w:val="Normal"/>
        <w:rPr/>
      </w:pPr>
      <w:r>
        <w:rPr/>
      </w:r>
    </w:p>
    <w:p>
      <w:pPr>
        <w:pStyle w:val="Normal"/>
        <w:rPr/>
      </w:pPr>
      <w:r>
        <w:rPr>
          <w:u w:val="single"/>
        </w:rPr>
        <w:t>Guidelines</w:t>
      </w:r>
      <w:r>
        <w:rPr/>
        <w:t xml:space="preserve">: NFCC should retain audit records until it is determined that they are no longer needed for administrative, legal, audit or other operational purposes. </w:t>
      </w:r>
      <w:r>
        <w:rPr>
          <w:i/>
          <w:u w:val="single"/>
        </w:rPr>
        <w:t>Annex 3: Data Retention Periods</w:t>
      </w:r>
      <w:r>
        <w:rPr/>
        <w:t xml:space="preserve"> contains guidance on specific types of records and their retention requirements.</w:t>
      </w:r>
    </w:p>
    <w:p>
      <w:pPr>
        <w:pStyle w:val="Normal"/>
        <w:rPr/>
      </w:pPr>
      <w:r>
        <w:rPr/>
      </w:r>
    </w:p>
    <w:p>
      <w:pPr>
        <w:pStyle w:val="Normal"/>
        <w:rPr/>
      </w:pPr>
      <w:r>
        <w:rPr/>
        <w:t>Logs are considered “immediately available” for analysis if the logs can be:</w:t>
      </w:r>
    </w:p>
    <w:p>
      <w:pPr>
        <w:pStyle w:val="ListParagraph"/>
        <w:numPr>
          <w:ilvl w:val="0"/>
          <w:numId w:val="197"/>
        </w:numPr>
        <w:rPr>
          <w:b/>
          <w:b/>
        </w:rPr>
      </w:pPr>
      <w:r>
        <w:rPr/>
        <w:t>Accessed online;</w:t>
      </w:r>
    </w:p>
    <w:p>
      <w:pPr>
        <w:pStyle w:val="ListParagraph"/>
        <w:numPr>
          <w:ilvl w:val="0"/>
          <w:numId w:val="197"/>
        </w:numPr>
        <w:rPr>
          <w:b/>
          <w:b/>
        </w:rPr>
      </w:pPr>
      <w:r>
        <w:rPr/>
        <w:t xml:space="preserve">Readily recovered from archived media; or </w:t>
      </w:r>
    </w:p>
    <w:p>
      <w:pPr>
        <w:pStyle w:val="ListParagraph"/>
        <w:numPr>
          <w:ilvl w:val="0"/>
          <w:numId w:val="197"/>
        </w:numPr>
        <w:rPr>
          <w:b/>
          <w:b/>
        </w:rPr>
      </w:pPr>
      <w:r>
        <w:rPr/>
        <w:t>Restorable from back-up.</w:t>
      </w:r>
    </w:p>
    <w:p>
      <w:pPr>
        <w:pStyle w:val="Normal"/>
        <w:rPr/>
      </w:pPr>
      <w:r>
        <w:rPr/>
      </w:r>
    </w:p>
    <w:p>
      <w:pPr>
        <w:pStyle w:val="Normal"/>
        <w:rPr/>
      </w:pPr>
      <w:r>
        <w:rPr/>
      </w:r>
    </w:p>
    <w:p>
      <w:pPr>
        <w:pStyle w:val="Heading2"/>
        <w:rPr/>
      </w:pPr>
      <w:bookmarkStart w:id="527" w:name="_Toc474074897"/>
      <w:bookmarkStart w:id="528" w:name="_Toc474075578"/>
      <w:bookmarkStart w:id="529" w:name="_Toc34920689"/>
      <w:r>
        <w:rPr/>
        <w:t>MON-11: Monitoring For Information Disclosure</w:t>
      </w:r>
      <w:bookmarkEnd w:id="527"/>
      <w:bookmarkEnd w:id="528"/>
      <w:bookmarkEnd w:id="529"/>
    </w:p>
    <w:p>
      <w:pPr>
        <w:pStyle w:val="Normal"/>
        <w:rPr/>
      </w:pPr>
      <w:r>
        <w:rPr>
          <w:u w:val="single"/>
        </w:rPr>
        <w:t>Control Objective</w:t>
      </w:r>
      <w:r>
        <w:rPr/>
        <w:t>: The organization monitors for evidence of unauthorized exfiltration or disclosure of organizational information.</w:t>
      </w:r>
      <w:r>
        <w:rPr>
          <w:rStyle w:val="FootnoteAnchor"/>
          <w:rStyle w:val="FootnoteAnchor"/>
          <w:rFonts w:cs="Calibri"/>
        </w:rPr>
        <w:footnoteReference w:id="172"/>
      </w:r>
    </w:p>
    <w:p>
      <w:pPr>
        <w:pStyle w:val="Normal"/>
        <w:rPr/>
      </w:pPr>
      <w:r>
        <w:rPr/>
      </w:r>
    </w:p>
    <w:p>
      <w:pPr>
        <w:pStyle w:val="Normal"/>
        <w:rPr/>
      </w:pPr>
      <w:r>
        <w:rPr>
          <w:u w:val="single"/>
        </w:rPr>
        <w:t>Standard</w:t>
      </w:r>
      <w:r>
        <w:rPr/>
        <w:t>: Management and corporate communications personnel are required to continuously improve information disclosure detection processes. At a minimum, this shall include periodically performing Internet searches of key terminology applicable to NFCC’s business operations for an indication of information leakage.</w:t>
      </w:r>
    </w:p>
    <w:p>
      <w:pPr>
        <w:pStyle w:val="Normal"/>
        <w:rPr/>
      </w:pPr>
      <w:r>
        <w:rPr/>
      </w:r>
    </w:p>
    <w:p>
      <w:pPr>
        <w:pStyle w:val="Normal"/>
        <w:rPr/>
      </w:pPr>
      <w:r>
        <w:rPr>
          <w:u w:val="single"/>
        </w:rPr>
        <w:t>Guidelines</w:t>
      </w:r>
      <w:r>
        <w:rPr/>
        <w:t>: Open source information includes, for example, social networking sites and Internet-based web pages.</w:t>
      </w:r>
    </w:p>
    <w:p>
      <w:pPr>
        <w:pStyle w:val="Normal"/>
        <w:rPr/>
      </w:pPr>
      <w:r>
        <w:rPr/>
      </w:r>
    </w:p>
    <w:p>
      <w:pPr>
        <w:pStyle w:val="Heading3"/>
        <w:rPr/>
      </w:pPr>
      <w:bookmarkStart w:id="530" w:name="_Toc34920690"/>
      <w:r>
        <w:rPr/>
        <w:t>MON-11(a): Monitoring For Information Disclosure</w:t>
      </w:r>
      <w:bookmarkStart w:id="531" w:name="_Toc23242232"/>
      <w:r>
        <w:rPr/>
        <w:t xml:space="preserve"> | Analyze Traffic for Covert Exfiltration</w:t>
      </w:r>
      <w:bookmarkEnd w:id="531"/>
      <w:r>
        <w:rPr/>
        <w:t>)</w:t>
      </w:r>
      <w:bookmarkEnd w:id="530"/>
    </w:p>
    <w:p>
      <w:pPr>
        <w:pStyle w:val="Normal"/>
        <w:rPr/>
      </w:pPr>
      <w:r>
        <w:rPr>
          <w:rFonts w:cs="Calibri"/>
          <w:u w:val="single"/>
        </w:rPr>
        <w:t>Control Objective</w:t>
      </w:r>
      <w:r>
        <w:rPr>
          <w:rFonts w:cs="Calibri"/>
        </w:rPr>
        <w:t xml:space="preserve">: </w:t>
      </w:r>
      <w:r>
        <w:rPr/>
        <w:t>The organization analyzes outbound communications traffic at the external boundary of the information system (e.g., system perimeter) and at organization-defined interior points within the system (e.g., subsystems, subnetworks) to detect covert exfiltration of information.</w:t>
      </w:r>
      <w:r>
        <w:rPr>
          <w:rStyle w:val="FootnoteCharacters"/>
          <w:rFonts w:cs="Calibri"/>
        </w:rPr>
        <w:t xml:space="preserve"> </w:t>
      </w:r>
      <w:r>
        <w:rPr>
          <w:rStyle w:val="FootnoteAnchor"/>
          <w:rStyle w:val="FootnoteAnchor"/>
          <w:rFonts w:cs="Calibri"/>
        </w:rPr>
        <w:footnoteReference w:id="173"/>
      </w:r>
    </w:p>
    <w:p>
      <w:pPr>
        <w:pStyle w:val="Normal"/>
        <w:rPr>
          <w:rFonts w:cs="Calibri"/>
        </w:rPr>
      </w:pPr>
      <w:r>
        <w:rPr>
          <w:rFonts w:cs="Calibri"/>
        </w:rPr>
      </w:r>
    </w:p>
    <w:p>
      <w:pPr>
        <w:pStyle w:val="Normal"/>
        <w:rPr>
          <w:rFonts w:cs="Calibri"/>
        </w:rPr>
      </w:pPr>
      <w:r>
        <w:rPr>
          <w:rFonts w:cs="Calibri"/>
          <w:bCs w:val="false"/>
          <w:u w:val="single"/>
        </w:rPr>
        <w:t>Standard</w:t>
      </w:r>
      <w:r>
        <w:rPr>
          <w:rFonts w:cs="Calibri"/>
          <w:bCs w:val="false"/>
        </w:rPr>
        <w:t>:</w:t>
      </w:r>
      <w:r>
        <w:rPr>
          <w:rFonts w:cs="Calibri"/>
        </w:rPr>
        <w:t xml:space="preserve"> NFCC must implement technology(ies) at access points on its network perimeter that are capable of analyzing and blocking network traffic that is performing covert data exfiltration.</w:t>
      </w:r>
    </w:p>
    <w:p>
      <w:pPr>
        <w:pStyle w:val="Normal"/>
        <w:rPr>
          <w:rFonts w:cs="Calibri"/>
        </w:rPr>
      </w:pPr>
      <w:r>
        <w:rPr>
          <w:rFonts w:cs="Calibri"/>
        </w:rPr>
      </w:r>
    </w:p>
    <w:p>
      <w:pPr>
        <w:pStyle w:val="Normal"/>
        <w:rPr>
          <w:rFonts w:cs="Calibri"/>
        </w:rPr>
      </w:pPr>
      <w:r>
        <w:rPr>
          <w:rFonts w:cs="Calibri"/>
          <w:u w:val="single"/>
        </w:rPr>
        <w:t>Guidelines</w:t>
      </w:r>
      <w:r>
        <w:rPr>
          <w:rFonts w:cs="Calibri"/>
        </w:rPr>
        <w:t xml:space="preserve">: </w:t>
      </w:r>
      <w:r>
        <w:rPr/>
        <w:t>Covert means that can be used for the unauthorized exfiltration of organizational information include, for example, steganography.</w:t>
      </w:r>
    </w:p>
    <w:p>
      <w:pPr>
        <w:pStyle w:val="Normal"/>
        <w:rPr/>
      </w:pPr>
      <w:r>
        <w:rPr/>
      </w:r>
    </w:p>
    <w:p>
      <w:pPr>
        <w:pStyle w:val="Heading3"/>
        <w:rPr/>
      </w:pPr>
      <w:bookmarkStart w:id="532" w:name="_Toc23242235"/>
      <w:bookmarkStart w:id="533" w:name="_Toc34920691"/>
      <w:r>
        <w:rPr/>
        <w:t>MON-11(b): Monitoring For Information Disclosure | Unauthorized Network Services</w:t>
      </w:r>
      <w:bookmarkEnd w:id="532"/>
      <w:bookmarkEnd w:id="533"/>
      <w:r>
        <w:rPr/>
        <w:t xml:space="preserve"> </w:t>
      </w:r>
    </w:p>
    <w:p>
      <w:pPr>
        <w:pStyle w:val="Normal"/>
        <w:rPr/>
      </w:pPr>
      <w:r>
        <w:rPr>
          <w:rFonts w:cs="Calibri"/>
          <w:u w:val="single"/>
        </w:rPr>
        <w:t>Control Objective</w:t>
      </w:r>
      <w:r>
        <w:rPr>
          <w:rFonts w:cs="Calibri"/>
        </w:rPr>
        <w:t xml:space="preserve">: </w:t>
      </w:r>
      <w:r>
        <w:rPr/>
        <w:t>The information system detects network services that have not been authorized or approved by organization-defined authorization or approval processes and alerts organization-defined personnel or roles.</w:t>
      </w:r>
      <w:r>
        <w:rPr>
          <w:rStyle w:val="FootnoteCharacters"/>
          <w:rFonts w:cs="Calibri"/>
        </w:rPr>
        <w:t xml:space="preserve"> </w:t>
      </w:r>
      <w:r>
        <w:rPr>
          <w:rStyle w:val="FootnoteAnchor"/>
          <w:rStyle w:val="FootnoteAnchor"/>
          <w:rFonts w:cs="Calibri"/>
        </w:rPr>
        <w:footnoteReference w:id="174"/>
      </w:r>
    </w:p>
    <w:p>
      <w:pPr>
        <w:pStyle w:val="Normal"/>
        <w:rPr>
          <w:rFonts w:cs="Calibri"/>
        </w:rPr>
      </w:pPr>
      <w:r>
        <w:rPr>
          <w:rFonts w:cs="Calibri"/>
        </w:rPr>
      </w:r>
    </w:p>
    <w:p>
      <w:pPr>
        <w:pStyle w:val="Normal"/>
        <w:rPr>
          <w:rFonts w:cs="Calibri"/>
        </w:rPr>
      </w:pPr>
      <w:r>
        <w:rPr>
          <w:rFonts w:cs="Calibri"/>
          <w:bCs w:val="false"/>
          <w:u w:val="single"/>
        </w:rPr>
        <w:t>Standard</w:t>
      </w:r>
      <w:r>
        <w:rPr>
          <w:rFonts w:cs="Calibri"/>
          <w:bCs w:val="false"/>
        </w:rPr>
        <w:t xml:space="preserve">: </w:t>
      </w:r>
      <w:r>
        <w:rPr>
          <w:rFonts w:cs="Calibri"/>
        </w:rPr>
        <w:t>NFCC’s Security Information Event Manager (SIEM), or similar technology, must be configured to according to vendor and industry-recognized secure practices to:</w:t>
      </w:r>
    </w:p>
    <w:p>
      <w:pPr>
        <w:pStyle w:val="ListParagraph"/>
        <w:numPr>
          <w:ilvl w:val="0"/>
          <w:numId w:val="648"/>
        </w:numPr>
        <w:rPr/>
      </w:pPr>
      <w:r>
        <w:rPr/>
        <w:t>Intake Intrusion Detection / Protection System (IDS/IPS) logs, or similar technologies, that can detect network services that have not been authorized or approved; and</w:t>
      </w:r>
    </w:p>
    <w:p>
      <w:pPr>
        <w:pStyle w:val="ListParagraph"/>
        <w:numPr>
          <w:ilvl w:val="0"/>
          <w:numId w:val="648"/>
        </w:numPr>
        <w:rPr/>
      </w:pPr>
      <w:r>
        <w:rPr/>
        <w:t xml:space="preserve">Alert appropriate incident responders to the potential incident </w:t>
      </w:r>
    </w:p>
    <w:p>
      <w:pPr>
        <w:pStyle w:val="Normal"/>
        <w:rPr>
          <w:rFonts w:cs="Calibri"/>
        </w:rPr>
      </w:pPr>
      <w:r>
        <w:rPr>
          <w:rFonts w:cs="Calibri"/>
        </w:rPr>
      </w:r>
    </w:p>
    <w:p>
      <w:pPr>
        <w:pStyle w:val="Normal"/>
        <w:rPr>
          <w:rFonts w:cs="Calibri"/>
        </w:rPr>
      </w:pPr>
      <w:r>
        <w:rPr>
          <w:rFonts w:cs="Calibri"/>
          <w:u w:val="single"/>
        </w:rPr>
        <w:t>Guidelines</w:t>
      </w:r>
      <w:r>
        <w:rPr>
          <w:rFonts w:cs="Calibri"/>
        </w:rPr>
        <w:t xml:space="preserve">: </w:t>
      </w:r>
      <w:r>
        <w:rPr/>
        <w:t>Unauthorized or unapproved network services include, for example, services in service-oriented architectures that lack organizational verification or validation and therefore may be unreliable or serve as malicious rogues for valid services.</w:t>
      </w:r>
    </w:p>
    <w:p>
      <w:pPr>
        <w:pStyle w:val="Normal"/>
        <w:rPr/>
      </w:pPr>
      <w:r>
        <w:rPr/>
      </w:r>
    </w:p>
    <w:p>
      <w:pPr>
        <w:pStyle w:val="Heading3"/>
        <w:rPr/>
      </w:pPr>
      <w:bookmarkStart w:id="534" w:name="_Toc23242237"/>
      <w:bookmarkStart w:id="535" w:name="_Toc34920692"/>
      <w:r>
        <w:rPr/>
        <w:t>MON-11(c): Monitoring For Information Disclosure | Monitoring for Indicators of Compromise (IOC)</w:t>
      </w:r>
      <w:bookmarkEnd w:id="534"/>
      <w:bookmarkEnd w:id="535"/>
      <w:r>
        <w:rPr/>
        <w:t xml:space="preserve"> </w:t>
      </w:r>
    </w:p>
    <w:p>
      <w:pPr>
        <w:pStyle w:val="Normal"/>
        <w:rPr/>
      </w:pPr>
      <w:r>
        <w:rPr>
          <w:rFonts w:cs="Calibri"/>
          <w:u w:val="single"/>
        </w:rPr>
        <w:t>Control Objective</w:t>
      </w:r>
      <w:r>
        <w:rPr>
          <w:rFonts w:cs="Calibri"/>
        </w:rPr>
        <w:t xml:space="preserve">: </w:t>
      </w:r>
      <w:r>
        <w:rPr/>
        <w:t>The information system discovers, collects, distributes and uses indicators of compromise.</w:t>
      </w:r>
      <w:r>
        <w:rPr>
          <w:rStyle w:val="FootnoteCharacters"/>
          <w:rFonts w:cs="Calibri"/>
        </w:rPr>
        <w:t xml:space="preserve"> </w:t>
      </w:r>
      <w:r>
        <w:rPr>
          <w:rStyle w:val="FootnoteAnchor"/>
          <w:rStyle w:val="FootnoteAnchor"/>
          <w:rFonts w:cs="Calibri"/>
        </w:rPr>
        <w:footnoteReference w:id="175"/>
      </w:r>
    </w:p>
    <w:p>
      <w:pPr>
        <w:pStyle w:val="Normal"/>
        <w:rPr>
          <w:rFonts w:cs="Calibri"/>
        </w:rPr>
      </w:pPr>
      <w:r>
        <w:rPr>
          <w:rFonts w:cs="Calibri"/>
        </w:rPr>
      </w:r>
    </w:p>
    <w:p>
      <w:pPr>
        <w:pStyle w:val="Normal"/>
        <w:rPr/>
      </w:pPr>
      <w:r>
        <w:rPr>
          <w:u w:val="single"/>
        </w:rPr>
        <w:t>Standard</w:t>
      </w:r>
      <w:r>
        <w:rPr/>
        <w:t>: NFCC incident response personnel must develop and update Indicators of Compromise (IOC) to ensure detection mechanisms and response personnel:</w:t>
      </w:r>
    </w:p>
    <w:p>
      <w:pPr>
        <w:pStyle w:val="ListParagraph"/>
        <w:numPr>
          <w:ilvl w:val="0"/>
          <w:numId w:val="380"/>
        </w:numPr>
        <w:rPr/>
      </w:pPr>
      <w:r>
        <w:rPr/>
        <w:t xml:space="preserve">Are aware of evolving threats; and </w:t>
      </w:r>
    </w:p>
    <w:p>
      <w:pPr>
        <w:pStyle w:val="ListParagraph"/>
        <w:numPr>
          <w:ilvl w:val="0"/>
          <w:numId w:val="380"/>
        </w:numPr>
        <w:rPr/>
      </w:pPr>
      <w:r>
        <w:rPr/>
        <w:t>Understand what reported issues could represent.</w:t>
      </w:r>
    </w:p>
    <w:p>
      <w:pPr>
        <w:pStyle w:val="Normal"/>
        <w:rPr>
          <w:rFonts w:cs="Calibri"/>
        </w:rPr>
      </w:pPr>
      <w:r>
        <w:rPr>
          <w:rFonts w:cs="Calibri"/>
        </w:rPr>
      </w:r>
    </w:p>
    <w:p>
      <w:pPr>
        <w:pStyle w:val="Normal"/>
        <w:rPr>
          <w:rFonts w:cs="Calibri"/>
        </w:rPr>
      </w:pPr>
      <w:r>
        <w:rPr>
          <w:rFonts w:cs="Calibri"/>
          <w:u w:val="single"/>
        </w:rPr>
        <w:t>Guidelines</w:t>
      </w:r>
      <w:r>
        <w:rPr>
          <w:rFonts w:cs="Calibri"/>
        </w:rPr>
        <w:t xml:space="preserve">: </w:t>
      </w:r>
      <w:r>
        <w:rPr/>
        <w:t>Indicators of compromise (IOC) are forensic artifacts from intrusions that are identified on organizational information systems (at the host or network level). IOCs provide organizations with valuable information on objects or information systems that have been compromised. IOCs for the discovery of compromised hosts can include for example, the creation of registry key values. IOCs for network traffic include, for example, Universal Resource Locator (URL) or protocol elements that indicate malware command and control servers. The rapid distribution and adoption of IOCs can improve information security by reducing the time that information systems and organizations are vulnerable to the same exploit or attack.</w:t>
      </w:r>
    </w:p>
    <w:p>
      <w:pPr>
        <w:pStyle w:val="Normal"/>
        <w:rPr/>
      </w:pPr>
      <w:r>
        <w:rPr/>
      </w:r>
    </w:p>
    <w:p>
      <w:pPr>
        <w:pStyle w:val="Normal"/>
        <w:rPr/>
      </w:pPr>
      <w:r>
        <w:rPr/>
      </w:r>
    </w:p>
    <w:p>
      <w:pPr>
        <w:pStyle w:val="Heading2"/>
        <w:rPr/>
      </w:pPr>
      <w:bookmarkStart w:id="536" w:name="_Toc474074898"/>
      <w:bookmarkStart w:id="537" w:name="_Toc474075579"/>
      <w:bookmarkStart w:id="538" w:name="_Toc34920693"/>
      <w:r>
        <w:rPr/>
        <w:t>MON-12: Session Audit</w:t>
      </w:r>
      <w:bookmarkEnd w:id="536"/>
      <w:bookmarkEnd w:id="537"/>
      <w:bookmarkEnd w:id="538"/>
      <w:r>
        <w:rPr/>
        <w:t xml:space="preserve"> </w:t>
      </w:r>
    </w:p>
    <w:p>
      <w:pPr>
        <w:pStyle w:val="Normal"/>
        <w:rPr/>
      </w:pPr>
      <w:r>
        <w:rPr>
          <w:u w:val="single"/>
        </w:rPr>
        <w:t>Control Objective</w:t>
      </w:r>
      <w:r>
        <w:rPr/>
        <w:t>: Systems provide the capability to:</w:t>
      </w:r>
      <w:r>
        <w:rPr>
          <w:rStyle w:val="FootnoteAnchor"/>
          <w:rStyle w:val="FootnoteAnchor"/>
          <w:rFonts w:cs="Calibri"/>
        </w:rPr>
        <w:footnoteReference w:id="176"/>
      </w:r>
    </w:p>
    <w:p>
      <w:pPr>
        <w:pStyle w:val="ListParagraph"/>
        <w:numPr>
          <w:ilvl w:val="0"/>
          <w:numId w:val="95"/>
        </w:numPr>
        <w:rPr/>
      </w:pPr>
      <w:r>
        <w:rPr/>
        <w:t>Capture and log all content related to a user session; and</w:t>
      </w:r>
    </w:p>
    <w:p>
      <w:pPr>
        <w:pStyle w:val="ListParagraph"/>
        <w:numPr>
          <w:ilvl w:val="0"/>
          <w:numId w:val="95"/>
        </w:numPr>
        <w:rPr/>
      </w:pPr>
      <w:r>
        <w:rPr/>
        <w:t>Remotely view all content related to an established user session in real time.</w:t>
      </w:r>
    </w:p>
    <w:p>
      <w:pPr>
        <w:pStyle w:val="Normal"/>
        <w:rPr/>
      </w:pPr>
      <w:r>
        <w:rPr/>
      </w:r>
    </w:p>
    <w:p>
      <w:pPr>
        <w:pStyle w:val="Normal"/>
        <w:rPr/>
      </w:pPr>
      <w:r>
        <w:rPr>
          <w:u w:val="single"/>
        </w:rPr>
        <w:t>Standard</w:t>
      </w:r>
      <w:r>
        <w:rPr/>
        <w:t>: Where technically feasible, asset custodians and data / process owners are required to provide session auditing on systems that store, process or transmit sensitive data, including, but not limited to:</w:t>
      </w:r>
    </w:p>
    <w:p>
      <w:pPr>
        <w:pStyle w:val="ListParagraph"/>
        <w:numPr>
          <w:ilvl w:val="0"/>
          <w:numId w:val="285"/>
        </w:numPr>
        <w:rPr/>
      </w:pPr>
      <w:r>
        <w:rPr/>
        <w:t xml:space="preserve">Capturing and logging all content related to a user session; </w:t>
      </w:r>
    </w:p>
    <w:p>
      <w:pPr>
        <w:pStyle w:val="ListParagraph"/>
        <w:numPr>
          <w:ilvl w:val="0"/>
          <w:numId w:val="285"/>
        </w:numPr>
        <w:rPr/>
      </w:pPr>
      <w:r>
        <w:rPr/>
        <w:t>Remotely viewing all content related to an established user session in real time.</w:t>
      </w:r>
    </w:p>
    <w:p>
      <w:pPr>
        <w:pStyle w:val="Normal"/>
        <w:rPr/>
      </w:pPr>
      <w:r>
        <w:rPr/>
      </w:r>
    </w:p>
    <w:p>
      <w:pPr>
        <w:pStyle w:val="Normal"/>
        <w:rPr/>
      </w:pPr>
      <w:r>
        <w:rPr>
          <w:u w:val="single"/>
        </w:rPr>
        <w:t>Guidelines</w:t>
      </w:r>
      <w:r>
        <w:rPr/>
        <w:t>: Session auditing activities need to be developed, integrated and used in consultation with legal counsel in accordance with applicable laws, policies or regulations.</w:t>
      </w:r>
    </w:p>
    <w:p>
      <w:pPr>
        <w:pStyle w:val="Normal"/>
        <w:rPr/>
      </w:pPr>
      <w:r>
        <w:rPr/>
      </w:r>
    </w:p>
    <w:p>
      <w:pPr>
        <w:pStyle w:val="Normal"/>
        <w:rPr/>
      </w:pPr>
      <w:r>
        <w:rPr/>
      </w:r>
    </w:p>
    <w:p>
      <w:pPr>
        <w:pStyle w:val="Heading2"/>
        <w:rPr/>
      </w:pPr>
      <w:bookmarkStart w:id="539" w:name="_Toc474074899"/>
      <w:bookmarkStart w:id="540" w:name="_Toc474075580"/>
      <w:bookmarkStart w:id="541" w:name="_Toc34920694"/>
      <w:r>
        <w:rPr/>
        <w:t>MON-13: Alternate Audit Capability</w:t>
      </w:r>
      <w:bookmarkEnd w:id="539"/>
      <w:bookmarkEnd w:id="540"/>
      <w:bookmarkEnd w:id="541"/>
      <w:r>
        <w:rPr/>
        <w:t xml:space="preserve"> </w:t>
      </w:r>
    </w:p>
    <w:p>
      <w:pPr>
        <w:pStyle w:val="Normal"/>
        <w:rPr/>
      </w:pPr>
      <w:r>
        <w:rPr>
          <w:u w:val="single"/>
        </w:rPr>
        <w:t>Control Objective</w:t>
      </w:r>
      <w:r>
        <w:rPr/>
        <w:t>: The organization provides an alternate audit capability in the event of a failure in primary audit capability that provides alternate audit functionality.</w:t>
      </w:r>
      <w:r>
        <w:rPr>
          <w:rStyle w:val="FootnoteCharacters"/>
          <w:rFonts w:cs="Calibri"/>
        </w:rPr>
        <w:t xml:space="preserve"> </w:t>
      </w:r>
      <w:r>
        <w:rPr>
          <w:rStyle w:val="FootnoteAnchor"/>
          <w:rStyle w:val="FootnoteAnchor"/>
          <w:rFonts w:cs="Calibri"/>
        </w:rPr>
        <w:footnoteReference w:id="177"/>
      </w:r>
    </w:p>
    <w:p>
      <w:pPr>
        <w:pStyle w:val="Normal"/>
        <w:rPr/>
      </w:pPr>
      <w:r>
        <w:rPr/>
      </w:r>
    </w:p>
    <w:p>
      <w:pPr>
        <w:pStyle w:val="Normal"/>
        <w:rPr/>
      </w:pPr>
      <w:r>
        <w:rPr>
          <w:u w:val="single"/>
        </w:rPr>
        <w:t>Standard</w:t>
      </w:r>
      <w:r>
        <w:rPr/>
        <w:t>: For critical systems, the responsible party for NFCC’s technology infrastructure is required to provide an alternate audit capability in the event of a failure in primary audit capability that provides alternate audit functionality.</w:t>
      </w:r>
    </w:p>
    <w:p>
      <w:pPr>
        <w:pStyle w:val="Normal"/>
        <w:rPr/>
      </w:pPr>
      <w:r>
        <w:rPr/>
      </w:r>
    </w:p>
    <w:p>
      <w:pPr>
        <w:pStyle w:val="Normal"/>
        <w:rPr/>
      </w:pPr>
      <w:r>
        <w:rPr>
          <w:u w:val="single"/>
        </w:rPr>
        <w:t>Guidelines</w:t>
      </w:r>
      <w:r>
        <w:rPr/>
        <w:t xml:space="preserve">: Since an alternate audit capability may be a short-term protection employed until the failure in the primary auditing capability is corrected, organizations may determine that the alternate audit capability need only provide a subset of the primary audit functionality that is impacted by the failure. </w:t>
      </w:r>
    </w:p>
    <w:p>
      <w:pPr>
        <w:pStyle w:val="Normal"/>
        <w:rPr/>
      </w:pPr>
      <w:r>
        <w:rPr/>
      </w:r>
    </w:p>
    <w:p>
      <w:pPr>
        <w:pStyle w:val="Normal"/>
        <w:rPr/>
      </w:pPr>
      <w:r>
        <w:rPr/>
      </w:r>
    </w:p>
    <w:p>
      <w:pPr>
        <w:pStyle w:val="Heading2"/>
        <w:rPr/>
      </w:pPr>
      <w:bookmarkStart w:id="542" w:name="_Toc34920695"/>
      <w:bookmarkStart w:id="543" w:name="_Toc474074900"/>
      <w:bookmarkStart w:id="544" w:name="_Toc474075581"/>
      <w:r>
        <w:rPr/>
        <w:t xml:space="preserve">MON-14: Cross-Organizational </w:t>
      </w:r>
      <w:bookmarkEnd w:id="543"/>
      <w:bookmarkEnd w:id="544"/>
      <w:r>
        <w:rPr/>
        <w:t>Monitoring</w:t>
      </w:r>
      <w:bookmarkEnd w:id="542"/>
      <w:r>
        <w:rPr/>
        <w:t xml:space="preserve"> </w:t>
      </w:r>
    </w:p>
    <w:p>
      <w:pPr>
        <w:pStyle w:val="Normal"/>
        <w:rPr/>
      </w:pPr>
      <w:r>
        <w:rPr>
          <w:u w:val="single"/>
        </w:rPr>
        <w:t>Control Objective</w:t>
      </w:r>
      <w:r>
        <w:rPr/>
        <w:t>: The organization employs methods for coordinating audit information among external organizations when audit information is transmitted across organizational boundaries.</w:t>
      </w:r>
      <w:r>
        <w:rPr>
          <w:rStyle w:val="FootnoteCharacters"/>
          <w:rFonts w:cs="Calibri"/>
        </w:rPr>
        <w:t xml:space="preserve"> </w:t>
      </w:r>
      <w:r>
        <w:rPr>
          <w:rStyle w:val="FootnoteAnchor"/>
          <w:rStyle w:val="FootnoteAnchor"/>
          <w:rFonts w:cs="Calibri"/>
        </w:rPr>
        <w:footnoteReference w:id="178"/>
      </w:r>
    </w:p>
    <w:p>
      <w:pPr>
        <w:pStyle w:val="Normal"/>
        <w:rPr/>
      </w:pPr>
      <w:r>
        <w:rPr/>
      </w:r>
    </w:p>
    <w:p>
      <w:pPr>
        <w:pStyle w:val="Normal"/>
        <w:rPr/>
      </w:pPr>
      <w:r>
        <w:rPr>
          <w:rFonts w:cs="Calibri"/>
          <w:u w:val="single"/>
        </w:rPr>
        <w:t>Standard</w:t>
      </w:r>
      <w:r>
        <w:rPr>
          <w:rFonts w:cs="Calibri"/>
        </w:rPr>
        <w:t xml:space="preserve">: The </w:t>
      </w:r>
      <w:r>
        <w:rPr/>
        <w:t>Chief Information Security Officer (CISO) and his / her designated representatives are responsible for:</w:t>
      </w:r>
    </w:p>
    <w:p>
      <w:pPr>
        <w:pStyle w:val="ListParagraph"/>
        <w:numPr>
          <w:ilvl w:val="0"/>
          <w:numId w:val="286"/>
        </w:numPr>
        <w:rPr/>
      </w:pPr>
      <w:r>
        <w:rPr/>
        <w:t>Coordinating cross-organizational monitoring; and</w:t>
      </w:r>
    </w:p>
    <w:p>
      <w:pPr>
        <w:pStyle w:val="ListParagraph"/>
        <w:numPr>
          <w:ilvl w:val="0"/>
          <w:numId w:val="286"/>
        </w:numPr>
        <w:rPr/>
      </w:pPr>
      <w:r>
        <w:rPr/>
        <w:t>Testing detection processes.</w:t>
      </w:r>
    </w:p>
    <w:p>
      <w:pPr>
        <w:pStyle w:val="Normal"/>
        <w:rPr/>
      </w:pPr>
      <w:r>
        <w:rPr/>
      </w:r>
    </w:p>
    <w:p>
      <w:pPr>
        <w:pStyle w:val="Normal"/>
        <w:rPr/>
      </w:pPr>
      <w:r>
        <w:rPr>
          <w:u w:val="single"/>
        </w:rPr>
        <w:t>Guidelines</w:t>
      </w:r>
      <w:r>
        <w:rPr/>
        <w:t xml:space="preserve">: Because of the distributed nature of the audit information, cross-organization sharing of audit information may be essential for the effective analysis of the auditing being performed. For example, maintaining the identity of individuals that requested particular services across organizational boundaries may often be very difficult and doing so may prove to have significant performance ramifications. Therefore, it is often the case that cross-organizational auditing (e.g., the type of auditing capability provided by service-oriented architectures) simply captures the identity of individuals issuing requests at the initial system and subsequent systems record that the requests emanated from authorized individuals. </w:t>
      </w:r>
    </w:p>
    <w:p>
      <w:pPr>
        <w:pStyle w:val="Normal"/>
        <w:rPr/>
      </w:pPr>
      <w:r>
        <w:rPr/>
      </w:r>
    </w:p>
    <w:p>
      <w:pPr>
        <w:pStyle w:val="Heading3"/>
        <w:rPr/>
      </w:pPr>
      <w:bookmarkStart w:id="545" w:name="_Toc23242010"/>
      <w:bookmarkStart w:id="546" w:name="_Toc34920696"/>
      <w:r>
        <w:rPr/>
        <w:t>MON-14(a): Cross-Organizational Monitoring | Sharing of Audit Information</w:t>
      </w:r>
      <w:bookmarkEnd w:id="545"/>
      <w:bookmarkEnd w:id="546"/>
      <w:r>
        <w:rPr/>
        <w:t xml:space="preserve"> </w:t>
      </w:r>
    </w:p>
    <w:p>
      <w:pPr>
        <w:pStyle w:val="Normal"/>
        <w:rPr>
          <w:rFonts w:cs="Calibri"/>
          <w:bCs w:val="false"/>
        </w:rPr>
      </w:pPr>
      <w:r>
        <w:rPr>
          <w:rFonts w:cs="Calibri"/>
          <w:u w:val="single"/>
        </w:rPr>
        <w:t>Control Objective</w:t>
      </w:r>
      <w:r>
        <w:rPr>
          <w:rFonts w:cs="Calibri"/>
        </w:rPr>
        <w:t>:</w:t>
      </w:r>
      <w:r>
        <w:rPr>
          <w:rFonts w:cs="Calibri"/>
          <w:bCs w:val="false"/>
        </w:rPr>
        <w:t xml:space="preserve"> The organization provides cross-organizational audit information to third-party organizations based on specific cross-organizational sharing agreements.</w:t>
      </w:r>
      <w:r>
        <w:rPr>
          <w:rStyle w:val="FootnoteCharacters"/>
          <w:rFonts w:cs="Calibri"/>
        </w:rPr>
        <w:t xml:space="preserve"> </w:t>
      </w:r>
      <w:r>
        <w:rPr>
          <w:rStyle w:val="FootnoteAnchor"/>
          <w:rStyle w:val="FootnoteAnchor"/>
          <w:rFonts w:cs="Calibri"/>
        </w:rPr>
        <w:footnoteReference w:id="179"/>
      </w:r>
    </w:p>
    <w:p>
      <w:pPr>
        <w:pStyle w:val="Normal"/>
        <w:rPr>
          <w:rFonts w:cs="Calibri"/>
        </w:rPr>
      </w:pPr>
      <w:r>
        <w:rPr>
          <w:rFonts w:cs="Calibri"/>
        </w:rPr>
      </w:r>
    </w:p>
    <w:p>
      <w:pPr>
        <w:pStyle w:val="Normal"/>
        <w:rPr/>
      </w:pPr>
      <w:r>
        <w:rPr>
          <w:rFonts w:cs="Calibri"/>
          <w:bCs w:val="false"/>
          <w:u w:val="single"/>
        </w:rPr>
        <w:t>Standard</w:t>
      </w:r>
      <w:r>
        <w:rPr>
          <w:rFonts w:cs="Calibri"/>
          <w:bCs w:val="false"/>
        </w:rPr>
        <w:t>:</w:t>
      </w:r>
      <w:r>
        <w:rPr>
          <w:rFonts w:cs="Calibri"/>
        </w:rPr>
        <w:t xml:space="preserve"> Based on a justifiable business case and an executed mutual Non-Disclosure Agreement (NDA), NFCC’s Information Security Officer (ISO) can direct cybersecurity personnel to engage with specified third-party organizations to design and implement a </w:t>
      </w:r>
      <w:r>
        <w:rPr>
          <w:rFonts w:cs="Calibri"/>
          <w:bCs w:val="false"/>
        </w:rPr>
        <w:t>cross-organizational audit information sharing process to enhance NFCC’s situational awareness to cybersecurity-related threats.</w:t>
      </w:r>
    </w:p>
    <w:p>
      <w:pPr>
        <w:pStyle w:val="Normal"/>
        <w:rPr>
          <w:rFonts w:cs="Calibri"/>
        </w:rPr>
      </w:pPr>
      <w:r>
        <w:rPr>
          <w:rFonts w:cs="Calibri"/>
        </w:rPr>
      </w:r>
    </w:p>
    <w:p>
      <w:pPr>
        <w:pStyle w:val="Normal"/>
        <w:rPr>
          <w:rFonts w:cs="Calibri"/>
        </w:rPr>
      </w:pPr>
      <w:r>
        <w:rPr>
          <w:rFonts w:cs="Calibri"/>
          <w:u w:val="single"/>
        </w:rPr>
        <w:t>Guidelines</w:t>
      </w:r>
      <w:r>
        <w:rPr>
          <w:rFonts w:cs="Calibri"/>
        </w:rPr>
        <w:t xml:space="preserve">: </w:t>
      </w:r>
      <w:r>
        <w:rPr>
          <w:rFonts w:cs="Calibri"/>
          <w:bCs w:val="false"/>
        </w:rPr>
        <w:t>Because of the distributed nature of the audit information, cross-organization sharing of audit information may be essential for effective analysis of the auditing being performed. For example, the audit records of one organization may not provide sufficient information to determine the appropriate or inappropriate use of organizational information resources by individuals in other organizations. In some instances, only the home organizations of individuals have the appropriate knowledge to make such determinations, thus requiring the sharing of audit information among organizations.</w:t>
      </w:r>
    </w:p>
    <w:p>
      <w:pPr>
        <w:pStyle w:val="Normal"/>
        <w:rPr/>
      </w:pPr>
      <w:r>
        <w:rPr/>
      </w:r>
    </w:p>
    <w:p>
      <w:pPr>
        <w:pStyle w:val="Normal"/>
        <w:rPr/>
      </w:pPr>
      <w:r>
        <w:rPr/>
      </w:r>
    </w:p>
    <w:p>
      <w:pPr>
        <w:pStyle w:val="Heading2"/>
        <w:rPr/>
      </w:pPr>
      <w:bookmarkStart w:id="547" w:name="_Toc474074901"/>
      <w:bookmarkStart w:id="548" w:name="_Toc474075582"/>
      <w:bookmarkStart w:id="549" w:name="_Toc34920697"/>
      <w:r>
        <w:rPr/>
        <w:t>MON-15: Covert Channel Analysis</w:t>
      </w:r>
      <w:bookmarkEnd w:id="547"/>
      <w:bookmarkEnd w:id="548"/>
      <w:bookmarkEnd w:id="549"/>
      <w:r>
        <w:rPr/>
        <w:t xml:space="preserve"> </w:t>
      </w:r>
    </w:p>
    <w:p>
      <w:pPr>
        <w:pStyle w:val="Normal"/>
        <w:rPr/>
      </w:pPr>
      <w:r>
        <w:rPr>
          <w:u w:val="single"/>
        </w:rPr>
        <w:t>Control Objective</w:t>
      </w:r>
      <w:r>
        <w:rPr/>
        <w:t>: The organization:</w:t>
      </w:r>
      <w:r>
        <w:rPr>
          <w:rStyle w:val="FootnoteAnchor"/>
          <w:rStyle w:val="FootnoteAnchor"/>
          <w:rFonts w:cs="Calibri"/>
        </w:rPr>
        <w:footnoteReference w:id="180"/>
      </w:r>
    </w:p>
    <w:p>
      <w:pPr>
        <w:pStyle w:val="ListParagraph"/>
        <w:numPr>
          <w:ilvl w:val="0"/>
          <w:numId w:val="146"/>
        </w:numPr>
        <w:rPr/>
      </w:pPr>
      <w:r>
        <w:rPr/>
        <w:t>Performs covert channel analysis to identify those aspects of communications within the system that are potential avenues for covert channels; and</w:t>
      </w:r>
    </w:p>
    <w:p>
      <w:pPr>
        <w:pStyle w:val="ListParagraph"/>
        <w:numPr>
          <w:ilvl w:val="0"/>
          <w:numId w:val="146"/>
        </w:numPr>
        <w:rPr/>
      </w:pPr>
      <w:r>
        <w:rPr/>
        <w:t>Estimates the maximum bandwidth of those channels.</w:t>
      </w:r>
    </w:p>
    <w:p>
      <w:pPr>
        <w:pStyle w:val="Normal"/>
        <w:rPr/>
      </w:pPr>
      <w:r>
        <w:rPr/>
      </w:r>
    </w:p>
    <w:p>
      <w:pPr>
        <w:pStyle w:val="Normal"/>
        <w:rPr/>
      </w:pPr>
      <w:r>
        <w:rPr>
          <w:u w:val="single"/>
        </w:rPr>
        <w:t>Standard</w:t>
      </w:r>
      <w:r>
        <w:rPr/>
        <w:t xml:space="preserve">: The responsible party for NFCC’s technology infrastructure is authorized to employ the following methods to perform covert channel analysis: </w:t>
      </w:r>
    </w:p>
    <w:p>
      <w:pPr>
        <w:pStyle w:val="ListParagraph"/>
        <w:numPr>
          <w:ilvl w:val="0"/>
          <w:numId w:val="148"/>
        </w:numPr>
        <w:rPr/>
      </w:pPr>
      <w:r>
        <w:rPr/>
        <w:t>Test a subset of possible covert channels to determine which channels are exploitable;</w:t>
      </w:r>
    </w:p>
    <w:p>
      <w:pPr>
        <w:pStyle w:val="ListParagraph"/>
        <w:numPr>
          <w:ilvl w:val="0"/>
          <w:numId w:val="148"/>
        </w:numPr>
        <w:rPr/>
      </w:pPr>
      <w:r>
        <w:rPr/>
        <w:t xml:space="preserve">Reduce the maximum bandwidth for identified covert channels; and </w:t>
      </w:r>
    </w:p>
    <w:p>
      <w:pPr>
        <w:pStyle w:val="ListParagraph"/>
        <w:numPr>
          <w:ilvl w:val="0"/>
          <w:numId w:val="148"/>
        </w:numPr>
        <w:rPr/>
      </w:pPr>
      <w:r>
        <w:rPr/>
        <w:t>Measure the bandwidth of possible covert channels to identify covert channel usage.</w:t>
      </w:r>
    </w:p>
    <w:p>
      <w:pPr>
        <w:pStyle w:val="Normal"/>
        <w:rPr/>
      </w:pPr>
      <w:r>
        <w:rPr/>
      </w:r>
    </w:p>
    <w:p>
      <w:pPr>
        <w:pStyle w:val="Normal"/>
        <w:rPr/>
      </w:pPr>
      <w:r>
        <w:rPr>
          <w:u w:val="single"/>
        </w:rPr>
        <w:t>Guidelines</w:t>
      </w:r>
      <w:r>
        <w:rPr/>
        <w:t xml:space="preserve">: Developers are in the best position to identify potential areas within systems that might lead to covert channels. Covert channel analysis is a meaningful activity when there is the potential for unauthorized information flows across security domains, for example, in the case of systems containing export-controlled information and having connections to external networks (e.g., networks not controlled by organizations). Covert channel analysis is also meaningful for multilevel secure (MLS) systems, multiple security level (MSL) systems and cross-domain systems. </w:t>
      </w:r>
    </w:p>
    <w:p>
      <w:pPr>
        <w:pStyle w:val="Normal"/>
        <w:rPr/>
      </w:pPr>
      <w:r>
        <w:rPr/>
      </w:r>
    </w:p>
    <w:p>
      <w:pPr>
        <w:pStyle w:val="Normal"/>
        <w:rPr/>
      </w:pPr>
      <w:r>
        <w:rPr/>
        <w:t>To help identify covert channels exfiltrating data through a firewall, asset custodians may configure the built-in firewall session tracking mechanisms included in many commercial firewalls to identify TCP sessions that last an unusually long time (e.g., anomalous behavior based on network baseline conditions). This should be used to alert personnel about the source and destination addresses associated with these long sessions.</w:t>
      </w:r>
    </w:p>
    <w:p>
      <w:pPr>
        <w:pStyle w:val="Normal"/>
        <w:rPr/>
      </w:pPr>
      <w:r>
        <w:rPr/>
      </w:r>
    </w:p>
    <w:p>
      <w:pPr>
        <w:pStyle w:val="Normal"/>
        <w:tabs>
          <w:tab w:val="clear" w:pos="360"/>
          <w:tab w:val="clear" w:pos="720"/>
          <w:tab w:val="clear" w:pos="1080"/>
        </w:tabs>
        <w:jc w:val="left"/>
        <w:rPr>
          <w:rFonts w:eastAsia="Calibri" w:cs="Calibri"/>
          <w:b/>
          <w:b/>
          <w:bCs w:val="false"/>
          <w:smallCaps/>
          <w:color w:val="C00000"/>
          <w:sz w:val="24"/>
        </w:rPr>
      </w:pPr>
      <w:r>
        <w:rPr>
          <w:rFonts w:eastAsia="Calibri" w:cs="Calibri"/>
          <w:b/>
          <w:bCs w:val="false"/>
          <w:smallCaps/>
          <w:color w:val="C00000"/>
          <w:sz w:val="24"/>
        </w:rPr>
      </w:r>
    </w:p>
    <w:p>
      <w:pPr>
        <w:pStyle w:val="Heading2"/>
        <w:rPr/>
      </w:pPr>
      <w:bookmarkStart w:id="550" w:name="_Toc34920698"/>
      <w:r>
        <w:rPr/>
        <w:t>MON-16: Anomalous Behavior</w:t>
      </w:r>
      <w:bookmarkEnd w:id="550"/>
      <w:r>
        <w:rPr/>
        <w:t xml:space="preserve"> </w:t>
      </w:r>
    </w:p>
    <w:p>
      <w:pPr>
        <w:pStyle w:val="Normal"/>
        <w:rPr/>
      </w:pPr>
      <w:r>
        <w:rPr>
          <w:u w:val="single"/>
        </w:rPr>
        <w:t>Control Objective</w:t>
      </w:r>
      <w:r>
        <w:rPr/>
        <w:t xml:space="preserve">: The organization: </w:t>
      </w:r>
      <w:r>
        <w:rPr>
          <w:rStyle w:val="FootnoteAnchor"/>
          <w:rStyle w:val="FootnoteAnchor"/>
          <w:rFonts w:cs="Calibri"/>
        </w:rPr>
        <w:footnoteReference w:id="181"/>
      </w:r>
    </w:p>
    <w:p>
      <w:pPr>
        <w:pStyle w:val="ListParagraph"/>
        <w:numPr>
          <w:ilvl w:val="0"/>
          <w:numId w:val="82"/>
        </w:numPr>
        <w:rPr/>
      </w:pPr>
      <w:r>
        <w:rPr/>
        <w:t>Requires that users log out when no longer using a system;</w:t>
      </w:r>
    </w:p>
    <w:p>
      <w:pPr>
        <w:pStyle w:val="ListParagraph"/>
        <w:numPr>
          <w:ilvl w:val="0"/>
          <w:numId w:val="82"/>
        </w:numPr>
        <w:rPr/>
      </w:pPr>
      <w:r>
        <w:rPr/>
        <w:t>Determines normal time-of-day and duration usage for system accounts;</w:t>
      </w:r>
    </w:p>
    <w:p>
      <w:pPr>
        <w:pStyle w:val="ListParagraph"/>
        <w:numPr>
          <w:ilvl w:val="0"/>
          <w:numId w:val="82"/>
        </w:numPr>
        <w:rPr/>
      </w:pPr>
      <w:r>
        <w:rPr/>
        <w:t>Monitors for atypical usage of system accounts; and</w:t>
      </w:r>
    </w:p>
    <w:p>
      <w:pPr>
        <w:pStyle w:val="ListParagraph"/>
        <w:numPr>
          <w:ilvl w:val="0"/>
          <w:numId w:val="82"/>
        </w:numPr>
        <w:rPr/>
      </w:pPr>
      <w:r>
        <w:rPr/>
        <w:t>Reports atypical usage to designated organizational officials.</w:t>
      </w:r>
    </w:p>
    <w:p>
      <w:pPr>
        <w:pStyle w:val="Normal"/>
        <w:rPr/>
      </w:pPr>
      <w:r>
        <w:rPr/>
      </w:r>
    </w:p>
    <w:p>
      <w:pPr>
        <w:pStyle w:val="Normal"/>
        <w:rPr/>
      </w:pPr>
      <w:r>
        <w:rPr>
          <w:u w:val="single"/>
        </w:rPr>
        <w:t>Standard</w:t>
      </w:r>
      <w:r>
        <w:rPr/>
        <w:t>: NFCC requires asset custodians to:</w:t>
      </w:r>
    </w:p>
    <w:p>
      <w:pPr>
        <w:pStyle w:val="ListParagraph"/>
        <w:numPr>
          <w:ilvl w:val="0"/>
          <w:numId w:val="157"/>
        </w:numPr>
        <w:rPr/>
      </w:pPr>
      <w:r>
        <w:rPr/>
        <w:t>Establish a general baseline of network operations and expected data flows for users and systems;</w:t>
      </w:r>
    </w:p>
    <w:p>
      <w:pPr>
        <w:pStyle w:val="ListParagraph"/>
        <w:numPr>
          <w:ilvl w:val="0"/>
          <w:numId w:val="157"/>
        </w:numPr>
        <w:rPr/>
      </w:pPr>
      <w:r>
        <w:rPr/>
        <w:t>Determine normal time-of-day and duration usage for system accounts;</w:t>
      </w:r>
    </w:p>
    <w:p>
      <w:pPr>
        <w:pStyle w:val="ListParagraph"/>
        <w:numPr>
          <w:ilvl w:val="0"/>
          <w:numId w:val="157"/>
        </w:numPr>
        <w:rPr/>
      </w:pPr>
      <w:r>
        <w:rPr/>
        <w:t>Monitor for atypical usage of system accounts; and</w:t>
      </w:r>
    </w:p>
    <w:p>
      <w:pPr>
        <w:pStyle w:val="ListParagraph"/>
        <w:numPr>
          <w:ilvl w:val="0"/>
          <w:numId w:val="157"/>
        </w:numPr>
        <w:rPr/>
      </w:pPr>
      <w:r>
        <w:rPr/>
        <w:t>Report of atypical usage in accordance with incident escalation procedures.</w:t>
      </w:r>
    </w:p>
    <w:p>
      <w:pPr>
        <w:pStyle w:val="Normal"/>
        <w:rPr/>
      </w:pPr>
      <w:r>
        <w:rPr/>
      </w:r>
    </w:p>
    <w:p>
      <w:pPr>
        <w:pStyle w:val="Normal"/>
        <w:rPr/>
      </w:pPr>
      <w:r>
        <w:rPr>
          <w:u w:val="single"/>
        </w:rPr>
        <w:t>Guidelines</w:t>
      </w:r>
      <w:r>
        <w:rPr/>
        <w:t>: Profile each user’s typical account usage by determining normal time-of-day access and access duration. Reports should be generated that indicate users who have logged in during unusual hours or have exceeded their normal login duration. This includes flagging the use of the user’s credentials from a computer other than computers on which the user generally works.</w:t>
      </w:r>
    </w:p>
    <w:p>
      <w:pPr>
        <w:pStyle w:val="Normal"/>
        <w:rPr/>
      </w:pPr>
      <w:r>
        <w:rPr/>
      </w:r>
    </w:p>
    <w:p>
      <w:pPr>
        <w:pStyle w:val="Heading3"/>
        <w:rPr/>
      </w:pPr>
      <w:bookmarkStart w:id="551" w:name="_Toc34920699"/>
      <w:r>
        <w:rPr/>
        <w:t>MON-16(a): Anomalous Behavior | Insider Threats</w:t>
      </w:r>
      <w:bookmarkEnd w:id="551"/>
      <w:r>
        <w:rPr/>
        <w:t xml:space="preserve"> </w:t>
      </w:r>
    </w:p>
    <w:p>
      <w:pPr>
        <w:pStyle w:val="Normal"/>
        <w:rPr/>
      </w:pPr>
      <w:r>
        <w:rPr>
          <w:u w:val="single"/>
        </w:rPr>
        <w:t>Control Objective</w:t>
      </w:r>
      <w:r>
        <w:rPr/>
        <w:t>: The organization monitors internal personnel activity to detect potential cybersecurity incidents.</w:t>
      </w:r>
      <w:r>
        <w:rPr>
          <w:rStyle w:val="FootnoteAnchor"/>
          <w:rStyle w:val="FootnoteAnchor"/>
          <w:rFonts w:cs="Calibri"/>
        </w:rPr>
        <w:footnoteReference w:id="182"/>
      </w:r>
    </w:p>
    <w:p>
      <w:pPr>
        <w:pStyle w:val="Normal"/>
        <w:rPr/>
      </w:pPr>
      <w:r>
        <w:rPr/>
      </w:r>
    </w:p>
    <w:p>
      <w:pPr>
        <w:pStyle w:val="Normal"/>
        <w:rPr/>
      </w:pPr>
      <w:r>
        <w:rPr>
          <w:u w:val="single"/>
        </w:rPr>
        <w:t>Standard</w:t>
      </w:r>
      <w:r>
        <w:rPr/>
        <w:t>: Where technically feasible, internal personnel activity shall be monitored to detect potential cybersecurity incidents.</w:t>
      </w:r>
    </w:p>
    <w:p>
      <w:pPr>
        <w:pStyle w:val="Normal"/>
        <w:rPr/>
      </w:pPr>
      <w:r>
        <w:rPr/>
      </w:r>
    </w:p>
    <w:p>
      <w:pPr>
        <w:pStyle w:val="Normal"/>
        <w:rPr/>
      </w:pPr>
      <w:r>
        <w:rPr>
          <w:u w:val="single"/>
        </w:rPr>
        <w:t>Guidelines</w:t>
      </w:r>
      <w:r>
        <w:rPr/>
        <w:t>: None</w:t>
      </w:r>
    </w:p>
    <w:p>
      <w:pPr>
        <w:pStyle w:val="Normal"/>
        <w:rPr/>
      </w:pPr>
      <w:r>
        <w:rPr/>
      </w:r>
    </w:p>
    <w:p>
      <w:pPr>
        <w:pStyle w:val="Heading3"/>
        <w:rPr/>
      </w:pPr>
      <w:bookmarkStart w:id="552" w:name="_Toc34920700"/>
      <w:r>
        <w:rPr/>
        <w:t>MON-16(b): Anomalous Behavior | Third-Party Threats</w:t>
      </w:r>
      <w:bookmarkEnd w:id="552"/>
      <w:r>
        <w:rPr/>
        <w:t xml:space="preserve"> </w:t>
      </w:r>
    </w:p>
    <w:p>
      <w:pPr>
        <w:pStyle w:val="Normal"/>
        <w:rPr/>
      </w:pPr>
      <w:r>
        <w:rPr>
          <w:u w:val="single"/>
        </w:rPr>
        <w:t>Control Objective</w:t>
      </w:r>
      <w:r>
        <w:rPr/>
        <w:t>: The organization monitors third-party personnel activity to detect potential cybersecurity incidents.</w:t>
      </w:r>
      <w:r>
        <w:rPr>
          <w:rStyle w:val="FootnoteAnchor"/>
          <w:rStyle w:val="FootnoteAnchor"/>
          <w:rFonts w:cs="Calibri"/>
        </w:rPr>
        <w:footnoteReference w:id="183"/>
      </w:r>
    </w:p>
    <w:p>
      <w:pPr>
        <w:pStyle w:val="Normal"/>
        <w:rPr/>
      </w:pPr>
      <w:r>
        <w:rPr/>
      </w:r>
    </w:p>
    <w:p>
      <w:pPr>
        <w:pStyle w:val="Normal"/>
        <w:rPr/>
      </w:pPr>
      <w:r>
        <w:rPr>
          <w:u w:val="single"/>
        </w:rPr>
        <w:t>Standard</w:t>
      </w:r>
      <w:r>
        <w:rPr/>
        <w:t>: Where technically feasible, third-party service provider activity shall be monitored to detect potential cybersecurity incidents.</w:t>
      </w:r>
    </w:p>
    <w:p>
      <w:pPr>
        <w:pStyle w:val="Normal"/>
        <w:rPr/>
      </w:pPr>
      <w:r>
        <w:rPr/>
      </w:r>
    </w:p>
    <w:p>
      <w:pPr>
        <w:pStyle w:val="Normal"/>
        <w:rPr/>
      </w:pPr>
      <w:r>
        <w:rPr>
          <w:u w:val="single"/>
        </w:rPr>
        <w:t>Guidelines</w:t>
      </w:r>
      <w:r>
        <w:rPr/>
        <w:t>: None</w:t>
      </w:r>
    </w:p>
    <w:p>
      <w:pPr>
        <w:pStyle w:val="Normal"/>
        <w:rPr/>
      </w:pPr>
      <w:r>
        <w:rPr/>
      </w:r>
    </w:p>
    <w:p>
      <w:pPr>
        <w:pStyle w:val="Heading3"/>
        <w:rPr/>
      </w:pPr>
      <w:bookmarkStart w:id="553" w:name="_Toc34920701"/>
      <w:r>
        <w:rPr/>
        <w:t>MON-16(c): Anomalous Behavior | Unauthorized Activities</w:t>
      </w:r>
      <w:bookmarkEnd w:id="553"/>
      <w:r>
        <w:rPr/>
        <w:t xml:space="preserve"> </w:t>
      </w:r>
    </w:p>
    <w:p>
      <w:pPr>
        <w:pStyle w:val="Normal"/>
        <w:rPr/>
      </w:pPr>
      <w:r>
        <w:rPr>
          <w:u w:val="single"/>
        </w:rPr>
        <w:t>Control Objective</w:t>
      </w:r>
      <w:r>
        <w:rPr/>
        <w:t>: The organization monitors for unauthorized accounts, connections, devices and software.</w:t>
      </w:r>
      <w:r>
        <w:rPr>
          <w:rStyle w:val="FootnoteAnchor"/>
          <w:rStyle w:val="FootnoteAnchor"/>
          <w:rFonts w:cs="Calibri"/>
        </w:rPr>
        <w:footnoteReference w:id="184"/>
      </w:r>
    </w:p>
    <w:p>
      <w:pPr>
        <w:pStyle w:val="Normal"/>
        <w:rPr/>
      </w:pPr>
      <w:r>
        <w:rPr/>
      </w:r>
    </w:p>
    <w:p>
      <w:pPr>
        <w:pStyle w:val="Normal"/>
        <w:rPr/>
      </w:pPr>
      <w:r>
        <w:rPr>
          <w:u w:val="single"/>
        </w:rPr>
        <w:t>Standard</w:t>
      </w:r>
      <w:r>
        <w:rPr/>
        <w:t>: Where technically feasible, monitoring for unauthorized personnel, connections, devices and software shall be performed.</w:t>
      </w:r>
    </w:p>
    <w:p>
      <w:pPr>
        <w:pStyle w:val="Normal"/>
        <w:rPr/>
      </w:pPr>
      <w:r>
        <w:rPr/>
      </w:r>
    </w:p>
    <w:p>
      <w:pPr>
        <w:pStyle w:val="Normal"/>
        <w:rPr/>
      </w:pPr>
      <w:r>
        <w:rPr>
          <w:u w:val="single"/>
        </w:rPr>
        <w:t>Guidelines</w:t>
      </w:r>
      <w:r>
        <w:rPr/>
        <w:t>: None</w:t>
      </w:r>
    </w:p>
    <w:p>
      <w:pPr>
        <w:pStyle w:val="Normal"/>
        <w:rPr/>
      </w:pPr>
      <w:r>
        <w:rPr/>
      </w:r>
    </w:p>
    <w:p>
      <w:pPr>
        <w:pStyle w:val="Normal"/>
        <w:tabs>
          <w:tab w:val="clear" w:pos="360"/>
          <w:tab w:val="clear" w:pos="720"/>
          <w:tab w:val="clear" w:pos="1080"/>
        </w:tabs>
        <w:jc w:val="left"/>
        <w:rPr>
          <w:rFonts w:eastAsia="Calibri" w:cs="Calibri"/>
          <w:b/>
          <w:b/>
          <w:bCs w:val="false"/>
          <w:smallCaps/>
          <w:sz w:val="24"/>
        </w:rPr>
      </w:pPr>
      <w:r>
        <w:rPr>
          <w:rFonts w:eastAsia="Calibri" w:cs="Calibri"/>
          <w:b/>
          <w:bCs w:val="false"/>
          <w:smallCaps/>
          <w:sz w:val="24"/>
        </w:rPr>
      </w:r>
      <w:r>
        <w:br w:type="page"/>
      </w:r>
    </w:p>
    <w:p>
      <w:pPr>
        <w:pStyle w:val="Heading1"/>
        <w:rPr/>
      </w:pPr>
      <w:bookmarkStart w:id="554" w:name="_Toc34920702"/>
      <w:bookmarkStart w:id="555" w:name="_Toc474074902"/>
      <w:bookmarkStart w:id="556" w:name="_Toc474075583"/>
      <w:bookmarkStart w:id="557" w:name="_Cryptographic_Protections_(CRY)"/>
      <w:bookmarkEnd w:id="557"/>
      <w:r>
        <w:rPr/>
        <w:t>Cryptographic Protections (CRY)</w:t>
      </w:r>
      <w:bookmarkEnd w:id="555"/>
      <w:bookmarkEnd w:id="556"/>
      <w:r>
        <w:rPr/>
        <w:t xml:space="preserve"> Policy &amp; Standards</w:t>
      </w:r>
      <w:bookmarkEnd w:id="554"/>
    </w:p>
    <w:p>
      <w:pPr>
        <w:pStyle w:val="Normal"/>
        <w:rPr/>
      </w:pPr>
      <w:r>
        <w:rPr/>
      </w:r>
    </w:p>
    <w:p>
      <w:pPr>
        <w:pStyle w:val="Normal"/>
        <w:rPr/>
      </w:pPr>
      <w:r>
        <w:rPr>
          <w:u w:val="single"/>
        </w:rPr>
        <w:t>Management Intent:</w:t>
      </w:r>
      <w:r>
        <w:rPr/>
        <w:t xml:space="preserve"> The purpose of the Cryptographic Protections (CRY) policy is to ensure the confidentiality of NFCC’s data through implementing appropriate cryptographic technologies to protect systems and data. </w:t>
      </w:r>
    </w:p>
    <w:p>
      <w:pPr>
        <w:pStyle w:val="Normal"/>
        <w:rPr>
          <w:u w:val="single"/>
        </w:rPr>
      </w:pPr>
      <w:r>
        <w:rPr>
          <w:u w:val="single"/>
        </w:rPr>
      </w:r>
    </w:p>
    <w:p>
      <w:pPr>
        <w:pStyle w:val="Normal"/>
        <w:shd w:val="clear" w:color="auto" w:fill="DDD9C3" w:themeFill="background2" w:themeFillShade="e6"/>
        <w:rPr/>
      </w:pPr>
      <w:r>
        <w:rPr>
          <w:u w:val="single"/>
        </w:rPr>
        <w:t>Policy</w:t>
      </w:r>
      <w:r>
        <w:rPr/>
        <w:t>: Appropriate cryptographic safeguards must be used to protect sensitive business data against loss, unauthorized access or disclosure. This applies to data, regardless if it is at rest or in transit.</w:t>
      </w:r>
    </w:p>
    <w:p>
      <w:pPr>
        <w:pStyle w:val="Normal"/>
        <w:rPr/>
      </w:pPr>
      <w:r>
        <w:rPr/>
      </w:r>
    </w:p>
    <w:p>
      <w:pPr>
        <w:pStyle w:val="Normal"/>
        <w:rPr/>
      </w:pPr>
      <w:r>
        <w:rPr>
          <w:u w:val="single"/>
        </w:rPr>
        <w:t>Supporting Documentation</w:t>
      </w:r>
      <w:r>
        <w:rPr/>
        <w:t xml:space="preserve">: This policy is supported by the following control objectives, standards and guidelines. </w:t>
      </w:r>
    </w:p>
    <w:p>
      <w:pPr>
        <w:pStyle w:val="Normal"/>
        <w:rPr/>
      </w:pPr>
      <w:r>
        <w:rPr/>
      </w:r>
    </w:p>
    <w:p>
      <w:pPr>
        <w:pStyle w:val="Normal"/>
        <w:rPr/>
      </w:pPr>
      <w:r>
        <w:rPr/>
      </w:r>
    </w:p>
    <w:p>
      <w:pPr>
        <w:pStyle w:val="Heading2"/>
        <w:rPr/>
      </w:pPr>
      <w:bookmarkStart w:id="558" w:name="_Toc474074903"/>
      <w:bookmarkStart w:id="559" w:name="_Toc474075584"/>
      <w:bookmarkStart w:id="560" w:name="_Toc34920703"/>
      <w:r>
        <w:rPr/>
        <w:t>CRY-01: Use of Cryptographic Controls</w:t>
      </w:r>
      <w:bookmarkEnd w:id="558"/>
      <w:bookmarkEnd w:id="559"/>
      <w:bookmarkEnd w:id="560"/>
      <w:r>
        <w:rPr/>
        <w:t xml:space="preserve"> </w:t>
      </w:r>
    </w:p>
    <w:p>
      <w:pPr>
        <w:pStyle w:val="Normal"/>
        <w:rPr/>
      </w:pPr>
      <w:r>
        <w:rPr>
          <w:u w:val="single"/>
        </w:rPr>
        <w:t>Control Objective</w:t>
      </w:r>
      <w:r>
        <w:rPr/>
        <w:t>: The organization develops, implements and governs processes and documentation to facilitate the implementation of an enterprise-wide cryptographic protections policy, as well as associated standards, controls and procedures.</w:t>
      </w:r>
      <w:r>
        <w:rPr>
          <w:rStyle w:val="FootnoteCharacters"/>
          <w:rFonts w:cs="Calibri"/>
        </w:rPr>
        <w:t xml:space="preserve"> </w:t>
      </w:r>
      <w:r>
        <w:rPr>
          <w:rStyle w:val="FootnoteAnchor"/>
          <w:rStyle w:val="FootnoteAnchor"/>
          <w:rFonts w:cs="Calibri"/>
        </w:rPr>
        <w:footnoteReference w:id="185"/>
      </w:r>
    </w:p>
    <w:p>
      <w:pPr>
        <w:pStyle w:val="Normal"/>
        <w:rPr/>
      </w:pPr>
      <w:r>
        <w:rPr/>
      </w:r>
    </w:p>
    <w:p>
      <w:pPr>
        <w:pStyle w:val="Normal"/>
        <w:rPr/>
      </w:pPr>
      <w:r>
        <w:rPr>
          <w:u w:val="single"/>
        </w:rPr>
        <w:t>Standard</w:t>
      </w:r>
      <w:r>
        <w:rPr/>
        <w:t>: Asset custodians, in conjunction with data / process owners, are required to establish and implement processes and technical measures for the use of encryption protocols for protection of sensitive data in storage (e.g., file servers, databases and end-user workstations), data in use (memory) and data in transmission (e.g., system interfaces, over public networks and electronic messaging) as per applicable legal, statutory and regulatory compliance obligations. This includes, but is not limited to:</w:t>
      </w:r>
    </w:p>
    <w:p>
      <w:pPr>
        <w:pStyle w:val="ListParagraph"/>
        <w:numPr>
          <w:ilvl w:val="0"/>
          <w:numId w:val="287"/>
        </w:numPr>
        <w:rPr/>
      </w:pPr>
      <w:r>
        <w:rPr/>
        <w:t xml:space="preserve">Employing platform and data-appropriate encryption (e.g., AES-256) in open / validated formats and standard algorithms; </w:t>
      </w:r>
    </w:p>
    <w:p>
      <w:pPr>
        <w:pStyle w:val="ListParagraph"/>
        <w:numPr>
          <w:ilvl w:val="0"/>
          <w:numId w:val="287"/>
        </w:numPr>
        <w:rPr/>
      </w:pPr>
      <w:r>
        <w:rPr/>
        <w:t>Using strong cryptography and security protocols (for example, TLS, IPSEC, SSH, etc.) to safeguard sensitive data during transmission over public or private networks;</w:t>
      </w:r>
    </w:p>
    <w:p>
      <w:pPr>
        <w:pStyle w:val="ListParagraph"/>
        <w:numPr>
          <w:ilvl w:val="0"/>
          <w:numId w:val="287"/>
        </w:numPr>
        <w:rPr/>
      </w:pPr>
      <w:r>
        <w:rPr/>
        <w:t>Verifying that the proper encryption strength is implemented for the encryption methodology in use, based on documented vendor recommendations and industry-recognized leading practices;</w:t>
      </w:r>
    </w:p>
    <w:p>
      <w:pPr>
        <w:pStyle w:val="ListParagraph"/>
        <w:numPr>
          <w:ilvl w:val="0"/>
          <w:numId w:val="287"/>
        </w:numPr>
        <w:rPr/>
      </w:pPr>
      <w:r>
        <w:rPr/>
        <w:t>Verifying that the protocol is implemented to use only secure configurations and does not support insecure versions or configuration; and</w:t>
      </w:r>
    </w:p>
    <w:p>
      <w:pPr>
        <w:pStyle w:val="ListParagraph"/>
        <w:numPr>
          <w:ilvl w:val="0"/>
          <w:numId w:val="287"/>
        </w:numPr>
        <w:rPr/>
      </w:pPr>
      <w:r>
        <w:rPr/>
        <w:t>Separating key management and key usage duties.</w:t>
      </w:r>
    </w:p>
    <w:p>
      <w:pPr>
        <w:pStyle w:val="Normal"/>
        <w:rPr/>
      </w:pPr>
      <w:r>
        <w:rPr/>
      </w:r>
    </w:p>
    <w:p>
      <w:pPr>
        <w:pStyle w:val="Normal"/>
        <w:rPr/>
      </w:pPr>
      <w:r>
        <w:rPr>
          <w:u w:val="single"/>
        </w:rPr>
        <w:t>Guidelines</w:t>
      </w:r>
      <w:r>
        <w:rPr/>
        <w:t xml:space="preserve">: This control does not impose any requirements on organizations to use cryptography. Rather, if cryptography is required based on the selection of other controls and subsequently implemented by organizational systems, the cryptographic modules comply with applicable laws, policies, regulations, standards and guidance. </w:t>
      </w:r>
    </w:p>
    <w:p>
      <w:pPr>
        <w:pStyle w:val="Normal"/>
        <w:rPr/>
      </w:pPr>
      <w:r>
        <w:rPr/>
      </w:r>
    </w:p>
    <w:p>
      <w:pPr>
        <w:pStyle w:val="Normal"/>
        <w:rPr/>
      </w:pPr>
      <w:r>
        <w:rPr/>
        <w:t>The National Institute of Standards and Technology (NIST) guidance is the authoritative source for selection and implementation of this control based on the security categorization and risk environment of the data and / or system.</w:t>
      </w:r>
    </w:p>
    <w:p>
      <w:pPr>
        <w:pStyle w:val="Normal"/>
        <w:rPr/>
      </w:pPr>
      <w:r>
        <w:rPr/>
      </w:r>
    </w:p>
    <w:p>
      <w:pPr>
        <w:pStyle w:val="Heading3"/>
        <w:rPr/>
      </w:pPr>
      <w:bookmarkStart w:id="561" w:name="_Toc474074904"/>
      <w:bookmarkStart w:id="562" w:name="_Toc34920704"/>
      <w:r>
        <w:rPr/>
        <w:t>CRY-01(a): Use of Cryptographic Controls | Alternate Physical Protection</w:t>
      </w:r>
      <w:bookmarkEnd w:id="561"/>
      <w:bookmarkEnd w:id="562"/>
      <w:r>
        <w:rPr/>
        <w:t xml:space="preserve"> </w:t>
      </w:r>
    </w:p>
    <w:p>
      <w:pPr>
        <w:pStyle w:val="Normal"/>
        <w:rPr/>
      </w:pPr>
      <w:r>
        <w:rPr>
          <w:u w:val="single"/>
        </w:rPr>
        <w:t>Control Objective</w:t>
      </w:r>
      <w:r>
        <w:rPr/>
        <w:t>: The organization utilizes cryptographic mechanisms as an alternate physical protection to prevent the unauthorized disclosure of information.</w:t>
      </w:r>
      <w:r>
        <w:rPr>
          <w:rStyle w:val="FootnoteCharacters"/>
          <w:rFonts w:cs="Calibri"/>
        </w:rPr>
        <w:t xml:space="preserve"> </w:t>
      </w:r>
      <w:r>
        <w:rPr>
          <w:rStyle w:val="FootnoteAnchor"/>
          <w:rStyle w:val="FootnoteAnchor"/>
          <w:rFonts w:cs="Calibri"/>
        </w:rPr>
        <w:footnoteReference w:id="186"/>
      </w:r>
    </w:p>
    <w:p>
      <w:pPr>
        <w:pStyle w:val="Normal"/>
        <w:rPr/>
      </w:pPr>
      <w:r>
        <w:rPr/>
      </w:r>
    </w:p>
    <w:p>
      <w:pPr>
        <w:pStyle w:val="Normal"/>
        <w:rPr/>
      </w:pPr>
      <w:r>
        <w:rPr>
          <w:u w:val="single"/>
        </w:rPr>
        <w:t>Standard</w:t>
      </w:r>
      <w:r>
        <w:rPr/>
        <w:t>: Unless otherwise protected by NFCC-defined alternative physical safeguards, systems must:</w:t>
      </w:r>
    </w:p>
    <w:p>
      <w:pPr>
        <w:pStyle w:val="ListParagraph"/>
        <w:numPr>
          <w:ilvl w:val="0"/>
          <w:numId w:val="288"/>
        </w:numPr>
        <w:rPr/>
      </w:pPr>
      <w:r>
        <w:rPr/>
        <w:t>Implement cryptographic mechanisms to prevent unauthorized disclosure of information; and</w:t>
      </w:r>
    </w:p>
    <w:p>
      <w:pPr>
        <w:pStyle w:val="ListParagraph"/>
        <w:numPr>
          <w:ilvl w:val="0"/>
          <w:numId w:val="288"/>
        </w:numPr>
        <w:rPr/>
      </w:pPr>
      <w:r>
        <w:rPr/>
        <w:t xml:space="preserve">Detect changes to information during transmission. </w:t>
      </w:r>
    </w:p>
    <w:p>
      <w:pPr>
        <w:pStyle w:val="Normal"/>
        <w:rPr/>
      </w:pPr>
      <w:r>
        <w:rPr/>
      </w:r>
    </w:p>
    <w:p>
      <w:pPr>
        <w:pStyle w:val="Normal"/>
        <w:rPr/>
      </w:pPr>
      <w:r>
        <w:rPr>
          <w:u w:val="single"/>
        </w:rPr>
        <w:t>Guidelines</w:t>
      </w:r>
      <w:r>
        <w:rPr/>
        <w:t>: Encrypting information for transmission protects information from unauthorized disclosure and modification. Cryptographic mechanisms implemented to protect information integrity include, for example, cryptographic hash functions which have common application in digital signatures, checksums and message authentication codes. Alternative physical security safeguards include, for example, protected distribution systems.</w:t>
      </w:r>
    </w:p>
    <w:p>
      <w:pPr>
        <w:pStyle w:val="Normal"/>
        <w:rPr/>
      </w:pPr>
      <w:r>
        <w:rPr/>
      </w:r>
    </w:p>
    <w:p>
      <w:pPr>
        <w:pStyle w:val="Normal"/>
        <w:rPr/>
      </w:pPr>
      <w:r>
        <w:rPr/>
        <w:t>National Institute of Science &amp; Technology (NIST) guidance is the authoritative source for selection and implementation of this control based on the security categorization and risk environment of the information and / or system.</w:t>
      </w:r>
    </w:p>
    <w:p>
      <w:pPr>
        <w:pStyle w:val="Normal"/>
        <w:rPr/>
      </w:pPr>
      <w:r>
        <w:rPr/>
      </w:r>
    </w:p>
    <w:p>
      <w:pPr>
        <w:pStyle w:val="Heading3"/>
        <w:rPr/>
      </w:pPr>
      <w:bookmarkStart w:id="563" w:name="_Toc474074905"/>
      <w:bookmarkStart w:id="564" w:name="_Toc34920705"/>
      <w:bookmarkStart w:id="565" w:name="_Toc398527188"/>
      <w:r>
        <w:rPr/>
        <w:t xml:space="preserve">CRY-01(b): Use of Cryptographic Controls | Export-Controlled </w:t>
      </w:r>
      <w:bookmarkEnd w:id="565"/>
      <w:r>
        <w:rPr/>
        <w:t>Technology</w:t>
      </w:r>
      <w:bookmarkEnd w:id="563"/>
      <w:bookmarkEnd w:id="564"/>
      <w:r>
        <w:rPr/>
        <w:t xml:space="preserve"> </w:t>
      </w:r>
    </w:p>
    <w:p>
      <w:pPr>
        <w:pStyle w:val="Normal"/>
        <w:rPr/>
      </w:pPr>
      <w:r>
        <w:rPr>
          <w:u w:val="single"/>
        </w:rPr>
        <w:t>Control Objective</w:t>
      </w:r>
      <w:r>
        <w:rPr/>
        <w:t>: The organization prohibits exporting cryptographic software or hardware that would violate any statutory or regulatory requirement for export-controlled technologies.</w:t>
      </w:r>
      <w:r>
        <w:rPr>
          <w:rStyle w:val="FootnoteCharacters"/>
          <w:rFonts w:cs="Calibri"/>
        </w:rPr>
        <w:t xml:space="preserve"> </w:t>
      </w:r>
      <w:r>
        <w:rPr>
          <w:rStyle w:val="FootnoteAnchor"/>
          <w:rStyle w:val="FootnoteAnchor"/>
          <w:rFonts w:cs="Calibri"/>
        </w:rPr>
        <w:footnoteReference w:id="187"/>
      </w:r>
    </w:p>
    <w:p>
      <w:pPr>
        <w:pStyle w:val="Normal"/>
        <w:rPr/>
      </w:pPr>
      <w:r>
        <w:rPr/>
      </w:r>
    </w:p>
    <w:p>
      <w:pPr>
        <w:pStyle w:val="Normal"/>
        <w:rPr/>
      </w:pPr>
      <w:r>
        <w:rPr>
          <w:u w:val="single"/>
        </w:rPr>
        <w:t>Standard</w:t>
      </w:r>
      <w:r>
        <w:rPr/>
        <w:t xml:space="preserve">: NFCC users are prohibited from intentionally distributing any export-controlled cryptographic software or hardware. </w:t>
      </w:r>
    </w:p>
    <w:p>
      <w:pPr>
        <w:pStyle w:val="Normal"/>
        <w:rPr/>
      </w:pPr>
      <w:r>
        <w:rPr/>
      </w:r>
    </w:p>
    <w:p>
      <w:pPr>
        <w:pStyle w:val="Normal"/>
        <w:rPr/>
      </w:pPr>
      <w:r>
        <w:rPr>
          <w:u w:val="single"/>
        </w:rPr>
        <w:t>Guidelines</w:t>
      </w:r>
      <w:r>
        <w:rPr/>
        <w:t>: None</w:t>
      </w:r>
    </w:p>
    <w:p>
      <w:pPr>
        <w:pStyle w:val="Normal"/>
        <w:rPr/>
      </w:pPr>
      <w:r>
        <w:rPr/>
      </w:r>
    </w:p>
    <w:p>
      <w:pPr>
        <w:pStyle w:val="Heading3"/>
        <w:rPr/>
      </w:pPr>
      <w:bookmarkStart w:id="566" w:name="_Toc34920706"/>
      <w:r>
        <w:rPr/>
        <w:t>CRY-01(c): Use of Cryptographic Controls | Pre / Post Transmission Handling</w:t>
      </w:r>
      <w:bookmarkEnd w:id="566"/>
      <w:r>
        <w:rPr/>
        <w:t xml:space="preserve"> </w:t>
      </w:r>
    </w:p>
    <w:p>
      <w:pPr>
        <w:pStyle w:val="Normal"/>
        <w:rPr>
          <w:rFonts w:cs="Calibri"/>
          <w:bCs w:val="false"/>
        </w:rPr>
      </w:pPr>
      <w:r>
        <w:rPr>
          <w:rFonts w:cs="Calibri"/>
          <w:u w:val="single"/>
        </w:rPr>
        <w:t>Control Objective</w:t>
      </w:r>
      <w:r>
        <w:rPr>
          <w:rFonts w:cs="Calibri"/>
        </w:rPr>
        <w:t>:</w:t>
      </w:r>
      <w:r>
        <w:rPr>
          <w:rFonts w:cs="Calibri"/>
          <w:bCs w:val="false"/>
        </w:rPr>
        <w:t xml:space="preserve"> The information system maintains the confidentiality and integrity of information during preparation for transmission and during reception.</w:t>
      </w:r>
      <w:r>
        <w:rPr>
          <w:rStyle w:val="FootnoteCharacters"/>
          <w:rFonts w:cs="Calibri"/>
        </w:rPr>
        <w:t xml:space="preserve"> </w:t>
      </w:r>
      <w:r>
        <w:rPr>
          <w:rStyle w:val="FootnoteAnchor"/>
          <w:rStyle w:val="FootnoteAnchor"/>
          <w:rFonts w:cs="Calibri"/>
        </w:rPr>
        <w:footnoteReference w:id="188"/>
      </w:r>
    </w:p>
    <w:p>
      <w:pPr>
        <w:pStyle w:val="Normal"/>
        <w:rPr>
          <w:rFonts w:cs="Calibri"/>
          <w:bCs w:val="false"/>
          <w:u w:val="single"/>
        </w:rPr>
      </w:pPr>
      <w:r>
        <w:rPr>
          <w:rFonts w:cs="Calibri"/>
          <w:bCs w:val="false"/>
          <w:u w:val="single"/>
        </w:rPr>
      </w:r>
    </w:p>
    <w:p>
      <w:pPr>
        <w:pStyle w:val="Normal"/>
        <w:rPr>
          <w:rFonts w:cs="Calibri"/>
          <w:bCs w:val="false"/>
        </w:rPr>
      </w:pPr>
      <w:r>
        <w:rPr>
          <w:rFonts w:cs="Calibri"/>
          <w:bCs w:val="false"/>
          <w:u w:val="single"/>
        </w:rPr>
        <w:t>Standard</w:t>
      </w:r>
      <w:r>
        <w:rPr>
          <w:rFonts w:cs="Calibri"/>
          <w:bCs w:val="false"/>
        </w:rPr>
        <w:t xml:space="preserve">: </w:t>
      </w:r>
      <w:r>
        <w:rPr>
          <w:rFonts w:cs="Calibri"/>
        </w:rPr>
        <w:t xml:space="preserve">System, applications and services must be configured to </w:t>
      </w:r>
      <w:r>
        <w:rPr>
          <w:rFonts w:cs="Calibri"/>
          <w:bCs w:val="false"/>
        </w:rPr>
        <w:t>maintain the confidentiality and integrity of information during preparation for transmission and during reception.</w:t>
      </w:r>
    </w:p>
    <w:p>
      <w:pPr>
        <w:pStyle w:val="Normal"/>
        <w:rPr>
          <w:rFonts w:cs="Calibri"/>
        </w:rPr>
      </w:pPr>
      <w:r>
        <w:rPr>
          <w:rFonts w:cs="Calibri"/>
        </w:rPr>
      </w:r>
    </w:p>
    <w:p>
      <w:pPr>
        <w:pStyle w:val="Normal"/>
        <w:rPr>
          <w:rFonts w:cs="Calibri"/>
        </w:rPr>
      </w:pPr>
      <w:r>
        <w:rPr>
          <w:rFonts w:cs="Calibri"/>
          <w:u w:val="single"/>
        </w:rPr>
        <w:t>Guidelines</w:t>
      </w:r>
      <w:r>
        <w:rPr>
          <w:rFonts w:cs="Calibri"/>
        </w:rPr>
        <w:t xml:space="preserve">: </w:t>
      </w:r>
      <w:r>
        <w:rPr>
          <w:rFonts w:cs="Calibri"/>
          <w:bCs w:val="false"/>
        </w:rPr>
        <w:t>Information can be either unintentionally or maliciously disclosed or modified during preparation for transmission or during reception including, for example, during aggregation, at protocol transformation points and during packing/unpacking. These unauthorized disclosures or modifications compromise the confidentiality or integrity of the information.</w:t>
      </w:r>
    </w:p>
    <w:p>
      <w:pPr>
        <w:pStyle w:val="Normal"/>
        <w:rPr/>
      </w:pPr>
      <w:r>
        <w:rPr/>
      </w:r>
    </w:p>
    <w:p>
      <w:pPr>
        <w:pStyle w:val="Heading3"/>
        <w:rPr/>
      </w:pPr>
      <w:bookmarkStart w:id="567" w:name="_Toc34920707"/>
      <w:r>
        <w:rPr/>
        <w:t>CRY-01(d): Use of Cryptographic Controls | Conceal / Randomize Communications</w:t>
      </w:r>
      <w:bookmarkEnd w:id="567"/>
      <w:r>
        <w:rPr/>
        <w:t xml:space="preserve"> </w:t>
      </w:r>
    </w:p>
    <w:p>
      <w:pPr>
        <w:pStyle w:val="Normal"/>
        <w:rPr>
          <w:rFonts w:cs="Calibri"/>
          <w:bCs w:val="false"/>
        </w:rPr>
      </w:pPr>
      <w:r>
        <w:rPr>
          <w:rFonts w:cs="Calibri"/>
          <w:u w:val="single"/>
        </w:rPr>
        <w:t>Control Objective</w:t>
      </w:r>
      <w:r>
        <w:rPr>
          <w:rFonts w:cs="Calibri"/>
        </w:rPr>
        <w:t>:</w:t>
      </w:r>
      <w:r>
        <w:rPr>
          <w:rFonts w:cs="Calibri"/>
          <w:bCs w:val="false"/>
        </w:rPr>
        <w:t xml:space="preserve"> The information system implements cryptographic mechanisms to conceal or randomize communication patterns unless otherwise protected by organization-defined alternative physical safeguards.</w:t>
      </w:r>
      <w:r>
        <w:rPr>
          <w:rStyle w:val="FootnoteCharacters"/>
          <w:rFonts w:cs="Calibri"/>
        </w:rPr>
        <w:t xml:space="preserve"> </w:t>
      </w:r>
      <w:r>
        <w:rPr>
          <w:rStyle w:val="FootnoteAnchor"/>
          <w:rStyle w:val="FootnoteAnchor"/>
          <w:rFonts w:cs="Calibri"/>
        </w:rPr>
        <w:footnoteReference w:id="189"/>
      </w:r>
    </w:p>
    <w:p>
      <w:pPr>
        <w:pStyle w:val="Normal"/>
        <w:rPr>
          <w:rFonts w:cs="Calibri"/>
          <w:bCs w:val="false"/>
          <w:u w:val="single"/>
        </w:rPr>
      </w:pPr>
      <w:r>
        <w:rPr>
          <w:rFonts w:cs="Calibri"/>
          <w:bCs w:val="false"/>
          <w:u w:val="single"/>
        </w:rPr>
      </w:r>
    </w:p>
    <w:p>
      <w:pPr>
        <w:pStyle w:val="Normal"/>
        <w:rPr>
          <w:rFonts w:cs="Calibri"/>
          <w:bCs w:val="false"/>
        </w:rPr>
      </w:pPr>
      <w:r>
        <w:rPr>
          <w:rFonts w:cs="Calibri"/>
          <w:bCs w:val="false"/>
          <w:u w:val="single"/>
        </w:rPr>
        <w:t>Standard</w:t>
      </w:r>
      <w:r>
        <w:rPr>
          <w:rFonts w:cs="Calibri"/>
          <w:bCs w:val="false"/>
        </w:rPr>
        <w:t>: Where technically feasible, systems must implement cryptographic mechanisms to conceal or randomize communication patterns, unless otherwise protected by specified alternative physical safeguards.</w:t>
      </w:r>
    </w:p>
    <w:p>
      <w:pPr>
        <w:pStyle w:val="Normal"/>
        <w:rPr>
          <w:rFonts w:cs="Calibri"/>
          <w:u w:val="single"/>
        </w:rPr>
      </w:pPr>
      <w:r>
        <w:rPr>
          <w:rFonts w:cs="Calibri"/>
          <w:u w:val="single"/>
        </w:rPr>
      </w:r>
    </w:p>
    <w:p>
      <w:pPr>
        <w:pStyle w:val="Normal"/>
        <w:rPr>
          <w:rFonts w:cs="Calibri"/>
        </w:rPr>
      </w:pPr>
      <w:r>
        <w:rPr>
          <w:rFonts w:cs="Calibri"/>
          <w:u w:val="single"/>
        </w:rPr>
        <w:t>Guidelines</w:t>
      </w:r>
      <w:r>
        <w:rPr>
          <w:rFonts w:cs="Calibri"/>
        </w:rPr>
        <w:t xml:space="preserve">: </w:t>
      </w:r>
      <w:r>
        <w:rPr>
          <w:rFonts w:cs="Calibri"/>
          <w:bCs w:val="false"/>
        </w:rPr>
        <w:t>This control enhancement addresses protection against unauthorized disclosure of information. Communication patterns include, for example, frequency, periods, amount and predictability. Changes to communications patterns can reveal information having intelligence value especially when combined with other available information related to missions/business functions supported by organizational information systems. This control enhancement prevents the derivation of intelligence based on communications patterns and applies to both internal and external networks or links that may be visible to individuals who are not authorized users. Encrypting the links and transmitting in continuous, fixed/random patterns prevents the derivation of intelligence from the system communications patterns. Alternative physical safeguards include, for example, protected distribution systems.</w:t>
      </w:r>
      <w:bookmarkStart w:id="568" w:name="_Hlk27579168"/>
      <w:bookmarkEnd w:id="568"/>
    </w:p>
    <w:p>
      <w:pPr>
        <w:pStyle w:val="Normal"/>
        <w:rPr/>
      </w:pPr>
      <w:r>
        <w:rPr/>
      </w:r>
    </w:p>
    <w:p>
      <w:pPr>
        <w:pStyle w:val="Normal"/>
        <w:rPr/>
      </w:pPr>
      <w:r>
        <w:rPr/>
      </w:r>
    </w:p>
    <w:p>
      <w:pPr>
        <w:pStyle w:val="Heading2"/>
        <w:rPr/>
      </w:pPr>
      <w:bookmarkStart w:id="569" w:name="_Toc474074906"/>
      <w:bookmarkStart w:id="570" w:name="_Toc474075585"/>
      <w:bookmarkStart w:id="571" w:name="_Toc34920708"/>
      <w:bookmarkStart w:id="572" w:name="_Toc398527305"/>
      <w:r>
        <w:rPr/>
        <w:t>CRY-02: Cryptographic Module Authentication</w:t>
      </w:r>
      <w:bookmarkEnd w:id="569"/>
      <w:bookmarkEnd w:id="570"/>
      <w:bookmarkEnd w:id="571"/>
      <w:bookmarkEnd w:id="572"/>
    </w:p>
    <w:p>
      <w:pPr>
        <w:pStyle w:val="Normal"/>
        <w:rPr/>
      </w:pPr>
      <w:r>
        <w:rPr>
          <w:u w:val="single"/>
        </w:rPr>
        <w:t>Control Objective</w:t>
      </w:r>
      <w:r>
        <w:rPr/>
        <w:t>: Systems use mechanisms for authentication to a cryptographic module that meet the requirements of applicable statutory, regulatory and contractual requirements that the organization is legally bound to address.</w:t>
      </w:r>
      <w:r>
        <w:rPr>
          <w:rStyle w:val="FootnoteCharacters"/>
          <w:rFonts w:cs="Calibri"/>
        </w:rPr>
        <w:t xml:space="preserve"> </w:t>
      </w:r>
      <w:r>
        <w:rPr>
          <w:rStyle w:val="FootnoteAnchor"/>
          <w:rStyle w:val="FootnoteAnchor"/>
          <w:rFonts w:cs="Calibri"/>
        </w:rPr>
        <w:footnoteReference w:id="190"/>
      </w:r>
    </w:p>
    <w:p>
      <w:pPr>
        <w:pStyle w:val="Normal"/>
        <w:rPr/>
      </w:pPr>
      <w:r>
        <w:rPr/>
      </w:r>
    </w:p>
    <w:p>
      <w:pPr>
        <w:pStyle w:val="Normal"/>
        <w:rPr/>
      </w:pPr>
      <w:r>
        <w:rPr>
          <w:u w:val="single"/>
        </w:rPr>
        <w:t>Standard</w:t>
      </w:r>
      <w:r>
        <w:rPr/>
        <w:t>: Data/process owners and asset custodians are required to ensure all systems and applications use strong cryptography to render all passwords unreadable during transmission and storage on all system components.</w:t>
      </w:r>
      <w:r>
        <w:rPr>
          <w:rStyle w:val="FootnoteCharacters"/>
          <w:rFonts w:cs="Calibri"/>
        </w:rPr>
        <w:t xml:space="preserve"> </w:t>
      </w:r>
    </w:p>
    <w:p>
      <w:pPr>
        <w:pStyle w:val="Normal"/>
        <w:rPr/>
      </w:pPr>
      <w:r>
        <w:rPr/>
      </w:r>
    </w:p>
    <w:p>
      <w:pPr>
        <w:pStyle w:val="Normal"/>
        <w:rPr/>
      </w:pPr>
      <w:r>
        <w:rPr>
          <w:u w:val="single"/>
        </w:rPr>
        <w:t>Guidelines</w:t>
      </w:r>
      <w:r>
        <w:rPr/>
        <w:t>: This control reinforces the requirements for organizational systems implementing cryptographic protections using cryptographic modules. If cryptography is required, systems are required to authenticate to the associated cryptographic modules implementing the cryptography.</w:t>
      </w:r>
    </w:p>
    <w:p>
      <w:pPr>
        <w:pStyle w:val="Normal"/>
        <w:rPr/>
      </w:pPr>
      <w:r>
        <w:rPr/>
      </w:r>
    </w:p>
    <w:p>
      <w:pPr>
        <w:pStyle w:val="Normal"/>
        <w:rPr/>
      </w:pPr>
      <w:r>
        <w:rPr/>
        <w:t>The National Institute of Standards and Technology (NIST) guidance is the authoritative source for selection and implementation of this control based on the security categorization and risk environment of the data and / or system.</w:t>
      </w:r>
    </w:p>
    <w:p>
      <w:pPr>
        <w:pStyle w:val="Normal"/>
        <w:rPr/>
      </w:pPr>
      <w:r>
        <w:rPr/>
      </w:r>
    </w:p>
    <w:p>
      <w:pPr>
        <w:pStyle w:val="Normal"/>
        <w:rPr/>
      </w:pPr>
      <w:r>
        <w:rPr/>
      </w:r>
    </w:p>
    <w:p>
      <w:pPr>
        <w:pStyle w:val="Heading2"/>
        <w:rPr/>
      </w:pPr>
      <w:bookmarkStart w:id="573" w:name="_Toc398527319"/>
      <w:bookmarkStart w:id="574" w:name="_Toc474074907"/>
      <w:bookmarkStart w:id="575" w:name="_Toc474075586"/>
      <w:bookmarkStart w:id="576" w:name="_Toc34920709"/>
      <w:r>
        <w:rPr/>
        <w:t>CRY-03: Transmission Confidentiality</w:t>
      </w:r>
      <w:bookmarkEnd w:id="573"/>
      <w:bookmarkEnd w:id="574"/>
      <w:bookmarkEnd w:id="575"/>
      <w:bookmarkEnd w:id="576"/>
      <w:r>
        <w:rPr/>
        <w:t xml:space="preserve"> </w:t>
      </w:r>
    </w:p>
    <w:p>
      <w:pPr>
        <w:pStyle w:val="Normal"/>
        <w:rPr/>
      </w:pPr>
      <w:r>
        <w:rPr>
          <w:u w:val="single"/>
        </w:rPr>
        <w:t>Control Objective</w:t>
      </w:r>
      <w:r>
        <w:rPr/>
        <w:t>: The organization protects the confidentiality of transmitted information.</w:t>
      </w:r>
      <w:r>
        <w:rPr>
          <w:rStyle w:val="FootnoteCharacters"/>
          <w:rFonts w:cs="Calibri"/>
        </w:rPr>
        <w:t xml:space="preserve"> </w:t>
      </w:r>
      <w:r>
        <w:rPr>
          <w:rStyle w:val="FootnoteAnchor"/>
          <w:rStyle w:val="FootnoteAnchor"/>
          <w:rFonts w:cs="Calibri"/>
        </w:rPr>
        <w:footnoteReference w:id="191"/>
      </w:r>
      <w:r>
        <w:rPr/>
        <w:t xml:space="preserve"> </w:t>
      </w:r>
    </w:p>
    <w:p>
      <w:pPr>
        <w:pStyle w:val="Normal"/>
        <w:rPr/>
      </w:pPr>
      <w:r>
        <w:rPr/>
      </w:r>
    </w:p>
    <w:p>
      <w:pPr>
        <w:pStyle w:val="Normal"/>
        <w:rPr/>
      </w:pPr>
      <w:r>
        <w:rPr>
          <w:u w:val="single"/>
        </w:rPr>
        <w:t>Standard</w:t>
      </w:r>
      <w:r>
        <w:rPr/>
        <w:t>: Data/process owners and asset custodians are required to prevent unauthorized disclosure of information during transmission, ensuring systems transmitting sensitive information:</w:t>
      </w:r>
    </w:p>
    <w:p>
      <w:pPr>
        <w:pStyle w:val="ListParagraph"/>
        <w:numPr>
          <w:ilvl w:val="0"/>
          <w:numId w:val="289"/>
        </w:numPr>
        <w:rPr/>
      </w:pPr>
      <w:r>
        <w:rPr/>
        <w:t>Only trusted keys and certificates are accepted;</w:t>
      </w:r>
    </w:p>
    <w:p>
      <w:pPr>
        <w:pStyle w:val="ListParagraph"/>
        <w:numPr>
          <w:ilvl w:val="0"/>
          <w:numId w:val="289"/>
        </w:numPr>
        <w:rPr/>
      </w:pPr>
      <w:r>
        <w:rPr/>
        <w:t>Use strong cryptography and security protocols (for example, TLS, IPSEC, SSH, etc.) to safeguard sensitive data during transmission over public or private networks;</w:t>
      </w:r>
    </w:p>
    <w:p>
      <w:pPr>
        <w:pStyle w:val="ListParagraph"/>
        <w:numPr>
          <w:ilvl w:val="1"/>
          <w:numId w:val="289"/>
        </w:numPr>
        <w:rPr/>
      </w:pPr>
      <w:r>
        <w:rPr/>
        <w:t>Examples of public networks include, but are not limited to:</w:t>
      </w:r>
    </w:p>
    <w:p>
      <w:pPr>
        <w:pStyle w:val="ListParagraph"/>
        <w:numPr>
          <w:ilvl w:val="2"/>
          <w:numId w:val="289"/>
        </w:numPr>
        <w:rPr/>
      </w:pPr>
      <w:r>
        <w:rPr/>
        <w:t>The Internet;</w:t>
      </w:r>
    </w:p>
    <w:p>
      <w:pPr>
        <w:pStyle w:val="ListParagraph"/>
        <w:numPr>
          <w:ilvl w:val="2"/>
          <w:numId w:val="289"/>
        </w:numPr>
        <w:rPr/>
      </w:pPr>
      <w:r>
        <w:rPr/>
        <w:t>Wireless technologies;</w:t>
      </w:r>
    </w:p>
    <w:p>
      <w:pPr>
        <w:pStyle w:val="ListParagraph"/>
        <w:numPr>
          <w:ilvl w:val="2"/>
          <w:numId w:val="289"/>
        </w:numPr>
        <w:rPr/>
      </w:pPr>
      <w:r>
        <w:rPr/>
        <w:t>Global System for Mobile communications (GSM); and</w:t>
      </w:r>
    </w:p>
    <w:p>
      <w:pPr>
        <w:pStyle w:val="ListParagraph"/>
        <w:numPr>
          <w:ilvl w:val="2"/>
          <w:numId w:val="289"/>
        </w:numPr>
        <w:rPr/>
      </w:pPr>
      <w:r>
        <w:rPr/>
        <w:t>General Packet Radio Service (GPRS).</w:t>
      </w:r>
    </w:p>
    <w:p>
      <w:pPr>
        <w:pStyle w:val="ListParagraph"/>
        <w:numPr>
          <w:ilvl w:val="1"/>
          <w:numId w:val="289"/>
        </w:numPr>
        <w:rPr/>
      </w:pPr>
      <w:r>
        <w:rPr/>
        <w:t>Examples of private networks include, but are not limited to:</w:t>
      </w:r>
    </w:p>
    <w:p>
      <w:pPr>
        <w:pStyle w:val="ListParagraph"/>
        <w:numPr>
          <w:ilvl w:val="2"/>
          <w:numId w:val="289"/>
        </w:numPr>
        <w:rPr/>
      </w:pPr>
      <w:r>
        <w:rPr/>
        <w:t>Local Area Networks (LAN); and</w:t>
      </w:r>
    </w:p>
    <w:p>
      <w:pPr>
        <w:pStyle w:val="ListParagraph"/>
        <w:numPr>
          <w:ilvl w:val="2"/>
          <w:numId w:val="289"/>
        </w:numPr>
        <w:rPr/>
      </w:pPr>
      <w:r>
        <w:rPr/>
        <w:t>Virtual Private Network (VPN).</w:t>
      </w:r>
    </w:p>
    <w:p>
      <w:pPr>
        <w:pStyle w:val="ListParagraph"/>
        <w:numPr>
          <w:ilvl w:val="0"/>
          <w:numId w:val="289"/>
        </w:numPr>
        <w:rPr/>
      </w:pPr>
      <w:r>
        <w:rPr/>
        <w:t>Verify that the proper encryption strength is implemented for the encryption methodology in use, based on documented vendor recommendations and industry-recognized leading practices; and</w:t>
      </w:r>
    </w:p>
    <w:p>
      <w:pPr>
        <w:pStyle w:val="ListParagraph"/>
        <w:numPr>
          <w:ilvl w:val="0"/>
          <w:numId w:val="289"/>
        </w:numPr>
        <w:rPr/>
      </w:pPr>
      <w:r>
        <w:rPr/>
        <w:t xml:space="preserve">Verify that the protocol is implemented to use only secure configurations and does not support insecure versions or configurations. For TLS implementations: </w:t>
      </w:r>
    </w:p>
    <w:p>
      <w:pPr>
        <w:pStyle w:val="ListParagraph"/>
        <w:numPr>
          <w:ilvl w:val="1"/>
          <w:numId w:val="289"/>
        </w:numPr>
        <w:rPr/>
      </w:pPr>
      <w:r>
        <w:rPr/>
        <w:t>Verify that HTTPS appears as a part of the browser Universal Record Locator (URL); and</w:t>
      </w:r>
    </w:p>
    <w:p>
      <w:pPr>
        <w:pStyle w:val="ListParagraph"/>
        <w:numPr>
          <w:ilvl w:val="1"/>
          <w:numId w:val="289"/>
        </w:numPr>
        <w:rPr/>
      </w:pPr>
      <w:r>
        <w:rPr/>
        <w:t>Verify that no sensitive data is required when HTTPS does not appear in the URL.</w:t>
      </w:r>
    </w:p>
    <w:p>
      <w:pPr>
        <w:pStyle w:val="Normal"/>
        <w:rPr/>
      </w:pPr>
      <w:r>
        <w:rPr/>
      </w:r>
    </w:p>
    <w:p>
      <w:pPr>
        <w:pStyle w:val="Normal"/>
        <w:rPr/>
      </w:pPr>
      <w:r>
        <w:rPr>
          <w:u w:val="single"/>
        </w:rPr>
        <w:t>Guidelines</w:t>
      </w:r>
      <w:r>
        <w:rPr/>
        <w:t xml:space="preserve">: This applies to both internal and external networks. This applies to end-to-end confidentiality between the system components / services originating the transmitted information and the system components / services receiving the transmitted information. Organizations relying on commercial service providers offering transmission services as commodity items rather than as fully dedicated services may find it difficult to obtain the necessary assurances regarding the implementation of needed security controls for transmission confidentiality. When it is infeasible or impractical to obtain the necessary security controls and assurances of control effectiveness through appropriate contracting vehicles, organizations implement appropriate compensating security controls or explicitly accept the additional risk. </w:t>
      </w:r>
    </w:p>
    <w:p>
      <w:pPr>
        <w:pStyle w:val="Normal"/>
        <w:rPr/>
      </w:pPr>
      <w:r>
        <w:rPr/>
      </w:r>
    </w:p>
    <w:p>
      <w:pPr>
        <w:pStyle w:val="Normal"/>
        <w:rPr/>
      </w:pPr>
      <w:r>
        <w:rPr/>
        <w:t>The National Institute of Standards and Technology (NIST) guidance is the authoritative source for selection and implementation of this control based on the security categorization and risk environment of the information and / or system.</w:t>
      </w:r>
    </w:p>
    <w:p>
      <w:pPr>
        <w:pStyle w:val="Normal"/>
        <w:rPr/>
      </w:pPr>
      <w:r>
        <w:rPr/>
      </w:r>
    </w:p>
    <w:p>
      <w:pPr>
        <w:pStyle w:val="Normal"/>
        <w:rPr/>
      </w:pPr>
      <w:r>
        <w:rPr/>
      </w:r>
    </w:p>
    <w:p>
      <w:pPr>
        <w:pStyle w:val="Heading2"/>
        <w:rPr/>
      </w:pPr>
      <w:bookmarkStart w:id="577" w:name="_Toc474074908"/>
      <w:bookmarkStart w:id="578" w:name="_Toc474075587"/>
      <w:bookmarkStart w:id="579" w:name="_Toc34920710"/>
      <w:r>
        <w:rPr/>
        <w:t>CRY-04: Transmission Integrity</w:t>
      </w:r>
      <w:bookmarkEnd w:id="577"/>
      <w:bookmarkEnd w:id="578"/>
      <w:bookmarkEnd w:id="579"/>
      <w:r>
        <w:rPr/>
        <w:t xml:space="preserve"> </w:t>
      </w:r>
    </w:p>
    <w:p>
      <w:pPr>
        <w:pStyle w:val="Normal"/>
        <w:rPr/>
      </w:pPr>
      <w:r>
        <w:rPr>
          <w:u w:val="single"/>
        </w:rPr>
        <w:t>Control Objective</w:t>
      </w:r>
      <w:r>
        <w:rPr/>
        <w:t>: The organization protects the integrity of information involved to prevent incomplete transmission, misrouting, unauthorized message alteration, unauthorized disclosure, unauthorized message duplication or replay.</w:t>
      </w:r>
      <w:r>
        <w:rPr>
          <w:rStyle w:val="FootnoteCharacters"/>
          <w:rFonts w:cs="Calibri"/>
        </w:rPr>
        <w:t xml:space="preserve"> </w:t>
      </w:r>
      <w:r>
        <w:rPr>
          <w:rStyle w:val="FootnoteAnchor"/>
          <w:rStyle w:val="FootnoteAnchor"/>
          <w:rFonts w:cs="Calibri"/>
        </w:rPr>
        <w:footnoteReference w:id="192"/>
      </w:r>
    </w:p>
    <w:p>
      <w:pPr>
        <w:pStyle w:val="Normal"/>
        <w:rPr/>
      </w:pPr>
      <w:r>
        <w:rPr/>
      </w:r>
    </w:p>
    <w:p>
      <w:pPr>
        <w:pStyle w:val="Normal"/>
        <w:rPr/>
      </w:pPr>
      <w:r>
        <w:rPr>
          <w:u w:val="single"/>
        </w:rPr>
        <w:t>Standard</w:t>
      </w:r>
      <w:r>
        <w:rPr/>
        <w:t>: Data/process owners and asset custodians are required to employ cryptographic mechanisms to prevent unauthorized modification or corruption of information during transmission.</w:t>
      </w:r>
      <w:r>
        <w:rPr>
          <w:rStyle w:val="FootnoteCharacters"/>
          <w:rFonts w:cs="Calibri"/>
        </w:rPr>
        <w:t xml:space="preserve"> </w:t>
      </w:r>
    </w:p>
    <w:p>
      <w:pPr>
        <w:pStyle w:val="Normal"/>
        <w:rPr/>
      </w:pPr>
      <w:r>
        <w:rPr/>
      </w:r>
    </w:p>
    <w:p>
      <w:pPr>
        <w:pStyle w:val="Normal"/>
        <w:rPr/>
      </w:pPr>
      <w:r>
        <w:rPr>
          <w:u w:val="single"/>
        </w:rPr>
        <w:t>Guidelines</w:t>
      </w:r>
      <w:r>
        <w:rPr/>
        <w:t>: The National Institute of Standards and Technology (NIST) guidance is the authoritative source for selection and implementation of this control based on the security categorization and risk environment of the data and / or system.</w:t>
      </w:r>
    </w:p>
    <w:p>
      <w:pPr>
        <w:pStyle w:val="Normal"/>
        <w:rPr/>
      </w:pPr>
      <w:r>
        <w:rPr/>
      </w:r>
    </w:p>
    <w:p>
      <w:pPr>
        <w:pStyle w:val="Normal"/>
        <w:rPr/>
      </w:pPr>
      <w:r>
        <w:rPr/>
      </w:r>
    </w:p>
    <w:p>
      <w:pPr>
        <w:pStyle w:val="Heading2"/>
        <w:rPr/>
      </w:pPr>
      <w:bookmarkStart w:id="580" w:name="_Toc474074909"/>
      <w:bookmarkStart w:id="581" w:name="_Toc474075588"/>
      <w:bookmarkStart w:id="582" w:name="_Toc34920711"/>
      <w:bookmarkStart w:id="583" w:name="_Toc398527338"/>
      <w:r>
        <w:rPr/>
        <w:t>CRY-05: Encrypting Data At Rest</w:t>
      </w:r>
      <w:bookmarkEnd w:id="580"/>
      <w:bookmarkEnd w:id="581"/>
      <w:bookmarkEnd w:id="582"/>
      <w:bookmarkEnd w:id="583"/>
      <w:r>
        <w:rPr/>
        <w:t xml:space="preserve"> </w:t>
      </w:r>
    </w:p>
    <w:p>
      <w:pPr>
        <w:pStyle w:val="Normal"/>
        <w:rPr/>
      </w:pPr>
      <w:r>
        <w:rPr>
          <w:u w:val="single"/>
        </w:rPr>
        <w:t>Control Objective</w:t>
      </w:r>
      <w:r>
        <w:rPr/>
        <w:t>: Systems implement cryptographic mechanisms to prevent unauthorized disclosure and modification of information on system components.</w:t>
      </w:r>
      <w:r>
        <w:rPr>
          <w:rStyle w:val="FootnoteAnchor"/>
          <w:rStyle w:val="FootnoteAnchor"/>
          <w:rFonts w:cs="Calibri"/>
        </w:rPr>
        <w:footnoteReference w:id="193"/>
      </w:r>
    </w:p>
    <w:p>
      <w:pPr>
        <w:pStyle w:val="Normal"/>
        <w:rPr/>
      </w:pPr>
      <w:r>
        <w:rPr/>
      </w:r>
    </w:p>
    <w:p>
      <w:pPr>
        <w:pStyle w:val="Normal"/>
        <w:rPr/>
      </w:pPr>
      <w:r>
        <w:rPr>
          <w:u w:val="single"/>
        </w:rPr>
        <w:t>Standard</w:t>
      </w:r>
      <w:r>
        <w:rPr/>
        <w:t>: Sensitive information stored on systems must be encrypted at rest and require a secondary authentication mechanism, not integrated into the operating system, in order to access the information. Data/process owners and asset custodians are required to protect sensitive information by:</w:t>
      </w:r>
      <w:r>
        <w:rPr>
          <w:rStyle w:val="FootnoteCharacters"/>
          <w:rFonts w:cs="Calibri"/>
        </w:rPr>
        <w:t xml:space="preserve"> </w:t>
      </w:r>
    </w:p>
    <w:p>
      <w:pPr>
        <w:pStyle w:val="ListParagraph"/>
        <w:numPr>
          <w:ilvl w:val="0"/>
          <w:numId w:val="290"/>
        </w:numPr>
        <w:rPr/>
      </w:pPr>
      <w:r>
        <w:rPr/>
        <w:t xml:space="preserve">Employing cryptographic mechanisms to prevent unauthorized disclosure and modification of information at rest unless otherwise protected by alternative physical measures. </w:t>
      </w:r>
    </w:p>
    <w:p>
      <w:pPr>
        <w:pStyle w:val="ListParagraph"/>
        <w:numPr>
          <w:ilvl w:val="1"/>
          <w:numId w:val="290"/>
        </w:numPr>
        <w:rPr/>
      </w:pPr>
      <w:r>
        <w:rPr/>
        <w:t>If disk encryption is used (rather than file- or column-level database encryption), logical access must be managed independently of native operating system access control mechanisms (e.g., by not using local user account databases);</w:t>
      </w:r>
    </w:p>
    <w:p>
      <w:pPr>
        <w:pStyle w:val="ListParagraph"/>
        <w:numPr>
          <w:ilvl w:val="0"/>
          <w:numId w:val="290"/>
        </w:numPr>
        <w:rPr/>
      </w:pPr>
      <w:r>
        <w:rPr/>
        <w:t>Rendering sensitive data unreadable anywhere it is stored; and</w:t>
      </w:r>
    </w:p>
    <w:p>
      <w:pPr>
        <w:pStyle w:val="ListParagraph"/>
        <w:numPr>
          <w:ilvl w:val="0"/>
          <w:numId w:val="290"/>
        </w:numPr>
        <w:rPr>
          <w:u w:val="single"/>
        </w:rPr>
      </w:pPr>
      <w:r>
        <w:rPr/>
        <w:t>Not tying user accounts to decryption keys.</w:t>
      </w:r>
    </w:p>
    <w:p>
      <w:pPr>
        <w:pStyle w:val="Normal"/>
        <w:rPr/>
      </w:pPr>
      <w:r>
        <w:rPr/>
      </w:r>
    </w:p>
    <w:p>
      <w:pPr>
        <w:pStyle w:val="Normal"/>
        <w:rPr/>
      </w:pPr>
      <w:r>
        <w:rPr>
          <w:u w:val="single"/>
        </w:rPr>
        <w:t>Guidelines</w:t>
      </w:r>
      <w:r>
        <w:rPr/>
        <w:t xml:space="preserve">: This standard addresses the confidentiality and integrity of information at rest and covers user information and system information. Information at rest refers to the state of information when it is located on storage devices as specific components of systems. System-related information requiring protection includes, for example, configurations or rule sets for firewalls, gateways, intrusion detection / prevention systems, filtering routers and authenticator content. Organizations may employ different mechanisms to achieve confidentiality and integrity protections. Organizations may also employ other security controls including, for example, secure off-line storage in lieu of online storage when adequate protection of information at rest cannot otherwise be achieved. </w:t>
      </w:r>
    </w:p>
    <w:p>
      <w:pPr>
        <w:pStyle w:val="Normal"/>
        <w:rPr/>
      </w:pPr>
      <w:r>
        <w:rPr/>
      </w:r>
    </w:p>
    <w:p>
      <w:pPr>
        <w:pStyle w:val="Heading3"/>
        <w:rPr/>
      </w:pPr>
      <w:bookmarkStart w:id="584" w:name="_Toc474074910"/>
      <w:bookmarkStart w:id="585" w:name="_Toc34920712"/>
      <w:r>
        <w:rPr/>
        <w:t>CRY-05(a): Encrypting Data At Rest | Storage Media</w:t>
      </w:r>
      <w:bookmarkEnd w:id="584"/>
      <w:bookmarkEnd w:id="585"/>
      <w:r>
        <w:rPr/>
        <w:t xml:space="preserve"> </w:t>
      </w:r>
    </w:p>
    <w:p>
      <w:pPr>
        <w:pStyle w:val="Normal"/>
        <w:rPr/>
      </w:pPr>
      <w:r>
        <w:rPr>
          <w:u w:val="single"/>
        </w:rPr>
        <w:t>Control Objective</w:t>
      </w:r>
      <w:r>
        <w:rPr/>
        <w:t>: The organization employs cryptographic mechanisms to protect the confidentiality and integrity of information stored on digital media.</w:t>
      </w:r>
      <w:r>
        <w:rPr>
          <w:rStyle w:val="FootnoteAnchor"/>
          <w:rStyle w:val="FootnoteAnchor"/>
        </w:rPr>
        <w:footnoteReference w:id="194"/>
      </w:r>
    </w:p>
    <w:p>
      <w:pPr>
        <w:pStyle w:val="Normal"/>
        <w:rPr/>
      </w:pPr>
      <w:r>
        <w:rPr/>
      </w:r>
    </w:p>
    <w:p>
      <w:pPr>
        <w:pStyle w:val="Normal"/>
        <w:rPr/>
      </w:pPr>
      <w:r>
        <w:rPr>
          <w:u w:val="single"/>
        </w:rPr>
        <w:t>Standard</w:t>
      </w:r>
      <w:r>
        <w:rPr/>
        <w:t>: NFCC users are required to render sensitive data unreadable anywhere it is stored by using strong cryptography with associated key-management processes and procedures.</w:t>
      </w:r>
    </w:p>
    <w:p>
      <w:pPr>
        <w:pStyle w:val="Normal"/>
        <w:rPr/>
      </w:pPr>
      <w:r>
        <w:rPr/>
      </w:r>
    </w:p>
    <w:p>
      <w:pPr>
        <w:pStyle w:val="Normal"/>
        <w:rPr/>
      </w:pPr>
      <w:r>
        <w:rPr>
          <w:u w:val="single"/>
        </w:rPr>
        <w:t>Guidelines</w:t>
      </w:r>
      <w:r>
        <w:rPr/>
        <w:t>: Storage includes but is not limited to portable digital media, backup media and in logs. This standard applies to:</w:t>
      </w:r>
    </w:p>
    <w:p>
      <w:pPr>
        <w:pStyle w:val="ListParagraph"/>
        <w:numPr>
          <w:ilvl w:val="0"/>
          <w:numId w:val="194"/>
        </w:numPr>
        <w:rPr/>
      </w:pPr>
      <w:r>
        <w:rPr/>
        <w:t>Backup media;</w:t>
      </w:r>
    </w:p>
    <w:p>
      <w:pPr>
        <w:pStyle w:val="ListParagraph"/>
        <w:numPr>
          <w:ilvl w:val="0"/>
          <w:numId w:val="194"/>
        </w:numPr>
        <w:rPr/>
      </w:pPr>
      <w:r>
        <w:rPr/>
        <w:t>Portable storage media:</w:t>
      </w:r>
    </w:p>
    <w:p>
      <w:pPr>
        <w:pStyle w:val="ListParagraph"/>
        <w:numPr>
          <w:ilvl w:val="1"/>
          <w:numId w:val="194"/>
        </w:numPr>
        <w:rPr/>
      </w:pPr>
      <w:r>
        <w:rPr/>
        <w:t>USB memory sticks; and</w:t>
      </w:r>
    </w:p>
    <w:p>
      <w:pPr>
        <w:pStyle w:val="ListParagraph"/>
        <w:numPr>
          <w:ilvl w:val="1"/>
          <w:numId w:val="194"/>
        </w:numPr>
        <w:rPr/>
      </w:pPr>
      <w:r>
        <w:rPr/>
        <w:t>External hard disk drives; and</w:t>
      </w:r>
    </w:p>
    <w:p>
      <w:pPr>
        <w:pStyle w:val="ListParagraph"/>
        <w:numPr>
          <w:ilvl w:val="0"/>
          <w:numId w:val="194"/>
        </w:numPr>
        <w:rPr/>
      </w:pPr>
      <w:r>
        <w:rPr/>
        <w:t>Portable computing and communications devices with storage capability:</w:t>
      </w:r>
    </w:p>
    <w:p>
      <w:pPr>
        <w:pStyle w:val="ListParagraph"/>
        <w:numPr>
          <w:ilvl w:val="1"/>
          <w:numId w:val="194"/>
        </w:numPr>
        <w:rPr/>
      </w:pPr>
      <w:r>
        <w:rPr/>
        <w:t>Notebook computers;</w:t>
      </w:r>
    </w:p>
    <w:p>
      <w:pPr>
        <w:pStyle w:val="ListParagraph"/>
        <w:numPr>
          <w:ilvl w:val="1"/>
          <w:numId w:val="194"/>
        </w:numPr>
        <w:rPr/>
      </w:pPr>
      <w:r>
        <w:rPr/>
        <w:t>Personal Digital Assistants (PDAs); and</w:t>
      </w:r>
    </w:p>
    <w:p>
      <w:pPr>
        <w:pStyle w:val="ListParagraph"/>
        <w:numPr>
          <w:ilvl w:val="1"/>
          <w:numId w:val="194"/>
        </w:numPr>
        <w:rPr/>
      </w:pPr>
      <w:r>
        <w:rPr/>
        <w:t>Cellular / smart telephones.</w:t>
      </w:r>
    </w:p>
    <w:p>
      <w:pPr>
        <w:pStyle w:val="Normal"/>
        <w:rPr>
          <w:rFonts w:cs="Calibri"/>
          <w:u w:val="single"/>
        </w:rPr>
      </w:pPr>
      <w:r>
        <w:rPr>
          <w:rFonts w:cs="Calibri"/>
          <w:u w:val="single"/>
        </w:rPr>
      </w:r>
    </w:p>
    <w:p>
      <w:pPr>
        <w:pStyle w:val="Heading3"/>
        <w:rPr/>
      </w:pPr>
      <w:bookmarkStart w:id="586" w:name="_Toc23242184"/>
      <w:bookmarkStart w:id="587" w:name="_Toc34920713"/>
      <w:r>
        <w:rPr/>
        <w:t>CRY-05(b): Encrypting Data at Rest | Offline Storage</w:t>
      </w:r>
      <w:bookmarkEnd w:id="586"/>
      <w:bookmarkEnd w:id="587"/>
      <w:r>
        <w:rPr/>
        <w:t xml:space="preserve"> </w:t>
      </w:r>
    </w:p>
    <w:p>
      <w:pPr>
        <w:pStyle w:val="Normal"/>
        <w:rPr>
          <w:rFonts w:cs="Calibri"/>
          <w:bCs w:val="false"/>
        </w:rPr>
      </w:pPr>
      <w:r>
        <w:rPr>
          <w:rFonts w:cs="Calibri"/>
          <w:u w:val="single"/>
        </w:rPr>
        <w:t>Control Objective</w:t>
      </w:r>
      <w:r>
        <w:rPr>
          <w:rFonts w:cs="Calibri"/>
        </w:rPr>
        <w:t>:</w:t>
      </w:r>
      <w:r>
        <w:rPr>
          <w:rFonts w:cs="Calibri"/>
          <w:bCs w:val="false"/>
        </w:rPr>
        <w:t xml:space="preserve"> The organization removes from online storage and stores off-line in a secure location organization-defined information.</w:t>
      </w:r>
      <w:r>
        <w:rPr>
          <w:rStyle w:val="FootnoteCharacters"/>
        </w:rPr>
        <w:t xml:space="preserve"> </w:t>
      </w:r>
      <w:r>
        <w:rPr>
          <w:rStyle w:val="FootnoteAnchor"/>
          <w:rStyle w:val="FootnoteAnchor"/>
        </w:rPr>
        <w:footnoteReference w:id="195"/>
      </w:r>
    </w:p>
    <w:p>
      <w:pPr>
        <w:pStyle w:val="Normal"/>
        <w:rPr>
          <w:rFonts w:cs="Calibri"/>
          <w:bCs w:val="false"/>
          <w:u w:val="single"/>
        </w:rPr>
      </w:pPr>
      <w:r>
        <w:rPr>
          <w:rFonts w:cs="Calibri"/>
          <w:bCs w:val="false"/>
          <w:u w:val="single"/>
        </w:rPr>
      </w:r>
    </w:p>
    <w:p>
      <w:pPr>
        <w:pStyle w:val="Normal"/>
        <w:rPr>
          <w:rFonts w:cs="Calibri"/>
        </w:rPr>
      </w:pPr>
      <w:r>
        <w:rPr>
          <w:rFonts w:cs="Calibri"/>
          <w:bCs w:val="false"/>
          <w:u w:val="single"/>
        </w:rPr>
        <w:t>Standard</w:t>
      </w:r>
      <w:r>
        <w:rPr>
          <w:rFonts w:cs="Calibri"/>
          <w:bCs w:val="false"/>
        </w:rPr>
        <w:t xml:space="preserve">: </w:t>
      </w:r>
      <w:r>
        <w:rPr>
          <w:rFonts w:cs="Calibri"/>
        </w:rPr>
        <w:t>NFCC requires data that is transferred from online storage to off-line storage must be:</w:t>
      </w:r>
    </w:p>
    <w:p>
      <w:pPr>
        <w:pStyle w:val="ListParagraph"/>
        <w:numPr>
          <w:ilvl w:val="0"/>
          <w:numId w:val="644"/>
        </w:numPr>
        <w:rPr>
          <w:rFonts w:cs="Calibri"/>
        </w:rPr>
      </w:pPr>
      <w:r>
        <w:rPr>
          <w:rFonts w:cs="Calibri"/>
        </w:rPr>
        <w:t>Stored in a secure location; and</w:t>
      </w:r>
    </w:p>
    <w:p>
      <w:pPr>
        <w:pStyle w:val="ListParagraph"/>
        <w:numPr>
          <w:ilvl w:val="0"/>
          <w:numId w:val="644"/>
        </w:numPr>
        <w:rPr>
          <w:rFonts w:cs="Calibri"/>
        </w:rPr>
      </w:pPr>
      <w:r>
        <w:rPr>
          <w:rFonts w:cs="Calibri"/>
        </w:rPr>
        <w:t>Cryptographically protected.</w:t>
      </w:r>
    </w:p>
    <w:p>
      <w:pPr>
        <w:pStyle w:val="Normal"/>
        <w:rPr>
          <w:rFonts w:cs="Calibri"/>
        </w:rPr>
      </w:pPr>
      <w:r>
        <w:rPr>
          <w:rFonts w:cs="Calibri"/>
        </w:rPr>
      </w:r>
    </w:p>
    <w:p>
      <w:pPr>
        <w:pStyle w:val="Normal"/>
        <w:rPr>
          <w:rFonts w:cs="Calibri"/>
        </w:rPr>
      </w:pPr>
      <w:r>
        <w:rPr>
          <w:rFonts w:cs="Calibri"/>
          <w:u w:val="single"/>
        </w:rPr>
        <w:t>Guidelines</w:t>
      </w:r>
      <w:r>
        <w:rPr>
          <w:rFonts w:cs="Calibri"/>
        </w:rPr>
        <w:t xml:space="preserve">: </w:t>
      </w:r>
      <w:r>
        <w:rPr>
          <w:rFonts w:cs="Calibri"/>
          <w:bCs w:val="false"/>
        </w:rPr>
        <w:t>Removing organizational information from online information system storage to off-line storage eliminates the possibility of individuals gaining unauthorized access to the information through a network. Therefore, organizations may choose to move information to off-line storage in lieu of protecting such information in online storage.</w:t>
      </w:r>
      <w:bookmarkStart w:id="588" w:name="_Hlk27579192"/>
      <w:bookmarkEnd w:id="588"/>
    </w:p>
    <w:p>
      <w:pPr>
        <w:pStyle w:val="Normal"/>
        <w:rPr/>
      </w:pPr>
      <w:r>
        <w:rPr/>
      </w:r>
    </w:p>
    <w:p>
      <w:pPr>
        <w:pStyle w:val="Normal"/>
        <w:rPr/>
      </w:pPr>
      <w:r>
        <w:rPr/>
      </w:r>
    </w:p>
    <w:p>
      <w:pPr>
        <w:pStyle w:val="Heading2"/>
        <w:rPr/>
      </w:pPr>
      <w:bookmarkStart w:id="589" w:name="_Toc474074911"/>
      <w:bookmarkStart w:id="590" w:name="_Toc474075589"/>
      <w:bookmarkStart w:id="591" w:name="_Toc34920714"/>
      <w:r>
        <w:rPr/>
        <w:t>CRY-06: Non-Console Administrative Access</w:t>
      </w:r>
      <w:bookmarkEnd w:id="589"/>
      <w:bookmarkEnd w:id="590"/>
      <w:bookmarkEnd w:id="591"/>
    </w:p>
    <w:p>
      <w:pPr>
        <w:pStyle w:val="Normal"/>
        <w:rPr/>
      </w:pPr>
      <w:r>
        <w:rPr>
          <w:u w:val="single"/>
        </w:rPr>
        <w:t>Control Objective</w:t>
      </w:r>
      <w:r>
        <w:rPr/>
        <w:t>: The organization encrypts all non-console administrative access using strong cryptography.</w:t>
      </w:r>
      <w:r>
        <w:rPr>
          <w:rStyle w:val="FootnoteCharacters"/>
          <w:rFonts w:cs="Calibri"/>
        </w:rPr>
        <w:t xml:space="preserve"> </w:t>
      </w:r>
    </w:p>
    <w:p>
      <w:pPr>
        <w:pStyle w:val="Normal"/>
        <w:rPr/>
      </w:pPr>
      <w:r>
        <w:rPr/>
      </w:r>
    </w:p>
    <w:p>
      <w:pPr>
        <w:pStyle w:val="Normal"/>
        <w:rPr/>
      </w:pPr>
      <w:r>
        <w:rPr>
          <w:u w:val="single"/>
        </w:rPr>
        <w:t>Standard</w:t>
      </w:r>
      <w:r>
        <w:rPr/>
        <w:t>: Asset custodians are responsible for developing configuration standards to ensure all non-console administrative access is encrypted using strong cryptography using technologies such as SSH, VPN or TLS for web-based management and other non-console administrative access.</w:t>
      </w:r>
      <w:r>
        <w:rPr>
          <w:rStyle w:val="FootnoteCharacters"/>
          <w:rFonts w:cs="Calibri"/>
        </w:rPr>
        <w:t xml:space="preserve"> </w:t>
      </w:r>
    </w:p>
    <w:p>
      <w:pPr>
        <w:pStyle w:val="Normal"/>
        <w:rPr/>
      </w:pPr>
      <w:r>
        <w:rPr/>
      </w:r>
    </w:p>
    <w:p>
      <w:pPr>
        <w:pStyle w:val="Normal"/>
        <w:rPr/>
      </w:pPr>
      <w:r>
        <w:rPr>
          <w:u w:val="single"/>
        </w:rPr>
        <w:t>Guidelines</w:t>
      </w:r>
      <w:r>
        <w:rPr/>
        <w:t>: Examples of insecure services, protocols or ports include but are not limited to:</w:t>
      </w:r>
    </w:p>
    <w:p>
      <w:pPr>
        <w:pStyle w:val="ListParagraph"/>
        <w:numPr>
          <w:ilvl w:val="0"/>
          <w:numId w:val="195"/>
        </w:numPr>
        <w:rPr>
          <w:b/>
          <w:b/>
        </w:rPr>
      </w:pPr>
      <w:r>
        <w:rPr/>
        <w:t>File Transfer Protocol (FTP);</w:t>
      </w:r>
    </w:p>
    <w:p>
      <w:pPr>
        <w:pStyle w:val="ListParagraph"/>
        <w:numPr>
          <w:ilvl w:val="0"/>
          <w:numId w:val="195"/>
        </w:numPr>
        <w:rPr>
          <w:b/>
          <w:b/>
        </w:rPr>
      </w:pPr>
      <w:r>
        <w:rPr/>
        <w:t>Telnet; and</w:t>
      </w:r>
    </w:p>
    <w:p>
      <w:pPr>
        <w:pStyle w:val="ListParagraph"/>
        <w:numPr>
          <w:ilvl w:val="0"/>
          <w:numId w:val="195"/>
        </w:numPr>
        <w:rPr>
          <w:b/>
          <w:b/>
        </w:rPr>
      </w:pPr>
      <w:r>
        <w:rPr/>
        <w:t>Post Office Protocol 3 (POP3).</w:t>
      </w:r>
    </w:p>
    <w:p>
      <w:pPr>
        <w:pStyle w:val="Normal"/>
        <w:rPr/>
      </w:pPr>
      <w:r>
        <w:rPr/>
      </w:r>
    </w:p>
    <w:p>
      <w:pPr>
        <w:pStyle w:val="Normal"/>
        <w:rPr/>
      </w:pPr>
      <w:r>
        <w:rPr/>
      </w:r>
    </w:p>
    <w:p>
      <w:pPr>
        <w:pStyle w:val="Heading2"/>
        <w:rPr/>
      </w:pPr>
      <w:bookmarkStart w:id="592" w:name="_Toc474074912"/>
      <w:bookmarkStart w:id="593" w:name="_Toc474075590"/>
      <w:bookmarkStart w:id="594" w:name="_Toc34920715"/>
      <w:r>
        <w:rPr/>
        <w:t>CRY-07: Wireless Access Authentication &amp; Encryption</w:t>
      </w:r>
      <w:bookmarkEnd w:id="592"/>
      <w:bookmarkEnd w:id="593"/>
      <w:bookmarkEnd w:id="594"/>
      <w:r>
        <w:rPr/>
        <w:t xml:space="preserve"> </w:t>
      </w:r>
    </w:p>
    <w:p>
      <w:pPr>
        <w:pStyle w:val="Normal"/>
        <w:rPr/>
      </w:pPr>
      <w:r>
        <w:rPr>
          <w:u w:val="single"/>
        </w:rPr>
        <w:t>Control Objective</w:t>
      </w:r>
      <w:r>
        <w:rPr/>
        <w:t>: The organization protects wireless access using authentication and encryption.</w:t>
      </w:r>
      <w:r>
        <w:rPr>
          <w:rStyle w:val="FootnoteCharacters"/>
          <w:rFonts w:cs="Calibri"/>
          <w:bCs w:val="false"/>
        </w:rPr>
        <w:t xml:space="preserve"> </w:t>
      </w:r>
      <w:r>
        <w:rPr>
          <w:rStyle w:val="FootnoteAnchor"/>
          <w:rStyle w:val="FootnoteAnchor"/>
          <w:rFonts w:cs="Calibri"/>
          <w:bCs w:val="false"/>
        </w:rPr>
        <w:footnoteReference w:id="196"/>
      </w:r>
    </w:p>
    <w:p>
      <w:pPr>
        <w:pStyle w:val="Normal"/>
        <w:rPr/>
      </w:pPr>
      <w:r>
        <w:rPr/>
      </w:r>
    </w:p>
    <w:p>
      <w:pPr>
        <w:pStyle w:val="Normal"/>
        <w:rPr/>
      </w:pPr>
      <w:r>
        <w:rPr>
          <w:u w:val="single"/>
        </w:rPr>
        <w:t>Standard</w:t>
      </w:r>
      <w:r>
        <w:rPr/>
        <w:t>: NFCC is required to ensure wireless networks use industry-recognized leading practices to implement strong encryption for authentication and transmission, commensurate with the sensitivity of the data being transmitted.</w:t>
      </w:r>
      <w:r>
        <w:rPr>
          <w:rStyle w:val="FootnoteCharacters"/>
          <w:rFonts w:cs="Calibri"/>
          <w:bCs w:val="false"/>
        </w:rPr>
        <w:t xml:space="preserve"> </w:t>
      </w:r>
    </w:p>
    <w:p>
      <w:pPr>
        <w:pStyle w:val="Normal"/>
        <w:rPr/>
      </w:pPr>
      <w:r>
        <w:rPr/>
      </w:r>
    </w:p>
    <w:p>
      <w:pPr>
        <w:pStyle w:val="Normal"/>
        <w:rPr/>
      </w:pPr>
      <w:r>
        <w:rPr>
          <w:u w:val="single"/>
        </w:rPr>
        <w:t>Guidelines</w:t>
      </w:r>
      <w:r>
        <w:rPr/>
        <w:t xml:space="preserve">: Refer to vendor documentation for the proper security configurations of Wireless Access Points (WAPs) and supported encryption strength. </w:t>
      </w:r>
    </w:p>
    <w:p>
      <w:pPr>
        <w:pStyle w:val="Normal"/>
        <w:rPr/>
      </w:pPr>
      <w:r>
        <w:rPr/>
      </w:r>
    </w:p>
    <w:p>
      <w:pPr>
        <w:pStyle w:val="Normal"/>
        <w:rPr/>
      </w:pPr>
      <w:r>
        <w:rPr/>
      </w:r>
    </w:p>
    <w:p>
      <w:pPr>
        <w:pStyle w:val="Heading2"/>
        <w:rPr/>
      </w:pPr>
      <w:bookmarkStart w:id="595" w:name="_Toc474074913"/>
      <w:bookmarkStart w:id="596" w:name="_Toc474075591"/>
      <w:bookmarkStart w:id="597" w:name="_Toc34920716"/>
      <w:r>
        <w:rPr/>
        <w:t>CRY-08: Public Key Infrastructure (PKI)</w:t>
      </w:r>
      <w:bookmarkEnd w:id="595"/>
      <w:bookmarkEnd w:id="596"/>
      <w:bookmarkEnd w:id="597"/>
      <w:r>
        <w:rPr/>
        <w:t xml:space="preserve"> </w:t>
      </w:r>
    </w:p>
    <w:p>
      <w:pPr>
        <w:pStyle w:val="Normal"/>
        <w:rPr/>
      </w:pPr>
      <w:r>
        <w:rPr>
          <w:u w:val="single"/>
        </w:rPr>
        <w:t>Control Objective</w:t>
      </w:r>
      <w:r>
        <w:rPr/>
        <w:t>: The organization issues public key certificates under an organization-defined certificate policy or obtains public key certificates under an appropriate certificate policy from an approved service provider.</w:t>
      </w:r>
      <w:r>
        <w:rPr>
          <w:rStyle w:val="FootnoteAnchor"/>
          <w:rStyle w:val="FootnoteAnchor"/>
          <w:rFonts w:cs="Calibri"/>
        </w:rPr>
        <w:footnoteReference w:id="197"/>
      </w:r>
    </w:p>
    <w:p>
      <w:pPr>
        <w:pStyle w:val="Normal"/>
        <w:rPr/>
      </w:pPr>
      <w:r>
        <w:rPr/>
      </w:r>
    </w:p>
    <w:p>
      <w:pPr>
        <w:pStyle w:val="Normal"/>
        <w:rPr/>
      </w:pPr>
      <w:r>
        <w:rPr>
          <w:u w:val="single"/>
        </w:rPr>
        <w:t>Standard</w:t>
      </w:r>
      <w:r>
        <w:rPr/>
        <w:t xml:space="preserve">: Asset custodians responsible for NFCC’s Public Key Infrastructure (PKI) are required to provide the following PKI management services: </w:t>
      </w:r>
    </w:p>
    <w:p>
      <w:pPr>
        <w:pStyle w:val="ListParagraph"/>
        <w:numPr>
          <w:ilvl w:val="0"/>
          <w:numId w:val="291"/>
        </w:numPr>
        <w:tabs>
          <w:tab w:val="left" w:pos="360" w:leader="none"/>
          <w:tab w:val="left" w:pos="720" w:leader="none"/>
          <w:tab w:val="left" w:pos="1080" w:leader="none"/>
        </w:tabs>
        <w:rPr/>
      </w:pPr>
      <w:r>
        <w:rPr/>
        <w:t>Certificate creation;</w:t>
      </w:r>
    </w:p>
    <w:p>
      <w:pPr>
        <w:pStyle w:val="ListParagraph"/>
        <w:numPr>
          <w:ilvl w:val="0"/>
          <w:numId w:val="291"/>
        </w:numPr>
        <w:tabs>
          <w:tab w:val="left" w:pos="360" w:leader="none"/>
          <w:tab w:val="left" w:pos="720" w:leader="none"/>
          <w:tab w:val="left" w:pos="1080" w:leader="none"/>
        </w:tabs>
        <w:rPr/>
      </w:pPr>
      <w:r>
        <w:rPr/>
        <w:t>Certificate signing;</w:t>
      </w:r>
    </w:p>
    <w:p>
      <w:pPr>
        <w:pStyle w:val="ListParagraph"/>
        <w:numPr>
          <w:ilvl w:val="0"/>
          <w:numId w:val="291"/>
        </w:numPr>
        <w:tabs>
          <w:tab w:val="left" w:pos="360" w:leader="none"/>
          <w:tab w:val="left" w:pos="720" w:leader="none"/>
          <w:tab w:val="left" w:pos="1080" w:leader="none"/>
        </w:tabs>
        <w:rPr/>
      </w:pPr>
      <w:r>
        <w:rPr/>
        <w:t>Certificate revocation;</w:t>
      </w:r>
    </w:p>
    <w:p>
      <w:pPr>
        <w:pStyle w:val="ListParagraph"/>
        <w:numPr>
          <w:ilvl w:val="0"/>
          <w:numId w:val="291"/>
        </w:numPr>
        <w:tabs>
          <w:tab w:val="left" w:pos="360" w:leader="none"/>
          <w:tab w:val="left" w:pos="720" w:leader="none"/>
          <w:tab w:val="left" w:pos="1080" w:leader="none"/>
        </w:tabs>
        <w:rPr/>
      </w:pPr>
      <w:r>
        <w:rPr/>
        <w:t>Key management;</w:t>
      </w:r>
    </w:p>
    <w:p>
      <w:pPr>
        <w:pStyle w:val="ListParagraph"/>
        <w:numPr>
          <w:ilvl w:val="0"/>
          <w:numId w:val="291"/>
        </w:numPr>
        <w:tabs>
          <w:tab w:val="left" w:pos="360" w:leader="none"/>
          <w:tab w:val="left" w:pos="720" w:leader="none"/>
          <w:tab w:val="left" w:pos="1080" w:leader="none"/>
        </w:tabs>
        <w:rPr/>
      </w:pPr>
      <w:r>
        <w:rPr/>
        <w:t xml:space="preserve">Publication of Certificate Revocation Lists (CRLs); and </w:t>
      </w:r>
    </w:p>
    <w:p>
      <w:pPr>
        <w:pStyle w:val="ListParagraph"/>
        <w:numPr>
          <w:ilvl w:val="0"/>
          <w:numId w:val="291"/>
        </w:numPr>
        <w:tabs>
          <w:tab w:val="left" w:pos="360" w:leader="none"/>
          <w:tab w:val="left" w:pos="720" w:leader="none"/>
          <w:tab w:val="left" w:pos="1080" w:leader="none"/>
        </w:tabs>
        <w:rPr/>
      </w:pPr>
      <w:r>
        <w:rPr/>
        <w:t>Authority Revocation Lists (ARLs).</w:t>
      </w:r>
    </w:p>
    <w:p>
      <w:pPr>
        <w:pStyle w:val="Normal"/>
        <w:rPr/>
      </w:pPr>
      <w:r>
        <w:rPr/>
      </w:r>
    </w:p>
    <w:p>
      <w:pPr>
        <w:pStyle w:val="Normal"/>
        <w:rPr>
          <w:u w:val="single"/>
        </w:rPr>
      </w:pPr>
      <w:r>
        <w:rPr>
          <w:u w:val="single"/>
        </w:rPr>
        <w:t>Guidelines</w:t>
      </w:r>
      <w:r>
        <w:rPr/>
        <w:t xml:space="preserve">: This standard addresses certificates with visibility external to NFCC systems and does not address certificates related to the internal operations of systems, for example, application-specific time services. </w:t>
      </w:r>
    </w:p>
    <w:p>
      <w:pPr>
        <w:pStyle w:val="Normal"/>
        <w:rPr/>
      </w:pPr>
      <w:r>
        <w:rPr/>
      </w:r>
    </w:p>
    <w:p>
      <w:pPr>
        <w:pStyle w:val="Heading3"/>
        <w:rPr/>
      </w:pPr>
      <w:bookmarkStart w:id="598" w:name="_Toc34920717"/>
      <w:r>
        <w:rPr/>
        <w:t>CRY-08(a): Public Key Infrastructure (PKI) | Availability</w:t>
      </w:r>
      <w:bookmarkEnd w:id="598"/>
      <w:r>
        <w:rPr/>
        <w:t xml:space="preserve"> </w:t>
      </w:r>
    </w:p>
    <w:p>
      <w:pPr>
        <w:pStyle w:val="Normal"/>
        <w:rPr>
          <w:rFonts w:cs="Calibri"/>
        </w:rPr>
      </w:pPr>
      <w:r>
        <w:rPr>
          <w:rFonts w:cs="Calibri"/>
          <w:u w:val="single"/>
        </w:rPr>
        <w:t>Control Objective</w:t>
      </w:r>
      <w:r>
        <w:rPr>
          <w:rFonts w:cs="Calibri"/>
        </w:rPr>
        <w:t>:</w:t>
      </w:r>
      <w:r>
        <w:rPr>
          <w:rFonts w:cs="Calibri"/>
          <w:bCs w:val="false"/>
        </w:rPr>
        <w:t xml:space="preserve"> </w:t>
      </w:r>
      <w:r>
        <w:rPr>
          <w:rFonts w:cs="Calibri"/>
        </w:rPr>
        <w:t>The organization maintains availability of information in the event of the loss of cryptographic keys by users.</w:t>
      </w:r>
      <w:r>
        <w:rPr>
          <w:rStyle w:val="FootnoteCharacters"/>
          <w:rFonts w:cs="Calibri"/>
          <w:bCs w:val="false"/>
        </w:rPr>
        <w:t xml:space="preserve"> </w:t>
      </w:r>
      <w:r>
        <w:rPr>
          <w:rStyle w:val="FootnoteAnchor"/>
          <w:rStyle w:val="FootnoteAnchor"/>
          <w:rFonts w:cs="Calibri"/>
          <w:bCs w:val="false"/>
        </w:rPr>
        <w:footnoteReference w:id="198"/>
      </w:r>
    </w:p>
    <w:p>
      <w:pPr>
        <w:pStyle w:val="Normal"/>
        <w:rPr>
          <w:rFonts w:cs="Calibri"/>
          <w:bCs w:val="false"/>
          <w:u w:val="single"/>
        </w:rPr>
      </w:pPr>
      <w:r>
        <w:rPr>
          <w:rFonts w:cs="Calibri"/>
          <w:bCs w:val="false"/>
          <w:u w:val="single"/>
        </w:rPr>
      </w:r>
    </w:p>
    <w:p>
      <w:pPr>
        <w:pStyle w:val="Normal"/>
        <w:rPr>
          <w:rFonts w:cs="Calibri"/>
        </w:rPr>
      </w:pPr>
      <w:r>
        <w:rPr>
          <w:rFonts w:cs="Calibri"/>
          <w:u w:val="single"/>
        </w:rPr>
        <w:t>Standard</w:t>
      </w:r>
      <w:r>
        <w:rPr>
          <w:rFonts w:cs="Calibri"/>
        </w:rPr>
        <w:t>: NFCC requires Public Key Infrastructure (PKI) administration processes to implement industry-leading secure practices to:</w:t>
      </w:r>
    </w:p>
    <w:p>
      <w:pPr>
        <w:pStyle w:val="ListParagraph"/>
        <w:numPr>
          <w:ilvl w:val="0"/>
          <w:numId w:val="642"/>
        </w:numPr>
        <w:rPr>
          <w:rFonts w:cs="Calibri"/>
        </w:rPr>
      </w:pPr>
      <w:r>
        <w:rPr>
          <w:rFonts w:cs="Calibri"/>
        </w:rPr>
        <w:t>Escrow encryption keys to enable the availability of user data in the event of the loss of an individual’s cryptographic key(s);</w:t>
      </w:r>
    </w:p>
    <w:p>
      <w:pPr>
        <w:pStyle w:val="ListParagraph"/>
        <w:numPr>
          <w:ilvl w:val="0"/>
          <w:numId w:val="642"/>
        </w:numPr>
        <w:rPr>
          <w:rFonts w:cs="Calibri"/>
        </w:rPr>
      </w:pPr>
      <w:r>
        <w:rPr>
          <w:rFonts w:cs="Calibri"/>
        </w:rPr>
        <w:t xml:space="preserve">Change cryptographic keys that have reached the end of their cryptoperiod (for example, after a defined period of time has passed and/or after a certain amount of ciphertext has been produced by a given key), as defined by the associated application vendor or key owner and based on industry-recognized secure practices and guidelines; </w:t>
      </w:r>
    </w:p>
    <w:p>
      <w:pPr>
        <w:pStyle w:val="ListParagraph"/>
        <w:numPr>
          <w:ilvl w:val="0"/>
          <w:numId w:val="642"/>
        </w:numPr>
        <w:rPr>
          <w:rFonts w:cs="Calibri"/>
        </w:rPr>
      </w:pPr>
      <w:r>
        <w:rPr>
          <w:rFonts w:cs="Calibri"/>
        </w:rPr>
        <w:t>Retire or replace (e.g., archive, destroy, and/or revoke) keys as deemed necessary when the integrity of the key has been weakened (e.g., departure of an employee with knowledge of a clear-text key) or keys are suspected of being compromised; and</w:t>
      </w:r>
    </w:p>
    <w:p>
      <w:pPr>
        <w:pStyle w:val="ListParagraph"/>
        <w:numPr>
          <w:ilvl w:val="0"/>
          <w:numId w:val="642"/>
        </w:numPr>
        <w:rPr>
          <w:rFonts w:cs="Calibri"/>
        </w:rPr>
      </w:pPr>
      <w:r>
        <w:rPr>
          <w:rFonts w:cs="Calibri"/>
        </w:rPr>
        <w:t xml:space="preserve">Use archived cryptographic keys only for decryption/verification purposes. </w:t>
      </w:r>
    </w:p>
    <w:p>
      <w:pPr>
        <w:pStyle w:val="Normal"/>
        <w:rPr>
          <w:rFonts w:cs="Calibri"/>
        </w:rPr>
      </w:pPr>
      <w:r>
        <w:rPr>
          <w:rFonts w:cs="Calibri"/>
        </w:rPr>
      </w:r>
    </w:p>
    <w:p>
      <w:pPr>
        <w:pStyle w:val="Normal"/>
        <w:rPr>
          <w:rFonts w:cs="Calibri"/>
        </w:rPr>
      </w:pPr>
      <w:r>
        <w:rPr>
          <w:rFonts w:cs="Calibri"/>
          <w:u w:val="single"/>
        </w:rPr>
        <w:t>Guidelines</w:t>
      </w:r>
      <w:r>
        <w:rPr>
          <w:rFonts w:cs="Calibri"/>
        </w:rPr>
        <w:t>: Escrowing of encryption keys is a common practice for ensuring availability in the event of loss of keys (e.g., due to forgotten passphrase).</w:t>
      </w:r>
    </w:p>
    <w:p>
      <w:pPr>
        <w:pStyle w:val="Normal"/>
        <w:rPr>
          <w:rFonts w:cs="Calibri"/>
        </w:rPr>
      </w:pPr>
      <w:r>
        <w:rPr>
          <w:rFonts w:cs="Calibri"/>
        </w:rPr>
      </w:r>
    </w:p>
    <w:p>
      <w:pPr>
        <w:pStyle w:val="Normal"/>
        <w:rPr>
          <w:rFonts w:cs="Calibri"/>
        </w:rPr>
      </w:pPr>
      <w:r>
        <w:rPr>
          <w:rFonts w:cs="Calibri"/>
        </w:rPr>
        <w:t>National Institute of Science &amp; Technology (NIST) guidance is the authoritative source for selection and implementation of this control based on the security categorization and risk environment of the data and/or system.</w:t>
      </w:r>
      <w:bookmarkStart w:id="599" w:name="_Hlk27579217"/>
      <w:bookmarkEnd w:id="599"/>
    </w:p>
    <w:p>
      <w:pPr>
        <w:pStyle w:val="Normal"/>
        <w:rPr>
          <w:rFonts w:eastAsia="Calibri" w:cs="Calibri"/>
          <w:sz w:val="24"/>
        </w:rPr>
      </w:pPr>
      <w:r>
        <w:rPr>
          <w:rFonts w:eastAsia="Calibri" w:cs="Calibri"/>
          <w:sz w:val="24"/>
        </w:rPr>
      </w:r>
    </w:p>
    <w:p>
      <w:pPr>
        <w:pStyle w:val="Normal"/>
        <w:rPr>
          <w:rFonts w:eastAsia="Calibri" w:cs="Calibri"/>
          <w:sz w:val="24"/>
        </w:rPr>
      </w:pPr>
      <w:r>
        <w:rPr>
          <w:rFonts w:eastAsia="Calibri" w:cs="Calibri"/>
          <w:sz w:val="24"/>
        </w:rPr>
      </w:r>
    </w:p>
    <w:p>
      <w:pPr>
        <w:pStyle w:val="Heading2"/>
        <w:rPr/>
      </w:pPr>
      <w:bookmarkStart w:id="600" w:name="_Toc474074914"/>
      <w:bookmarkStart w:id="601" w:name="_Toc474075592"/>
      <w:bookmarkStart w:id="602" w:name="_Toc34920718"/>
      <w:r>
        <w:rPr/>
        <w:t>CRY-09: Cryptographic Key Management</w:t>
      </w:r>
      <w:bookmarkEnd w:id="600"/>
      <w:bookmarkEnd w:id="601"/>
      <w:bookmarkEnd w:id="602"/>
      <w:r>
        <w:rPr/>
        <w:t xml:space="preserve"> </w:t>
      </w:r>
    </w:p>
    <w:p>
      <w:pPr>
        <w:pStyle w:val="Normal"/>
        <w:rPr/>
      </w:pPr>
      <w:r>
        <w:rPr>
          <w:u w:val="single"/>
        </w:rPr>
        <w:t>Control Objective</w:t>
      </w:r>
      <w:r>
        <w:rPr/>
        <w:t xml:space="preserve">: The organization implements and documents a cryptographic key management strategy to protect keys used to secure sensitive data against disclosure and misuse. </w:t>
      </w:r>
      <w:r>
        <w:rPr>
          <w:rStyle w:val="FootnoteAnchor"/>
          <w:rStyle w:val="FootnoteAnchor"/>
          <w:rFonts w:cs="Calibri"/>
        </w:rPr>
        <w:footnoteReference w:id="199"/>
      </w:r>
    </w:p>
    <w:p>
      <w:pPr>
        <w:pStyle w:val="Normal"/>
        <w:rPr/>
      </w:pPr>
      <w:r>
        <w:rPr/>
      </w:r>
    </w:p>
    <w:p>
      <w:pPr>
        <w:pStyle w:val="Normal"/>
        <w:rPr/>
      </w:pPr>
      <w:r>
        <w:rPr>
          <w:u w:val="single"/>
        </w:rPr>
        <w:t>Standard</w:t>
      </w:r>
      <w:r>
        <w:rPr/>
        <w:t>: Asset custodians are required to implement administrative and technical measures to protect keys used to secure sensitive data against disclosure and misuse, including the following:</w:t>
      </w:r>
      <w:r>
        <w:rPr>
          <w:rStyle w:val="FootnoteCharacters"/>
          <w:rFonts w:cs="Calibri"/>
        </w:rPr>
        <w:t xml:space="preserve"> </w:t>
      </w:r>
    </w:p>
    <w:p>
      <w:pPr>
        <w:pStyle w:val="ListParagraph"/>
        <w:numPr>
          <w:ilvl w:val="0"/>
          <w:numId w:val="292"/>
        </w:numPr>
        <w:rPr/>
      </w:pPr>
      <w:r>
        <w:rPr/>
        <w:t xml:space="preserve">Maintain a documented description of the cryptographic architecture that includes: </w:t>
      </w:r>
    </w:p>
    <w:p>
      <w:pPr>
        <w:pStyle w:val="ListParagraph"/>
        <w:numPr>
          <w:ilvl w:val="0"/>
          <w:numId w:val="292"/>
        </w:numPr>
        <w:rPr/>
      </w:pPr>
      <w:r>
        <w:rPr/>
        <w:t>Details of all algorithms, protocols and keys used for the protection of sensitive data, including key strength and expiry date;</w:t>
      </w:r>
    </w:p>
    <w:p>
      <w:pPr>
        <w:pStyle w:val="ListParagraph"/>
        <w:numPr>
          <w:ilvl w:val="0"/>
          <w:numId w:val="292"/>
        </w:numPr>
        <w:rPr/>
      </w:pPr>
      <w:r>
        <w:rPr/>
        <w:t xml:space="preserve">Description of the key usage for each key; </w:t>
      </w:r>
    </w:p>
    <w:p>
      <w:pPr>
        <w:pStyle w:val="ListParagraph"/>
        <w:numPr>
          <w:ilvl w:val="0"/>
          <w:numId w:val="292"/>
        </w:numPr>
        <w:rPr/>
      </w:pPr>
      <w:r>
        <w:rPr/>
        <w:t>Inventory of any Hardware Security Modules (HSMs) and other Secure Cryptographic Devices (SCDs) used for key management;</w:t>
      </w:r>
    </w:p>
    <w:p>
      <w:pPr>
        <w:pStyle w:val="ListParagraph"/>
        <w:numPr>
          <w:ilvl w:val="0"/>
          <w:numId w:val="292"/>
        </w:numPr>
        <w:rPr/>
      </w:pPr>
      <w:r>
        <w:rPr/>
        <w:t>Cryptographic key access shall be restricted to the fewest number of custodians necessary;</w:t>
      </w:r>
      <w:r>
        <w:rPr>
          <w:rStyle w:val="FootnoteCharacters"/>
          <w:rFonts w:cs="Calibri"/>
        </w:rPr>
        <w:t xml:space="preserve"> </w:t>
      </w:r>
    </w:p>
    <w:p>
      <w:pPr>
        <w:pStyle w:val="ListParagraph"/>
        <w:numPr>
          <w:ilvl w:val="0"/>
          <w:numId w:val="292"/>
        </w:numPr>
        <w:rPr/>
      </w:pPr>
      <w:r>
        <w:rPr/>
        <w:t>Cryptographic keys shall be securely stored at all times using one of the following methods:</w:t>
      </w:r>
      <w:r>
        <w:rPr>
          <w:rStyle w:val="FootnoteCharacters"/>
          <w:rFonts w:cs="Calibri"/>
        </w:rPr>
        <w:t xml:space="preserve"> </w:t>
      </w:r>
    </w:p>
    <w:p>
      <w:pPr>
        <w:pStyle w:val="ListParagraph"/>
        <w:numPr>
          <w:ilvl w:val="1"/>
          <w:numId w:val="292"/>
        </w:numPr>
        <w:rPr/>
      </w:pPr>
      <w:r>
        <w:rPr/>
        <w:t>Encrypted with a key-encrypting key that is at least as strong as the data-encrypting key and that is stored separately from the data encrypting key;</w:t>
      </w:r>
    </w:p>
    <w:p>
      <w:pPr>
        <w:pStyle w:val="ListParagraph"/>
        <w:numPr>
          <w:ilvl w:val="1"/>
          <w:numId w:val="292"/>
        </w:numPr>
        <w:rPr/>
      </w:pPr>
      <w:r>
        <w:rPr/>
        <w:t>Within a secure cryptographic device (such as a host security module (HSM) or PTS-approved point-of-interaction device); or</w:t>
      </w:r>
    </w:p>
    <w:p>
      <w:pPr>
        <w:pStyle w:val="ListParagraph"/>
        <w:numPr>
          <w:ilvl w:val="1"/>
          <w:numId w:val="292"/>
        </w:numPr>
        <w:rPr/>
      </w:pPr>
      <w:r>
        <w:rPr/>
        <w:t xml:space="preserve">As at least two full-length key components or key shares, in accordance with an industry-accepted method; </w:t>
      </w:r>
    </w:p>
    <w:p>
      <w:pPr>
        <w:pStyle w:val="ListParagraph"/>
        <w:numPr>
          <w:ilvl w:val="0"/>
          <w:numId w:val="292"/>
        </w:numPr>
        <w:rPr/>
      </w:pPr>
      <w:r>
        <w:rPr/>
        <w:t>Cryptographic keys must be securely stored in the fewest possible locations and forms;</w:t>
      </w:r>
    </w:p>
    <w:p>
      <w:pPr>
        <w:pStyle w:val="ListParagraph"/>
        <w:numPr>
          <w:ilvl w:val="0"/>
          <w:numId w:val="292"/>
        </w:numPr>
        <w:rPr/>
      </w:pPr>
      <w:r>
        <w:rPr/>
        <w:t>Asset custodians are required to document and implement key management processes and procedures for cryptographic keys used for encryption of sensitive data that includes the following:</w:t>
      </w:r>
      <w:r>
        <w:rPr>
          <w:rStyle w:val="FootnoteCharacters"/>
          <w:rFonts w:cs="Calibri"/>
        </w:rPr>
        <w:t xml:space="preserve"> </w:t>
      </w:r>
    </w:p>
    <w:p>
      <w:pPr>
        <w:pStyle w:val="ListParagraph"/>
        <w:numPr>
          <w:ilvl w:val="0"/>
          <w:numId w:val="292"/>
        </w:numPr>
        <w:rPr/>
      </w:pPr>
      <w:r>
        <w:rPr/>
        <w:t>Procedures for the generation, distribution and storage of keys:</w:t>
      </w:r>
    </w:p>
    <w:p>
      <w:pPr>
        <w:pStyle w:val="ListParagraph"/>
        <w:numPr>
          <w:ilvl w:val="1"/>
          <w:numId w:val="292"/>
        </w:numPr>
        <w:rPr/>
      </w:pPr>
      <w:r>
        <w:rPr/>
        <w:t>Generation of strong cryptographic keys;</w:t>
      </w:r>
      <w:r>
        <w:rPr>
          <w:rStyle w:val="FootnoteCharacters"/>
          <w:rFonts w:cs="Calibri"/>
        </w:rPr>
        <w:t xml:space="preserve"> </w:t>
      </w:r>
    </w:p>
    <w:p>
      <w:pPr>
        <w:pStyle w:val="ListParagraph"/>
        <w:numPr>
          <w:ilvl w:val="1"/>
          <w:numId w:val="292"/>
        </w:numPr>
        <w:rPr/>
      </w:pPr>
      <w:r>
        <w:rPr/>
        <w:t>Prevention of unauthorized substitution of cryptographic keys;</w:t>
      </w:r>
      <w:r>
        <w:rPr>
          <w:rStyle w:val="FootnoteCharacters"/>
          <w:rFonts w:cs="Calibri"/>
        </w:rPr>
        <w:t xml:space="preserve"> </w:t>
      </w:r>
    </w:p>
    <w:p>
      <w:pPr>
        <w:pStyle w:val="ListParagraph"/>
        <w:numPr>
          <w:ilvl w:val="1"/>
          <w:numId w:val="292"/>
        </w:numPr>
        <w:rPr/>
      </w:pPr>
      <w:r>
        <w:rPr/>
        <w:t>Distribution of cryptographic keys using secure methods;</w:t>
      </w:r>
      <w:r>
        <w:rPr>
          <w:rStyle w:val="FootnoteCharacters"/>
          <w:rFonts w:cs="Calibri"/>
        </w:rPr>
        <w:t xml:space="preserve"> </w:t>
      </w:r>
      <w:r>
        <w:rPr/>
        <w:t>and</w:t>
      </w:r>
    </w:p>
    <w:p>
      <w:pPr>
        <w:pStyle w:val="ListParagraph"/>
        <w:numPr>
          <w:ilvl w:val="1"/>
          <w:numId w:val="292"/>
        </w:numPr>
        <w:rPr/>
      </w:pPr>
      <w:r>
        <w:rPr/>
        <w:t>Secure storage of cryptographic keys;</w:t>
      </w:r>
      <w:r>
        <w:rPr>
          <w:rStyle w:val="FootnoteCharacters"/>
          <w:rFonts w:cs="Calibri"/>
        </w:rPr>
        <w:t xml:space="preserve"> </w:t>
      </w:r>
    </w:p>
    <w:p>
      <w:pPr>
        <w:pStyle w:val="ListParagraph"/>
        <w:numPr>
          <w:ilvl w:val="0"/>
          <w:numId w:val="292"/>
        </w:numPr>
        <w:rPr/>
      </w:pPr>
      <w:r>
        <w:rPr/>
        <w:t>Changing cryptographic keys that have reached the end of their cryptoperiod:</w:t>
      </w:r>
      <w:r>
        <w:rPr>
          <w:rStyle w:val="FootnoteCharacters"/>
          <w:rFonts w:cs="Calibri"/>
        </w:rPr>
        <w:t xml:space="preserve"> </w:t>
      </w:r>
    </w:p>
    <w:p>
      <w:pPr>
        <w:pStyle w:val="ListParagraph"/>
        <w:numPr>
          <w:ilvl w:val="1"/>
          <w:numId w:val="292"/>
        </w:numPr>
        <w:rPr/>
      </w:pPr>
      <w:r>
        <w:rPr/>
        <w:t xml:space="preserve">After a defined period of time has passed and / or after a certain amount of cipher-text has been produced by a given key; </w:t>
      </w:r>
    </w:p>
    <w:p>
      <w:pPr>
        <w:pStyle w:val="ListParagraph"/>
        <w:numPr>
          <w:ilvl w:val="1"/>
          <w:numId w:val="292"/>
        </w:numPr>
        <w:rPr/>
      </w:pPr>
      <w:r>
        <w:rPr/>
        <w:t xml:space="preserve">As defined by the associated application vendor or key owner; or </w:t>
      </w:r>
    </w:p>
    <w:p>
      <w:pPr>
        <w:pStyle w:val="ListParagraph"/>
        <w:numPr>
          <w:ilvl w:val="1"/>
          <w:numId w:val="292"/>
        </w:numPr>
        <w:rPr/>
      </w:pPr>
      <w:r>
        <w:rPr/>
        <w:t>Based on industry-recognized leading practices and guidelines (e.g., NIST Special Publication 800-57).</w:t>
      </w:r>
    </w:p>
    <w:p>
      <w:pPr>
        <w:pStyle w:val="ListParagraph"/>
        <w:numPr>
          <w:ilvl w:val="0"/>
          <w:numId w:val="292"/>
        </w:numPr>
        <w:rPr/>
      </w:pPr>
      <w:r>
        <w:rPr/>
        <w:t>Retiring or replacing keys when the integrity of the key has been weakened or the keys are suspected of being compromised:</w:t>
      </w:r>
      <w:r>
        <w:rPr>
          <w:rStyle w:val="FootnoteCharacters"/>
          <w:rFonts w:cs="Calibri"/>
        </w:rPr>
        <w:t xml:space="preserve"> </w:t>
      </w:r>
    </w:p>
    <w:p>
      <w:pPr>
        <w:pStyle w:val="ListParagraph"/>
        <w:numPr>
          <w:ilvl w:val="1"/>
          <w:numId w:val="292"/>
        </w:numPr>
        <w:rPr/>
      </w:pPr>
      <w:r>
        <w:rPr/>
        <w:t>Retiring or replacing may be performed by archiving, destruction and / or revocation of keys.</w:t>
      </w:r>
    </w:p>
    <w:p>
      <w:pPr>
        <w:pStyle w:val="ListParagraph"/>
        <w:numPr>
          <w:ilvl w:val="1"/>
          <w:numId w:val="292"/>
        </w:numPr>
        <w:rPr/>
      </w:pPr>
      <w:r>
        <w:rPr/>
        <w:t>Keys should be considered compromised by the departure of an employee with knowledge of a clear-text key.</w:t>
      </w:r>
    </w:p>
    <w:p>
      <w:pPr>
        <w:pStyle w:val="ListParagraph"/>
        <w:numPr>
          <w:ilvl w:val="0"/>
          <w:numId w:val="292"/>
        </w:numPr>
        <w:rPr/>
      </w:pPr>
      <w:r>
        <w:rPr/>
        <w:t>Split knowledge and dual control, if manual, clear-text cryptographic key management operations are used. If applicable, these operations require procedures that require two or three people, each knowing only their own key component, to reconstruct the whole key;</w:t>
      </w:r>
      <w:r>
        <w:rPr>
          <w:rStyle w:val="FootnoteCharacters"/>
          <w:rFonts w:cs="Calibri"/>
        </w:rPr>
        <w:t xml:space="preserve"> </w:t>
      </w:r>
      <w:r>
        <w:rPr/>
        <w:t>and</w:t>
      </w:r>
    </w:p>
    <w:p>
      <w:pPr>
        <w:pStyle w:val="ListParagraph"/>
        <w:numPr>
          <w:ilvl w:val="0"/>
          <w:numId w:val="292"/>
        </w:numPr>
        <w:rPr/>
      </w:pPr>
      <w:r>
        <w:rPr/>
        <w:t>Requiring cryptographic key custodians to formally acknowledge that they understand and accept their key-custodian responsibilities.</w:t>
      </w:r>
      <w:r>
        <w:rPr>
          <w:rStyle w:val="FootnoteCharacters"/>
          <w:rFonts w:cs="Calibri"/>
        </w:rPr>
        <w:t xml:space="preserve"> </w:t>
      </w:r>
    </w:p>
    <w:p>
      <w:pPr>
        <w:pStyle w:val="ListParagraph"/>
        <w:rPr/>
      </w:pPr>
      <w:r>
        <w:rPr/>
      </w:r>
    </w:p>
    <w:p>
      <w:pPr>
        <w:pStyle w:val="Normal"/>
        <w:rPr/>
      </w:pPr>
      <w:r>
        <w:rPr>
          <w:u w:val="single"/>
        </w:rPr>
        <w:t>Guidelines</w:t>
      </w:r>
      <w:r>
        <w:rPr/>
        <w:t>: This requirement also applies to key-encrypting keys used to protect data-encrypting keys. This requires that key-encrypting keys must be at least as strong as the data-encrypting key.</w:t>
      </w:r>
    </w:p>
    <w:p>
      <w:pPr>
        <w:pStyle w:val="Normal"/>
        <w:rPr/>
      </w:pPr>
      <w:r>
        <w:rPr/>
      </w:r>
    </w:p>
    <w:p>
      <w:pPr>
        <w:pStyle w:val="Normal"/>
        <w:rPr/>
      </w:pPr>
      <w:r>
        <w:rPr/>
        <w:t>The management of cryptographic keys in the service's cryptosystem includes lifecycle management from key generation to revocation and replacement, public key infrastructure, cryptographic protocol design and algorithms used, access controls in place for secure key generation and exchange and storage including segregation of keys used for encrypted data or sessions.</w:t>
      </w:r>
    </w:p>
    <w:p>
      <w:pPr>
        <w:pStyle w:val="Normal"/>
        <w:rPr/>
      </w:pPr>
      <w:r>
        <w:rPr/>
      </w:r>
    </w:p>
    <w:p>
      <w:pPr>
        <w:pStyle w:val="Normal"/>
        <w:rPr/>
      </w:pPr>
      <w:r>
        <w:rPr/>
        <w:t xml:space="preserve">National Institute of Science &amp; Technology (NIST) guidance is the authoritative source for selection and implementation of this control based on the security categorization and risk environment of the data and / or system. Numerous industry standards for key management are available from various resources including NIST, which can be found at </w:t>
      </w:r>
      <w:hyperlink r:id="rId4">
        <w:r>
          <w:rPr>
            <w:rStyle w:val="InternetLink"/>
            <w:rFonts w:cs="Calibri"/>
          </w:rPr>
          <w:t>http://csrc.nist.gov</w:t>
        </w:r>
      </w:hyperlink>
      <w:r>
        <w:rPr/>
        <w:t xml:space="preserve">. </w:t>
      </w:r>
    </w:p>
    <w:p>
      <w:pPr>
        <w:pStyle w:val="Normal"/>
        <w:rPr/>
      </w:pPr>
      <w:r>
        <w:rPr/>
      </w:r>
    </w:p>
    <w:p>
      <w:pPr>
        <w:pStyle w:val="Heading3"/>
        <w:rPr/>
      </w:pPr>
      <w:bookmarkStart w:id="603" w:name="_Toc474074915"/>
      <w:bookmarkStart w:id="604" w:name="_Toc34920719"/>
      <w:r>
        <w:rPr/>
        <w:t>CRY-09(a): Cryptographic Key Management | Symmetric Keys</w:t>
      </w:r>
      <w:bookmarkEnd w:id="603"/>
      <w:bookmarkEnd w:id="604"/>
    </w:p>
    <w:p>
      <w:pPr>
        <w:pStyle w:val="Normal"/>
        <w:rPr/>
      </w:pPr>
      <w:r>
        <w:rPr>
          <w:u w:val="single"/>
        </w:rPr>
        <w:t>Control Objective</w:t>
      </w:r>
      <w:r>
        <w:rPr/>
        <w:t>: The organization produces, controls and distributes symmetric cryptographic keys using NIST FIPS-compliant key management technology and processes.</w:t>
      </w:r>
      <w:r>
        <w:rPr>
          <w:rStyle w:val="FootnoteAnchor"/>
          <w:rStyle w:val="FootnoteAnchor"/>
          <w:rFonts w:cs="Calibri"/>
        </w:rPr>
        <w:footnoteReference w:id="200"/>
      </w:r>
    </w:p>
    <w:p>
      <w:pPr>
        <w:pStyle w:val="Normal"/>
        <w:rPr/>
      </w:pPr>
      <w:r>
        <w:rPr/>
      </w:r>
    </w:p>
    <w:p>
      <w:pPr>
        <w:pStyle w:val="Normal"/>
        <w:rPr/>
      </w:pPr>
      <w:r>
        <w:rPr>
          <w:u w:val="single"/>
        </w:rPr>
        <w:t>Standard</w:t>
      </w:r>
      <w:r>
        <w:rPr/>
        <w:t>: Where technically feasible, NFCC shall produce, control and distribute symmetric cryptographic keys using FIPS-compliant key management technology and processes.</w:t>
      </w:r>
    </w:p>
    <w:p>
      <w:pPr>
        <w:pStyle w:val="Normal"/>
        <w:rPr/>
      </w:pPr>
      <w:r>
        <w:rPr/>
      </w:r>
    </w:p>
    <w:p>
      <w:pPr>
        <w:pStyle w:val="Normal"/>
        <w:rPr/>
      </w:pPr>
      <w:r>
        <w:rPr>
          <w:u w:val="single"/>
        </w:rPr>
        <w:t>Guidelines</w:t>
      </w:r>
      <w:r>
        <w:rPr/>
        <w:t>: None</w:t>
      </w:r>
    </w:p>
    <w:p>
      <w:pPr>
        <w:pStyle w:val="Normal"/>
        <w:rPr/>
      </w:pPr>
      <w:r>
        <w:rPr/>
      </w:r>
    </w:p>
    <w:p>
      <w:pPr>
        <w:pStyle w:val="Heading3"/>
        <w:rPr/>
      </w:pPr>
      <w:bookmarkStart w:id="605" w:name="_Toc474074916"/>
      <w:bookmarkStart w:id="606" w:name="_Toc34920720"/>
      <w:r>
        <w:rPr/>
        <w:t>CRY-09(b): Cryptographic Key Management | Asymmetric Keys</w:t>
      </w:r>
      <w:bookmarkEnd w:id="605"/>
      <w:bookmarkEnd w:id="606"/>
    </w:p>
    <w:p>
      <w:pPr>
        <w:pStyle w:val="Normal"/>
        <w:rPr/>
      </w:pPr>
      <w:r>
        <w:rPr>
          <w:u w:val="single"/>
        </w:rPr>
        <w:t>Control Objective</w:t>
      </w:r>
      <w:r>
        <w:rPr/>
        <w:t>: The organization produces asymmetric cryptographic keys using approved key management technology and utilizes processes that protect the user’s private key.</w:t>
      </w:r>
      <w:r>
        <w:rPr>
          <w:rStyle w:val="FootnoteAnchor"/>
          <w:rStyle w:val="FootnoteAnchor"/>
          <w:rFonts w:cs="Calibri"/>
        </w:rPr>
        <w:footnoteReference w:id="201"/>
      </w:r>
    </w:p>
    <w:p>
      <w:pPr>
        <w:pStyle w:val="Normal"/>
        <w:rPr/>
      </w:pPr>
      <w:r>
        <w:rPr/>
      </w:r>
    </w:p>
    <w:p>
      <w:pPr>
        <w:pStyle w:val="Normal"/>
        <w:rPr/>
      </w:pPr>
      <w:r>
        <w:rPr>
          <w:u w:val="single"/>
        </w:rPr>
        <w:t>Standard</w:t>
      </w:r>
      <w:r>
        <w:rPr/>
        <w:t>: Where technically feasible, NFCC shall produce, control and distribute asymmetric cryptographic keys using approved key management technology and processes that protect the user’s private key.</w:t>
      </w:r>
    </w:p>
    <w:p>
      <w:pPr>
        <w:pStyle w:val="Normal"/>
        <w:rPr/>
      </w:pPr>
      <w:r>
        <w:rPr/>
      </w:r>
    </w:p>
    <w:p>
      <w:pPr>
        <w:pStyle w:val="Normal"/>
        <w:rPr/>
      </w:pPr>
      <w:r>
        <w:rPr>
          <w:u w:val="single"/>
        </w:rPr>
        <w:t>Guidelines</w:t>
      </w:r>
      <w:r>
        <w:rPr/>
        <w:t>: None</w:t>
      </w:r>
    </w:p>
    <w:p>
      <w:pPr>
        <w:pStyle w:val="Normal"/>
        <w:rPr/>
      </w:pPr>
      <w:r>
        <w:rPr/>
      </w:r>
    </w:p>
    <w:p>
      <w:pPr>
        <w:pStyle w:val="Heading3"/>
        <w:rPr/>
      </w:pPr>
      <w:bookmarkStart w:id="607" w:name="_Toc474074917"/>
      <w:bookmarkStart w:id="608" w:name="_Toc34920721"/>
      <w:r>
        <w:rPr/>
        <w:t>CRY-09(c): Cryptographic Key Management | Cryptographic Key Loss or Change</w:t>
      </w:r>
      <w:bookmarkEnd w:id="607"/>
      <w:bookmarkEnd w:id="608"/>
    </w:p>
    <w:p>
      <w:pPr>
        <w:pStyle w:val="Normal"/>
        <w:rPr/>
      </w:pPr>
      <w:r>
        <w:rPr>
          <w:u w:val="single"/>
        </w:rPr>
        <w:t>Control Objective</w:t>
      </w:r>
      <w:r>
        <w:rPr/>
        <w:t>: The organization maintains the availability of information in the event of the loss of cryptographic keys by users.</w:t>
      </w:r>
    </w:p>
    <w:p>
      <w:pPr>
        <w:pStyle w:val="Normal"/>
        <w:rPr/>
      </w:pPr>
      <w:r>
        <w:rPr/>
      </w:r>
    </w:p>
    <w:p>
      <w:pPr>
        <w:pStyle w:val="Normal"/>
        <w:rPr/>
      </w:pPr>
      <w:r>
        <w:rPr>
          <w:u w:val="single"/>
        </w:rPr>
        <w:t>Standard</w:t>
      </w:r>
      <w:r>
        <w:rPr/>
        <w:t>: Asset custodians responsible for Public Key Infrastructure (PKI) are required to:</w:t>
      </w:r>
    </w:p>
    <w:p>
      <w:pPr>
        <w:pStyle w:val="ListParagraph"/>
        <w:numPr>
          <w:ilvl w:val="0"/>
          <w:numId w:val="293"/>
        </w:numPr>
        <w:rPr/>
      </w:pPr>
      <w:r>
        <w:rPr/>
        <w:t xml:space="preserve">Change cryptographic keys that have reached the end of their cryptoperiod (for example, after a defined period of time has passed and / or after a certain amount of ciphertext has been produced by a given key), as defined by the associated application vendor or key owner and based on industry-recognized leading practices and guidelines; </w:t>
      </w:r>
    </w:p>
    <w:p>
      <w:pPr>
        <w:pStyle w:val="ListParagraph"/>
        <w:numPr>
          <w:ilvl w:val="0"/>
          <w:numId w:val="293"/>
        </w:numPr>
        <w:rPr/>
      </w:pPr>
      <w:r>
        <w:rPr/>
        <w:t>Retire or replace (e.g., archive, destroy and / or revoke) keys as deemed necessary when the integrity of the key has been weakened (e.g., departure of an employee with knowledge of a clear-text key) or keys are suspected of being compromised; and</w:t>
      </w:r>
    </w:p>
    <w:p>
      <w:pPr>
        <w:pStyle w:val="ListParagraph"/>
        <w:numPr>
          <w:ilvl w:val="0"/>
          <w:numId w:val="293"/>
        </w:numPr>
        <w:rPr/>
      </w:pPr>
      <w:r>
        <w:rPr/>
        <w:t xml:space="preserve">Use archived cryptographic keys only for decryption / verification purposes. </w:t>
      </w:r>
    </w:p>
    <w:p>
      <w:pPr>
        <w:pStyle w:val="Normal"/>
        <w:rPr/>
      </w:pPr>
      <w:r>
        <w:rPr/>
      </w:r>
    </w:p>
    <w:p>
      <w:pPr>
        <w:pStyle w:val="Normal"/>
        <w:rPr/>
      </w:pPr>
      <w:r>
        <w:rPr>
          <w:u w:val="single"/>
        </w:rPr>
        <w:t>Guidelines</w:t>
      </w:r>
      <w:r>
        <w:rPr/>
        <w:t>: National Institute of Science &amp; Technology (NIST) guidance is the authoritative source for selection and implementation of this control based on the security categorization and risk environment of the data and / or system.</w:t>
      </w:r>
    </w:p>
    <w:p>
      <w:pPr>
        <w:pStyle w:val="Normal"/>
        <w:rPr/>
      </w:pPr>
      <w:r>
        <w:rPr/>
      </w:r>
    </w:p>
    <w:p>
      <w:pPr>
        <w:pStyle w:val="Heading3"/>
        <w:rPr/>
      </w:pPr>
      <w:bookmarkStart w:id="609" w:name="_Toc474074918"/>
      <w:bookmarkStart w:id="610" w:name="_Toc34920722"/>
      <w:r>
        <w:rPr/>
        <w:t>CRY-09(d): Cryptographic Key Management | Control &amp; Distribution of Cryptographic Keys</w:t>
      </w:r>
      <w:bookmarkEnd w:id="609"/>
      <w:bookmarkEnd w:id="610"/>
    </w:p>
    <w:p>
      <w:pPr>
        <w:pStyle w:val="Normal"/>
        <w:rPr/>
      </w:pPr>
      <w:r>
        <w:rPr>
          <w:u w:val="single"/>
        </w:rPr>
        <w:t>Control Objective</w:t>
      </w:r>
      <w:r>
        <w:rPr/>
        <w:t>: The organization controls and distributes symmetric and asymmetric cryptographic keys using organization-approved key management technology and processes.</w:t>
      </w:r>
    </w:p>
    <w:p>
      <w:pPr>
        <w:pStyle w:val="Normal"/>
        <w:rPr/>
      </w:pPr>
      <w:r>
        <w:rPr/>
      </w:r>
    </w:p>
    <w:p>
      <w:pPr>
        <w:pStyle w:val="Normal"/>
        <w:rPr/>
      </w:pPr>
      <w:r>
        <w:rPr>
          <w:u w:val="single"/>
        </w:rPr>
        <w:t>Standard</w:t>
      </w:r>
      <w:r>
        <w:rPr/>
        <w:t>: Asset custodians responsible for Public Key Infrastructure (PKI) are required to:</w:t>
      </w:r>
    </w:p>
    <w:p>
      <w:pPr>
        <w:pStyle w:val="ListParagraph"/>
        <w:numPr>
          <w:ilvl w:val="0"/>
          <w:numId w:val="294"/>
        </w:numPr>
        <w:rPr/>
      </w:pPr>
      <w:r>
        <w:rPr/>
        <w:t xml:space="preserve">Use split knowledge and dual control (e.g., require two or three people, each knowing only their own key component, to reconstruct the whole key) if manual, clear-text cryptographic key management operations are used. Examples of manual key management operations include, but are not limited to: </w:t>
      </w:r>
    </w:p>
    <w:p>
      <w:pPr>
        <w:pStyle w:val="ListParagraph"/>
        <w:numPr>
          <w:ilvl w:val="1"/>
          <w:numId w:val="294"/>
        </w:numPr>
        <w:rPr/>
      </w:pPr>
      <w:r>
        <w:rPr/>
        <w:t>Key generation;</w:t>
      </w:r>
    </w:p>
    <w:p>
      <w:pPr>
        <w:pStyle w:val="ListParagraph"/>
        <w:numPr>
          <w:ilvl w:val="1"/>
          <w:numId w:val="294"/>
        </w:numPr>
        <w:rPr/>
      </w:pPr>
      <w:r>
        <w:rPr/>
        <w:t>Transmission;</w:t>
      </w:r>
    </w:p>
    <w:p>
      <w:pPr>
        <w:pStyle w:val="ListParagraph"/>
        <w:numPr>
          <w:ilvl w:val="1"/>
          <w:numId w:val="294"/>
        </w:numPr>
        <w:rPr/>
      </w:pPr>
      <w:r>
        <w:rPr/>
        <w:t>Loading;</w:t>
      </w:r>
    </w:p>
    <w:p>
      <w:pPr>
        <w:pStyle w:val="ListParagraph"/>
        <w:numPr>
          <w:ilvl w:val="1"/>
          <w:numId w:val="294"/>
        </w:numPr>
        <w:rPr/>
      </w:pPr>
      <w:r>
        <w:rPr/>
        <w:t xml:space="preserve">Storage; and </w:t>
      </w:r>
    </w:p>
    <w:p>
      <w:pPr>
        <w:pStyle w:val="ListParagraph"/>
        <w:numPr>
          <w:ilvl w:val="1"/>
          <w:numId w:val="294"/>
        </w:numPr>
        <w:rPr/>
      </w:pPr>
      <w:r>
        <w:rPr/>
        <w:t xml:space="preserve">Destruction. </w:t>
      </w:r>
    </w:p>
    <w:p>
      <w:pPr>
        <w:pStyle w:val="ListParagraph"/>
        <w:numPr>
          <w:ilvl w:val="0"/>
          <w:numId w:val="294"/>
        </w:numPr>
        <w:rPr/>
      </w:pPr>
      <w:r>
        <w:rPr/>
        <w:t>Prevent the unauthorized substitution of cryptographic keys; and</w:t>
      </w:r>
    </w:p>
    <w:p>
      <w:pPr>
        <w:pStyle w:val="ListParagraph"/>
        <w:numPr>
          <w:ilvl w:val="0"/>
          <w:numId w:val="294"/>
        </w:numPr>
        <w:rPr/>
      </w:pPr>
      <w:r>
        <w:rPr/>
        <w:t xml:space="preserve">Require cryptographic key custodians to formally acknowledge that they understand and accept their key-custodian responsibilities. </w:t>
      </w:r>
    </w:p>
    <w:p>
      <w:pPr>
        <w:pStyle w:val="Normal"/>
        <w:rPr/>
      </w:pPr>
      <w:r>
        <w:rPr/>
      </w:r>
    </w:p>
    <w:p>
      <w:pPr>
        <w:pStyle w:val="Normal"/>
        <w:rPr/>
      </w:pPr>
      <w:r>
        <w:rPr>
          <w:u w:val="single"/>
        </w:rPr>
        <w:t>Guidelines</w:t>
      </w:r>
      <w:r>
        <w:rPr/>
        <w:t>: National Institute of Science &amp; Technology (NIST) guidance is the authoritative source for selection and implementation of this control based on the security categorization and risk environment of the data and / or system.</w:t>
      </w:r>
    </w:p>
    <w:p>
      <w:pPr>
        <w:pStyle w:val="Normal"/>
        <w:rPr/>
      </w:pPr>
      <w:r>
        <w:rPr/>
      </w:r>
    </w:p>
    <w:p>
      <w:pPr>
        <w:pStyle w:val="Heading3"/>
        <w:rPr/>
      </w:pPr>
      <w:bookmarkStart w:id="611" w:name="_Toc474074919"/>
      <w:bookmarkStart w:id="612" w:name="_Toc34920723"/>
      <w:r>
        <w:rPr/>
        <w:t>CRY-09(e): Cryptographic Key Management | Assigned Owners</w:t>
      </w:r>
      <w:bookmarkEnd w:id="611"/>
      <w:bookmarkEnd w:id="612"/>
      <w:r>
        <w:rPr/>
        <w:t xml:space="preserve"> </w:t>
      </w:r>
    </w:p>
    <w:p>
      <w:pPr>
        <w:pStyle w:val="Normal"/>
        <w:rPr/>
      </w:pPr>
      <w:r>
        <w:rPr>
          <w:u w:val="single"/>
        </w:rPr>
        <w:t>Control Objective</w:t>
      </w:r>
      <w:r>
        <w:rPr/>
        <w:t>: The organization binds keys to identities.</w:t>
      </w:r>
    </w:p>
    <w:p>
      <w:pPr>
        <w:pStyle w:val="Normal"/>
        <w:rPr/>
      </w:pPr>
      <w:r>
        <w:rPr/>
      </w:r>
    </w:p>
    <w:p>
      <w:pPr>
        <w:pStyle w:val="Normal"/>
        <w:rPr/>
      </w:pPr>
      <w:r>
        <w:rPr>
          <w:u w:val="single"/>
        </w:rPr>
        <w:t>Standard</w:t>
      </w:r>
      <w:r>
        <w:rPr/>
        <w:t>: Cryptographic keys must have identifiable owners.</w:t>
      </w:r>
    </w:p>
    <w:p>
      <w:pPr>
        <w:pStyle w:val="Normal"/>
        <w:rPr/>
      </w:pPr>
      <w:r>
        <w:rPr/>
      </w:r>
    </w:p>
    <w:p>
      <w:pPr>
        <w:pStyle w:val="Normal"/>
        <w:rPr/>
      </w:pPr>
      <w:r>
        <w:rPr>
          <w:u w:val="single"/>
        </w:rPr>
        <w:t>Guidelines</w:t>
      </w:r>
      <w:r>
        <w:rPr/>
        <w:t xml:space="preserve">: None </w:t>
      </w:r>
    </w:p>
    <w:p>
      <w:pPr>
        <w:pStyle w:val="Normal"/>
        <w:rPr/>
      </w:pPr>
      <w:r>
        <w:rPr/>
      </w:r>
    </w:p>
    <w:p>
      <w:pPr>
        <w:pStyle w:val="Normal"/>
        <w:rPr/>
      </w:pPr>
      <w:r>
        <w:rPr/>
      </w:r>
    </w:p>
    <w:p>
      <w:pPr>
        <w:pStyle w:val="Heading2"/>
        <w:rPr/>
      </w:pPr>
      <w:bookmarkStart w:id="613" w:name="_Toc474074920"/>
      <w:bookmarkStart w:id="614" w:name="_Toc474075593"/>
      <w:bookmarkStart w:id="615" w:name="_Toc34920724"/>
      <w:r>
        <w:rPr/>
        <w:t>CRY-10: Transmission of Security &amp; Privacy Attributes</w:t>
      </w:r>
      <w:bookmarkEnd w:id="613"/>
      <w:bookmarkEnd w:id="614"/>
      <w:bookmarkEnd w:id="615"/>
      <w:r>
        <w:rPr/>
        <w:t xml:space="preserve"> </w:t>
      </w:r>
    </w:p>
    <w:p>
      <w:pPr>
        <w:pStyle w:val="Normal"/>
        <w:rPr/>
      </w:pPr>
      <w:r>
        <w:rPr>
          <w:u w:val="single"/>
        </w:rPr>
        <w:t>Control Objective</w:t>
      </w:r>
      <w:r>
        <w:rPr/>
        <w:t>: Systems associate organization-defined security and privacy attributes with information exchanged between systems and between system components.</w:t>
      </w:r>
      <w:r>
        <w:rPr>
          <w:rStyle w:val="FootnoteAnchor"/>
          <w:rStyle w:val="FootnoteAnchor"/>
        </w:rPr>
        <w:footnoteReference w:id="202"/>
      </w:r>
    </w:p>
    <w:p>
      <w:pPr>
        <w:pStyle w:val="Normal"/>
        <w:rPr/>
      </w:pPr>
      <w:r>
        <w:rPr/>
      </w:r>
    </w:p>
    <w:p>
      <w:pPr>
        <w:pStyle w:val="Normal"/>
        <w:rPr/>
      </w:pPr>
      <w:r>
        <w:rPr>
          <w:u w:val="single"/>
        </w:rPr>
        <w:t>Standard</w:t>
      </w:r>
      <w:r>
        <w:rPr/>
        <w:t>: Where technically feasible and justified by a valid business case, asset custodians and data / process owners are required to implement the capability to associate security and privacy attributes with information exchanged between systems and between system components</w:t>
      </w:r>
    </w:p>
    <w:p>
      <w:pPr>
        <w:pStyle w:val="Normal"/>
        <w:rPr/>
      </w:pPr>
      <w:r>
        <w:rPr/>
      </w:r>
    </w:p>
    <w:p>
      <w:pPr>
        <w:pStyle w:val="Normal"/>
        <w:rPr/>
      </w:pPr>
      <w:r>
        <w:rPr>
          <w:u w:val="single"/>
        </w:rPr>
        <w:t>Guidelines</w:t>
      </w:r>
      <w:r>
        <w:rPr/>
        <w:t>: Security and privacy attributes can be explicitly or implicitly associated with the information contained in systems or system components. Attributes are an abstraction representing the basic properties or characteristics of an entity with respect to safeguarding information or the management of Personal Data (PD). Attributes are typically associated with internal data structures including, for example, records, buffers, files within the information system. Security and privacy attributes are used to implement access control and flow control policies; reflect special dissemination, management, or distribution instructions, including permitted uses of Personal Information; or support other aspects of the information security and privacy policies. Privacy attributes may be used independently, or in conjunction with security attributes.</w:t>
      </w:r>
    </w:p>
    <w:p>
      <w:pPr>
        <w:pStyle w:val="Normal"/>
        <w:rPr/>
      </w:pPr>
      <w:r>
        <w:rPr/>
      </w:r>
    </w:p>
    <w:p>
      <w:pPr>
        <w:pStyle w:val="Normal"/>
        <w:rPr/>
      </w:pPr>
      <w:r>
        <w:rPr/>
      </w:r>
    </w:p>
    <w:p>
      <w:pPr>
        <w:pStyle w:val="Normal"/>
        <w:rPr/>
      </w:pPr>
      <w:r>
        <w:rPr/>
      </w:r>
    </w:p>
    <w:p>
      <w:pPr>
        <w:pStyle w:val="Normal"/>
        <w:rPr/>
      </w:pPr>
      <w:r>
        <w:rPr/>
      </w:r>
    </w:p>
    <w:p>
      <w:pPr>
        <w:pStyle w:val="Normal"/>
        <w:tabs>
          <w:tab w:val="clear" w:pos="360"/>
          <w:tab w:val="clear" w:pos="720"/>
          <w:tab w:val="clear" w:pos="1080"/>
        </w:tabs>
        <w:jc w:val="left"/>
        <w:rPr>
          <w:rFonts w:eastAsia="Calibri" w:cs="Calibri"/>
          <w:b/>
          <w:b/>
          <w:bCs w:val="false"/>
          <w:smallCaps/>
          <w:sz w:val="24"/>
        </w:rPr>
      </w:pPr>
      <w:r>
        <w:rPr>
          <w:rFonts w:eastAsia="Calibri" w:cs="Calibri"/>
          <w:b/>
          <w:bCs w:val="false"/>
          <w:smallCaps/>
          <w:sz w:val="24"/>
        </w:rPr>
      </w:r>
      <w:r>
        <w:br w:type="page"/>
      </w:r>
    </w:p>
    <w:p>
      <w:pPr>
        <w:pStyle w:val="Heading1"/>
        <w:rPr/>
      </w:pPr>
      <w:bookmarkStart w:id="616" w:name="_Toc34920725"/>
      <w:bookmarkStart w:id="617" w:name="_Toc474074921"/>
      <w:bookmarkStart w:id="618" w:name="_Toc474075594"/>
      <w:r>
        <w:rPr/>
        <w:t>Data Classification &amp; Handling (DCH)</w:t>
      </w:r>
      <w:bookmarkEnd w:id="617"/>
      <w:bookmarkEnd w:id="618"/>
      <w:r>
        <w:rPr/>
        <w:t xml:space="preserve"> Policy &amp; Standards</w:t>
      </w:r>
      <w:bookmarkEnd w:id="616"/>
    </w:p>
    <w:p>
      <w:pPr>
        <w:pStyle w:val="Normal"/>
        <w:rPr/>
      </w:pPr>
      <w:r>
        <w:rPr/>
      </w:r>
    </w:p>
    <w:p>
      <w:pPr>
        <w:pStyle w:val="Normal"/>
        <w:rPr/>
      </w:pPr>
      <w:r>
        <w:rPr>
          <w:u w:val="single"/>
        </w:rPr>
        <w:t>Management Intent</w:t>
      </w:r>
      <w:r>
        <w:rPr/>
        <w:t>: The purpose of the Data Classification &amp; Handling (DCH) policy is to ensure that technology assets are properly classified and measures are implemented to protect NFCC’s data from unauthorized disclosure, regardless if it is being transmitted or stored. Applicable statutory, regulatory and contractual compliance obligations dictate the safeguards that must be in place to protect the confidentiality, integrity and availability of data.</w:t>
      </w:r>
    </w:p>
    <w:p>
      <w:pPr>
        <w:pStyle w:val="Normal"/>
        <w:rPr/>
      </w:pPr>
      <w:r>
        <w:rPr/>
      </w:r>
    </w:p>
    <w:p>
      <w:pPr>
        <w:pStyle w:val="Normal"/>
        <w:shd w:val="clear" w:color="auto" w:fill="DDD9C3" w:themeFill="background2" w:themeFillShade="e6"/>
        <w:rPr/>
      </w:pPr>
      <w:r>
        <w:rPr>
          <w:u w:val="single"/>
        </w:rPr>
        <w:t>Policy</w:t>
      </w:r>
      <w:r>
        <w:rPr/>
        <w:t>: In accordance with all applicable legal requirements, NFCC shall protect data in both hardcopy and digital form by limiting access to authorized users and utilize methods of sanitizing or destroying media so that data recovery is technically infeasible.</w:t>
      </w:r>
    </w:p>
    <w:p>
      <w:pPr>
        <w:pStyle w:val="Normal"/>
        <w:rPr/>
      </w:pPr>
      <w:r>
        <w:rPr/>
      </w:r>
    </w:p>
    <w:p>
      <w:pPr>
        <w:pStyle w:val="Normal"/>
        <w:rPr/>
      </w:pPr>
      <w:r>
        <w:rPr>
          <w:u w:val="single"/>
        </w:rPr>
        <w:t>Supporting Documentation</w:t>
      </w:r>
      <w:r>
        <w:rPr/>
        <w:t xml:space="preserve">: This policy is supported by the following control objectives, standards and guidelines. </w:t>
      </w:r>
    </w:p>
    <w:p>
      <w:pPr>
        <w:pStyle w:val="Normal"/>
        <w:rPr/>
      </w:pPr>
      <w:r>
        <w:rPr/>
      </w:r>
    </w:p>
    <w:p>
      <w:pPr>
        <w:pStyle w:val="Normal"/>
        <w:rPr/>
      </w:pPr>
      <w:r>
        <w:rPr/>
      </w:r>
    </w:p>
    <w:p>
      <w:pPr>
        <w:pStyle w:val="Heading2"/>
        <w:rPr/>
      </w:pPr>
      <w:bookmarkStart w:id="619" w:name="_Toc474074922"/>
      <w:bookmarkStart w:id="620" w:name="_Toc474075595"/>
      <w:bookmarkStart w:id="621" w:name="_Toc34920726"/>
      <w:r>
        <w:rPr/>
        <w:t>DCH-01: Data Protection</w:t>
      </w:r>
      <w:bookmarkEnd w:id="619"/>
      <w:bookmarkEnd w:id="620"/>
      <w:bookmarkEnd w:id="621"/>
      <w:r>
        <w:rPr/>
        <w:t xml:space="preserve"> </w:t>
      </w:r>
    </w:p>
    <w:p>
      <w:pPr>
        <w:pStyle w:val="Normal"/>
        <w:tabs>
          <w:tab w:val="clear" w:pos="360"/>
          <w:tab w:val="clear" w:pos="720"/>
          <w:tab w:val="clear" w:pos="1080"/>
        </w:tabs>
        <w:rPr/>
      </w:pPr>
      <w:r>
        <w:rPr>
          <w:u w:val="single"/>
        </w:rPr>
        <w:t>Control Objective</w:t>
      </w:r>
      <w:r>
        <w:rPr/>
        <w:t>: The organization develops, implements and governs processes and documentation to facilitate the implementation of an enterprise-wide data protection policy, as well as associated standards, controls and procedures.</w:t>
      </w:r>
      <w:r>
        <w:rPr>
          <w:rStyle w:val="FootnoteCharacters"/>
        </w:rPr>
        <w:t xml:space="preserve"> </w:t>
      </w:r>
      <w:r>
        <w:rPr>
          <w:rStyle w:val="FootnoteAnchor"/>
          <w:rStyle w:val="FootnoteAnchor"/>
        </w:rPr>
        <w:footnoteReference w:id="203"/>
      </w:r>
    </w:p>
    <w:p>
      <w:pPr>
        <w:pStyle w:val="Normal"/>
        <w:rPr/>
      </w:pPr>
      <w:r>
        <w:rPr>
          <w:rStyle w:val="FootnoteCharacters"/>
          <w:rFonts w:cs="Calibri"/>
        </w:rPr>
        <w:t xml:space="preserve"> </w:t>
      </w:r>
    </w:p>
    <w:p>
      <w:pPr>
        <w:pStyle w:val="Normal"/>
        <w:rPr/>
      </w:pPr>
      <w:r>
        <w:rPr>
          <w:u w:val="single"/>
        </w:rPr>
        <w:t>Standard</w:t>
      </w:r>
      <w:r>
        <w:rPr/>
        <w:t xml:space="preserve">: Data/process owners and asset custodians must: </w:t>
      </w:r>
    </w:p>
    <w:p>
      <w:pPr>
        <w:pStyle w:val="ListParagraph"/>
        <w:numPr>
          <w:ilvl w:val="0"/>
          <w:numId w:val="590"/>
        </w:numPr>
        <w:rPr/>
      </w:pPr>
      <w:r>
        <w:rPr/>
        <w:t>In accordance with all applicable statutory, regulatory and contractual compliance obligations, implement and govern controls to protect NFCC data wherever it is stored, transmitted and processed;</w:t>
      </w:r>
    </w:p>
    <w:p>
      <w:pPr>
        <w:pStyle w:val="ListParagraph"/>
        <w:numPr>
          <w:ilvl w:val="0"/>
          <w:numId w:val="590"/>
        </w:numPr>
        <w:rPr/>
      </w:pPr>
      <w:r>
        <w:rPr/>
        <w:t xml:space="preserve">Define retention periods for both sensitive and non-sensitive data; </w:t>
      </w:r>
    </w:p>
    <w:p>
      <w:pPr>
        <w:pStyle w:val="ListParagraph"/>
        <w:numPr>
          <w:ilvl w:val="0"/>
          <w:numId w:val="590"/>
        </w:numPr>
        <w:rPr/>
      </w:pPr>
      <w:r>
        <w:rPr/>
        <w:t>Dispose of, destroy, erase and / or anonymizes data once it is no longer necessary for business purposes;</w:t>
      </w:r>
    </w:p>
    <w:p>
      <w:pPr>
        <w:pStyle w:val="ListParagraph"/>
        <w:numPr>
          <w:ilvl w:val="0"/>
          <w:numId w:val="590"/>
        </w:numPr>
        <w:rPr/>
      </w:pPr>
      <w:r>
        <w:rPr/>
        <w:t>Maintain strict control over the storage and accessibility of media; and</w:t>
      </w:r>
    </w:p>
    <w:p>
      <w:pPr>
        <w:pStyle w:val="ListParagraph"/>
        <w:numPr>
          <w:ilvl w:val="0"/>
          <w:numId w:val="590"/>
        </w:numPr>
        <w:rPr/>
      </w:pPr>
      <w:r>
        <w:rPr/>
        <w:t>Maintain inventories of sensitive data under their control.</w:t>
      </w:r>
    </w:p>
    <w:p>
      <w:pPr>
        <w:pStyle w:val="Normal"/>
        <w:rPr/>
      </w:pPr>
      <w:r>
        <w:rPr/>
      </w:r>
    </w:p>
    <w:p>
      <w:pPr>
        <w:pStyle w:val="Normal"/>
        <w:rPr/>
      </w:pPr>
      <w:r>
        <w:rPr>
          <w:u w:val="single"/>
        </w:rPr>
        <w:t>Guidelines</w:t>
      </w:r>
      <w:r>
        <w:rPr/>
        <w:t xml:space="preserve">: The objective is to ensure that information receives an appropriate level of protection in accordance with its importance to the organization. Without careful inventory methods and storage controls, stolen or missing media could go unnoticed for an indefinite amount of time. </w:t>
      </w:r>
    </w:p>
    <w:p>
      <w:pPr>
        <w:pStyle w:val="Normal"/>
        <w:rPr/>
      </w:pPr>
      <w:r>
        <w:rPr/>
      </w:r>
    </w:p>
    <w:p>
      <w:pPr>
        <w:pStyle w:val="Heading3"/>
        <w:rPr/>
      </w:pPr>
      <w:bookmarkStart w:id="622" w:name="_Toc474074923"/>
      <w:bookmarkStart w:id="623" w:name="_Toc34920727"/>
      <w:r>
        <w:rPr/>
        <w:t>DCH-01(a): Data Protection | Data Stewardship</w:t>
      </w:r>
      <w:bookmarkEnd w:id="622"/>
      <w:bookmarkEnd w:id="623"/>
      <w:r>
        <w:rPr/>
        <w:t xml:space="preserve"> </w:t>
      </w:r>
    </w:p>
    <w:p>
      <w:pPr>
        <w:pStyle w:val="Normal"/>
        <w:rPr/>
      </w:pPr>
      <w:r>
        <w:rPr>
          <w:u w:val="single"/>
        </w:rPr>
        <w:t>Control Objective</w:t>
      </w:r>
      <w:r>
        <w:rPr/>
        <w:t>: The organization designates data with individual stewardship by assigned responsibilities that are defined, documented and communicated.</w:t>
      </w:r>
    </w:p>
    <w:p>
      <w:pPr>
        <w:pStyle w:val="Normal"/>
        <w:rPr/>
      </w:pPr>
      <w:r>
        <w:rPr/>
      </w:r>
    </w:p>
    <w:p>
      <w:pPr>
        <w:pStyle w:val="Normal"/>
        <w:rPr/>
      </w:pPr>
      <w:r>
        <w:rPr>
          <w:u w:val="single"/>
        </w:rPr>
        <w:t>Standard</w:t>
      </w:r>
      <w:r>
        <w:rPr/>
        <w:t xml:space="preserve">: At least annually, data / process owner is required to assess the following criteria, as it pertains to their data and / or processes: </w:t>
      </w:r>
    </w:p>
    <w:p>
      <w:pPr>
        <w:pStyle w:val="ListParagraph"/>
        <w:numPr>
          <w:ilvl w:val="0"/>
          <w:numId w:val="295"/>
        </w:numPr>
        <w:rPr/>
      </w:pPr>
      <w:r>
        <w:rPr/>
        <w:t>Data classification requirements;</w:t>
      </w:r>
    </w:p>
    <w:p>
      <w:pPr>
        <w:pStyle w:val="ListParagraph"/>
        <w:numPr>
          <w:ilvl w:val="0"/>
          <w:numId w:val="295"/>
        </w:numPr>
        <w:rPr/>
      </w:pPr>
      <w:r>
        <w:rPr/>
        <w:t xml:space="preserve">System criticality; </w:t>
      </w:r>
    </w:p>
    <w:p>
      <w:pPr>
        <w:pStyle w:val="ListParagraph"/>
        <w:numPr>
          <w:ilvl w:val="0"/>
          <w:numId w:val="295"/>
        </w:numPr>
        <w:rPr/>
      </w:pPr>
      <w:r>
        <w:rPr/>
        <w:t>Geographical storage and / or processing of the data; and</w:t>
      </w:r>
    </w:p>
    <w:p>
      <w:pPr>
        <w:pStyle w:val="ListParagraph"/>
        <w:numPr>
          <w:ilvl w:val="0"/>
          <w:numId w:val="295"/>
        </w:numPr>
        <w:rPr/>
      </w:pPr>
      <w:r>
        <w:rPr/>
        <w:t xml:space="preserve">Applicable statutory, regulatory and contractual requirements. </w:t>
      </w:r>
    </w:p>
    <w:p>
      <w:pPr>
        <w:pStyle w:val="Normal"/>
        <w:rPr/>
      </w:pPr>
      <w:r>
        <w:rPr/>
      </w:r>
    </w:p>
    <w:p>
      <w:pPr>
        <w:pStyle w:val="Normal"/>
        <w:rPr/>
      </w:pPr>
      <w:r>
        <w:rPr>
          <w:u w:val="single"/>
        </w:rPr>
        <w:t>Guidelines</w:t>
      </w:r>
      <w:r>
        <w:rPr/>
        <w:t>: A complete inventory of business-critical assets located at all sites and / or geographical locations and their usage over time should be maintained and updated regularly and assigned ownership by defined roles and responsibilities.</w:t>
      </w:r>
    </w:p>
    <w:p>
      <w:pPr>
        <w:pStyle w:val="Normal"/>
        <w:rPr/>
      </w:pPr>
      <w:r>
        <w:rPr/>
      </w:r>
    </w:p>
    <w:p>
      <w:pPr>
        <w:pStyle w:val="Normal"/>
        <w:tabs>
          <w:tab w:val="clear" w:pos="360"/>
          <w:tab w:val="clear" w:pos="720"/>
          <w:tab w:val="clear" w:pos="1080"/>
        </w:tabs>
        <w:jc w:val="left"/>
        <w:rPr/>
      </w:pPr>
      <w:r>
        <w:rPr/>
      </w:r>
    </w:p>
    <w:p>
      <w:pPr>
        <w:pStyle w:val="Heading2"/>
        <w:rPr/>
      </w:pPr>
      <w:bookmarkStart w:id="624" w:name="_Toc34920728"/>
      <w:bookmarkStart w:id="625" w:name="_Toc474074924"/>
      <w:bookmarkStart w:id="626" w:name="_Toc474075596"/>
      <w:r>
        <w:rPr/>
        <w:t>DCH-02: Data &amp; Asset Classification</w:t>
      </w:r>
      <w:bookmarkEnd w:id="624"/>
      <w:bookmarkEnd w:id="625"/>
      <w:bookmarkEnd w:id="626"/>
      <w:r>
        <w:rPr/>
        <w:t xml:space="preserve"> </w:t>
      </w:r>
    </w:p>
    <w:p>
      <w:pPr>
        <w:pStyle w:val="Normal"/>
        <w:rPr/>
      </w:pPr>
      <w:r>
        <w:rPr>
          <w:u w:val="single"/>
        </w:rPr>
        <w:t>Control Objective</w:t>
      </w:r>
      <w:r>
        <w:rPr/>
        <w:t>: The organization:</w:t>
      </w:r>
      <w:r>
        <w:rPr>
          <w:rStyle w:val="FootnoteCharacters"/>
          <w:rFonts w:cs="Calibri"/>
        </w:rPr>
        <w:t xml:space="preserve"> </w:t>
      </w:r>
      <w:r>
        <w:rPr>
          <w:rStyle w:val="FootnoteAnchor"/>
          <w:rStyle w:val="FootnoteAnchor"/>
          <w:rFonts w:cs="Calibri"/>
        </w:rPr>
        <w:footnoteReference w:id="204"/>
      </w:r>
      <w:r>
        <w:rPr>
          <w:rFonts w:cs="Calibri"/>
        </w:rPr>
        <w:t xml:space="preserve"> </w:t>
      </w:r>
    </w:p>
    <w:p>
      <w:pPr>
        <w:pStyle w:val="ListParagraph"/>
        <w:numPr>
          <w:ilvl w:val="0"/>
          <w:numId w:val="192"/>
        </w:numPr>
        <w:rPr/>
      </w:pPr>
      <w:r>
        <w:rPr/>
        <w:t>Categorizes systems and data in accordance with applicable local, state and Federal laws;</w:t>
      </w:r>
    </w:p>
    <w:p>
      <w:pPr>
        <w:pStyle w:val="ListParagraph"/>
        <w:numPr>
          <w:ilvl w:val="0"/>
          <w:numId w:val="192"/>
        </w:numPr>
        <w:rPr/>
      </w:pPr>
      <w:r>
        <w:rPr/>
        <w:t>Documents the security categorization results (including supporting rationale) in the security plan for systems; and</w:t>
      </w:r>
    </w:p>
    <w:p>
      <w:pPr>
        <w:pStyle w:val="ListParagraph"/>
        <w:numPr>
          <w:ilvl w:val="0"/>
          <w:numId w:val="192"/>
        </w:numPr>
        <w:rPr/>
      </w:pPr>
      <w:r>
        <w:rPr/>
        <w:t>Ensures the security categorization decision is reviewed and approved by the asset owner.</w:t>
      </w:r>
    </w:p>
    <w:p>
      <w:pPr>
        <w:pStyle w:val="Normal"/>
        <w:rPr/>
      </w:pPr>
      <w:r>
        <w:rPr/>
      </w:r>
    </w:p>
    <w:p>
      <w:pPr>
        <w:pStyle w:val="Normal"/>
        <w:rPr>
          <w:rFonts w:cs="Calibri"/>
        </w:rPr>
      </w:pPr>
      <w:r>
        <w:rPr>
          <w:rFonts w:cs="Calibri"/>
          <w:u w:val="single"/>
        </w:rPr>
        <w:t>Standard</w:t>
      </w:r>
      <w:r>
        <w:rPr>
          <w:rFonts w:cs="Calibri"/>
        </w:rPr>
        <w:t xml:space="preserve">: </w:t>
      </w:r>
      <w:r>
        <w:rPr/>
        <w:t>Assets must be classified in terms of s</w:t>
      </w:r>
      <w:r>
        <w:rPr>
          <w:rFonts w:cs="Calibri"/>
        </w:rPr>
        <w:t xml:space="preserve">ystem criticality and data sensitivity (see </w:t>
      </w:r>
      <w:r>
        <w:rPr>
          <w:i/>
          <w:u w:val="single"/>
        </w:rPr>
        <w:t>Annex 4: Baseline Security Categorization Guidelines</w:t>
      </w:r>
      <w:r>
        <w:rPr>
          <w:rFonts w:cs="Calibri"/>
        </w:rPr>
        <w:t>). Data/process owners and asset custodians are required to:</w:t>
      </w:r>
      <w:r>
        <w:rPr>
          <w:rStyle w:val="FootnoteCharacters"/>
          <w:rFonts w:cs="Calibri"/>
        </w:rPr>
        <w:t xml:space="preserve"> </w:t>
      </w:r>
    </w:p>
    <w:p>
      <w:pPr>
        <w:pStyle w:val="ListParagraph"/>
        <w:numPr>
          <w:ilvl w:val="0"/>
          <w:numId w:val="193"/>
        </w:numPr>
        <w:rPr/>
      </w:pPr>
      <w:r>
        <w:rPr/>
        <w:t>Categorize the system and data; and</w:t>
      </w:r>
    </w:p>
    <w:p>
      <w:pPr>
        <w:pStyle w:val="ListParagraph"/>
        <w:numPr>
          <w:ilvl w:val="0"/>
          <w:numId w:val="193"/>
        </w:numPr>
        <w:rPr/>
      </w:pPr>
      <w:r>
        <w:rPr/>
        <w:t>Where applicable, document the security categorization results (including supporting rationale) for the system.</w:t>
      </w:r>
    </w:p>
    <w:p>
      <w:pPr>
        <w:pStyle w:val="Normal"/>
        <w:rPr/>
      </w:pPr>
      <w:r>
        <w:rPr/>
      </w:r>
    </w:p>
    <w:p>
      <w:pPr>
        <w:pStyle w:val="Normal"/>
        <w:rPr/>
      </w:pPr>
      <w:r>
        <w:rPr>
          <w:u w:val="single"/>
        </w:rPr>
        <w:t>Guidelines</w:t>
      </w:r>
      <w:r>
        <w:rPr/>
        <w:t xml:space="preserve">: Clearly defined authorization boundaries are a prerequisite for effective security categorization decisions. Security categories describe the potential adverse impacts on organizational operations, organizational assets and individuals if organizational information and systems are comprised through a loss of confidentiality, integrity or availability. Security categorization processes carried out by business units, facilitates the development of inventories of information assets mappings to specific system components where information is processed, stored or transmitted. </w:t>
      </w:r>
    </w:p>
    <w:p>
      <w:pPr>
        <w:pStyle w:val="Normal"/>
        <w:rPr/>
      </w:pPr>
      <w:r>
        <w:rPr/>
      </w:r>
    </w:p>
    <w:p>
      <w:pPr>
        <w:pStyle w:val="Normal"/>
        <w:rPr/>
      </w:pPr>
      <w:r>
        <w:rPr/>
      </w:r>
    </w:p>
    <w:p>
      <w:pPr>
        <w:pStyle w:val="Heading2"/>
        <w:rPr/>
      </w:pPr>
      <w:bookmarkStart w:id="627" w:name="_Toc474074925"/>
      <w:bookmarkStart w:id="628" w:name="_Toc474075597"/>
      <w:bookmarkStart w:id="629" w:name="_Toc34920729"/>
      <w:r>
        <w:rPr/>
        <w:t>DCH-03: Media Access</w:t>
      </w:r>
      <w:bookmarkEnd w:id="627"/>
      <w:bookmarkEnd w:id="628"/>
      <w:bookmarkEnd w:id="629"/>
      <w:r>
        <w:rPr/>
        <w:t xml:space="preserve"> </w:t>
      </w:r>
    </w:p>
    <w:p>
      <w:pPr>
        <w:pStyle w:val="Normal"/>
        <w:rPr/>
      </w:pPr>
      <w:r>
        <w:rPr>
          <w:u w:val="single"/>
        </w:rPr>
        <w:t>Control Objective</w:t>
      </w:r>
      <w:r>
        <w:rPr/>
        <w:t>: The organization restricts access to types of digital and non-digital media to authorized individuals using organization-defined security measures.</w:t>
      </w:r>
      <w:r>
        <w:rPr>
          <w:rStyle w:val="FootnoteAnchor"/>
          <w:rStyle w:val="FootnoteAnchor"/>
          <w:rFonts w:cs="Calibri"/>
        </w:rPr>
        <w:footnoteReference w:id="205"/>
      </w:r>
      <w:r>
        <w:rPr/>
        <w:t xml:space="preserve"> </w:t>
      </w:r>
    </w:p>
    <w:p>
      <w:pPr>
        <w:pStyle w:val="Normal"/>
        <w:rPr/>
      </w:pPr>
      <w:r>
        <w:rPr/>
      </w:r>
    </w:p>
    <w:p>
      <w:pPr>
        <w:pStyle w:val="Normal"/>
        <w:rPr/>
      </w:pPr>
      <w:r>
        <w:rPr>
          <w:u w:val="single"/>
        </w:rPr>
        <w:t>Standard</w:t>
      </w:r>
      <w:r>
        <w:rPr/>
        <w:t xml:space="preserve">: Data/process owners and asset custodians are required to restrict access to </w:t>
      </w:r>
      <w:r>
        <w:rPr>
          <w:iCs/>
        </w:rPr>
        <w:t>digital and non-digital media to</w:t>
      </w:r>
      <w:r>
        <w:rPr/>
        <w:t xml:space="preserve"> </w:t>
      </w:r>
      <w:r>
        <w:rPr>
          <w:iCs/>
        </w:rPr>
        <w:t>authorized individuals</w:t>
      </w:r>
      <w:r>
        <w:rPr/>
        <w:t>.</w:t>
      </w:r>
    </w:p>
    <w:p>
      <w:pPr>
        <w:pStyle w:val="Normal"/>
        <w:rPr/>
      </w:pPr>
      <w:r>
        <w:rPr/>
      </w:r>
    </w:p>
    <w:p>
      <w:pPr>
        <w:pStyle w:val="Normal"/>
        <w:rPr/>
      </w:pPr>
      <w:r>
        <w:rPr>
          <w:u w:val="single"/>
        </w:rPr>
        <w:t>Guidelines</w:t>
      </w:r>
      <w:r>
        <w:rPr/>
        <w:t xml:space="preserve">: System media includes both digital and non-digital media. Digital media includes, for example, diskettes, magnetic tapes, external / removable hard drives, flash drives, compact disks and digital video disks. Non-digital media includes, for example, paper and microfilm. For media containing information determined by organizations to be in the public domain, to be publicly releasable or to have limited or no adverse impact on organizations or individuals if accessed by other than authorized personnel, fewer safeguards may be needed. In these situations, physical access controls may provide adequate protection. </w:t>
      </w:r>
    </w:p>
    <w:p>
      <w:pPr>
        <w:pStyle w:val="Normal"/>
        <w:rPr/>
      </w:pPr>
      <w:r>
        <w:rPr/>
      </w:r>
    </w:p>
    <w:p>
      <w:pPr>
        <w:pStyle w:val="Heading3"/>
        <w:rPr/>
      </w:pPr>
      <w:bookmarkStart w:id="630" w:name="_Toc474074927"/>
      <w:bookmarkStart w:id="631" w:name="_Toc34920730"/>
      <w:r>
        <w:rPr/>
        <w:t>DCH-03(a): Media Access | Disclosure of Information</w:t>
      </w:r>
      <w:bookmarkEnd w:id="630"/>
      <w:bookmarkEnd w:id="631"/>
    </w:p>
    <w:p>
      <w:pPr>
        <w:pStyle w:val="Normal"/>
        <w:rPr>
          <w:rFonts w:cs="Calibri"/>
        </w:rPr>
      </w:pPr>
      <w:r>
        <w:rPr>
          <w:rFonts w:cs="Calibri"/>
          <w:u w:val="single"/>
        </w:rPr>
        <w:t>Control Objective</w:t>
      </w:r>
      <w:r>
        <w:rPr>
          <w:rFonts w:cs="Calibri"/>
        </w:rPr>
        <w:t xml:space="preserve">: The organization </w:t>
      </w:r>
      <w:r>
        <w:rPr/>
        <w:t>limits the disclosure of information to authorized parties.</w:t>
      </w:r>
      <w:r>
        <w:rPr>
          <w:rStyle w:val="FootnoteCharacters"/>
          <w:rFonts w:cs="Calibri"/>
        </w:rPr>
        <w:t xml:space="preserve"> </w:t>
      </w:r>
    </w:p>
    <w:p>
      <w:pPr>
        <w:pStyle w:val="Normal"/>
        <w:rPr/>
      </w:pPr>
      <w:r>
        <w:rPr/>
      </w:r>
    </w:p>
    <w:p>
      <w:pPr>
        <w:pStyle w:val="Normal"/>
        <w:rPr/>
      </w:pPr>
      <w:r>
        <w:rPr>
          <w:u w:val="single"/>
        </w:rPr>
        <w:t>Standard</w:t>
      </w:r>
      <w:r>
        <w:rPr/>
        <w:t>: NFCC personnel, including NFCC subcontractors, are prohibited from releasing any information, regardless of medium (e.g., voice, email, film, tape, document, etc.), pertaining to any part of a contract, project or program to anyone outside of NFCC. The only exceptions are if:</w:t>
      </w:r>
    </w:p>
    <w:p>
      <w:pPr>
        <w:pStyle w:val="ListParagraph"/>
        <w:numPr>
          <w:ilvl w:val="0"/>
          <w:numId w:val="296"/>
        </w:numPr>
        <w:rPr/>
      </w:pPr>
      <w:r>
        <w:rPr/>
        <w:t>The project’s contracting officer has given prior written approval; or</w:t>
      </w:r>
    </w:p>
    <w:p>
      <w:pPr>
        <w:pStyle w:val="ListParagraph"/>
        <w:numPr>
          <w:ilvl w:val="0"/>
          <w:numId w:val="296"/>
        </w:numPr>
        <w:rPr>
          <w:u w:val="single"/>
        </w:rPr>
      </w:pPr>
      <w:r>
        <w:rPr/>
        <w:t>The information is otherwise in the public domain before the date of release.</w:t>
      </w:r>
    </w:p>
    <w:p>
      <w:pPr>
        <w:pStyle w:val="Normal"/>
        <w:rPr/>
      </w:pPr>
      <w:r>
        <w:rPr/>
      </w:r>
    </w:p>
    <w:p>
      <w:pPr>
        <w:pStyle w:val="Normal"/>
        <w:rPr/>
      </w:pPr>
      <w:r>
        <w:rPr>
          <w:u w:val="single"/>
        </w:rPr>
        <w:t>Guidelines</w:t>
      </w:r>
      <w:r>
        <w:rPr/>
        <w:t>: None</w:t>
      </w:r>
    </w:p>
    <w:p>
      <w:pPr>
        <w:pStyle w:val="Normal"/>
        <w:rPr/>
      </w:pPr>
      <w:r>
        <w:rPr/>
      </w:r>
    </w:p>
    <w:p>
      <w:pPr>
        <w:pStyle w:val="Heading3"/>
        <w:rPr/>
      </w:pPr>
      <w:bookmarkStart w:id="632" w:name="_Toc474074928"/>
      <w:bookmarkStart w:id="633" w:name="_Toc34920731"/>
      <w:r>
        <w:rPr/>
        <w:t>DCH-03(b): Media Access | Masking Displayed Data</w:t>
      </w:r>
      <w:bookmarkEnd w:id="632"/>
      <w:bookmarkEnd w:id="633"/>
    </w:p>
    <w:p>
      <w:pPr>
        <w:pStyle w:val="Normal"/>
        <w:rPr/>
      </w:pPr>
      <w:r>
        <w:rPr>
          <w:u w:val="single"/>
        </w:rPr>
        <w:t>Control Objective</w:t>
      </w:r>
      <w:r>
        <w:rPr/>
        <w:t>: The organization applies data masking to sensitive information that is displayed or printed.</w:t>
      </w:r>
      <w:r>
        <w:rPr>
          <w:rStyle w:val="FootnoteCharacters"/>
          <w:rFonts w:cs="Calibri"/>
          <w:bCs w:val="false"/>
        </w:rPr>
        <w:t xml:space="preserve"> </w:t>
      </w:r>
    </w:p>
    <w:p>
      <w:pPr>
        <w:pStyle w:val="Normal"/>
        <w:rPr/>
      </w:pPr>
      <w:r>
        <w:rPr/>
      </w:r>
    </w:p>
    <w:p>
      <w:pPr>
        <w:pStyle w:val="Normal"/>
        <w:rPr/>
      </w:pPr>
      <w:r>
        <w:rPr>
          <w:u w:val="single"/>
        </w:rPr>
        <w:t>Standard</w:t>
      </w:r>
      <w:r>
        <w:rPr/>
        <w:t>: Sensitive information that is displayed or printed is required to be masked. This includes, but is not limited to:</w:t>
      </w:r>
      <w:r>
        <w:rPr>
          <w:rStyle w:val="FootnoteCharacters"/>
          <w:rFonts w:cs="Calibri"/>
          <w:bCs w:val="false"/>
        </w:rPr>
        <w:t xml:space="preserve"> </w:t>
      </w:r>
    </w:p>
    <w:p>
      <w:pPr>
        <w:pStyle w:val="ListParagraph"/>
        <w:numPr>
          <w:ilvl w:val="0"/>
          <w:numId w:val="297"/>
        </w:numPr>
        <w:rPr/>
      </w:pPr>
      <w:r>
        <w:rPr/>
        <w:t>Financial account numbers;</w:t>
      </w:r>
    </w:p>
    <w:p>
      <w:pPr>
        <w:pStyle w:val="ListParagraph"/>
        <w:numPr>
          <w:ilvl w:val="0"/>
          <w:numId w:val="297"/>
        </w:numPr>
        <w:rPr/>
      </w:pPr>
      <w:r>
        <w:rPr/>
        <w:t>Social Security Numbers (SSN); and</w:t>
      </w:r>
    </w:p>
    <w:p>
      <w:pPr>
        <w:pStyle w:val="ListParagraph"/>
        <w:numPr>
          <w:ilvl w:val="0"/>
          <w:numId w:val="297"/>
        </w:numPr>
        <w:rPr/>
      </w:pPr>
      <w:r>
        <w:rPr/>
        <w:t xml:space="preserve">Credit or debit Primary Account Numbers (PANs), where no more than the first six (6) / last four (4) digits are allowed to be shown. </w:t>
      </w:r>
    </w:p>
    <w:p>
      <w:pPr>
        <w:pStyle w:val="Normal"/>
        <w:rPr/>
      </w:pPr>
      <w:r>
        <w:rPr/>
      </w:r>
    </w:p>
    <w:p>
      <w:pPr>
        <w:pStyle w:val="Normal"/>
        <w:rPr/>
      </w:pPr>
      <w:r>
        <w:rPr>
          <w:u w:val="single"/>
        </w:rPr>
        <w:t>Guidelines</w:t>
      </w:r>
      <w:r>
        <w:rPr/>
        <w:t>: Only personnel with a legitimate business need should be able to see more than the first six (6) / last four (4) of the PAN.</w:t>
      </w:r>
    </w:p>
    <w:p>
      <w:pPr>
        <w:pStyle w:val="Normal"/>
        <w:rPr/>
      </w:pPr>
      <w:r>
        <w:rPr/>
      </w:r>
    </w:p>
    <w:p>
      <w:pPr>
        <w:pStyle w:val="Normal"/>
        <w:rPr/>
      </w:pPr>
      <w:r>
        <w:rPr/>
      </w:r>
    </w:p>
    <w:p>
      <w:pPr>
        <w:pStyle w:val="Heading2"/>
        <w:rPr/>
      </w:pPr>
      <w:bookmarkStart w:id="634" w:name="_Toc474074929"/>
      <w:bookmarkStart w:id="635" w:name="_Toc474075598"/>
      <w:bookmarkStart w:id="636" w:name="_Toc34920732"/>
      <w:r>
        <w:rPr/>
        <w:t>DCH-04: Media Marking</w:t>
      </w:r>
      <w:bookmarkEnd w:id="634"/>
      <w:bookmarkEnd w:id="635"/>
      <w:bookmarkEnd w:id="636"/>
      <w:r>
        <w:rPr/>
        <w:t xml:space="preserve"> </w:t>
      </w:r>
    </w:p>
    <w:p>
      <w:pPr>
        <w:pStyle w:val="Normal"/>
        <w:rPr/>
      </w:pPr>
      <w:r>
        <w:rPr>
          <w:u w:val="single"/>
        </w:rPr>
        <w:t>Control Objective</w:t>
      </w:r>
      <w:r>
        <w:rPr/>
        <w:t>: The organization marks media in accordance with organizational policies and procedures, indicating the distribution limitations, handling caveats and applicable security requirements.</w:t>
      </w:r>
      <w:r>
        <w:rPr>
          <w:rStyle w:val="FootnoteAnchor"/>
          <w:rStyle w:val="FootnoteAnchor"/>
          <w:rFonts w:cs="Calibri"/>
        </w:rPr>
        <w:footnoteReference w:id="206"/>
      </w:r>
      <w:r>
        <w:rPr/>
        <w:t xml:space="preserve"> </w:t>
      </w:r>
    </w:p>
    <w:p>
      <w:pPr>
        <w:pStyle w:val="Normal"/>
        <w:rPr/>
      </w:pPr>
      <w:r>
        <w:rPr/>
      </w:r>
    </w:p>
    <w:p>
      <w:pPr>
        <w:pStyle w:val="Normal"/>
        <w:rPr/>
      </w:pPr>
      <w:r>
        <w:rPr>
          <w:u w:val="single"/>
        </w:rPr>
        <w:t>Standard</w:t>
      </w:r>
      <w:r>
        <w:rPr/>
        <w:t xml:space="preserve">: NFCC users are required to mark media in accordance with NFCC’s Data &amp; Asset Classification Standard. </w:t>
      </w:r>
    </w:p>
    <w:p>
      <w:pPr>
        <w:pStyle w:val="Normal"/>
        <w:rPr/>
      </w:pPr>
      <w:r>
        <w:rPr/>
      </w:r>
    </w:p>
    <w:p>
      <w:pPr>
        <w:pStyle w:val="Normal"/>
        <w:rPr/>
      </w:pPr>
      <w:r>
        <w:rPr>
          <w:u w:val="single"/>
        </w:rPr>
        <w:t>Guidelines</w:t>
      </w:r>
      <w:r>
        <w:rPr/>
        <w:t xml:space="preserve">: Reference </w:t>
      </w:r>
      <w:r>
        <w:rPr>
          <w:i/>
          <w:u w:val="single"/>
        </w:rPr>
        <w:t>Annex 1: Data Classification &amp; Handling Guidelines</w:t>
      </w:r>
      <w:r>
        <w:rPr/>
        <w:t xml:space="preserve"> for examples of data classification and handling. </w:t>
      </w:r>
    </w:p>
    <w:p>
      <w:pPr>
        <w:pStyle w:val="Normal"/>
        <w:rPr/>
      </w:pPr>
      <w:r>
        <w:rPr/>
      </w:r>
    </w:p>
    <w:p>
      <w:pPr>
        <w:pStyle w:val="Normal"/>
        <w:rPr>
          <w:u w:val="single"/>
        </w:rPr>
      </w:pPr>
      <w:r>
        <w:rPr/>
        <w:t xml:space="preserve">The term security marking refers to the application / use of human-readable security attributes. The term security labeling refers to the application / use of security attributes with regard to internal data structures within systems. System media includes both digital and non-digital media. Digital media includes, for example, diskettes, magnetic tapes, external / removable hard drives, flash drives, compact disks and digital video disks. Non-digital media includes, for example, paper and microfilm. Security marking is generally not required for media to be publicly releasable. </w:t>
      </w:r>
    </w:p>
    <w:p>
      <w:pPr>
        <w:pStyle w:val="Normal"/>
        <w:rPr/>
      </w:pPr>
      <w:r>
        <w:rPr/>
      </w:r>
    </w:p>
    <w:p>
      <w:pPr>
        <w:pStyle w:val="Heading3"/>
        <w:rPr/>
      </w:pPr>
      <w:bookmarkStart w:id="637" w:name="_Toc474074930"/>
      <w:bookmarkStart w:id="638" w:name="_Toc34920733"/>
      <w:r>
        <w:rPr/>
        <w:t>DCH-04(a): Media Marking | Automated Marking</w:t>
      </w:r>
      <w:bookmarkEnd w:id="637"/>
      <w:bookmarkEnd w:id="638"/>
      <w:r>
        <w:rPr/>
        <w:t xml:space="preserve"> </w:t>
      </w:r>
    </w:p>
    <w:p>
      <w:pPr>
        <w:pStyle w:val="Normal"/>
        <w:rPr/>
      </w:pPr>
      <w:r>
        <w:rPr>
          <w:u w:val="single"/>
        </w:rPr>
        <w:t>Control Objective</w:t>
      </w:r>
      <w:r>
        <w:rPr/>
        <w:t>: The organization marks, in accordance with organizational policies and procedures, system media and system output indicating the distribution limitations, handling caveats and applicable security markings (if any) of the information to aide Data Loss Prevention (DLP) technologies.</w:t>
      </w:r>
      <w:r>
        <w:rPr>
          <w:rStyle w:val="FootnoteAnchor"/>
          <w:rStyle w:val="FootnoteAnchor"/>
          <w:rFonts w:cs="Calibri"/>
        </w:rPr>
        <w:footnoteReference w:id="207"/>
      </w:r>
    </w:p>
    <w:p>
      <w:pPr>
        <w:pStyle w:val="Normal"/>
        <w:rPr/>
      </w:pPr>
      <w:r>
        <w:rPr/>
      </w:r>
    </w:p>
    <w:p>
      <w:pPr>
        <w:pStyle w:val="Normal"/>
        <w:rPr/>
      </w:pPr>
      <w:r>
        <w:rPr>
          <w:u w:val="single"/>
        </w:rPr>
        <w:t>Standard</w:t>
      </w:r>
      <w:r>
        <w:rPr/>
        <w:t xml:space="preserve">: Asset custodians are required to configure systems to mark metadata in environments where Data Loss Prevention (DLP) and Network Access Control (NAC) technology is being used. </w:t>
      </w:r>
    </w:p>
    <w:p>
      <w:pPr>
        <w:pStyle w:val="Normal"/>
        <w:rPr/>
      </w:pPr>
      <w:r>
        <w:rPr/>
      </w:r>
    </w:p>
    <w:p>
      <w:pPr>
        <w:pStyle w:val="Normal"/>
        <w:rPr/>
      </w:pPr>
      <w:r>
        <w:rPr>
          <w:u w:val="single"/>
        </w:rPr>
        <w:t>Guidelines</w:t>
      </w:r>
      <w:r>
        <w:rPr/>
        <w:t>: Automated marking or “tagging” of data can aid in controlling the distribution and containment of data.</w:t>
      </w:r>
    </w:p>
    <w:p>
      <w:pPr>
        <w:pStyle w:val="Normal"/>
        <w:rPr/>
      </w:pPr>
      <w:r>
        <w:rPr/>
      </w:r>
    </w:p>
    <w:p>
      <w:pPr>
        <w:pStyle w:val="Normal"/>
        <w:rPr/>
      </w:pPr>
      <w:r>
        <w:rPr/>
      </w:r>
    </w:p>
    <w:p>
      <w:pPr>
        <w:pStyle w:val="Heading2"/>
        <w:rPr/>
      </w:pPr>
      <w:bookmarkStart w:id="639" w:name="_Toc474074931"/>
      <w:bookmarkStart w:id="640" w:name="_Toc34920734"/>
      <w:r>
        <w:rPr/>
        <w:t>DCH-05: Security Attributes</w:t>
      </w:r>
      <w:bookmarkEnd w:id="639"/>
      <w:bookmarkEnd w:id="640"/>
    </w:p>
    <w:p>
      <w:pPr>
        <w:pStyle w:val="Normal"/>
        <w:rPr>
          <w:i/>
          <w:i/>
          <w:iCs/>
        </w:rPr>
      </w:pPr>
      <w:r>
        <w:rPr>
          <w:u w:val="single"/>
        </w:rPr>
        <w:t>Control Objective</w:t>
      </w:r>
      <w:r>
        <w:rPr/>
        <w:t>: Systems support and maintain the binding of organization-defined security and privacy attributes to the information as it is stored, transmitted and processed.</w:t>
      </w:r>
      <w:r>
        <w:rPr>
          <w:rStyle w:val="FootnoteAnchor"/>
          <w:rStyle w:val="FootnoteAnchor"/>
          <w:rFonts w:cs="Calibri"/>
        </w:rPr>
        <w:footnoteReference w:id="208"/>
      </w:r>
    </w:p>
    <w:p>
      <w:pPr>
        <w:pStyle w:val="Normal"/>
        <w:rPr/>
      </w:pPr>
      <w:r>
        <w:rPr/>
      </w:r>
    </w:p>
    <w:p>
      <w:pPr>
        <w:pStyle w:val="Normal"/>
        <w:rPr/>
      </w:pPr>
      <w:r>
        <w:rPr>
          <w:u w:val="single"/>
        </w:rPr>
        <w:t>Standard</w:t>
      </w:r>
      <w:r>
        <w:rPr/>
        <w:t xml:space="preserve">: Systems are required to be configured to display security attributes in human-readable form on each object output. </w:t>
      </w:r>
    </w:p>
    <w:p>
      <w:pPr>
        <w:pStyle w:val="Normal"/>
        <w:rPr/>
      </w:pPr>
      <w:r>
        <w:rPr/>
      </w:r>
    </w:p>
    <w:p>
      <w:pPr>
        <w:pStyle w:val="Normal"/>
        <w:rPr/>
      </w:pPr>
      <w:r>
        <w:rPr>
          <w:u w:val="single"/>
        </w:rPr>
        <w:t>Guidelines</w:t>
      </w:r>
      <w:r>
        <w:rPr/>
        <w:t>: Objects output from the system include, but are not limited to, log files, screens or printouts. Output devices include, but are not limited to, printers and video displays on computer terminals, monitors, screens on notebook / laptop computers and mobile devices.</w:t>
      </w:r>
    </w:p>
    <w:p>
      <w:pPr>
        <w:pStyle w:val="Normal"/>
        <w:rPr/>
      </w:pPr>
      <w:r>
        <w:rPr/>
      </w:r>
    </w:p>
    <w:p>
      <w:pPr>
        <w:pStyle w:val="Heading3"/>
        <w:rPr/>
      </w:pPr>
      <w:bookmarkStart w:id="641" w:name="_Toc34920735"/>
      <w:r>
        <w:rPr/>
        <w:t>DCH-05(a): Security Attributes | Dynamic Attribute Association</w:t>
      </w:r>
      <w:bookmarkEnd w:id="641"/>
    </w:p>
    <w:p>
      <w:pPr>
        <w:pStyle w:val="Normal"/>
        <w:rPr/>
      </w:pPr>
      <w:r>
        <w:rPr>
          <w:u w:val="single"/>
        </w:rPr>
        <w:t>Control Objective</w:t>
      </w:r>
      <w:r>
        <w:rPr/>
        <w:t>: The organization dynamically associates security and privacy attributes with individuals and objects as information is created and combined, in accordance with organization-defined cybersecurity and privacy policies.</w:t>
      </w:r>
    </w:p>
    <w:p>
      <w:pPr>
        <w:pStyle w:val="Normal"/>
        <w:rPr/>
      </w:pPr>
      <w:r>
        <w:rPr/>
      </w:r>
    </w:p>
    <w:p>
      <w:pPr>
        <w:pStyle w:val="Normal"/>
        <w:rPr/>
      </w:pPr>
      <w:r>
        <w:rPr>
          <w:u w:val="single"/>
        </w:rPr>
        <w:t>Standard</w:t>
      </w:r>
      <w:r>
        <w:rPr/>
        <w:t>: Where technically feasible, as information is created and combined, NFCC requires the dynamic association of security and privacy attributes with subjects and objects.</w:t>
      </w:r>
    </w:p>
    <w:p>
      <w:pPr>
        <w:pStyle w:val="Normal"/>
        <w:rPr/>
      </w:pPr>
      <w:r>
        <w:rPr/>
      </w:r>
    </w:p>
    <w:p>
      <w:pPr>
        <w:pStyle w:val="Normal"/>
        <w:rPr>
          <w:i/>
          <w:i/>
          <w:iCs/>
        </w:rPr>
      </w:pPr>
      <w:r>
        <w:rPr>
          <w:u w:val="single"/>
        </w:rPr>
        <w:t>Guidelines</w:t>
      </w:r>
      <w:r>
        <w:rPr/>
        <w:t>: Dynamic association of security and privacy attributes is appropriate whenever the security or privacy characteristics of information changes over time. Attributes may change, for example, due to information aggregation issues (e.g., the security and privacy characteristics of individual information elements are different from the combined elements), changes in individual access authorizations (e.g., privileges), changes in the security category of information and changes in security or privacy policies.</w:t>
      </w:r>
    </w:p>
    <w:p>
      <w:pPr>
        <w:pStyle w:val="Normal"/>
        <w:rPr/>
      </w:pPr>
      <w:r>
        <w:rPr/>
      </w:r>
    </w:p>
    <w:p>
      <w:pPr>
        <w:pStyle w:val="Heading3"/>
        <w:rPr/>
      </w:pPr>
      <w:bookmarkStart w:id="642" w:name="_Toc34920736"/>
      <w:r>
        <w:rPr/>
        <w:t>DCH-05(b): Security Attributes | Attribute Value Changes By Authorized Individuals</w:t>
      </w:r>
      <w:bookmarkEnd w:id="642"/>
    </w:p>
    <w:p>
      <w:pPr>
        <w:pStyle w:val="Normal"/>
        <w:rPr/>
      </w:pPr>
      <w:r>
        <w:rPr>
          <w:u w:val="single"/>
        </w:rPr>
        <w:t>Control Objective</w:t>
      </w:r>
      <w:r>
        <w:rPr/>
        <w:t>: The organization provides authorized individuals (or processes acting on behalf of individuals) the capability to define or change the value of associated security and privacy attributes.</w:t>
      </w:r>
    </w:p>
    <w:p>
      <w:pPr>
        <w:pStyle w:val="Normal"/>
        <w:rPr/>
      </w:pPr>
      <w:r>
        <w:rPr/>
      </w:r>
    </w:p>
    <w:p>
      <w:pPr>
        <w:pStyle w:val="Normal"/>
        <w:rPr/>
      </w:pPr>
      <w:r>
        <w:rPr>
          <w:u w:val="single"/>
        </w:rPr>
        <w:t>Standard</w:t>
      </w:r>
      <w:r>
        <w:rPr/>
        <w:t xml:space="preserve">: Only authorized individuals may be assigned the capability to define or change the value of associated security and privacy attributes. </w:t>
      </w:r>
    </w:p>
    <w:p>
      <w:pPr>
        <w:pStyle w:val="Normal"/>
        <w:rPr/>
      </w:pPr>
      <w:r>
        <w:rPr/>
      </w:r>
    </w:p>
    <w:p>
      <w:pPr>
        <w:pStyle w:val="Normal"/>
        <w:rPr/>
      </w:pPr>
      <w:r>
        <w:rPr>
          <w:u w:val="single"/>
        </w:rPr>
        <w:t>Guidelines</w:t>
      </w:r>
      <w:r>
        <w:rPr/>
        <w:t>: The content or assigned values of security and privacy attributes can directly affect the ability of individuals to access organizational information. Therefore, it is important for systems to be able to limit the ability to create or modify attributes to authorized individuals</w:t>
      </w:r>
    </w:p>
    <w:p>
      <w:pPr>
        <w:pStyle w:val="Normal"/>
        <w:rPr/>
      </w:pPr>
      <w:r>
        <w:rPr/>
      </w:r>
    </w:p>
    <w:p>
      <w:pPr>
        <w:pStyle w:val="Heading3"/>
        <w:rPr/>
      </w:pPr>
      <w:bookmarkStart w:id="643" w:name="_Toc34920737"/>
      <w:r>
        <w:rPr/>
        <w:t>DCH-05(c): Security Attributes | Maintenance of Attribute Associations By System</w:t>
      </w:r>
      <w:bookmarkEnd w:id="643"/>
    </w:p>
    <w:p>
      <w:pPr>
        <w:pStyle w:val="Normal"/>
        <w:rPr/>
      </w:pPr>
      <w:r>
        <w:rPr>
          <w:u w:val="single"/>
        </w:rPr>
        <w:t>Control Objective</w:t>
      </w:r>
      <w:r>
        <w:rPr/>
        <w:t>: The organization maintains the association and integrity of security and privacy attributes to individuals and objects.</w:t>
      </w:r>
    </w:p>
    <w:p>
      <w:pPr>
        <w:pStyle w:val="Normal"/>
        <w:rPr/>
      </w:pPr>
      <w:r>
        <w:rPr/>
      </w:r>
    </w:p>
    <w:p>
      <w:pPr>
        <w:pStyle w:val="Normal"/>
        <w:rPr/>
      </w:pPr>
      <w:r>
        <w:rPr>
          <w:u w:val="single"/>
        </w:rPr>
        <w:t>Standard</w:t>
      </w:r>
      <w:r>
        <w:rPr/>
        <w:t xml:space="preserve">: Where technically feasible, NFCC requires the association and integrity of security and privacy attributes to be maintained with subjects and objects. </w:t>
      </w:r>
    </w:p>
    <w:p>
      <w:pPr>
        <w:pStyle w:val="Normal"/>
        <w:rPr/>
      </w:pPr>
      <w:r>
        <w:rPr/>
      </w:r>
    </w:p>
    <w:p>
      <w:pPr>
        <w:pStyle w:val="Normal"/>
        <w:rPr>
          <w:i/>
          <w:i/>
          <w:iCs/>
        </w:rPr>
      </w:pPr>
      <w:r>
        <w:rPr>
          <w:u w:val="single"/>
        </w:rPr>
        <w:t>Guidelines</w:t>
      </w:r>
      <w:r>
        <w:rPr/>
        <w:t>: Maintaining the association and integrity of security and privacy attributes to subjects and objects with sufficient assurance helps to ensure that the attribute associations can be used as the basis of automated policy actions. Automated policy actions include, for example, retention date expirations, access control decisions and information flow control decisions.</w:t>
      </w:r>
    </w:p>
    <w:p>
      <w:pPr>
        <w:pStyle w:val="Normal"/>
        <w:rPr/>
      </w:pPr>
      <w:r>
        <w:rPr/>
      </w:r>
    </w:p>
    <w:p>
      <w:pPr>
        <w:pStyle w:val="Heading3"/>
        <w:rPr/>
      </w:pPr>
      <w:bookmarkStart w:id="644" w:name="_Toc34920738"/>
      <w:r>
        <w:rPr/>
        <w:t>DCH-05(d): Security Attributes | Association of Attributes By Authorized Individuals</w:t>
      </w:r>
      <w:bookmarkEnd w:id="644"/>
    </w:p>
    <w:p>
      <w:pPr>
        <w:pStyle w:val="Normal"/>
        <w:rPr/>
      </w:pPr>
      <w:r>
        <w:rPr>
          <w:u w:val="single"/>
        </w:rPr>
        <w:t>Control Objective</w:t>
      </w:r>
      <w:r>
        <w:rPr/>
        <w:t>: The organization provides the capability to associate security and privacy attributes with individuals and objects by authorized individuals (or processes acting on behalf of individuals).</w:t>
      </w:r>
    </w:p>
    <w:p>
      <w:pPr>
        <w:pStyle w:val="Normal"/>
        <w:rPr/>
      </w:pPr>
      <w:r>
        <w:rPr/>
      </w:r>
    </w:p>
    <w:p>
      <w:pPr>
        <w:pStyle w:val="Normal"/>
        <w:rPr/>
      </w:pPr>
      <w:r>
        <w:rPr>
          <w:u w:val="single"/>
        </w:rPr>
        <w:t>Standard</w:t>
      </w:r>
      <w:r>
        <w:rPr/>
        <w:t>: Where technically feasible, NFCC shall provide the capability to associate security and privacy attributes with subjects and objects by authorized individuals (or processes acting on behalf of individuals).</w:t>
      </w:r>
    </w:p>
    <w:p>
      <w:pPr>
        <w:pStyle w:val="Normal"/>
        <w:rPr/>
      </w:pPr>
      <w:r>
        <w:rPr/>
      </w:r>
    </w:p>
    <w:p>
      <w:pPr>
        <w:pStyle w:val="Normal"/>
        <w:rPr/>
      </w:pPr>
      <w:r>
        <w:rPr>
          <w:u w:val="single"/>
        </w:rPr>
        <w:t>Guidelines</w:t>
      </w:r>
      <w:r>
        <w:rPr/>
        <w:t>: The support provided by systems can include, for example, prompting users to select specific security or privacy attributes to be associated with specific information objects; employing automated mechanisms to categorize information with appropriate security or privacy attributes based on defined policies; or ensuring that the combination of selected security or privacy attributes selected is valid. Organizations consider the creation, deletion, or modification of security and privacy attributes when defining auditable events.</w:t>
      </w:r>
    </w:p>
    <w:p>
      <w:pPr>
        <w:pStyle w:val="Normal"/>
        <w:rPr/>
      </w:pPr>
      <w:r>
        <w:rPr/>
      </w:r>
    </w:p>
    <w:p>
      <w:pPr>
        <w:pStyle w:val="Heading3"/>
        <w:rPr/>
      </w:pPr>
      <w:bookmarkStart w:id="645" w:name="_Toc34920739"/>
      <w:r>
        <w:rPr/>
        <w:t>DCH-05(e): Security Attributes | Attribute Displays for Output Devices</w:t>
      </w:r>
      <w:bookmarkEnd w:id="645"/>
    </w:p>
    <w:p>
      <w:pPr>
        <w:pStyle w:val="Normal"/>
        <w:rPr/>
      </w:pPr>
      <w:r>
        <w:rPr>
          <w:u w:val="single"/>
        </w:rPr>
        <w:t>Control Objective</w:t>
      </w:r>
      <w:r>
        <w:rPr/>
        <w:t>: The organization displays security and privacy attributes in human-readable form on each object that the system transmits to output devices to identify special dissemination, handling or distribution instructions using human-readable, standard naming conventions.</w:t>
      </w:r>
    </w:p>
    <w:p>
      <w:pPr>
        <w:pStyle w:val="Normal"/>
        <w:rPr/>
      </w:pPr>
      <w:r>
        <w:rPr/>
      </w:r>
    </w:p>
    <w:p>
      <w:pPr>
        <w:pStyle w:val="Normal"/>
        <w:rPr/>
      </w:pPr>
      <w:r>
        <w:rPr>
          <w:u w:val="single"/>
        </w:rPr>
        <w:t>Standard</w:t>
      </w:r>
      <w:r>
        <w:rPr/>
        <w:t>: Where technically feasible, NFCC shall display security and privacy attributes in human-readable form on each object that the system transmits to output devices to identify special dissemination, handling, or distribution instructions using human-readable, standard naming conventions.</w:t>
      </w:r>
    </w:p>
    <w:p>
      <w:pPr>
        <w:pStyle w:val="Normal"/>
        <w:rPr/>
      </w:pPr>
      <w:r>
        <w:rPr/>
      </w:r>
    </w:p>
    <w:p>
      <w:pPr>
        <w:pStyle w:val="Normal"/>
        <w:rPr/>
      </w:pPr>
      <w:r>
        <w:rPr>
          <w:u w:val="single"/>
        </w:rPr>
        <w:t>Guidelines</w:t>
      </w:r>
      <w:r>
        <w:rPr/>
        <w:t>: System outputs include, for example, pages, screens, or equivalent. System output devices include, for example, printers, notebook computers, video displays on workstations and personal digital assistants. To mitigate the risk of unauthorized exposure of selected information, for example, shoulder surfing, the outputs display full attribute values when unmasked by the subscriber.</w:t>
      </w:r>
    </w:p>
    <w:p>
      <w:pPr>
        <w:pStyle w:val="Normal"/>
        <w:rPr/>
      </w:pPr>
      <w:r>
        <w:rPr/>
      </w:r>
    </w:p>
    <w:p>
      <w:pPr>
        <w:pStyle w:val="Heading3"/>
        <w:rPr/>
      </w:pPr>
      <w:bookmarkStart w:id="646" w:name="_Toc34920740"/>
      <w:r>
        <w:rPr/>
        <w:t>DCH-05(f): Security Attributes | Data Subject Attribute Associations</w:t>
      </w:r>
      <w:bookmarkEnd w:id="646"/>
      <w:r>
        <w:rPr/>
        <w:t xml:space="preserve">  </w:t>
      </w:r>
    </w:p>
    <w:p>
      <w:pPr>
        <w:pStyle w:val="Normal"/>
        <w:rPr/>
      </w:pPr>
      <w:r>
        <w:rPr>
          <w:u w:val="single"/>
        </w:rPr>
        <w:t>Control Objective</w:t>
      </w:r>
      <w:r>
        <w:rPr/>
        <w:t>: The organization requires personnel to associate and maintain the association of security and privacy attributes with individuals and objects in accordance with security and privacy policies.</w:t>
      </w:r>
    </w:p>
    <w:p>
      <w:pPr>
        <w:pStyle w:val="Normal"/>
        <w:rPr/>
      </w:pPr>
      <w:r>
        <w:rPr/>
      </w:r>
    </w:p>
    <w:p>
      <w:pPr>
        <w:pStyle w:val="Normal"/>
        <w:rPr/>
      </w:pPr>
      <w:r>
        <w:rPr>
          <w:u w:val="single"/>
        </w:rPr>
        <w:t>Standard</w:t>
      </w:r>
      <w:r>
        <w:rPr/>
        <w:t>: Where technically feasible, NFCC requires personnel to associate and maintain the association of security and privacy attributes with subjects and objects in accordance with NFCC’s security and privacy policies and standards.</w:t>
      </w:r>
    </w:p>
    <w:p>
      <w:pPr>
        <w:pStyle w:val="Normal"/>
        <w:rPr/>
      </w:pPr>
      <w:r>
        <w:rPr/>
      </w:r>
    </w:p>
    <w:p>
      <w:pPr>
        <w:pStyle w:val="Normal"/>
        <w:rPr/>
      </w:pPr>
      <w:r>
        <w:rPr>
          <w:u w:val="single"/>
        </w:rPr>
        <w:t>Guidelines</w:t>
      </w:r>
      <w:r>
        <w:rPr/>
        <w:t>: This control enhancement requires individual users (as opposed to the system) to maintain associations of security and privacy attributes with subjects and objects.</w:t>
      </w:r>
    </w:p>
    <w:p>
      <w:pPr>
        <w:pStyle w:val="Normal"/>
        <w:rPr/>
      </w:pPr>
      <w:r>
        <w:rPr/>
      </w:r>
    </w:p>
    <w:p>
      <w:pPr>
        <w:pStyle w:val="Heading3"/>
        <w:rPr/>
      </w:pPr>
      <w:bookmarkStart w:id="647" w:name="_Toc34920741"/>
      <w:r>
        <w:rPr/>
        <w:t>DCH-05(g): Security Attributes | Consistent Attribute Interpretation</w:t>
      </w:r>
      <w:bookmarkEnd w:id="647"/>
    </w:p>
    <w:p>
      <w:pPr>
        <w:pStyle w:val="Normal"/>
        <w:rPr/>
      </w:pPr>
      <w:r>
        <w:rPr>
          <w:u w:val="single"/>
        </w:rPr>
        <w:t>Control Objective</w:t>
      </w:r>
      <w:r>
        <w:rPr/>
        <w:t>: The organization provides a consistent interpretation of security and privacy attributes transmitted between distributed system components.</w:t>
      </w:r>
    </w:p>
    <w:p>
      <w:pPr>
        <w:pStyle w:val="Normal"/>
        <w:rPr/>
      </w:pPr>
      <w:r>
        <w:rPr/>
      </w:r>
    </w:p>
    <w:p>
      <w:pPr>
        <w:pStyle w:val="Normal"/>
        <w:rPr/>
      </w:pPr>
      <w:r>
        <w:rPr>
          <w:u w:val="single"/>
        </w:rPr>
        <w:t>Standard</w:t>
      </w:r>
      <w:r>
        <w:rPr/>
        <w:t>: Where technically feasible, NFCC shall provide a consistent interpretation of security and privacy attributes transmitted between distributed system components.</w:t>
      </w:r>
    </w:p>
    <w:p>
      <w:pPr>
        <w:pStyle w:val="Normal"/>
        <w:rPr/>
      </w:pPr>
      <w:r>
        <w:rPr/>
        <w:t xml:space="preserve"> </w:t>
      </w:r>
    </w:p>
    <w:p>
      <w:pPr>
        <w:pStyle w:val="Normal"/>
        <w:rPr/>
      </w:pPr>
      <w:r>
        <w:rPr>
          <w:u w:val="single"/>
        </w:rPr>
        <w:t>Guidelines</w:t>
      </w:r>
      <w:r>
        <w:rPr/>
        <w:t>: To enforce security and privacy policies across multiple components in distributed systems, organizations provide a consistent interpretation of the attributes used in access enforcement and flow enforcement decisions. Organizations establish agreements and processes to ensure that all distributed system components implement security and privacy attributes with consistent interpretations in automated access and flow enforcement actions.</w:t>
      </w:r>
    </w:p>
    <w:p>
      <w:pPr>
        <w:pStyle w:val="Normal"/>
        <w:rPr/>
      </w:pPr>
      <w:r>
        <w:rPr/>
      </w:r>
    </w:p>
    <w:p>
      <w:pPr>
        <w:pStyle w:val="Heading3"/>
        <w:rPr/>
      </w:pPr>
      <w:bookmarkStart w:id="648" w:name="_Toc34920742"/>
      <w:r>
        <w:rPr/>
        <w:t>DCH-05(h): Security Attributes | Identity Association Techniques &amp; Technologies</w:t>
      </w:r>
      <w:bookmarkEnd w:id="648"/>
      <w:r>
        <w:rPr/>
        <w:t xml:space="preserve">  </w:t>
      </w:r>
    </w:p>
    <w:p>
      <w:pPr>
        <w:pStyle w:val="Normal"/>
        <w:rPr/>
      </w:pPr>
      <w:r>
        <w:rPr>
          <w:u w:val="single"/>
        </w:rPr>
        <w:t>Control Objective</w:t>
      </w:r>
      <w:r>
        <w:rPr/>
        <w:t>: The organization implements techniques and technologies with organization-defined level of assurance in associating security and privacy attributes to information.</w:t>
      </w:r>
    </w:p>
    <w:p>
      <w:pPr>
        <w:pStyle w:val="Normal"/>
        <w:rPr/>
      </w:pPr>
      <w:r>
        <w:rPr/>
      </w:r>
    </w:p>
    <w:p>
      <w:pPr>
        <w:pStyle w:val="Normal"/>
        <w:rPr/>
      </w:pPr>
      <w:r>
        <w:rPr>
          <w:u w:val="single"/>
        </w:rPr>
        <w:t>Standard</w:t>
      </w:r>
      <w:r>
        <w:rPr/>
        <w:t>: Where technically feasible, NFCC shall implement techniques and technologies with an appropriate level of assurance in associating security and privacy attributes to information.</w:t>
      </w:r>
    </w:p>
    <w:p>
      <w:pPr>
        <w:pStyle w:val="Normal"/>
        <w:rPr/>
      </w:pPr>
      <w:r>
        <w:rPr/>
      </w:r>
    </w:p>
    <w:p>
      <w:pPr>
        <w:pStyle w:val="Normal"/>
        <w:rPr/>
      </w:pPr>
      <w:r>
        <w:rPr>
          <w:u w:val="single"/>
        </w:rPr>
        <w:t>Guidelines</w:t>
      </w:r>
      <w:r>
        <w:rPr/>
        <w:t>: The association (e.g., binding) of security and privacy attributes to information within systems is important for conducting automated access enforcement and flow enforcement actions. The association of such attributes can be accomplished with technologies and techniques providing different levels of assurance. For example, systems can cryptographically bind attributes to information using digital signatures with the supporting cryptographic keys protected by hardware devices (sometimes known as hardware roots of trust).</w:t>
      </w:r>
    </w:p>
    <w:p>
      <w:pPr>
        <w:pStyle w:val="Normal"/>
        <w:rPr/>
      </w:pPr>
      <w:r>
        <w:rPr/>
      </w:r>
    </w:p>
    <w:p>
      <w:pPr>
        <w:pStyle w:val="Heading3"/>
        <w:rPr/>
      </w:pPr>
      <w:bookmarkStart w:id="649" w:name="_Toc34920743"/>
      <w:r>
        <w:rPr/>
        <w:t>DCH-05(i): Security Attributes | Attribute Reassignment</w:t>
      </w:r>
      <w:bookmarkEnd w:id="649"/>
    </w:p>
    <w:p>
      <w:pPr>
        <w:pStyle w:val="Normal"/>
        <w:rPr/>
      </w:pPr>
      <w:r>
        <w:rPr>
          <w:u w:val="single"/>
        </w:rPr>
        <w:t>Control Objective</w:t>
      </w:r>
      <w:r>
        <w:rPr/>
        <w:t>: The organization reassigns security and privacy attributes associated with information only via re-grading mechanisms validated using organization-defined techniques or procedures.</w:t>
      </w:r>
    </w:p>
    <w:p>
      <w:pPr>
        <w:pStyle w:val="Normal"/>
        <w:rPr/>
      </w:pPr>
      <w:r>
        <w:rPr/>
      </w:r>
    </w:p>
    <w:p>
      <w:pPr>
        <w:pStyle w:val="Normal"/>
        <w:rPr/>
      </w:pPr>
      <w:r>
        <w:rPr>
          <w:u w:val="single"/>
        </w:rPr>
        <w:t>Standard</w:t>
      </w:r>
      <w:r>
        <w:rPr/>
        <w:t>: Where technically feasible, NFCC shall reassign security and privacy attributes associated with information only via re-grading mechanisms validated using appropriate techniques or procedures.</w:t>
      </w:r>
    </w:p>
    <w:p>
      <w:pPr>
        <w:pStyle w:val="Normal"/>
        <w:rPr/>
      </w:pPr>
      <w:r>
        <w:rPr/>
      </w:r>
    </w:p>
    <w:p>
      <w:pPr>
        <w:pStyle w:val="Normal"/>
        <w:rPr/>
      </w:pPr>
      <w:r>
        <w:rPr>
          <w:u w:val="single"/>
        </w:rPr>
        <w:t>Guidelines</w:t>
      </w:r>
      <w:r>
        <w:rPr/>
        <w:t>: Validated re-grading mechanisms are employed by organizations to provide the requisite levels of assurance for security and privacy attribute reassignment activities. The validation is facilitated by ensuring that re-grading mechanisms are single purpose and of limited function. Since attribute reassignments can directly affect security and privacy policy enforcement actions, using trustworthy re-grading mechanisms is necessary to ensure that such mechanisms perform in a consistent and correct mode of operation.</w:t>
      </w:r>
    </w:p>
    <w:p>
      <w:pPr>
        <w:pStyle w:val="Normal"/>
        <w:rPr/>
      </w:pPr>
      <w:r>
        <w:rPr/>
      </w:r>
    </w:p>
    <w:p>
      <w:pPr>
        <w:pStyle w:val="Heading3"/>
        <w:rPr/>
      </w:pPr>
      <w:bookmarkStart w:id="650" w:name="_Toc34920744"/>
      <w:r>
        <w:rPr/>
        <w:t>DCH-05(j): Security Attributes | Attribute Configuration By Authorized Individuals</w:t>
      </w:r>
      <w:bookmarkEnd w:id="650"/>
    </w:p>
    <w:p>
      <w:pPr>
        <w:pStyle w:val="Normal"/>
        <w:rPr/>
      </w:pPr>
      <w:r>
        <w:rPr>
          <w:u w:val="single"/>
        </w:rPr>
        <w:t>Control Objective</w:t>
      </w:r>
      <w:r>
        <w:rPr/>
        <w:t>: The organization provides authorized individuals the capability to define or change the type and value of security and privacy attributes available for association with subjects and objects.</w:t>
      </w:r>
    </w:p>
    <w:p>
      <w:pPr>
        <w:pStyle w:val="Normal"/>
        <w:rPr/>
      </w:pPr>
      <w:r>
        <w:rPr/>
      </w:r>
    </w:p>
    <w:p>
      <w:pPr>
        <w:pStyle w:val="Normal"/>
        <w:rPr/>
      </w:pPr>
      <w:r>
        <w:rPr>
          <w:u w:val="single"/>
        </w:rPr>
        <w:t>Standard</w:t>
      </w:r>
      <w:r>
        <w:rPr/>
        <w:t>: Where technically feasible, NFCC shall provide authorized individuals the capability to define or change the type and value of security and privacy attributes available for association with subjects and objects.</w:t>
      </w:r>
    </w:p>
    <w:p>
      <w:pPr>
        <w:pStyle w:val="Normal"/>
        <w:rPr/>
      </w:pPr>
      <w:r>
        <w:rPr/>
      </w:r>
    </w:p>
    <w:p>
      <w:pPr>
        <w:pStyle w:val="Normal"/>
        <w:rPr/>
      </w:pPr>
      <w:r>
        <w:rPr>
          <w:u w:val="single"/>
        </w:rPr>
        <w:t>Guidelines</w:t>
      </w:r>
      <w:r>
        <w:rPr/>
        <w:t>: The content or assigned values of security and privacy attributes can directly affect the ability of individuals to access organizational information. Therefore, it is important for systems to be able to limit the ability to create or modify attributes to authorized individuals only.</w:t>
      </w:r>
    </w:p>
    <w:p>
      <w:pPr>
        <w:pStyle w:val="Normal"/>
        <w:rPr/>
      </w:pPr>
      <w:r>
        <w:rPr/>
      </w:r>
    </w:p>
    <w:p>
      <w:pPr>
        <w:pStyle w:val="Heading3"/>
        <w:rPr/>
      </w:pPr>
      <w:bookmarkStart w:id="651" w:name="_Toc34920745"/>
      <w:r>
        <w:rPr/>
        <w:t>DCH-05(k): Security Attributes | Audit Changes</w:t>
      </w:r>
      <w:bookmarkEnd w:id="651"/>
    </w:p>
    <w:p>
      <w:pPr>
        <w:pStyle w:val="Normal"/>
        <w:rPr/>
      </w:pPr>
      <w:r>
        <w:rPr>
          <w:u w:val="single"/>
        </w:rPr>
        <w:t>Control Objective</w:t>
      </w:r>
      <w:r>
        <w:rPr/>
        <w:t>: The organization audits changes to security and privacy attributes.</w:t>
      </w:r>
    </w:p>
    <w:p>
      <w:pPr>
        <w:pStyle w:val="Normal"/>
        <w:rPr/>
      </w:pPr>
      <w:r>
        <w:rPr/>
      </w:r>
    </w:p>
    <w:p>
      <w:pPr>
        <w:pStyle w:val="Normal"/>
        <w:rPr/>
      </w:pPr>
      <w:r>
        <w:rPr>
          <w:u w:val="single"/>
        </w:rPr>
        <w:t>Standard</w:t>
      </w:r>
      <w:r>
        <w:rPr/>
        <w:t>: Where technically feasible, NFCC shall audit changes to security and privacy attributes.</w:t>
      </w:r>
    </w:p>
    <w:p>
      <w:pPr>
        <w:pStyle w:val="Normal"/>
        <w:rPr/>
      </w:pPr>
      <w:r>
        <w:rPr/>
      </w:r>
    </w:p>
    <w:p>
      <w:pPr>
        <w:pStyle w:val="Normal"/>
        <w:rPr/>
      </w:pPr>
      <w:r>
        <w:rPr>
          <w:u w:val="single"/>
        </w:rPr>
        <w:t>Guidelines</w:t>
      </w:r>
      <w:r>
        <w:rPr/>
        <w:t>: None</w:t>
      </w:r>
    </w:p>
    <w:p>
      <w:pPr>
        <w:pStyle w:val="Normal"/>
        <w:rPr/>
      </w:pPr>
      <w:r>
        <w:rPr/>
      </w:r>
    </w:p>
    <w:p>
      <w:pPr>
        <w:pStyle w:val="Normal"/>
        <w:rPr/>
      </w:pPr>
      <w:r>
        <w:rPr/>
      </w:r>
    </w:p>
    <w:p>
      <w:pPr>
        <w:pStyle w:val="Heading2"/>
        <w:rPr/>
      </w:pPr>
      <w:bookmarkStart w:id="652" w:name="_Toc474074932"/>
      <w:bookmarkStart w:id="653" w:name="_Toc474075599"/>
      <w:bookmarkStart w:id="654" w:name="_Toc34920746"/>
      <w:r>
        <w:rPr/>
        <w:t>DCH-06: Media Storage</w:t>
      </w:r>
      <w:bookmarkEnd w:id="652"/>
      <w:bookmarkEnd w:id="653"/>
      <w:bookmarkEnd w:id="654"/>
    </w:p>
    <w:p>
      <w:pPr>
        <w:pStyle w:val="Normal"/>
        <w:rPr/>
      </w:pPr>
      <w:r>
        <w:rPr>
          <w:u w:val="single"/>
        </w:rPr>
        <w:t>Control Objective</w:t>
      </w:r>
      <w:r>
        <w:rPr/>
        <w:t>: The organization:</w:t>
      </w:r>
      <w:r>
        <w:rPr>
          <w:rStyle w:val="FootnoteCharacters"/>
          <w:rFonts w:cs="Calibri"/>
          <w:bCs w:val="false"/>
        </w:rPr>
        <w:t xml:space="preserve"> </w:t>
      </w:r>
      <w:r>
        <w:rPr>
          <w:rStyle w:val="FootnoteAnchor"/>
          <w:rStyle w:val="FootnoteAnchor"/>
          <w:rFonts w:cs="Calibri"/>
          <w:bCs w:val="false"/>
        </w:rPr>
        <w:footnoteReference w:id="209"/>
      </w:r>
      <w:r>
        <w:rPr/>
        <w:t xml:space="preserve"> </w:t>
      </w:r>
    </w:p>
    <w:p>
      <w:pPr>
        <w:pStyle w:val="ListParagraph"/>
        <w:numPr>
          <w:ilvl w:val="0"/>
          <w:numId w:val="45"/>
        </w:numPr>
        <w:rPr/>
      </w:pPr>
      <w:r>
        <w:rPr/>
        <w:t>Physically controls and securely stores digital and non-digital media within controlled areas using organization-defined security measures; and</w:t>
      </w:r>
    </w:p>
    <w:p>
      <w:pPr>
        <w:pStyle w:val="ListParagraph"/>
        <w:numPr>
          <w:ilvl w:val="0"/>
          <w:numId w:val="45"/>
        </w:numPr>
        <w:rPr/>
      </w:pPr>
      <w:r>
        <w:rPr/>
        <w:t>Protects system media until the media are destroyed or sanitized using approved equipment, techniques and procedures.</w:t>
      </w:r>
    </w:p>
    <w:p>
      <w:pPr>
        <w:pStyle w:val="Normal"/>
        <w:rPr/>
      </w:pPr>
      <w:r>
        <w:rPr/>
      </w:r>
    </w:p>
    <w:p>
      <w:pPr>
        <w:pStyle w:val="Normal"/>
        <w:rPr/>
      </w:pPr>
      <w:r>
        <w:rPr>
          <w:u w:val="single"/>
        </w:rPr>
        <w:t>Standard</w:t>
      </w:r>
      <w:r>
        <w:rPr/>
        <w:t>: NFCC users are required to:</w:t>
      </w:r>
    </w:p>
    <w:p>
      <w:pPr>
        <w:pStyle w:val="ListParagraph"/>
        <w:numPr>
          <w:ilvl w:val="0"/>
          <w:numId w:val="298"/>
        </w:numPr>
        <w:rPr/>
      </w:pPr>
      <w:r>
        <w:rPr/>
        <w:t>Store media back-ups in a secure location, preferably an off-site facility, such as an alternate or backup site or a commercial storage facility;</w:t>
      </w:r>
    </w:p>
    <w:p>
      <w:pPr>
        <w:pStyle w:val="ListParagraph"/>
        <w:numPr>
          <w:ilvl w:val="0"/>
          <w:numId w:val="298"/>
        </w:numPr>
        <w:rPr/>
      </w:pPr>
      <w:r>
        <w:rPr/>
        <w:t>Review the location’s security at least annually;</w:t>
      </w:r>
    </w:p>
    <w:p>
      <w:pPr>
        <w:pStyle w:val="ListParagraph"/>
        <w:numPr>
          <w:ilvl w:val="0"/>
          <w:numId w:val="298"/>
        </w:numPr>
        <w:rPr/>
      </w:pPr>
      <w:r>
        <w:rPr/>
        <w:t>Physically secure all media;</w:t>
      </w:r>
    </w:p>
    <w:p>
      <w:pPr>
        <w:pStyle w:val="ListParagraph"/>
        <w:numPr>
          <w:ilvl w:val="0"/>
          <w:numId w:val="298"/>
        </w:numPr>
        <w:rPr/>
      </w:pPr>
      <w:r>
        <w:rPr/>
        <w:t>Maintain strict control over the storage and accessibility of media; and</w:t>
      </w:r>
    </w:p>
    <w:p>
      <w:pPr>
        <w:pStyle w:val="ListParagraph"/>
        <w:numPr>
          <w:ilvl w:val="0"/>
          <w:numId w:val="298"/>
        </w:numPr>
        <w:rPr/>
      </w:pPr>
      <w:r>
        <w:rPr/>
        <w:t xml:space="preserve">Maintain strict control over the internal or external distribution of any kind of media, including the following: </w:t>
      </w:r>
    </w:p>
    <w:p>
      <w:pPr>
        <w:pStyle w:val="ListParagraph"/>
        <w:numPr>
          <w:ilvl w:val="1"/>
          <w:numId w:val="298"/>
        </w:numPr>
        <w:rPr/>
      </w:pPr>
      <w:r>
        <w:rPr/>
        <w:t>Classify media so the sensitivity of the data can be determined.</w:t>
      </w:r>
    </w:p>
    <w:p>
      <w:pPr>
        <w:pStyle w:val="ListParagraph"/>
        <w:numPr>
          <w:ilvl w:val="1"/>
          <w:numId w:val="298"/>
        </w:numPr>
        <w:rPr/>
      </w:pPr>
      <w:r>
        <w:rPr/>
        <w:t>Send the media by secured courier or another delivery method that can be accurately tracked.</w:t>
      </w:r>
    </w:p>
    <w:p>
      <w:pPr>
        <w:pStyle w:val="Normal"/>
        <w:rPr/>
      </w:pPr>
      <w:r>
        <w:rPr/>
      </w:r>
    </w:p>
    <w:p>
      <w:pPr>
        <w:pStyle w:val="Normal"/>
        <w:rPr/>
      </w:pPr>
      <w:r>
        <w:rPr>
          <w:u w:val="single"/>
        </w:rPr>
        <w:t>Guidelines</w:t>
      </w:r>
      <w:r>
        <w:rPr/>
        <w:t>: System media includes both digital and non-digital media. Digital media includes, for example:</w:t>
      </w:r>
    </w:p>
    <w:p>
      <w:pPr>
        <w:pStyle w:val="ListParagraph"/>
        <w:numPr>
          <w:ilvl w:val="0"/>
          <w:numId w:val="46"/>
        </w:numPr>
        <w:rPr/>
      </w:pPr>
      <w:r>
        <w:rPr/>
        <w:t>Portable electronic devices (e.g., laptops, tablets, smartphones, etc.);</w:t>
      </w:r>
    </w:p>
    <w:p>
      <w:pPr>
        <w:pStyle w:val="ListParagraph"/>
        <w:numPr>
          <w:ilvl w:val="0"/>
          <w:numId w:val="46"/>
        </w:numPr>
        <w:rPr/>
      </w:pPr>
      <w:r>
        <w:rPr/>
        <w:t>Diskettes;</w:t>
      </w:r>
    </w:p>
    <w:p>
      <w:pPr>
        <w:pStyle w:val="ListParagraph"/>
        <w:numPr>
          <w:ilvl w:val="0"/>
          <w:numId w:val="46"/>
        </w:numPr>
        <w:rPr/>
      </w:pPr>
      <w:r>
        <w:rPr/>
        <w:t>Magnetic tapes;</w:t>
      </w:r>
    </w:p>
    <w:p>
      <w:pPr>
        <w:pStyle w:val="ListParagraph"/>
        <w:numPr>
          <w:ilvl w:val="0"/>
          <w:numId w:val="46"/>
        </w:numPr>
        <w:rPr/>
      </w:pPr>
      <w:r>
        <w:rPr/>
        <w:t>External / removable hard drives;</w:t>
      </w:r>
    </w:p>
    <w:p>
      <w:pPr>
        <w:pStyle w:val="ListParagraph"/>
        <w:numPr>
          <w:ilvl w:val="0"/>
          <w:numId w:val="46"/>
        </w:numPr>
        <w:rPr/>
      </w:pPr>
      <w:r>
        <w:rPr/>
        <w:t>Flash drives; and</w:t>
      </w:r>
    </w:p>
    <w:p>
      <w:pPr>
        <w:pStyle w:val="ListParagraph"/>
        <w:numPr>
          <w:ilvl w:val="0"/>
          <w:numId w:val="46"/>
        </w:numPr>
        <w:rPr/>
      </w:pPr>
      <w:r>
        <w:rPr/>
        <w:t xml:space="preserve">CDs / DVDs. </w:t>
      </w:r>
    </w:p>
    <w:p>
      <w:pPr>
        <w:pStyle w:val="Normal"/>
        <w:rPr/>
      </w:pPr>
      <w:r>
        <w:rPr/>
      </w:r>
    </w:p>
    <w:p>
      <w:pPr>
        <w:pStyle w:val="Heading3"/>
        <w:rPr/>
      </w:pPr>
      <w:bookmarkStart w:id="655" w:name="_Toc474074933"/>
      <w:bookmarkStart w:id="656" w:name="_Toc34920747"/>
      <w:r>
        <w:rPr/>
        <w:t>DCH-06(a): Media Storage | Physically Secure All Media</w:t>
      </w:r>
      <w:bookmarkEnd w:id="655"/>
      <w:bookmarkEnd w:id="656"/>
    </w:p>
    <w:p>
      <w:pPr>
        <w:pStyle w:val="Normal"/>
        <w:rPr/>
      </w:pPr>
      <w:r>
        <w:rPr>
          <w:u w:val="single"/>
        </w:rPr>
        <w:t>Control Objective</w:t>
      </w:r>
      <w:r>
        <w:rPr/>
        <w:t>: The organization implements procedures to physically secure all media.</w:t>
      </w:r>
      <w:r>
        <w:rPr>
          <w:rStyle w:val="FootnoteCharacters"/>
          <w:rFonts w:cs="Calibri"/>
        </w:rPr>
        <w:t xml:space="preserve"> </w:t>
      </w:r>
    </w:p>
    <w:p>
      <w:pPr>
        <w:pStyle w:val="Normal"/>
        <w:rPr/>
      </w:pPr>
      <w:r>
        <w:rPr/>
      </w:r>
    </w:p>
    <w:p>
      <w:pPr>
        <w:pStyle w:val="Normal"/>
        <w:rPr/>
      </w:pPr>
      <w:r>
        <w:rPr>
          <w:u w:val="single"/>
        </w:rPr>
        <w:t>Standard</w:t>
      </w:r>
      <w:r>
        <w:rPr/>
        <w:t>: Asset custodians are required to physically secure all media, as follows:</w:t>
      </w:r>
      <w:r>
        <w:rPr>
          <w:rStyle w:val="FootnoteCharacters"/>
          <w:rFonts w:cs="Calibri"/>
        </w:rPr>
        <w:t xml:space="preserve"> </w:t>
      </w:r>
    </w:p>
    <w:p>
      <w:pPr>
        <w:pStyle w:val="ListParagraph"/>
        <w:numPr>
          <w:ilvl w:val="0"/>
          <w:numId w:val="299"/>
        </w:numPr>
        <w:rPr/>
      </w:pPr>
      <w:r>
        <w:rPr/>
        <w:t>Store media back-ups in a secure location, preferably an off-site facility, such as:</w:t>
      </w:r>
      <w:r>
        <w:rPr>
          <w:rStyle w:val="FootnoteCharacters"/>
          <w:rFonts w:cs="Calibri"/>
        </w:rPr>
        <w:t xml:space="preserve"> </w:t>
      </w:r>
    </w:p>
    <w:p>
      <w:pPr>
        <w:pStyle w:val="ListParagraph"/>
        <w:numPr>
          <w:ilvl w:val="1"/>
          <w:numId w:val="299"/>
        </w:numPr>
        <w:rPr/>
      </w:pPr>
      <w:r>
        <w:rPr/>
        <w:t>An alternate or backup site; or</w:t>
      </w:r>
    </w:p>
    <w:p>
      <w:pPr>
        <w:pStyle w:val="ListParagraph"/>
        <w:numPr>
          <w:ilvl w:val="1"/>
          <w:numId w:val="299"/>
        </w:numPr>
        <w:rPr/>
      </w:pPr>
      <w:r>
        <w:rPr/>
        <w:t>A commercial storage facility; and</w:t>
      </w:r>
    </w:p>
    <w:p>
      <w:pPr>
        <w:pStyle w:val="ListParagraph"/>
        <w:numPr>
          <w:ilvl w:val="0"/>
          <w:numId w:val="299"/>
        </w:numPr>
        <w:rPr/>
      </w:pPr>
      <w:r>
        <w:rPr/>
        <w:t>Review the backup facility’s security at least annually.</w:t>
      </w:r>
    </w:p>
    <w:p>
      <w:pPr>
        <w:pStyle w:val="Normal"/>
        <w:rPr/>
      </w:pPr>
      <w:r>
        <w:rPr/>
      </w:r>
    </w:p>
    <w:p>
      <w:pPr>
        <w:pStyle w:val="Normal"/>
        <w:rPr/>
      </w:pPr>
      <w:r>
        <w:rPr>
          <w:u w:val="single"/>
        </w:rPr>
        <w:t>Guidelines</w:t>
      </w:r>
      <w:r>
        <w:rPr/>
        <w:t>: Controls for physically securing media are intended to prevent unauthorized persons from gaining access to sensitive data on any type of media. Sensitive data is susceptible to unauthorized viewing, copying or scanning if it is unprotected while it is on removable or portable media, printed out or left on someone’s desk. Media includes but is not limited to computers, removable electronic media, paper receipts, paper reports and faxes.</w:t>
      </w:r>
    </w:p>
    <w:p>
      <w:pPr>
        <w:pStyle w:val="Normal"/>
        <w:rPr/>
      </w:pPr>
      <w:r>
        <w:rPr/>
      </w:r>
    </w:p>
    <w:p>
      <w:pPr>
        <w:pStyle w:val="Heading3"/>
        <w:rPr/>
      </w:pPr>
      <w:bookmarkStart w:id="657" w:name="_Toc474074935"/>
      <w:bookmarkStart w:id="658" w:name="_Toc34920748"/>
      <w:r>
        <w:rPr/>
        <w:t>DCH-06(b): Media Storage | Sensitive Data Inventories</w:t>
      </w:r>
      <w:bookmarkEnd w:id="657"/>
      <w:bookmarkEnd w:id="658"/>
    </w:p>
    <w:p>
      <w:pPr>
        <w:pStyle w:val="Normal"/>
        <w:rPr/>
      </w:pPr>
      <w:r>
        <w:rPr>
          <w:u w:val="single"/>
        </w:rPr>
        <w:t>Control Objective</w:t>
      </w:r>
      <w:r>
        <w:rPr/>
        <w:t>: The organization maintains inventory logs of all sensitive media and conducts sensitive media inventories at least annually.</w:t>
      </w:r>
    </w:p>
    <w:p>
      <w:pPr>
        <w:pStyle w:val="Normal"/>
        <w:rPr/>
      </w:pPr>
      <w:r>
        <w:rPr/>
      </w:r>
    </w:p>
    <w:p>
      <w:pPr>
        <w:pStyle w:val="Normal"/>
        <w:rPr/>
      </w:pPr>
      <w:r>
        <w:rPr>
          <w:u w:val="single"/>
        </w:rPr>
        <w:t>Standard</w:t>
      </w:r>
      <w:r>
        <w:rPr/>
        <w:t>: Data/process owners and asset custodians of sensitive data are required to:</w:t>
      </w:r>
    </w:p>
    <w:p>
      <w:pPr>
        <w:pStyle w:val="ListParagraph"/>
        <w:numPr>
          <w:ilvl w:val="0"/>
          <w:numId w:val="300"/>
        </w:numPr>
        <w:rPr/>
      </w:pPr>
      <w:r>
        <w:rPr/>
        <w:t xml:space="preserve">Maintain an inventory log of all media; and </w:t>
      </w:r>
    </w:p>
    <w:p>
      <w:pPr>
        <w:pStyle w:val="ListParagraph"/>
        <w:numPr>
          <w:ilvl w:val="0"/>
          <w:numId w:val="300"/>
        </w:numPr>
        <w:rPr/>
      </w:pPr>
      <w:r>
        <w:rPr/>
        <w:t xml:space="preserve">Conduct media inventories at least annually. </w:t>
      </w:r>
    </w:p>
    <w:p>
      <w:pPr>
        <w:pStyle w:val="Normal"/>
        <w:rPr/>
      </w:pPr>
      <w:r>
        <w:rPr/>
      </w:r>
    </w:p>
    <w:p>
      <w:pPr>
        <w:pStyle w:val="Normal"/>
        <w:rPr/>
      </w:pPr>
      <w:r>
        <w:rPr>
          <w:u w:val="single"/>
        </w:rPr>
        <w:t>Guidelines</w:t>
      </w:r>
      <w:r>
        <w:rPr/>
        <w:t>: None</w:t>
      </w:r>
    </w:p>
    <w:p>
      <w:pPr>
        <w:pStyle w:val="Normal"/>
        <w:rPr/>
      </w:pPr>
      <w:r>
        <w:rPr/>
      </w:r>
    </w:p>
    <w:p>
      <w:pPr>
        <w:pStyle w:val="Heading3"/>
        <w:rPr/>
      </w:pPr>
      <w:bookmarkStart w:id="659" w:name="_Toc474074936"/>
      <w:bookmarkStart w:id="660" w:name="_Toc34920749"/>
      <w:r>
        <w:rPr/>
        <w:t>DCH-06(c): Media Storage | Periodic Scans for Sensitive Data</w:t>
      </w:r>
      <w:bookmarkEnd w:id="659"/>
      <w:bookmarkEnd w:id="660"/>
      <w:r>
        <w:rPr/>
        <w:t xml:space="preserve"> </w:t>
      </w:r>
    </w:p>
    <w:p>
      <w:pPr>
        <w:pStyle w:val="Normal"/>
        <w:rPr/>
      </w:pPr>
      <w:r>
        <w:rPr>
          <w:u w:val="single"/>
        </w:rPr>
        <w:t>Control Objective</w:t>
      </w:r>
      <w:r>
        <w:rPr/>
        <w:t>: The organization periodically scans potential data sources for sensitive data.</w:t>
      </w:r>
    </w:p>
    <w:p>
      <w:pPr>
        <w:pStyle w:val="Normal"/>
        <w:rPr/>
      </w:pPr>
      <w:r>
        <w:rPr/>
      </w:r>
    </w:p>
    <w:p>
      <w:pPr>
        <w:pStyle w:val="Normal"/>
        <w:rPr/>
      </w:pPr>
      <w:r>
        <w:rPr>
          <w:u w:val="single"/>
        </w:rPr>
        <w:t>Standard</w:t>
      </w:r>
      <w:r>
        <w:rPr/>
        <w:t xml:space="preserve">: Where technically feasible, NFCC requires periodic scans of server machines using automated tools to determine whether sensitive data (e.g., PD, ePHI, payment card, account credentials, classified information, etc.) is present on the system in clear text. </w:t>
      </w:r>
    </w:p>
    <w:p>
      <w:pPr>
        <w:pStyle w:val="Normal"/>
        <w:rPr/>
      </w:pPr>
      <w:r>
        <w:rPr/>
      </w:r>
    </w:p>
    <w:p>
      <w:pPr>
        <w:pStyle w:val="Normal"/>
        <w:rPr/>
      </w:pPr>
      <w:r>
        <w:rPr>
          <w:u w:val="single"/>
        </w:rPr>
        <w:t>Guidelines</w:t>
      </w:r>
      <w:r>
        <w:rPr/>
        <w:t>: By searching for patterns that indicate the presence of sensitive information, automated tools can help identify if a business or technical process is leaving behind or otherwise leaking sensitive information.</w:t>
      </w:r>
    </w:p>
    <w:p>
      <w:pPr>
        <w:pStyle w:val="Normal"/>
        <w:rPr/>
      </w:pPr>
      <w:r>
        <w:rPr/>
      </w:r>
    </w:p>
    <w:p>
      <w:pPr>
        <w:pStyle w:val="Heading3"/>
        <w:rPr/>
      </w:pPr>
      <w:bookmarkStart w:id="661" w:name="_Toc474074937"/>
      <w:bookmarkStart w:id="662" w:name="_Toc34920750"/>
      <w:r>
        <w:rPr/>
        <w:t>DCH-06(d): Media Storage | Making Sensitive Data Unreadable In Storage</w:t>
      </w:r>
      <w:bookmarkEnd w:id="661"/>
      <w:bookmarkEnd w:id="662"/>
    </w:p>
    <w:p>
      <w:pPr>
        <w:pStyle w:val="Normal"/>
        <w:rPr/>
      </w:pPr>
      <w:r>
        <w:rPr>
          <w:u w:val="single"/>
        </w:rPr>
        <w:t>Control Objective</w:t>
      </w:r>
      <w:r>
        <w:rPr/>
        <w:t>: The organization implements a process to ensure sensitive data is rendered unreadable anywhere sensitive data is stored.</w:t>
      </w:r>
      <w:r>
        <w:rPr>
          <w:rStyle w:val="FootnoteCharacters"/>
          <w:rFonts w:cs="Calibri"/>
        </w:rPr>
        <w:t xml:space="preserve"> </w:t>
      </w:r>
    </w:p>
    <w:p>
      <w:pPr>
        <w:pStyle w:val="Normal"/>
        <w:rPr/>
      </w:pPr>
      <w:r>
        <w:rPr/>
      </w:r>
    </w:p>
    <w:p>
      <w:pPr>
        <w:pStyle w:val="Normal"/>
        <w:rPr/>
      </w:pPr>
      <w:r>
        <w:rPr>
          <w:u w:val="single"/>
        </w:rPr>
        <w:t>Standard</w:t>
      </w:r>
      <w:r>
        <w:rPr/>
        <w:t xml:space="preserve">: Asset custodians are required to implement technical measures to ensure sensitive data is not accessible by unauthorized users or processes by using any of the following approaches: </w:t>
      </w:r>
    </w:p>
    <w:p>
      <w:pPr>
        <w:pStyle w:val="ListParagraph"/>
        <w:numPr>
          <w:ilvl w:val="0"/>
          <w:numId w:val="301"/>
        </w:numPr>
        <w:rPr/>
      </w:pPr>
      <w:r>
        <w:rPr/>
        <w:t>Render sensitive data unreadable anywhere sensitive data is stored, including on portable digital media, backup media and in logs through the means of:</w:t>
      </w:r>
    </w:p>
    <w:p>
      <w:pPr>
        <w:pStyle w:val="ListParagraph"/>
        <w:numPr>
          <w:ilvl w:val="1"/>
          <w:numId w:val="301"/>
        </w:numPr>
        <w:rPr/>
      </w:pPr>
      <w:r>
        <w:rPr/>
        <w:t>One-way hashes based on strong cryptography (hash must be of the entire sensitive data element);</w:t>
      </w:r>
    </w:p>
    <w:p>
      <w:pPr>
        <w:pStyle w:val="ListParagraph"/>
        <w:numPr>
          <w:ilvl w:val="1"/>
          <w:numId w:val="301"/>
        </w:numPr>
        <w:rPr/>
      </w:pPr>
      <w:r>
        <w:rPr/>
        <w:t>Truncation (hashing cannot be used to replace the truncated segment of the sensitive data element);</w:t>
      </w:r>
    </w:p>
    <w:p>
      <w:pPr>
        <w:pStyle w:val="ListParagraph"/>
        <w:numPr>
          <w:ilvl w:val="1"/>
          <w:numId w:val="301"/>
        </w:numPr>
        <w:rPr/>
      </w:pPr>
      <w:r>
        <w:rPr/>
        <w:t>Index tokens and pads (pads must be securely stored); or</w:t>
      </w:r>
    </w:p>
    <w:p>
      <w:pPr>
        <w:pStyle w:val="ListParagraph"/>
        <w:numPr>
          <w:ilvl w:val="1"/>
          <w:numId w:val="301"/>
        </w:numPr>
        <w:rPr/>
      </w:pPr>
      <w:r>
        <w:rPr/>
        <w:t>Strong cryptography with associated key-management processes and procedures; and</w:t>
      </w:r>
    </w:p>
    <w:p>
      <w:pPr>
        <w:pStyle w:val="ListParagraph"/>
        <w:numPr>
          <w:ilvl w:val="0"/>
          <w:numId w:val="301"/>
        </w:numPr>
        <w:rPr/>
      </w:pPr>
      <w:r>
        <w:rPr/>
        <w:t>Preventing decryption keys from being tied to user accounts, if disk encryption is used, rather than file- or column-level database encryption:</w:t>
      </w:r>
      <w:r>
        <w:rPr>
          <w:rStyle w:val="FootnoteCharacters"/>
          <w:rFonts w:cs="Calibri"/>
        </w:rPr>
        <w:t xml:space="preserve"> </w:t>
      </w:r>
    </w:p>
    <w:p>
      <w:pPr>
        <w:pStyle w:val="ListParagraph"/>
        <w:numPr>
          <w:ilvl w:val="1"/>
          <w:numId w:val="301"/>
        </w:numPr>
        <w:rPr/>
      </w:pPr>
      <w:r>
        <w:rPr/>
        <w:t xml:space="preserve">Logical access must be managed independently of native operating system access control mechanisms (e.g., by not using local user account databases). </w:t>
      </w:r>
    </w:p>
    <w:p>
      <w:pPr>
        <w:pStyle w:val="ListParagraph"/>
        <w:numPr>
          <w:ilvl w:val="1"/>
          <w:numId w:val="301"/>
        </w:numPr>
        <w:rPr/>
      </w:pPr>
      <w:r>
        <w:rPr/>
        <w:t>Decryption keys must not be tied to operating system-level user accounts.</w:t>
      </w:r>
    </w:p>
    <w:p>
      <w:pPr>
        <w:pStyle w:val="Normal"/>
        <w:rPr/>
      </w:pPr>
      <w:r>
        <w:rPr/>
      </w:r>
    </w:p>
    <w:p>
      <w:pPr>
        <w:pStyle w:val="Normal"/>
        <w:rPr>
          <w:b/>
          <w:b/>
        </w:rPr>
      </w:pPr>
      <w:r>
        <w:rPr>
          <w:u w:val="single"/>
        </w:rPr>
        <w:t>Guidelines</w:t>
      </w:r>
      <w:r>
        <w:rPr/>
        <w:t>: Since it is a relatively trivial effort for a malicious individual to reconstruct original sensitive data if they have access to both the truncated and hashed version of sensitive data, where hashed and truncated versions of the same data are present NFCC’s environment, additional controls should be in place to ensure that the hashed and truncated versions cannot be correlated to reconstruct the original sensitive data element.</w:t>
      </w:r>
    </w:p>
    <w:p>
      <w:pPr>
        <w:pStyle w:val="Normal"/>
        <w:tabs>
          <w:tab w:val="clear" w:pos="360"/>
          <w:tab w:val="clear" w:pos="720"/>
          <w:tab w:val="clear" w:pos="1080"/>
        </w:tabs>
        <w:jc w:val="left"/>
        <w:rPr>
          <w:rFonts w:eastAsia="Calibri" w:cs="Calibri"/>
          <w:b/>
          <w:b/>
          <w:bCs w:val="false"/>
          <w:iCs/>
          <w:smallCaps/>
          <w:color w:val="1F497D" w:themeColor="text2"/>
        </w:rPr>
      </w:pPr>
      <w:r>
        <w:rPr>
          <w:rFonts w:eastAsia="Calibri" w:cs="Calibri"/>
          <w:b/>
          <w:bCs w:val="false"/>
          <w:iCs/>
          <w:smallCaps/>
          <w:color w:val="1F497D" w:themeColor="text2"/>
        </w:rPr>
      </w:r>
    </w:p>
    <w:p>
      <w:pPr>
        <w:pStyle w:val="Heading3"/>
        <w:rPr/>
      </w:pPr>
      <w:bookmarkStart w:id="663" w:name="_Toc474074938"/>
      <w:bookmarkStart w:id="664" w:name="_Toc34920751"/>
      <w:r>
        <w:rPr/>
        <w:t>DCH-06(e): Media Storage | Storing Authentication Data</w:t>
      </w:r>
      <w:bookmarkEnd w:id="663"/>
      <w:bookmarkEnd w:id="664"/>
      <w:r>
        <w:rPr/>
        <w:t xml:space="preserve"> </w:t>
      </w:r>
    </w:p>
    <w:p>
      <w:pPr>
        <w:pStyle w:val="Normal"/>
        <w:rPr/>
      </w:pPr>
      <w:r>
        <w:rPr>
          <w:u w:val="single"/>
        </w:rPr>
        <w:t>Control Objective</w:t>
      </w:r>
      <w:r>
        <w:rPr/>
        <w:t>: The organization prohibits the storage of sensitive authentication data after authorization.</w:t>
      </w:r>
      <w:r>
        <w:rPr>
          <w:rStyle w:val="FootnoteCharacters"/>
          <w:rFonts w:cs="Calibri"/>
        </w:rPr>
        <w:t xml:space="preserve"> </w:t>
      </w:r>
    </w:p>
    <w:p>
      <w:pPr>
        <w:pStyle w:val="Normal"/>
        <w:rPr/>
      </w:pPr>
      <w:r>
        <w:rPr/>
      </w:r>
    </w:p>
    <w:p>
      <w:pPr>
        <w:pStyle w:val="Normal"/>
        <w:rPr/>
      </w:pPr>
      <w:r>
        <w:rPr>
          <w:u w:val="single"/>
        </w:rPr>
        <w:t>Standard</w:t>
      </w:r>
      <w:r>
        <w:rPr/>
        <w:t>: Asset custodians are required to ensure sensitive authentication data is not stored after authorization, even if it is encrypted. NFCC is prohibited from storing:</w:t>
      </w:r>
      <w:r>
        <w:rPr>
          <w:rStyle w:val="FootnoteCharacters"/>
          <w:rFonts w:cs="Calibri"/>
        </w:rPr>
        <w:t xml:space="preserve"> </w:t>
      </w:r>
    </w:p>
    <w:p>
      <w:pPr>
        <w:pStyle w:val="ListParagraph"/>
        <w:numPr>
          <w:ilvl w:val="0"/>
          <w:numId w:val="302"/>
        </w:numPr>
        <w:rPr/>
      </w:pPr>
      <w:r>
        <w:rPr/>
        <w:t>The full contents of any track:</w:t>
      </w:r>
      <w:r>
        <w:rPr>
          <w:rStyle w:val="FootnoteCharacters"/>
          <w:rFonts w:cs="Calibri"/>
        </w:rPr>
        <w:t xml:space="preserve"> </w:t>
      </w:r>
    </w:p>
    <w:p>
      <w:pPr>
        <w:pStyle w:val="ListParagraph"/>
        <w:numPr>
          <w:ilvl w:val="1"/>
          <w:numId w:val="302"/>
        </w:numPr>
        <w:rPr/>
      </w:pPr>
      <w:r>
        <w:rPr/>
        <w:t>Tracks are from the magnetic stripe located on the back of a card, equivalent data contained on a chip or elsewhere.</w:t>
      </w:r>
    </w:p>
    <w:p>
      <w:pPr>
        <w:pStyle w:val="ListParagraph"/>
        <w:numPr>
          <w:ilvl w:val="1"/>
          <w:numId w:val="302"/>
        </w:numPr>
        <w:rPr/>
      </w:pPr>
      <w:r>
        <w:rPr/>
        <w:t>This data is alternatively called the full track, track, track 1, track 2 and magnetic-stripe data.</w:t>
      </w:r>
    </w:p>
    <w:p>
      <w:pPr>
        <w:pStyle w:val="ListParagraph"/>
        <w:numPr>
          <w:ilvl w:val="0"/>
          <w:numId w:val="302"/>
        </w:numPr>
        <w:rPr/>
      </w:pPr>
      <w:r>
        <w:rPr/>
        <w:t>Storing the card verification code or value (three-digit or four-digit number printed on the front or back of a payment card) used to verify card-not-present transactions;</w:t>
      </w:r>
      <w:r>
        <w:rPr>
          <w:rStyle w:val="FootnoteCharacters"/>
          <w:rFonts w:cs="Calibri"/>
        </w:rPr>
        <w:t xml:space="preserve"> </w:t>
      </w:r>
      <w:r>
        <w:rPr/>
        <w:t>and</w:t>
      </w:r>
    </w:p>
    <w:p>
      <w:pPr>
        <w:pStyle w:val="ListParagraph"/>
        <w:numPr>
          <w:ilvl w:val="0"/>
          <w:numId w:val="302"/>
        </w:numPr>
        <w:rPr/>
      </w:pPr>
      <w:r>
        <w:rPr/>
        <w:t>Storing the Personal Identification Number (PIN) or the encrypted PIN block.</w:t>
      </w:r>
      <w:r>
        <w:rPr>
          <w:rStyle w:val="Heading3Char"/>
        </w:rPr>
        <w:t xml:space="preserve"> </w:t>
      </w:r>
    </w:p>
    <w:p>
      <w:pPr>
        <w:pStyle w:val="Normal"/>
        <w:rPr/>
      </w:pPr>
      <w:r>
        <w:rPr/>
      </w:r>
    </w:p>
    <w:p>
      <w:pPr>
        <w:pStyle w:val="Normal"/>
        <w:rPr/>
      </w:pPr>
      <w:r>
        <w:rPr>
          <w:u w:val="single"/>
        </w:rPr>
        <w:t>Guidelines</w:t>
      </w:r>
      <w:r>
        <w:rPr/>
        <w:t>: For credit or debit payment card data, NFCC is not allowed to store:</w:t>
      </w:r>
    </w:p>
    <w:p>
      <w:pPr>
        <w:pStyle w:val="ListParagraph"/>
        <w:numPr>
          <w:ilvl w:val="0"/>
          <w:numId w:val="107"/>
        </w:numPr>
        <w:rPr/>
      </w:pPr>
      <w:r>
        <w:rPr/>
        <w:t>Sensitive authentication data after authorization, even if it is encrypted;</w:t>
      </w:r>
    </w:p>
    <w:p>
      <w:pPr>
        <w:pStyle w:val="ListParagraph"/>
        <w:numPr>
          <w:ilvl w:val="0"/>
          <w:numId w:val="107"/>
        </w:numPr>
        <w:rPr/>
      </w:pPr>
      <w:r>
        <w:rPr/>
        <w:t>The full contents of any track (from the magnetic stripe located on the back of a card, equivalent data contained on a chip or elsewhere). This data is alternatively called full track, track, track 1, track 2 and magnetic-stripe data;</w:t>
      </w:r>
    </w:p>
    <w:p>
      <w:pPr>
        <w:pStyle w:val="ListParagraph"/>
        <w:numPr>
          <w:ilvl w:val="0"/>
          <w:numId w:val="107"/>
        </w:numPr>
        <w:rPr/>
      </w:pPr>
      <w:r>
        <w:rPr/>
        <w:t>The card verification code or value (three-digit or four-digit number printed on the front or back of a payment card) used to verify card-not-present transactions; or</w:t>
      </w:r>
    </w:p>
    <w:p>
      <w:pPr>
        <w:pStyle w:val="ListParagraph"/>
        <w:numPr>
          <w:ilvl w:val="0"/>
          <w:numId w:val="107"/>
        </w:numPr>
        <w:rPr/>
      </w:pPr>
      <w:r>
        <w:rPr/>
        <w:t xml:space="preserve">The personal identification number (PIN) or the encrypted PIN block. </w:t>
      </w:r>
    </w:p>
    <w:p>
      <w:pPr>
        <w:pStyle w:val="Normal"/>
        <w:rPr/>
      </w:pPr>
      <w:r>
        <w:rPr/>
      </w:r>
    </w:p>
    <w:p>
      <w:pPr>
        <w:pStyle w:val="Normal"/>
        <w:rPr/>
      </w:pPr>
      <w:r>
        <w:rPr/>
        <w:t>The following data sources should be examined to verify that the full contents of any track from the magnetic stripe on the back of the card or equivalent data on a chip are not stored under any circumstance:</w:t>
      </w:r>
    </w:p>
    <w:p>
      <w:pPr>
        <w:pStyle w:val="ListParagraph"/>
        <w:numPr>
          <w:ilvl w:val="0"/>
          <w:numId w:val="211"/>
        </w:numPr>
        <w:rPr/>
      </w:pPr>
      <w:r>
        <w:rPr/>
        <w:t>Incoming transaction data;</w:t>
      </w:r>
    </w:p>
    <w:p>
      <w:pPr>
        <w:pStyle w:val="ListParagraph"/>
        <w:numPr>
          <w:ilvl w:val="0"/>
          <w:numId w:val="211"/>
        </w:numPr>
        <w:rPr/>
      </w:pPr>
      <w:r>
        <w:rPr/>
        <w:t>All logs (e.g., transaction, history, debugging, error);</w:t>
      </w:r>
    </w:p>
    <w:p>
      <w:pPr>
        <w:pStyle w:val="ListParagraph"/>
        <w:numPr>
          <w:ilvl w:val="0"/>
          <w:numId w:val="211"/>
        </w:numPr>
        <w:rPr/>
      </w:pPr>
      <w:r>
        <w:rPr/>
        <w:t>History files;</w:t>
      </w:r>
    </w:p>
    <w:p>
      <w:pPr>
        <w:pStyle w:val="ListParagraph"/>
        <w:numPr>
          <w:ilvl w:val="0"/>
          <w:numId w:val="211"/>
        </w:numPr>
        <w:rPr/>
      </w:pPr>
      <w:r>
        <w:rPr/>
        <w:t>Trace files;</w:t>
      </w:r>
    </w:p>
    <w:p>
      <w:pPr>
        <w:pStyle w:val="ListParagraph"/>
        <w:numPr>
          <w:ilvl w:val="0"/>
          <w:numId w:val="211"/>
        </w:numPr>
        <w:rPr/>
      </w:pPr>
      <w:r>
        <w:rPr/>
        <w:t>Several database schemas; and</w:t>
      </w:r>
    </w:p>
    <w:p>
      <w:pPr>
        <w:pStyle w:val="ListParagraph"/>
        <w:numPr>
          <w:ilvl w:val="0"/>
          <w:numId w:val="211"/>
        </w:numPr>
        <w:rPr/>
      </w:pPr>
      <w:r>
        <w:rPr/>
        <w:t>Database contents.</w:t>
      </w:r>
    </w:p>
    <w:p>
      <w:pPr>
        <w:pStyle w:val="Normal"/>
        <w:rPr/>
      </w:pPr>
      <w:r>
        <w:rPr/>
      </w:r>
    </w:p>
    <w:p>
      <w:pPr>
        <w:pStyle w:val="Normal"/>
        <w:rPr/>
      </w:pPr>
      <w:r>
        <w:rPr/>
      </w:r>
    </w:p>
    <w:p>
      <w:pPr>
        <w:pStyle w:val="Heading2"/>
        <w:rPr/>
      </w:pPr>
      <w:bookmarkStart w:id="665" w:name="_Toc474074939"/>
      <w:bookmarkStart w:id="666" w:name="_Toc474075600"/>
      <w:bookmarkStart w:id="667" w:name="_Toc34920752"/>
      <w:r>
        <w:rPr/>
        <w:t>DCH-07: Media Transportation</w:t>
      </w:r>
      <w:bookmarkEnd w:id="665"/>
      <w:bookmarkEnd w:id="666"/>
      <w:bookmarkEnd w:id="667"/>
      <w:r>
        <w:rPr/>
        <w:t xml:space="preserve"> </w:t>
      </w:r>
    </w:p>
    <w:p>
      <w:pPr>
        <w:pStyle w:val="Normal"/>
        <w:rPr/>
      </w:pPr>
      <w:r>
        <w:rPr>
          <w:u w:val="single"/>
        </w:rPr>
        <w:t>Control Objective</w:t>
      </w:r>
      <w:r>
        <w:rPr/>
        <w:t>: The organization:</w:t>
      </w:r>
      <w:r>
        <w:rPr>
          <w:rStyle w:val="FootnoteAnchor"/>
          <w:rStyle w:val="FootnoteAnchor"/>
          <w:rFonts w:cs="Calibri"/>
        </w:rPr>
        <w:footnoteReference w:id="210"/>
      </w:r>
    </w:p>
    <w:p>
      <w:pPr>
        <w:pStyle w:val="ListParagraph"/>
        <w:numPr>
          <w:ilvl w:val="0"/>
          <w:numId w:val="47"/>
        </w:numPr>
        <w:rPr/>
      </w:pPr>
      <w:r>
        <w:rPr/>
        <w:t>Protects and controls digital and non-digital media during transport outside of controlled areas using organization-defined security measures;</w:t>
      </w:r>
    </w:p>
    <w:p>
      <w:pPr>
        <w:pStyle w:val="ListParagraph"/>
        <w:numPr>
          <w:ilvl w:val="0"/>
          <w:numId w:val="47"/>
        </w:numPr>
        <w:rPr/>
      </w:pPr>
      <w:r>
        <w:rPr/>
        <w:t>Maintains accountability for system media during transport outside of controlled areas; and</w:t>
      </w:r>
    </w:p>
    <w:p>
      <w:pPr>
        <w:pStyle w:val="ListParagraph"/>
        <w:numPr>
          <w:ilvl w:val="0"/>
          <w:numId w:val="47"/>
        </w:numPr>
        <w:rPr/>
      </w:pPr>
      <w:r>
        <w:rPr/>
        <w:t>Restricts the activities associated with transport of such media to authorized personnel.</w:t>
      </w:r>
    </w:p>
    <w:p>
      <w:pPr>
        <w:pStyle w:val="Normal"/>
        <w:rPr/>
      </w:pPr>
      <w:r>
        <w:rPr/>
      </w:r>
    </w:p>
    <w:p>
      <w:pPr>
        <w:pStyle w:val="Normal"/>
        <w:rPr/>
      </w:pPr>
      <w:r>
        <w:rPr>
          <w:u w:val="single"/>
        </w:rPr>
        <w:t>Standard</w:t>
      </w:r>
      <w:r>
        <w:rPr/>
        <w:t>: NFCC users are required to ensure:</w:t>
      </w:r>
    </w:p>
    <w:p>
      <w:pPr>
        <w:pStyle w:val="ListParagraph"/>
        <w:numPr>
          <w:ilvl w:val="0"/>
          <w:numId w:val="303"/>
        </w:numPr>
        <w:rPr/>
      </w:pPr>
      <w:r>
        <w:rPr/>
        <w:t>Digital and non-digital media is protected during transport outside of NFCC-controlled areas using available security measures;</w:t>
      </w:r>
    </w:p>
    <w:p>
      <w:pPr>
        <w:pStyle w:val="ListParagraph"/>
        <w:numPr>
          <w:ilvl w:val="0"/>
          <w:numId w:val="303"/>
        </w:numPr>
        <w:rPr/>
      </w:pPr>
      <w:r>
        <w:rPr/>
        <w:t>Management must approve any sensitive media that is moved from a secured area;</w:t>
      </w:r>
    </w:p>
    <w:p>
      <w:pPr>
        <w:pStyle w:val="ListParagraph"/>
        <w:numPr>
          <w:ilvl w:val="0"/>
          <w:numId w:val="303"/>
        </w:numPr>
        <w:rPr/>
      </w:pPr>
      <w:r>
        <w:rPr/>
        <w:t>Accountability is maintained for system media during transport outside of NFCC-controlled areas; and</w:t>
      </w:r>
    </w:p>
    <w:p>
      <w:pPr>
        <w:pStyle w:val="ListParagraph"/>
        <w:numPr>
          <w:ilvl w:val="0"/>
          <w:numId w:val="303"/>
        </w:numPr>
        <w:rPr/>
      </w:pPr>
      <w:r>
        <w:rPr/>
        <w:t>Activities associated with transport of sensitive media are restricted to authorized personnel.</w:t>
      </w:r>
    </w:p>
    <w:p>
      <w:pPr>
        <w:pStyle w:val="Normal"/>
        <w:rPr/>
      </w:pPr>
      <w:r>
        <w:rPr/>
      </w:r>
    </w:p>
    <w:p>
      <w:pPr>
        <w:pStyle w:val="Normal"/>
        <w:rPr>
          <w:u w:val="single"/>
        </w:rPr>
      </w:pPr>
      <w:r>
        <w:rPr>
          <w:u w:val="single"/>
        </w:rPr>
        <w:t>Guidelines</w:t>
      </w:r>
      <w:r>
        <w:rPr/>
        <w:t xml:space="preserve">: Information system media includes both digital and non-digital media. Non-digital media includes, for example, diskettes, magnetic tapes, removable hard drives, flash drives, compact disks and digital video disks. Non-digital media includes, for example, paper and microfilm. This control also applies to mobile computing and communications devices with information storage capability (e.g., notebook computers, personal digital assistants, cellular telephones, digital cameras and audio recording devices) that are transported outside of controlled areas. </w:t>
      </w:r>
    </w:p>
    <w:p>
      <w:pPr>
        <w:pStyle w:val="Normal"/>
        <w:rPr/>
      </w:pPr>
      <w:r>
        <w:rPr/>
      </w:r>
    </w:p>
    <w:p>
      <w:pPr>
        <w:pStyle w:val="Heading3"/>
        <w:rPr/>
      </w:pPr>
      <w:bookmarkStart w:id="668" w:name="_Toc474074940"/>
      <w:bookmarkStart w:id="669" w:name="_Toc34920753"/>
      <w:r>
        <w:rPr/>
        <w:t>DCH-07(a): Media Transportation | Custodians</w:t>
      </w:r>
      <w:bookmarkEnd w:id="668"/>
      <w:bookmarkEnd w:id="669"/>
    </w:p>
    <w:p>
      <w:pPr>
        <w:pStyle w:val="Normal"/>
        <w:rPr/>
      </w:pPr>
      <w:r>
        <w:rPr>
          <w:u w:val="single"/>
        </w:rPr>
        <w:t>Control Objective</w:t>
      </w:r>
      <w:r>
        <w:rPr/>
        <w:t>: The organization employs an identified custodian throughout the transport of media.</w:t>
      </w:r>
      <w:r>
        <w:rPr>
          <w:rStyle w:val="FootnoteCharacters"/>
          <w:rFonts w:cs="Calibri"/>
        </w:rPr>
        <w:t xml:space="preserve"> </w:t>
      </w:r>
      <w:r>
        <w:rPr>
          <w:rStyle w:val="FootnoteAnchor"/>
          <w:rStyle w:val="FootnoteAnchor"/>
          <w:rFonts w:cs="Calibri"/>
        </w:rPr>
        <w:footnoteReference w:id="211"/>
      </w:r>
    </w:p>
    <w:p>
      <w:pPr>
        <w:pStyle w:val="Normal"/>
        <w:rPr/>
      </w:pPr>
      <w:r>
        <w:rPr/>
      </w:r>
    </w:p>
    <w:p>
      <w:pPr>
        <w:pStyle w:val="Normal"/>
        <w:rPr/>
      </w:pPr>
      <w:r>
        <w:rPr>
          <w:u w:val="single"/>
        </w:rPr>
        <w:t>Standard</w:t>
      </w:r>
      <w:r>
        <w:rPr/>
        <w:t xml:space="preserve">: Data / process owners are required to ensure a dedicated custodian is identified throughout the transport of system media. </w:t>
      </w:r>
    </w:p>
    <w:p>
      <w:pPr>
        <w:pStyle w:val="Normal"/>
        <w:rPr/>
      </w:pPr>
      <w:r>
        <w:rPr/>
      </w:r>
    </w:p>
    <w:p>
      <w:pPr>
        <w:pStyle w:val="Normal"/>
        <w:rPr/>
      </w:pPr>
      <w:r>
        <w:rPr>
          <w:u w:val="single"/>
        </w:rPr>
        <w:t>Guidelines</w:t>
      </w:r>
      <w:r>
        <w:rPr/>
        <w:t>: Custodial responsibilities can be transferred from one individual to another as long as an unambiguous custodian is identified at all times.</w:t>
      </w:r>
    </w:p>
    <w:p>
      <w:pPr>
        <w:pStyle w:val="Normal"/>
        <w:rPr/>
      </w:pPr>
      <w:r>
        <w:rPr/>
      </w:r>
    </w:p>
    <w:p>
      <w:pPr>
        <w:pStyle w:val="Heading3"/>
        <w:rPr/>
      </w:pPr>
      <w:bookmarkStart w:id="670" w:name="_Toc23241835"/>
      <w:bookmarkStart w:id="671" w:name="_Toc34920754"/>
      <w:r>
        <w:rPr/>
        <w:t>DCH-07(b): Media Transportation | Encrypting Data In Storage Media</w:t>
      </w:r>
      <w:bookmarkEnd w:id="671"/>
      <w:r>
        <w:rPr/>
        <w:t xml:space="preserve"> </w:t>
      </w:r>
      <w:bookmarkEnd w:id="670"/>
      <w:r>
        <w:rPr/>
        <w:t xml:space="preserve"> </w:t>
      </w:r>
    </w:p>
    <w:p>
      <w:pPr>
        <w:pStyle w:val="Normal"/>
        <w:rPr>
          <w:rFonts w:cs="Calibri"/>
          <w:bCs w:val="false"/>
        </w:rPr>
      </w:pPr>
      <w:r>
        <w:rPr>
          <w:rFonts w:cs="Calibri"/>
          <w:u w:val="single"/>
        </w:rPr>
        <w:t>Control Objective</w:t>
      </w:r>
      <w:r>
        <w:rPr>
          <w:rFonts w:cs="Calibri"/>
        </w:rPr>
        <w:t>:</w:t>
      </w:r>
      <w:r>
        <w:rPr>
          <w:rFonts w:cs="Calibri"/>
          <w:bCs w:val="false"/>
        </w:rPr>
        <w:t xml:space="preserve"> </w:t>
      </w:r>
      <w:r>
        <w:rPr>
          <w:rFonts w:cs="Calibri"/>
        </w:rPr>
        <w:t xml:space="preserve">The organization </w:t>
      </w:r>
      <w:r>
        <w:rPr>
          <w:rFonts w:cs="Calibri"/>
          <w:bCs w:val="false"/>
        </w:rPr>
        <w:t>employs cryptographic mechanisms to protect the confidentiality and integrity of information stored on digital media during transport outside of controlled areas.</w:t>
      </w:r>
      <w:r>
        <w:rPr>
          <w:rStyle w:val="FootnoteAnchor"/>
          <w:rStyle w:val="FootnoteAnchor"/>
          <w:rFonts w:cs="Calibri"/>
          <w:bCs w:val="false"/>
        </w:rPr>
        <w:footnoteReference w:id="212"/>
      </w:r>
    </w:p>
    <w:p>
      <w:pPr>
        <w:pStyle w:val="Normal"/>
        <w:rPr>
          <w:rFonts w:cs="Calibri"/>
          <w:bCs w:val="false"/>
          <w:u w:val="single"/>
        </w:rPr>
      </w:pPr>
      <w:r>
        <w:rPr>
          <w:rFonts w:cs="Calibri"/>
          <w:bCs w:val="false"/>
          <w:u w:val="single"/>
        </w:rPr>
      </w:r>
    </w:p>
    <w:p>
      <w:pPr>
        <w:pStyle w:val="Normal"/>
        <w:rPr>
          <w:rFonts w:cs="Calibri"/>
          <w:bCs w:val="false"/>
        </w:rPr>
      </w:pPr>
      <w:r>
        <w:rPr>
          <w:rFonts w:cs="Calibri"/>
          <w:bCs w:val="false"/>
          <w:u w:val="single"/>
        </w:rPr>
        <w:t>Standard</w:t>
      </w:r>
      <w:r>
        <w:rPr>
          <w:rFonts w:cs="Calibri"/>
          <w:bCs w:val="false"/>
        </w:rPr>
        <w:t>: Data/process owners and asset custodians are required to employ cryptographic mechanisms to protect the confidentiality and integrity of information stored on digital media during transport outside of controlled areas.</w:t>
      </w:r>
    </w:p>
    <w:p>
      <w:pPr>
        <w:pStyle w:val="Normal"/>
        <w:rPr>
          <w:rFonts w:cs="Calibri"/>
        </w:rPr>
      </w:pPr>
      <w:r>
        <w:rPr>
          <w:rFonts w:cs="Calibri"/>
        </w:rPr>
      </w:r>
    </w:p>
    <w:p>
      <w:pPr>
        <w:pStyle w:val="Normal"/>
        <w:rPr>
          <w:rFonts w:cs="Calibri"/>
        </w:rPr>
      </w:pPr>
      <w:r>
        <w:rPr>
          <w:rFonts w:cs="Calibri"/>
          <w:u w:val="single"/>
        </w:rPr>
        <w:t>Guidelines</w:t>
      </w:r>
      <w:r>
        <w:rPr>
          <w:rFonts w:cs="Calibri"/>
        </w:rPr>
        <w:t xml:space="preserve">: This standard also applies to mobile devices. Mobile devices include </w:t>
      </w:r>
    </w:p>
    <w:p>
      <w:pPr>
        <w:pStyle w:val="ListParagraph"/>
        <w:numPr>
          <w:ilvl w:val="0"/>
          <w:numId w:val="194"/>
        </w:numPr>
        <w:rPr>
          <w:rFonts w:cs="Calibri"/>
        </w:rPr>
      </w:pPr>
      <w:r>
        <w:rPr>
          <w:rFonts w:cs="Calibri"/>
        </w:rPr>
        <w:t>Portable storage media:</w:t>
      </w:r>
    </w:p>
    <w:p>
      <w:pPr>
        <w:pStyle w:val="ListParagraph"/>
        <w:numPr>
          <w:ilvl w:val="1"/>
          <w:numId w:val="194"/>
        </w:numPr>
        <w:rPr>
          <w:rFonts w:cs="Calibri"/>
        </w:rPr>
      </w:pPr>
      <w:r>
        <w:rPr>
          <w:rFonts w:cs="Calibri"/>
        </w:rPr>
        <w:t>USB memory sticks; and</w:t>
      </w:r>
    </w:p>
    <w:p>
      <w:pPr>
        <w:pStyle w:val="ListParagraph"/>
        <w:numPr>
          <w:ilvl w:val="1"/>
          <w:numId w:val="194"/>
        </w:numPr>
        <w:rPr>
          <w:rFonts w:cs="Calibri"/>
        </w:rPr>
      </w:pPr>
      <w:r>
        <w:rPr>
          <w:rFonts w:cs="Calibri"/>
        </w:rPr>
        <w:t>External hard disk drives</w:t>
      </w:r>
    </w:p>
    <w:p>
      <w:pPr>
        <w:pStyle w:val="ListParagraph"/>
        <w:numPr>
          <w:ilvl w:val="0"/>
          <w:numId w:val="194"/>
        </w:numPr>
        <w:rPr>
          <w:rFonts w:cs="Calibri"/>
        </w:rPr>
      </w:pPr>
      <w:r>
        <w:rPr>
          <w:rFonts w:cs="Calibri"/>
        </w:rPr>
        <w:t>Portable computing and communications devices with storage capability:</w:t>
      </w:r>
    </w:p>
    <w:p>
      <w:pPr>
        <w:pStyle w:val="ListParagraph"/>
        <w:numPr>
          <w:ilvl w:val="1"/>
          <w:numId w:val="194"/>
        </w:numPr>
        <w:rPr>
          <w:rFonts w:cs="Calibri"/>
        </w:rPr>
      </w:pPr>
      <w:r>
        <w:rPr>
          <w:rFonts w:cs="Calibri"/>
        </w:rPr>
        <w:t>Notebook computers;</w:t>
      </w:r>
    </w:p>
    <w:p>
      <w:pPr>
        <w:pStyle w:val="ListParagraph"/>
        <w:numPr>
          <w:ilvl w:val="1"/>
          <w:numId w:val="194"/>
        </w:numPr>
        <w:rPr>
          <w:rFonts w:cs="Calibri"/>
        </w:rPr>
      </w:pPr>
      <w:r>
        <w:rPr>
          <w:rFonts w:cs="Calibri"/>
        </w:rPr>
        <w:t>Personal Digital Assistants (PDAs); and</w:t>
      </w:r>
    </w:p>
    <w:p>
      <w:pPr>
        <w:pStyle w:val="ListParagraph"/>
        <w:numPr>
          <w:ilvl w:val="1"/>
          <w:numId w:val="194"/>
        </w:numPr>
        <w:rPr>
          <w:rFonts w:cs="Calibri"/>
        </w:rPr>
      </w:pPr>
      <w:r>
        <w:rPr>
          <w:rFonts w:cs="Calibri"/>
        </w:rPr>
        <w:t>Cellular / smart telephones.</w:t>
      </w:r>
      <w:bookmarkStart w:id="672" w:name="_Hlk27579260"/>
      <w:bookmarkEnd w:id="672"/>
    </w:p>
    <w:p>
      <w:pPr>
        <w:pStyle w:val="Normal"/>
        <w:rPr/>
      </w:pPr>
      <w:r>
        <w:rPr/>
      </w:r>
    </w:p>
    <w:p>
      <w:pPr>
        <w:pStyle w:val="Normal"/>
        <w:rPr/>
      </w:pPr>
      <w:r>
        <w:rPr/>
      </w:r>
    </w:p>
    <w:p>
      <w:pPr>
        <w:pStyle w:val="Heading2"/>
        <w:rPr/>
      </w:pPr>
      <w:bookmarkStart w:id="673" w:name="_Toc398527373"/>
      <w:bookmarkStart w:id="674" w:name="_Toc474074942"/>
      <w:bookmarkStart w:id="675" w:name="_Toc474075601"/>
      <w:bookmarkStart w:id="676" w:name="_Toc34920755"/>
      <w:r>
        <w:rPr/>
        <w:t>DCH-08: Physical Medial Disposal</w:t>
      </w:r>
      <w:bookmarkEnd w:id="673"/>
      <w:bookmarkEnd w:id="674"/>
      <w:bookmarkEnd w:id="675"/>
      <w:bookmarkEnd w:id="676"/>
    </w:p>
    <w:p>
      <w:pPr>
        <w:pStyle w:val="Normal"/>
        <w:rPr/>
      </w:pPr>
      <w:r>
        <w:rPr>
          <w:u w:val="single"/>
        </w:rPr>
        <w:t>Control Objective</w:t>
      </w:r>
      <w:r>
        <w:rPr/>
        <w:t>: The organization disposes of physical media in a secure manner when no longer required, using formal procedures.</w:t>
      </w:r>
      <w:r>
        <w:rPr>
          <w:rStyle w:val="FootnoteCharacters"/>
          <w:rFonts w:cs="Calibri"/>
        </w:rPr>
        <w:t xml:space="preserve"> </w:t>
      </w:r>
      <w:r>
        <w:rPr>
          <w:rStyle w:val="FootnoteAnchor"/>
          <w:rStyle w:val="FootnoteAnchor"/>
          <w:rFonts w:cs="Calibri"/>
        </w:rPr>
        <w:footnoteReference w:id="213"/>
      </w:r>
    </w:p>
    <w:p>
      <w:pPr>
        <w:pStyle w:val="Normal"/>
        <w:rPr/>
      </w:pPr>
      <w:r>
        <w:rPr/>
      </w:r>
    </w:p>
    <w:p>
      <w:pPr>
        <w:pStyle w:val="Normal"/>
        <w:rPr/>
      </w:pPr>
      <w:r>
        <w:rPr>
          <w:u w:val="single"/>
        </w:rPr>
        <w:t>Standard</w:t>
      </w:r>
      <w:r>
        <w:rPr/>
        <w:t>: Data / process owners are required to:</w:t>
      </w:r>
      <w:r>
        <w:rPr>
          <w:rStyle w:val="FootnoteCharacters"/>
          <w:rFonts w:cs="Calibri"/>
        </w:rPr>
        <w:t xml:space="preserve"> </w:t>
      </w:r>
    </w:p>
    <w:p>
      <w:pPr>
        <w:pStyle w:val="ListParagraph"/>
        <w:numPr>
          <w:ilvl w:val="0"/>
          <w:numId w:val="304"/>
        </w:numPr>
        <w:rPr/>
      </w:pPr>
      <w:r>
        <w:rPr/>
        <w:t>Define retention periods for Personal Data (PD); and</w:t>
      </w:r>
    </w:p>
    <w:p>
      <w:pPr>
        <w:pStyle w:val="ListParagraph"/>
        <w:numPr>
          <w:ilvl w:val="0"/>
          <w:numId w:val="304"/>
        </w:numPr>
        <w:rPr/>
      </w:pPr>
      <w:r>
        <w:rPr/>
        <w:t>Dispose of, destroy, erase and / or anonymize the PD once the PD is no longer necessary for business purposes.</w:t>
      </w:r>
    </w:p>
    <w:p>
      <w:pPr>
        <w:pStyle w:val="Normal"/>
        <w:rPr/>
      </w:pPr>
      <w:r>
        <w:rPr/>
      </w:r>
    </w:p>
    <w:p>
      <w:pPr>
        <w:pStyle w:val="Normal"/>
        <w:rPr/>
      </w:pPr>
      <w:r>
        <w:rPr>
          <w:u w:val="single"/>
        </w:rPr>
        <w:t>Guidelines</w:t>
      </w:r>
      <w:r>
        <w:rPr/>
        <w:t>: None</w:t>
      </w:r>
    </w:p>
    <w:p>
      <w:pPr>
        <w:pStyle w:val="Normal"/>
        <w:rPr/>
      </w:pPr>
      <w:r>
        <w:rPr/>
      </w:r>
    </w:p>
    <w:p>
      <w:pPr>
        <w:pStyle w:val="Normal"/>
        <w:rPr/>
      </w:pPr>
      <w:r>
        <w:rPr/>
      </w:r>
    </w:p>
    <w:p>
      <w:pPr>
        <w:pStyle w:val="Heading2"/>
        <w:rPr/>
      </w:pPr>
      <w:bookmarkStart w:id="677" w:name="_Toc474074943"/>
      <w:bookmarkStart w:id="678" w:name="_Toc474075602"/>
      <w:bookmarkStart w:id="679" w:name="_Toc34920756"/>
      <w:r>
        <w:rPr/>
        <w:t>DCH-09: Digital Media Sanitization</w:t>
      </w:r>
      <w:bookmarkEnd w:id="677"/>
      <w:bookmarkEnd w:id="678"/>
      <w:bookmarkEnd w:id="679"/>
    </w:p>
    <w:p>
      <w:pPr>
        <w:pStyle w:val="Normal"/>
        <w:rPr/>
      </w:pPr>
      <w:r>
        <w:rPr>
          <w:u w:val="single"/>
        </w:rPr>
        <w:t>Control Objective</w:t>
      </w:r>
      <w:r>
        <w:rPr/>
        <w:t>: The organization:</w:t>
      </w:r>
      <w:r>
        <w:rPr>
          <w:rStyle w:val="FootnoteAnchor"/>
          <w:rStyle w:val="FootnoteAnchor"/>
          <w:rFonts w:cs="Calibri"/>
        </w:rPr>
        <w:footnoteReference w:id="214"/>
      </w:r>
    </w:p>
    <w:p>
      <w:pPr>
        <w:pStyle w:val="ListParagraph"/>
        <w:numPr>
          <w:ilvl w:val="0"/>
          <w:numId w:val="48"/>
        </w:numPr>
        <w:rPr/>
      </w:pPr>
      <w:r>
        <w:rPr/>
        <w:t>Sanitizes system media, both digital and non-digital, prior to disposal, release out of organizational control or release for reuse; and</w:t>
      </w:r>
    </w:p>
    <w:p>
      <w:pPr>
        <w:pStyle w:val="ListParagraph"/>
        <w:numPr>
          <w:ilvl w:val="0"/>
          <w:numId w:val="48"/>
        </w:numPr>
        <w:rPr/>
      </w:pPr>
      <w:r>
        <w:rPr/>
        <w:t>Employs sanitization mechanisms with strength and integrity commensurate with the classification or sensitivity of the information.</w:t>
      </w:r>
    </w:p>
    <w:p>
      <w:pPr>
        <w:pStyle w:val="Normal"/>
        <w:rPr/>
      </w:pPr>
      <w:r>
        <w:rPr/>
      </w:r>
    </w:p>
    <w:p>
      <w:pPr>
        <w:pStyle w:val="Normal"/>
        <w:rPr/>
      </w:pPr>
      <w:r>
        <w:rPr>
          <w:u w:val="single"/>
        </w:rPr>
        <w:t>Standard</w:t>
      </w:r>
      <w:r>
        <w:rPr/>
        <w:t xml:space="preserve">: Media must be sanitized when it is no longer needed for business or legal reasons. NFCC asset custodians and data / process owners are required to destroy system media that cannot be sanitized, as follows: </w:t>
      </w:r>
    </w:p>
    <w:p>
      <w:pPr>
        <w:pStyle w:val="ListParagraph"/>
        <w:numPr>
          <w:ilvl w:val="0"/>
          <w:numId w:val="305"/>
        </w:numPr>
        <w:rPr/>
      </w:pPr>
      <w:r>
        <w:rPr/>
        <w:t>Shred, incinerate or pulp hardcopy materials so that data cannot be reconstructed; or</w:t>
      </w:r>
    </w:p>
    <w:p>
      <w:pPr>
        <w:pStyle w:val="ListParagraph"/>
        <w:numPr>
          <w:ilvl w:val="0"/>
          <w:numId w:val="305"/>
        </w:numPr>
        <w:rPr/>
      </w:pPr>
      <w:r>
        <w:rPr/>
        <w:t>Render data on electronic media unrecoverable so that data cannot be reconstructed.</w:t>
      </w:r>
    </w:p>
    <w:p>
      <w:pPr>
        <w:pStyle w:val="Normal"/>
        <w:rPr/>
      </w:pPr>
      <w:r>
        <w:rPr/>
      </w:r>
    </w:p>
    <w:p>
      <w:pPr>
        <w:pStyle w:val="Normal"/>
        <w:rPr/>
      </w:pPr>
      <w:r>
        <w:rPr>
          <w:u w:val="single"/>
        </w:rPr>
        <w:t>Guidelines</w:t>
      </w:r>
      <w:r>
        <w:rPr/>
        <w:t xml:space="preserve">: This applies to all digital and non-digital media subject to disposal or reuse to include media found in devices such as scanners, copiers and printers. The sanitization process removes information from system media such that the information cannot be retrieved or reconstructed. Sanitization techniques, including clearing, purging and destruction, prevent the disclosure of information to unauthorized individuals when such media is reused or released for disposal. </w:t>
      </w:r>
    </w:p>
    <w:p>
      <w:pPr>
        <w:pStyle w:val="Normal"/>
        <w:rPr/>
      </w:pPr>
      <w:r>
        <w:rPr/>
      </w:r>
    </w:p>
    <w:p>
      <w:pPr>
        <w:pStyle w:val="Heading3"/>
        <w:rPr/>
      </w:pPr>
      <w:bookmarkStart w:id="680" w:name="_Toc474074944"/>
      <w:bookmarkStart w:id="681" w:name="_Toc34920757"/>
      <w:r>
        <w:rPr/>
        <w:t>DCH-09(a): Media Sanitization | Media Sanitization Documentation</w:t>
      </w:r>
      <w:bookmarkEnd w:id="680"/>
      <w:bookmarkEnd w:id="681"/>
    </w:p>
    <w:p>
      <w:pPr>
        <w:pStyle w:val="Normal"/>
        <w:rPr/>
      </w:pPr>
      <w:r>
        <w:rPr>
          <w:u w:val="single"/>
        </w:rPr>
        <w:t>Control Objective</w:t>
      </w:r>
      <w:r>
        <w:rPr/>
        <w:t>: The organization tracks, documents and verifies media sanitization and disposal actions.</w:t>
      </w:r>
      <w:r>
        <w:rPr>
          <w:rStyle w:val="FootnoteCharacters"/>
          <w:rFonts w:cs="Calibri"/>
        </w:rPr>
        <w:t xml:space="preserve"> </w:t>
      </w:r>
      <w:r>
        <w:rPr>
          <w:rStyle w:val="FootnoteAnchor"/>
          <w:rStyle w:val="FootnoteAnchor"/>
          <w:rFonts w:cs="Calibri"/>
        </w:rPr>
        <w:footnoteReference w:id="215"/>
      </w:r>
    </w:p>
    <w:p>
      <w:pPr>
        <w:pStyle w:val="Normal"/>
        <w:rPr/>
      </w:pPr>
      <w:r>
        <w:rPr/>
      </w:r>
    </w:p>
    <w:p>
      <w:pPr>
        <w:pStyle w:val="Normal"/>
        <w:rPr/>
      </w:pPr>
      <w:r>
        <w:rPr>
          <w:u w:val="single"/>
        </w:rPr>
        <w:t>Standard</w:t>
      </w:r>
      <w:r>
        <w:rPr/>
        <w:t>: Data/process owners and asset custodians are required to:</w:t>
      </w:r>
    </w:p>
    <w:p>
      <w:pPr>
        <w:pStyle w:val="ListParagraph"/>
        <w:numPr>
          <w:ilvl w:val="0"/>
          <w:numId w:val="306"/>
        </w:numPr>
        <w:rPr/>
      </w:pPr>
      <w:r>
        <w:rPr/>
        <w:t>Track, document and verify media sanitization and disposal actions;</w:t>
      </w:r>
    </w:p>
    <w:p>
      <w:pPr>
        <w:pStyle w:val="ListParagraph"/>
        <w:numPr>
          <w:ilvl w:val="0"/>
          <w:numId w:val="306"/>
        </w:numPr>
        <w:rPr/>
      </w:pPr>
      <w:r>
        <w:rPr/>
        <w:t>Assign one individual or department responsible for coordinating data disposal and reuse of equipment; and</w:t>
      </w:r>
    </w:p>
    <w:p>
      <w:pPr>
        <w:pStyle w:val="ListParagraph"/>
        <w:numPr>
          <w:ilvl w:val="0"/>
          <w:numId w:val="306"/>
        </w:numPr>
        <w:rPr/>
      </w:pPr>
      <w:r>
        <w:rPr/>
        <w:t>Train staff members on the security risks associated with the reuse of equipment that stored or processed sensitive data.</w:t>
      </w:r>
    </w:p>
    <w:p>
      <w:pPr>
        <w:pStyle w:val="Normal"/>
        <w:rPr/>
      </w:pPr>
      <w:r>
        <w:rPr/>
      </w:r>
    </w:p>
    <w:p>
      <w:pPr>
        <w:pStyle w:val="Normal"/>
        <w:rPr/>
      </w:pPr>
      <w:r>
        <w:rPr>
          <w:u w:val="single"/>
        </w:rPr>
        <w:t>Guidelines</w:t>
      </w:r>
      <w:r>
        <w:rPr/>
        <w:t>: None</w:t>
      </w:r>
    </w:p>
    <w:p>
      <w:pPr>
        <w:pStyle w:val="Normal"/>
        <w:rPr/>
      </w:pPr>
      <w:r>
        <w:rPr/>
      </w:r>
    </w:p>
    <w:p>
      <w:pPr>
        <w:pStyle w:val="Heading3"/>
        <w:rPr/>
      </w:pPr>
      <w:bookmarkStart w:id="682" w:name="_Toc474074945"/>
      <w:bookmarkStart w:id="683" w:name="_Toc34920758"/>
      <w:r>
        <w:rPr/>
        <w:t>DCH-09(b): Media Sanitization | Equipment Testing</w:t>
      </w:r>
      <w:bookmarkEnd w:id="682"/>
      <w:bookmarkEnd w:id="683"/>
    </w:p>
    <w:p>
      <w:pPr>
        <w:pStyle w:val="Normal"/>
        <w:rPr/>
      </w:pPr>
      <w:r>
        <w:rPr>
          <w:u w:val="single"/>
        </w:rPr>
        <w:t>Control Objective</w:t>
      </w:r>
      <w:r>
        <w:rPr/>
        <w:t>: The organization tests sanitization equipment and procedures on an organization-defined frequency to verify that the intended sanitization is being achieved.</w:t>
      </w:r>
      <w:r>
        <w:rPr>
          <w:rStyle w:val="FootnoteAnchor"/>
          <w:rStyle w:val="FootnoteAnchor"/>
          <w:rFonts w:cs="Calibri"/>
        </w:rPr>
        <w:footnoteReference w:id="216"/>
      </w:r>
    </w:p>
    <w:p>
      <w:pPr>
        <w:pStyle w:val="Normal"/>
        <w:rPr/>
      </w:pPr>
      <w:r>
        <w:rPr/>
      </w:r>
    </w:p>
    <w:p>
      <w:pPr>
        <w:pStyle w:val="Normal"/>
        <w:rPr/>
      </w:pPr>
      <w:r>
        <w:rPr>
          <w:u w:val="single"/>
        </w:rPr>
        <w:t>Standard</w:t>
      </w:r>
      <w:r>
        <w:rPr/>
        <w:t>: Where technically feasible and justified by a valid business case, NFCC shall test sanitization equipment and procedures, at least annually.</w:t>
      </w:r>
    </w:p>
    <w:p>
      <w:pPr>
        <w:pStyle w:val="Normal"/>
        <w:rPr/>
      </w:pPr>
      <w:r>
        <w:rPr/>
      </w:r>
    </w:p>
    <w:p>
      <w:pPr>
        <w:pStyle w:val="Normal"/>
        <w:rPr/>
      </w:pPr>
      <w:r>
        <w:rPr>
          <w:u w:val="single"/>
        </w:rPr>
        <w:t>Guidelines</w:t>
      </w:r>
      <w:r>
        <w:rPr/>
        <w:t>: Testing of sanitization equipment and procedures may be conducted by qualified and authorized external entities (e.g., other federal agencies or external service providers).</w:t>
      </w:r>
    </w:p>
    <w:p>
      <w:pPr>
        <w:pStyle w:val="Normal"/>
        <w:rPr/>
      </w:pPr>
      <w:r>
        <w:rPr/>
      </w:r>
    </w:p>
    <w:p>
      <w:pPr>
        <w:pStyle w:val="Heading3"/>
        <w:rPr/>
      </w:pPr>
      <w:bookmarkStart w:id="684" w:name="_Toc34920759"/>
      <w:r>
        <w:rPr/>
        <w:t>DCH-09(c): Media Sanitization | Destruction of Personal Data (PD)</w:t>
      </w:r>
      <w:bookmarkEnd w:id="684"/>
    </w:p>
    <w:p>
      <w:pPr>
        <w:pStyle w:val="Normal"/>
        <w:rPr/>
      </w:pPr>
      <w:r>
        <w:rPr>
          <w:u w:val="single"/>
        </w:rPr>
        <w:t>Control Objective</w:t>
      </w:r>
      <w:r>
        <w:rPr/>
        <w:t>: The organization facilitates the destruction of Personal Data (PD) by:</w:t>
      </w:r>
    </w:p>
    <w:p>
      <w:pPr>
        <w:pStyle w:val="ListParagraph"/>
        <w:numPr>
          <w:ilvl w:val="0"/>
          <w:numId w:val="570"/>
        </w:numPr>
        <w:tabs>
          <w:tab w:val="clear" w:pos="360"/>
          <w:tab w:val="clear" w:pos="720"/>
          <w:tab w:val="clear" w:pos="1080"/>
        </w:tabs>
        <w:rPr/>
      </w:pPr>
      <w:r>
        <w:rPr/>
        <w:t>De-identifying the PD;</w:t>
      </w:r>
    </w:p>
    <w:p>
      <w:pPr>
        <w:pStyle w:val="ListParagraph"/>
        <w:numPr>
          <w:ilvl w:val="0"/>
          <w:numId w:val="570"/>
        </w:numPr>
        <w:tabs>
          <w:tab w:val="clear" w:pos="360"/>
          <w:tab w:val="clear" w:pos="720"/>
          <w:tab w:val="clear" w:pos="1080"/>
        </w:tabs>
        <w:rPr/>
      </w:pPr>
      <w:r>
        <w:rPr/>
        <w:t>Proactively reviewing media to actively find PD and removing such information; and</w:t>
      </w:r>
    </w:p>
    <w:p>
      <w:pPr>
        <w:pStyle w:val="ListParagraph"/>
        <w:numPr>
          <w:ilvl w:val="0"/>
          <w:numId w:val="570"/>
        </w:numPr>
        <w:tabs>
          <w:tab w:val="clear" w:pos="360"/>
          <w:tab w:val="clear" w:pos="720"/>
          <w:tab w:val="clear" w:pos="1080"/>
        </w:tabs>
        <w:rPr/>
      </w:pPr>
      <w:r>
        <w:rPr/>
        <w:t>Reviewing media as it is being archived or disposed to find and remove PD.</w:t>
      </w:r>
    </w:p>
    <w:p>
      <w:pPr>
        <w:pStyle w:val="Normal"/>
        <w:rPr/>
      </w:pPr>
      <w:r>
        <w:rPr/>
      </w:r>
    </w:p>
    <w:p>
      <w:pPr>
        <w:pStyle w:val="Normal"/>
        <w:rPr/>
      </w:pPr>
      <w:r>
        <w:rPr>
          <w:u w:val="single"/>
        </w:rPr>
        <w:t>Standard</w:t>
      </w:r>
      <w:r>
        <w:rPr/>
        <w:t>: NFCC must facilitate the destruction of Personal Data (PD) by:</w:t>
      </w:r>
    </w:p>
    <w:p>
      <w:pPr>
        <w:pStyle w:val="ListParagraph"/>
        <w:numPr>
          <w:ilvl w:val="0"/>
          <w:numId w:val="569"/>
        </w:numPr>
        <w:tabs>
          <w:tab w:val="clear" w:pos="360"/>
          <w:tab w:val="clear" w:pos="720"/>
          <w:tab w:val="clear" w:pos="1080"/>
        </w:tabs>
        <w:rPr/>
      </w:pPr>
      <w:r>
        <w:rPr/>
        <w:t>De-identifying the PD;</w:t>
      </w:r>
    </w:p>
    <w:p>
      <w:pPr>
        <w:pStyle w:val="ListParagraph"/>
        <w:numPr>
          <w:ilvl w:val="0"/>
          <w:numId w:val="569"/>
        </w:numPr>
        <w:tabs>
          <w:tab w:val="clear" w:pos="360"/>
          <w:tab w:val="clear" w:pos="720"/>
          <w:tab w:val="clear" w:pos="1080"/>
        </w:tabs>
        <w:rPr/>
      </w:pPr>
      <w:r>
        <w:rPr/>
        <w:t>Proactively reviewing media to actively find PD and removing such information; and</w:t>
      </w:r>
    </w:p>
    <w:p>
      <w:pPr>
        <w:pStyle w:val="ListParagraph"/>
        <w:numPr>
          <w:ilvl w:val="0"/>
          <w:numId w:val="569"/>
        </w:numPr>
        <w:tabs>
          <w:tab w:val="clear" w:pos="360"/>
          <w:tab w:val="clear" w:pos="720"/>
          <w:tab w:val="clear" w:pos="1080"/>
        </w:tabs>
        <w:rPr/>
      </w:pPr>
      <w:r>
        <w:rPr/>
        <w:t>Reviewing media as it is being archived or disposed to find and remove PD.</w:t>
      </w:r>
    </w:p>
    <w:p>
      <w:pPr>
        <w:pStyle w:val="Normal"/>
        <w:rPr/>
      </w:pPr>
      <w:r>
        <w:rPr/>
      </w:r>
    </w:p>
    <w:p>
      <w:pPr>
        <w:pStyle w:val="Normal"/>
        <w:rPr/>
      </w:pPr>
      <w:r>
        <w:rPr>
          <w:u w:val="single"/>
        </w:rPr>
        <w:t>Guidelines</w:t>
      </w:r>
      <w:r>
        <w:rPr/>
        <w:t>: Disposal or destruction of media containing Personal Data (PD) applies to originals, copies and archived records, including system logs that may contain such information. De-identification is the general term for any process of removing the association between a set of identifying data and the data subject and is accomplished in a manner that prevents loss, theft, misuse, or unauthorized access.</w:t>
      </w:r>
    </w:p>
    <w:p>
      <w:pPr>
        <w:pStyle w:val="Normal"/>
        <w:rPr/>
      </w:pPr>
      <w:r>
        <w:rPr/>
      </w:r>
    </w:p>
    <w:p>
      <w:pPr>
        <w:pStyle w:val="Heading3"/>
        <w:rPr/>
      </w:pPr>
      <w:bookmarkStart w:id="685" w:name="_Toc34920760"/>
      <w:r>
        <w:rPr/>
        <w:t>DCH-09(d): Media Sanitization | Non-Destructive Techniques</w:t>
      </w:r>
      <w:bookmarkEnd w:id="685"/>
      <w:r>
        <w:rPr/>
        <w:t xml:space="preserve"> </w:t>
      </w:r>
    </w:p>
    <w:p>
      <w:pPr>
        <w:pStyle w:val="Normal"/>
        <w:rPr>
          <w:rFonts w:cs="Calibri"/>
          <w:bCs w:val="false"/>
        </w:rPr>
      </w:pPr>
      <w:r>
        <w:rPr>
          <w:rFonts w:cs="Calibri"/>
          <w:u w:val="single"/>
        </w:rPr>
        <w:t>Control Objective</w:t>
      </w:r>
      <w:r>
        <w:rPr>
          <w:rFonts w:cs="Calibri"/>
        </w:rPr>
        <w:t>: The organization applies nondestructive sanitization techniques to portable storage devices prior to connecting such devices to the information system under organization-defined circumstances requiring sanitization of portable storage devices.</w:t>
      </w:r>
      <w:r>
        <w:rPr>
          <w:rStyle w:val="FootnoteCharacters"/>
          <w:rFonts w:cs="Calibri"/>
        </w:rPr>
        <w:t xml:space="preserve"> </w:t>
      </w:r>
      <w:r>
        <w:rPr>
          <w:rStyle w:val="FootnoteAnchor"/>
          <w:rStyle w:val="FootnoteAnchor"/>
          <w:rFonts w:cs="Calibri"/>
        </w:rPr>
        <w:footnoteReference w:id="217"/>
      </w:r>
    </w:p>
    <w:p>
      <w:pPr>
        <w:pStyle w:val="Normal"/>
        <w:rPr>
          <w:rFonts w:cs="Calibri"/>
          <w:bCs w:val="false"/>
          <w:u w:val="single"/>
        </w:rPr>
      </w:pPr>
      <w:r>
        <w:rPr>
          <w:rFonts w:cs="Calibri"/>
          <w:bCs w:val="false"/>
          <w:u w:val="single"/>
        </w:rPr>
      </w:r>
    </w:p>
    <w:p>
      <w:pPr>
        <w:pStyle w:val="Normal"/>
        <w:rPr>
          <w:rFonts w:cs="Calibri"/>
          <w:bCs w:val="false"/>
        </w:rPr>
      </w:pPr>
      <w:r>
        <w:rPr>
          <w:rFonts w:cs="Calibri"/>
          <w:u w:val="single"/>
        </w:rPr>
        <w:t>Standard</w:t>
      </w:r>
      <w:r>
        <w:rPr>
          <w:rFonts w:cs="Calibri"/>
        </w:rPr>
        <w:t>: For portable storage devices:</w:t>
      </w:r>
    </w:p>
    <w:p>
      <w:pPr>
        <w:pStyle w:val="ListParagraph"/>
        <w:numPr>
          <w:ilvl w:val="0"/>
          <w:numId w:val="610"/>
        </w:numPr>
        <w:rPr>
          <w:rFonts w:cs="Calibri"/>
        </w:rPr>
      </w:pPr>
      <w:r>
        <w:rPr>
          <w:rFonts w:cs="Calibri"/>
        </w:rPr>
        <w:t>NFCC prohibits the use of personally-owned or third-party portable storage devices;</w:t>
      </w:r>
    </w:p>
    <w:p>
      <w:pPr>
        <w:pStyle w:val="ListParagraph"/>
        <w:numPr>
          <w:ilvl w:val="0"/>
          <w:numId w:val="610"/>
        </w:numPr>
        <w:rPr>
          <w:rFonts w:cs="Calibri"/>
        </w:rPr>
      </w:pPr>
      <w:r>
        <w:rPr>
          <w:rFonts w:cs="Calibri"/>
        </w:rPr>
        <w:t>For users requiring the use of a portable storage device (e.g., flash drive, external hard drive, etc.), prior to connecting to the information system the user must have NFCC’s cybersecurity personnel validate that the intended NFCC-owned portable storage device is free from malicious software:</w:t>
      </w:r>
    </w:p>
    <w:p>
      <w:pPr>
        <w:pStyle w:val="ListParagraph"/>
        <w:numPr>
          <w:ilvl w:val="1"/>
          <w:numId w:val="610"/>
        </w:numPr>
        <w:rPr>
          <w:rFonts w:cs="Calibri"/>
        </w:rPr>
      </w:pPr>
      <w:r>
        <w:rPr>
          <w:rFonts w:cs="Calibri"/>
        </w:rPr>
        <w:t>This applies to newly-purchased portable storage devices; and</w:t>
      </w:r>
    </w:p>
    <w:p>
      <w:pPr>
        <w:pStyle w:val="ListParagraph"/>
        <w:numPr>
          <w:ilvl w:val="1"/>
          <w:numId w:val="610"/>
        </w:numPr>
        <w:rPr>
          <w:rFonts w:cs="Calibri"/>
        </w:rPr>
      </w:pPr>
      <w:r>
        <w:rPr>
          <w:rFonts w:cs="Calibri"/>
        </w:rPr>
        <w:t>Existing portable storage devices that are intended to be used with sensitive data or critical systems.</w:t>
      </w:r>
    </w:p>
    <w:p>
      <w:pPr>
        <w:pStyle w:val="Normal"/>
        <w:rPr>
          <w:rFonts w:cs="Calibri"/>
          <w:u w:val="single"/>
        </w:rPr>
      </w:pPr>
      <w:r>
        <w:rPr>
          <w:rFonts w:cs="Calibri"/>
          <w:u w:val="single"/>
        </w:rPr>
      </w:r>
    </w:p>
    <w:p>
      <w:pPr>
        <w:pStyle w:val="Normal"/>
        <w:rPr>
          <w:rFonts w:cs="Calibri"/>
        </w:rPr>
      </w:pPr>
      <w:r>
        <w:rPr>
          <w:rFonts w:cs="Calibri"/>
          <w:u w:val="single"/>
        </w:rPr>
        <w:t>Guidelines</w:t>
      </w:r>
      <w:r>
        <w:rPr>
          <w:rFonts w:cs="Calibri"/>
        </w:rPr>
        <w:t>: This control enhancement applies to digital media containing classified information and Controlled Unclassified Information (CUI). Portable storage devices can be the source of malicious code insertions into organizational information systems. Many of these devices are obtained from unknown and potentially untrustworthy sources and may contain malicious code that can be readily transferred to information systems through USB ports or other entry portals. While scanning such storage devices is always recommended, sanitization provides additional assurance that the devices are free of malicious code to include code capable of initiating zero-day attacks. Organizations consider nondestructive sanitization of portable storage devices when such devices are first purchased from the manufacturer or vendor prior to initial use or when organizations lose a positive chain of custody for the devices.</w:t>
      </w:r>
    </w:p>
    <w:p>
      <w:pPr>
        <w:pStyle w:val="Normal"/>
        <w:rPr/>
      </w:pPr>
      <w:r>
        <w:rPr/>
      </w:r>
    </w:p>
    <w:p>
      <w:pPr>
        <w:pStyle w:val="Heading3"/>
        <w:rPr/>
      </w:pPr>
      <w:bookmarkStart w:id="686" w:name="_Toc34920761"/>
      <w:r>
        <w:rPr/>
        <w:t>DCH-09(e): Media Sanitization | Dual Authorization</w:t>
      </w:r>
      <w:bookmarkEnd w:id="686"/>
      <w:r>
        <w:rPr/>
        <w:t xml:space="preserve"> </w:t>
      </w:r>
    </w:p>
    <w:p>
      <w:pPr>
        <w:pStyle w:val="Normal"/>
        <w:rPr>
          <w:rFonts w:cs="Calibri"/>
          <w:bCs w:val="false"/>
        </w:rPr>
      </w:pPr>
      <w:r>
        <w:rPr>
          <w:rFonts w:cs="Calibri"/>
          <w:u w:val="single"/>
        </w:rPr>
        <w:t>Control Objective</w:t>
      </w:r>
      <w:r>
        <w:rPr>
          <w:rFonts w:cs="Calibri"/>
        </w:rPr>
        <w:t>: The organization enforces dual authorization for the sanitization of organization-defined information system media.</w:t>
      </w:r>
      <w:r>
        <w:rPr>
          <w:rStyle w:val="FootnoteCharacters"/>
          <w:rFonts w:cs="Calibri"/>
        </w:rPr>
        <w:t xml:space="preserve"> </w:t>
      </w:r>
      <w:r>
        <w:rPr>
          <w:rStyle w:val="FootnoteAnchor"/>
          <w:rStyle w:val="FootnoteAnchor"/>
          <w:rFonts w:cs="Calibri"/>
        </w:rPr>
        <w:footnoteReference w:id="218"/>
      </w:r>
    </w:p>
    <w:p>
      <w:pPr>
        <w:pStyle w:val="Normal"/>
        <w:rPr>
          <w:rFonts w:cs="Calibri"/>
          <w:bCs w:val="false"/>
          <w:u w:val="single"/>
        </w:rPr>
      </w:pPr>
      <w:r>
        <w:rPr>
          <w:rFonts w:cs="Calibri"/>
          <w:bCs w:val="false"/>
          <w:u w:val="single"/>
        </w:rPr>
      </w:r>
    </w:p>
    <w:p>
      <w:pPr>
        <w:pStyle w:val="Normal"/>
        <w:rPr>
          <w:rFonts w:cs="Calibri"/>
          <w:bCs w:val="false"/>
        </w:rPr>
      </w:pPr>
      <w:r>
        <w:rPr>
          <w:rFonts w:cs="Calibri"/>
          <w:u w:val="single"/>
        </w:rPr>
        <w:t>Standard</w:t>
      </w:r>
      <w:r>
        <w:rPr>
          <w:rFonts w:cs="Calibri"/>
        </w:rPr>
        <w:t>: NFCC’s cybersecurity personnel shall employ a dual authorization process for the destruction/disposal/sanitization of sensitive information system media, including:</w:t>
      </w:r>
    </w:p>
    <w:p>
      <w:pPr>
        <w:pStyle w:val="ListParagraph"/>
        <w:numPr>
          <w:ilvl w:val="0"/>
          <w:numId w:val="611"/>
        </w:numPr>
        <w:rPr>
          <w:rFonts w:cs="Calibri"/>
        </w:rPr>
      </w:pPr>
      <w:r>
        <w:rPr>
          <w:rFonts w:cs="Calibri"/>
        </w:rPr>
        <w:t>Tracking who the information system media was received from;</w:t>
      </w:r>
    </w:p>
    <w:p>
      <w:pPr>
        <w:pStyle w:val="ListParagraph"/>
        <w:numPr>
          <w:ilvl w:val="0"/>
          <w:numId w:val="611"/>
        </w:numPr>
        <w:rPr>
          <w:rFonts w:cs="Calibri"/>
        </w:rPr>
      </w:pPr>
      <w:r>
        <w:rPr>
          <w:rFonts w:cs="Calibri"/>
        </w:rPr>
        <w:t>Who performed the destruction/disposal/sanitization action(s); and</w:t>
      </w:r>
    </w:p>
    <w:p>
      <w:pPr>
        <w:pStyle w:val="ListParagraph"/>
        <w:numPr>
          <w:ilvl w:val="0"/>
          <w:numId w:val="611"/>
        </w:numPr>
        <w:rPr>
          <w:rFonts w:cs="Calibri"/>
        </w:rPr>
      </w:pPr>
      <w:r>
        <w:rPr>
          <w:rFonts w:cs="Calibri"/>
        </w:rPr>
        <w:t>Who witnessed the destruction/disposal/sanitization action(s).</w:t>
      </w:r>
    </w:p>
    <w:p>
      <w:pPr>
        <w:pStyle w:val="Normal"/>
        <w:rPr>
          <w:rFonts w:cs="Calibri"/>
          <w:bCs w:val="false"/>
        </w:rPr>
      </w:pPr>
      <w:r>
        <w:rPr>
          <w:rFonts w:cs="Calibri"/>
          <w:bCs w:val="false"/>
        </w:rPr>
      </w:r>
    </w:p>
    <w:p>
      <w:pPr>
        <w:pStyle w:val="Normal"/>
        <w:rPr>
          <w:rFonts w:cs="Calibri"/>
        </w:rPr>
      </w:pPr>
      <w:r>
        <w:rPr>
          <w:rFonts w:cs="Calibri"/>
          <w:u w:val="single"/>
        </w:rPr>
        <w:t>Guidelines</w:t>
      </w:r>
      <w:r>
        <w:rPr>
          <w:rFonts w:cs="Calibri"/>
        </w:rPr>
        <w:t>: Organizations employ dual authorization to ensure that information system media sanitization cannot occur unless two technically qualified individuals conduct the task. Individuals sanitizing information system media possess sufficient skills/expertise to determine if the proposed sanitization reflects applicable federal/organizational standards, policies and procedures. Dual authorization also helps to ensure that sanitization occurs as intended, both protecting against errors and false claims of having performed the sanitization actions. Dual authorization may also be known as two-person control.</w:t>
      </w:r>
      <w:bookmarkStart w:id="687" w:name="_Hlk27579289"/>
      <w:bookmarkEnd w:id="687"/>
    </w:p>
    <w:p>
      <w:pPr>
        <w:pStyle w:val="Normal"/>
        <w:rPr/>
      </w:pPr>
      <w:r>
        <w:rPr/>
      </w:r>
    </w:p>
    <w:p>
      <w:pPr>
        <w:pStyle w:val="Normal"/>
        <w:rPr/>
      </w:pPr>
      <w:r>
        <w:rPr/>
      </w:r>
    </w:p>
    <w:p>
      <w:pPr>
        <w:pStyle w:val="Heading2"/>
        <w:rPr/>
      </w:pPr>
      <w:bookmarkStart w:id="688" w:name="_Toc474074946"/>
      <w:bookmarkStart w:id="689" w:name="_Toc474075603"/>
      <w:bookmarkStart w:id="690" w:name="_Toc34920762"/>
      <w:r>
        <w:rPr/>
        <w:t>DCH-10: Media Use</w:t>
      </w:r>
      <w:bookmarkEnd w:id="688"/>
      <w:bookmarkEnd w:id="689"/>
      <w:bookmarkEnd w:id="690"/>
    </w:p>
    <w:p>
      <w:pPr>
        <w:pStyle w:val="Normal"/>
        <w:rPr/>
      </w:pPr>
      <w:r>
        <w:rPr>
          <w:u w:val="single"/>
        </w:rPr>
        <w:t>Control Objective</w:t>
      </w:r>
      <w:r>
        <w:rPr/>
        <w:t>: The organization restricts the use of organization-defined types of digital media on systems or system components using security safeguards.</w:t>
      </w:r>
      <w:r>
        <w:rPr>
          <w:rStyle w:val="FootnoteAnchor"/>
          <w:rStyle w:val="FootnoteAnchor"/>
        </w:rPr>
        <w:footnoteReference w:id="219"/>
      </w:r>
      <w:r>
        <w:rPr/>
        <w:t xml:space="preserve"> </w:t>
      </w:r>
    </w:p>
    <w:p>
      <w:pPr>
        <w:pStyle w:val="Normal"/>
        <w:rPr/>
      </w:pPr>
      <w:r>
        <w:rPr/>
      </w:r>
    </w:p>
    <w:p>
      <w:pPr>
        <w:pStyle w:val="Normal"/>
        <w:rPr/>
      </w:pPr>
      <w:r>
        <w:rPr>
          <w:u w:val="single"/>
        </w:rPr>
        <w:t>Standard</w:t>
      </w:r>
      <w:r>
        <w:rPr/>
        <w:t>: Data/process owners and asset custodians are required to employ technical and non-technical safeguards to restrict the insecure use of mobile computing and communications devices with information storage capability.</w:t>
      </w:r>
    </w:p>
    <w:p>
      <w:pPr>
        <w:pStyle w:val="Normal"/>
        <w:rPr/>
      </w:pPr>
      <w:r>
        <w:rPr/>
      </w:r>
    </w:p>
    <w:p>
      <w:pPr>
        <w:pStyle w:val="Normal"/>
        <w:rPr/>
      </w:pPr>
      <w:r>
        <w:rPr>
          <w:u w:val="single"/>
        </w:rPr>
        <w:t>Guidelines</w:t>
      </w:r>
      <w:r>
        <w:rPr/>
        <w:t>: System media includes both digital and non-digital media. This control also applies to mobile computing and communications devices that include notebook computers, personal digital assistants, cellular telephones, digital cameras and audio recording devices.</w:t>
      </w:r>
    </w:p>
    <w:p>
      <w:pPr>
        <w:pStyle w:val="Normal"/>
        <w:rPr/>
      </w:pPr>
      <w:r>
        <w:rPr/>
      </w:r>
    </w:p>
    <w:p>
      <w:pPr>
        <w:pStyle w:val="Heading3"/>
        <w:rPr/>
      </w:pPr>
      <w:bookmarkStart w:id="691" w:name="_Toc474074948"/>
      <w:bookmarkStart w:id="692" w:name="_Toc34920763"/>
      <w:r>
        <w:rPr/>
        <w:t>DCH-10(a): Media Use | Limitations on Use</w:t>
      </w:r>
      <w:bookmarkEnd w:id="691"/>
      <w:bookmarkEnd w:id="692"/>
      <w:r>
        <w:rPr/>
        <w:t xml:space="preserve"> </w:t>
      </w:r>
    </w:p>
    <w:p>
      <w:pPr>
        <w:pStyle w:val="Normal"/>
        <w:rPr/>
      </w:pPr>
      <w:r>
        <w:rPr>
          <w:u w:val="single"/>
        </w:rPr>
        <w:t>Control Objective</w:t>
      </w:r>
      <w:r>
        <w:rPr/>
        <w:t>: The organization restricts the use and distribution of sensitive data.</w:t>
      </w:r>
      <w:r>
        <w:rPr>
          <w:rStyle w:val="FootnoteCharacters"/>
        </w:rPr>
        <w:t xml:space="preserve"> </w:t>
      </w:r>
    </w:p>
    <w:p>
      <w:pPr>
        <w:pStyle w:val="Normal"/>
        <w:rPr/>
      </w:pPr>
      <w:r>
        <w:rPr/>
      </w:r>
    </w:p>
    <w:p>
      <w:pPr>
        <w:pStyle w:val="Normal"/>
        <w:rPr>
          <w:rFonts w:cs="Arial"/>
          <w:sz w:val="18"/>
          <w:szCs w:val="18"/>
        </w:rPr>
      </w:pPr>
      <w:r>
        <w:rPr>
          <w:u w:val="single"/>
        </w:rPr>
        <w:t>Standard</w:t>
      </w:r>
      <w:r>
        <w:rPr/>
        <w:t xml:space="preserve">: To protect sensitive information, including, but not limited to Controlled Technical Information (CTI) and Covered Defense Information (CDI), NFCC personnel shall: </w:t>
      </w:r>
    </w:p>
    <w:p>
      <w:pPr>
        <w:pStyle w:val="ListParagraph"/>
        <w:numPr>
          <w:ilvl w:val="0"/>
          <w:numId w:val="307"/>
        </w:numPr>
        <w:rPr/>
      </w:pPr>
      <w:r>
        <w:rPr/>
        <w:t>Only access and use sensitive information for intended purposes;</w:t>
      </w:r>
    </w:p>
    <w:p>
      <w:pPr>
        <w:pStyle w:val="ListParagraph"/>
        <w:numPr>
          <w:ilvl w:val="0"/>
          <w:numId w:val="307"/>
        </w:numPr>
        <w:rPr/>
      </w:pPr>
      <w:r>
        <w:rPr/>
        <w:t>Protect against unauthorized release or disclosure; and</w:t>
      </w:r>
    </w:p>
    <w:p>
      <w:pPr>
        <w:pStyle w:val="ListParagraph"/>
        <w:numPr>
          <w:ilvl w:val="0"/>
          <w:numId w:val="307"/>
        </w:numPr>
        <w:rPr/>
      </w:pPr>
      <w:r>
        <w:rPr/>
        <w:t xml:space="preserve">Ensure applicable third-parties implement mechanisms to restrict the use and distribution of sensitive data, in accordance with NFCC cybersecurity requirements. </w:t>
      </w:r>
    </w:p>
    <w:p>
      <w:pPr>
        <w:pStyle w:val="Normal"/>
        <w:rPr/>
      </w:pPr>
      <w:r>
        <w:rPr/>
      </w:r>
    </w:p>
    <w:p>
      <w:pPr>
        <w:pStyle w:val="Normal"/>
        <w:rPr/>
      </w:pPr>
      <w:r>
        <w:rPr>
          <w:u w:val="single"/>
        </w:rPr>
        <w:t>Guidelines</w:t>
      </w:r>
      <w:r>
        <w:rPr/>
        <w:t>: None</w:t>
      </w:r>
    </w:p>
    <w:p>
      <w:pPr>
        <w:pStyle w:val="Normal"/>
        <w:rPr/>
      </w:pPr>
      <w:r>
        <w:rPr/>
      </w:r>
    </w:p>
    <w:p>
      <w:pPr>
        <w:pStyle w:val="Heading3"/>
        <w:rPr/>
      </w:pPr>
      <w:bookmarkStart w:id="693" w:name="_Toc25673876"/>
      <w:bookmarkStart w:id="694" w:name="_Toc34920764"/>
      <w:r>
        <w:rPr/>
        <w:t>DCH-10(b): Media Use | Prohibit Use Without Owner</w:t>
      </w:r>
      <w:bookmarkEnd w:id="693"/>
      <w:bookmarkEnd w:id="694"/>
      <w:r>
        <w:rPr/>
        <w:t xml:space="preserve"> </w:t>
      </w:r>
    </w:p>
    <w:p>
      <w:pPr>
        <w:pStyle w:val="Normal"/>
        <w:rPr>
          <w:rFonts w:cs="Calibri"/>
          <w:bCs w:val="false"/>
        </w:rPr>
      </w:pPr>
      <w:r>
        <w:rPr>
          <w:rFonts w:cs="Calibri"/>
          <w:u w:val="single"/>
        </w:rPr>
        <w:t>Control Objective</w:t>
      </w:r>
      <w:r>
        <w:rPr>
          <w:rFonts w:cs="Calibri"/>
        </w:rPr>
        <w:t>: The organization prohibits the use of portable storage devices in organizational information systems when such devices have no identifiable owner.</w:t>
      </w:r>
    </w:p>
    <w:p>
      <w:pPr>
        <w:pStyle w:val="Normal"/>
        <w:rPr>
          <w:rFonts w:cs="Calibri"/>
          <w:bCs w:val="false"/>
          <w:u w:val="single"/>
        </w:rPr>
      </w:pPr>
      <w:r>
        <w:rPr>
          <w:rFonts w:cs="Calibri"/>
          <w:bCs w:val="false"/>
          <w:u w:val="single"/>
        </w:rPr>
      </w:r>
    </w:p>
    <w:p>
      <w:pPr>
        <w:pStyle w:val="Normal"/>
        <w:rPr>
          <w:rFonts w:cs="Calibri"/>
          <w:bCs w:val="false"/>
        </w:rPr>
      </w:pPr>
      <w:r>
        <w:rPr>
          <w:rFonts w:cs="Calibri"/>
          <w:u w:val="single"/>
        </w:rPr>
        <w:t>Standard</w:t>
      </w:r>
      <w:r>
        <w:rPr>
          <w:rFonts w:cs="Calibri"/>
        </w:rPr>
        <w:t>: NFCC prohibits the use of portable storage devices in NFCC-owned or managed systems when such devices have no identifiable owner.</w:t>
      </w:r>
    </w:p>
    <w:p>
      <w:pPr>
        <w:pStyle w:val="Normal"/>
        <w:rPr>
          <w:rFonts w:cs="Calibri"/>
          <w:u w:val="single"/>
        </w:rPr>
      </w:pPr>
      <w:r>
        <w:rPr>
          <w:rFonts w:cs="Calibri"/>
          <w:u w:val="single"/>
        </w:rPr>
      </w:r>
    </w:p>
    <w:p>
      <w:pPr>
        <w:pStyle w:val="Normal"/>
        <w:rPr>
          <w:rFonts w:cs="Calibri"/>
        </w:rPr>
      </w:pPr>
      <w:r>
        <w:rPr>
          <w:rFonts w:cs="Calibri"/>
          <w:u w:val="single"/>
        </w:rPr>
        <w:t>Guidelines</w:t>
      </w:r>
      <w:r>
        <w:rPr>
          <w:rFonts w:cs="Calibri"/>
        </w:rPr>
        <w:t>: Requiring identifiable owners (e.g., individuals, organizations or projects) for portable storage devices reduces the risk of using such technologies by allowing organizations to assign responsibility and accountability for addressing known vulnerabilities in the devices (e.g., malicious code insertion).</w:t>
      </w:r>
    </w:p>
    <w:p>
      <w:pPr>
        <w:pStyle w:val="Normal"/>
        <w:rPr/>
      </w:pPr>
      <w:r>
        <w:rPr/>
      </w:r>
      <w:bookmarkStart w:id="695" w:name="_Hlk27579311"/>
      <w:bookmarkStart w:id="696" w:name="_Hlk27579311"/>
      <w:bookmarkEnd w:id="696"/>
    </w:p>
    <w:p>
      <w:pPr>
        <w:pStyle w:val="Normal"/>
        <w:rPr/>
      </w:pPr>
      <w:r>
        <w:rPr/>
      </w:r>
    </w:p>
    <w:p>
      <w:pPr>
        <w:pStyle w:val="Heading2"/>
        <w:rPr/>
      </w:pPr>
      <w:bookmarkStart w:id="697" w:name="_Toc474074949"/>
      <w:bookmarkStart w:id="698" w:name="_Toc474075604"/>
      <w:bookmarkStart w:id="699" w:name="_Toc34920765"/>
      <w:r>
        <w:rPr/>
        <w:t>DCH-11: Media Downgrading</w:t>
      </w:r>
      <w:bookmarkEnd w:id="697"/>
      <w:bookmarkEnd w:id="698"/>
      <w:bookmarkEnd w:id="699"/>
      <w:r>
        <w:rPr/>
        <w:t xml:space="preserve"> </w:t>
      </w:r>
    </w:p>
    <w:p>
      <w:pPr>
        <w:pStyle w:val="Normal"/>
        <w:rPr/>
      </w:pPr>
      <w:r>
        <w:rPr>
          <w:u w:val="single"/>
        </w:rPr>
        <w:t>Control Objective</w:t>
      </w:r>
      <w:r>
        <w:rPr/>
        <w:t>: The organization:</w:t>
      </w:r>
      <w:r>
        <w:rPr>
          <w:rStyle w:val="FootnoteAnchor"/>
          <w:rStyle w:val="FootnoteAnchor"/>
        </w:rPr>
        <w:footnoteReference w:id="220"/>
      </w:r>
    </w:p>
    <w:p>
      <w:pPr>
        <w:pStyle w:val="ListParagraph"/>
        <w:numPr>
          <w:ilvl w:val="0"/>
          <w:numId w:val="143"/>
        </w:numPr>
        <w:rPr/>
      </w:pPr>
      <w:r>
        <w:rPr/>
        <w:t>Establishes a system media downgrading process that includes employing downgrading mechanisms with organization-defined strength and integrity;</w:t>
      </w:r>
    </w:p>
    <w:p>
      <w:pPr>
        <w:pStyle w:val="ListParagraph"/>
        <w:numPr>
          <w:ilvl w:val="0"/>
          <w:numId w:val="143"/>
        </w:numPr>
        <w:rPr/>
      </w:pPr>
      <w:r>
        <w:rPr/>
        <w:t>Ensures that the system media downgrading process is commensurate with the security category and / or classification level of the information to be removed and the access authorizations of the potential recipients of the downgraded information;</w:t>
      </w:r>
    </w:p>
    <w:p>
      <w:pPr>
        <w:pStyle w:val="ListParagraph"/>
        <w:numPr>
          <w:ilvl w:val="0"/>
          <w:numId w:val="143"/>
        </w:numPr>
        <w:rPr/>
      </w:pPr>
      <w:r>
        <w:rPr/>
        <w:t>Identifies organization-defined system media requiring downgrading; and</w:t>
      </w:r>
    </w:p>
    <w:p>
      <w:pPr>
        <w:pStyle w:val="ListParagraph"/>
        <w:numPr>
          <w:ilvl w:val="0"/>
          <w:numId w:val="143"/>
        </w:numPr>
        <w:rPr/>
      </w:pPr>
      <w:r>
        <w:rPr/>
        <w:t>Downgrades the identified system media using the established process.</w:t>
      </w:r>
    </w:p>
    <w:p>
      <w:pPr>
        <w:pStyle w:val="Normal"/>
        <w:rPr/>
      </w:pPr>
      <w:r>
        <w:rPr/>
      </w:r>
    </w:p>
    <w:p>
      <w:pPr>
        <w:pStyle w:val="Normal"/>
        <w:rPr/>
      </w:pPr>
      <w:r>
        <w:rPr>
          <w:u w:val="single"/>
        </w:rPr>
        <w:t>Standard</w:t>
      </w:r>
      <w:r>
        <w:rPr/>
        <w:t>: To ensure sensitive data is not inadvertently released, appropriate management approval is required to downgrade the classification of media.</w:t>
      </w:r>
    </w:p>
    <w:p>
      <w:pPr>
        <w:pStyle w:val="Normal"/>
        <w:rPr/>
      </w:pPr>
      <w:r>
        <w:rPr/>
      </w:r>
    </w:p>
    <w:p>
      <w:pPr>
        <w:pStyle w:val="Normal"/>
        <w:rPr/>
      </w:pPr>
      <w:r>
        <w:rPr>
          <w:u w:val="single"/>
        </w:rPr>
        <w:t>Guidelines</w:t>
      </w:r>
      <w:r>
        <w:rPr/>
        <w:t>: This applies to all system media, digital and non-digital, subject to release outside of the organization, whether or not the media is considered removable. The downgrading process, when applied to system media, removes information from the media, typically by security category or classification level, such that the information cannot be retrieved or reconstructed. The downgrading of media includes redacting information to enable wider release and distribution. The downgrading of media also ensures that empty space on the media (e.g., slack space within files) is devoid of information.</w:t>
      </w:r>
    </w:p>
    <w:p>
      <w:pPr>
        <w:pStyle w:val="Normal"/>
        <w:rPr/>
      </w:pPr>
      <w:r>
        <w:rPr/>
      </w:r>
    </w:p>
    <w:p>
      <w:pPr>
        <w:pStyle w:val="Normal"/>
        <w:rPr/>
      </w:pPr>
      <w:r>
        <w:rPr/>
      </w:r>
    </w:p>
    <w:p>
      <w:pPr>
        <w:pStyle w:val="Heading2"/>
        <w:rPr/>
      </w:pPr>
      <w:bookmarkStart w:id="700" w:name="_Toc34920766"/>
      <w:bookmarkStart w:id="701" w:name="_Toc474074952"/>
      <w:bookmarkStart w:id="702" w:name="_Toc474075606"/>
      <w:r>
        <w:rPr/>
        <w:t>DCH-12: Removable Media</w:t>
      </w:r>
      <w:bookmarkEnd w:id="701"/>
      <w:bookmarkEnd w:id="702"/>
      <w:r>
        <w:rPr/>
        <w:t xml:space="preserve"> Security</w:t>
      </w:r>
      <w:bookmarkEnd w:id="700"/>
      <w:r>
        <w:rPr/>
        <w:t xml:space="preserve"> </w:t>
      </w:r>
    </w:p>
    <w:p>
      <w:pPr>
        <w:pStyle w:val="Normal"/>
        <w:rPr/>
      </w:pPr>
      <w:r>
        <w:rPr>
          <w:u w:val="single"/>
        </w:rPr>
        <w:t>Control Objective</w:t>
      </w:r>
      <w:r>
        <w:rPr/>
        <w:t>: The organization manages removable media in accordance with data handling and acceptable usage requirements.</w:t>
      </w:r>
      <w:r>
        <w:rPr>
          <w:rStyle w:val="FootnoteAnchor"/>
          <w:rStyle w:val="FootnoteAnchor"/>
          <w:rFonts w:cs="Calibri"/>
        </w:rPr>
        <w:footnoteReference w:id="221"/>
      </w:r>
    </w:p>
    <w:p>
      <w:pPr>
        <w:pStyle w:val="Normal"/>
        <w:rPr/>
      </w:pPr>
      <w:r>
        <w:rPr/>
      </w:r>
    </w:p>
    <w:p>
      <w:pPr>
        <w:pStyle w:val="Normal"/>
        <w:rPr/>
      </w:pPr>
      <w:r>
        <w:rPr>
          <w:u w:val="single"/>
        </w:rPr>
        <w:t>Standard</w:t>
      </w:r>
      <w:r>
        <w:rPr/>
        <w:t xml:space="preserve">: Data custodians are required to adhere to NFCC’s data handing requirements for removable media. </w:t>
      </w:r>
    </w:p>
    <w:p>
      <w:pPr>
        <w:pStyle w:val="Normal"/>
        <w:rPr/>
      </w:pPr>
      <w:r>
        <w:rPr/>
      </w:r>
    </w:p>
    <w:p>
      <w:pPr>
        <w:pStyle w:val="Normal"/>
        <w:rPr>
          <w:b/>
          <w:b/>
        </w:rPr>
      </w:pPr>
      <w:r>
        <w:rPr>
          <w:u w:val="single"/>
        </w:rPr>
        <w:t>Guidelines</w:t>
      </w:r>
      <w:r>
        <w:rPr/>
        <w:t xml:space="preserve">: </w:t>
      </w:r>
      <w:r>
        <w:rPr>
          <w:i/>
          <w:u w:val="single"/>
        </w:rPr>
        <w:t>Annex 1: Data Classification &amp; Handling Guidelines</w:t>
      </w:r>
      <w:r>
        <w:rPr/>
        <w:t xml:space="preserve"> covers the topics of data classification and handling in greater detail. </w:t>
      </w:r>
    </w:p>
    <w:p>
      <w:pPr>
        <w:pStyle w:val="Normal"/>
        <w:tabs>
          <w:tab w:val="clear" w:pos="360"/>
          <w:tab w:val="clear" w:pos="720"/>
          <w:tab w:val="clear" w:pos="1080"/>
        </w:tabs>
        <w:jc w:val="left"/>
        <w:rPr/>
      </w:pPr>
      <w:r>
        <w:rPr/>
      </w:r>
    </w:p>
    <w:p>
      <w:pPr>
        <w:pStyle w:val="Normal"/>
        <w:tabs>
          <w:tab w:val="clear" w:pos="360"/>
          <w:tab w:val="clear" w:pos="720"/>
          <w:tab w:val="clear" w:pos="1080"/>
        </w:tabs>
        <w:jc w:val="left"/>
        <w:rPr>
          <w:rFonts w:eastAsia="Calibri" w:cs="Calibri"/>
          <w:b/>
          <w:b/>
          <w:bCs w:val="false"/>
          <w:smallCaps/>
          <w:color w:val="C00000"/>
          <w:sz w:val="24"/>
        </w:rPr>
      </w:pPr>
      <w:r>
        <w:rPr>
          <w:rFonts w:eastAsia="Calibri" w:cs="Calibri"/>
          <w:b/>
          <w:bCs w:val="false"/>
          <w:smallCaps/>
          <w:color w:val="C00000"/>
          <w:sz w:val="24"/>
        </w:rPr>
      </w:r>
    </w:p>
    <w:p>
      <w:pPr>
        <w:pStyle w:val="Heading2"/>
        <w:rPr/>
      </w:pPr>
      <w:bookmarkStart w:id="703" w:name="_Toc34920767"/>
      <w:bookmarkStart w:id="704" w:name="_Toc474074953"/>
      <w:bookmarkStart w:id="705" w:name="_Toc474075607"/>
      <w:r>
        <w:rPr/>
        <w:t>DCH-13: Use of External Information Systems</w:t>
      </w:r>
      <w:bookmarkEnd w:id="703"/>
      <w:bookmarkEnd w:id="704"/>
      <w:bookmarkEnd w:id="705"/>
      <w:r>
        <w:rPr/>
        <w:t xml:space="preserve"> </w:t>
      </w:r>
    </w:p>
    <w:p>
      <w:pPr>
        <w:pStyle w:val="Normal"/>
        <w:rPr/>
      </w:pPr>
      <w:r>
        <w:rPr>
          <w:u w:val="single"/>
        </w:rPr>
        <w:t>Control Objective</w:t>
      </w:r>
      <w:r>
        <w:rPr/>
        <w:t>: The organization establishes terms and conditions, consistent with any trust relationships established with other organizations owning, operating and / or maintaining external systems, allowing authorized individuals to:</w:t>
      </w:r>
      <w:r>
        <w:rPr>
          <w:rStyle w:val="FootnoteAnchor"/>
          <w:rStyle w:val="FootnoteAnchor"/>
          <w:rFonts w:cs="Calibri"/>
        </w:rPr>
        <w:footnoteReference w:id="222"/>
      </w:r>
    </w:p>
    <w:p>
      <w:pPr>
        <w:pStyle w:val="ListParagraph"/>
        <w:numPr>
          <w:ilvl w:val="0"/>
          <w:numId w:val="88"/>
        </w:numPr>
        <w:rPr/>
      </w:pPr>
      <w:r>
        <w:rPr/>
        <w:t>Access the system from the external systems; and</w:t>
      </w:r>
    </w:p>
    <w:p>
      <w:pPr>
        <w:pStyle w:val="ListParagraph"/>
        <w:numPr>
          <w:ilvl w:val="0"/>
          <w:numId w:val="88"/>
        </w:numPr>
        <w:rPr/>
      </w:pPr>
      <w:r>
        <w:rPr/>
        <w:t>Process, store and / or transmit organization-controlled information using the external systems.</w:t>
      </w:r>
    </w:p>
    <w:p>
      <w:pPr>
        <w:pStyle w:val="Normal"/>
        <w:rPr/>
      </w:pPr>
      <w:r>
        <w:rPr/>
      </w:r>
    </w:p>
    <w:p>
      <w:pPr>
        <w:pStyle w:val="Normal"/>
        <w:rPr/>
      </w:pPr>
      <w:r>
        <w:rPr>
          <w:u w:val="single"/>
        </w:rPr>
        <w:t>Standard</w:t>
      </w:r>
      <w:r>
        <w:rPr/>
        <w:t>: NFCC permits the use of external systems to process, store and / or transmit NFCC data only when:</w:t>
      </w:r>
    </w:p>
    <w:p>
      <w:pPr>
        <w:pStyle w:val="ListParagraph"/>
        <w:numPr>
          <w:ilvl w:val="0"/>
          <w:numId w:val="310"/>
        </w:numPr>
        <w:rPr/>
      </w:pPr>
      <w:r>
        <w:rPr/>
        <w:t>A valid business reason exists for the external trust relationship;</w:t>
      </w:r>
    </w:p>
    <w:p>
      <w:pPr>
        <w:pStyle w:val="ListParagraph"/>
        <w:numPr>
          <w:ilvl w:val="0"/>
          <w:numId w:val="310"/>
        </w:numPr>
        <w:rPr/>
      </w:pPr>
      <w:r>
        <w:rPr/>
        <w:t xml:space="preserve">A formal risk assessment of the third-party has been conducted; </w:t>
      </w:r>
    </w:p>
    <w:p>
      <w:pPr>
        <w:pStyle w:val="ListParagraph"/>
        <w:numPr>
          <w:ilvl w:val="0"/>
          <w:numId w:val="310"/>
        </w:numPr>
        <w:rPr/>
      </w:pPr>
      <w:r>
        <w:rPr/>
        <w:t>Risks identified in the risk assessment have been adequately addressed, if applicable; and</w:t>
      </w:r>
    </w:p>
    <w:p>
      <w:pPr>
        <w:pStyle w:val="ListParagraph"/>
        <w:numPr>
          <w:ilvl w:val="0"/>
          <w:numId w:val="310"/>
        </w:numPr>
        <w:rPr/>
      </w:pPr>
      <w:r>
        <w:rPr/>
        <w:t>A formal contract exists, including Non-Disclosure Agreements (NDAs).</w:t>
      </w:r>
    </w:p>
    <w:p>
      <w:pPr>
        <w:pStyle w:val="Normal"/>
        <w:rPr/>
      </w:pPr>
      <w:r>
        <w:rPr/>
      </w:r>
    </w:p>
    <w:p>
      <w:pPr>
        <w:pStyle w:val="Normal"/>
        <w:rPr/>
      </w:pPr>
      <w:r>
        <w:rPr>
          <w:u w:val="single"/>
        </w:rPr>
        <w:t>Guidelines</w:t>
      </w:r>
      <w:r>
        <w:rPr/>
        <w:t xml:space="preserve">: This standard addresses the use of internal and external systems for the processing, storage or transmission of organizational information, including, for example, accessing cloud-based systems and services (e.g., Infrastructure as a Service (IaaS), Platform as a Service (PaaS) and Software as a Service (SaaS)) from NFCC systems. </w:t>
      </w:r>
    </w:p>
    <w:p>
      <w:pPr>
        <w:pStyle w:val="Normal"/>
        <w:rPr/>
      </w:pPr>
      <w:r>
        <w:rPr/>
      </w:r>
    </w:p>
    <w:p>
      <w:pPr>
        <w:pStyle w:val="Heading3"/>
        <w:rPr>
          <w:color w:val="FF0000"/>
        </w:rPr>
      </w:pPr>
      <w:bookmarkStart w:id="706" w:name="_Toc474074954"/>
      <w:bookmarkStart w:id="707" w:name="_Toc34920768"/>
      <w:r>
        <w:rPr/>
        <w:t>DCH-13(a): Use of External Information Systems | Limits of Authorized Use</w:t>
      </w:r>
      <w:bookmarkEnd w:id="706"/>
      <w:bookmarkEnd w:id="707"/>
      <w:r>
        <w:rPr/>
        <w:t xml:space="preserve"> </w:t>
      </w:r>
    </w:p>
    <w:p>
      <w:pPr>
        <w:pStyle w:val="Normal"/>
        <w:rPr/>
      </w:pPr>
      <w:r>
        <w:rPr>
          <w:u w:val="single"/>
        </w:rPr>
        <w:t>Control Objective</w:t>
      </w:r>
      <w:r>
        <w:rPr/>
        <w:t>: The organization permits authorized individuals to use an external system to access the system or to process, store or transmit organization-controlled information only when the organization:</w:t>
      </w:r>
      <w:r>
        <w:rPr>
          <w:rStyle w:val="FootnoteAnchor"/>
          <w:rStyle w:val="FootnoteAnchor"/>
          <w:rFonts w:cs="Calibri"/>
          <w:bCs w:val="false"/>
        </w:rPr>
        <w:footnoteReference w:id="223"/>
      </w:r>
    </w:p>
    <w:p>
      <w:pPr>
        <w:pStyle w:val="ListParagraph"/>
        <w:numPr>
          <w:ilvl w:val="0"/>
          <w:numId w:val="169"/>
        </w:numPr>
        <w:rPr/>
      </w:pPr>
      <w:r>
        <w:rPr/>
        <w:t>Verifies the implementation of required security controls on the external system as specified in the organization’s cybersecurity policy and security plan; or</w:t>
      </w:r>
    </w:p>
    <w:p>
      <w:pPr>
        <w:pStyle w:val="ListParagraph"/>
        <w:numPr>
          <w:ilvl w:val="0"/>
          <w:numId w:val="169"/>
        </w:numPr>
        <w:rPr/>
      </w:pPr>
      <w:r>
        <w:rPr/>
        <w:t>Retains approved system connection or processing agreements with the organizational entity hosting the external system.</w:t>
      </w:r>
    </w:p>
    <w:p>
      <w:pPr>
        <w:pStyle w:val="Normal"/>
        <w:rPr/>
      </w:pPr>
      <w:r>
        <w:rPr/>
      </w:r>
    </w:p>
    <w:p>
      <w:pPr>
        <w:pStyle w:val="Normal"/>
        <w:rPr/>
      </w:pPr>
      <w:r>
        <w:rPr>
          <w:u w:val="single"/>
        </w:rPr>
        <w:t>Standard</w:t>
      </w:r>
      <w:r>
        <w:rPr/>
        <w:t xml:space="preserve">: NFCC permits authorized individuals to use external systems to access the NFCC systems or to process, store or transmit NFCC-controlled information only when NFCC verifies the implementation of required security controls on the external system as specified in NFCC's cybersecurity policies and standards. </w:t>
      </w:r>
    </w:p>
    <w:p>
      <w:pPr>
        <w:pStyle w:val="Normal"/>
        <w:rPr/>
      </w:pPr>
      <w:r>
        <w:rPr/>
      </w:r>
    </w:p>
    <w:p>
      <w:pPr>
        <w:pStyle w:val="Normal"/>
        <w:rPr/>
      </w:pPr>
      <w:r>
        <w:rPr>
          <w:u w:val="single"/>
        </w:rPr>
        <w:t>Guidelines</w:t>
      </w:r>
      <w:r>
        <w:rPr/>
        <w:t>: This standard recognizes that there are circumstances where individuals using external systems (e.g., contractors, coalition partners) need to access organizational systems. In those situations, organizations need confidence that the external systems contain the necessary security safeguards (e.g., security controls), so as not to compromise, damage or otherwise harm organizational systems. Verification that the required security controls have been implemented can be achieved, for example, by third-party, independent assessments, attestations or other means, depending on the confidence level required by organizations.</w:t>
      </w:r>
    </w:p>
    <w:p>
      <w:pPr>
        <w:pStyle w:val="Normal"/>
        <w:rPr/>
      </w:pPr>
      <w:r>
        <w:rPr/>
      </w:r>
    </w:p>
    <w:p>
      <w:pPr>
        <w:pStyle w:val="Heading3"/>
        <w:rPr>
          <w:color w:val="FF0000"/>
        </w:rPr>
      </w:pPr>
      <w:bookmarkStart w:id="708" w:name="_Toc474074955"/>
      <w:bookmarkStart w:id="709" w:name="_Toc34920769"/>
      <w:r>
        <w:rPr/>
        <w:t>DCH-13(b): Use of External Information Systems | Portable Storage Devices</w:t>
      </w:r>
      <w:bookmarkEnd w:id="708"/>
      <w:bookmarkEnd w:id="709"/>
    </w:p>
    <w:p>
      <w:pPr>
        <w:pStyle w:val="Normal"/>
        <w:rPr/>
      </w:pPr>
      <w:r>
        <w:rPr>
          <w:u w:val="single"/>
        </w:rPr>
        <w:t>Control Objective</w:t>
      </w:r>
      <w:r>
        <w:rPr/>
        <w:t>: The organization restricts or prohibits the use of organization-controlled portable storage devices by users on external systems.</w:t>
      </w:r>
      <w:r>
        <w:rPr>
          <w:rStyle w:val="FootnoteAnchor"/>
          <w:rStyle w:val="FootnoteAnchor"/>
          <w:rFonts w:cs="Calibri"/>
          <w:bCs w:val="false"/>
        </w:rPr>
        <w:footnoteReference w:id="224"/>
      </w:r>
    </w:p>
    <w:p>
      <w:pPr>
        <w:pStyle w:val="Normal"/>
        <w:rPr/>
      </w:pPr>
      <w:r>
        <w:rPr/>
      </w:r>
    </w:p>
    <w:p>
      <w:pPr>
        <w:pStyle w:val="Normal"/>
        <w:rPr/>
      </w:pPr>
      <w:r>
        <w:rPr>
          <w:u w:val="single"/>
        </w:rPr>
        <w:t>Standard</w:t>
      </w:r>
      <w:r>
        <w:rPr/>
        <w:t>: NFCC:</w:t>
      </w:r>
    </w:p>
    <w:p>
      <w:pPr>
        <w:pStyle w:val="ListParagraph"/>
        <w:numPr>
          <w:ilvl w:val="0"/>
          <w:numId w:val="311"/>
        </w:numPr>
        <w:rPr/>
      </w:pPr>
      <w:r>
        <w:rPr/>
        <w:t>Restricts the use of NFCC-controlled portable storage devices by authorized individuals on external systems; and</w:t>
      </w:r>
    </w:p>
    <w:p>
      <w:pPr>
        <w:pStyle w:val="ListParagraph"/>
        <w:numPr>
          <w:ilvl w:val="0"/>
          <w:numId w:val="311"/>
        </w:numPr>
        <w:rPr/>
      </w:pPr>
      <w:r>
        <w:rPr/>
        <w:t xml:space="preserve">Prohibits personally-owned portable storage devices on external systems. </w:t>
      </w:r>
    </w:p>
    <w:p>
      <w:pPr>
        <w:pStyle w:val="Normal"/>
        <w:rPr/>
      </w:pPr>
      <w:r>
        <w:rPr/>
      </w:r>
    </w:p>
    <w:p>
      <w:pPr>
        <w:pStyle w:val="Normal"/>
        <w:rPr/>
      </w:pPr>
      <w:r>
        <w:rPr>
          <w:u w:val="single"/>
        </w:rPr>
        <w:t>Guidelines</w:t>
      </w:r>
      <w:r>
        <w:rPr/>
        <w:t>: Limits on the use of organization-controlled portable storage devices in external systems include, for example, complete prohibition of the use of such devices or restrictions on how the devices may be used and under what conditions the devices may be used.</w:t>
      </w:r>
    </w:p>
    <w:p>
      <w:pPr>
        <w:pStyle w:val="Normal"/>
        <w:rPr/>
      </w:pPr>
      <w:r>
        <w:rPr/>
      </w:r>
    </w:p>
    <w:p>
      <w:pPr>
        <w:pStyle w:val="Heading3"/>
        <w:rPr>
          <w:color w:val="FF0000"/>
        </w:rPr>
      </w:pPr>
      <w:bookmarkStart w:id="710" w:name="_Toc34920770"/>
      <w:r>
        <w:rPr/>
        <w:t>DCH-13(c): Use of External Information Systems | Protecting Sensitive Data on External Systems</w:t>
      </w:r>
      <w:bookmarkEnd w:id="710"/>
    </w:p>
    <w:p>
      <w:pPr>
        <w:pStyle w:val="Normal"/>
        <w:rPr/>
      </w:pPr>
      <w:r>
        <w:rPr>
          <w:u w:val="single"/>
        </w:rPr>
        <w:t>Control Objective</w:t>
      </w:r>
      <w:r>
        <w:rPr/>
        <w:t>: The organization:</w:t>
      </w:r>
    </w:p>
    <w:p>
      <w:pPr>
        <w:pStyle w:val="ListParagraph"/>
        <w:numPr>
          <w:ilvl w:val="0"/>
          <w:numId w:val="530"/>
        </w:numPr>
        <w:rPr/>
      </w:pPr>
      <w:r>
        <w:rPr/>
        <w:t>Establishes policy and procedures to ensure that the requirements for the protection of Controlled Unclassified Information (CUI) processed, stored or transmitted on external systems, are implemented in accordance with applicable laws, Executive Orders, directives, policies, regulations and standards.</w:t>
      </w:r>
    </w:p>
    <w:p>
      <w:pPr>
        <w:pStyle w:val="ListParagraph"/>
        <w:numPr>
          <w:ilvl w:val="0"/>
          <w:numId w:val="530"/>
        </w:numPr>
        <w:rPr/>
      </w:pPr>
      <w:r>
        <w:rPr/>
        <w:t>Updates the policy and procedures at an organization-defined frequency.</w:t>
      </w:r>
    </w:p>
    <w:p>
      <w:pPr>
        <w:pStyle w:val="Normal"/>
        <w:rPr/>
      </w:pPr>
      <w:r>
        <w:rPr/>
      </w:r>
    </w:p>
    <w:p>
      <w:pPr>
        <w:pStyle w:val="Normal"/>
        <w:rPr/>
      </w:pPr>
      <w:r>
        <w:rPr>
          <w:u w:val="single"/>
        </w:rPr>
        <w:t>Standard</w:t>
      </w:r>
      <w:r>
        <w:rPr/>
        <w:t>: NFCC is required to protect Controlled Unclassified Information (CUI) through:</w:t>
      </w:r>
    </w:p>
    <w:p>
      <w:pPr>
        <w:pStyle w:val="ListParagraph"/>
        <w:numPr>
          <w:ilvl w:val="0"/>
          <w:numId w:val="571"/>
        </w:numPr>
        <w:tabs>
          <w:tab w:val="clear" w:pos="360"/>
          <w:tab w:val="clear" w:pos="720"/>
          <w:tab w:val="clear" w:pos="1080"/>
        </w:tabs>
        <w:rPr/>
      </w:pPr>
      <w:r>
        <w:rPr/>
        <w:t>Establishing policy, standards and procedures to ensure that the requirements for the protection of CUI processed, stored or transmitted on external systems, are implemented in accordance with applicable laws, Executive Orders, directives, policies, regulations and standards; and</w:t>
      </w:r>
    </w:p>
    <w:p>
      <w:pPr>
        <w:pStyle w:val="ListParagraph"/>
        <w:numPr>
          <w:ilvl w:val="0"/>
          <w:numId w:val="571"/>
        </w:numPr>
        <w:tabs>
          <w:tab w:val="clear" w:pos="360"/>
          <w:tab w:val="clear" w:pos="720"/>
          <w:tab w:val="clear" w:pos="1080"/>
        </w:tabs>
        <w:rPr/>
      </w:pPr>
      <w:r>
        <w:rPr/>
        <w:t xml:space="preserve">Update the policy, standards and procedures at least annually. </w:t>
      </w:r>
    </w:p>
    <w:p>
      <w:pPr>
        <w:pStyle w:val="Normal"/>
        <w:rPr/>
      </w:pPr>
      <w:r>
        <w:rPr/>
      </w:r>
    </w:p>
    <w:p>
      <w:pPr>
        <w:pStyle w:val="Normal"/>
        <w:rPr>
          <w:b/>
          <w:b/>
        </w:rPr>
      </w:pPr>
      <w:r>
        <w:rPr>
          <w:u w:val="single"/>
        </w:rPr>
        <w:t>Guidelines</w:t>
      </w:r>
      <w:r>
        <w:rPr/>
        <w:t>: The protection of Controlled Unclassified Information (CUI) in nonfederal organizations and systems is critical to the security of federal operations and assets and the privacy of individuals. CUI is defined by the National Archives and Records Administration along with the appropriate safeguarding and dissemination requirements for such information and is codified in 32 CFR 2002, Controlled Unclassified Information and specifically, for systems external to the federal organization, in 32 CFR 2002.14h. The policy prescribes the specific use and conditions to be implemented in accordance with organizational procedures including, for example, via its contracting processes.</w:t>
      </w:r>
    </w:p>
    <w:p>
      <w:pPr>
        <w:pStyle w:val="Normal"/>
        <w:rPr/>
      </w:pPr>
      <w:r>
        <w:rPr/>
      </w:r>
    </w:p>
    <w:p>
      <w:pPr>
        <w:pStyle w:val="Heading3"/>
        <w:rPr>
          <w:color w:val="FF0000"/>
        </w:rPr>
      </w:pPr>
      <w:bookmarkStart w:id="711" w:name="_Toc23241962"/>
      <w:bookmarkStart w:id="712" w:name="_Toc34920771"/>
      <w:r>
        <w:rPr/>
        <w:t>DCH-13(d): Use of External Information Systems | Non-Organizationally Owned Systems / Components / Devices</w:t>
      </w:r>
      <w:bookmarkEnd w:id="711"/>
      <w:bookmarkEnd w:id="712"/>
      <w:r>
        <w:rPr/>
        <w:t xml:space="preserve"> </w:t>
      </w:r>
    </w:p>
    <w:p>
      <w:pPr>
        <w:pStyle w:val="Normal"/>
        <w:rPr>
          <w:rFonts w:cs="Calibri"/>
          <w:u w:val="single"/>
        </w:rPr>
      </w:pPr>
      <w:r>
        <w:rPr>
          <w:rFonts w:cs="Calibri"/>
          <w:u w:val="single"/>
        </w:rPr>
        <w:t>Control Objective</w:t>
      </w:r>
      <w:r>
        <w:rPr>
          <w:rFonts w:cs="Calibri"/>
        </w:rPr>
        <w:t>:</w:t>
      </w:r>
      <w:r>
        <w:rPr>
          <w:rFonts w:cs="Calibri"/>
          <w:bCs w:val="false"/>
        </w:rPr>
        <w:t xml:space="preserve"> The organization restricts</w:t>
      </w:r>
      <w:r>
        <w:rPr>
          <w:rFonts w:cs="Calibri"/>
        </w:rPr>
        <w:t xml:space="preserve"> the use of non-organizationally owned information systems, system components or devices to process, store or transmit organizational information.</w:t>
      </w:r>
      <w:r>
        <w:rPr>
          <w:rStyle w:val="FootnoteCharacters"/>
          <w:rFonts w:cs="Calibri"/>
          <w:bCs w:val="false"/>
        </w:rPr>
        <w:t xml:space="preserve"> </w:t>
      </w:r>
      <w:r>
        <w:rPr>
          <w:rStyle w:val="FootnoteAnchor"/>
          <w:rStyle w:val="FootnoteAnchor"/>
          <w:rFonts w:cs="Calibri"/>
          <w:bCs w:val="false"/>
        </w:rPr>
        <w:footnoteReference w:id="225"/>
      </w:r>
    </w:p>
    <w:p>
      <w:pPr>
        <w:pStyle w:val="Normal"/>
        <w:rPr>
          <w:rFonts w:cs="Calibri"/>
          <w:u w:val="single"/>
        </w:rPr>
      </w:pPr>
      <w:r>
        <w:rPr>
          <w:rFonts w:cs="Calibri"/>
          <w:u w:val="single"/>
        </w:rPr>
      </w:r>
    </w:p>
    <w:p>
      <w:pPr>
        <w:pStyle w:val="Normal"/>
        <w:rPr>
          <w:rFonts w:cs="Calibri"/>
          <w:bCs w:val="false"/>
        </w:rPr>
      </w:pPr>
      <w:r>
        <w:rPr>
          <w:rFonts w:cs="Calibri"/>
          <w:u w:val="single"/>
        </w:rPr>
        <w:t>Standard</w:t>
      </w:r>
      <w:r>
        <w:rPr>
          <w:rFonts w:cs="Calibri"/>
        </w:rPr>
        <w:t xml:space="preserve">: NFCC </w:t>
      </w:r>
      <w:r>
        <w:rPr>
          <w:rFonts w:cs="Calibri"/>
          <w:bCs w:val="false"/>
        </w:rPr>
        <w:t xml:space="preserve">assumes that all mobile devices are untrusted unless </w:t>
      </w:r>
      <w:r>
        <w:rPr>
          <w:rFonts w:cs="Calibri"/>
        </w:rPr>
        <w:t xml:space="preserve">NFCC </w:t>
      </w:r>
      <w:r>
        <w:rPr>
          <w:rFonts w:cs="Calibri"/>
          <w:bCs w:val="false"/>
        </w:rPr>
        <w:t xml:space="preserve">has properly secured the mobile device. When approved by </w:t>
      </w:r>
      <w:r>
        <w:rPr>
          <w:rFonts w:cs="Calibri"/>
        </w:rPr>
        <w:t xml:space="preserve">NFCC management, users are allowed to use </w:t>
      </w:r>
      <w:r>
        <w:rPr>
          <w:rFonts w:cs="Calibri"/>
          <w:bCs w:val="false"/>
        </w:rPr>
        <w:t>personally</w:t>
      </w:r>
      <w:r>
        <w:rPr>
          <w:rFonts w:cs="Calibri"/>
        </w:rPr>
        <w:t xml:space="preserve"> -owned mobile devices (e.g., Bring Your Own Device (BYOD)), only if the following conditions are met: </w:t>
      </w:r>
    </w:p>
    <w:p>
      <w:pPr>
        <w:pStyle w:val="ListParagraph"/>
        <w:numPr>
          <w:ilvl w:val="0"/>
          <w:numId w:val="629"/>
        </w:numPr>
        <w:rPr>
          <w:rFonts w:cs="Calibri"/>
        </w:rPr>
      </w:pPr>
      <w:r>
        <w:rPr>
          <w:rFonts w:cs="Calibri"/>
          <w:u w:val="single"/>
        </w:rPr>
        <w:t>Conduct</w:t>
      </w:r>
      <w:r>
        <w:rPr>
          <w:rFonts w:cs="Calibri"/>
        </w:rPr>
        <w:t>: Users must conduct themselves in accordance with NFCC’s Acceptable Use parameters (Annex 5: Rules of Behavior (Acceptable &amp; Unacceptable Use));</w:t>
      </w:r>
    </w:p>
    <w:p>
      <w:pPr>
        <w:pStyle w:val="ListParagraph"/>
        <w:numPr>
          <w:ilvl w:val="0"/>
          <w:numId w:val="629"/>
        </w:numPr>
        <w:rPr>
          <w:rFonts w:cs="Calibri"/>
        </w:rPr>
      </w:pPr>
      <w:r>
        <w:rPr>
          <w:rFonts w:cs="Calibri"/>
          <w:u w:val="single"/>
        </w:rPr>
        <w:t>Passwords</w:t>
      </w:r>
      <w:r>
        <w:rPr>
          <w:rFonts w:cs="Calibri"/>
        </w:rPr>
        <w:t>: A password or PIN with a minimum of four (4) characters must be used to log onto the device</w:t>
      </w:r>
    </w:p>
    <w:p>
      <w:pPr>
        <w:pStyle w:val="ListParagraph"/>
        <w:numPr>
          <w:ilvl w:val="0"/>
          <w:numId w:val="629"/>
        </w:numPr>
        <w:rPr>
          <w:rFonts w:cs="Calibri"/>
        </w:rPr>
      </w:pPr>
      <w:r>
        <w:rPr>
          <w:rFonts w:cs="Calibri"/>
          <w:u w:val="single"/>
        </w:rPr>
        <w:t>Lockout</w:t>
      </w:r>
      <w:r>
        <w:rPr>
          <w:rFonts w:cs="Calibri"/>
        </w:rPr>
        <w:t>. The mobile device must be set to delete all data or lock internally after ten (10) unsuccessful attempts to enter a password or PIN.</w:t>
      </w:r>
    </w:p>
    <w:p>
      <w:pPr>
        <w:pStyle w:val="ListParagraph"/>
        <w:numPr>
          <w:ilvl w:val="0"/>
          <w:numId w:val="629"/>
        </w:numPr>
        <w:rPr>
          <w:rFonts w:cs="Calibri"/>
        </w:rPr>
      </w:pPr>
      <w:r>
        <w:rPr>
          <w:rFonts w:cs="Calibri"/>
          <w:u w:val="single"/>
        </w:rPr>
        <w:t>Encryption</w:t>
      </w:r>
      <w:r>
        <w:rPr>
          <w:rFonts w:cs="Calibri"/>
        </w:rPr>
        <w:t xml:space="preserve">: The data on the mobile device must be encrypted. </w:t>
      </w:r>
    </w:p>
    <w:p>
      <w:pPr>
        <w:pStyle w:val="ListParagraph"/>
        <w:numPr>
          <w:ilvl w:val="0"/>
          <w:numId w:val="629"/>
        </w:numPr>
        <w:rPr>
          <w:rFonts w:cs="Calibri"/>
        </w:rPr>
      </w:pPr>
      <w:r>
        <w:rPr>
          <w:rFonts w:cs="Calibri"/>
          <w:u w:val="single"/>
        </w:rPr>
        <w:t>Message</w:t>
      </w:r>
      <w:r>
        <w:rPr>
          <w:rFonts w:cs="Calibri"/>
        </w:rPr>
        <w:t xml:space="preserve"> </w:t>
      </w:r>
      <w:r>
        <w:rPr>
          <w:rFonts w:cs="Calibri"/>
          <w:u w:val="single"/>
        </w:rPr>
        <w:t>Storage</w:t>
      </w:r>
      <w:r>
        <w:rPr>
          <w:rFonts w:cs="Calibri"/>
        </w:rPr>
        <w:t xml:space="preserve"> </w:t>
      </w:r>
      <w:r>
        <w:rPr>
          <w:rFonts w:cs="Calibri"/>
          <w:u w:val="single"/>
        </w:rPr>
        <w:t>Limits</w:t>
      </w:r>
      <w:r>
        <w:rPr>
          <w:rFonts w:cs="Calibri"/>
        </w:rPr>
        <w:t>. Users may not store more than two hundred (200) messages or fourteen (14) days of messages on a mobile device.</w:t>
      </w:r>
    </w:p>
    <w:p>
      <w:pPr>
        <w:pStyle w:val="ListParagraph"/>
        <w:numPr>
          <w:ilvl w:val="0"/>
          <w:numId w:val="629"/>
        </w:numPr>
        <w:rPr>
          <w:rFonts w:cs="Calibri"/>
        </w:rPr>
      </w:pPr>
      <w:r>
        <w:rPr>
          <w:rFonts w:cs="Calibri"/>
          <w:u w:val="single"/>
        </w:rPr>
        <w:t>Data</w:t>
      </w:r>
      <w:r>
        <w:rPr>
          <w:rFonts w:cs="Calibri"/>
        </w:rPr>
        <w:t xml:space="preserve"> </w:t>
      </w:r>
      <w:r>
        <w:rPr>
          <w:rFonts w:cs="Calibri"/>
          <w:u w:val="single"/>
        </w:rPr>
        <w:t>Backups</w:t>
      </w:r>
      <w:r>
        <w:rPr>
          <w:rFonts w:cs="Calibri"/>
        </w:rPr>
        <w:t>: If the user backs up the data from the mobile device to another device that is not encrypted (e.g., backing up a tablet using an unencrypted computer) then the backup data must be encrypted.</w:t>
      </w:r>
    </w:p>
    <w:p>
      <w:pPr>
        <w:pStyle w:val="ListParagraph"/>
        <w:numPr>
          <w:ilvl w:val="0"/>
          <w:numId w:val="629"/>
        </w:numPr>
        <w:rPr>
          <w:rFonts w:cs="Calibri"/>
        </w:rPr>
      </w:pPr>
      <w:r>
        <w:rPr>
          <w:rFonts w:cs="Calibri"/>
          <w:u w:val="single"/>
        </w:rPr>
        <w:t>Software</w:t>
      </w:r>
      <w:r>
        <w:rPr>
          <w:rFonts w:cs="Calibri"/>
        </w:rPr>
        <w:t xml:space="preserve"> </w:t>
      </w:r>
      <w:r>
        <w:rPr>
          <w:rFonts w:cs="Calibri"/>
          <w:u w:val="single"/>
        </w:rPr>
        <w:t>Protections</w:t>
      </w:r>
      <w:r>
        <w:rPr>
          <w:rFonts w:cs="Calibri"/>
        </w:rPr>
        <w:t xml:space="preserve">: Applications that create, store, access, send or receive ePHI must meet NFCC security standards and custom developed applications used on mobile devices must undergo a security design review. </w:t>
      </w:r>
    </w:p>
    <w:p>
      <w:pPr>
        <w:pStyle w:val="ListParagraph"/>
        <w:numPr>
          <w:ilvl w:val="0"/>
          <w:numId w:val="629"/>
        </w:numPr>
        <w:rPr>
          <w:rFonts w:cs="Calibri"/>
        </w:rPr>
      </w:pPr>
      <w:r>
        <w:rPr>
          <w:rFonts w:cs="Calibri"/>
          <w:u w:val="single"/>
        </w:rPr>
        <w:t>Anti-malware</w:t>
      </w:r>
      <w:r>
        <w:rPr>
          <w:rFonts w:cs="Calibri"/>
        </w:rPr>
        <w:t>: Anti-malware software must be installed on mobile devices that are capable of running such software:</w:t>
      </w:r>
    </w:p>
    <w:p>
      <w:pPr>
        <w:pStyle w:val="ListParagraph"/>
        <w:numPr>
          <w:ilvl w:val="1"/>
          <w:numId w:val="629"/>
        </w:numPr>
        <w:rPr>
          <w:rFonts w:cs="Calibri"/>
        </w:rPr>
      </w:pPr>
      <w:r>
        <w:rPr>
          <w:rFonts w:cs="Calibri"/>
          <w:u w:val="single"/>
        </w:rPr>
        <w:t>Android</w:t>
      </w:r>
      <w:r>
        <w:rPr>
          <w:rFonts w:cs="Calibri"/>
        </w:rPr>
        <w:t>: Android devices are required to have anti-malware software installed.</w:t>
      </w:r>
    </w:p>
    <w:p>
      <w:pPr>
        <w:pStyle w:val="ListParagraph"/>
        <w:numPr>
          <w:ilvl w:val="1"/>
          <w:numId w:val="629"/>
        </w:numPr>
        <w:rPr>
          <w:rFonts w:cs="Calibri"/>
        </w:rPr>
      </w:pPr>
      <w:r>
        <w:rPr>
          <w:rFonts w:cs="Calibri"/>
          <w:u w:val="single"/>
        </w:rPr>
        <w:t>Windows</w:t>
      </w:r>
      <w:r>
        <w:rPr>
          <w:rFonts w:cs="Calibri"/>
        </w:rPr>
        <w:t>: Windows devices are required to have anti-malware software installed.</w:t>
      </w:r>
    </w:p>
    <w:p>
      <w:pPr>
        <w:pStyle w:val="ListParagraph"/>
        <w:numPr>
          <w:ilvl w:val="1"/>
          <w:numId w:val="629"/>
        </w:numPr>
        <w:rPr>
          <w:rFonts w:cs="Calibri"/>
        </w:rPr>
      </w:pPr>
      <w:r>
        <w:rPr>
          <w:rFonts w:cs="Calibri"/>
          <w:u w:val="single"/>
        </w:rPr>
        <w:t>Apple</w:t>
      </w:r>
      <w:r>
        <w:rPr>
          <w:rFonts w:cs="Calibri"/>
        </w:rPr>
        <w:t>: The Apple iOS is not currently capable of running anti-malware software, since no such software exists, based on the design of the iOS.</w:t>
      </w:r>
    </w:p>
    <w:p>
      <w:pPr>
        <w:pStyle w:val="ListParagraph"/>
        <w:numPr>
          <w:ilvl w:val="0"/>
          <w:numId w:val="629"/>
        </w:numPr>
        <w:rPr>
          <w:rFonts w:cs="Calibri"/>
        </w:rPr>
      </w:pPr>
      <w:r>
        <w:rPr>
          <w:rFonts w:cs="Calibri"/>
          <w:u w:val="single"/>
        </w:rPr>
        <w:t>Updates</w:t>
      </w:r>
      <w:r>
        <w:rPr>
          <w:rFonts w:cs="Calibri"/>
        </w:rPr>
        <w:t>: Mobile device and installed applications must be kept updated with the latest vendor software releases:</w:t>
      </w:r>
    </w:p>
    <w:p>
      <w:pPr>
        <w:pStyle w:val="ListParagraph"/>
        <w:numPr>
          <w:ilvl w:val="1"/>
          <w:numId w:val="629"/>
        </w:numPr>
        <w:rPr>
          <w:rFonts w:cs="Calibri"/>
        </w:rPr>
      </w:pPr>
      <w:r>
        <w:rPr>
          <w:rFonts w:cs="Calibri"/>
          <w:u w:val="single"/>
        </w:rPr>
        <w:t>Operating</w:t>
      </w:r>
      <w:r>
        <w:rPr>
          <w:rFonts w:cs="Calibri"/>
        </w:rPr>
        <w:t xml:space="preserve"> </w:t>
      </w:r>
      <w:r>
        <w:rPr>
          <w:rFonts w:cs="Calibri"/>
          <w:u w:val="single"/>
        </w:rPr>
        <w:t>Systems</w:t>
      </w:r>
      <w:r>
        <w:rPr>
          <w:rFonts w:cs="Calibri"/>
        </w:rPr>
        <w:t>: The most recent operating system available for the mobile data device must be used.</w:t>
      </w:r>
    </w:p>
    <w:p>
      <w:pPr>
        <w:pStyle w:val="ListParagraph"/>
        <w:numPr>
          <w:ilvl w:val="1"/>
          <w:numId w:val="629"/>
        </w:numPr>
        <w:rPr>
          <w:rFonts w:cs="Calibri"/>
        </w:rPr>
      </w:pPr>
      <w:r>
        <w:rPr>
          <w:rFonts w:cs="Calibri"/>
          <w:u w:val="single"/>
        </w:rPr>
        <w:t>Applications</w:t>
      </w:r>
      <w:r>
        <w:rPr>
          <w:rFonts w:cs="Calibri"/>
        </w:rPr>
        <w:t>: Available security updates for any applications must be applied in a regular and timely manner unless instructed otherwise by NFCC IT staff.</w:t>
      </w:r>
    </w:p>
    <w:p>
      <w:pPr>
        <w:pStyle w:val="ListParagraph"/>
        <w:numPr>
          <w:ilvl w:val="0"/>
          <w:numId w:val="629"/>
        </w:numPr>
        <w:rPr>
          <w:rFonts w:cs="Calibri"/>
        </w:rPr>
      </w:pPr>
      <w:r>
        <w:rPr>
          <w:rFonts w:cs="Calibri"/>
          <w:u w:val="single"/>
        </w:rPr>
        <w:t>Rooting</w:t>
      </w:r>
      <w:r>
        <w:rPr>
          <w:rFonts w:cs="Calibri"/>
        </w:rPr>
        <w:t>: Users must not circumvent the security of mobile devices by removing limitations designed to protect the device (e.g., “jailbreaking”) and users must not tamper with the mobile device by using unauthorized software, hardware or other methods.</w:t>
      </w:r>
    </w:p>
    <w:p>
      <w:pPr>
        <w:pStyle w:val="ListParagraph"/>
        <w:numPr>
          <w:ilvl w:val="0"/>
          <w:numId w:val="629"/>
        </w:numPr>
        <w:rPr>
          <w:rFonts w:cs="Calibri"/>
        </w:rPr>
      </w:pPr>
      <w:r>
        <w:rPr>
          <w:rFonts w:cs="Calibri"/>
          <w:u w:val="single"/>
        </w:rPr>
        <w:t>Wireless</w:t>
      </w:r>
      <w:r>
        <w:rPr>
          <w:rFonts w:cs="Calibri"/>
        </w:rPr>
        <w:t xml:space="preserve">: Users are required to utilize good judgment when connecting the mobile device to other devices and networks: </w:t>
      </w:r>
    </w:p>
    <w:p>
      <w:pPr>
        <w:pStyle w:val="ListParagraph"/>
        <w:numPr>
          <w:ilvl w:val="1"/>
          <w:numId w:val="629"/>
        </w:numPr>
        <w:rPr>
          <w:rFonts w:cs="Calibri"/>
        </w:rPr>
      </w:pPr>
      <w:r>
        <w:rPr>
          <w:rFonts w:cs="Calibri"/>
          <w:u w:val="single"/>
        </w:rPr>
        <w:t>Bluetooth</w:t>
      </w:r>
      <w:r>
        <w:rPr>
          <w:rFonts w:cs="Calibri"/>
        </w:rPr>
        <w:t>: Passwords or PINs must be used to secure Bluetooth connections with devices and block unknown devices.</w:t>
      </w:r>
    </w:p>
    <w:p>
      <w:pPr>
        <w:pStyle w:val="ListParagraph"/>
        <w:numPr>
          <w:ilvl w:val="1"/>
          <w:numId w:val="629"/>
        </w:numPr>
        <w:rPr>
          <w:rFonts w:cs="Calibri"/>
        </w:rPr>
      </w:pPr>
      <w:r>
        <w:rPr>
          <w:rFonts w:cs="Calibri"/>
          <w:u w:val="single"/>
        </w:rPr>
        <w:t>WiFi</w:t>
      </w:r>
      <w:r>
        <w:rPr>
          <w:rFonts w:cs="Calibri"/>
        </w:rPr>
        <w:t>: Users may use only secure (e.g., WPA2) WiFi networks known to be trustworthy.</w:t>
      </w:r>
    </w:p>
    <w:p>
      <w:pPr>
        <w:pStyle w:val="ListParagraph"/>
        <w:numPr>
          <w:ilvl w:val="1"/>
          <w:numId w:val="629"/>
        </w:numPr>
        <w:rPr>
          <w:rFonts w:cs="Calibri"/>
        </w:rPr>
      </w:pPr>
      <w:r>
        <w:rPr>
          <w:rFonts w:cs="Calibri"/>
          <w:u w:val="single"/>
        </w:rPr>
        <w:t>Cellular</w:t>
      </w:r>
      <w:r>
        <w:rPr>
          <w:rFonts w:cs="Calibri"/>
        </w:rPr>
        <w:t>: NFCC is not responsible for overages or data plans for cellular usage.</w:t>
      </w:r>
    </w:p>
    <w:p>
      <w:pPr>
        <w:pStyle w:val="ListParagraph"/>
        <w:numPr>
          <w:ilvl w:val="0"/>
          <w:numId w:val="629"/>
        </w:numPr>
        <w:rPr>
          <w:rFonts w:cs="Calibri"/>
        </w:rPr>
      </w:pPr>
      <w:r>
        <w:rPr>
          <w:rFonts w:cs="Calibri"/>
        </w:rPr>
        <w:t xml:space="preserve">Storing NFCC data outside of NFCC-approved, encrypted containers on the mobile device. </w:t>
      </w:r>
    </w:p>
    <w:p>
      <w:pPr>
        <w:pStyle w:val="Normal"/>
        <w:rPr>
          <w:rFonts w:cs="Calibri"/>
          <w:u w:val="single"/>
        </w:rPr>
      </w:pPr>
      <w:r>
        <w:rPr>
          <w:rFonts w:cs="Calibri"/>
          <w:u w:val="single"/>
        </w:rPr>
      </w:r>
    </w:p>
    <w:p>
      <w:pPr>
        <w:pStyle w:val="Normal"/>
        <w:rPr>
          <w:rFonts w:cs="Calibri"/>
          <w:bCs w:val="false"/>
        </w:rPr>
      </w:pPr>
      <w:r>
        <w:rPr>
          <w:rFonts w:cs="Calibri"/>
          <w:bCs w:val="false"/>
          <w:u w:val="single"/>
        </w:rPr>
        <w:t>Guidelines</w:t>
      </w:r>
      <w:r>
        <w:rPr>
          <w:rFonts w:cs="Calibri"/>
          <w:bCs w:val="false"/>
        </w:rPr>
        <w:t>: This control addresses the Bring Your Own Device (BYOD) initiative. Mobile devices, particularly those that are personally owned are not necessarily trustworthy. These mobile devices lack the root of trust features (e.g., Trusted Platform Modules (TPMs)) that are increasingly built into laptops and other types of hosts. There is also frequent “jailbreaking” and “rooting” of mobile devices, which means that the built-in restrictions on security and the operating system have been bypassed.</w:t>
      </w:r>
    </w:p>
    <w:p>
      <w:pPr>
        <w:pStyle w:val="Normal"/>
        <w:rPr>
          <w:rFonts w:cs="Calibri"/>
        </w:rPr>
      </w:pPr>
      <w:r>
        <w:rPr>
          <w:rFonts w:cs="Calibri"/>
        </w:rPr>
      </w:r>
    </w:p>
    <w:p>
      <w:pPr>
        <w:pStyle w:val="Normal"/>
        <w:rPr>
          <w:rFonts w:cs="Calibri"/>
          <w:bCs w:val="false"/>
        </w:rPr>
      </w:pPr>
      <w:r>
        <w:rPr>
          <w:rFonts w:cs="Calibri"/>
          <w:bCs w:val="false"/>
        </w:rPr>
        <w:t>Limits on the use of organization-controlled portable storage devices in external information systems include, for example, complete prohibition of the use of such devices or restrictions on how the devices may be used and under what conditions the devices may be used.</w:t>
      </w:r>
    </w:p>
    <w:p>
      <w:pPr>
        <w:pStyle w:val="Normal"/>
        <w:rPr/>
      </w:pPr>
      <w:r>
        <w:rPr/>
      </w:r>
      <w:bookmarkStart w:id="713" w:name="_Hlk27579327"/>
      <w:bookmarkStart w:id="714" w:name="_Hlk27579327"/>
      <w:bookmarkEnd w:id="714"/>
    </w:p>
    <w:p>
      <w:pPr>
        <w:pStyle w:val="Normal"/>
        <w:rPr/>
      </w:pPr>
      <w:r>
        <w:rPr/>
      </w:r>
    </w:p>
    <w:p>
      <w:pPr>
        <w:pStyle w:val="Heading2"/>
        <w:rPr/>
      </w:pPr>
      <w:bookmarkStart w:id="715" w:name="_Toc474074956"/>
      <w:bookmarkStart w:id="716" w:name="_Toc474075608"/>
      <w:bookmarkStart w:id="717" w:name="_Toc34920772"/>
      <w:r>
        <w:rPr/>
        <w:t>DCH-14: Information Sharing</w:t>
      </w:r>
      <w:bookmarkEnd w:id="715"/>
      <w:bookmarkEnd w:id="716"/>
      <w:bookmarkEnd w:id="717"/>
      <w:r>
        <w:rPr/>
        <w:t xml:space="preserve"> </w:t>
      </w:r>
    </w:p>
    <w:p>
      <w:pPr>
        <w:pStyle w:val="Normal"/>
        <w:rPr/>
      </w:pPr>
      <w:r>
        <w:rPr>
          <w:u w:val="single"/>
        </w:rPr>
        <w:t>Control Objective</w:t>
      </w:r>
      <w:r>
        <w:rPr/>
        <w:t>: The organization:</w:t>
      </w:r>
      <w:r>
        <w:rPr>
          <w:rStyle w:val="FootnoteAnchor"/>
          <w:rStyle w:val="FootnoteAnchor"/>
          <w:rFonts w:cs="Calibri"/>
        </w:rPr>
        <w:footnoteReference w:id="226"/>
      </w:r>
    </w:p>
    <w:p>
      <w:pPr>
        <w:pStyle w:val="ListParagraph"/>
        <w:numPr>
          <w:ilvl w:val="0"/>
          <w:numId w:val="89"/>
        </w:numPr>
        <w:rPr/>
      </w:pPr>
      <w:r>
        <w:rPr/>
        <w:t xml:space="preserve">Facilitates information sharing by enabling authorized users to determine whether access authorizations assigned to the sharing partner match the access restrictions on the information for </w:t>
      </w:r>
      <w:r>
        <w:rPr>
          <w:iCs/>
        </w:rPr>
        <w:t>information sharing circumstances where user discretion is required</w:t>
      </w:r>
      <w:r>
        <w:rPr/>
        <w:t>; and</w:t>
      </w:r>
    </w:p>
    <w:p>
      <w:pPr>
        <w:pStyle w:val="ListParagraph"/>
        <w:numPr>
          <w:ilvl w:val="0"/>
          <w:numId w:val="89"/>
        </w:numPr>
        <w:rPr/>
      </w:pPr>
      <w:r>
        <w:rPr/>
        <w:t xml:space="preserve">Employs a </w:t>
      </w:r>
      <w:r>
        <w:rPr>
          <w:iCs/>
        </w:rPr>
        <w:t xml:space="preserve">process </w:t>
      </w:r>
      <w:r>
        <w:rPr/>
        <w:t>to assist users in making information sharing / collaboration decisions.</w:t>
      </w:r>
    </w:p>
    <w:p>
      <w:pPr>
        <w:pStyle w:val="Normal"/>
        <w:rPr/>
      </w:pPr>
      <w:r>
        <w:rPr/>
      </w:r>
    </w:p>
    <w:p>
      <w:pPr>
        <w:pStyle w:val="Normal"/>
        <w:rPr/>
      </w:pPr>
      <w:r>
        <w:rPr>
          <w:u w:val="single"/>
        </w:rPr>
        <w:t>Standard</w:t>
      </w:r>
      <w:r>
        <w:rPr/>
        <w:t xml:space="preserve">: Access to confidential information from outside the boundaries of the system and disclosure of confidential information is restricted to authorized parties to meet the entity’s confidentiality commitments and system requirements. </w:t>
      </w:r>
    </w:p>
    <w:p>
      <w:pPr>
        <w:pStyle w:val="Normal"/>
        <w:rPr/>
      </w:pPr>
      <w:r>
        <w:rPr/>
        <w:t>While it is the user’s responsibility to exercise sound judgment if information should be shared, asset custodians and data / process owners are required to:</w:t>
      </w:r>
    </w:p>
    <w:p>
      <w:pPr>
        <w:pStyle w:val="ListParagraph"/>
        <w:numPr>
          <w:ilvl w:val="0"/>
          <w:numId w:val="312"/>
        </w:numPr>
        <w:rPr/>
      </w:pPr>
      <w:r>
        <w:rPr/>
        <w:t>Facilitate information sharing by enabling authorized users to use authorized technology (e.g., SharePoint, a blog or a wiki page); and</w:t>
      </w:r>
    </w:p>
    <w:p>
      <w:pPr>
        <w:pStyle w:val="ListParagraph"/>
        <w:numPr>
          <w:ilvl w:val="0"/>
          <w:numId w:val="312"/>
        </w:numPr>
        <w:rPr/>
      </w:pPr>
      <w:r>
        <w:rPr/>
        <w:t xml:space="preserve">Employ a </w:t>
      </w:r>
      <w:r>
        <w:rPr>
          <w:iCs/>
        </w:rPr>
        <w:t xml:space="preserve">process </w:t>
      </w:r>
      <w:r>
        <w:rPr/>
        <w:t>to assist users in making information sharing / collaboration decisions.</w:t>
      </w:r>
    </w:p>
    <w:p>
      <w:pPr>
        <w:pStyle w:val="Normal"/>
        <w:rPr/>
      </w:pPr>
      <w:r>
        <w:rPr/>
      </w:r>
    </w:p>
    <w:p>
      <w:pPr>
        <w:pStyle w:val="Normal"/>
        <w:rPr/>
      </w:pPr>
      <w:r>
        <w:rPr>
          <w:u w:val="single"/>
        </w:rPr>
        <w:t>Guidelines</w:t>
      </w:r>
      <w:r>
        <w:rPr/>
        <w:t>: The objective is to maintain the security of information transferred within an organization and with any external entity. Formal transfer policies, procedures and controls should be in place to protect the transfer of information through the use of all types of communication facilities. Agreements should address the secure transfer of business information between the organization and external parties.</w:t>
      </w:r>
    </w:p>
    <w:p>
      <w:pPr>
        <w:pStyle w:val="Normal"/>
        <w:rPr/>
      </w:pPr>
      <w:r>
        <w:rPr/>
      </w:r>
    </w:p>
    <w:p>
      <w:pPr>
        <w:pStyle w:val="Heading3"/>
        <w:rPr/>
      </w:pPr>
      <w:bookmarkStart w:id="718" w:name="_Toc34920773"/>
      <w:r>
        <w:rPr/>
        <w:t>DCH-14(a): Information Sharing | Information Search &amp; Retrieval</w:t>
      </w:r>
      <w:bookmarkEnd w:id="718"/>
      <w:r>
        <w:rPr/>
        <w:t xml:space="preserve"> </w:t>
      </w:r>
    </w:p>
    <w:p>
      <w:pPr>
        <w:pStyle w:val="Normal"/>
        <w:rPr>
          <w:rFonts w:cs="Calibri"/>
          <w:bCs w:val="false"/>
        </w:rPr>
      </w:pPr>
      <w:r>
        <w:rPr>
          <w:rFonts w:cs="Calibri"/>
          <w:u w:val="single"/>
        </w:rPr>
        <w:t>Control Objective</w:t>
      </w:r>
      <w:r>
        <w:rPr>
          <w:rFonts w:cs="Calibri"/>
        </w:rPr>
        <w:t>:</w:t>
      </w:r>
      <w:r>
        <w:rPr>
          <w:rFonts w:cs="Calibri"/>
          <w:bCs w:val="false"/>
        </w:rPr>
        <w:t xml:space="preserve"> </w:t>
      </w:r>
      <w:r>
        <w:rPr>
          <w:rFonts w:cs="Calibri"/>
        </w:rPr>
        <w:t>The information system implements information search and retrieval services that enforce organization-defined information sharing restrictions.</w:t>
      </w:r>
      <w:r>
        <w:rPr>
          <w:rStyle w:val="FootnoteCharacters"/>
          <w:rFonts w:cs="Calibri"/>
        </w:rPr>
        <w:t xml:space="preserve"> </w:t>
      </w:r>
      <w:r>
        <w:rPr>
          <w:rStyle w:val="FootnoteAnchor"/>
          <w:rStyle w:val="FootnoteAnchor"/>
          <w:rFonts w:cs="Calibri"/>
        </w:rPr>
        <w:footnoteReference w:id="227"/>
      </w:r>
    </w:p>
    <w:p>
      <w:pPr>
        <w:pStyle w:val="Normal"/>
        <w:rPr>
          <w:rFonts w:cs="Calibri"/>
          <w:bCs w:val="false"/>
        </w:rPr>
      </w:pPr>
      <w:r>
        <w:rPr>
          <w:rFonts w:cs="Calibri"/>
          <w:bCs w:val="false"/>
        </w:rPr>
      </w:r>
    </w:p>
    <w:p>
      <w:pPr>
        <w:pStyle w:val="Normal"/>
        <w:rPr>
          <w:rFonts w:cs="Calibri"/>
          <w:bCs w:val="false"/>
        </w:rPr>
      </w:pPr>
      <w:r>
        <w:rPr>
          <w:rFonts w:cs="Calibri"/>
          <w:u w:val="single"/>
        </w:rPr>
        <w:t>Standard</w:t>
      </w:r>
      <w:r>
        <w:rPr>
          <w:rFonts w:cs="Calibri"/>
        </w:rPr>
        <w:t>: NFCC’s leverages industry-recognized secure practices for application development to ensure information systems implement information search and retrieval functions that properly enforce data protection / sharing restrictions.</w:t>
      </w:r>
    </w:p>
    <w:p>
      <w:pPr>
        <w:pStyle w:val="Normal"/>
        <w:rPr>
          <w:rFonts w:cs="Calibri"/>
          <w:bCs w:val="false"/>
        </w:rPr>
      </w:pPr>
      <w:r>
        <w:rPr>
          <w:rFonts w:cs="Calibri"/>
          <w:bCs w:val="false"/>
        </w:rPr>
      </w:r>
    </w:p>
    <w:p>
      <w:pPr>
        <w:pStyle w:val="Normal"/>
        <w:rPr>
          <w:rFonts w:cs="Calibri"/>
        </w:rPr>
      </w:pPr>
      <w:r>
        <w:rPr>
          <w:rFonts w:cs="Calibri"/>
          <w:u w:val="single"/>
        </w:rPr>
        <w:t>Guidelines</w:t>
      </w:r>
      <w:r>
        <w:rPr>
          <w:rFonts w:cs="Calibri"/>
        </w:rPr>
        <w:t>: None</w:t>
      </w:r>
      <w:bookmarkStart w:id="719" w:name="_Hlk27579354"/>
      <w:bookmarkEnd w:id="719"/>
    </w:p>
    <w:p>
      <w:pPr>
        <w:pStyle w:val="Normal"/>
        <w:rPr/>
      </w:pPr>
      <w:r>
        <w:rPr/>
      </w:r>
    </w:p>
    <w:p>
      <w:pPr>
        <w:pStyle w:val="Normal"/>
        <w:rPr/>
      </w:pPr>
      <w:r>
        <w:rPr/>
      </w:r>
    </w:p>
    <w:p>
      <w:pPr>
        <w:pStyle w:val="Heading2"/>
        <w:rPr/>
      </w:pPr>
      <w:bookmarkStart w:id="720" w:name="_Toc474074957"/>
      <w:bookmarkStart w:id="721" w:name="_Toc474075609"/>
      <w:bookmarkStart w:id="722" w:name="_Toc34920774"/>
      <w:r>
        <w:rPr/>
        <w:t>DCH-15: Publicly Accessible Content</w:t>
      </w:r>
      <w:bookmarkEnd w:id="720"/>
      <w:bookmarkEnd w:id="721"/>
      <w:bookmarkEnd w:id="722"/>
    </w:p>
    <w:p>
      <w:pPr>
        <w:pStyle w:val="Normal"/>
        <w:rPr/>
      </w:pPr>
      <w:r>
        <w:rPr>
          <w:u w:val="single"/>
        </w:rPr>
        <w:t>Control Objective</w:t>
      </w:r>
      <w:r>
        <w:rPr/>
        <w:t>: The organization:</w:t>
      </w:r>
      <w:r>
        <w:rPr>
          <w:rStyle w:val="FootnoteAnchor"/>
          <w:rStyle w:val="FootnoteAnchor"/>
          <w:rFonts w:cs="Calibri"/>
        </w:rPr>
        <w:footnoteReference w:id="228"/>
      </w:r>
    </w:p>
    <w:p>
      <w:pPr>
        <w:pStyle w:val="ListParagraph"/>
        <w:numPr>
          <w:ilvl w:val="0"/>
          <w:numId w:val="90"/>
        </w:numPr>
        <w:rPr/>
      </w:pPr>
      <w:r>
        <w:rPr/>
        <w:t>Designates individuals authorized to post information onto an organizational system that is publicly accessible;</w:t>
      </w:r>
    </w:p>
    <w:p>
      <w:pPr>
        <w:pStyle w:val="ListParagraph"/>
        <w:numPr>
          <w:ilvl w:val="0"/>
          <w:numId w:val="90"/>
        </w:numPr>
        <w:rPr/>
      </w:pPr>
      <w:r>
        <w:rPr/>
        <w:t>Trains authorized individuals to ensure that publicly accessible information does not contain nonpublic information;</w:t>
      </w:r>
    </w:p>
    <w:p>
      <w:pPr>
        <w:pStyle w:val="ListParagraph"/>
        <w:numPr>
          <w:ilvl w:val="0"/>
          <w:numId w:val="90"/>
        </w:numPr>
        <w:rPr/>
      </w:pPr>
      <w:r>
        <w:rPr/>
        <w:t>Reviews the proposed content of publicly accessible information for nonpublic information prior to posting onto organizational system;</w:t>
      </w:r>
    </w:p>
    <w:p>
      <w:pPr>
        <w:pStyle w:val="ListParagraph"/>
        <w:numPr>
          <w:ilvl w:val="0"/>
          <w:numId w:val="90"/>
        </w:numPr>
        <w:rPr/>
      </w:pPr>
      <w:r>
        <w:rPr/>
        <w:t>Reviews the content on the publicly accessible organizational system for nonpublic information; and</w:t>
      </w:r>
    </w:p>
    <w:p>
      <w:pPr>
        <w:pStyle w:val="ListParagraph"/>
        <w:numPr>
          <w:ilvl w:val="0"/>
          <w:numId w:val="90"/>
        </w:numPr>
        <w:rPr/>
      </w:pPr>
      <w:r>
        <w:rPr/>
        <w:t>Removes nonpublic information from the publicly accessible organizational system, if discovered.</w:t>
      </w:r>
    </w:p>
    <w:p>
      <w:pPr>
        <w:pStyle w:val="Normal"/>
        <w:rPr/>
      </w:pPr>
      <w:r>
        <w:rPr/>
      </w:r>
    </w:p>
    <w:p>
      <w:pPr>
        <w:pStyle w:val="Normal"/>
        <w:rPr/>
      </w:pPr>
      <w:r>
        <w:rPr>
          <w:u w:val="single"/>
        </w:rPr>
        <w:t>Standard</w:t>
      </w:r>
      <w:r>
        <w:rPr/>
        <w:t>: Data/process owners and asset custodians are required to:</w:t>
      </w:r>
    </w:p>
    <w:p>
      <w:pPr>
        <w:pStyle w:val="ListParagraph"/>
        <w:numPr>
          <w:ilvl w:val="0"/>
          <w:numId w:val="313"/>
        </w:numPr>
        <w:rPr/>
      </w:pPr>
      <w:r>
        <w:rPr/>
        <w:t>Designate select individuals to be authorized to post information onto publicly accessible websites;</w:t>
      </w:r>
    </w:p>
    <w:p>
      <w:pPr>
        <w:pStyle w:val="ListParagraph"/>
        <w:numPr>
          <w:ilvl w:val="0"/>
          <w:numId w:val="313"/>
        </w:numPr>
        <w:rPr/>
      </w:pPr>
      <w:r>
        <w:rPr/>
        <w:t>Train the authorized individuals to ensure that publicly accessible information does not contain nonpublic information;</w:t>
      </w:r>
    </w:p>
    <w:p>
      <w:pPr>
        <w:pStyle w:val="ListParagraph"/>
        <w:numPr>
          <w:ilvl w:val="0"/>
          <w:numId w:val="313"/>
        </w:numPr>
        <w:rPr/>
      </w:pPr>
      <w:r>
        <w:rPr/>
        <w:t>Review the proposed content of publicly accessible information for nonpublic information prior to posting onto publicly accessible websites;</w:t>
      </w:r>
    </w:p>
    <w:p>
      <w:pPr>
        <w:pStyle w:val="ListParagraph"/>
        <w:numPr>
          <w:ilvl w:val="0"/>
          <w:numId w:val="313"/>
        </w:numPr>
        <w:rPr/>
      </w:pPr>
      <w:r>
        <w:rPr/>
        <w:t>Review the content on the publicly accessible websites for nonpublic information; and</w:t>
      </w:r>
    </w:p>
    <w:p>
      <w:pPr>
        <w:pStyle w:val="ListParagraph"/>
        <w:numPr>
          <w:ilvl w:val="0"/>
          <w:numId w:val="313"/>
        </w:numPr>
        <w:rPr/>
      </w:pPr>
      <w:r>
        <w:rPr/>
        <w:t>Remove nonpublic information from the publicly accessible websites, if discovered.</w:t>
      </w:r>
    </w:p>
    <w:p>
      <w:pPr>
        <w:pStyle w:val="Normal"/>
        <w:rPr/>
      </w:pPr>
      <w:r>
        <w:rPr/>
      </w:r>
    </w:p>
    <w:p>
      <w:pPr>
        <w:pStyle w:val="Normal"/>
        <w:rPr>
          <w:u w:val="single"/>
        </w:rPr>
      </w:pPr>
      <w:r>
        <w:rPr>
          <w:u w:val="single"/>
        </w:rPr>
        <w:t>Guidelines</w:t>
      </w:r>
      <w:r>
        <w:rPr/>
        <w:t>: This standard addresses systems that are accessible to the general public, typically without identification or authentication. In accordance with NFCC policies and standards, the general public is not authorized to access to nonpublic information.</w:t>
      </w:r>
    </w:p>
    <w:p>
      <w:pPr>
        <w:pStyle w:val="Normal"/>
        <w:rPr/>
      </w:pPr>
      <w:r>
        <w:rPr/>
      </w:r>
    </w:p>
    <w:p>
      <w:pPr>
        <w:pStyle w:val="Normal"/>
        <w:tabs>
          <w:tab w:val="clear" w:pos="360"/>
          <w:tab w:val="clear" w:pos="720"/>
          <w:tab w:val="clear" w:pos="1080"/>
        </w:tabs>
        <w:jc w:val="left"/>
        <w:rPr/>
      </w:pPr>
      <w:r>
        <w:rPr/>
      </w:r>
    </w:p>
    <w:p>
      <w:pPr>
        <w:pStyle w:val="Heading2"/>
        <w:rPr/>
      </w:pPr>
      <w:bookmarkStart w:id="723" w:name="_Toc34920775"/>
      <w:bookmarkStart w:id="724" w:name="_Toc474074958"/>
      <w:bookmarkStart w:id="725" w:name="_Toc474075610"/>
      <w:r>
        <w:rPr/>
        <w:t>DCH-16: Data Mining Protection</w:t>
      </w:r>
      <w:bookmarkEnd w:id="723"/>
      <w:bookmarkEnd w:id="724"/>
      <w:bookmarkEnd w:id="725"/>
      <w:r>
        <w:rPr/>
        <w:t xml:space="preserve"> </w:t>
      </w:r>
    </w:p>
    <w:p>
      <w:pPr>
        <w:pStyle w:val="Normal"/>
        <w:rPr/>
      </w:pPr>
      <w:r>
        <w:rPr>
          <w:u w:val="single"/>
        </w:rPr>
        <w:t>Control Objective</w:t>
      </w:r>
      <w:r>
        <w:rPr/>
        <w:t>: The organization implements data mining and data harvesting techniques for data storage objects to adequately protect against data mining and data harvesting.</w:t>
      </w:r>
      <w:r>
        <w:rPr>
          <w:rStyle w:val="FootnoteAnchor"/>
          <w:rStyle w:val="FootnoteAnchor"/>
        </w:rPr>
        <w:footnoteReference w:id="229"/>
      </w:r>
    </w:p>
    <w:p>
      <w:pPr>
        <w:pStyle w:val="Normal"/>
        <w:rPr/>
      </w:pPr>
      <w:r>
        <w:rPr/>
      </w:r>
    </w:p>
    <w:p>
      <w:pPr>
        <w:pStyle w:val="Normal"/>
        <w:rPr/>
      </w:pPr>
      <w:r>
        <w:rPr>
          <w:u w:val="single"/>
        </w:rPr>
        <w:t>Standard</w:t>
      </w:r>
      <w:r>
        <w:rPr/>
        <w:t>: Data/process owners and asset custodians are required to implement industry-recognized leading practices for the development, configuration and maintenance of public facing websites, services and applications to mitigate the risk associated with data mining.</w:t>
      </w:r>
    </w:p>
    <w:p>
      <w:pPr>
        <w:pStyle w:val="Normal"/>
        <w:rPr/>
      </w:pPr>
      <w:r>
        <w:rPr/>
      </w:r>
    </w:p>
    <w:p>
      <w:pPr>
        <w:pStyle w:val="Normal"/>
        <w:rPr/>
      </w:pPr>
      <w:r>
        <w:rPr>
          <w:u w:val="single"/>
        </w:rPr>
        <w:t>Guidelines</w:t>
      </w:r>
      <w:r>
        <w:rPr/>
        <w:t>: This control can be employed by NFCC to reduce the effectiveness of information harvesting from social networking sites, thus, limiting the amount of information that can be obtained from those sites. Data storage objects include, for example, databases, database records and database fields. Data mining and data harvesting techniques include, for example, limiting the types of responses provided to database queries or limiting the number or frequency of database queries to increase the work factor required to determine the contents of databases.</w:t>
      </w:r>
    </w:p>
    <w:p>
      <w:pPr>
        <w:pStyle w:val="Normal"/>
        <w:rPr/>
      </w:pPr>
      <w:r>
        <w:rPr/>
      </w:r>
    </w:p>
    <w:p>
      <w:pPr>
        <w:pStyle w:val="Normal"/>
        <w:rPr/>
      </w:pPr>
      <w:r>
        <w:rPr/>
      </w:r>
    </w:p>
    <w:p>
      <w:pPr>
        <w:pStyle w:val="Heading2"/>
        <w:rPr/>
      </w:pPr>
      <w:bookmarkStart w:id="726" w:name="_Toc474074959"/>
      <w:bookmarkStart w:id="727" w:name="_Toc474075611"/>
      <w:bookmarkStart w:id="728" w:name="_Toc34920776"/>
      <w:r>
        <w:rPr/>
        <w:t>DCH-17: Ad-Hoc Transfers</w:t>
      </w:r>
      <w:bookmarkEnd w:id="726"/>
      <w:bookmarkEnd w:id="727"/>
      <w:bookmarkEnd w:id="728"/>
      <w:r>
        <w:rPr/>
        <w:t xml:space="preserve"> </w:t>
      </w:r>
    </w:p>
    <w:p>
      <w:pPr>
        <w:pStyle w:val="Normal"/>
        <w:rPr/>
      </w:pPr>
      <w:r>
        <w:rPr>
          <w:u w:val="single"/>
        </w:rPr>
        <w:t>Control Objective</w:t>
      </w:r>
      <w:r>
        <w:rPr/>
        <w:t>: The organization employs a technology-based method for securely exchanging large digital files with internal or external parties.</w:t>
      </w:r>
    </w:p>
    <w:p>
      <w:pPr>
        <w:pStyle w:val="Normal"/>
        <w:rPr/>
      </w:pPr>
      <w:r>
        <w:rPr/>
      </w:r>
    </w:p>
    <w:p>
      <w:pPr>
        <w:pStyle w:val="Normal"/>
        <w:rPr/>
      </w:pPr>
      <w:r>
        <w:rPr>
          <w:u w:val="single"/>
        </w:rPr>
        <w:t>Standard</w:t>
      </w:r>
      <w:r>
        <w:rPr/>
        <w:t>: Unscheduled, infrequent and one-time file transfers that contain sensitive data are required to be performed through encrypted transport protocols.</w:t>
      </w:r>
    </w:p>
    <w:p>
      <w:pPr>
        <w:pStyle w:val="Normal"/>
        <w:rPr/>
      </w:pPr>
      <w:r>
        <w:rPr/>
      </w:r>
    </w:p>
    <w:p>
      <w:pPr>
        <w:pStyle w:val="Normal"/>
        <w:rPr/>
      </w:pPr>
      <w:r>
        <w:rPr>
          <w:u w:val="single"/>
        </w:rPr>
        <w:t>Guidelines</w:t>
      </w:r>
      <w:r>
        <w:rPr/>
        <w:t>: Encrypted transport protocols may include Secure FTP or HTTPS. Examples include Box, Dropbox and Google Drive for secure, large file transfer to unique recipients.</w:t>
      </w:r>
    </w:p>
    <w:p>
      <w:pPr>
        <w:pStyle w:val="Normal"/>
        <w:rPr/>
      </w:pPr>
      <w:r>
        <w:rPr/>
      </w:r>
    </w:p>
    <w:p>
      <w:pPr>
        <w:pStyle w:val="Normal"/>
        <w:rPr/>
      </w:pPr>
      <w:r>
        <w:rPr/>
      </w:r>
    </w:p>
    <w:p>
      <w:pPr>
        <w:pStyle w:val="Heading2"/>
        <w:rPr/>
      </w:pPr>
      <w:bookmarkStart w:id="729" w:name="_Toc474074960"/>
      <w:bookmarkStart w:id="730" w:name="_Toc474075612"/>
      <w:bookmarkStart w:id="731" w:name="_Toc34920777"/>
      <w:r>
        <w:rPr/>
        <w:t>DCH-18: Media &amp; Data Retention</w:t>
      </w:r>
      <w:bookmarkEnd w:id="729"/>
      <w:bookmarkEnd w:id="730"/>
      <w:bookmarkEnd w:id="731"/>
      <w:r>
        <w:rPr/>
        <w:t xml:space="preserve"> </w:t>
      </w:r>
    </w:p>
    <w:p>
      <w:pPr>
        <w:pStyle w:val="Normal"/>
        <w:rPr/>
      </w:pPr>
      <w:r>
        <w:rPr>
          <w:u w:val="single"/>
        </w:rPr>
        <w:t>Control Objective</w:t>
      </w:r>
      <w:r>
        <w:rPr/>
        <w:t>: The organization handles and retains both information within and output from systems in accordance with applicable statutory, regulatory and contractual requirements for information retention.</w:t>
      </w:r>
      <w:r>
        <w:rPr>
          <w:rStyle w:val="FootnoteCharacters"/>
          <w:rFonts w:cs="Calibri"/>
        </w:rPr>
        <w:t xml:space="preserve"> </w:t>
      </w:r>
      <w:r>
        <w:rPr>
          <w:rStyle w:val="FootnoteAnchor"/>
          <w:rStyle w:val="FootnoteAnchor"/>
          <w:rFonts w:cs="Calibri"/>
        </w:rPr>
        <w:footnoteReference w:id="230"/>
      </w:r>
      <w:r>
        <w:rPr>
          <w:rFonts w:cs="Calibri"/>
        </w:rPr>
        <w:t xml:space="preserve"> </w:t>
      </w:r>
    </w:p>
    <w:p>
      <w:pPr>
        <w:pStyle w:val="Normal"/>
        <w:rPr>
          <w:u w:val="single"/>
        </w:rPr>
      </w:pPr>
      <w:r>
        <w:rPr>
          <w:u w:val="single"/>
        </w:rPr>
      </w:r>
    </w:p>
    <w:p>
      <w:pPr>
        <w:pStyle w:val="Normal"/>
        <w:rPr/>
      </w:pPr>
      <w:r>
        <w:rPr>
          <w:u w:val="single"/>
        </w:rPr>
        <w:t>Standard</w:t>
      </w:r>
      <w:r>
        <w:rPr/>
        <w:t>: For media and data retention:</w:t>
      </w:r>
    </w:p>
    <w:p>
      <w:pPr>
        <w:pStyle w:val="ListParagraph"/>
        <w:numPr>
          <w:ilvl w:val="0"/>
          <w:numId w:val="591"/>
        </w:numPr>
        <w:rPr/>
      </w:pPr>
      <w:r>
        <w:rPr>
          <w:rFonts w:cs="Calibri"/>
        </w:rPr>
        <w:t xml:space="preserve">NFCC’s Chief Information Security Officer (CISO) is required to design, implement and maintain a </w:t>
      </w:r>
      <w:r>
        <w:rPr/>
        <w:t>data retention and data handling program for the systematic retention and destruction of physical and digital documents based on statutory, regulatory and contractual record-keeping requirements.</w:t>
      </w:r>
    </w:p>
    <w:p>
      <w:pPr>
        <w:pStyle w:val="ListParagraph"/>
        <w:numPr>
          <w:ilvl w:val="0"/>
          <w:numId w:val="591"/>
        </w:numPr>
        <w:rPr/>
      </w:pPr>
      <w:r>
        <w:rPr/>
        <w:t>Data/process owners and asset custodians are required to implement processes to:</w:t>
      </w:r>
    </w:p>
    <w:p>
      <w:pPr>
        <w:pStyle w:val="ListParagraph"/>
        <w:numPr>
          <w:ilvl w:val="1"/>
          <w:numId w:val="591"/>
        </w:numPr>
        <w:rPr/>
      </w:pPr>
      <w:r>
        <w:rPr/>
        <w:t>Limit data storage amount and retention time to that which is required for legal, regulatory and business requirements;</w:t>
      </w:r>
    </w:p>
    <w:p>
      <w:pPr>
        <w:pStyle w:val="ListParagraph"/>
        <w:numPr>
          <w:ilvl w:val="1"/>
          <w:numId w:val="591"/>
        </w:numPr>
        <w:rPr/>
      </w:pPr>
      <w:r>
        <w:rPr/>
        <w:t>Limit the collection and retention of Personal Data (PD) to the minimum elements identified for the purposes described in the notice and for which the individual has provided consent;</w:t>
      </w:r>
    </w:p>
    <w:p>
      <w:pPr>
        <w:pStyle w:val="ListParagraph"/>
        <w:numPr>
          <w:ilvl w:val="1"/>
          <w:numId w:val="591"/>
        </w:numPr>
        <w:rPr/>
      </w:pPr>
      <w:r>
        <w:rPr/>
        <w:t>Identify the absolute minimum elements of sensitive data (e.g., name, address, date of birth) that are relevant and necessary to accomplish the purpose of data collection; and</w:t>
      </w:r>
    </w:p>
    <w:p>
      <w:pPr>
        <w:pStyle w:val="ListParagraph"/>
        <w:numPr>
          <w:ilvl w:val="1"/>
          <w:numId w:val="591"/>
        </w:numPr>
        <w:rPr/>
      </w:pPr>
      <w:r>
        <w:rPr/>
        <w:t>Conduct a quarterly process (automatic or manual) to identify and securely delete stored sensitive data that exceeds defined retention requirements:</w:t>
      </w:r>
    </w:p>
    <w:p>
      <w:pPr>
        <w:pStyle w:val="ListParagraph"/>
        <w:numPr>
          <w:ilvl w:val="2"/>
          <w:numId w:val="591"/>
        </w:numPr>
        <w:rPr/>
      </w:pPr>
      <w:r>
        <w:rPr/>
        <w:t>Perform secure deletion of electronic-based sensitive data; and</w:t>
      </w:r>
    </w:p>
    <w:p>
      <w:pPr>
        <w:pStyle w:val="ListParagraph"/>
        <w:numPr>
          <w:ilvl w:val="2"/>
          <w:numId w:val="591"/>
        </w:numPr>
        <w:rPr/>
      </w:pPr>
      <w:r>
        <w:rPr/>
        <w:t>Shred physical-based sensitive data.</w:t>
      </w:r>
    </w:p>
    <w:p>
      <w:pPr>
        <w:pStyle w:val="Normal"/>
        <w:rPr/>
      </w:pPr>
      <w:r>
        <w:rPr/>
      </w:r>
    </w:p>
    <w:p>
      <w:pPr>
        <w:pStyle w:val="Normal"/>
        <w:rPr/>
      </w:pPr>
      <w:r>
        <w:rPr>
          <w:rFonts w:cs="Calibri"/>
          <w:u w:val="single"/>
        </w:rPr>
        <w:t>Guidelines</w:t>
      </w:r>
      <w:r>
        <w:rPr>
          <w:rFonts w:cs="Calibri"/>
        </w:rPr>
        <w:t xml:space="preserve">: </w:t>
      </w:r>
      <w:r>
        <w:rPr/>
        <w:t xml:space="preserve">The retention of data (e.g., paper documents, backup tapes, email messages and other media) not otherwise necessary to conduct business is both expensive and inefficient. Unnecessary retention could leave NFCC open to potential legal challenges on grounds based on the outdated and irrelevant material. Retention periods are based primarily on current Federal record-keeping requirements, state statutes of limitation and industry-recognized leading practices for document retention. </w:t>
      </w:r>
    </w:p>
    <w:p>
      <w:pPr>
        <w:pStyle w:val="Normal"/>
        <w:rPr/>
      </w:pPr>
      <w:r>
        <w:rPr/>
        <w:t>Specific requirements for the retention of sensitive data are driven by business needs (e.g., sensitive data needs to be held for X period for Y business reasons) and documentation should exist to justify the business need. The minimum set of PD elements required to support a specific organization business process may be only a subset of the PD the organization is authorized to collect.</w:t>
      </w:r>
    </w:p>
    <w:p>
      <w:pPr>
        <w:pStyle w:val="Normal"/>
        <w:rPr/>
      </w:pPr>
      <w:r>
        <w:rPr/>
      </w:r>
    </w:p>
    <w:p>
      <w:pPr>
        <w:pStyle w:val="Normal"/>
        <w:rPr>
          <w:spacing w:val="-3"/>
        </w:rPr>
      </w:pPr>
      <w:r>
        <w:rPr>
          <w:spacing w:val="-3"/>
        </w:rPr>
        <w:t>Security</w:t>
      </w:r>
      <w:r>
        <w:rPr/>
        <w:t xml:space="preserve"> controls should be tailored accordingly so that cost-effective controls can be applied commensurate with the risk and sensitivity of the data and system. Security controls must be designed and maintained to ensure compliance with all legal requirements. </w:t>
      </w:r>
      <w:r>
        <w:rPr>
          <w:i/>
          <w:u w:val="single"/>
        </w:rPr>
        <w:t>Annex 2: Data Classification Examples</w:t>
      </w:r>
      <w:r>
        <w:rPr/>
        <w:t xml:space="preserve"> </w:t>
      </w:r>
      <w:r>
        <w:rPr>
          <w:spacing w:val="-3"/>
        </w:rPr>
        <w:t xml:space="preserve">contains a list of common media types and recommended retention periods. </w:t>
      </w:r>
    </w:p>
    <w:p>
      <w:pPr>
        <w:pStyle w:val="Normal"/>
        <w:rPr/>
      </w:pPr>
      <w:r>
        <w:rPr/>
      </w:r>
    </w:p>
    <w:p>
      <w:pPr>
        <w:pStyle w:val="Normal"/>
        <w:rPr/>
      </w:pPr>
      <w:r>
        <w:rPr/>
        <w:t>The output handling and retention requirements cover the full life cycle of information, in some cases extending beyond the disposal of systems:</w:t>
      </w:r>
    </w:p>
    <w:p>
      <w:pPr>
        <w:pStyle w:val="ListParagraph"/>
        <w:numPr>
          <w:ilvl w:val="0"/>
          <w:numId w:val="308"/>
        </w:numPr>
        <w:rPr>
          <w:rFonts w:cs="Calibri"/>
          <w:b/>
          <w:b/>
        </w:rPr>
      </w:pPr>
      <w:r>
        <w:rPr>
          <w:b/>
        </w:rPr>
        <w:t>Currently Relevant Documents</w:t>
      </w:r>
    </w:p>
    <w:p>
      <w:pPr>
        <w:pStyle w:val="ListParagraph"/>
        <w:numPr>
          <w:ilvl w:val="1"/>
          <w:numId w:val="308"/>
        </w:numPr>
        <w:rPr/>
      </w:pPr>
      <w:r>
        <w:rPr/>
        <w:t xml:space="preserve">Currently-relevant documents should be filed systematically for accessibility. </w:t>
      </w:r>
    </w:p>
    <w:p>
      <w:pPr>
        <w:pStyle w:val="ListParagraph"/>
        <w:numPr>
          <w:ilvl w:val="0"/>
          <w:numId w:val="308"/>
        </w:numPr>
        <w:rPr>
          <w:b/>
          <w:b/>
        </w:rPr>
      </w:pPr>
      <w:r>
        <w:rPr>
          <w:b/>
        </w:rPr>
        <w:t>Permanent Retention Documents</w:t>
      </w:r>
    </w:p>
    <w:p>
      <w:pPr>
        <w:pStyle w:val="ListParagraph"/>
        <w:numPr>
          <w:ilvl w:val="1"/>
          <w:numId w:val="308"/>
        </w:numPr>
        <w:rPr/>
      </w:pPr>
      <w:r>
        <w:rPr/>
        <w:t xml:space="preserve">Documents that must be maintained permanently can be cataloged and, if possible, reduced to some secure form of digital record for storage that ensures easy access when needed. </w:t>
      </w:r>
    </w:p>
    <w:p>
      <w:pPr>
        <w:pStyle w:val="ListParagraph"/>
        <w:numPr>
          <w:ilvl w:val="0"/>
          <w:numId w:val="308"/>
        </w:numPr>
        <w:rPr>
          <w:rFonts w:cs="Calibri"/>
          <w:b/>
          <w:b/>
        </w:rPr>
      </w:pPr>
      <w:r>
        <w:rPr>
          <w:b/>
        </w:rPr>
        <w:t>Non-Relevant Documents</w:t>
      </w:r>
    </w:p>
    <w:p>
      <w:pPr>
        <w:pStyle w:val="ListParagraph"/>
        <w:numPr>
          <w:ilvl w:val="1"/>
          <w:numId w:val="308"/>
        </w:numPr>
        <w:rPr/>
      </w:pPr>
      <w:r>
        <w:rPr/>
        <w:t xml:space="preserve">Non-relevant documents should be securely destroyed. Destruction methods will be dictated by both type of media (e.g., paper, floppy disks, hard drives, emails, etc.) and the sensitivity of the data contained on the media (e.g., Personal Data (PD), billing history, client communications, etc.). </w:t>
      </w:r>
    </w:p>
    <w:p>
      <w:pPr>
        <w:pStyle w:val="Normal"/>
        <w:rPr/>
      </w:pPr>
      <w:r>
        <w:rPr/>
      </w:r>
    </w:p>
    <w:p>
      <w:pPr>
        <w:pStyle w:val="Normal"/>
        <w:rPr/>
      </w:pPr>
      <w:r>
        <w:rPr/>
        <w:t>The method of destruction for media shall follow one of the following methods, based on the type of media:</w:t>
      </w:r>
    </w:p>
    <w:p>
      <w:pPr>
        <w:pStyle w:val="ListParagraph"/>
        <w:numPr>
          <w:ilvl w:val="0"/>
          <w:numId w:val="309"/>
        </w:numPr>
        <w:rPr>
          <w:rFonts w:cs="Calibri"/>
          <w:b/>
          <w:b/>
        </w:rPr>
      </w:pPr>
      <w:r>
        <w:rPr>
          <w:b/>
        </w:rPr>
        <w:t>Physical Paper-Based Media</w:t>
      </w:r>
    </w:p>
    <w:p>
      <w:pPr>
        <w:pStyle w:val="ListParagraph"/>
        <w:numPr>
          <w:ilvl w:val="1"/>
          <w:numId w:val="309"/>
        </w:numPr>
        <w:rPr/>
      </w:pPr>
      <w:r>
        <w:rPr/>
        <w:t xml:space="preserve">The process of shredding may be performed internally or outsourced to a trusted third-party that specializes in document destruction. </w:t>
      </w:r>
    </w:p>
    <w:p>
      <w:pPr>
        <w:pStyle w:val="ListParagraph"/>
        <w:numPr>
          <w:ilvl w:val="1"/>
          <w:numId w:val="309"/>
        </w:numPr>
        <w:rPr/>
      </w:pPr>
      <w:r>
        <w:rPr/>
        <w:t xml:space="preserve">Physical paper-based media containing non-sensitive data </w:t>
      </w:r>
      <w:r>
        <w:rPr>
          <w:u w:val="single"/>
        </w:rPr>
        <w:t>should be shredded</w:t>
      </w:r>
      <w:r>
        <w:rPr/>
        <w:t xml:space="preserve"> but can be recycled.</w:t>
      </w:r>
    </w:p>
    <w:p>
      <w:pPr>
        <w:pStyle w:val="ListParagraph"/>
        <w:numPr>
          <w:ilvl w:val="1"/>
          <w:numId w:val="309"/>
        </w:numPr>
        <w:rPr/>
      </w:pPr>
      <w:r>
        <w:rPr/>
        <w:t xml:space="preserve">Physical paper-based media containing sensitive data (e.g., SSNs, financial information, client communications, etc.) </w:t>
      </w:r>
      <w:r>
        <w:rPr>
          <w:u w:val="single"/>
        </w:rPr>
        <w:t>must be shredded</w:t>
      </w:r>
      <w:r>
        <w:rPr/>
        <w:t xml:space="preserve">. </w:t>
      </w:r>
    </w:p>
    <w:p>
      <w:pPr>
        <w:pStyle w:val="ListParagraph"/>
        <w:numPr>
          <w:ilvl w:val="0"/>
          <w:numId w:val="309"/>
        </w:numPr>
        <w:rPr>
          <w:rFonts w:cs="Calibri"/>
          <w:b/>
          <w:b/>
        </w:rPr>
      </w:pPr>
      <w:r>
        <w:rPr>
          <w:b/>
        </w:rPr>
        <w:t>Physical Digital Media</w:t>
      </w:r>
    </w:p>
    <w:p>
      <w:pPr>
        <w:pStyle w:val="ListParagraph"/>
        <w:numPr>
          <w:ilvl w:val="1"/>
          <w:numId w:val="309"/>
        </w:numPr>
        <w:rPr/>
      </w:pPr>
      <w:r>
        <w:rPr/>
        <w:t xml:space="preserve">Physical digital media (e.g., Hard Disk Drives (HDDs), flash drives, floppy drives, tape drives, etc.) must be destroyed to make recovery of data technically impossible. </w:t>
      </w:r>
    </w:p>
    <w:p>
      <w:pPr>
        <w:pStyle w:val="ListParagraph"/>
        <w:numPr>
          <w:ilvl w:val="1"/>
          <w:numId w:val="309"/>
        </w:numPr>
        <w:rPr/>
      </w:pPr>
      <w:r>
        <w:rPr/>
        <w:t xml:space="preserve">The process of destruction </w:t>
      </w:r>
      <w:r>
        <w:rPr>
          <w:u w:val="single"/>
        </w:rPr>
        <w:t>shall be outsourced</w:t>
      </w:r>
      <w:r>
        <w:rPr/>
        <w:t xml:space="preserve"> to a trusted third-party that specializes in the physical destruction of digital media.</w:t>
      </w:r>
    </w:p>
    <w:p>
      <w:pPr>
        <w:pStyle w:val="ListParagraph"/>
        <w:numPr>
          <w:ilvl w:val="1"/>
          <w:numId w:val="309"/>
        </w:numPr>
        <w:rPr/>
      </w:pPr>
      <w:r>
        <w:rPr/>
        <w:t>HDDs must be removed from all systems, prior to the disposal of the system.</w:t>
      </w:r>
    </w:p>
    <w:p>
      <w:pPr>
        <w:pStyle w:val="ListParagraph"/>
        <w:numPr>
          <w:ilvl w:val="1"/>
          <w:numId w:val="309"/>
        </w:numPr>
        <w:rPr/>
      </w:pPr>
      <w:r>
        <w:rPr/>
        <w:t xml:space="preserve">Outsourced destruction vendors should track HDDs by serial number to ensure the secure destruction of the devices. </w:t>
      </w:r>
    </w:p>
    <w:p>
      <w:pPr>
        <w:pStyle w:val="ListParagraph"/>
        <w:numPr>
          <w:ilvl w:val="0"/>
          <w:numId w:val="309"/>
        </w:numPr>
        <w:rPr>
          <w:rFonts w:cs="Calibri"/>
          <w:b/>
          <w:b/>
        </w:rPr>
      </w:pPr>
      <w:r>
        <w:rPr>
          <w:b/>
        </w:rPr>
        <w:t>Digital Media</w:t>
      </w:r>
    </w:p>
    <w:p>
      <w:pPr>
        <w:pStyle w:val="ListParagraph"/>
        <w:numPr>
          <w:ilvl w:val="1"/>
          <w:numId w:val="309"/>
        </w:numPr>
        <w:rPr/>
      </w:pPr>
      <w:r>
        <w:rPr/>
        <w:t>Digital media may be destroyed by the process of “deleting” files from systems and storage devices. The actual process of deleting data varies based on the type of operating system, so vendor documentation should be followed.</w:t>
      </w:r>
    </w:p>
    <w:p>
      <w:pPr>
        <w:pStyle w:val="ListParagraph"/>
        <w:numPr>
          <w:ilvl w:val="1"/>
          <w:numId w:val="309"/>
        </w:numPr>
        <w:rPr/>
      </w:pPr>
      <w:r>
        <w:rPr/>
        <w:t>Email.</w:t>
      </w:r>
    </w:p>
    <w:p>
      <w:pPr>
        <w:pStyle w:val="ListParagraph"/>
        <w:numPr>
          <w:ilvl w:val="1"/>
          <w:numId w:val="309"/>
        </w:numPr>
        <w:rPr/>
      </w:pPr>
      <w:r>
        <w:rPr/>
        <w:t>Word processing files (e.g., documents, spreadsheets, presentations, etc.)</w:t>
      </w:r>
    </w:p>
    <w:p>
      <w:pPr>
        <w:pStyle w:val="Normal"/>
        <w:rPr/>
      </w:pPr>
      <w:r>
        <w:rPr/>
        <w:t xml:space="preserve"> </w:t>
      </w:r>
    </w:p>
    <w:p>
      <w:pPr>
        <w:pStyle w:val="Heading3"/>
        <w:rPr>
          <w:color w:val="FF0000"/>
        </w:rPr>
      </w:pPr>
      <w:bookmarkStart w:id="732" w:name="_Toc34920778"/>
      <w:r>
        <w:rPr/>
        <w:t xml:space="preserve">DCH-18(a): Media &amp; Data Retention | </w:t>
      </w:r>
      <w:bookmarkStart w:id="733" w:name="_Hlk27579375"/>
      <w:r>
        <w:rPr/>
        <w:t>Limit Personal Data (PD) Elements In Testing, Training &amp; Research</w:t>
      </w:r>
      <w:bookmarkEnd w:id="732"/>
      <w:bookmarkEnd w:id="733"/>
    </w:p>
    <w:p>
      <w:pPr>
        <w:pStyle w:val="Normal"/>
        <w:rPr/>
      </w:pPr>
      <w:r>
        <w:rPr>
          <w:u w:val="single"/>
        </w:rPr>
        <w:t>Control Objective</w:t>
      </w:r>
      <w:r>
        <w:rPr/>
        <w:t>: The organization limits Personal Data (PD) being processed in the information life cycle to organization-defined elements identified in the Data Protection Impact Assessment (DPIA).</w:t>
      </w:r>
    </w:p>
    <w:p>
      <w:pPr>
        <w:pStyle w:val="Normal"/>
        <w:rPr/>
      </w:pPr>
      <w:r>
        <w:rPr/>
      </w:r>
    </w:p>
    <w:p>
      <w:pPr>
        <w:pStyle w:val="Normal"/>
        <w:rPr/>
      </w:pPr>
      <w:r>
        <w:rPr>
          <w:u w:val="single"/>
        </w:rPr>
        <w:t>Standard</w:t>
      </w:r>
      <w:r>
        <w:rPr/>
        <w:t>: Data / process owners are required to implement processes to limit Personal Data (PD) being processed in the information life cycle to organization-defined elements identified in the Data Protection Impact Assessment (DPIA).</w:t>
      </w:r>
    </w:p>
    <w:p>
      <w:pPr>
        <w:pStyle w:val="Normal"/>
        <w:rPr/>
      </w:pPr>
      <w:r>
        <w:rPr/>
      </w:r>
    </w:p>
    <w:p>
      <w:pPr>
        <w:pStyle w:val="Normal"/>
        <w:rPr>
          <w:bCs w:val="false"/>
        </w:rPr>
      </w:pPr>
      <w:r>
        <w:rPr>
          <w:u w:val="single"/>
        </w:rPr>
        <w:t>Guidelines</w:t>
      </w:r>
      <w:r>
        <w:rPr/>
        <w:t>: Limiting the use of Personal Data (PD) throughout the information life cycle when such information is not needed for operational purposes helps reduce the level of privacy risk created by a system. The information life cycle includes information creation, collection, use, processing, storage, maintenance, dissemination, disclosure and disposition.</w:t>
      </w:r>
      <w:r>
        <w:fldChar w:fldCharType="begin"/>
      </w:r>
      <w:r>
        <w:rPr/>
        <w:instrText> XE "Privacy Policy:Data Collection: : " </w:instrText>
      </w:r>
      <w:r>
        <w:rPr/>
        <w:fldChar w:fldCharType="separate"/>
      </w:r>
      <w:r>
        <w:rPr/>
      </w:r>
      <w:r>
        <w:rPr/>
        <w:fldChar w:fldCharType="end"/>
      </w:r>
    </w:p>
    <w:p>
      <w:pPr>
        <w:pStyle w:val="Normal"/>
        <w:rPr/>
      </w:pPr>
      <w:r>
        <w:rPr/>
      </w:r>
    </w:p>
    <w:p>
      <w:pPr>
        <w:pStyle w:val="Heading3"/>
        <w:rPr>
          <w:color w:val="FF0000"/>
        </w:rPr>
      </w:pPr>
      <w:bookmarkStart w:id="734" w:name="_Toc34920779"/>
      <w:r>
        <w:rPr/>
        <w:t xml:space="preserve">DCH-18(b): Media &amp; Data Retention | </w:t>
      </w:r>
      <w:bookmarkStart w:id="735" w:name="_Hlk27579392"/>
      <w:r>
        <w:rPr/>
        <w:t>Minimize Personal Data (PD)</w:t>
      </w:r>
      <w:bookmarkEnd w:id="734"/>
      <w:bookmarkEnd w:id="735"/>
    </w:p>
    <w:p>
      <w:pPr>
        <w:pStyle w:val="Normal"/>
        <w:rPr/>
      </w:pPr>
      <w:r>
        <w:rPr>
          <w:u w:val="single"/>
        </w:rPr>
        <w:t>Control Objective</w:t>
      </w:r>
      <w:r>
        <w:rPr/>
        <w:t>: The organization uses organization-defined techniques to minimize the use of Personal Data (PD) for research, testing, or training, in accordance with the Data Protection Impact Assessment (DPIA).</w:t>
      </w:r>
    </w:p>
    <w:p>
      <w:pPr>
        <w:pStyle w:val="Normal"/>
        <w:rPr/>
      </w:pPr>
      <w:r>
        <w:rPr/>
      </w:r>
    </w:p>
    <w:p>
      <w:pPr>
        <w:pStyle w:val="Normal"/>
        <w:rPr/>
      </w:pPr>
      <w:r>
        <w:rPr>
          <w:u w:val="single"/>
        </w:rPr>
        <w:t>Standard</w:t>
      </w:r>
      <w:r>
        <w:rPr/>
        <w:t>: Data / process owners are required to implement processes to minimize the use of Personal Data (PD) for research, testing, or training, in accordance with the Data Protection Impact Assessment (DPIA).</w:t>
      </w:r>
    </w:p>
    <w:p>
      <w:pPr>
        <w:pStyle w:val="Normal"/>
        <w:rPr/>
      </w:pPr>
      <w:r>
        <w:rPr/>
      </w:r>
    </w:p>
    <w:p>
      <w:pPr>
        <w:pStyle w:val="Normal"/>
        <w:rPr>
          <w:bCs w:val="false"/>
        </w:rPr>
      </w:pPr>
      <w:r>
        <w:rPr>
          <w:u w:val="single"/>
        </w:rPr>
        <w:t>Guidelines</w:t>
      </w:r>
      <w:r>
        <w:rPr/>
        <w:t>: Organizations can minimize the risk to an individual’s privacy by using techniques such as de-identification or synthetic data. Limiting the use of Personal Data (PD) throughout the information life cycle when such information is not needed for research, testing, or training helps reduce the level of privacy risk created by a system.</w:t>
      </w:r>
    </w:p>
    <w:p>
      <w:pPr>
        <w:pStyle w:val="Normal"/>
        <w:rPr/>
      </w:pPr>
      <w:r>
        <w:rPr/>
      </w:r>
    </w:p>
    <w:p>
      <w:pPr>
        <w:pStyle w:val="Heading3"/>
        <w:rPr/>
      </w:pPr>
      <w:bookmarkStart w:id="736" w:name="_Toc34920780"/>
      <w:r>
        <w:rPr/>
        <w:t>DCH-18(c): Media &amp; Data Retention | Temporary Files Containing Personal Data</w:t>
      </w:r>
      <w:bookmarkEnd w:id="736"/>
      <w:r>
        <w:rPr/>
        <w:t xml:space="preserve"> </w:t>
      </w:r>
    </w:p>
    <w:p>
      <w:pPr>
        <w:pStyle w:val="Normal"/>
        <w:rPr/>
      </w:pPr>
      <w:r>
        <w:rPr>
          <w:u w:val="single"/>
        </w:rPr>
        <w:t>Control Objective</w:t>
      </w:r>
      <w:r>
        <w:rPr/>
        <w:t>: The organization performs periodic checks temporary files the existence of Personal Data (PD).</w:t>
      </w:r>
    </w:p>
    <w:p>
      <w:pPr>
        <w:pStyle w:val="Normal"/>
        <w:rPr/>
      </w:pPr>
      <w:r>
        <w:rPr/>
      </w:r>
    </w:p>
    <w:p>
      <w:pPr>
        <w:pStyle w:val="Normal"/>
        <w:rPr/>
      </w:pPr>
      <w:r>
        <w:rPr>
          <w:u w:val="single"/>
        </w:rPr>
        <w:t>Standard</w:t>
      </w:r>
      <w:r>
        <w:rPr/>
        <w:t>: The Data Protection Officer (DPO) is required to:</w:t>
      </w:r>
    </w:p>
    <w:p>
      <w:pPr>
        <w:pStyle w:val="ListParagraph"/>
        <w:numPr>
          <w:ilvl w:val="0"/>
          <w:numId w:val="669"/>
        </w:numPr>
        <w:rPr/>
      </w:pPr>
      <w:r>
        <w:rPr/>
        <w:t>Leverage data flow mapping to identify technology assets where Personal Data (PD) stored, transmitted and/or processed; and</w:t>
      </w:r>
    </w:p>
    <w:p>
      <w:pPr>
        <w:pStyle w:val="ListParagraph"/>
        <w:numPr>
          <w:ilvl w:val="0"/>
          <w:numId w:val="669"/>
        </w:numPr>
        <w:rPr/>
      </w:pPr>
      <w:r>
        <w:rPr/>
        <w:t>Task data / process owners to:</w:t>
      </w:r>
    </w:p>
    <w:p>
      <w:pPr>
        <w:pStyle w:val="ListParagraph"/>
        <w:numPr>
          <w:ilvl w:val="1"/>
          <w:numId w:val="669"/>
        </w:numPr>
        <w:rPr/>
      </w:pPr>
      <w:r>
        <w:rPr/>
        <w:t xml:space="preserve">Perform audits of their technology assets for temporary files; </w:t>
      </w:r>
    </w:p>
    <w:p>
      <w:pPr>
        <w:pStyle w:val="ListParagraph"/>
        <w:numPr>
          <w:ilvl w:val="1"/>
          <w:numId w:val="669"/>
        </w:numPr>
        <w:rPr/>
      </w:pPr>
      <w:r>
        <w:rPr/>
        <w:t>Securely delete PD from temporary files that is not required; and</w:t>
      </w:r>
    </w:p>
    <w:p>
      <w:pPr>
        <w:pStyle w:val="ListParagraph"/>
        <w:numPr>
          <w:ilvl w:val="1"/>
          <w:numId w:val="669"/>
        </w:numPr>
        <w:rPr/>
      </w:pPr>
      <w:r>
        <w:rPr/>
        <w:t>If applicable, modify system configurations to prevent future storage of unnecessary PD.</w:t>
      </w:r>
    </w:p>
    <w:p>
      <w:pPr>
        <w:pStyle w:val="Normal"/>
        <w:rPr/>
      </w:pPr>
      <w:r>
        <w:rPr/>
      </w:r>
    </w:p>
    <w:p>
      <w:pPr>
        <w:pStyle w:val="Normal"/>
        <w:rPr/>
      </w:pPr>
      <w:r>
        <w:rPr>
          <w:u w:val="single"/>
        </w:rPr>
        <w:t>Guidelines</w:t>
      </w:r>
      <w:r>
        <w:rPr/>
        <w:t>: None</w:t>
      </w:r>
    </w:p>
    <w:p>
      <w:pPr>
        <w:pStyle w:val="Normal"/>
        <w:rPr/>
      </w:pPr>
      <w:r>
        <w:rPr/>
      </w:r>
    </w:p>
    <w:p>
      <w:pPr>
        <w:pStyle w:val="Normal"/>
        <w:rPr/>
      </w:pPr>
      <w:r>
        <w:rPr/>
      </w:r>
    </w:p>
    <w:p>
      <w:pPr>
        <w:pStyle w:val="Heading2"/>
        <w:rPr/>
      </w:pPr>
      <w:bookmarkStart w:id="737" w:name="_Toc34920781"/>
      <w:bookmarkStart w:id="738" w:name="_Toc474074961"/>
      <w:bookmarkStart w:id="739" w:name="_Toc474075613"/>
      <w:r>
        <w:rPr/>
        <w:t>DCH-19: Geographic Location</w:t>
      </w:r>
      <w:bookmarkEnd w:id="738"/>
      <w:bookmarkEnd w:id="739"/>
      <w:r>
        <w:rPr/>
        <w:t xml:space="preserve"> of Data</w:t>
      </w:r>
      <w:bookmarkEnd w:id="737"/>
    </w:p>
    <w:p>
      <w:pPr>
        <w:pStyle w:val="Normal"/>
        <w:rPr/>
      </w:pPr>
      <w:r>
        <w:rPr>
          <w:u w:val="single"/>
        </w:rPr>
        <w:t>Control Objective</w:t>
      </w:r>
      <w:r>
        <w:rPr/>
        <w:t>: The organization establishes business processes and technical measures to inventory, document and maintain data flows for data that is resident (permanently or temporarily) within a service's geographically distributed (physical and virtual) applications and infrastructure network and systems components and / or shared with other third-parties to ascertain any statutory, regulatory, statutory or contractual agreement and to address any other business risks associated with the data.</w:t>
      </w:r>
      <w:r>
        <w:rPr>
          <w:rStyle w:val="FootnoteAnchor"/>
          <w:rStyle w:val="FootnoteAnchor"/>
        </w:rPr>
        <w:footnoteReference w:id="231"/>
      </w:r>
    </w:p>
    <w:p>
      <w:pPr>
        <w:pStyle w:val="Normal"/>
        <w:rPr/>
      </w:pPr>
      <w:r>
        <w:rPr/>
      </w:r>
    </w:p>
    <w:p>
      <w:pPr>
        <w:pStyle w:val="Normal"/>
        <w:rPr/>
      </w:pPr>
      <w:r>
        <w:rPr>
          <w:u w:val="single"/>
        </w:rPr>
        <w:t>Standard</w:t>
      </w:r>
      <w:r>
        <w:rPr/>
        <w:t>: NFCC requires data / process owners to:</w:t>
      </w:r>
    </w:p>
    <w:p>
      <w:pPr>
        <w:pStyle w:val="ListParagraph"/>
        <w:numPr>
          <w:ilvl w:val="0"/>
          <w:numId w:val="314"/>
        </w:numPr>
        <w:rPr/>
      </w:pPr>
      <w:r>
        <w:rPr/>
        <w:t>Ascertain any statutory, regulatory, statutory or contractual agreement and to address any other business risks associated with the data; and</w:t>
      </w:r>
    </w:p>
    <w:p>
      <w:pPr>
        <w:pStyle w:val="ListParagraph"/>
        <w:numPr>
          <w:ilvl w:val="0"/>
          <w:numId w:val="314"/>
        </w:numPr>
        <w:rPr/>
      </w:pPr>
      <w:r>
        <w:rPr/>
        <w:t>In conjunction with asset custodians, create and implement business processes and technical measures to inventory, document and maintain data flows for data that is:</w:t>
      </w:r>
    </w:p>
    <w:p>
      <w:pPr>
        <w:pStyle w:val="ListParagraph"/>
        <w:numPr>
          <w:ilvl w:val="1"/>
          <w:numId w:val="314"/>
        </w:numPr>
        <w:rPr/>
      </w:pPr>
      <w:r>
        <w:rPr/>
        <w:t>Resident (permanently or temporarily) within a service's geographically distributed (physical and virtual) applications and infrastructure network and systems components; and / or</w:t>
      </w:r>
    </w:p>
    <w:p>
      <w:pPr>
        <w:pStyle w:val="ListParagraph"/>
        <w:numPr>
          <w:ilvl w:val="1"/>
          <w:numId w:val="314"/>
        </w:numPr>
        <w:rPr/>
      </w:pPr>
      <w:r>
        <w:rPr/>
        <w:t xml:space="preserve">Shared with other third-parties </w:t>
      </w:r>
    </w:p>
    <w:p>
      <w:pPr>
        <w:pStyle w:val="Normal"/>
        <w:rPr/>
      </w:pPr>
      <w:r>
        <w:rPr/>
      </w:r>
    </w:p>
    <w:p>
      <w:pPr>
        <w:pStyle w:val="Normal"/>
        <w:rPr/>
      </w:pPr>
      <w:r>
        <w:rPr>
          <w:u w:val="single"/>
        </w:rPr>
        <w:t>Guidelines</w:t>
      </w:r>
      <w:r>
        <w:rPr/>
        <w:t>: None</w:t>
      </w:r>
    </w:p>
    <w:p>
      <w:pPr>
        <w:pStyle w:val="Normal"/>
        <w:rPr/>
      </w:pPr>
      <w:r>
        <w:rPr/>
      </w:r>
    </w:p>
    <w:p>
      <w:pPr>
        <w:pStyle w:val="Normal"/>
        <w:rPr/>
      </w:pPr>
      <w:r>
        <w:rPr/>
      </w:r>
    </w:p>
    <w:p>
      <w:pPr>
        <w:pStyle w:val="Heading2"/>
        <w:rPr/>
      </w:pPr>
      <w:bookmarkStart w:id="740" w:name="_Toc474074962"/>
      <w:bookmarkStart w:id="741" w:name="_Toc474075614"/>
      <w:bookmarkStart w:id="742" w:name="_Toc34920782"/>
      <w:r>
        <w:rPr/>
        <w:t>DCH-20: Archived Data Sets</w:t>
      </w:r>
      <w:bookmarkEnd w:id="740"/>
      <w:bookmarkEnd w:id="741"/>
      <w:bookmarkEnd w:id="742"/>
      <w:r>
        <w:rPr/>
        <w:t xml:space="preserve"> </w:t>
      </w:r>
    </w:p>
    <w:p>
      <w:pPr>
        <w:pStyle w:val="Normal"/>
        <w:rPr/>
      </w:pPr>
      <w:r>
        <w:rPr>
          <w:u w:val="single"/>
        </w:rPr>
        <w:t>Control Objective</w:t>
      </w:r>
      <w:r>
        <w:rPr/>
        <w:t>: The organization protects archived data.</w:t>
      </w:r>
    </w:p>
    <w:p>
      <w:pPr>
        <w:pStyle w:val="Normal"/>
        <w:rPr/>
      </w:pPr>
      <w:r>
        <w:rPr/>
      </w:r>
    </w:p>
    <w:p>
      <w:pPr>
        <w:pStyle w:val="Normal"/>
        <w:rPr/>
      </w:pPr>
      <w:r>
        <w:rPr>
          <w:u w:val="single"/>
        </w:rPr>
        <w:t>Standard</w:t>
      </w:r>
      <w:r>
        <w:rPr/>
        <w:t>: Archived data sets or systems not regularly accessed by the organization shall be removed from NFCC’s production network(s) and these systems shall only be used as standalone systems (disconnected from the network) by the business unit needing to occasionally use the system or completely virtualized and powered off until needed.</w:t>
      </w:r>
    </w:p>
    <w:p>
      <w:pPr>
        <w:pStyle w:val="Normal"/>
        <w:rPr/>
      </w:pPr>
      <w:r>
        <w:rPr/>
      </w:r>
    </w:p>
    <w:p>
      <w:pPr>
        <w:pStyle w:val="Normal"/>
        <w:rPr/>
      </w:pPr>
      <w:r>
        <w:rPr>
          <w:u w:val="single"/>
        </w:rPr>
        <w:t>Guidelines</w:t>
      </w:r>
      <w:r>
        <w:rPr/>
        <w:t>: None</w:t>
      </w:r>
    </w:p>
    <w:p>
      <w:pPr>
        <w:pStyle w:val="Normal"/>
        <w:rPr/>
      </w:pPr>
      <w:r>
        <w:rPr/>
      </w:r>
    </w:p>
    <w:p>
      <w:pPr>
        <w:pStyle w:val="Normal"/>
        <w:tabs>
          <w:tab w:val="clear" w:pos="360"/>
          <w:tab w:val="clear" w:pos="720"/>
          <w:tab w:val="clear" w:pos="1080"/>
        </w:tabs>
        <w:jc w:val="left"/>
        <w:rPr/>
      </w:pPr>
      <w:r>
        <w:rPr/>
      </w:r>
    </w:p>
    <w:p>
      <w:pPr>
        <w:pStyle w:val="Heading2"/>
        <w:rPr/>
      </w:pPr>
      <w:bookmarkStart w:id="743" w:name="_Toc34920783"/>
      <w:r>
        <w:rPr/>
        <w:t>DCH-21: Information Disposal</w:t>
      </w:r>
      <w:bookmarkEnd w:id="743"/>
      <w:r>
        <w:rPr/>
        <w:t xml:space="preserve"> </w:t>
      </w:r>
    </w:p>
    <w:p>
      <w:pPr>
        <w:pStyle w:val="Normal"/>
        <w:rPr/>
      </w:pPr>
      <w:r>
        <w:rPr>
          <w:u w:val="single"/>
        </w:rPr>
        <w:t>Control Objective</w:t>
      </w:r>
      <w:r>
        <w:rPr/>
        <w:t>: The organization uses organization-defined techniques or methods to dispose of, destroy or erase information.</w:t>
      </w:r>
    </w:p>
    <w:p>
      <w:pPr>
        <w:pStyle w:val="Normal"/>
        <w:rPr/>
      </w:pPr>
      <w:r>
        <w:rPr/>
      </w:r>
    </w:p>
    <w:p>
      <w:pPr>
        <w:pStyle w:val="Normal"/>
        <w:rPr/>
      </w:pPr>
      <w:r>
        <w:rPr>
          <w:u w:val="single"/>
        </w:rPr>
        <w:t>Standard</w:t>
      </w:r>
      <w:r>
        <w:rPr/>
        <w:t>: Data/process owners are required to:</w:t>
      </w:r>
    </w:p>
    <w:p>
      <w:pPr>
        <w:pStyle w:val="ListParagraph"/>
        <w:numPr>
          <w:ilvl w:val="0"/>
          <w:numId w:val="572"/>
        </w:numPr>
        <w:tabs>
          <w:tab w:val="clear" w:pos="360"/>
          <w:tab w:val="clear" w:pos="720"/>
          <w:tab w:val="clear" w:pos="1080"/>
        </w:tabs>
        <w:rPr/>
      </w:pPr>
      <w:r>
        <w:rPr/>
        <w:t>Define retention periods for PD; and</w:t>
      </w:r>
    </w:p>
    <w:p>
      <w:pPr>
        <w:pStyle w:val="ListParagraph"/>
        <w:numPr>
          <w:ilvl w:val="0"/>
          <w:numId w:val="572"/>
        </w:numPr>
        <w:tabs>
          <w:tab w:val="clear" w:pos="360"/>
          <w:tab w:val="clear" w:pos="720"/>
          <w:tab w:val="clear" w:pos="1080"/>
        </w:tabs>
        <w:rPr/>
      </w:pPr>
      <w:r>
        <w:rPr/>
        <w:t>Dispose of, destroy, erase, and/or anonymizes the PD once the PD is no longer necessary for business purposes.</w:t>
      </w:r>
    </w:p>
    <w:p>
      <w:pPr>
        <w:pStyle w:val="Normal"/>
        <w:rPr/>
      </w:pPr>
      <w:r>
        <w:rPr/>
      </w:r>
    </w:p>
    <w:p>
      <w:pPr>
        <w:pStyle w:val="Normal"/>
        <w:rPr/>
      </w:pPr>
      <w:r>
        <w:rPr>
          <w:u w:val="single"/>
        </w:rPr>
        <w:t>Guidelines</w:t>
      </w:r>
      <w:r>
        <w:rPr/>
        <w:t>: Disposal or destruction of information applies to originals as well as copies and archived records, including system logs that may contain Personal Data (PD).</w:t>
      </w:r>
    </w:p>
    <w:p>
      <w:pPr>
        <w:pStyle w:val="Normal"/>
        <w:rPr/>
      </w:pPr>
      <w:r>
        <w:rPr/>
      </w:r>
    </w:p>
    <w:p>
      <w:pPr>
        <w:pStyle w:val="Normal"/>
        <w:tabs>
          <w:tab w:val="clear" w:pos="360"/>
          <w:tab w:val="clear" w:pos="720"/>
          <w:tab w:val="clear" w:pos="1080"/>
        </w:tabs>
        <w:jc w:val="left"/>
        <w:rPr/>
      </w:pPr>
      <w:r>
        <w:rPr/>
      </w:r>
    </w:p>
    <w:p>
      <w:pPr>
        <w:pStyle w:val="Heading2"/>
        <w:rPr/>
      </w:pPr>
      <w:bookmarkStart w:id="744" w:name="_Toc34920784"/>
      <w:r>
        <w:rPr/>
        <w:t>DCH-22: Data Quality Operations</w:t>
      </w:r>
      <w:bookmarkEnd w:id="744"/>
    </w:p>
    <w:p>
      <w:pPr>
        <w:pStyle w:val="Normal"/>
        <w:rPr/>
      </w:pPr>
      <w:r>
        <w:rPr>
          <w:u w:val="single"/>
        </w:rPr>
        <w:t>Control Objective</w:t>
      </w:r>
      <w:r>
        <w:rPr/>
        <w:t>: The organization:</w:t>
      </w:r>
    </w:p>
    <w:p>
      <w:pPr>
        <w:pStyle w:val="ListParagraph"/>
        <w:numPr>
          <w:ilvl w:val="0"/>
          <w:numId w:val="531"/>
        </w:numPr>
        <w:rPr/>
      </w:pPr>
      <w:r>
        <w:rPr/>
        <w:t>Upon collection or creation of Personal Data (PD), checks for the accuracy, relevance, timeliness, impact, completeness and de-identification of that information across the information life cycle; and</w:t>
      </w:r>
    </w:p>
    <w:p>
      <w:pPr>
        <w:pStyle w:val="ListParagraph"/>
        <w:numPr>
          <w:ilvl w:val="0"/>
          <w:numId w:val="531"/>
        </w:numPr>
        <w:rPr/>
      </w:pPr>
      <w:r>
        <w:rPr/>
        <w:t>On an ongoing basis, checks for and correct as necessary and across the information life cycle:</w:t>
      </w:r>
    </w:p>
    <w:p>
      <w:pPr>
        <w:pStyle w:val="ListParagraph"/>
        <w:numPr>
          <w:ilvl w:val="1"/>
          <w:numId w:val="531"/>
        </w:numPr>
        <w:rPr/>
      </w:pPr>
      <w:r>
        <w:rPr/>
        <w:t>Inaccurate or outdated PD;</w:t>
      </w:r>
    </w:p>
    <w:p>
      <w:pPr>
        <w:pStyle w:val="ListParagraph"/>
        <w:numPr>
          <w:ilvl w:val="1"/>
          <w:numId w:val="531"/>
        </w:numPr>
        <w:rPr/>
      </w:pPr>
      <w:r>
        <w:rPr/>
        <w:t>PD of incorrectly determined impact; or</w:t>
      </w:r>
    </w:p>
    <w:p>
      <w:pPr>
        <w:pStyle w:val="ListParagraph"/>
        <w:numPr>
          <w:ilvl w:val="1"/>
          <w:numId w:val="531"/>
        </w:numPr>
        <w:rPr/>
      </w:pPr>
      <w:r>
        <w:rPr/>
        <w:t>Incorrectly de-identified PD.</w:t>
      </w:r>
    </w:p>
    <w:p>
      <w:pPr>
        <w:pStyle w:val="Normal"/>
        <w:rPr/>
      </w:pPr>
      <w:r>
        <w:rPr/>
      </w:r>
    </w:p>
    <w:p>
      <w:pPr>
        <w:pStyle w:val="Normal"/>
        <w:rPr/>
      </w:pPr>
      <w:r>
        <w:rPr>
          <w:u w:val="single"/>
        </w:rPr>
        <w:t>Standard</w:t>
      </w:r>
      <w:r>
        <w:rPr/>
        <w:t>: Data/process owners are responsible for confirming the accuracy, relevance, timeliness and completeness of that information.</w:t>
      </w:r>
    </w:p>
    <w:p>
      <w:pPr>
        <w:pStyle w:val="Normal"/>
        <w:rPr/>
      </w:pPr>
      <w:r>
        <w:rPr/>
      </w:r>
    </w:p>
    <w:p>
      <w:pPr>
        <w:pStyle w:val="Normal"/>
        <w:rPr/>
      </w:pPr>
      <w:r>
        <w:rPr>
          <w:u w:val="single"/>
        </w:rPr>
        <w:t>Guidelines</w:t>
      </w:r>
      <w:r>
        <w:rPr/>
        <w:t>: The information life cycle includes information creation, collection, use, processing, storage, maintenance, dissemination, disclosure, disposition.</w:t>
      </w:r>
    </w:p>
    <w:p>
      <w:pPr>
        <w:pStyle w:val="Normal"/>
        <w:rPr/>
      </w:pPr>
      <w:r>
        <w:rPr/>
      </w:r>
    </w:p>
    <w:p>
      <w:pPr>
        <w:pStyle w:val="Heading3"/>
        <w:rPr>
          <w:color w:val="FF0000"/>
        </w:rPr>
      </w:pPr>
      <w:bookmarkStart w:id="745" w:name="_Toc34920785"/>
      <w:r>
        <w:rPr/>
        <w:t>DCH-22(a): Data Quality Operations | Updating &amp; Correcting Personal Data (PD)</w:t>
      </w:r>
      <w:bookmarkEnd w:id="745"/>
    </w:p>
    <w:p>
      <w:pPr>
        <w:pStyle w:val="Normal"/>
        <w:rPr/>
      </w:pPr>
      <w:r>
        <w:rPr>
          <w:u w:val="single"/>
        </w:rPr>
        <w:t>Control Objective</w:t>
      </w:r>
      <w:r>
        <w:rPr/>
        <w:t>: The organization employs technical controls to correct Personal Data (PD) used in organizational programs and systems that is inaccurate or outdated, incorrectly determined regarding impact or incorrectly de-identified.</w:t>
      </w:r>
    </w:p>
    <w:p>
      <w:pPr>
        <w:pStyle w:val="Normal"/>
        <w:rPr/>
      </w:pPr>
      <w:r>
        <w:rPr/>
      </w:r>
    </w:p>
    <w:p>
      <w:pPr>
        <w:pStyle w:val="Normal"/>
        <w:rPr/>
      </w:pPr>
      <w:r>
        <w:rPr>
          <w:u w:val="single"/>
        </w:rPr>
        <w:t>Standard</w:t>
      </w:r>
      <w:r>
        <w:rPr/>
        <w:t>: Where technically feasible and justified by a valid business case, asset custodians and data/process owners are required to employ technical controls to correct Personal Data (PD) used in NFCC assets that is inaccurate or outdated, incorrectly determined regarding impact, or incorrectly de-identified.</w:t>
      </w:r>
    </w:p>
    <w:p>
      <w:pPr>
        <w:pStyle w:val="Normal"/>
        <w:rPr/>
      </w:pPr>
      <w:r>
        <w:rPr/>
      </w:r>
    </w:p>
    <w:p>
      <w:pPr>
        <w:pStyle w:val="Normal"/>
        <w:rPr>
          <w:bCs w:val="false"/>
        </w:rPr>
      </w:pPr>
      <w:r>
        <w:rPr>
          <w:u w:val="single"/>
        </w:rPr>
        <w:t>Guidelines</w:t>
      </w:r>
      <w:r>
        <w:rPr/>
        <w:t>: Use of controls to improve data quality may inadvertently create privacy risks. Automated controls may connect to external or otherwise unrelated systems and the matching of records between these systems may create linkages with unintended consequences. Organizations assess and document these risks in their privacy impact assessment and make determinations that are in alignment with their privacy program plan.</w:t>
      </w:r>
    </w:p>
    <w:p>
      <w:pPr>
        <w:pStyle w:val="Normal"/>
        <w:tabs>
          <w:tab w:val="clear" w:pos="360"/>
          <w:tab w:val="clear" w:pos="720"/>
          <w:tab w:val="clear" w:pos="1080"/>
        </w:tabs>
        <w:jc w:val="left"/>
        <w:rPr/>
      </w:pPr>
      <w:r>
        <w:rPr/>
      </w:r>
    </w:p>
    <w:p>
      <w:pPr>
        <w:pStyle w:val="Heading3"/>
        <w:rPr>
          <w:color w:val="FF0000"/>
        </w:rPr>
      </w:pPr>
      <w:bookmarkStart w:id="746" w:name="_Toc34920786"/>
      <w:r>
        <w:rPr/>
        <w:t>DCH-22(b): Data Quality Operations | Data Tags</w:t>
      </w:r>
      <w:bookmarkEnd w:id="746"/>
    </w:p>
    <w:p>
      <w:pPr>
        <w:pStyle w:val="Normal"/>
        <w:rPr/>
      </w:pPr>
      <w:r>
        <w:rPr>
          <w:u w:val="single"/>
        </w:rPr>
        <w:t>Control Objective</w:t>
      </w:r>
      <w:r>
        <w:rPr/>
        <w:t>: The organization employs data tags to automate tracking of Personal Data (PD) across the information life cycle within organizational systems.</w:t>
      </w:r>
    </w:p>
    <w:p>
      <w:pPr>
        <w:pStyle w:val="Normal"/>
        <w:rPr/>
      </w:pPr>
      <w:r>
        <w:rPr/>
      </w:r>
    </w:p>
    <w:p>
      <w:pPr>
        <w:pStyle w:val="Normal"/>
        <w:rPr/>
      </w:pPr>
      <w:r>
        <w:rPr>
          <w:u w:val="single"/>
        </w:rPr>
        <w:t>Standard</w:t>
      </w:r>
      <w:r>
        <w:rPr/>
        <w:t>: Where technically feasible and justified by a valid business case, asset custodians and data/process owners are required to employ data tags to automate tracking of Personal Data (PD) across the information life cycle within NFCC assets.</w:t>
      </w:r>
    </w:p>
    <w:p>
      <w:pPr>
        <w:pStyle w:val="Normal"/>
        <w:rPr/>
      </w:pPr>
      <w:r>
        <w:rPr/>
      </w:r>
    </w:p>
    <w:p>
      <w:pPr>
        <w:pStyle w:val="Normal"/>
        <w:rPr/>
      </w:pPr>
      <w:r>
        <w:rPr>
          <w:u w:val="single"/>
        </w:rPr>
        <w:t>Guidelines</w:t>
      </w:r>
      <w:r>
        <w:rPr/>
        <w:t>: Data tags that contain information about retention dates, usage or disclosure policies, or other information pertaining to the management of Personal Data (PD) can support the use of automation tools to enforce relevant data management policies.</w:t>
      </w:r>
    </w:p>
    <w:p>
      <w:pPr>
        <w:pStyle w:val="Normal"/>
        <w:tabs>
          <w:tab w:val="clear" w:pos="360"/>
          <w:tab w:val="clear" w:pos="720"/>
          <w:tab w:val="clear" w:pos="1080"/>
        </w:tabs>
        <w:jc w:val="left"/>
        <w:rPr/>
      </w:pPr>
      <w:r>
        <w:rPr/>
      </w:r>
    </w:p>
    <w:p>
      <w:pPr>
        <w:pStyle w:val="Heading3"/>
        <w:rPr>
          <w:color w:val="FF0000"/>
        </w:rPr>
      </w:pPr>
      <w:bookmarkStart w:id="747" w:name="_Toc34920787"/>
      <w:r>
        <w:rPr/>
        <w:t>DCH-22(c): Data Quality Operations | Personal Data (PD) Collection</w:t>
      </w:r>
      <w:bookmarkEnd w:id="747"/>
    </w:p>
    <w:p>
      <w:pPr>
        <w:pStyle w:val="Normal"/>
        <w:rPr/>
      </w:pPr>
      <w:r>
        <w:rPr>
          <w:u w:val="single"/>
        </w:rPr>
        <w:t>Control Objective</w:t>
      </w:r>
      <w:r>
        <w:rPr/>
        <w:t>: The organization collects Personal Data (PD) directly from the individual.</w:t>
      </w:r>
    </w:p>
    <w:p>
      <w:pPr>
        <w:pStyle w:val="Normal"/>
        <w:rPr/>
      </w:pPr>
      <w:r>
        <w:rPr/>
      </w:r>
    </w:p>
    <w:p>
      <w:pPr>
        <w:pStyle w:val="Normal"/>
        <w:rPr/>
      </w:pPr>
      <w:r>
        <w:rPr>
          <w:u w:val="single"/>
        </w:rPr>
        <w:t>Standard</w:t>
      </w:r>
      <w:r>
        <w:rPr/>
        <w:t>: Where technically feasible and justified by a valid business case, asset custodians and data/process owners are required to collect Personal Data (PD) directly from the individual.</w:t>
      </w:r>
    </w:p>
    <w:p>
      <w:pPr>
        <w:pStyle w:val="Normal"/>
        <w:rPr/>
      </w:pPr>
      <w:r>
        <w:rPr/>
      </w:r>
    </w:p>
    <w:p>
      <w:pPr>
        <w:pStyle w:val="Normal"/>
        <w:rPr>
          <w:bCs w:val="false"/>
        </w:rPr>
      </w:pPr>
      <w:r>
        <w:rPr>
          <w:u w:val="single"/>
        </w:rPr>
        <w:t>Guidelines</w:t>
      </w:r>
      <w:r>
        <w:rPr/>
        <w:t>: Organizations take reasonable steps to confirm the accuracy and relevance of Personal Data (PD). These steps may include, for example, editing and validating addresses as they are collected or entered into systems using automated address verification look-up application programming interfaces. The types of measures taken to protect data quality are based on the nature and context of the PD, how it is to be used and how it was obtained. Measures taken to validate the accuracy of PD used to make determinations about the rights, benefits, or privileges of individuals under federal programs may be more comprehensive than those used to validate less sensitive PD. Additional steps may be necessary to validate PD that is obtained from sources other than individuals or the authorized representatives of individuals.</w:t>
      </w:r>
      <w:r>
        <w:fldChar w:fldCharType="begin"/>
      </w:r>
      <w:r>
        <w:rPr/>
        <w:instrText> XE "Privacy Policy:Data Collection: : " </w:instrText>
      </w:r>
      <w:r>
        <w:rPr/>
        <w:fldChar w:fldCharType="separate"/>
      </w:r>
      <w:r>
        <w:rPr/>
      </w:r>
      <w:r>
        <w:rPr/>
        <w:fldChar w:fldCharType="end"/>
      </w:r>
    </w:p>
    <w:p>
      <w:pPr>
        <w:pStyle w:val="Normal"/>
        <w:tabs>
          <w:tab w:val="clear" w:pos="360"/>
          <w:tab w:val="clear" w:pos="720"/>
          <w:tab w:val="clear" w:pos="1080"/>
        </w:tabs>
        <w:jc w:val="left"/>
        <w:rPr/>
      </w:pPr>
      <w:r>
        <w:rPr/>
      </w:r>
    </w:p>
    <w:p>
      <w:pPr>
        <w:pStyle w:val="Normal"/>
        <w:tabs>
          <w:tab w:val="clear" w:pos="360"/>
          <w:tab w:val="clear" w:pos="720"/>
          <w:tab w:val="clear" w:pos="1080"/>
        </w:tabs>
        <w:jc w:val="left"/>
        <w:rPr/>
      </w:pPr>
      <w:r>
        <w:rPr/>
      </w:r>
    </w:p>
    <w:p>
      <w:pPr>
        <w:pStyle w:val="Heading2"/>
        <w:rPr/>
      </w:pPr>
      <w:bookmarkStart w:id="748" w:name="_Toc34920788"/>
      <w:r>
        <w:rPr/>
        <w:t>DCH-23: De-Identification (Anonymization)</w:t>
      </w:r>
      <w:bookmarkEnd w:id="748"/>
    </w:p>
    <w:p>
      <w:pPr>
        <w:pStyle w:val="Normal"/>
        <w:rPr/>
      </w:pPr>
      <w:r>
        <w:rPr>
          <w:u w:val="single"/>
        </w:rPr>
        <w:t>Control Objective</w:t>
      </w:r>
      <w:r>
        <w:rPr/>
        <w:t>: The organization removes Personal Data (PD) from datasets.</w:t>
      </w:r>
    </w:p>
    <w:p>
      <w:pPr>
        <w:pStyle w:val="Normal"/>
        <w:rPr/>
      </w:pPr>
      <w:r>
        <w:rPr/>
      </w:r>
    </w:p>
    <w:p>
      <w:pPr>
        <w:pStyle w:val="Normal"/>
        <w:rPr/>
      </w:pPr>
      <w:r>
        <w:rPr>
          <w:u w:val="single"/>
        </w:rPr>
        <w:t>Standard</w:t>
      </w:r>
      <w:r>
        <w:rPr/>
        <w:t>: Where technically feasible, asset custodians and data/process owners are required to remove Personal Data (PD) from NFCC datasets.</w:t>
      </w:r>
    </w:p>
    <w:p>
      <w:pPr>
        <w:pStyle w:val="Normal"/>
        <w:rPr>
          <w:b/>
          <w:b/>
        </w:rPr>
      </w:pPr>
      <w:r>
        <w:rPr>
          <w:b/>
        </w:rPr>
      </w:r>
    </w:p>
    <w:p>
      <w:pPr>
        <w:pStyle w:val="Normal"/>
        <w:rPr/>
      </w:pPr>
      <w:r>
        <w:rPr>
          <w:u w:val="single"/>
        </w:rPr>
        <w:t>Guidelines</w:t>
      </w:r>
      <w:r>
        <w:rPr/>
        <w:t xml:space="preserve">: Many datasets contain information about individuals that can be used to distinguish or trace an individual’s identity, such as name, social security number, date and place of birth, mother’s maiden name, or biometric records. Datasets may also contain other information that is linked or linkable to an individual, such as medical, educational, financial and employment information. </w:t>
      </w:r>
      <w:bookmarkStart w:id="749" w:name="_Hlk505175147"/>
      <w:r>
        <w:rPr/>
        <w:t xml:space="preserve">PD </w:t>
      </w:r>
      <w:bookmarkEnd w:id="749"/>
      <w:r>
        <w:rPr/>
        <w:t>is removed from datasets by trained individuals when such information is not (or no longer) necessary to satisfy the requirements envisioned for the data. For example, if the dataset is only used to produce aggregate statistics, the identifiers that are not needed for producing those statistics are removed. Removing identifiers improves privacy protection, since information that is removed cannot be inadvertently disclosed or improperly used.</w:t>
      </w:r>
    </w:p>
    <w:p>
      <w:pPr>
        <w:pStyle w:val="Normal"/>
        <w:rPr/>
      </w:pPr>
      <w:r>
        <w:rPr/>
      </w:r>
    </w:p>
    <w:p>
      <w:pPr>
        <w:pStyle w:val="Heading3"/>
        <w:rPr>
          <w:color w:val="FF0000"/>
        </w:rPr>
      </w:pPr>
      <w:bookmarkStart w:id="750" w:name="_Toc34920789"/>
      <w:r>
        <w:rPr/>
        <w:t>DCH-23(a): De-Identification (Anonymization) | Collection</w:t>
      </w:r>
      <w:bookmarkEnd w:id="750"/>
      <w:r>
        <w:rPr/>
        <w:t xml:space="preserve"> </w:t>
      </w:r>
    </w:p>
    <w:p>
      <w:pPr>
        <w:pStyle w:val="Normal"/>
        <w:rPr/>
      </w:pPr>
      <w:r>
        <w:rPr>
          <w:u w:val="single"/>
        </w:rPr>
        <w:t>Control Objective</w:t>
      </w:r>
      <w:r>
        <w:rPr/>
        <w:t>: The organization de-identifies the dataset upon collection by not collecting Personal Data (PD).</w:t>
      </w:r>
    </w:p>
    <w:p>
      <w:pPr>
        <w:pStyle w:val="Normal"/>
        <w:rPr/>
      </w:pPr>
      <w:r>
        <w:rPr/>
      </w:r>
    </w:p>
    <w:p>
      <w:pPr>
        <w:pStyle w:val="Normal"/>
        <w:rPr/>
      </w:pPr>
      <w:r>
        <w:rPr>
          <w:u w:val="single"/>
        </w:rPr>
        <w:t>Standard</w:t>
      </w:r>
      <w:r>
        <w:rPr/>
        <w:t>: Where technically feasible and justified by a valid business case, asset custodians and data/process owners are required to de-identify the dataset upon collection by not collecting Personal Data (PD).</w:t>
      </w:r>
    </w:p>
    <w:p>
      <w:pPr>
        <w:pStyle w:val="Normal"/>
        <w:rPr/>
      </w:pPr>
      <w:r>
        <w:rPr/>
      </w:r>
    </w:p>
    <w:p>
      <w:pPr>
        <w:pStyle w:val="Normal"/>
        <w:rPr>
          <w:bCs w:val="false"/>
        </w:rPr>
      </w:pPr>
      <w:r>
        <w:rPr>
          <w:u w:val="single"/>
        </w:rPr>
        <w:t>Guidelines</w:t>
      </w:r>
      <w:r>
        <w:rPr/>
        <w:t>: If a data source contains Personal Data (PD) but the information will not be used, the dataset can be de-identified upon creation by simply not collecting the data elements containing the PD. For example, if an organization does not intend to use the social security number of an applicant, then application forms do not ask for a social security number.</w:t>
      </w:r>
    </w:p>
    <w:p>
      <w:pPr>
        <w:pStyle w:val="Normal"/>
        <w:tabs>
          <w:tab w:val="clear" w:pos="360"/>
          <w:tab w:val="clear" w:pos="720"/>
          <w:tab w:val="clear" w:pos="1080"/>
        </w:tabs>
        <w:jc w:val="left"/>
        <w:rPr/>
      </w:pPr>
      <w:r>
        <w:rPr/>
      </w:r>
    </w:p>
    <w:p>
      <w:pPr>
        <w:pStyle w:val="Heading3"/>
        <w:rPr>
          <w:color w:val="FF0000"/>
        </w:rPr>
      </w:pPr>
      <w:bookmarkStart w:id="751" w:name="_Toc34920790"/>
      <w:r>
        <w:rPr/>
        <w:t>DCH-23(b): De-Identification (Anonymization) | Archiving</w:t>
      </w:r>
      <w:bookmarkEnd w:id="751"/>
      <w:r>
        <w:rPr/>
        <w:t xml:space="preserve"> </w:t>
      </w:r>
    </w:p>
    <w:p>
      <w:pPr>
        <w:pStyle w:val="Normal"/>
        <w:rPr/>
      </w:pPr>
      <w:r>
        <w:rPr>
          <w:u w:val="single"/>
        </w:rPr>
        <w:t>Control Objective</w:t>
      </w:r>
      <w:r>
        <w:rPr/>
        <w:t>: The organization refrains from archiving Personal Data (PD) elements if those elements in a dataset will not be needed after the dataset is archived.</w:t>
      </w:r>
    </w:p>
    <w:p>
      <w:pPr>
        <w:pStyle w:val="Normal"/>
        <w:rPr/>
      </w:pPr>
      <w:r>
        <w:rPr/>
      </w:r>
    </w:p>
    <w:p>
      <w:pPr>
        <w:pStyle w:val="Normal"/>
        <w:rPr/>
      </w:pPr>
      <w:r>
        <w:rPr>
          <w:u w:val="single"/>
        </w:rPr>
        <w:t>Standard</w:t>
      </w:r>
      <w:r>
        <w:rPr/>
        <w:t>: Where technically feasible and justified by a valid business case, asset custodians and data/process owners are required to refrain from archiving Personal Data (PD) elements if those elements in a dataset will not be needed after the dataset is archived.</w:t>
      </w:r>
    </w:p>
    <w:p>
      <w:pPr>
        <w:pStyle w:val="Normal"/>
        <w:rPr/>
      </w:pPr>
      <w:r>
        <w:rPr/>
      </w:r>
    </w:p>
    <w:p>
      <w:pPr>
        <w:pStyle w:val="Normal"/>
        <w:rPr>
          <w:bCs w:val="false"/>
        </w:rPr>
      </w:pPr>
      <w:r>
        <w:rPr>
          <w:u w:val="single"/>
        </w:rPr>
        <w:t>Guidelines</w:t>
      </w:r>
      <w:r>
        <w:rPr/>
        <w:t>: Datasets can be archived for many reasons. The envisioned purposes for the archived dataset are specified and if Personal Data (PD) elements are not required, the elements are not archived. For example, social security numbers may have been collected for record linkage, but the archived dataset may include the required elements from the linked records. In this case, it is not necessary to archive the social security numbers.</w:t>
      </w:r>
    </w:p>
    <w:p>
      <w:pPr>
        <w:pStyle w:val="Normal"/>
        <w:tabs>
          <w:tab w:val="clear" w:pos="360"/>
          <w:tab w:val="clear" w:pos="720"/>
          <w:tab w:val="clear" w:pos="1080"/>
        </w:tabs>
        <w:jc w:val="left"/>
        <w:rPr/>
      </w:pPr>
      <w:r>
        <w:rPr/>
      </w:r>
    </w:p>
    <w:p>
      <w:pPr>
        <w:pStyle w:val="Heading3"/>
        <w:rPr>
          <w:color w:val="FF0000"/>
        </w:rPr>
      </w:pPr>
      <w:bookmarkStart w:id="752" w:name="_Toc34920791"/>
      <w:r>
        <w:rPr/>
        <w:t>DCH-23(c): De-Identification (Anonymization) | Release</w:t>
      </w:r>
      <w:bookmarkEnd w:id="752"/>
      <w:r>
        <w:rPr/>
        <w:t xml:space="preserve"> </w:t>
      </w:r>
    </w:p>
    <w:p>
      <w:pPr>
        <w:pStyle w:val="Normal"/>
        <w:rPr/>
      </w:pPr>
      <w:r>
        <w:rPr>
          <w:u w:val="single"/>
        </w:rPr>
        <w:t>Control Objective</w:t>
      </w:r>
      <w:r>
        <w:rPr/>
        <w:t>: The organization removes Personal Data (PD) elements from a dataset prior to its release if those elements in the dataset do not need to be part of the data release.</w:t>
      </w:r>
    </w:p>
    <w:p>
      <w:pPr>
        <w:pStyle w:val="Normal"/>
        <w:rPr/>
      </w:pPr>
      <w:r>
        <w:rPr/>
      </w:r>
    </w:p>
    <w:p>
      <w:pPr>
        <w:pStyle w:val="Normal"/>
        <w:rPr/>
      </w:pPr>
      <w:r>
        <w:rPr>
          <w:u w:val="single"/>
        </w:rPr>
        <w:t>Standard</w:t>
      </w:r>
      <w:r>
        <w:rPr/>
        <w:t>: Where technically feasible and justified by a valid business case, asset custodians and data/process owners are required to remove Personal Data (PD) elements from a dataset prior to its release if those elements in the dataset do not need to be part of the data release.</w:t>
      </w:r>
    </w:p>
    <w:p>
      <w:pPr>
        <w:pStyle w:val="Normal"/>
        <w:rPr/>
      </w:pPr>
      <w:r>
        <w:rPr/>
      </w:r>
    </w:p>
    <w:p>
      <w:pPr>
        <w:pStyle w:val="Normal"/>
        <w:rPr>
          <w:bCs w:val="false"/>
        </w:rPr>
      </w:pPr>
      <w:r>
        <w:rPr>
          <w:u w:val="single"/>
        </w:rPr>
        <w:t>Guidelines</w:t>
      </w:r>
      <w:r>
        <w:rPr/>
        <w:t>: Prior to releasing a dataset, a data custodian considers the intended uses of the released dataset and determines if it is necessary to release Personal Data (PD). If it is not necessary, the Personal Data (PD) can be removed using de-identification techniques.</w:t>
      </w:r>
    </w:p>
    <w:p>
      <w:pPr>
        <w:pStyle w:val="Normal"/>
        <w:tabs>
          <w:tab w:val="clear" w:pos="360"/>
          <w:tab w:val="clear" w:pos="720"/>
          <w:tab w:val="clear" w:pos="1080"/>
        </w:tabs>
        <w:jc w:val="left"/>
        <w:rPr/>
      </w:pPr>
      <w:r>
        <w:rPr/>
      </w:r>
    </w:p>
    <w:p>
      <w:pPr>
        <w:pStyle w:val="Heading3"/>
        <w:rPr>
          <w:color w:val="FF0000"/>
        </w:rPr>
      </w:pPr>
      <w:bookmarkStart w:id="753" w:name="_Toc34920792"/>
      <w:r>
        <w:rPr/>
        <w:t>DCH-23(d): De-Identification (Anonymization) | Removal, Masking, Encryption, Hashing or Replacement of Direct Identifiers</w:t>
      </w:r>
      <w:bookmarkEnd w:id="753"/>
    </w:p>
    <w:p>
      <w:pPr>
        <w:pStyle w:val="Normal"/>
        <w:rPr/>
      </w:pPr>
      <w:r>
        <w:rPr>
          <w:u w:val="single"/>
        </w:rPr>
        <w:t>Control Objective</w:t>
      </w:r>
      <w:r>
        <w:rPr/>
        <w:t>: The organization removes, masks, encrypts, hashes or replaces direct identifiers in a dataset.</w:t>
      </w:r>
    </w:p>
    <w:p>
      <w:pPr>
        <w:pStyle w:val="Normal"/>
        <w:rPr>
          <w:u w:val="single"/>
        </w:rPr>
      </w:pPr>
      <w:r>
        <w:rPr>
          <w:u w:val="single"/>
        </w:rPr>
      </w:r>
    </w:p>
    <w:p>
      <w:pPr>
        <w:pStyle w:val="Normal"/>
        <w:rPr/>
      </w:pPr>
      <w:r>
        <w:rPr>
          <w:u w:val="single"/>
        </w:rPr>
        <w:t>Standard</w:t>
      </w:r>
      <w:r>
        <w:rPr/>
        <w:t>: Where technically feasible and justified by a valid business case, asset custodians and data/process owners are required to remove, mask, encrypt, hash, or replace direct identifiers in a dataset.</w:t>
      </w:r>
    </w:p>
    <w:p>
      <w:pPr>
        <w:pStyle w:val="Normal"/>
        <w:rPr/>
      </w:pPr>
      <w:r>
        <w:rPr/>
      </w:r>
    </w:p>
    <w:p>
      <w:pPr>
        <w:pStyle w:val="Normal"/>
        <w:rPr>
          <w:bCs w:val="false"/>
        </w:rPr>
      </w:pPr>
      <w:r>
        <w:rPr>
          <w:u w:val="single"/>
        </w:rPr>
        <w:t>Guidelines</w:t>
      </w:r>
      <w:r>
        <w:rPr/>
        <w:t>: There are many possible processes for removing direct identifiers from a dataset. Columns in a dataset that contain a direct identifier can be removed. In masking, the direct identifier is transformed into a repeating character, for example, XXXXXX or 999999. Identifiers can be encrypted or hashed, so that the linked records remain linked. In the case of encryption or hashing, algorithms are employed that require the use of a key, including, for example, the Advanced Encryption Standard or a Hash-based Message Authentication Code. Implementations may use the same key for all identifiers or a different key for each identifier. Using a different key for each identifier provides for a higher degree of security and privacy. Identifiers can alternatively be replaced with a keyword, including for example, transforming “George Washington” to “PATIENT,” or replaced with a realistic surrogate value, including for example, transforming “George Washington” to “Abraham Polk.”</w:t>
      </w:r>
    </w:p>
    <w:p>
      <w:pPr>
        <w:pStyle w:val="Normal"/>
        <w:tabs>
          <w:tab w:val="clear" w:pos="360"/>
          <w:tab w:val="clear" w:pos="720"/>
          <w:tab w:val="clear" w:pos="1080"/>
        </w:tabs>
        <w:jc w:val="left"/>
        <w:rPr/>
      </w:pPr>
      <w:r>
        <w:rPr/>
      </w:r>
    </w:p>
    <w:p>
      <w:pPr>
        <w:pStyle w:val="Heading3"/>
        <w:rPr>
          <w:color w:val="FF0000"/>
        </w:rPr>
      </w:pPr>
      <w:bookmarkStart w:id="754" w:name="_Toc34920793"/>
      <w:r>
        <w:rPr/>
        <w:t>DCH-23(e): De-Identification (Anonymization) | Statistical Disclosure Control</w:t>
      </w:r>
      <w:bookmarkEnd w:id="754"/>
    </w:p>
    <w:p>
      <w:pPr>
        <w:pStyle w:val="Normal"/>
        <w:rPr/>
      </w:pPr>
      <w:r>
        <w:rPr>
          <w:u w:val="single"/>
        </w:rPr>
        <w:t>Control Objective</w:t>
      </w:r>
      <w:r>
        <w:rPr/>
        <w:t>: The organization manipulates numerical data, contingency tables and statistical findings so that no person or organization is identifiable in the results of the analysis.</w:t>
      </w:r>
    </w:p>
    <w:p>
      <w:pPr>
        <w:pStyle w:val="Normal"/>
        <w:rPr/>
      </w:pPr>
      <w:r>
        <w:rPr/>
      </w:r>
    </w:p>
    <w:p>
      <w:pPr>
        <w:pStyle w:val="Normal"/>
        <w:rPr/>
      </w:pPr>
      <w:r>
        <w:rPr>
          <w:u w:val="single"/>
        </w:rPr>
        <w:t>Standard</w:t>
      </w:r>
      <w:r>
        <w:rPr/>
        <w:t>: Where technically feasible and justified by a valid business case, asset custodians and data/process owners are required to manipulate numerical data, contingency tables and statistical findings so that no person or organization is identifiable in the results of the analysis.</w:t>
      </w:r>
    </w:p>
    <w:p>
      <w:pPr>
        <w:pStyle w:val="Normal"/>
        <w:rPr/>
      </w:pPr>
      <w:r>
        <w:rPr/>
      </w:r>
    </w:p>
    <w:p>
      <w:pPr>
        <w:pStyle w:val="Normal"/>
        <w:rPr>
          <w:bCs w:val="false"/>
        </w:rPr>
      </w:pPr>
      <w:r>
        <w:rPr>
          <w:u w:val="single"/>
        </w:rPr>
        <w:t>Guidelines</w:t>
      </w:r>
      <w:r>
        <w:rPr/>
        <w:t>: Many types of statistical analyses can result in the disclosure of information about individuals even if only summary information is provided. For example, if school reports that it has 10-19 such students, but in March it reports that it has 20-29 such students, then it can be inferred that the student who enrolled in February was a minority.</w:t>
      </w:r>
    </w:p>
    <w:p>
      <w:pPr>
        <w:pStyle w:val="Normal"/>
        <w:tabs>
          <w:tab w:val="clear" w:pos="360"/>
          <w:tab w:val="clear" w:pos="720"/>
          <w:tab w:val="clear" w:pos="1080"/>
        </w:tabs>
        <w:jc w:val="left"/>
        <w:rPr/>
      </w:pPr>
      <w:r>
        <w:rPr/>
      </w:r>
    </w:p>
    <w:p>
      <w:pPr>
        <w:pStyle w:val="Heading3"/>
        <w:rPr>
          <w:color w:val="FF0000"/>
        </w:rPr>
      </w:pPr>
      <w:bookmarkStart w:id="755" w:name="_Toc34920794"/>
      <w:r>
        <w:rPr/>
        <w:t>DCH-23(f): De-Identification (Anonymization) | Differential Privacy</w:t>
      </w:r>
      <w:bookmarkEnd w:id="755"/>
    </w:p>
    <w:p>
      <w:pPr>
        <w:pStyle w:val="Normal"/>
        <w:rPr/>
      </w:pPr>
      <w:r>
        <w:rPr>
          <w:u w:val="single"/>
        </w:rPr>
        <w:t>Control Objective</w:t>
      </w:r>
      <w:r>
        <w:rPr/>
        <w:t>: The organization prevents disclosure of Personal Data (PD) by adding non-deterministic noise to the results of mathematical operations before the results are reported.</w:t>
      </w:r>
    </w:p>
    <w:p>
      <w:pPr>
        <w:pStyle w:val="Normal"/>
        <w:rPr/>
      </w:pPr>
      <w:r>
        <w:rPr/>
      </w:r>
    </w:p>
    <w:p>
      <w:pPr>
        <w:pStyle w:val="Normal"/>
        <w:rPr/>
      </w:pPr>
      <w:r>
        <w:rPr>
          <w:u w:val="single"/>
        </w:rPr>
        <w:t>Standard</w:t>
      </w:r>
      <w:r>
        <w:rPr/>
        <w:t>: Where technically feasible and justified by a valid business case, asset custodians and data/process owners are required to prevent disclosure of Personal Data (PD) by adding non-deterministic noise to the results of mathematical operations before the results are reported.</w:t>
      </w:r>
    </w:p>
    <w:p>
      <w:pPr>
        <w:pStyle w:val="Normal"/>
        <w:rPr/>
      </w:pPr>
      <w:r>
        <w:rPr/>
      </w:r>
    </w:p>
    <w:p>
      <w:pPr>
        <w:pStyle w:val="Normal"/>
        <w:rPr>
          <w:bCs w:val="false"/>
        </w:rPr>
      </w:pPr>
      <w:r>
        <w:rPr>
          <w:u w:val="single"/>
        </w:rPr>
        <w:t>Guidelines</w:t>
      </w:r>
      <w:r>
        <w:rPr/>
        <w:t>: The mathematical definition for differential privacy holds that the result of a dataset analysis should be approximately the same before and after the addition or removal of a single data record (which is assumed to be the data from a single individual). In its most basic form, differential privacy applies only to online query systems. However, it can also be used to produce machine-learning statistical classifiers and synthetic data. Differential privacy comes at the cost of decreased accuracy of results, forcing organizations to quantify the trade-off between privacy protection and the overall accuracy, usefulness and utility of the de-identified dataset. Non-deterministic noise can include, for example, adding small random values to the results of mathematical operations in dataset analysis.</w:t>
      </w:r>
    </w:p>
    <w:p>
      <w:pPr>
        <w:pStyle w:val="Normal"/>
        <w:tabs>
          <w:tab w:val="clear" w:pos="360"/>
          <w:tab w:val="clear" w:pos="720"/>
          <w:tab w:val="clear" w:pos="1080"/>
        </w:tabs>
        <w:jc w:val="left"/>
        <w:rPr/>
      </w:pPr>
      <w:r>
        <w:rPr/>
      </w:r>
    </w:p>
    <w:p>
      <w:pPr>
        <w:pStyle w:val="Heading3"/>
        <w:rPr>
          <w:color w:val="FF0000"/>
        </w:rPr>
      </w:pPr>
      <w:bookmarkStart w:id="756" w:name="_Toc34920795"/>
      <w:r>
        <w:rPr/>
        <w:t>DCH-23(g): De-Identification (Anonymization) | Validated Software</w:t>
      </w:r>
      <w:bookmarkEnd w:id="756"/>
    </w:p>
    <w:p>
      <w:pPr>
        <w:pStyle w:val="Normal"/>
        <w:rPr/>
      </w:pPr>
      <w:r>
        <w:rPr>
          <w:u w:val="single"/>
        </w:rPr>
        <w:t>Control Objective</w:t>
      </w:r>
      <w:r>
        <w:rPr/>
        <w:t>: The organization performs de-identification using validated algorithms and software that is validated to implement the algorithms.</w:t>
      </w:r>
    </w:p>
    <w:p>
      <w:pPr>
        <w:pStyle w:val="Normal"/>
        <w:rPr/>
      </w:pPr>
      <w:r>
        <w:rPr/>
      </w:r>
    </w:p>
    <w:p>
      <w:pPr>
        <w:pStyle w:val="Normal"/>
        <w:rPr/>
      </w:pPr>
      <w:r>
        <w:rPr>
          <w:u w:val="single"/>
        </w:rPr>
        <w:t>Standard</w:t>
      </w:r>
      <w:r>
        <w:rPr/>
        <w:t>: Where technically feasible and justified by a valid business case, asset custodians and data/process owners are required to perform de-identification using validated algorithms and software that is validated to implement the algorithms.</w:t>
      </w:r>
    </w:p>
    <w:p>
      <w:pPr>
        <w:pStyle w:val="Normal"/>
        <w:rPr/>
      </w:pPr>
      <w:r>
        <w:rPr/>
      </w:r>
    </w:p>
    <w:p>
      <w:pPr>
        <w:pStyle w:val="Normal"/>
        <w:rPr>
          <w:bCs w:val="false"/>
        </w:rPr>
      </w:pPr>
      <w:r>
        <w:rPr>
          <w:u w:val="single"/>
        </w:rPr>
        <w:t>Guidelines</w:t>
      </w:r>
      <w:r>
        <w:rPr/>
        <w:t>: Algorithms that appear to remove Personal Data (PD) from a dataset may in fact leave information that is personally identifiable or data that are re-identifiable. Software that is claimed to implement a validated algorithm may contain bugs or may implement a different algorithm. Software may de-identify one type of data, for example, integers, but not another type of data, for example, floating point numbers. For these reasons, de-identification is performed using algorithms and software that are validated.</w:t>
      </w:r>
    </w:p>
    <w:p>
      <w:pPr>
        <w:pStyle w:val="Normal"/>
        <w:tabs>
          <w:tab w:val="clear" w:pos="360"/>
          <w:tab w:val="clear" w:pos="720"/>
          <w:tab w:val="clear" w:pos="1080"/>
        </w:tabs>
        <w:jc w:val="left"/>
        <w:rPr/>
      </w:pPr>
      <w:r>
        <w:rPr/>
      </w:r>
    </w:p>
    <w:p>
      <w:pPr>
        <w:pStyle w:val="Heading3"/>
        <w:rPr>
          <w:color w:val="FF0000"/>
        </w:rPr>
      </w:pPr>
      <w:bookmarkStart w:id="757" w:name="_Toc34920796"/>
      <w:r>
        <w:rPr/>
        <w:t>DCH-23(h): De-Identification (Anonymization) | Motivated Intruder</w:t>
      </w:r>
      <w:bookmarkEnd w:id="757"/>
    </w:p>
    <w:p>
      <w:pPr>
        <w:pStyle w:val="Normal"/>
        <w:rPr/>
      </w:pPr>
      <w:r>
        <w:rPr>
          <w:u w:val="single"/>
        </w:rPr>
        <w:t>Control Objective</w:t>
      </w:r>
      <w:r>
        <w:rPr/>
        <w:t>: The organization performs a motivated intruder test on the de-identified dataset to determine if the identified data remains or if the de-identified data can be re-identified.</w:t>
      </w:r>
    </w:p>
    <w:p>
      <w:pPr>
        <w:pStyle w:val="Normal"/>
        <w:rPr/>
      </w:pPr>
      <w:r>
        <w:rPr/>
      </w:r>
    </w:p>
    <w:p>
      <w:pPr>
        <w:pStyle w:val="Normal"/>
        <w:rPr/>
      </w:pPr>
      <w:r>
        <w:rPr>
          <w:u w:val="single"/>
        </w:rPr>
        <w:t>Standard</w:t>
      </w:r>
      <w:r>
        <w:rPr/>
        <w:t>: Where technically feasible and justified by a valid business case, asset custodians and data/process owners are required to perform a motivated intruder test on the de-identified dataset to determine if the identified data remains or if the de-identified data can be re-identified.</w:t>
      </w:r>
    </w:p>
    <w:p>
      <w:pPr>
        <w:pStyle w:val="Normal"/>
        <w:rPr/>
      </w:pPr>
      <w:r>
        <w:rPr/>
      </w:r>
    </w:p>
    <w:p>
      <w:pPr>
        <w:pStyle w:val="Normal"/>
        <w:rPr>
          <w:bCs w:val="false"/>
        </w:rPr>
      </w:pPr>
      <w:r>
        <w:rPr>
          <w:u w:val="single"/>
        </w:rPr>
        <w:t>Guidelines</w:t>
      </w:r>
      <w:r>
        <w:rPr/>
        <w:t>: A motivated intruder test is a test in which a person or group takes a data release and specified resources and attempts to re-identify one or more individuals in the de-identified dataset. Such tests specify the amount of inside knowledge, financial resources, computational resources, data and skills that intruders have at their disposal to conduct the tests. A motivated intruder test can identify if de-identification is insufficient. It can also be a useful diagnostic tool to assess if de-identification is likely to be sufficient; however, the test alone cannot prove that de-identification is sufficient.</w:t>
      </w:r>
    </w:p>
    <w:p>
      <w:pPr>
        <w:pStyle w:val="Normal"/>
        <w:tabs>
          <w:tab w:val="clear" w:pos="360"/>
          <w:tab w:val="clear" w:pos="720"/>
          <w:tab w:val="clear" w:pos="1080"/>
        </w:tabs>
        <w:jc w:val="left"/>
        <w:rPr/>
      </w:pPr>
      <w:r>
        <w:rPr/>
      </w:r>
    </w:p>
    <w:p>
      <w:pPr>
        <w:pStyle w:val="Normal"/>
        <w:tabs>
          <w:tab w:val="clear" w:pos="360"/>
          <w:tab w:val="clear" w:pos="720"/>
          <w:tab w:val="clear" w:pos="1080"/>
        </w:tabs>
        <w:jc w:val="left"/>
        <w:rPr/>
      </w:pPr>
      <w:r>
        <w:rPr/>
      </w:r>
    </w:p>
    <w:p>
      <w:pPr>
        <w:pStyle w:val="Heading2"/>
        <w:rPr/>
      </w:pPr>
      <w:bookmarkStart w:id="758" w:name="_Toc34920797"/>
      <w:r>
        <w:rPr/>
        <w:t>DCH-24: Information Location</w:t>
      </w:r>
      <w:bookmarkEnd w:id="758"/>
      <w:r>
        <w:rPr/>
        <w:t xml:space="preserve"> </w:t>
      </w:r>
    </w:p>
    <w:p>
      <w:pPr>
        <w:pStyle w:val="Normal"/>
        <w:rPr/>
      </w:pPr>
      <w:r>
        <w:rPr>
          <w:u w:val="single"/>
        </w:rPr>
        <w:t>Control Objective</w:t>
      </w:r>
      <w:r>
        <w:rPr/>
        <w:t>: The organization</w:t>
      </w:r>
    </w:p>
    <w:p>
      <w:pPr>
        <w:pStyle w:val="ListParagraph"/>
        <w:numPr>
          <w:ilvl w:val="0"/>
          <w:numId w:val="532"/>
        </w:numPr>
        <w:rPr/>
      </w:pPr>
      <w:r>
        <w:rPr/>
        <w:t>Identifies the location of information and the specific system components on which the information resides that includes:</w:t>
      </w:r>
    </w:p>
    <w:p>
      <w:pPr>
        <w:pStyle w:val="ListParagraph"/>
        <w:numPr>
          <w:ilvl w:val="0"/>
          <w:numId w:val="532"/>
        </w:numPr>
        <w:rPr/>
      </w:pPr>
      <w:r>
        <w:rPr/>
        <w:t>Identifies and documents the users who have access to the system and system components where the information resides; and</w:t>
      </w:r>
    </w:p>
    <w:p>
      <w:pPr>
        <w:pStyle w:val="ListParagraph"/>
        <w:numPr>
          <w:ilvl w:val="0"/>
          <w:numId w:val="532"/>
        </w:numPr>
        <w:rPr/>
      </w:pPr>
      <w:r>
        <w:rPr/>
        <w:t>Documents changes to the location (e.g., system or system components) where the information resides.</w:t>
      </w:r>
    </w:p>
    <w:p>
      <w:pPr>
        <w:pStyle w:val="Normal"/>
        <w:rPr/>
      </w:pPr>
      <w:r>
        <w:rPr/>
      </w:r>
    </w:p>
    <w:p>
      <w:pPr>
        <w:pStyle w:val="Normal"/>
        <w:rPr/>
      </w:pPr>
      <w:r>
        <w:rPr>
          <w:u w:val="single"/>
        </w:rPr>
        <w:t>Standard</w:t>
      </w:r>
      <w:r>
        <w:rPr/>
        <w:t>: Data/process owners, in conjunction with asset custodians, are required to:</w:t>
      </w:r>
    </w:p>
    <w:p>
      <w:pPr>
        <w:pStyle w:val="ListParagraph"/>
        <w:numPr>
          <w:ilvl w:val="0"/>
          <w:numId w:val="573"/>
        </w:numPr>
        <w:tabs>
          <w:tab w:val="clear" w:pos="360"/>
          <w:tab w:val="clear" w:pos="720"/>
          <w:tab w:val="clear" w:pos="1080"/>
        </w:tabs>
        <w:rPr/>
      </w:pPr>
      <w:r>
        <w:rPr/>
        <w:t>Identify the location of organization-defined information and the specific system components on which the information resides;</w:t>
      </w:r>
    </w:p>
    <w:p>
      <w:pPr>
        <w:pStyle w:val="ListParagraph"/>
        <w:numPr>
          <w:ilvl w:val="0"/>
          <w:numId w:val="573"/>
        </w:numPr>
        <w:tabs>
          <w:tab w:val="clear" w:pos="360"/>
          <w:tab w:val="clear" w:pos="720"/>
          <w:tab w:val="clear" w:pos="1080"/>
        </w:tabs>
        <w:rPr/>
      </w:pPr>
      <w:r>
        <w:rPr/>
        <w:t>Identify and document the users who have access to the system and system components where the information resides; and</w:t>
      </w:r>
    </w:p>
    <w:p>
      <w:pPr>
        <w:pStyle w:val="ListParagraph"/>
        <w:numPr>
          <w:ilvl w:val="0"/>
          <w:numId w:val="573"/>
        </w:numPr>
        <w:tabs>
          <w:tab w:val="clear" w:pos="360"/>
          <w:tab w:val="clear" w:pos="720"/>
          <w:tab w:val="clear" w:pos="1080"/>
        </w:tabs>
        <w:rPr/>
      </w:pPr>
      <w:r>
        <w:rPr/>
        <w:t>Document changes to the location (e.g., system or system components) where the information resides.</w:t>
      </w:r>
    </w:p>
    <w:p>
      <w:pPr>
        <w:pStyle w:val="Normal"/>
        <w:rPr/>
      </w:pPr>
      <w:r>
        <w:rPr/>
      </w:r>
    </w:p>
    <w:p>
      <w:pPr>
        <w:pStyle w:val="Normal"/>
        <w:rPr/>
      </w:pPr>
      <w:r>
        <w:rPr>
          <w:u w:val="single"/>
        </w:rPr>
        <w:t>Guidelines</w:t>
      </w:r>
      <w:r>
        <w:rPr/>
        <w:t xml:space="preserve">: This control addresses the need to understand where information is being processed and stored and is typically applied with respect to Controlled Unclassified Information (CUI). The National Archives and Records Administration defines the types of information that are categorized as CUI. Information location includes identifying where specific information types and associated information reside in the system components that compose organizational systems; and how information is being processed so that information flow can be understood and adequate protection and policy management provided for such information and system components. </w:t>
      </w:r>
    </w:p>
    <w:p>
      <w:pPr>
        <w:pStyle w:val="Normal"/>
        <w:rPr/>
      </w:pPr>
      <w:r>
        <w:rPr/>
      </w:r>
    </w:p>
    <w:p>
      <w:pPr>
        <w:pStyle w:val="Heading3"/>
        <w:rPr>
          <w:color w:val="FF0000"/>
        </w:rPr>
      </w:pPr>
      <w:bookmarkStart w:id="759" w:name="_Toc34920798"/>
      <w:r>
        <w:rPr/>
        <w:t>DCH-24(a): Information Location | Automated Tools to Support Information Location</w:t>
      </w:r>
      <w:bookmarkEnd w:id="759"/>
    </w:p>
    <w:p>
      <w:pPr>
        <w:pStyle w:val="Normal"/>
        <w:rPr/>
      </w:pPr>
      <w:r>
        <w:rPr>
          <w:u w:val="single"/>
        </w:rPr>
        <w:t>Control Objective</w:t>
      </w:r>
      <w:r>
        <w:rPr/>
        <w:t>: The organization uses automated tools to identify by data classification type to ensure adequate security and privacy controls are in place to protect organizational information and individual privacy.</w:t>
      </w:r>
    </w:p>
    <w:p>
      <w:pPr>
        <w:pStyle w:val="Normal"/>
        <w:rPr/>
      </w:pPr>
      <w:r>
        <w:rPr/>
      </w:r>
    </w:p>
    <w:p>
      <w:pPr>
        <w:pStyle w:val="Normal"/>
        <w:rPr/>
      </w:pPr>
      <w:r>
        <w:rPr>
          <w:u w:val="single"/>
        </w:rPr>
        <w:t>Standard</w:t>
      </w:r>
      <w:r>
        <w:rPr/>
        <w:t>: Where technically feasible, NFCC must use automated tools to identify sensitive information by information type to ensure adequate security and privacy controls are in place to protect NFCC’s sensitive information and individual privacy.</w:t>
      </w:r>
    </w:p>
    <w:p>
      <w:pPr>
        <w:pStyle w:val="Normal"/>
        <w:rPr/>
      </w:pPr>
      <w:r>
        <w:rPr/>
      </w:r>
    </w:p>
    <w:p>
      <w:pPr>
        <w:pStyle w:val="Normal"/>
        <w:rPr/>
      </w:pPr>
      <w:r>
        <w:rPr>
          <w:u w:val="single"/>
        </w:rPr>
        <w:t>Guidelines</w:t>
      </w:r>
      <w:r>
        <w:rPr/>
        <w:t>: This control enhancement gives organizations the capability to check systems and selected system components for types of information to confirm such information resides on the component and to ensure that the required protection measures are in place for that component.</w:t>
      </w:r>
    </w:p>
    <w:p>
      <w:pPr>
        <w:pStyle w:val="Normal"/>
        <w:tabs>
          <w:tab w:val="clear" w:pos="360"/>
          <w:tab w:val="clear" w:pos="720"/>
          <w:tab w:val="clear" w:pos="1080"/>
        </w:tabs>
        <w:jc w:val="left"/>
        <w:rPr/>
      </w:pPr>
      <w:r>
        <w:rPr/>
      </w:r>
    </w:p>
    <w:p>
      <w:pPr>
        <w:pStyle w:val="Normal"/>
        <w:tabs>
          <w:tab w:val="clear" w:pos="360"/>
          <w:tab w:val="clear" w:pos="720"/>
          <w:tab w:val="clear" w:pos="1080"/>
        </w:tabs>
        <w:jc w:val="left"/>
        <w:rPr/>
      </w:pPr>
      <w:r>
        <w:rPr/>
      </w:r>
    </w:p>
    <w:p>
      <w:pPr>
        <w:pStyle w:val="Heading2"/>
        <w:rPr/>
      </w:pPr>
      <w:bookmarkStart w:id="760" w:name="_Toc34920799"/>
      <w:r>
        <w:rPr/>
        <w:t>DCH-25: Transfer of Personal Information</w:t>
      </w:r>
      <w:bookmarkEnd w:id="760"/>
      <w:r>
        <w:rPr/>
        <w:t xml:space="preserve"> </w:t>
      </w:r>
    </w:p>
    <w:p>
      <w:pPr>
        <w:pStyle w:val="Normal"/>
        <w:rPr/>
      </w:pPr>
      <w:r>
        <w:rPr>
          <w:u w:val="single"/>
        </w:rPr>
        <w:t>Control Objective</w:t>
      </w:r>
      <w:r>
        <w:rPr/>
        <w:t>: The organization employs processes to restrict and govern the transfer of data to third-countries or international organizations.</w:t>
      </w:r>
    </w:p>
    <w:p>
      <w:pPr>
        <w:pStyle w:val="Normal"/>
        <w:rPr/>
      </w:pPr>
      <w:r>
        <w:rPr/>
      </w:r>
    </w:p>
    <w:p>
      <w:pPr>
        <w:pStyle w:val="Normal"/>
        <w:rPr/>
      </w:pPr>
      <w:r>
        <w:rPr>
          <w:u w:val="single"/>
        </w:rPr>
        <w:t>Standard</w:t>
      </w:r>
      <w:r>
        <w:rPr/>
        <w:t>: Data/process owners and asset custodians are required to implement processes to restrict and govern the transfer of data to third-countries or international organizations.</w:t>
      </w:r>
    </w:p>
    <w:p>
      <w:pPr>
        <w:pStyle w:val="Normal"/>
        <w:rPr/>
      </w:pPr>
      <w:r>
        <w:rPr/>
      </w:r>
    </w:p>
    <w:p>
      <w:pPr>
        <w:pStyle w:val="Normal"/>
        <w:rPr/>
      </w:pPr>
      <w:r>
        <w:rPr>
          <w:u w:val="single"/>
        </w:rPr>
        <w:t>Guidelines</w:t>
      </w:r>
      <w:r>
        <w:rPr/>
        <w:t>: None</w:t>
      </w:r>
    </w:p>
    <w:p>
      <w:pPr>
        <w:pStyle w:val="Normal"/>
        <w:rPr/>
      </w:pPr>
      <w:r>
        <w:rPr/>
      </w:r>
    </w:p>
    <w:p>
      <w:pPr>
        <w:pStyle w:val="Normal"/>
        <w:rPr>
          <w:rFonts w:eastAsia="Calibri" w:cs="Calibri"/>
          <w:b/>
          <w:b/>
          <w:bCs w:val="false"/>
          <w:smallCaps/>
          <w:sz w:val="24"/>
        </w:rPr>
      </w:pPr>
      <w:r>
        <w:rPr>
          <w:rFonts w:eastAsia="Calibri" w:cs="Calibri"/>
          <w:b/>
          <w:bCs w:val="false"/>
          <w:smallCaps/>
          <w:sz w:val="24"/>
        </w:rPr>
      </w:r>
      <w:r>
        <w:br w:type="page"/>
      </w:r>
    </w:p>
    <w:p>
      <w:pPr>
        <w:pStyle w:val="Heading1"/>
        <w:rPr/>
      </w:pPr>
      <w:bookmarkStart w:id="761" w:name="_Toc34920800"/>
      <w:bookmarkStart w:id="762" w:name="_Toc474074963"/>
      <w:bookmarkStart w:id="763" w:name="_Toc474075615"/>
      <w:r>
        <w:rPr/>
        <w:t>Embedded Technology (EMB)</w:t>
      </w:r>
      <w:bookmarkEnd w:id="762"/>
      <w:bookmarkEnd w:id="763"/>
      <w:r>
        <w:rPr/>
        <w:t xml:space="preserve"> Policy &amp; Standards</w:t>
      </w:r>
      <w:bookmarkEnd w:id="761"/>
    </w:p>
    <w:p>
      <w:pPr>
        <w:pStyle w:val="Normal"/>
        <w:rPr/>
      </w:pPr>
      <w:r>
        <w:rPr/>
        <w:t xml:space="preserve"> </w:t>
      </w:r>
    </w:p>
    <w:p>
      <w:pPr>
        <w:pStyle w:val="Normal"/>
        <w:shd w:val="clear" w:color="auto" w:fill="FFFFFF" w:themeFill="background1"/>
        <w:rPr/>
      </w:pPr>
      <w:r>
        <w:rPr>
          <w:u w:val="single"/>
        </w:rPr>
        <w:t>Management Intent:</w:t>
      </w:r>
      <w:r>
        <w:rPr/>
        <w:t xml:space="preserve"> The purpose of the Embedded Technology (EMB) policy is to specify the development, proactive management and ongoing review of NFCC’s security program for embedded technologies.</w:t>
      </w:r>
    </w:p>
    <w:p>
      <w:pPr>
        <w:pStyle w:val="Normal"/>
        <w:shd w:val="clear" w:color="auto" w:fill="FFFFFF" w:themeFill="background1"/>
        <w:rPr>
          <w:u w:val="single"/>
        </w:rPr>
      </w:pPr>
      <w:r>
        <w:rPr>
          <w:u w:val="single"/>
        </w:rPr>
      </w:r>
    </w:p>
    <w:p>
      <w:pPr>
        <w:pStyle w:val="Normal"/>
        <w:shd w:val="clear" w:color="auto" w:fill="DDD9C3" w:themeFill="background2" w:themeFillShade="e6"/>
        <w:rPr/>
      </w:pPr>
      <w:r>
        <w:rPr>
          <w:u w:val="single"/>
        </w:rPr>
        <w:t>Policy</w:t>
      </w:r>
      <w:r>
        <w:rPr/>
        <w:t xml:space="preserve">: In addition to ensuring the Confidentiality, Integrity and Availability, NFCC shall address Safety with embedded technologies in an effort to entirely prevent or at least mitigate risks to our partners, clients and the general public. </w:t>
      </w:r>
    </w:p>
    <w:p>
      <w:pPr>
        <w:pStyle w:val="Normal"/>
        <w:rPr/>
      </w:pPr>
      <w:r>
        <w:rPr/>
      </w:r>
    </w:p>
    <w:p>
      <w:pPr>
        <w:pStyle w:val="Normal"/>
        <w:rPr/>
      </w:pPr>
      <w:r>
        <w:rPr>
          <w:u w:val="single"/>
        </w:rPr>
        <w:t>Supporting Documentation</w:t>
      </w:r>
      <w:r>
        <w:rPr/>
        <w:t xml:space="preserve">: This policy is supported by the following control objectives, standards and guidelines. </w:t>
      </w:r>
    </w:p>
    <w:p>
      <w:pPr>
        <w:pStyle w:val="Normal"/>
        <w:rPr/>
      </w:pPr>
      <w:r>
        <w:rPr/>
      </w:r>
    </w:p>
    <w:p>
      <w:pPr>
        <w:pStyle w:val="Normal"/>
        <w:rPr/>
      </w:pPr>
      <w:r>
        <w:rPr/>
      </w:r>
    </w:p>
    <w:p>
      <w:pPr>
        <w:pStyle w:val="Heading2"/>
        <w:rPr/>
      </w:pPr>
      <w:bookmarkStart w:id="764" w:name="_Toc474074964"/>
      <w:bookmarkStart w:id="765" w:name="_Toc474075616"/>
      <w:bookmarkStart w:id="766" w:name="_Toc34920801"/>
      <w:r>
        <w:rPr/>
        <w:t>EMB-01: Embedded Technology Security Program</w:t>
      </w:r>
      <w:bookmarkEnd w:id="764"/>
      <w:bookmarkEnd w:id="765"/>
      <w:bookmarkEnd w:id="766"/>
      <w:r>
        <w:rPr/>
        <w:t xml:space="preserve"> </w:t>
      </w:r>
    </w:p>
    <w:p>
      <w:pPr>
        <w:pStyle w:val="Normal"/>
        <w:rPr>
          <w:rFonts w:ascii="Times New Roman" w:hAnsi="Times New Roman" w:eastAsia="Calibri"/>
          <w:sz w:val="24"/>
          <w:szCs w:val="24"/>
        </w:rPr>
      </w:pPr>
      <w:r>
        <w:rPr>
          <w:u w:val="single"/>
        </w:rPr>
        <w:t>Control Objective</w:t>
      </w:r>
      <w:r>
        <w:rPr/>
        <w:t xml:space="preserve">: The organization develops, implements and governs processes and documentation to facilitate the implementation of an enterprise-wide embedded technology policy, as well as associated standards, controls and procedures. </w:t>
      </w:r>
    </w:p>
    <w:p>
      <w:pPr>
        <w:pStyle w:val="Normal"/>
        <w:rPr/>
      </w:pPr>
      <w:r>
        <w:rPr/>
      </w:r>
    </w:p>
    <w:p>
      <w:pPr>
        <w:pStyle w:val="Normal"/>
        <w:rPr/>
      </w:pPr>
      <w:r>
        <w:rPr>
          <w:u w:val="single"/>
        </w:rPr>
        <w:t>Standard</w:t>
      </w:r>
      <w:r>
        <w:rPr/>
        <w:t>: NFCC requires asset custodians, in conjunction with data / process owners to:</w:t>
      </w:r>
    </w:p>
    <w:p>
      <w:pPr>
        <w:pStyle w:val="ListParagraph"/>
        <w:numPr>
          <w:ilvl w:val="0"/>
          <w:numId w:val="316"/>
        </w:numPr>
        <w:rPr/>
      </w:pPr>
      <w:r>
        <w:rPr/>
        <w:t>Assess the safety-related risks associated with embedded technologies;</w:t>
      </w:r>
    </w:p>
    <w:p>
      <w:pPr>
        <w:pStyle w:val="ListParagraph"/>
        <w:numPr>
          <w:ilvl w:val="0"/>
          <w:numId w:val="316"/>
        </w:numPr>
        <w:rPr/>
      </w:pPr>
      <w:r>
        <w:rPr/>
        <w:t>Remediate vulnerabilities within embedded technologies; and</w:t>
      </w:r>
    </w:p>
    <w:p>
      <w:pPr>
        <w:pStyle w:val="ListParagraph"/>
        <w:numPr>
          <w:ilvl w:val="0"/>
          <w:numId w:val="316"/>
        </w:numPr>
        <w:rPr/>
      </w:pPr>
      <w:r>
        <w:rPr/>
        <w:t xml:space="preserve">Apply compensating controls where vulnerabilities cannot be remediated. </w:t>
      </w:r>
    </w:p>
    <w:p>
      <w:pPr>
        <w:pStyle w:val="Normal"/>
        <w:rPr/>
      </w:pPr>
      <w:r>
        <w:rPr/>
      </w:r>
    </w:p>
    <w:p>
      <w:pPr>
        <w:pStyle w:val="Normal"/>
        <w:rPr/>
      </w:pPr>
      <w:r>
        <w:rPr>
          <w:u w:val="single"/>
        </w:rPr>
        <w:t>Guidelines</w:t>
      </w:r>
      <w:r>
        <w:rPr/>
        <w:t xml:space="preserve">: </w:t>
      </w:r>
      <w:r>
        <w:rPr>
          <w:i/>
          <w:u w:val="single"/>
        </w:rPr>
        <w:t>Annex 9: Safety Considerations With Embedded Technology</w:t>
      </w:r>
      <w:r>
        <w:rPr/>
        <w:t xml:space="preserve"> covers the topics of data classification and handling in greater detail. Embedded devices covered by this program includes, but is not limited to:</w:t>
      </w:r>
    </w:p>
    <w:p>
      <w:pPr>
        <w:pStyle w:val="ListParagraph"/>
        <w:numPr>
          <w:ilvl w:val="0"/>
          <w:numId w:val="315"/>
        </w:numPr>
        <w:rPr/>
      </w:pPr>
      <w:r>
        <w:rPr/>
        <w:t xml:space="preserve">Internet of Things (IoT) </w:t>
      </w:r>
    </w:p>
    <w:p>
      <w:pPr>
        <w:pStyle w:val="ListParagraph"/>
        <w:numPr>
          <w:ilvl w:val="0"/>
          <w:numId w:val="315"/>
        </w:numPr>
        <w:rPr/>
      </w:pPr>
      <w:r>
        <w:rPr/>
        <w:t>Operational Technology (OT).</w:t>
      </w:r>
    </w:p>
    <w:p>
      <w:pPr>
        <w:pStyle w:val="Normal"/>
        <w:rPr/>
      </w:pPr>
      <w:r>
        <w:rPr/>
      </w:r>
    </w:p>
    <w:p>
      <w:pPr>
        <w:pStyle w:val="Normal"/>
        <w:rPr>
          <w:b/>
          <w:b/>
        </w:rPr>
      </w:pPr>
      <w:r>
        <w:rPr/>
        <w:t xml:space="preserve">The National Institute of Standards and Technology (NIST) Special Publication (SP) 800-183, </w:t>
      </w:r>
      <w:r>
        <w:rPr>
          <w:i/>
        </w:rPr>
        <w:t>Network of Things</w:t>
      </w:r>
      <w:r>
        <w:rPr/>
        <w:t>, is the default guide for security related to embedded technology.</w:t>
      </w:r>
      <w:r>
        <w:rPr>
          <w:rStyle w:val="FootnoteAnchor"/>
          <w:rStyle w:val="FootnoteAnchor"/>
        </w:rPr>
        <w:footnoteReference w:id="232"/>
      </w:r>
    </w:p>
    <w:p>
      <w:pPr>
        <w:pStyle w:val="Normal"/>
        <w:rPr/>
      </w:pPr>
      <w:r>
        <w:rPr/>
      </w:r>
    </w:p>
    <w:p>
      <w:pPr>
        <w:pStyle w:val="Normal"/>
        <w:rPr/>
      </w:pPr>
      <w:r>
        <w:rPr/>
      </w:r>
    </w:p>
    <w:p>
      <w:pPr>
        <w:pStyle w:val="Heading2"/>
        <w:rPr/>
      </w:pPr>
      <w:bookmarkStart w:id="767" w:name="_Toc474074965"/>
      <w:bookmarkStart w:id="768" w:name="_Toc474075617"/>
      <w:bookmarkStart w:id="769" w:name="_Toc34920802"/>
      <w:r>
        <w:rPr/>
        <w:t>EMB-02: Internet of Things (IoT)</w:t>
      </w:r>
      <w:bookmarkEnd w:id="767"/>
      <w:bookmarkEnd w:id="768"/>
      <w:bookmarkEnd w:id="769"/>
      <w:r>
        <w:rPr/>
        <w:t xml:space="preserve"> </w:t>
      </w:r>
    </w:p>
    <w:p>
      <w:pPr>
        <w:pStyle w:val="Normal"/>
        <w:rPr/>
      </w:pPr>
      <w:r>
        <w:rPr>
          <w:u w:val="single"/>
        </w:rPr>
        <w:t>Control Objective</w:t>
      </w:r>
      <w:r>
        <w:rPr/>
        <w:t>: The organization designs, maintains and reviews a program that specifically addresses the cybersecurity and privacy risks posed by Internet of Things (IoT) technologies.</w:t>
      </w:r>
    </w:p>
    <w:p>
      <w:pPr>
        <w:pStyle w:val="Normal"/>
        <w:rPr/>
      </w:pPr>
      <w:r>
        <w:rPr/>
      </w:r>
    </w:p>
    <w:p>
      <w:pPr>
        <w:pStyle w:val="Normal"/>
        <w:rPr/>
      </w:pPr>
      <w:r>
        <w:rPr>
          <w:u w:val="single"/>
        </w:rPr>
        <w:t>Standard</w:t>
      </w:r>
      <w:r>
        <w:rPr/>
        <w:t>: NFCC requires asset custodians, in conjunction with data / process owners, to implement industry-recognized leading practices for the development, configuration and maintenance of Internet of Things (IoT). IoT includes, but is not limited to:</w:t>
      </w:r>
    </w:p>
    <w:p>
      <w:pPr>
        <w:pStyle w:val="ListParagraph"/>
        <w:numPr>
          <w:ilvl w:val="0"/>
          <w:numId w:val="318"/>
        </w:numPr>
        <w:rPr/>
      </w:pPr>
      <w:r>
        <w:rPr/>
        <w:t>Wearable technology; and</w:t>
      </w:r>
    </w:p>
    <w:p>
      <w:pPr>
        <w:pStyle w:val="ListParagraph"/>
        <w:numPr>
          <w:ilvl w:val="0"/>
          <w:numId w:val="318"/>
        </w:numPr>
        <w:rPr/>
      </w:pPr>
      <w:r>
        <w:rPr/>
        <w:t>Automation technology.</w:t>
      </w:r>
    </w:p>
    <w:p>
      <w:pPr>
        <w:pStyle w:val="Normal"/>
        <w:rPr/>
      </w:pPr>
      <w:r>
        <w:rPr/>
      </w:r>
    </w:p>
    <w:p>
      <w:pPr>
        <w:pStyle w:val="Normal"/>
        <w:rPr/>
      </w:pPr>
      <w:r>
        <w:rPr>
          <w:u w:val="single"/>
        </w:rPr>
        <w:t>Guidelines</w:t>
      </w:r>
      <w:r>
        <w:rPr/>
        <w:t xml:space="preserve">: Leading practices for IoT is currently outlined in the National Institute of Standards and Technology (NIST) Special Publication (SP) 800-183, </w:t>
      </w:r>
      <w:r>
        <w:rPr>
          <w:i/>
        </w:rPr>
        <w:t>Network of Thing.</w:t>
      </w:r>
      <w:r>
        <w:rPr>
          <w:rStyle w:val="FootnoteCharacters"/>
        </w:rPr>
        <w:t xml:space="preserve"> </w:t>
      </w:r>
      <w:r>
        <w:rPr>
          <w:rStyle w:val="FootnoteAnchor"/>
          <w:rStyle w:val="FootnoteAnchor"/>
        </w:rPr>
        <w:footnoteReference w:id="233"/>
      </w:r>
      <w:r>
        <w:rPr/>
        <w:t xml:space="preserve"> </w:t>
      </w:r>
    </w:p>
    <w:p>
      <w:pPr>
        <w:pStyle w:val="Normal"/>
        <w:rPr/>
      </w:pPr>
      <w:r>
        <w:rPr/>
      </w:r>
    </w:p>
    <w:p>
      <w:pPr>
        <w:pStyle w:val="Normal"/>
        <w:rPr/>
      </w:pPr>
      <w:r>
        <w:rPr>
          <w:i/>
          <w:u w:val="single"/>
        </w:rPr>
        <w:t>Annex 9: Safety Considerations With Embedded Technology</w:t>
      </w:r>
      <w:r>
        <w:rPr/>
        <w:t xml:space="preserve"> covers the topics of data classification and handling in greater detail.</w:t>
      </w:r>
    </w:p>
    <w:p>
      <w:pPr>
        <w:pStyle w:val="Normal"/>
        <w:tabs>
          <w:tab w:val="clear" w:pos="360"/>
          <w:tab w:val="clear" w:pos="720"/>
          <w:tab w:val="clear" w:pos="1080"/>
        </w:tabs>
        <w:jc w:val="left"/>
        <w:rPr/>
      </w:pPr>
      <w:r>
        <w:rPr/>
      </w:r>
    </w:p>
    <w:p>
      <w:pPr>
        <w:pStyle w:val="Normal"/>
        <w:tabs>
          <w:tab w:val="clear" w:pos="360"/>
          <w:tab w:val="clear" w:pos="720"/>
          <w:tab w:val="clear" w:pos="1080"/>
        </w:tabs>
        <w:jc w:val="left"/>
        <w:rPr>
          <w:rFonts w:eastAsia="Calibri" w:cs="Calibri"/>
          <w:b/>
          <w:b/>
          <w:bCs w:val="false"/>
          <w:smallCaps/>
          <w:color w:val="C00000"/>
          <w:sz w:val="24"/>
        </w:rPr>
      </w:pPr>
      <w:r>
        <w:rPr>
          <w:rFonts w:eastAsia="Calibri" w:cs="Calibri"/>
          <w:b/>
          <w:bCs w:val="false"/>
          <w:smallCaps/>
          <w:color w:val="C00000"/>
          <w:sz w:val="24"/>
        </w:rPr>
      </w:r>
    </w:p>
    <w:p>
      <w:pPr>
        <w:pStyle w:val="Heading2"/>
        <w:rPr/>
      </w:pPr>
      <w:bookmarkStart w:id="770" w:name="_Toc34920803"/>
      <w:bookmarkStart w:id="771" w:name="_Toc474074966"/>
      <w:bookmarkStart w:id="772" w:name="_Toc474075618"/>
      <w:r>
        <w:rPr/>
        <w:t>EMB-03: Operational Technology (OT)</w:t>
      </w:r>
      <w:bookmarkEnd w:id="770"/>
      <w:bookmarkEnd w:id="771"/>
      <w:bookmarkEnd w:id="772"/>
      <w:r>
        <w:rPr/>
        <w:t xml:space="preserve"> </w:t>
      </w:r>
    </w:p>
    <w:p>
      <w:pPr>
        <w:pStyle w:val="Normal"/>
        <w:rPr/>
      </w:pPr>
      <w:r>
        <w:rPr>
          <w:u w:val="single"/>
        </w:rPr>
        <w:t>Control Objective</w:t>
      </w:r>
      <w:r>
        <w:rPr/>
        <w:t>: The organization designs, maintains and reviews a program that specifically addresses the cybersecurity and privacy risks posed by Operational Technology (OT) technologies.</w:t>
      </w:r>
    </w:p>
    <w:p>
      <w:pPr>
        <w:pStyle w:val="Normal"/>
        <w:rPr/>
      </w:pPr>
      <w:r>
        <w:rPr/>
      </w:r>
    </w:p>
    <w:p>
      <w:pPr>
        <w:pStyle w:val="Normal"/>
        <w:rPr/>
      </w:pPr>
      <w:r>
        <w:rPr>
          <w:u w:val="single"/>
        </w:rPr>
        <w:t>Standard</w:t>
      </w:r>
      <w:r>
        <w:rPr/>
        <w:t>: NFCC requires asset custodians, in conjunction with data / process owners, to implement industry-recognized leading practices for the development, configuration and maintenance of Operational Technology (OT). OT includes, but is not limited to:</w:t>
      </w:r>
    </w:p>
    <w:p>
      <w:pPr>
        <w:pStyle w:val="ListParagraph"/>
        <w:numPr>
          <w:ilvl w:val="0"/>
          <w:numId w:val="317"/>
        </w:numPr>
        <w:rPr/>
      </w:pPr>
      <w:r>
        <w:rPr/>
        <w:t>Industrial Automation &amp; Control Systems (IACS);</w:t>
      </w:r>
    </w:p>
    <w:p>
      <w:pPr>
        <w:pStyle w:val="ListParagraph"/>
        <w:numPr>
          <w:ilvl w:val="0"/>
          <w:numId w:val="317"/>
        </w:numPr>
        <w:rPr/>
      </w:pPr>
      <w:r>
        <w:rPr/>
        <w:t>Supervisory Control and Data Acquisition (SCADA);</w:t>
      </w:r>
    </w:p>
    <w:p>
      <w:pPr>
        <w:pStyle w:val="ListParagraph"/>
        <w:numPr>
          <w:ilvl w:val="0"/>
          <w:numId w:val="317"/>
        </w:numPr>
        <w:rPr/>
      </w:pPr>
      <w:r>
        <w:rPr/>
        <w:t>Programmable Logic Controllers (PLC);</w:t>
      </w:r>
    </w:p>
    <w:p>
      <w:pPr>
        <w:pStyle w:val="ListParagraph"/>
        <w:numPr>
          <w:ilvl w:val="0"/>
          <w:numId w:val="317"/>
        </w:numPr>
        <w:rPr/>
      </w:pPr>
      <w:r>
        <w:rPr/>
        <w:t>Discrete Process Control Systems (DPC);</w:t>
      </w:r>
    </w:p>
    <w:p>
      <w:pPr>
        <w:pStyle w:val="ListParagraph"/>
        <w:numPr>
          <w:ilvl w:val="0"/>
          <w:numId w:val="317"/>
        </w:numPr>
        <w:rPr/>
      </w:pPr>
      <w:r>
        <w:rPr/>
        <w:t>Distributed Control Systems (DCS); and</w:t>
      </w:r>
    </w:p>
    <w:p>
      <w:pPr>
        <w:pStyle w:val="ListParagraph"/>
        <w:numPr>
          <w:ilvl w:val="0"/>
          <w:numId w:val="317"/>
        </w:numPr>
        <w:rPr/>
      </w:pPr>
      <w:r>
        <w:rPr/>
        <w:t>Industrial Control Systems (ICS).</w:t>
      </w:r>
    </w:p>
    <w:p>
      <w:pPr>
        <w:pStyle w:val="Normal"/>
        <w:rPr/>
      </w:pPr>
      <w:r>
        <w:rPr/>
      </w:r>
    </w:p>
    <w:p>
      <w:pPr>
        <w:pStyle w:val="Normal"/>
        <w:rPr/>
      </w:pPr>
      <w:r>
        <w:rPr>
          <w:u w:val="single"/>
        </w:rPr>
        <w:t>Guidelines</w:t>
      </w:r>
      <w:r>
        <w:rPr/>
        <w:t>: Leading practices for IACS and OT are currently outlined in the National Institute of Standards and Technology (NIST) Special Publication (SP) 800-82</w:t>
      </w:r>
      <w:r>
        <w:rPr>
          <w:i/>
        </w:rPr>
        <w:t>, Guide to Industrial Control Systems (ICS) Security</w:t>
      </w:r>
      <w:r>
        <w:rPr/>
        <w:t>.</w:t>
      </w:r>
      <w:r>
        <w:rPr>
          <w:rStyle w:val="FootnoteAnchor"/>
          <w:rStyle w:val="FootnoteAnchor"/>
        </w:rPr>
        <w:footnoteReference w:id="234"/>
      </w:r>
      <w:r>
        <w:rPr/>
        <w:t xml:space="preserve"> OT is hardware and software that detects or causes a change through the direct monitoring and / or control of physical devices, processes and events in the enterprise.</w:t>
      </w:r>
    </w:p>
    <w:p>
      <w:pPr>
        <w:pStyle w:val="Normal"/>
        <w:rPr/>
      </w:pPr>
      <w:r>
        <w:rPr/>
      </w:r>
    </w:p>
    <w:p>
      <w:pPr>
        <w:pStyle w:val="Normal"/>
        <w:rPr/>
      </w:pPr>
      <w:r>
        <w:rPr>
          <w:i/>
          <w:u w:val="single"/>
        </w:rPr>
        <w:t>Annex 9: Safety Considerations With Embedded Technology</w:t>
      </w:r>
      <w:r>
        <w:rPr/>
        <w:t xml:space="preserve"> covers the topics of data classification and handling in greater detail.</w:t>
      </w:r>
    </w:p>
    <w:p>
      <w:pPr>
        <w:pStyle w:val="Normal"/>
        <w:rPr/>
      </w:pPr>
      <w:r>
        <w:rPr/>
      </w:r>
    </w:p>
    <w:p>
      <w:pPr>
        <w:pStyle w:val="Normal"/>
        <w:rPr>
          <w:rFonts w:eastAsia="Calibri" w:cs="Calibri"/>
          <w:b/>
          <w:b/>
          <w:bCs w:val="false"/>
          <w:smallCaps/>
          <w:sz w:val="24"/>
        </w:rPr>
      </w:pPr>
      <w:r>
        <w:rPr>
          <w:rFonts w:eastAsia="Calibri" w:cs="Calibri"/>
          <w:b/>
          <w:bCs w:val="false"/>
          <w:smallCaps/>
          <w:sz w:val="24"/>
        </w:rPr>
      </w:r>
      <w:r>
        <w:br w:type="page"/>
      </w:r>
    </w:p>
    <w:p>
      <w:pPr>
        <w:pStyle w:val="Heading1"/>
        <w:rPr/>
      </w:pPr>
      <w:bookmarkStart w:id="773" w:name="_Toc34920804"/>
      <w:bookmarkStart w:id="774" w:name="_Toc474074967"/>
      <w:bookmarkStart w:id="775" w:name="_Toc474075619"/>
      <w:r>
        <w:rPr/>
        <w:t>Endpoint Security (END)</w:t>
      </w:r>
      <w:bookmarkEnd w:id="774"/>
      <w:bookmarkEnd w:id="775"/>
      <w:r>
        <w:rPr/>
        <w:t xml:space="preserve"> Policy &amp; Standards</w:t>
      </w:r>
      <w:bookmarkEnd w:id="773"/>
    </w:p>
    <w:p>
      <w:pPr>
        <w:pStyle w:val="Normal"/>
        <w:rPr>
          <w:u w:val="single"/>
        </w:rPr>
      </w:pPr>
      <w:r>
        <w:rPr>
          <w:u w:val="single"/>
        </w:rPr>
      </w:r>
    </w:p>
    <w:p>
      <w:pPr>
        <w:pStyle w:val="Normal"/>
        <w:rPr/>
      </w:pPr>
      <w:r>
        <w:rPr>
          <w:u w:val="single"/>
        </w:rPr>
        <w:t>Management Intent</w:t>
      </w:r>
      <w:r>
        <w:rPr/>
        <w:t>: The purpose of the Endpoint Security (END) policy is to ensure that endpoint devices are appropriately protected from reasonable threats to the confidentiality, integrity, availability and safety of the device and its data. Applicable statutory, regulatory and contractual compliance obligations dictate the safeguards that must be in place to protect the confidentiality, integrity, availability and safety considerations.</w:t>
      </w:r>
    </w:p>
    <w:p>
      <w:pPr>
        <w:pStyle w:val="Normal"/>
        <w:rPr/>
      </w:pPr>
      <w:r>
        <w:rPr/>
      </w:r>
    </w:p>
    <w:p>
      <w:pPr>
        <w:pStyle w:val="Normal"/>
        <w:shd w:val="clear" w:color="auto" w:fill="DDD9C3" w:themeFill="background2" w:themeFillShade="e6"/>
        <w:rPr/>
      </w:pPr>
      <w:r>
        <w:rPr>
          <w:u w:val="single"/>
        </w:rPr>
        <w:t>Policy</w:t>
      </w:r>
      <w:r>
        <w:rPr/>
        <w:t>: NFCC shall implement the concept of “least functionality” for its technology endpoints and proactively govern security mechanisms to keep its technology assets secure from evolving threats.</w:t>
      </w:r>
      <w:r>
        <w:rPr>
          <w:rStyle w:val="FootnoteCharacters"/>
        </w:rPr>
        <w:t xml:space="preserve"> </w:t>
      </w:r>
    </w:p>
    <w:p>
      <w:pPr>
        <w:pStyle w:val="Normal"/>
        <w:rPr/>
      </w:pPr>
      <w:r>
        <w:rPr/>
      </w:r>
    </w:p>
    <w:p>
      <w:pPr>
        <w:pStyle w:val="Normal"/>
        <w:rPr/>
      </w:pPr>
      <w:r>
        <w:rPr>
          <w:u w:val="single"/>
        </w:rPr>
        <w:t>Supporting Documentation</w:t>
      </w:r>
      <w:r>
        <w:rPr/>
        <w:t xml:space="preserve">: This policy is supported by the following control objectives, standards and guidelines. </w:t>
      </w:r>
    </w:p>
    <w:p>
      <w:pPr>
        <w:pStyle w:val="Normal"/>
        <w:rPr/>
      </w:pPr>
      <w:r>
        <w:rPr/>
      </w:r>
    </w:p>
    <w:p>
      <w:pPr>
        <w:pStyle w:val="Normal"/>
        <w:rPr/>
      </w:pPr>
      <w:r>
        <w:rPr/>
      </w:r>
    </w:p>
    <w:p>
      <w:pPr>
        <w:pStyle w:val="Heading2"/>
        <w:rPr/>
      </w:pPr>
      <w:bookmarkStart w:id="776" w:name="_Toc474074968"/>
      <w:bookmarkStart w:id="777" w:name="_Toc474075620"/>
      <w:bookmarkStart w:id="778" w:name="_Toc34920805"/>
      <w:r>
        <w:rPr/>
        <w:t>END-01: Endpoint Security</w:t>
      </w:r>
      <w:bookmarkEnd w:id="776"/>
      <w:bookmarkEnd w:id="777"/>
      <w:bookmarkEnd w:id="778"/>
      <w:r>
        <w:rPr/>
        <w:t xml:space="preserve"> </w:t>
      </w:r>
    </w:p>
    <w:p>
      <w:pPr>
        <w:pStyle w:val="Normal"/>
        <w:rPr/>
      </w:pPr>
      <w:r>
        <w:rPr>
          <w:u w:val="single"/>
        </w:rPr>
        <w:t>Control Objective</w:t>
      </w:r>
      <w:r>
        <w:rPr/>
        <w:t>: The organization implements appropriate protective measures to secure workstations and periphery devices.</w:t>
      </w:r>
      <w:r>
        <w:rPr>
          <w:rStyle w:val="FootnoteAnchor"/>
          <w:rStyle w:val="FootnoteAnchor"/>
          <w:rFonts w:cs="Calibri"/>
        </w:rPr>
        <w:footnoteReference w:id="235"/>
      </w:r>
    </w:p>
    <w:p>
      <w:pPr>
        <w:pStyle w:val="Normal"/>
        <w:rPr/>
      </w:pPr>
      <w:r>
        <w:rPr/>
        <w:t xml:space="preserve"> </w:t>
      </w:r>
    </w:p>
    <w:p>
      <w:pPr>
        <w:pStyle w:val="Normal"/>
        <w:rPr/>
      </w:pPr>
      <w:r>
        <w:rPr>
          <w:rFonts w:cs="Calibri"/>
          <w:u w:val="single"/>
        </w:rPr>
        <w:t>Standard</w:t>
      </w:r>
      <w:r>
        <w:rPr>
          <w:rFonts w:cs="Calibri"/>
        </w:rPr>
        <w:t xml:space="preserve">: NFCC </w:t>
      </w:r>
      <w:r>
        <w:rPr/>
        <w:t>requires the following workplace security precautions to protect workstations and periphery assets:</w:t>
      </w:r>
    </w:p>
    <w:p>
      <w:pPr>
        <w:pStyle w:val="ListParagraph"/>
        <w:numPr>
          <w:ilvl w:val="0"/>
          <w:numId w:val="319"/>
        </w:numPr>
        <w:rPr/>
      </w:pPr>
      <w:r>
        <w:rPr/>
        <w:t>User computing sessions must be disabled after an established period of inactivity;</w:t>
      </w:r>
    </w:p>
    <w:p>
      <w:pPr>
        <w:pStyle w:val="ListParagraph"/>
        <w:numPr>
          <w:ilvl w:val="0"/>
          <w:numId w:val="319"/>
        </w:numPr>
        <w:rPr/>
      </w:pPr>
      <w:r>
        <w:rPr/>
        <w:t>Physical media must be properly disposed of, in accordance with document destruction policies;</w:t>
      </w:r>
    </w:p>
    <w:p>
      <w:pPr>
        <w:pStyle w:val="ListParagraph"/>
        <w:numPr>
          <w:ilvl w:val="0"/>
          <w:numId w:val="319"/>
        </w:numPr>
        <w:rPr/>
      </w:pPr>
      <w:r>
        <w:rPr/>
        <w:t>All work areas must be cleared of all media containing sensitive data when not occupied;</w:t>
      </w:r>
    </w:p>
    <w:p>
      <w:pPr>
        <w:pStyle w:val="ListParagraph"/>
        <w:numPr>
          <w:ilvl w:val="0"/>
          <w:numId w:val="319"/>
        </w:numPr>
        <w:rPr/>
      </w:pPr>
      <w:r>
        <w:rPr/>
        <w:t>Filing cabinets, lockable drawers / overhead cabinets, storage rooms and any other storage unit containing sensitive data will be locked when not in use; and</w:t>
      </w:r>
    </w:p>
    <w:p>
      <w:pPr>
        <w:pStyle w:val="ListParagraph"/>
        <w:numPr>
          <w:ilvl w:val="0"/>
          <w:numId w:val="319"/>
        </w:numPr>
        <w:rPr/>
      </w:pPr>
      <w:r>
        <w:rPr/>
        <w:t>Whiteboards, dry-erase boards, cork boards, writing tablets and similar common shared work areas will be sanitized (e.g., erased, removed or shredded) when not in use.</w:t>
      </w:r>
    </w:p>
    <w:p>
      <w:pPr>
        <w:pStyle w:val="Normal"/>
        <w:rPr/>
      </w:pPr>
      <w:r>
        <w:rPr/>
      </w:r>
    </w:p>
    <w:p>
      <w:pPr>
        <w:pStyle w:val="Normal"/>
        <w:rPr/>
      </w:pPr>
      <w:r>
        <w:rPr>
          <w:u w:val="single"/>
        </w:rPr>
        <w:t>Guidelines</w:t>
      </w:r>
      <w:r>
        <w:rPr/>
        <w:t>: Physical security zones should be used to determine which areas are more vulnerable to unauthorized use, theft or viewing of data and appropriate physical safeguards should be implemented.</w:t>
      </w:r>
    </w:p>
    <w:p>
      <w:pPr>
        <w:pStyle w:val="Normal"/>
        <w:rPr/>
      </w:pPr>
      <w:r>
        <w:rPr/>
      </w:r>
    </w:p>
    <w:p>
      <w:pPr>
        <w:pStyle w:val="Normal"/>
        <w:rPr/>
      </w:pPr>
      <w:r>
        <w:rPr/>
      </w:r>
    </w:p>
    <w:p>
      <w:pPr>
        <w:pStyle w:val="Heading2"/>
        <w:rPr/>
      </w:pPr>
      <w:bookmarkStart w:id="779" w:name="_Toc474074969"/>
      <w:bookmarkStart w:id="780" w:name="_Toc474075621"/>
      <w:bookmarkStart w:id="781" w:name="_Toc34920806"/>
      <w:r>
        <w:rPr/>
        <w:t>END-02: Endpoint Protection Measures</w:t>
      </w:r>
      <w:bookmarkEnd w:id="779"/>
      <w:bookmarkEnd w:id="780"/>
      <w:bookmarkEnd w:id="781"/>
      <w:r>
        <w:rPr/>
        <w:t xml:space="preserve"> </w:t>
      </w:r>
    </w:p>
    <w:p>
      <w:pPr>
        <w:pStyle w:val="Normal"/>
        <w:rPr/>
      </w:pPr>
      <w:r>
        <w:rPr>
          <w:u w:val="single"/>
        </w:rPr>
        <w:t>Control Objective</w:t>
      </w:r>
      <w:r>
        <w:rPr/>
        <w:t>: The organization protects the confidentiality, integrity, availability and safety of endpoint devices.</w:t>
      </w:r>
      <w:r>
        <w:rPr>
          <w:rStyle w:val="FootnoteAnchor"/>
          <w:rStyle w:val="FootnoteAnchor"/>
          <w:rFonts w:cs="Calibri"/>
        </w:rPr>
        <w:footnoteReference w:id="236"/>
      </w:r>
    </w:p>
    <w:p>
      <w:pPr>
        <w:pStyle w:val="Normal"/>
        <w:rPr/>
      </w:pPr>
      <w:r>
        <w:rPr/>
      </w:r>
    </w:p>
    <w:p>
      <w:pPr>
        <w:pStyle w:val="Normal"/>
        <w:rPr/>
      </w:pPr>
      <w:r>
        <w:rPr>
          <w:u w:val="single"/>
        </w:rPr>
        <w:t>Standard</w:t>
      </w:r>
      <w:r>
        <w:rPr/>
        <w:t>: Data/process owners and asset custodians are required to protect the confidentiality, integrity, availability and safety of endpoint devices by:</w:t>
      </w:r>
    </w:p>
    <w:p>
      <w:pPr>
        <w:pStyle w:val="ListParagraph"/>
        <w:numPr>
          <w:ilvl w:val="0"/>
          <w:numId w:val="320"/>
        </w:numPr>
        <w:rPr/>
      </w:pPr>
      <w:r>
        <w:rPr/>
        <w:t>Restricting logical and physical access to authorized users;</w:t>
      </w:r>
    </w:p>
    <w:p>
      <w:pPr>
        <w:pStyle w:val="ListParagraph"/>
        <w:numPr>
          <w:ilvl w:val="0"/>
          <w:numId w:val="320"/>
        </w:numPr>
        <w:rPr/>
      </w:pPr>
      <w:r>
        <w:rPr/>
        <w:t xml:space="preserve">Employing cryptographic mechanisms to prevent unauthorized disclosure and modification of information at rest unless otherwise protected by alternative physical measures. </w:t>
      </w:r>
    </w:p>
    <w:p>
      <w:pPr>
        <w:pStyle w:val="ListParagraph"/>
        <w:numPr>
          <w:ilvl w:val="1"/>
          <w:numId w:val="320"/>
        </w:numPr>
        <w:rPr/>
      </w:pPr>
      <w:r>
        <w:rPr/>
        <w:t>If disk encryption is used (rather than file- or column-level database encryption), logical access must be managed independently of native operating system access control mechanisms (for example, by not using local user account databases);</w:t>
      </w:r>
    </w:p>
    <w:p>
      <w:pPr>
        <w:pStyle w:val="ListParagraph"/>
        <w:numPr>
          <w:ilvl w:val="0"/>
          <w:numId w:val="320"/>
        </w:numPr>
        <w:rPr/>
      </w:pPr>
      <w:r>
        <w:rPr/>
        <w:t>Rendering sensitive data unreadable anywhere it is stored; and</w:t>
      </w:r>
    </w:p>
    <w:p>
      <w:pPr>
        <w:pStyle w:val="ListParagraph"/>
        <w:numPr>
          <w:ilvl w:val="0"/>
          <w:numId w:val="320"/>
        </w:numPr>
        <w:rPr>
          <w:u w:val="single"/>
        </w:rPr>
      </w:pPr>
      <w:r>
        <w:rPr/>
        <w:t>Not tying user accounts to decryption keys.</w:t>
      </w:r>
    </w:p>
    <w:p>
      <w:pPr>
        <w:pStyle w:val="Normal"/>
        <w:rPr/>
      </w:pPr>
      <w:r>
        <w:rPr/>
      </w:r>
    </w:p>
    <w:p>
      <w:pPr>
        <w:pStyle w:val="Normal"/>
        <w:rPr/>
      </w:pPr>
      <w:r>
        <w:rPr>
          <w:u w:val="single"/>
        </w:rPr>
        <w:t>Guidelines</w:t>
      </w:r>
      <w:r>
        <w:rPr/>
        <w:t xml:space="preserve">: This standard addresses the protection of assets and data. Information at rest refers to the state of information when it is located on storage devices as specific components of systems. Organizations may employ different mechanisms to achieve confidentiality and integrity protections. </w:t>
      </w:r>
    </w:p>
    <w:p>
      <w:pPr>
        <w:pStyle w:val="Normal"/>
        <w:rPr/>
      </w:pPr>
      <w:r>
        <w:rPr/>
      </w:r>
    </w:p>
    <w:p>
      <w:pPr>
        <w:pStyle w:val="Normal"/>
        <w:rPr/>
      </w:pPr>
      <w:r>
        <w:rPr/>
      </w:r>
    </w:p>
    <w:p>
      <w:pPr>
        <w:pStyle w:val="Heading2"/>
        <w:rPr/>
      </w:pPr>
      <w:bookmarkStart w:id="782" w:name="_Toc34920807"/>
      <w:bookmarkStart w:id="783" w:name="_Toc474074970"/>
      <w:bookmarkStart w:id="784" w:name="_Toc474075622"/>
      <w:r>
        <w:rPr/>
        <w:t xml:space="preserve">END-03: </w:t>
      </w:r>
      <w:bookmarkEnd w:id="783"/>
      <w:bookmarkEnd w:id="784"/>
      <w:r>
        <w:rPr/>
        <w:t>Prohibit Installation Without Privileged Status</w:t>
      </w:r>
      <w:bookmarkEnd w:id="782"/>
    </w:p>
    <w:p>
      <w:pPr>
        <w:pStyle w:val="Normal"/>
        <w:rPr/>
      </w:pPr>
      <w:r>
        <w:rPr>
          <w:u w:val="single"/>
        </w:rPr>
        <w:t>Control Objective</w:t>
      </w:r>
      <w:r>
        <w:rPr/>
        <w:t>: The organization enforces explicit rules governing the installation of software by non-privileged users.</w:t>
      </w:r>
      <w:r>
        <w:rPr>
          <w:rStyle w:val="FootnoteAnchor"/>
          <w:rStyle w:val="FootnoteAnchor"/>
          <w:rFonts w:cs="Calibri"/>
        </w:rPr>
        <w:footnoteReference w:id="237"/>
      </w:r>
    </w:p>
    <w:p>
      <w:pPr>
        <w:pStyle w:val="Normal"/>
        <w:rPr/>
      </w:pPr>
      <w:r>
        <w:rPr/>
      </w:r>
    </w:p>
    <w:p>
      <w:pPr>
        <w:pStyle w:val="Normal"/>
        <w:rPr/>
      </w:pPr>
      <w:r>
        <w:rPr>
          <w:u w:val="single"/>
        </w:rPr>
        <w:t>Standard</w:t>
      </w:r>
      <w:r>
        <w:rPr/>
        <w:t>: Software installation is permitted only by authorized system administrators.</w:t>
      </w:r>
    </w:p>
    <w:p>
      <w:pPr>
        <w:pStyle w:val="Normal"/>
        <w:rPr/>
      </w:pPr>
      <w:r>
        <w:rPr/>
      </w:r>
    </w:p>
    <w:p>
      <w:pPr>
        <w:pStyle w:val="Normal"/>
        <w:rPr>
          <w:u w:val="single"/>
        </w:rPr>
      </w:pPr>
      <w:r>
        <w:rPr>
          <w:u w:val="single"/>
        </w:rPr>
        <w:t>Guidelines</w:t>
      </w:r>
      <w:r>
        <w:rPr/>
        <w:t>: If provided the necessary privileges, users may have the ability to install software in organizational systems. However, to maintain control over the types of software installed, NFCC has identified permitted and prohibited software installations. Permitted software installations may include, for example, updates and security patches to existing software. Prohibited software installations may include, for example, software with unknown or suspect software that NFCC considers potentially malicious.</w:t>
      </w:r>
    </w:p>
    <w:p>
      <w:pPr>
        <w:pStyle w:val="Normal"/>
        <w:rPr/>
      </w:pPr>
      <w:r>
        <w:rPr/>
      </w:r>
    </w:p>
    <w:p>
      <w:pPr>
        <w:pStyle w:val="Heading3"/>
        <w:rPr/>
      </w:pPr>
      <w:bookmarkStart w:id="785" w:name="_Toc474074971"/>
      <w:bookmarkStart w:id="786" w:name="_Toc34920808"/>
      <w:r>
        <w:rPr/>
        <w:t>END-03(a): Prohibit Installation Without Privileged Status | Unauthorized Installation Alerts</w:t>
      </w:r>
      <w:bookmarkEnd w:id="785"/>
      <w:bookmarkEnd w:id="786"/>
      <w:r>
        <w:rPr/>
        <w:t xml:space="preserve"> </w:t>
      </w:r>
    </w:p>
    <w:p>
      <w:pPr>
        <w:pStyle w:val="Normal"/>
        <w:rPr/>
      </w:pPr>
      <w:r>
        <w:rPr>
          <w:u w:val="single"/>
        </w:rPr>
        <w:t>Control Objective</w:t>
      </w:r>
      <w:r>
        <w:rPr/>
        <w:t>: Systems alert personnel or roles when the unauthorized installation of software is detected.</w:t>
      </w:r>
      <w:r>
        <w:rPr>
          <w:rStyle w:val="FootnoteAnchor"/>
          <w:rStyle w:val="FootnoteAnchor"/>
        </w:rPr>
        <w:footnoteReference w:id="238"/>
      </w:r>
    </w:p>
    <w:p>
      <w:pPr>
        <w:pStyle w:val="Normal"/>
        <w:rPr/>
      </w:pPr>
      <w:r>
        <w:rPr/>
      </w:r>
    </w:p>
    <w:p>
      <w:pPr>
        <w:pStyle w:val="Normal"/>
        <w:rPr/>
      </w:pPr>
      <w:r>
        <w:rPr>
          <w:u w:val="single"/>
        </w:rPr>
        <w:t>Standard</w:t>
      </w:r>
      <w:r>
        <w:rPr/>
        <w:t>: Where technically feasible, alerting is required to be configured to notify appropriate asset custodians or cybersecurity personnel when the unauthorized installation of software is detected.</w:t>
      </w:r>
    </w:p>
    <w:p>
      <w:pPr>
        <w:pStyle w:val="ListParagraph"/>
        <w:rPr/>
      </w:pPr>
      <w:r>
        <w:rPr/>
      </w:r>
    </w:p>
    <w:p>
      <w:pPr>
        <w:pStyle w:val="Normal"/>
        <w:rPr/>
      </w:pPr>
      <w:r>
        <w:rPr>
          <w:u w:val="single"/>
        </w:rPr>
        <w:t>Guidelines</w:t>
      </w:r>
      <w:r>
        <w:rPr/>
        <w:t>: Configuration of laptops, workstations and servers should prevent auto-run content from removable media, like USB tokens (e.g., “thumb drives”), USB hard drives, CDs / DVDs, FireWire devices, external serial advanced technology attachment devices and mounted network shares. Additionally, systems should be configured so that they automatically conduct an anti-malware scan of removable media when inserted.</w:t>
      </w:r>
    </w:p>
    <w:p>
      <w:pPr>
        <w:pStyle w:val="Normal"/>
        <w:rPr/>
      </w:pPr>
      <w:r>
        <w:rPr/>
      </w:r>
    </w:p>
    <w:p>
      <w:pPr>
        <w:pStyle w:val="Heading3"/>
        <w:rPr/>
      </w:pPr>
      <w:bookmarkStart w:id="787" w:name="_Toc474074973"/>
      <w:bookmarkStart w:id="788" w:name="_Toc34920809"/>
      <w:r>
        <w:rPr/>
        <w:t>END-03(b): Prohibit Installation Without Privileged Status | Access Restriction for Change</w:t>
      </w:r>
      <w:bookmarkEnd w:id="787"/>
      <w:bookmarkEnd w:id="788"/>
    </w:p>
    <w:p>
      <w:pPr>
        <w:pStyle w:val="Normal"/>
        <w:rPr/>
      </w:pPr>
      <w:r>
        <w:rPr>
          <w:u w:val="single"/>
        </w:rPr>
        <w:t>Control Objective</w:t>
      </w:r>
      <w:r>
        <w:rPr/>
        <w:t>: The organization maintains formal change control procedures to govern the installation of software on operational systems.</w:t>
      </w:r>
      <w:r>
        <w:rPr>
          <w:rStyle w:val="FootnoteAnchor"/>
          <w:rStyle w:val="FootnoteAnchor"/>
          <w:rFonts w:cs="Calibri"/>
        </w:rPr>
        <w:footnoteReference w:id="239"/>
      </w:r>
      <w:r>
        <w:rPr>
          <w:rFonts w:cs="Calibri"/>
        </w:rPr>
        <w:t xml:space="preserve"> </w:t>
      </w:r>
    </w:p>
    <w:p>
      <w:pPr>
        <w:pStyle w:val="Normal"/>
        <w:rPr/>
      </w:pPr>
      <w:r>
        <w:rPr/>
      </w:r>
    </w:p>
    <w:p>
      <w:pPr>
        <w:pStyle w:val="Normal"/>
        <w:rPr/>
      </w:pPr>
      <w:r>
        <w:rPr>
          <w:u w:val="single"/>
        </w:rPr>
        <w:t>Standard</w:t>
      </w:r>
      <w:r>
        <w:rPr/>
        <w:t xml:space="preserve">: Asset custodians are required to configure systems to prevent the installation of software and hardware components by non-administrators through limiting the actions that users are capable of performing. </w:t>
      </w:r>
    </w:p>
    <w:p>
      <w:pPr>
        <w:pStyle w:val="Normal"/>
        <w:rPr/>
      </w:pPr>
      <w:r>
        <w:rPr/>
      </w:r>
    </w:p>
    <w:p>
      <w:pPr>
        <w:pStyle w:val="Normal"/>
        <w:rPr/>
      </w:pPr>
      <w:r>
        <w:rPr>
          <w:u w:val="single"/>
        </w:rPr>
        <w:t>Guidelines</w:t>
      </w:r>
      <w:r>
        <w:rPr/>
        <w:t>: The objective is to ensure the integrity of operational systems. Any changes to the hardware, software and / or firmware components of systems can potentially have significant effects on the overall security of the systems. Therefore, NFCC permits only qualified and authorized individuals to access systems for purposes of initiating changes, including upgrades and modifications.</w:t>
      </w:r>
    </w:p>
    <w:p>
      <w:pPr>
        <w:pStyle w:val="Normal"/>
        <w:rPr/>
      </w:pPr>
      <w:r>
        <w:rPr/>
      </w:r>
    </w:p>
    <w:p>
      <w:pPr>
        <w:pStyle w:val="Normal"/>
        <w:rPr/>
      </w:pPr>
      <w:r>
        <w:rPr/>
      </w:r>
    </w:p>
    <w:p>
      <w:pPr>
        <w:pStyle w:val="Heading2"/>
        <w:rPr/>
      </w:pPr>
      <w:bookmarkStart w:id="789" w:name="_Toc474074974"/>
      <w:bookmarkStart w:id="790" w:name="_Toc474075623"/>
      <w:bookmarkStart w:id="791" w:name="_Toc34920810"/>
      <w:r>
        <w:rPr/>
        <w:t>END-04: Malicious Code Protection (Anti-Malware)</w:t>
      </w:r>
      <w:bookmarkEnd w:id="789"/>
      <w:bookmarkEnd w:id="790"/>
      <w:bookmarkEnd w:id="791"/>
    </w:p>
    <w:p>
      <w:pPr>
        <w:pStyle w:val="Normal"/>
        <w:rPr/>
      </w:pPr>
      <w:r>
        <w:rPr>
          <w:u w:val="single"/>
        </w:rPr>
        <w:t>Control Objective</w:t>
      </w:r>
      <w:r>
        <w:rPr/>
        <w:t>: The organization:</w:t>
      </w:r>
      <w:r>
        <w:rPr>
          <w:rStyle w:val="FootnoteCharacters"/>
          <w:rFonts w:cs="Calibri"/>
        </w:rPr>
        <w:t xml:space="preserve"> </w:t>
      </w:r>
      <w:r>
        <w:rPr>
          <w:rStyle w:val="FootnoteAnchor"/>
          <w:rStyle w:val="FootnoteAnchor"/>
          <w:rFonts w:cs="Calibri"/>
        </w:rPr>
        <w:footnoteReference w:id="240"/>
      </w:r>
    </w:p>
    <w:p>
      <w:pPr>
        <w:pStyle w:val="ListParagraph"/>
        <w:numPr>
          <w:ilvl w:val="0"/>
          <w:numId w:val="71"/>
        </w:numPr>
        <w:rPr/>
      </w:pPr>
      <w:r>
        <w:rPr/>
        <w:t>Employs malicious code protection mechanisms at system entry and exit points and at workstations, servers or mobile computing devices on the network to detect and eradicate malicious code:</w:t>
      </w:r>
    </w:p>
    <w:p>
      <w:pPr>
        <w:pStyle w:val="ListParagraph"/>
        <w:numPr>
          <w:ilvl w:val="1"/>
          <w:numId w:val="71"/>
        </w:numPr>
        <w:rPr/>
      </w:pPr>
      <w:r>
        <w:rPr/>
        <w:t>Transported by electronic mail, electronic mail attachments, web accesses, removable media or other common means; or</w:t>
      </w:r>
    </w:p>
    <w:p>
      <w:pPr>
        <w:pStyle w:val="ListParagraph"/>
        <w:numPr>
          <w:ilvl w:val="1"/>
          <w:numId w:val="71"/>
        </w:numPr>
        <w:rPr/>
      </w:pPr>
      <w:r>
        <w:rPr/>
        <w:t>Inserted through the exploitation of system vulnerabilities;</w:t>
      </w:r>
    </w:p>
    <w:p>
      <w:pPr>
        <w:pStyle w:val="ListParagraph"/>
        <w:numPr>
          <w:ilvl w:val="0"/>
          <w:numId w:val="71"/>
        </w:numPr>
        <w:rPr/>
      </w:pPr>
      <w:r>
        <w:rPr/>
        <w:t>Updates malicious code protection mechanisms (including signature definitions) whenever new releases are available in accordance with organizational configuration management policy and procedures;</w:t>
      </w:r>
    </w:p>
    <w:p>
      <w:pPr>
        <w:pStyle w:val="ListParagraph"/>
        <w:numPr>
          <w:ilvl w:val="0"/>
          <w:numId w:val="71"/>
        </w:numPr>
        <w:rPr/>
      </w:pPr>
      <w:r>
        <w:rPr/>
        <w:t>Configures malicious code protection mechanisms to:</w:t>
      </w:r>
    </w:p>
    <w:p>
      <w:pPr>
        <w:pStyle w:val="ListParagraph"/>
        <w:numPr>
          <w:ilvl w:val="1"/>
          <w:numId w:val="71"/>
        </w:numPr>
        <w:rPr/>
      </w:pPr>
      <w:r>
        <w:rPr/>
        <w:t xml:space="preserve">Perform periodic scans of the system and real-time scans of files from external sources as the files are downloaded, opened or executed in accordance with organizational security policy; </w:t>
      </w:r>
    </w:p>
    <w:p>
      <w:pPr>
        <w:pStyle w:val="ListParagraph"/>
        <w:numPr>
          <w:ilvl w:val="1"/>
          <w:numId w:val="71"/>
        </w:numPr>
        <w:rPr/>
      </w:pPr>
      <w:r>
        <w:rPr/>
        <w:t>Quarantines malicious code; send alert to an administrator; in response to malicious code detection; and</w:t>
      </w:r>
    </w:p>
    <w:p>
      <w:pPr>
        <w:pStyle w:val="ListParagraph"/>
        <w:numPr>
          <w:ilvl w:val="0"/>
          <w:numId w:val="71"/>
        </w:numPr>
        <w:rPr/>
      </w:pPr>
      <w:r>
        <w:rPr/>
        <w:t>Addresses the receipt of false positives during malicious code detection.</w:t>
      </w:r>
    </w:p>
    <w:p>
      <w:pPr>
        <w:pStyle w:val="Normal"/>
        <w:rPr/>
      </w:pPr>
      <w:r>
        <w:rPr/>
      </w:r>
    </w:p>
    <w:p>
      <w:pPr>
        <w:pStyle w:val="Normal"/>
        <w:rPr/>
      </w:pPr>
      <w:r>
        <w:rPr>
          <w:u w:val="single"/>
        </w:rPr>
        <w:t>Standard</w:t>
      </w:r>
      <w:r>
        <w:rPr/>
        <w:t>: Asset custodians are required to</w:t>
      </w:r>
      <w:r>
        <w:rPr>
          <w:rFonts w:cs="Calibri"/>
        </w:rPr>
        <w:t>:</w:t>
      </w:r>
    </w:p>
    <w:p>
      <w:pPr>
        <w:pStyle w:val="ListParagraph"/>
        <w:numPr>
          <w:ilvl w:val="0"/>
          <w:numId w:val="321"/>
        </w:numPr>
        <w:rPr/>
      </w:pPr>
      <w:r>
        <w:rPr/>
        <w:t>Deploy the NFCC-approved anti-malware software on all systems capable of running anti-malware software, including, but not limited to:</w:t>
      </w:r>
      <w:r>
        <w:rPr>
          <w:rStyle w:val="FootnoteCharacters"/>
          <w:rFonts w:cs="Calibri"/>
        </w:rPr>
        <w:t xml:space="preserve"> </w:t>
      </w:r>
    </w:p>
    <w:p>
      <w:pPr>
        <w:pStyle w:val="ListParagraph"/>
        <w:numPr>
          <w:ilvl w:val="1"/>
          <w:numId w:val="321"/>
        </w:numPr>
        <w:rPr/>
      </w:pPr>
      <w:r>
        <w:rPr/>
        <w:t>Workstations;</w:t>
      </w:r>
    </w:p>
    <w:p>
      <w:pPr>
        <w:pStyle w:val="ListParagraph"/>
        <w:numPr>
          <w:ilvl w:val="1"/>
          <w:numId w:val="321"/>
        </w:numPr>
        <w:rPr/>
      </w:pPr>
      <w:r>
        <w:rPr/>
        <w:t>Servers;</w:t>
      </w:r>
    </w:p>
    <w:p>
      <w:pPr>
        <w:pStyle w:val="ListParagraph"/>
        <w:numPr>
          <w:ilvl w:val="1"/>
          <w:numId w:val="321"/>
        </w:numPr>
        <w:rPr/>
      </w:pPr>
      <w:r>
        <w:rPr/>
        <w:t xml:space="preserve">Tablets; </w:t>
      </w:r>
    </w:p>
    <w:p>
      <w:pPr>
        <w:pStyle w:val="ListParagraph"/>
        <w:numPr>
          <w:ilvl w:val="1"/>
          <w:numId w:val="321"/>
        </w:numPr>
        <w:rPr/>
      </w:pPr>
      <w:r>
        <w:rPr/>
        <w:t xml:space="preserve">Mobile phones; </w:t>
      </w:r>
    </w:p>
    <w:p>
      <w:pPr>
        <w:pStyle w:val="ListParagraph"/>
        <w:numPr>
          <w:ilvl w:val="0"/>
          <w:numId w:val="321"/>
        </w:numPr>
        <w:rPr/>
      </w:pPr>
      <w:r>
        <w:rPr/>
        <w:t>Ensure that the NFCC-approved anti-malware software is capable of detecting, removing and protecting against all known types of malware;</w:t>
      </w:r>
      <w:r>
        <w:rPr>
          <w:rStyle w:val="FootnoteCharacters"/>
          <w:rFonts w:cs="Calibri"/>
        </w:rPr>
        <w:t xml:space="preserve"> </w:t>
      </w:r>
      <w:r>
        <w:rPr/>
        <w:t>and</w:t>
      </w:r>
    </w:p>
    <w:p>
      <w:pPr>
        <w:pStyle w:val="ListParagraph"/>
        <w:numPr>
          <w:ilvl w:val="0"/>
          <w:numId w:val="321"/>
        </w:numPr>
        <w:rPr/>
      </w:pPr>
      <w:r>
        <w:rPr/>
        <w:t>Perform periodic evaluations to identify and evaluate evolving malware threats on systems considered to be not commonly affected by malware, in order to confirm whether such systems continue to not require anti-malware software.</w:t>
      </w:r>
      <w:r>
        <w:rPr>
          <w:rStyle w:val="FootnoteCharacters"/>
          <w:rFonts w:cs="Calibri"/>
        </w:rPr>
        <w:t xml:space="preserve"> </w:t>
      </w:r>
    </w:p>
    <w:p>
      <w:pPr>
        <w:pStyle w:val="Normal"/>
        <w:rPr>
          <w:u w:val="single"/>
        </w:rPr>
      </w:pPr>
      <w:r>
        <w:rPr>
          <w:u w:val="single"/>
        </w:rPr>
      </w:r>
    </w:p>
    <w:p>
      <w:pPr>
        <w:pStyle w:val="Normal"/>
        <w:rPr>
          <w:b/>
          <w:b/>
        </w:rPr>
      </w:pPr>
      <w:r>
        <w:rPr>
          <w:u w:val="single"/>
        </w:rPr>
        <w:t>Guidelines</w:t>
      </w:r>
      <w:r>
        <w:rPr/>
        <w:t>: Systems not capable of running anti-malware software should have a documented business justification as to why anti-malware software cannot be run and what compensating controls are in place to minimize the risk associated with the lack of anti-malware software on that system.</w:t>
      </w:r>
    </w:p>
    <w:p>
      <w:pPr>
        <w:pStyle w:val="Normal"/>
        <w:rPr/>
      </w:pPr>
      <w:r>
        <w:rPr/>
      </w:r>
    </w:p>
    <w:p>
      <w:pPr>
        <w:pStyle w:val="Heading3"/>
        <w:rPr/>
      </w:pPr>
      <w:bookmarkStart w:id="792" w:name="_Toc474074975"/>
      <w:bookmarkStart w:id="793" w:name="_Toc34920811"/>
      <w:r>
        <w:rPr/>
        <w:t>END-04(a): Malicious Code Protection (Anti-malware) | Automatic Updates</w:t>
      </w:r>
      <w:bookmarkEnd w:id="792"/>
      <w:bookmarkEnd w:id="793"/>
    </w:p>
    <w:p>
      <w:pPr>
        <w:pStyle w:val="Normal"/>
        <w:rPr/>
      </w:pPr>
      <w:r>
        <w:rPr>
          <w:u w:val="single"/>
        </w:rPr>
        <w:t>Control Objective</w:t>
      </w:r>
      <w:r>
        <w:rPr/>
        <w:t>: Systems automatically update malicious code protection mechanisms, including signature definitions.</w:t>
      </w:r>
      <w:r>
        <w:rPr>
          <w:rStyle w:val="FootnoteCharacters"/>
          <w:rFonts w:cs="Calibri"/>
        </w:rPr>
        <w:t xml:space="preserve"> </w:t>
      </w:r>
      <w:r>
        <w:rPr>
          <w:rStyle w:val="FootnoteAnchor"/>
          <w:rStyle w:val="FootnoteAnchor"/>
          <w:rFonts w:cs="Calibri"/>
        </w:rPr>
        <w:footnoteReference w:id="241"/>
      </w:r>
      <w:r>
        <w:rPr>
          <w:rStyle w:val="FootnoteCharacters"/>
          <w:rFonts w:cs="Calibri"/>
        </w:rPr>
        <w:t xml:space="preserve"> </w:t>
      </w:r>
    </w:p>
    <w:p>
      <w:pPr>
        <w:pStyle w:val="Normal"/>
        <w:rPr/>
      </w:pPr>
      <w:r>
        <w:rPr/>
      </w:r>
    </w:p>
    <w:p>
      <w:pPr>
        <w:pStyle w:val="Normal"/>
        <w:rPr/>
      </w:pPr>
      <w:r>
        <w:rPr>
          <w:u w:val="single"/>
        </w:rPr>
        <w:t>Standard</w:t>
      </w:r>
      <w:r>
        <w:rPr/>
        <w:t xml:space="preserve">: Asset custodians are required to configure malicious code protection mechanisms (e.g., antimalware software) to: </w:t>
      </w:r>
    </w:p>
    <w:p>
      <w:pPr>
        <w:pStyle w:val="ListParagraph"/>
        <w:numPr>
          <w:ilvl w:val="0"/>
          <w:numId w:val="322"/>
        </w:numPr>
        <w:rPr/>
      </w:pPr>
      <w:r>
        <w:rPr/>
        <w:t>Keep current with updates from the anti-malware vendor;</w:t>
      </w:r>
    </w:p>
    <w:p>
      <w:pPr>
        <w:pStyle w:val="ListParagraph"/>
        <w:numPr>
          <w:ilvl w:val="0"/>
          <w:numId w:val="322"/>
        </w:numPr>
        <w:rPr/>
      </w:pPr>
      <w:r>
        <w:rPr/>
        <w:t>Actively run on systems the anti-malware software is deployed to; and</w:t>
      </w:r>
    </w:p>
    <w:p>
      <w:pPr>
        <w:pStyle w:val="ListParagraph"/>
        <w:numPr>
          <w:ilvl w:val="0"/>
          <w:numId w:val="322"/>
        </w:numPr>
        <w:rPr/>
      </w:pPr>
      <w:r>
        <w:rPr/>
        <w:t>Generate audit logs.</w:t>
      </w:r>
    </w:p>
    <w:p>
      <w:pPr>
        <w:pStyle w:val="Normal"/>
        <w:rPr/>
      </w:pPr>
      <w:r>
        <w:rPr/>
      </w:r>
    </w:p>
    <w:p>
      <w:pPr>
        <w:pStyle w:val="Normal"/>
        <w:rPr/>
      </w:pPr>
      <w:r>
        <w:rPr>
          <w:u w:val="single"/>
        </w:rPr>
        <w:t>Guidelines</w:t>
      </w:r>
      <w:r>
        <w:rPr/>
        <w:t>: Even the best anti-malware solutions are limited in effectiveness if they are not maintained and kept current with the latest security updates, signature files or malware protections. Audit logs provide the ability to monitor virus and malware activity and anti-malware reactions. Thus, it is imperative that anti-malware solutions be configured to generate audit logs and that these logs be managed.</w:t>
      </w:r>
    </w:p>
    <w:p>
      <w:pPr>
        <w:pStyle w:val="Normal"/>
        <w:rPr/>
      </w:pPr>
      <w:r>
        <w:rPr/>
      </w:r>
    </w:p>
    <w:p>
      <w:pPr>
        <w:pStyle w:val="Heading3"/>
        <w:rPr/>
      </w:pPr>
      <w:bookmarkStart w:id="794" w:name="_Toc34920812"/>
      <w:bookmarkStart w:id="795" w:name="_Toc474074976"/>
      <w:r>
        <w:rPr/>
        <w:t xml:space="preserve">END-04(b): </w:t>
      </w:r>
      <w:bookmarkEnd w:id="795"/>
      <w:r>
        <w:rPr/>
        <w:t>Malicious Code Protection (Anti-malware) | Documented Protection Measures</w:t>
      </w:r>
      <w:bookmarkEnd w:id="794"/>
    </w:p>
    <w:p>
      <w:pPr>
        <w:pStyle w:val="Normal"/>
        <w:rPr/>
      </w:pPr>
      <w:r>
        <w:rPr>
          <w:u w:val="single"/>
        </w:rPr>
        <w:t>Control Objective</w:t>
      </w:r>
      <w:r>
        <w:rPr/>
        <w:t>: The organization ensures that security policies and operational procedures for protecting systems against malware are documented, in use and known to all affected parties.</w:t>
      </w:r>
      <w:r>
        <w:rPr>
          <w:rStyle w:val="FootnoteCharacters"/>
          <w:rFonts w:cs="Calibri"/>
        </w:rPr>
        <w:t xml:space="preserve"> </w:t>
      </w:r>
    </w:p>
    <w:p>
      <w:pPr>
        <w:pStyle w:val="Normal"/>
        <w:rPr/>
      </w:pPr>
      <w:r>
        <w:rPr/>
      </w:r>
    </w:p>
    <w:p>
      <w:pPr>
        <w:pStyle w:val="Normal"/>
        <w:rPr/>
      </w:pPr>
      <w:r>
        <w:rPr>
          <w:u w:val="single"/>
        </w:rPr>
        <w:t>Standard</w:t>
      </w:r>
      <w:r>
        <w:rPr/>
        <w:t>: Data / process owners and asset custodians are required to ensure that procedures for protecting systems against malware are kept current and disseminated to all pertinent parties.</w:t>
      </w:r>
      <w:r>
        <w:rPr>
          <w:rStyle w:val="FootnoteCharacters"/>
          <w:rFonts w:cs="Calibri"/>
        </w:rPr>
        <w:t xml:space="preserve"> </w:t>
      </w:r>
    </w:p>
    <w:p>
      <w:pPr>
        <w:pStyle w:val="Normal"/>
        <w:rPr/>
      </w:pPr>
      <w:r>
        <w:rPr/>
      </w:r>
    </w:p>
    <w:p>
      <w:pPr>
        <w:pStyle w:val="Normal"/>
        <w:rPr/>
      </w:pPr>
      <w:r>
        <w:rPr>
          <w:u w:val="single"/>
        </w:rPr>
        <w:t>Guidelines</w:t>
      </w:r>
      <w:r>
        <w:rPr/>
        <w:t>: Personnel need to be aware of and following security policies and operational procedures to ensure systems are protected from malware on a continuous basis.</w:t>
      </w:r>
    </w:p>
    <w:p>
      <w:pPr>
        <w:pStyle w:val="Normal"/>
        <w:rPr/>
      </w:pPr>
      <w:r>
        <w:rPr/>
      </w:r>
    </w:p>
    <w:p>
      <w:pPr>
        <w:pStyle w:val="Heading3"/>
        <w:rPr/>
      </w:pPr>
      <w:bookmarkStart w:id="796" w:name="_Toc474074977"/>
      <w:bookmarkStart w:id="797" w:name="_Toc34920813"/>
      <w:r>
        <w:rPr/>
        <w:t>END-04(c): Malicious Code Protection (Anti-malware) | Centralized Management</w:t>
      </w:r>
      <w:bookmarkEnd w:id="796"/>
      <w:bookmarkEnd w:id="797"/>
      <w:r>
        <w:rPr/>
        <w:t xml:space="preserve"> </w:t>
      </w:r>
    </w:p>
    <w:p>
      <w:pPr>
        <w:pStyle w:val="Normal"/>
        <w:rPr/>
      </w:pPr>
      <w:r>
        <w:rPr>
          <w:u w:val="single"/>
        </w:rPr>
        <w:t>Control Objective</w:t>
      </w:r>
      <w:r>
        <w:rPr/>
        <w:t>: The organization centrally manages malicious code protection mechanisms.</w:t>
      </w:r>
      <w:r>
        <w:rPr>
          <w:rStyle w:val="FootnoteAnchor"/>
          <w:rStyle w:val="FootnoteAnchor"/>
          <w:rFonts w:cs="Calibri"/>
        </w:rPr>
        <w:footnoteReference w:id="242"/>
      </w:r>
    </w:p>
    <w:p>
      <w:pPr>
        <w:pStyle w:val="Normal"/>
        <w:rPr/>
      </w:pPr>
      <w:r>
        <w:rPr/>
      </w:r>
    </w:p>
    <w:p>
      <w:pPr>
        <w:pStyle w:val="Normal"/>
        <w:rPr/>
      </w:pPr>
      <w:r>
        <w:rPr>
          <w:u w:val="single"/>
        </w:rPr>
        <w:t>Standard</w:t>
      </w:r>
      <w:r>
        <w:rPr/>
        <w:t>: NFCC’s cybersecurity personnel are responsible for:</w:t>
      </w:r>
    </w:p>
    <w:p>
      <w:pPr>
        <w:pStyle w:val="ListParagraph"/>
        <w:numPr>
          <w:ilvl w:val="0"/>
          <w:numId w:val="323"/>
        </w:numPr>
        <w:rPr/>
      </w:pPr>
      <w:r>
        <w:rPr/>
        <w:t>Selecting and implementing the approved application for centrally managing host-based, malicious code protection mechanisms; and</w:t>
      </w:r>
    </w:p>
    <w:p>
      <w:pPr>
        <w:pStyle w:val="ListParagraph"/>
        <w:numPr>
          <w:ilvl w:val="0"/>
          <w:numId w:val="323"/>
        </w:numPr>
        <w:rPr/>
      </w:pPr>
      <w:r>
        <w:rPr/>
        <w:t xml:space="preserve">Configuring endpoints to send real-time alerts to the centrally-managed antimalware solution. </w:t>
      </w:r>
    </w:p>
    <w:p>
      <w:pPr>
        <w:pStyle w:val="Normal"/>
        <w:rPr/>
      </w:pPr>
      <w:r>
        <w:rPr/>
      </w:r>
    </w:p>
    <w:p>
      <w:pPr>
        <w:pStyle w:val="Normal"/>
        <w:rPr>
          <w:rFonts w:cs="Calibri"/>
        </w:rPr>
      </w:pPr>
      <w:r>
        <w:rPr>
          <w:u w:val="single"/>
        </w:rPr>
        <w:t>Guidelines</w:t>
      </w:r>
      <w:r>
        <w:rPr/>
        <w:t>: A</w:t>
      </w:r>
      <w:r>
        <w:rPr>
          <w:rFonts w:cs="Calibri"/>
        </w:rPr>
        <w:t>nti-malware software that offers a centralized infrastructure compiles information on file reputations and sends updates to all machines. After applying an update, automated systems should verify that each system has received its signature update.</w:t>
      </w:r>
    </w:p>
    <w:p>
      <w:pPr>
        <w:pStyle w:val="Normal"/>
        <w:rPr/>
      </w:pPr>
      <w:r>
        <w:rPr/>
      </w:r>
    </w:p>
    <w:p>
      <w:pPr>
        <w:pStyle w:val="Heading3"/>
        <w:rPr/>
      </w:pPr>
      <w:bookmarkStart w:id="798" w:name="_Toc474074978"/>
      <w:bookmarkStart w:id="799" w:name="_Toc34920814"/>
      <w:r>
        <w:rPr/>
        <w:t>END-04(d): Malicious Code Protection (Anti-malware) | Nonsignature-Based Detection</w:t>
      </w:r>
      <w:bookmarkEnd w:id="798"/>
      <w:bookmarkEnd w:id="799"/>
    </w:p>
    <w:p>
      <w:pPr>
        <w:pStyle w:val="Normal"/>
        <w:rPr/>
      </w:pPr>
      <w:r>
        <w:rPr>
          <w:u w:val="single"/>
        </w:rPr>
        <w:t>Control Objective</w:t>
      </w:r>
      <w:r>
        <w:rPr/>
        <w:t>: Systems implement heuristic / nonsignature-based malicious code detection mechanisms.</w:t>
      </w:r>
      <w:r>
        <w:rPr>
          <w:rStyle w:val="FootnoteAnchor"/>
          <w:rStyle w:val="FootnoteAnchor"/>
          <w:rFonts w:cs="Calibri"/>
        </w:rPr>
        <w:footnoteReference w:id="243"/>
      </w:r>
    </w:p>
    <w:p>
      <w:pPr>
        <w:pStyle w:val="Normal"/>
        <w:rPr/>
      </w:pPr>
      <w:r>
        <w:rPr/>
      </w:r>
    </w:p>
    <w:p>
      <w:pPr>
        <w:pStyle w:val="Normal"/>
        <w:rPr/>
      </w:pPr>
      <w:r>
        <w:rPr>
          <w:u w:val="single"/>
        </w:rPr>
        <w:t>Standard</w:t>
      </w:r>
      <w:r>
        <w:rPr/>
        <w:t>: Where technically feasible, NFCC shall implement heuristic / nonsignature-based malicious code detection mechanisms.</w:t>
      </w:r>
    </w:p>
    <w:p>
      <w:pPr>
        <w:pStyle w:val="Normal"/>
        <w:rPr/>
      </w:pPr>
      <w:r>
        <w:rPr/>
      </w:r>
    </w:p>
    <w:p>
      <w:pPr>
        <w:pStyle w:val="Normal"/>
        <w:rPr/>
      </w:pPr>
      <w:r>
        <w:rPr>
          <w:u w:val="single"/>
        </w:rPr>
        <w:t>Guidelines</w:t>
      </w:r>
      <w:r>
        <w:rPr/>
        <w:t>: Nonsignature-based detection mechanisms include, for example, the use of heuristics to detect, analyze and describe the characteristics or behavior of malicious code and to provide safeguards against malicious code for which signatures do not yet exist or for which existing signatures may not be effective. This includes polymorphic malicious code (e.g., code that changes signatures when it replicates). This standard does not preclude the use of signature-based detection mechanisms.</w:t>
      </w:r>
    </w:p>
    <w:p>
      <w:pPr>
        <w:pStyle w:val="Normal"/>
        <w:rPr/>
      </w:pPr>
      <w:r>
        <w:rPr/>
      </w:r>
    </w:p>
    <w:p>
      <w:pPr>
        <w:pStyle w:val="Heading3"/>
        <w:rPr/>
      </w:pPr>
      <w:bookmarkStart w:id="800" w:name="_Toc474074979"/>
      <w:bookmarkStart w:id="801" w:name="_Toc34920815"/>
      <w:r>
        <w:rPr/>
        <w:t>END-04(e): Malicious Code Protection (Anti-malware) | Malware Protection Mechanism Testing</w:t>
      </w:r>
      <w:bookmarkEnd w:id="800"/>
      <w:bookmarkEnd w:id="801"/>
    </w:p>
    <w:p>
      <w:pPr>
        <w:pStyle w:val="Normal"/>
        <w:rPr/>
      </w:pPr>
      <w:r>
        <w:rPr>
          <w:u w:val="single"/>
        </w:rPr>
        <w:t>Control Objective</w:t>
      </w:r>
      <w:r>
        <w:rPr/>
        <w:t>: The organization tests malicious code protection mechanisms by introducing a known benign, non-spreading test case into the system and subsequently verifying that both detection of the test case and associated incident reporting occurs.</w:t>
      </w:r>
      <w:r>
        <w:rPr>
          <w:rStyle w:val="FootnoteAnchor"/>
          <w:rStyle w:val="FootnoteAnchor"/>
        </w:rPr>
        <w:footnoteReference w:id="244"/>
      </w:r>
    </w:p>
    <w:p>
      <w:pPr>
        <w:pStyle w:val="Normal"/>
        <w:rPr/>
      </w:pPr>
      <w:r>
        <w:rPr/>
      </w:r>
    </w:p>
    <w:p>
      <w:pPr>
        <w:pStyle w:val="Normal"/>
        <w:rPr/>
      </w:pPr>
      <w:r>
        <w:rPr>
          <w:u w:val="single"/>
        </w:rPr>
        <w:t>Standard</w:t>
      </w:r>
      <w:r>
        <w:rPr/>
        <w:t>: Asset custodians are required to use the European Institute of Computer Anti-virus Research (EICAR) Standard Anti-Virus Test File to ensure antimalware software is properly detecting and removing threats.</w:t>
      </w:r>
    </w:p>
    <w:p>
      <w:pPr>
        <w:pStyle w:val="Normal"/>
        <w:rPr/>
      </w:pPr>
      <w:r>
        <w:rPr/>
      </w:r>
    </w:p>
    <w:p>
      <w:pPr>
        <w:pStyle w:val="Normal"/>
        <w:rPr/>
      </w:pPr>
      <w:r>
        <w:rPr>
          <w:u w:val="single"/>
        </w:rPr>
        <w:t>Guidelines</w:t>
      </w:r>
      <w:r>
        <w:rPr/>
        <w:t>: Anti-malware test files from the European Institute for Computer Antivirus Research (EICAR) should be downloaded (</w:t>
      </w:r>
      <w:r>
        <w:rPr>
          <w:rStyle w:val="InternetLink"/>
          <w:rFonts w:cs="Calibri"/>
        </w:rPr>
        <w:t>https://www.eicar.org/)</w:t>
      </w:r>
      <w:r>
        <w:rPr/>
        <w:t xml:space="preserve"> and copied to either a CD / DVD or write-protected USB. </w:t>
      </w:r>
    </w:p>
    <w:p>
      <w:pPr>
        <w:pStyle w:val="ListParagraph"/>
        <w:numPr>
          <w:ilvl w:val="0"/>
          <w:numId w:val="196"/>
        </w:numPr>
        <w:rPr/>
      </w:pPr>
      <w:r>
        <w:rPr/>
        <w:t>This CD / DVD or USB should be inserted into systems to test that anti-malware software is running “on demand” scans and detects the presence of the EICAR test file; and</w:t>
      </w:r>
    </w:p>
    <w:p>
      <w:pPr>
        <w:pStyle w:val="ListParagraph"/>
        <w:numPr>
          <w:ilvl w:val="0"/>
          <w:numId w:val="196"/>
        </w:numPr>
        <w:rPr/>
      </w:pPr>
      <w:r>
        <w:rPr/>
        <w:t>Logs should be checked to verify the EICAR test file was detected and logged.</w:t>
      </w:r>
    </w:p>
    <w:p>
      <w:pPr>
        <w:pStyle w:val="Normal"/>
        <w:rPr>
          <w:rFonts w:cs="Calibri"/>
        </w:rPr>
      </w:pPr>
      <w:r>
        <w:rPr>
          <w:rFonts w:cs="Calibri"/>
        </w:rPr>
      </w:r>
    </w:p>
    <w:p>
      <w:pPr>
        <w:pStyle w:val="Heading3"/>
        <w:rPr/>
      </w:pPr>
      <w:bookmarkStart w:id="802" w:name="_Toc474074980"/>
      <w:bookmarkStart w:id="803" w:name="_Toc34920816"/>
      <w:r>
        <w:rPr/>
        <w:t>END-04(f): Malicious Code Protection (Anti-malware) | Evolving Malware Threats</w:t>
      </w:r>
      <w:bookmarkEnd w:id="802"/>
      <w:bookmarkEnd w:id="803"/>
    </w:p>
    <w:p>
      <w:pPr>
        <w:pStyle w:val="Normal"/>
        <w:rPr/>
      </w:pPr>
      <w:r>
        <w:rPr>
          <w:u w:val="single"/>
        </w:rPr>
        <w:t>Control Objective</w:t>
      </w:r>
      <w:r>
        <w:rPr/>
        <w:t>: The organization performs periodic evaluations to identify and evaluate evolving malware threats for systems considered to be not commonly affected by malicious software.</w:t>
      </w:r>
      <w:r>
        <w:rPr>
          <w:rStyle w:val="FootnoteCharacters"/>
          <w:rFonts w:cs="Calibri"/>
        </w:rPr>
        <w:t xml:space="preserve"> </w:t>
      </w:r>
    </w:p>
    <w:p>
      <w:pPr>
        <w:pStyle w:val="Normal"/>
        <w:rPr/>
      </w:pPr>
      <w:r>
        <w:rPr/>
      </w:r>
    </w:p>
    <w:p>
      <w:pPr>
        <w:pStyle w:val="Normal"/>
        <w:rPr/>
      </w:pPr>
      <w:r>
        <w:rPr>
          <w:u w:val="single"/>
        </w:rPr>
        <w:t>Standard</w:t>
      </w:r>
      <w:r>
        <w:rPr/>
        <w:t>: NFCC’s cybersecurity personnel are responsible for developing and implementing the process for periodic evaluations to identify and evaluate evolving malware threats for systems considered to be not commonly affected by malicious software.</w:t>
      </w:r>
    </w:p>
    <w:p>
      <w:pPr>
        <w:pStyle w:val="Normal"/>
        <w:rPr/>
      </w:pPr>
      <w:r>
        <w:rPr/>
      </w:r>
    </w:p>
    <w:p>
      <w:pPr>
        <w:pStyle w:val="Normal"/>
        <w:rPr/>
      </w:pPr>
      <w:r>
        <w:rPr>
          <w:u w:val="single"/>
        </w:rPr>
        <w:t>Guidelines</w:t>
      </w:r>
      <w:r>
        <w:rPr/>
        <w:t xml:space="preserve">: Typically, mainframes, mid-range computers (e.g., AS/400) and similar systems may not currently be commonly targeted or affected by malware. However, industry trends for malware can change quickly, so it is important for organizations to be aware of new malware that might affect their systems. For example, by monitoring vendor security notices and anti-malware newsgroups to determine whether their systems might be coming under threat from new and evolving malware. </w:t>
      </w:r>
    </w:p>
    <w:p>
      <w:pPr>
        <w:pStyle w:val="Normal"/>
        <w:rPr/>
      </w:pPr>
      <w:r>
        <w:rPr/>
      </w:r>
    </w:p>
    <w:p>
      <w:pPr>
        <w:pStyle w:val="Normal"/>
        <w:rPr/>
      </w:pPr>
      <w:r>
        <w:rPr/>
        <w:t>Trends in malware should be included in the identification of new security vulnerabilities and methods to address new trends should be incorporated into NFCC's configuration standards and protection mechanisms as needed.</w:t>
      </w:r>
    </w:p>
    <w:p>
      <w:pPr>
        <w:pStyle w:val="Normal"/>
        <w:rPr>
          <w:rFonts w:cs="Calibri"/>
        </w:rPr>
      </w:pPr>
      <w:r>
        <w:rPr>
          <w:rFonts w:cs="Calibri"/>
        </w:rPr>
      </w:r>
    </w:p>
    <w:p>
      <w:pPr>
        <w:pStyle w:val="Heading3"/>
        <w:rPr/>
      </w:pPr>
      <w:bookmarkStart w:id="804" w:name="_Toc474074981"/>
      <w:bookmarkStart w:id="805" w:name="_Toc34920817"/>
      <w:r>
        <w:rPr/>
        <w:t>END-04(g): Malicious Code Protection (Anti-malware) | Always On Protection</w:t>
      </w:r>
      <w:bookmarkEnd w:id="804"/>
      <w:bookmarkEnd w:id="805"/>
    </w:p>
    <w:p>
      <w:pPr>
        <w:pStyle w:val="Normal"/>
        <w:rPr/>
      </w:pPr>
      <w:r>
        <w:rPr>
          <w:u w:val="single"/>
        </w:rPr>
        <w:t>Control Objective</w:t>
      </w:r>
      <w:r>
        <w:rPr/>
        <w:t>: The organization ensures that anti-malware mechanisms are actively running and cannot be disabled or altered by users, unless specifically authorized by management on a case-by-case basis for a limited time period.</w:t>
      </w:r>
      <w:r>
        <w:rPr>
          <w:rStyle w:val="FootnoteCharacters"/>
          <w:rFonts w:cs="Calibri"/>
        </w:rPr>
        <w:t xml:space="preserve"> </w:t>
      </w:r>
    </w:p>
    <w:p>
      <w:pPr>
        <w:pStyle w:val="Normal"/>
        <w:rPr/>
      </w:pPr>
      <w:r>
        <w:rPr/>
      </w:r>
    </w:p>
    <w:p>
      <w:pPr>
        <w:pStyle w:val="Normal"/>
        <w:rPr/>
      </w:pPr>
      <w:r>
        <w:rPr>
          <w:u w:val="single"/>
        </w:rPr>
        <w:t>Standard</w:t>
      </w:r>
      <w:r>
        <w:rPr/>
        <w:t xml:space="preserve">: NFCC’s cybersecurity personnel are responsible for ensuring that anti-virus mechanisms are actively running and cannot be disabled or altered by users, unless specifically authorized by management on a case-by-case basis for a limited time period. </w:t>
      </w:r>
    </w:p>
    <w:p>
      <w:pPr>
        <w:pStyle w:val="Normal"/>
        <w:rPr/>
      </w:pPr>
      <w:r>
        <w:rPr/>
      </w:r>
    </w:p>
    <w:p>
      <w:pPr>
        <w:pStyle w:val="Normal"/>
        <w:rPr/>
      </w:pPr>
      <w:r>
        <w:rPr>
          <w:u w:val="single"/>
        </w:rPr>
        <w:t>Guidelines</w:t>
      </w:r>
      <w:r>
        <w:rPr/>
        <w:t>: Asset custodians (e.g., system administrators) are charged with developing system-specific procedures for managing antimalware software.</w:t>
      </w:r>
    </w:p>
    <w:p>
      <w:pPr>
        <w:pStyle w:val="Normal"/>
        <w:rPr/>
      </w:pPr>
      <w:r>
        <w:rPr/>
      </w:r>
    </w:p>
    <w:p>
      <w:pPr>
        <w:pStyle w:val="Normal"/>
        <w:rPr/>
      </w:pPr>
      <w:r>
        <w:rPr/>
        <w:t>Anti-virus solutions may be temporarily disabled only if there is a legitimate technical need, as authorized by management on a case-by-case basis. If anti-virus protection needs to be disabled for a specific purpose, it must be formally authorized. Additional security measures may also need to be implemented for the period of time during which anti-virus protection is not active.</w:t>
      </w:r>
    </w:p>
    <w:p>
      <w:pPr>
        <w:pStyle w:val="Normal"/>
        <w:rPr/>
      </w:pPr>
      <w:r>
        <w:rPr/>
      </w:r>
    </w:p>
    <w:p>
      <w:pPr>
        <w:pStyle w:val="Normal"/>
        <w:rPr/>
      </w:pPr>
      <w:r>
        <w:rPr/>
      </w:r>
    </w:p>
    <w:p>
      <w:pPr>
        <w:pStyle w:val="Heading2"/>
        <w:rPr/>
      </w:pPr>
      <w:bookmarkStart w:id="806" w:name="_Toc474074982"/>
      <w:bookmarkStart w:id="807" w:name="_Toc474075624"/>
      <w:bookmarkStart w:id="808" w:name="_Toc34920818"/>
      <w:r>
        <w:rPr/>
        <w:t>END-05: Software Firewall</w:t>
      </w:r>
      <w:bookmarkEnd w:id="806"/>
      <w:bookmarkEnd w:id="807"/>
      <w:bookmarkEnd w:id="808"/>
      <w:r>
        <w:rPr/>
        <w:t xml:space="preserve"> </w:t>
      </w:r>
    </w:p>
    <w:p>
      <w:pPr>
        <w:pStyle w:val="Normal"/>
        <w:rPr/>
      </w:pPr>
      <w:r>
        <w:rPr>
          <w:u w:val="single"/>
        </w:rPr>
        <w:t>Control Objective</w:t>
      </w:r>
      <w:r>
        <w:rPr/>
        <w:t>: The organization installs a software firewall on any mobile device or computers with direct connectivity to the Internet (e.g., laptops used by employees), which are used to access the organization’s network.</w:t>
      </w:r>
      <w:r>
        <w:rPr>
          <w:rStyle w:val="FootnoteCharacters"/>
          <w:rFonts w:cs="Calibri"/>
        </w:rPr>
        <w:t xml:space="preserve"> </w:t>
      </w:r>
      <w:r>
        <w:rPr>
          <w:rStyle w:val="FootnoteAnchor"/>
          <w:rStyle w:val="FootnoteAnchor"/>
          <w:rFonts w:cs="Calibri"/>
        </w:rPr>
        <w:footnoteReference w:id="245"/>
      </w:r>
    </w:p>
    <w:p>
      <w:pPr>
        <w:pStyle w:val="Normal"/>
        <w:rPr/>
      </w:pPr>
      <w:r>
        <w:rPr/>
      </w:r>
    </w:p>
    <w:p>
      <w:pPr>
        <w:pStyle w:val="Normal"/>
        <w:rPr/>
      </w:pPr>
      <w:r>
        <w:rPr>
          <w:u w:val="single"/>
        </w:rPr>
        <w:t>Standard</w:t>
      </w:r>
      <w:r>
        <w:rPr/>
        <w:t>: Asset custodians are required to install and maintain firewall software or equivalent functionality on any Internet-accessible mobile device or computer that includes, but is not limited to:</w:t>
      </w:r>
      <w:r>
        <w:rPr>
          <w:rStyle w:val="FootnoteCharacters"/>
          <w:rFonts w:cs="Calibri"/>
        </w:rPr>
        <w:t xml:space="preserve"> </w:t>
      </w:r>
    </w:p>
    <w:p>
      <w:pPr>
        <w:pStyle w:val="ListParagraph"/>
        <w:numPr>
          <w:ilvl w:val="0"/>
          <w:numId w:val="324"/>
        </w:numPr>
        <w:rPr/>
      </w:pPr>
      <w:r>
        <w:rPr/>
        <w:t xml:space="preserve">The personal firewall software must be configured by NFCC’s IT department; </w:t>
      </w:r>
    </w:p>
    <w:p>
      <w:pPr>
        <w:pStyle w:val="ListParagraph"/>
        <w:numPr>
          <w:ilvl w:val="0"/>
          <w:numId w:val="324"/>
        </w:numPr>
        <w:rPr/>
      </w:pPr>
      <w:r>
        <w:rPr/>
        <w:t>The configuration settings of the software must not be alterable by standard users; and</w:t>
      </w:r>
    </w:p>
    <w:p>
      <w:pPr>
        <w:pStyle w:val="ListParagraph"/>
        <w:numPr>
          <w:ilvl w:val="0"/>
          <w:numId w:val="324"/>
        </w:numPr>
        <w:rPr/>
      </w:pPr>
      <w:r>
        <w:rPr/>
        <w:t>Firewall configurations must include:</w:t>
      </w:r>
    </w:p>
    <w:p>
      <w:pPr>
        <w:pStyle w:val="ListParagraph"/>
        <w:numPr>
          <w:ilvl w:val="1"/>
          <w:numId w:val="324"/>
        </w:numPr>
        <w:rPr/>
      </w:pPr>
      <w:r>
        <w:rPr/>
        <w:t xml:space="preserve">Specific configuration settings are defined for personal firewall software. </w:t>
      </w:r>
    </w:p>
    <w:p>
      <w:pPr>
        <w:pStyle w:val="ListParagraph"/>
        <w:numPr>
          <w:ilvl w:val="1"/>
          <w:numId w:val="324"/>
        </w:numPr>
        <w:rPr/>
      </w:pPr>
      <w:r>
        <w:rPr/>
        <w:t>Personal firewall software is actively running.</w:t>
      </w:r>
    </w:p>
    <w:p>
      <w:pPr>
        <w:pStyle w:val="ListParagraph"/>
        <w:numPr>
          <w:ilvl w:val="1"/>
          <w:numId w:val="324"/>
        </w:numPr>
        <w:rPr/>
      </w:pPr>
      <w:r>
        <w:rPr/>
        <w:t>Personal firewall software is not alterable by users of mobile and / or employee-owned devices.</w:t>
      </w:r>
    </w:p>
    <w:p>
      <w:pPr>
        <w:pStyle w:val="Normal"/>
        <w:rPr/>
      </w:pPr>
      <w:r>
        <w:rPr/>
      </w:r>
    </w:p>
    <w:p>
      <w:pPr>
        <w:pStyle w:val="Normal"/>
        <w:rPr/>
      </w:pPr>
      <w:r>
        <w:rPr>
          <w:u w:val="single"/>
        </w:rPr>
        <w:t>Guidelines</w:t>
      </w:r>
      <w:r>
        <w:rPr/>
        <w:t>: Examples of mobile and / or employee-owned computers includes, but are not limited to:</w:t>
      </w:r>
    </w:p>
    <w:p>
      <w:pPr>
        <w:pStyle w:val="ListParagraph"/>
        <w:numPr>
          <w:ilvl w:val="0"/>
          <w:numId w:val="206"/>
        </w:numPr>
        <w:rPr/>
      </w:pPr>
      <w:r>
        <w:rPr/>
        <w:t>Laptops</w:t>
      </w:r>
    </w:p>
    <w:p>
      <w:pPr>
        <w:pStyle w:val="ListParagraph"/>
        <w:numPr>
          <w:ilvl w:val="0"/>
          <w:numId w:val="206"/>
        </w:numPr>
        <w:rPr/>
      </w:pPr>
      <w:r>
        <w:rPr/>
        <w:t>Tablets</w:t>
      </w:r>
    </w:p>
    <w:p>
      <w:pPr>
        <w:pStyle w:val="ListParagraph"/>
        <w:numPr>
          <w:ilvl w:val="0"/>
          <w:numId w:val="206"/>
        </w:numPr>
        <w:rPr/>
      </w:pPr>
      <w:r>
        <w:rPr/>
        <w:t>Smartphones</w:t>
      </w:r>
    </w:p>
    <w:p>
      <w:pPr>
        <w:pStyle w:val="Normal"/>
        <w:rPr/>
      </w:pPr>
      <w:r>
        <w:rPr/>
      </w:r>
    </w:p>
    <w:p>
      <w:pPr>
        <w:pStyle w:val="Normal"/>
        <w:rPr/>
      </w:pPr>
      <w:r>
        <w:rPr/>
        <w:t>Apply host-based firewalls or port filtering tools on end systems, with a default-deny rule that drops all traffic except those services and ports that are explicitly allowed.</w:t>
      </w:r>
    </w:p>
    <w:p>
      <w:pPr>
        <w:pStyle w:val="Normal"/>
        <w:rPr/>
      </w:pPr>
      <w:r>
        <w:rPr/>
      </w:r>
    </w:p>
    <w:p>
      <w:pPr>
        <w:pStyle w:val="Normal"/>
        <w:rPr/>
      </w:pPr>
      <w:r>
        <w:rPr/>
      </w:r>
    </w:p>
    <w:p>
      <w:pPr>
        <w:pStyle w:val="Heading2"/>
        <w:rPr/>
      </w:pPr>
      <w:bookmarkStart w:id="809" w:name="_Toc474074983"/>
      <w:bookmarkStart w:id="810" w:name="_Toc474075625"/>
      <w:bookmarkStart w:id="811" w:name="_Toc34920819"/>
      <w:r>
        <w:rPr/>
        <w:t>END-06: File Integrity Monitoring (FIM)</w:t>
      </w:r>
      <w:bookmarkEnd w:id="809"/>
      <w:bookmarkEnd w:id="810"/>
      <w:bookmarkEnd w:id="811"/>
    </w:p>
    <w:p>
      <w:pPr>
        <w:pStyle w:val="Normal"/>
        <w:rPr/>
      </w:pPr>
      <w:r>
        <w:rPr>
          <w:u w:val="single"/>
        </w:rPr>
        <w:t>Control Objective</w:t>
      </w:r>
      <w:r>
        <w:rPr/>
        <w:t>: Systems detect and report unauthorized changes to system files and configurations.</w:t>
      </w:r>
      <w:r>
        <w:rPr>
          <w:rStyle w:val="FootnoteAnchor"/>
          <w:rStyle w:val="FootnoteAnchor"/>
          <w:rFonts w:cs="Calibri"/>
        </w:rPr>
        <w:footnoteReference w:id="246"/>
      </w:r>
    </w:p>
    <w:p>
      <w:pPr>
        <w:pStyle w:val="Normal"/>
        <w:rPr/>
      </w:pPr>
      <w:r>
        <w:rPr/>
      </w:r>
    </w:p>
    <w:p>
      <w:pPr>
        <w:pStyle w:val="Normal"/>
        <w:rPr/>
      </w:pPr>
      <w:r>
        <w:rPr>
          <w:u w:val="single"/>
        </w:rPr>
        <w:t>Standard</w:t>
      </w:r>
      <w:r>
        <w:rPr/>
        <w:t>: On critical systems, asset custodians are required to:</w:t>
      </w:r>
    </w:p>
    <w:p>
      <w:pPr>
        <w:pStyle w:val="ListParagraph"/>
        <w:numPr>
          <w:ilvl w:val="0"/>
          <w:numId w:val="325"/>
        </w:numPr>
        <w:rPr/>
      </w:pPr>
      <w:r>
        <w:rPr/>
        <w:t>Deploy File Integrity Monitoring (FIM) tools to alert personnel to unauthorized modification of critical system files, configuration files or content files; and configure the software to perform critical file comparisons at least weekly;</w:t>
      </w:r>
    </w:p>
    <w:p>
      <w:pPr>
        <w:pStyle w:val="ListParagraph"/>
        <w:numPr>
          <w:ilvl w:val="0"/>
          <w:numId w:val="325"/>
        </w:numPr>
        <w:rPr/>
      </w:pPr>
      <w:r>
        <w:rPr/>
        <w:t>Verify the use of FIM tools by observing system settings and monitored files, as well as reviewing results from monitoring activities. Examples of files that should be monitored:</w:t>
      </w:r>
    </w:p>
    <w:p>
      <w:pPr>
        <w:pStyle w:val="ListParagraph"/>
        <w:numPr>
          <w:ilvl w:val="1"/>
          <w:numId w:val="325"/>
        </w:numPr>
        <w:rPr/>
      </w:pPr>
      <w:r>
        <w:rPr/>
        <w:t>System executables;</w:t>
      </w:r>
    </w:p>
    <w:p>
      <w:pPr>
        <w:pStyle w:val="ListParagraph"/>
        <w:numPr>
          <w:ilvl w:val="1"/>
          <w:numId w:val="325"/>
        </w:numPr>
        <w:rPr/>
      </w:pPr>
      <w:r>
        <w:rPr/>
        <w:t>Application executables;</w:t>
      </w:r>
    </w:p>
    <w:p>
      <w:pPr>
        <w:pStyle w:val="ListParagraph"/>
        <w:numPr>
          <w:ilvl w:val="1"/>
          <w:numId w:val="325"/>
        </w:numPr>
        <w:rPr/>
      </w:pPr>
      <w:r>
        <w:rPr/>
        <w:t>Configuration and parameter files; and</w:t>
      </w:r>
    </w:p>
    <w:p>
      <w:pPr>
        <w:pStyle w:val="ListParagraph"/>
        <w:numPr>
          <w:ilvl w:val="1"/>
          <w:numId w:val="325"/>
        </w:numPr>
        <w:rPr/>
      </w:pPr>
      <w:r>
        <w:rPr/>
        <w:t>Centrally stored, historical or archived, log and audit files.</w:t>
      </w:r>
    </w:p>
    <w:p>
      <w:pPr>
        <w:pStyle w:val="ListParagraph"/>
        <w:numPr>
          <w:ilvl w:val="0"/>
          <w:numId w:val="325"/>
        </w:numPr>
        <w:rPr/>
      </w:pPr>
      <w:r>
        <w:rPr/>
        <w:t>Verify the tools are configured to alert personnel to unauthorized modification of critical files and to perform critical file comparisons at least weekly.</w:t>
      </w:r>
    </w:p>
    <w:p>
      <w:pPr>
        <w:pStyle w:val="Normal"/>
        <w:rPr/>
      </w:pPr>
      <w:r>
        <w:rPr/>
      </w:r>
    </w:p>
    <w:p>
      <w:pPr>
        <w:pStyle w:val="Normal"/>
        <w:rPr/>
      </w:pPr>
      <w:r>
        <w:rPr>
          <w:u w:val="single"/>
        </w:rPr>
        <w:t>Guidelines</w:t>
      </w:r>
      <w:r>
        <w:rPr/>
        <w:t xml:space="preserve">: FIM tools should be used to ensure that critical system files (including sensitive system and application executables, libraries and configurations) have not been altered. The reporting system should have the ability to account for routine and expected changes; highlight and alert on unusual or unexpected alterations; show the history of configuration changes over time and identify who made the change (including the original logged-in account in the event of a user ID switch, such as with the su or sudo command). </w:t>
      </w:r>
    </w:p>
    <w:p>
      <w:pPr>
        <w:pStyle w:val="Normal"/>
        <w:rPr/>
      </w:pPr>
      <w:r>
        <w:rPr/>
      </w:r>
    </w:p>
    <w:p>
      <w:pPr>
        <w:pStyle w:val="Normal"/>
        <w:rPr/>
      </w:pPr>
      <w:r>
        <w:rPr/>
        <w:t>These integrity checks should identify suspicious system alterations such as: owner and permissions changes to files or directories; the use of alternate data streams which could be used to hide malicious activities; and the introduction of extra files into key system areas (which could indicate malicious payloads left by attackers or additional files inappropriately added during batch distribution processes).</w:t>
      </w:r>
    </w:p>
    <w:p>
      <w:pPr>
        <w:pStyle w:val="Normal"/>
        <w:rPr/>
      </w:pPr>
      <w:r>
        <w:rPr/>
      </w:r>
    </w:p>
    <w:p>
      <w:pPr>
        <w:pStyle w:val="Heading3"/>
        <w:rPr/>
      </w:pPr>
      <w:bookmarkStart w:id="812" w:name="_Toc474074984"/>
      <w:bookmarkStart w:id="813" w:name="_Toc34920820"/>
      <w:r>
        <w:rPr/>
        <w:t>END-06(a): File Integrity Monitoring (FIM) | Integrity Checks</w:t>
      </w:r>
      <w:bookmarkEnd w:id="812"/>
      <w:bookmarkEnd w:id="813"/>
      <w:r>
        <w:rPr/>
        <w:t xml:space="preserve"> </w:t>
      </w:r>
    </w:p>
    <w:p>
      <w:pPr>
        <w:pStyle w:val="Normal"/>
        <w:rPr/>
      </w:pPr>
      <w:r>
        <w:rPr>
          <w:u w:val="single"/>
        </w:rPr>
        <w:t>Control Objective</w:t>
      </w:r>
      <w:r>
        <w:rPr/>
        <w:t>: Systems perform an integrity check of organization-defined software, firmware and information at:</w:t>
      </w:r>
      <w:r>
        <w:rPr>
          <w:rStyle w:val="FootnoteAnchor"/>
          <w:rStyle w:val="FootnoteAnchor"/>
          <w:rFonts w:cs="Calibri"/>
        </w:rPr>
        <w:footnoteReference w:id="247"/>
      </w:r>
    </w:p>
    <w:p>
      <w:pPr>
        <w:pStyle w:val="ListParagraph"/>
        <w:numPr>
          <w:ilvl w:val="0"/>
          <w:numId w:val="173"/>
        </w:numPr>
        <w:rPr/>
      </w:pPr>
      <w:r>
        <w:rPr/>
        <w:t xml:space="preserve">Startup; </w:t>
      </w:r>
    </w:p>
    <w:p>
      <w:pPr>
        <w:pStyle w:val="ListParagraph"/>
        <w:numPr>
          <w:ilvl w:val="0"/>
          <w:numId w:val="173"/>
        </w:numPr>
        <w:rPr/>
      </w:pPr>
      <w:r>
        <w:rPr/>
        <w:t xml:space="preserve">At organization-defined transitional states or security-relevant events; or </w:t>
      </w:r>
    </w:p>
    <w:p>
      <w:pPr>
        <w:pStyle w:val="ListParagraph"/>
        <w:numPr>
          <w:ilvl w:val="0"/>
          <w:numId w:val="173"/>
        </w:numPr>
        <w:rPr/>
      </w:pPr>
      <w:r>
        <w:rPr/>
        <w:t>At an organization-defined frequency.</w:t>
      </w:r>
    </w:p>
    <w:p>
      <w:pPr>
        <w:pStyle w:val="Normal"/>
        <w:rPr/>
      </w:pPr>
      <w:r>
        <w:rPr/>
      </w:r>
    </w:p>
    <w:p>
      <w:pPr>
        <w:pStyle w:val="Normal"/>
        <w:rPr/>
      </w:pPr>
      <w:r>
        <w:rPr>
          <w:u w:val="single"/>
        </w:rPr>
        <w:t>Standard</w:t>
      </w:r>
      <w:r>
        <w:rPr/>
        <w:t>: Where technically feasible, system will perform an integrity check of organization-defined software, firmware and information at:</w:t>
      </w:r>
    </w:p>
    <w:p>
      <w:pPr>
        <w:pStyle w:val="ListParagraph"/>
        <w:numPr>
          <w:ilvl w:val="0"/>
          <w:numId w:val="326"/>
        </w:numPr>
        <w:rPr/>
      </w:pPr>
      <w:r>
        <w:rPr/>
        <w:t>Startup; or</w:t>
      </w:r>
    </w:p>
    <w:p>
      <w:pPr>
        <w:pStyle w:val="ListParagraph"/>
        <w:numPr>
          <w:ilvl w:val="0"/>
          <w:numId w:val="326"/>
        </w:numPr>
        <w:rPr/>
      </w:pPr>
      <w:r>
        <w:rPr/>
        <w:t xml:space="preserve">Upon security-relevant events. </w:t>
      </w:r>
    </w:p>
    <w:p>
      <w:pPr>
        <w:pStyle w:val="Normal"/>
        <w:rPr/>
      </w:pPr>
      <w:r>
        <w:rPr/>
      </w:r>
    </w:p>
    <w:p>
      <w:pPr>
        <w:pStyle w:val="Normal"/>
        <w:rPr/>
      </w:pPr>
      <w:r>
        <w:rPr>
          <w:u w:val="single"/>
        </w:rPr>
        <w:t>Guidelines</w:t>
      </w:r>
      <w:r>
        <w:rPr/>
        <w:t>: Security-relevant events include, for example, the identification of a new threat to which organizational systems are susceptible and the installation of new hardware, software or firmware. Transitional states include, for example, system startup, restart, shutdown and abort.</w:t>
      </w:r>
    </w:p>
    <w:p>
      <w:pPr>
        <w:pStyle w:val="Normal"/>
        <w:rPr/>
      </w:pPr>
      <w:r>
        <w:rPr/>
      </w:r>
    </w:p>
    <w:p>
      <w:pPr>
        <w:pStyle w:val="Normal"/>
        <w:rPr>
          <w:color w:val="C00000"/>
        </w:rPr>
      </w:pPr>
      <w:r>
        <w:rPr/>
        <w:t xml:space="preserve">Information security integrity-checking mechanisms (e.g., parity checks, cyclical redundancy checks, cryptographic hashes) and associated tools can automatically monitor the integrity of systems and hosted applications. Unauthorized changes to software, firmware and information can occur due to errors or malicious activity (e.g., tampering). Software includes, for example, operating systems (with key internal components such as kernels, drivers), middleware and applications. Firmware includes, for example, the Basic Input Output System (BIOS). Information includes metadata such as security attributes associated with the information. </w:t>
      </w:r>
    </w:p>
    <w:p>
      <w:pPr>
        <w:pStyle w:val="Normal"/>
        <w:rPr/>
      </w:pPr>
      <w:r>
        <w:rPr/>
      </w:r>
    </w:p>
    <w:p>
      <w:pPr>
        <w:pStyle w:val="Heading3"/>
        <w:rPr/>
      </w:pPr>
      <w:bookmarkStart w:id="814" w:name="_Toc474074985"/>
      <w:bookmarkStart w:id="815" w:name="_Toc34920821"/>
      <w:r>
        <w:rPr/>
        <w:t>END-06(b): File Integrity Monitoring (FIM) | Integration of Detection &amp; Response</w:t>
      </w:r>
      <w:bookmarkEnd w:id="814"/>
      <w:bookmarkEnd w:id="815"/>
      <w:r>
        <w:rPr/>
        <w:t xml:space="preserve"> </w:t>
      </w:r>
    </w:p>
    <w:p>
      <w:pPr>
        <w:pStyle w:val="Normal"/>
        <w:rPr/>
      </w:pPr>
      <w:r>
        <w:rPr>
          <w:u w:val="single"/>
        </w:rPr>
        <w:t>Control Objective</w:t>
      </w:r>
      <w:r>
        <w:rPr/>
        <w:t>: The organization incorporates the detection of unauthorized security-relevant changes to the system into the organizational incident response capability.</w:t>
      </w:r>
      <w:r>
        <w:rPr>
          <w:rStyle w:val="FootnoteAnchor"/>
          <w:rStyle w:val="FootnoteAnchor"/>
          <w:rFonts w:cs="Calibri"/>
        </w:rPr>
        <w:footnoteReference w:id="248"/>
      </w:r>
    </w:p>
    <w:p>
      <w:pPr>
        <w:pStyle w:val="Normal"/>
        <w:rPr/>
      </w:pPr>
      <w:r>
        <w:rPr/>
      </w:r>
    </w:p>
    <w:p>
      <w:pPr>
        <w:pStyle w:val="Normal"/>
        <w:rPr/>
      </w:pPr>
      <w:r>
        <w:rPr>
          <w:u w:val="single"/>
        </w:rPr>
        <w:t>Standard</w:t>
      </w:r>
      <w:r>
        <w:rPr/>
        <w:t>: Where technically feasible, NFCC shall incorporate the detection of unauthorized security-relevant changes to the system into NFCC's incident response capability.</w:t>
      </w:r>
    </w:p>
    <w:p>
      <w:pPr>
        <w:pStyle w:val="Normal"/>
        <w:rPr/>
      </w:pPr>
      <w:r>
        <w:rPr/>
      </w:r>
    </w:p>
    <w:p>
      <w:pPr>
        <w:pStyle w:val="Normal"/>
        <w:rPr>
          <w:color w:val="C00000"/>
        </w:rPr>
      </w:pPr>
      <w:r>
        <w:rPr>
          <w:u w:val="single"/>
        </w:rPr>
        <w:t>Guidelines</w:t>
      </w:r>
      <w:r>
        <w:rPr/>
        <w:t>: This standard helps to ensure that detected events are tracked, monitored, corrected and available for historical purposes. Maintaining historical records is important both for being able to identify and discern adversary actions over an extended period and for possible legal actions. Security-relevant changes include, for example, unauthorized changes to established configuration settings or unauthorized elevation of system privileges.</w:t>
      </w:r>
    </w:p>
    <w:p>
      <w:pPr>
        <w:pStyle w:val="Normal"/>
        <w:rPr/>
      </w:pPr>
      <w:r>
        <w:rPr/>
      </w:r>
    </w:p>
    <w:p>
      <w:pPr>
        <w:pStyle w:val="Heading3"/>
        <w:rPr/>
      </w:pPr>
      <w:bookmarkStart w:id="816" w:name="_Toc23242243"/>
      <w:bookmarkStart w:id="817" w:name="_Toc34920822"/>
      <w:r>
        <w:rPr/>
        <w:t>END-06(c): File Integrity Monitoring (FIM) | Automated Notifications of Integrity Violations</w:t>
      </w:r>
      <w:bookmarkEnd w:id="816"/>
      <w:bookmarkEnd w:id="817"/>
      <w:r>
        <w:rPr/>
        <w:t xml:space="preserve"> </w:t>
      </w:r>
    </w:p>
    <w:p>
      <w:pPr>
        <w:pStyle w:val="Normal"/>
        <w:rPr/>
      </w:pPr>
      <w:r>
        <w:rPr>
          <w:rFonts w:cs="Calibri"/>
          <w:u w:val="single"/>
        </w:rPr>
        <w:t>Control Objective</w:t>
      </w:r>
      <w:r>
        <w:rPr>
          <w:rFonts w:cs="Calibri"/>
        </w:rPr>
        <w:t xml:space="preserve">: </w:t>
      </w:r>
      <w:r>
        <w:rPr/>
        <w:t>The organization employs automated tools that provide notification to organization-defined personnel or roles upon discovering discrepancies during integrity verification.</w:t>
      </w:r>
      <w:r>
        <w:rPr>
          <w:rStyle w:val="FootnoteCharacters"/>
          <w:rFonts w:cs="Calibri"/>
        </w:rPr>
        <w:t xml:space="preserve"> </w:t>
      </w:r>
      <w:r>
        <w:rPr>
          <w:rStyle w:val="FootnoteAnchor"/>
          <w:rStyle w:val="FootnoteAnchor"/>
          <w:rFonts w:cs="Calibri"/>
        </w:rPr>
        <w:footnoteReference w:id="249"/>
      </w:r>
    </w:p>
    <w:p>
      <w:pPr>
        <w:pStyle w:val="Normal"/>
        <w:rPr>
          <w:rFonts w:cs="Calibri"/>
        </w:rPr>
      </w:pPr>
      <w:r>
        <w:rPr>
          <w:rFonts w:cs="Calibri"/>
        </w:rPr>
      </w:r>
    </w:p>
    <w:p>
      <w:pPr>
        <w:pStyle w:val="Normal"/>
        <w:rPr>
          <w:rFonts w:cs="Calibri"/>
        </w:rPr>
      </w:pPr>
      <w:r>
        <w:rPr>
          <w:rFonts w:cs="Calibri"/>
          <w:bCs w:val="false"/>
          <w:u w:val="single"/>
        </w:rPr>
        <w:t>Standard</w:t>
      </w:r>
      <w:r>
        <w:rPr>
          <w:rFonts w:cs="Calibri"/>
          <w:bCs w:val="false"/>
        </w:rPr>
        <w:t xml:space="preserve">: </w:t>
      </w:r>
      <w:r>
        <w:rPr>
          <w:rFonts w:cs="Calibri"/>
        </w:rPr>
        <w:t>NFCC’s Security Information Event Manager (SIEM), or similar technology, must be configured to according to vendor and industry-recognized secure practices to:</w:t>
      </w:r>
    </w:p>
    <w:p>
      <w:pPr>
        <w:pStyle w:val="ListParagraph"/>
        <w:numPr>
          <w:ilvl w:val="0"/>
          <w:numId w:val="651"/>
        </w:numPr>
        <w:rPr/>
      </w:pPr>
      <w:r>
        <w:rPr/>
        <w:t>Intake Intrusion Detection / Protection System (IDS/IPS) logs, or similar technologies, that can detect integrity violations; and</w:t>
      </w:r>
    </w:p>
    <w:p>
      <w:pPr>
        <w:pStyle w:val="ListParagraph"/>
        <w:numPr>
          <w:ilvl w:val="0"/>
          <w:numId w:val="651"/>
        </w:numPr>
        <w:rPr/>
      </w:pPr>
      <w:r>
        <w:rPr/>
        <w:t xml:space="preserve">Alert appropriate incident responders to the potential incident </w:t>
      </w:r>
    </w:p>
    <w:p>
      <w:pPr>
        <w:pStyle w:val="Normal"/>
        <w:rPr>
          <w:rFonts w:cs="Calibri"/>
        </w:rPr>
      </w:pPr>
      <w:r>
        <w:rPr>
          <w:rFonts w:cs="Calibri"/>
        </w:rPr>
      </w:r>
    </w:p>
    <w:p>
      <w:pPr>
        <w:pStyle w:val="Normal"/>
        <w:rPr>
          <w:rFonts w:cs="Calibri"/>
        </w:rPr>
      </w:pPr>
      <w:r>
        <w:rPr>
          <w:rFonts w:cs="Calibri"/>
          <w:u w:val="single"/>
        </w:rPr>
        <w:t>Guidelines</w:t>
      </w:r>
      <w:r>
        <w:rPr>
          <w:rFonts w:cs="Calibri"/>
        </w:rPr>
        <w:t xml:space="preserve">: </w:t>
      </w:r>
      <w:r>
        <w:rPr/>
        <w:t>The use of automated tools to report integrity violations and to notify organizational personnel in a timely matter is an essential precursor to effective risk response. Personnel having an interest in integrity violations include, for example, mission/business owners, information system owners, systems administrators, software developers, systems integrators and information security officers.</w:t>
      </w:r>
    </w:p>
    <w:p>
      <w:pPr>
        <w:pStyle w:val="Normal"/>
        <w:rPr/>
      </w:pPr>
      <w:r>
        <w:rPr/>
      </w:r>
    </w:p>
    <w:p>
      <w:pPr>
        <w:pStyle w:val="Heading3"/>
        <w:rPr/>
      </w:pPr>
      <w:bookmarkStart w:id="818" w:name="_Toc23242244"/>
      <w:bookmarkStart w:id="819" w:name="_Toc34920823"/>
      <w:r>
        <w:rPr/>
        <w:t>END-06(d): File Integrity Monitoring (FIM) | Automated Response to Integrity Violations</w:t>
      </w:r>
      <w:bookmarkEnd w:id="818"/>
      <w:bookmarkEnd w:id="819"/>
      <w:r>
        <w:rPr/>
        <w:t xml:space="preserve"> </w:t>
      </w:r>
    </w:p>
    <w:p>
      <w:pPr>
        <w:pStyle w:val="Normal"/>
        <w:rPr/>
      </w:pPr>
      <w:r>
        <w:rPr>
          <w:rFonts w:cs="Calibri"/>
          <w:u w:val="single"/>
        </w:rPr>
        <w:t>Control Objective</w:t>
      </w:r>
      <w:r>
        <w:rPr>
          <w:rFonts w:cs="Calibri"/>
        </w:rPr>
        <w:t xml:space="preserve">: </w:t>
      </w:r>
      <w:r>
        <w:rPr/>
        <w:t>The information system automatically implements organization-defined security safeguards when integrity violations are discovered.</w:t>
      </w:r>
      <w:r>
        <w:rPr>
          <w:rStyle w:val="FootnoteCharacters"/>
          <w:rFonts w:cs="Calibri"/>
        </w:rPr>
        <w:t xml:space="preserve"> </w:t>
      </w:r>
      <w:r>
        <w:rPr>
          <w:rStyle w:val="FootnoteAnchor"/>
          <w:rStyle w:val="FootnoteAnchor"/>
          <w:rFonts w:cs="Calibri"/>
        </w:rPr>
        <w:footnoteReference w:id="250"/>
      </w:r>
    </w:p>
    <w:p>
      <w:pPr>
        <w:pStyle w:val="Normal"/>
        <w:rPr>
          <w:rFonts w:cs="Calibri"/>
        </w:rPr>
      </w:pPr>
      <w:r>
        <w:rPr>
          <w:rFonts w:cs="Calibri"/>
        </w:rPr>
      </w:r>
    </w:p>
    <w:p>
      <w:pPr>
        <w:pStyle w:val="Normal"/>
        <w:rPr/>
      </w:pPr>
      <w:r>
        <w:rPr>
          <w:rFonts w:cs="Calibri"/>
          <w:bCs w:val="false"/>
          <w:u w:val="single"/>
        </w:rPr>
        <w:t>Standard</w:t>
      </w:r>
      <w:r>
        <w:rPr>
          <w:rFonts w:cs="Calibri"/>
          <w:bCs w:val="false"/>
        </w:rPr>
        <w:t>:</w:t>
      </w:r>
      <w:r>
        <w:rPr>
          <w:rFonts w:cs="Calibri"/>
        </w:rPr>
        <w:t xml:space="preserve"> Where technically feasible and justified by a valid business case, </w:t>
      </w:r>
      <w:r>
        <w:rPr/>
        <w:t>systems must be configured to automatically implement specific security safeguards when integrity violations are discovered, based on the criticality of the system and sensitivity of the data by:</w:t>
      </w:r>
    </w:p>
    <w:p>
      <w:pPr>
        <w:pStyle w:val="ListParagraph"/>
        <w:numPr>
          <w:ilvl w:val="0"/>
          <w:numId w:val="652"/>
        </w:numPr>
        <w:rPr/>
      </w:pPr>
      <w:r>
        <w:rPr/>
        <w:t xml:space="preserve">Type of information (e.g., firmware, software, user data); </w:t>
      </w:r>
    </w:p>
    <w:p>
      <w:pPr>
        <w:pStyle w:val="ListParagraph"/>
        <w:numPr>
          <w:ilvl w:val="0"/>
          <w:numId w:val="652"/>
        </w:numPr>
        <w:rPr/>
      </w:pPr>
      <w:r>
        <w:rPr/>
        <w:t>Specific information (e.g., boot firmware, boot firmware for a specific types of machines); or</w:t>
      </w:r>
    </w:p>
    <w:p>
      <w:pPr>
        <w:pStyle w:val="ListParagraph"/>
        <w:numPr>
          <w:ilvl w:val="0"/>
          <w:numId w:val="652"/>
        </w:numPr>
        <w:rPr>
          <w:rFonts w:cs="Calibri"/>
        </w:rPr>
      </w:pPr>
      <w:r>
        <w:rPr/>
        <w:t>A combination of both.</w:t>
      </w:r>
    </w:p>
    <w:p>
      <w:pPr>
        <w:pStyle w:val="Normal"/>
        <w:rPr>
          <w:rFonts w:cs="Calibri"/>
        </w:rPr>
      </w:pPr>
      <w:r>
        <w:rPr>
          <w:rFonts w:cs="Calibri"/>
        </w:rPr>
      </w:r>
    </w:p>
    <w:p>
      <w:pPr>
        <w:pStyle w:val="Normal"/>
        <w:rPr>
          <w:rFonts w:cs="Calibri"/>
        </w:rPr>
      </w:pPr>
      <w:r>
        <w:rPr>
          <w:rFonts w:cs="Calibri"/>
          <w:u w:val="single"/>
        </w:rPr>
        <w:t>Guidelines</w:t>
      </w:r>
      <w:r>
        <w:rPr>
          <w:rFonts w:cs="Calibri"/>
        </w:rPr>
        <w:t xml:space="preserve">: </w:t>
      </w:r>
      <w:r>
        <w:rPr/>
        <w:t>Automatic implementation of specific safeguards within organizational information systems includes, for example, reversing the changes, halting the information system or triggering audit alerts when unauthorized modifications to critical security files occur.</w:t>
      </w:r>
    </w:p>
    <w:p>
      <w:pPr>
        <w:pStyle w:val="Normal"/>
        <w:rPr/>
      </w:pPr>
      <w:r>
        <w:rPr/>
      </w:r>
    </w:p>
    <w:p>
      <w:pPr>
        <w:pStyle w:val="Heading3"/>
        <w:rPr/>
      </w:pPr>
      <w:bookmarkStart w:id="820" w:name="_Toc23242247"/>
      <w:bookmarkStart w:id="821" w:name="_Toc34920824"/>
      <w:r>
        <w:rPr/>
        <w:t>END-06(e): File Integrity Monitoring (FIM) | Verify Boot Process</w:t>
      </w:r>
      <w:bookmarkEnd w:id="820"/>
      <w:bookmarkEnd w:id="821"/>
      <w:r>
        <w:rPr/>
        <w:t xml:space="preserve"> </w:t>
      </w:r>
    </w:p>
    <w:p>
      <w:pPr>
        <w:pStyle w:val="Normal"/>
        <w:rPr/>
      </w:pPr>
      <w:r>
        <w:rPr>
          <w:u w:val="single"/>
        </w:rPr>
        <w:t>Control Objective</w:t>
      </w:r>
      <w:r>
        <w:rPr/>
        <w:t>: The information system verifies the integrity of the boot process of organization-defined devices.</w:t>
      </w:r>
      <w:r>
        <w:rPr>
          <w:rStyle w:val="FootnoteCharacters"/>
          <w:rFonts w:cs="Calibri"/>
        </w:rPr>
        <w:t xml:space="preserve"> </w:t>
      </w:r>
      <w:r>
        <w:rPr>
          <w:rStyle w:val="FootnoteAnchor"/>
          <w:rStyle w:val="FootnoteAnchor"/>
          <w:rFonts w:cs="Calibri"/>
        </w:rPr>
        <w:footnoteReference w:id="251"/>
      </w:r>
    </w:p>
    <w:p>
      <w:pPr>
        <w:pStyle w:val="Normal"/>
        <w:rPr>
          <w:rFonts w:cs="Calibri"/>
        </w:rPr>
      </w:pPr>
      <w:r>
        <w:rPr>
          <w:rFonts w:cs="Calibri"/>
        </w:rPr>
      </w:r>
    </w:p>
    <w:p>
      <w:pPr>
        <w:pStyle w:val="Normal"/>
        <w:rPr/>
      </w:pPr>
      <w:r>
        <w:rPr>
          <w:rFonts w:cs="Calibri"/>
          <w:bCs w:val="false"/>
          <w:u w:val="single"/>
        </w:rPr>
        <w:t>Standard</w:t>
      </w:r>
      <w:r>
        <w:rPr>
          <w:rFonts w:cs="Calibri"/>
          <w:bCs w:val="false"/>
        </w:rPr>
        <w:t>:</w:t>
      </w:r>
      <w:r>
        <w:rPr>
          <w:rFonts w:cs="Calibri"/>
        </w:rPr>
        <w:t xml:space="preserve"> Where technically feasible, NFCC requires system configurations to </w:t>
      </w:r>
      <w:r>
        <w:rPr/>
        <w:t>verify the integrity of the boot process of critical technology devices.</w:t>
      </w:r>
    </w:p>
    <w:p>
      <w:pPr>
        <w:pStyle w:val="Normal"/>
        <w:rPr>
          <w:rFonts w:cs="Calibri"/>
        </w:rPr>
      </w:pPr>
      <w:r>
        <w:rPr>
          <w:rFonts w:cs="Calibri"/>
        </w:rPr>
      </w:r>
    </w:p>
    <w:p>
      <w:pPr>
        <w:pStyle w:val="Normal"/>
        <w:rPr/>
      </w:pPr>
      <w:r>
        <w:rPr>
          <w:rFonts w:cs="Calibri"/>
        </w:rPr>
        <w:t xml:space="preserve">Supplemental Guidance: </w:t>
      </w:r>
      <w:r>
        <w:rPr/>
        <w:t>Ensuring the integrity of boot processes is critical to starting devices in known/trustworthy states. Integrity verification mechanisms provide organizational personnel with assurance that only trusted code is executed during boot processes.</w:t>
      </w:r>
    </w:p>
    <w:p>
      <w:pPr>
        <w:pStyle w:val="Normal"/>
        <w:rPr/>
      </w:pPr>
      <w:r>
        <w:rPr/>
      </w:r>
    </w:p>
    <w:p>
      <w:pPr>
        <w:pStyle w:val="Heading3"/>
        <w:rPr/>
      </w:pPr>
      <w:bookmarkStart w:id="822" w:name="_Toc23242248"/>
      <w:bookmarkStart w:id="823" w:name="_Toc34920825"/>
      <w:r>
        <w:rPr/>
        <w:t>END-06(f): File Integrity Monitoring (FIM) | Protection of Boot Firmware</w:t>
      </w:r>
      <w:bookmarkEnd w:id="822"/>
      <w:bookmarkEnd w:id="823"/>
      <w:r>
        <w:rPr/>
        <w:t xml:space="preserve"> </w:t>
      </w:r>
    </w:p>
    <w:p>
      <w:pPr>
        <w:pStyle w:val="Normal"/>
        <w:rPr/>
      </w:pPr>
      <w:r>
        <w:rPr>
          <w:rFonts w:cs="Calibri"/>
          <w:u w:val="single"/>
        </w:rPr>
        <w:t>Control Objective</w:t>
      </w:r>
      <w:r>
        <w:rPr>
          <w:rFonts w:cs="Calibri"/>
        </w:rPr>
        <w:t xml:space="preserve">: </w:t>
      </w:r>
      <w:r>
        <w:rPr/>
        <w:t>The information system implements organization-defined security safeguards to protect the integrity of boot firmware in organization-defined devices.</w:t>
      </w:r>
      <w:r>
        <w:rPr>
          <w:rStyle w:val="FootnoteCharacters"/>
          <w:rFonts w:cs="Calibri"/>
        </w:rPr>
        <w:t xml:space="preserve"> </w:t>
      </w:r>
      <w:r>
        <w:rPr>
          <w:rStyle w:val="FootnoteAnchor"/>
          <w:rStyle w:val="FootnoteAnchor"/>
          <w:rFonts w:cs="Calibri"/>
        </w:rPr>
        <w:footnoteReference w:id="252"/>
      </w:r>
    </w:p>
    <w:p>
      <w:pPr>
        <w:pStyle w:val="Normal"/>
        <w:rPr>
          <w:rFonts w:cs="Calibri"/>
        </w:rPr>
      </w:pPr>
      <w:r>
        <w:rPr>
          <w:rFonts w:cs="Calibri"/>
        </w:rPr>
      </w:r>
    </w:p>
    <w:p>
      <w:pPr>
        <w:pStyle w:val="Normal"/>
        <w:rPr/>
      </w:pPr>
      <w:r>
        <w:rPr>
          <w:rFonts w:cs="Calibri"/>
          <w:bCs w:val="false"/>
          <w:u w:val="single"/>
        </w:rPr>
        <w:t>Standard</w:t>
      </w:r>
      <w:r>
        <w:rPr>
          <w:rFonts w:cs="Calibri"/>
          <w:bCs w:val="false"/>
        </w:rPr>
        <w:t>:</w:t>
      </w:r>
      <w:r>
        <w:rPr>
          <w:rFonts w:cs="Calibri"/>
        </w:rPr>
        <w:t xml:space="preserve"> Where technically feasible, NFCC requires system configurations to </w:t>
      </w:r>
      <w:r>
        <w:rPr/>
        <w:t xml:space="preserve">protect the integrity of boot firmware in critical technology devices by: </w:t>
      </w:r>
    </w:p>
    <w:p>
      <w:pPr>
        <w:pStyle w:val="ListParagraph"/>
        <w:numPr>
          <w:ilvl w:val="0"/>
          <w:numId w:val="658"/>
        </w:numPr>
        <w:rPr/>
      </w:pPr>
      <w:r>
        <w:rPr/>
        <w:t xml:space="preserve">Verifying the integrity and authenticity of all updates to the boot firmware prior to applying changes to the boot devices; and </w:t>
      </w:r>
    </w:p>
    <w:p>
      <w:pPr>
        <w:pStyle w:val="ListParagraph"/>
        <w:numPr>
          <w:ilvl w:val="0"/>
          <w:numId w:val="658"/>
        </w:numPr>
        <w:rPr/>
      </w:pPr>
      <w:r>
        <w:rPr/>
        <w:t>Preventing unauthorized processes from modifying the boot firmware.</w:t>
      </w:r>
    </w:p>
    <w:p>
      <w:pPr>
        <w:pStyle w:val="Normal"/>
        <w:rPr>
          <w:rFonts w:cs="Calibri"/>
        </w:rPr>
      </w:pPr>
      <w:r>
        <w:rPr>
          <w:rFonts w:cs="Calibri"/>
        </w:rPr>
      </w:r>
    </w:p>
    <w:p>
      <w:pPr>
        <w:pStyle w:val="Normal"/>
        <w:rPr/>
      </w:pPr>
      <w:r>
        <w:rPr>
          <w:rFonts w:cs="Calibri"/>
          <w:u w:val="single"/>
        </w:rPr>
        <w:t>Guidelines</w:t>
      </w:r>
      <w:r>
        <w:rPr>
          <w:rFonts w:cs="Calibri"/>
        </w:rPr>
        <w:t xml:space="preserve">: </w:t>
      </w:r>
      <w:r>
        <w:rPr/>
        <w:t xml:space="preserve">Unauthorized modifications to boot firmware may be indicative of a sophisticated, targeted cyber attack. These types of cyber attacks can result in a permanent denial of service (e.g., if the firmware is corrupted) or a persistent malicious code presence (e.g., if code is embedded within the firmware). </w:t>
      </w:r>
    </w:p>
    <w:p>
      <w:pPr>
        <w:pStyle w:val="Normal"/>
        <w:rPr>
          <w:rFonts w:cs="Calibri"/>
        </w:rPr>
      </w:pPr>
      <w:r>
        <w:rPr>
          <w:rFonts w:cs="Calibri"/>
        </w:rPr>
      </w:r>
    </w:p>
    <w:p>
      <w:pPr>
        <w:pStyle w:val="Heading3"/>
        <w:rPr/>
      </w:pPr>
      <w:bookmarkStart w:id="824" w:name="_Toc23242249"/>
      <w:bookmarkStart w:id="825" w:name="_Toc34920826"/>
      <w:r>
        <w:rPr/>
        <w:t>END-06(g): File Integrity Monitoring (FIM) | Binary or Machine-Executable Code</w:t>
      </w:r>
      <w:bookmarkEnd w:id="824"/>
      <w:bookmarkEnd w:id="825"/>
      <w:r>
        <w:rPr/>
        <w:t xml:space="preserve"> </w:t>
      </w:r>
    </w:p>
    <w:p>
      <w:pPr>
        <w:pStyle w:val="Normal"/>
        <w:rPr/>
      </w:pPr>
      <w:r>
        <w:rPr>
          <w:rFonts w:cs="Calibri"/>
          <w:u w:val="single"/>
        </w:rPr>
        <w:t>Control Objective</w:t>
      </w:r>
      <w:r>
        <w:rPr>
          <w:rFonts w:cs="Calibri"/>
        </w:rPr>
        <w:t xml:space="preserve">: </w:t>
      </w:r>
      <w:r>
        <w:rPr/>
        <w:t>The organization:</w:t>
      </w:r>
      <w:r>
        <w:rPr>
          <w:rStyle w:val="FootnoteCharacters"/>
          <w:rFonts w:cs="Calibri"/>
        </w:rPr>
        <w:t xml:space="preserve"> </w:t>
      </w:r>
      <w:r>
        <w:rPr>
          <w:rStyle w:val="FootnoteAnchor"/>
          <w:rStyle w:val="FootnoteAnchor"/>
          <w:rFonts w:cs="Calibri"/>
        </w:rPr>
        <w:footnoteReference w:id="253"/>
      </w:r>
    </w:p>
    <w:p>
      <w:pPr>
        <w:pStyle w:val="ListParagraph"/>
        <w:numPr>
          <w:ilvl w:val="0"/>
          <w:numId w:val="653"/>
        </w:numPr>
        <w:rPr/>
      </w:pPr>
      <w:r>
        <w:rPr/>
        <w:t xml:space="preserve">Prohibits the use of binary or machine-executable code from sources with limited or no warranty and without the provision of source code; and </w:t>
      </w:r>
    </w:p>
    <w:p>
      <w:pPr>
        <w:pStyle w:val="ListParagraph"/>
        <w:numPr>
          <w:ilvl w:val="0"/>
          <w:numId w:val="653"/>
        </w:numPr>
        <w:rPr/>
      </w:pPr>
      <w:r>
        <w:rPr/>
        <w:t xml:space="preserve">Provides exceptions to the source code requirement only for compelling mission/operational requirements and with the approval of the authorizing official. </w:t>
      </w:r>
    </w:p>
    <w:p>
      <w:pPr>
        <w:pStyle w:val="Normal"/>
        <w:rPr>
          <w:rFonts w:cs="Calibri"/>
        </w:rPr>
      </w:pPr>
      <w:r>
        <w:rPr>
          <w:rFonts w:cs="Calibri"/>
        </w:rPr>
      </w:r>
    </w:p>
    <w:p>
      <w:pPr>
        <w:pStyle w:val="Normal"/>
        <w:rPr>
          <w:rFonts w:cs="Calibri"/>
        </w:rPr>
      </w:pPr>
      <w:r>
        <w:rPr>
          <w:rFonts w:cs="Calibri"/>
          <w:bCs w:val="false"/>
          <w:u w:val="single"/>
        </w:rPr>
        <w:t>Standard</w:t>
      </w:r>
      <w:r>
        <w:rPr>
          <w:rFonts w:cs="Calibri"/>
          <w:bCs w:val="false"/>
        </w:rPr>
        <w:t>:</w:t>
      </w:r>
      <w:r>
        <w:rPr>
          <w:rFonts w:cs="Calibri"/>
        </w:rPr>
        <w:t xml:space="preserve"> NFCC:</w:t>
      </w:r>
    </w:p>
    <w:p>
      <w:pPr>
        <w:pStyle w:val="ListParagraph"/>
        <w:numPr>
          <w:ilvl w:val="0"/>
          <w:numId w:val="654"/>
        </w:numPr>
        <w:rPr/>
      </w:pPr>
      <w:r>
        <w:rPr/>
        <w:t xml:space="preserve">Prohibits the use of binary or machine-executable code from sources with limited or no warranty and without the provision of source code; and </w:t>
      </w:r>
    </w:p>
    <w:p>
      <w:pPr>
        <w:pStyle w:val="ListParagraph"/>
        <w:numPr>
          <w:ilvl w:val="0"/>
          <w:numId w:val="654"/>
        </w:numPr>
        <w:rPr/>
      </w:pPr>
      <w:r>
        <w:rPr/>
        <w:t xml:space="preserve">Only allows exceptions to the source code requirement for compelling mission/operational requirements and with the approval senior NFCC management. </w:t>
      </w:r>
    </w:p>
    <w:p>
      <w:pPr>
        <w:pStyle w:val="Normal"/>
        <w:rPr>
          <w:rFonts w:cs="Calibri"/>
        </w:rPr>
      </w:pPr>
      <w:r>
        <w:rPr>
          <w:rFonts w:cs="Calibri"/>
        </w:rPr>
      </w:r>
    </w:p>
    <w:p>
      <w:pPr>
        <w:pStyle w:val="Normal"/>
        <w:rPr>
          <w:rFonts w:cs="Calibri"/>
        </w:rPr>
      </w:pPr>
      <w:r>
        <w:rPr>
          <w:rFonts w:cs="Calibri"/>
          <w:u w:val="single"/>
        </w:rPr>
        <w:t>Guidelines</w:t>
      </w:r>
      <w:r>
        <w:rPr>
          <w:rFonts w:cs="Calibri"/>
        </w:rPr>
        <w:t xml:space="preserve">: </w:t>
      </w:r>
      <w:r>
        <w:rPr/>
        <w:t>This control enhancement applies to all sources of binary or machine-executable code including, for example, commercial software/firmware and open source software. Organizations assess software products without accompanying source code from sources with limited or no warranty for potential security impacts. The assessments address the fact that these types of software products may be very difficult to review, repair or extend, given that organizations, in most cases, do not have access to the original source code and there may be no owners who could make such repairs on behalf of organizations</w:t>
      </w:r>
      <w:bookmarkStart w:id="826" w:name="_Hlk27579442"/>
      <w:bookmarkEnd w:id="826"/>
    </w:p>
    <w:p>
      <w:pPr>
        <w:pStyle w:val="Normal"/>
        <w:rPr/>
      </w:pPr>
      <w:r>
        <w:rPr/>
      </w:r>
    </w:p>
    <w:p>
      <w:pPr>
        <w:pStyle w:val="Normal"/>
        <w:rPr/>
      </w:pPr>
      <w:r>
        <w:rPr/>
      </w:r>
    </w:p>
    <w:p>
      <w:pPr>
        <w:pStyle w:val="Heading2"/>
        <w:rPr/>
      </w:pPr>
      <w:bookmarkStart w:id="827" w:name="_Toc474074986"/>
      <w:bookmarkStart w:id="828" w:name="_Toc474075626"/>
      <w:bookmarkStart w:id="829" w:name="_Toc34920827"/>
      <w:r>
        <w:rPr/>
        <w:t>END-07: Host Intrusion Detection and Prevention Systems (HIDS / HIPS)</w:t>
      </w:r>
      <w:bookmarkEnd w:id="827"/>
      <w:bookmarkEnd w:id="828"/>
      <w:bookmarkEnd w:id="829"/>
      <w:r>
        <w:rPr/>
        <w:t xml:space="preserve"> </w:t>
      </w:r>
    </w:p>
    <w:p>
      <w:pPr>
        <w:pStyle w:val="Normal"/>
        <w:rPr/>
      </w:pPr>
      <w:r>
        <w:rPr>
          <w:u w:val="single"/>
        </w:rPr>
        <w:t>Control Objective</w:t>
      </w:r>
      <w:r>
        <w:rPr/>
        <w:t>: The organization utilizes host-based intrusion and detection technologies on sensitive systems.</w:t>
      </w:r>
    </w:p>
    <w:p>
      <w:pPr>
        <w:pStyle w:val="Normal"/>
        <w:rPr>
          <w:u w:val="single"/>
        </w:rPr>
      </w:pPr>
      <w:r>
        <w:rPr>
          <w:u w:val="single"/>
        </w:rPr>
      </w:r>
    </w:p>
    <w:p>
      <w:pPr>
        <w:pStyle w:val="Normal"/>
        <w:rPr/>
      </w:pPr>
      <w:r>
        <w:rPr>
          <w:u w:val="single"/>
        </w:rPr>
        <w:t>Standard</w:t>
      </w:r>
      <w:r>
        <w:rPr/>
        <w:t>: Assets that store and / or process sensitive data must have one of the following host-based technologies installed and configured to send alerts to a Security Incident Event Manager (SIEM) or centralized log collector:</w:t>
      </w:r>
    </w:p>
    <w:p>
      <w:pPr>
        <w:pStyle w:val="ListParagraph"/>
        <w:numPr>
          <w:ilvl w:val="0"/>
          <w:numId w:val="327"/>
        </w:numPr>
        <w:rPr/>
      </w:pPr>
      <w:r>
        <w:rPr/>
        <w:t xml:space="preserve">Host-based Intrusion Detection System (HIDS) or </w:t>
      </w:r>
    </w:p>
    <w:p>
      <w:pPr>
        <w:pStyle w:val="ListParagraph"/>
        <w:numPr>
          <w:ilvl w:val="0"/>
          <w:numId w:val="327"/>
        </w:numPr>
        <w:rPr/>
      </w:pPr>
      <w:r>
        <w:rPr/>
        <w:t>Host-based Intrusion Prevention System (HIPS).</w:t>
      </w:r>
    </w:p>
    <w:p>
      <w:pPr>
        <w:pStyle w:val="Normal"/>
        <w:rPr/>
      </w:pPr>
      <w:r>
        <w:rPr/>
      </w:r>
    </w:p>
    <w:p>
      <w:pPr>
        <w:pStyle w:val="Normal"/>
        <w:rPr/>
      </w:pPr>
      <w:r>
        <w:rPr>
          <w:u w:val="single"/>
        </w:rPr>
        <w:t>Guidelines</w:t>
      </w:r>
      <w:r>
        <w:rPr/>
        <w:t>: None</w:t>
      </w:r>
    </w:p>
    <w:p>
      <w:pPr>
        <w:pStyle w:val="Normal"/>
        <w:rPr/>
      </w:pPr>
      <w:r>
        <w:rPr/>
      </w:r>
    </w:p>
    <w:p>
      <w:pPr>
        <w:pStyle w:val="Normal"/>
        <w:rPr/>
      </w:pPr>
      <w:r>
        <w:rPr/>
      </w:r>
    </w:p>
    <w:p>
      <w:pPr>
        <w:pStyle w:val="Heading2"/>
        <w:rPr/>
      </w:pPr>
      <w:bookmarkStart w:id="830" w:name="_Toc474074987"/>
      <w:bookmarkStart w:id="831" w:name="_Toc474075627"/>
      <w:bookmarkStart w:id="832" w:name="_Toc34920828"/>
      <w:r>
        <w:rPr/>
        <w:t>END-08: Phishing &amp; Spam Protection</w:t>
      </w:r>
      <w:bookmarkEnd w:id="830"/>
      <w:bookmarkEnd w:id="831"/>
      <w:bookmarkEnd w:id="832"/>
      <w:r>
        <w:rPr/>
        <w:t xml:space="preserve"> </w:t>
      </w:r>
    </w:p>
    <w:p>
      <w:pPr>
        <w:pStyle w:val="Normal"/>
        <w:rPr/>
      </w:pPr>
      <w:r>
        <w:rPr>
          <w:u w:val="single"/>
        </w:rPr>
        <w:t>Control Objective</w:t>
      </w:r>
      <w:r>
        <w:rPr/>
        <w:t>: The organization employs phishing and spam protection mechanisms at system entry and exit points and at workstations, servers or mobile computing devices on the network to detect and take action on unsolicited messages transported by electronic mail, electronic mail attachments, web accesses or other common means.</w:t>
      </w:r>
      <w:r>
        <w:rPr>
          <w:rStyle w:val="FootnoteAnchor"/>
          <w:rStyle w:val="FootnoteAnchor"/>
          <w:rFonts w:cs="Calibri"/>
        </w:rPr>
        <w:footnoteReference w:id="254"/>
      </w:r>
    </w:p>
    <w:p>
      <w:pPr>
        <w:pStyle w:val="Normal"/>
        <w:rPr/>
      </w:pPr>
      <w:r>
        <w:rPr/>
      </w:r>
    </w:p>
    <w:p>
      <w:pPr>
        <w:pStyle w:val="Normal"/>
        <w:rPr/>
      </w:pPr>
      <w:r>
        <w:rPr>
          <w:u w:val="single"/>
        </w:rPr>
        <w:t>Standard</w:t>
      </w:r>
      <w:r>
        <w:rPr/>
        <w:t>: NFCC is required to centrally manage spam protection mechanisms, including signature definitions, to reduce the introduction of malicious software to client systems.</w:t>
      </w:r>
    </w:p>
    <w:p>
      <w:pPr>
        <w:pStyle w:val="Normal"/>
        <w:rPr/>
      </w:pPr>
      <w:r>
        <w:rPr/>
      </w:r>
    </w:p>
    <w:p>
      <w:pPr>
        <w:pStyle w:val="Normal"/>
        <w:rPr/>
      </w:pPr>
      <w:r>
        <w:rPr>
          <w:u w:val="single"/>
        </w:rPr>
        <w:t>Guidelines</w:t>
      </w:r>
      <w:r>
        <w:rPr/>
        <w:t>: To lower the chance of spoofed e-mail messages, the Sender Policy Framework (SPF) should be implemented by deploying SPF records in DNS and enabling receiver-side verification in mail servers.</w:t>
      </w:r>
    </w:p>
    <w:p>
      <w:pPr>
        <w:pStyle w:val="Normal"/>
        <w:rPr/>
      </w:pPr>
      <w:r>
        <w:rPr/>
      </w:r>
    </w:p>
    <w:p>
      <w:pPr>
        <w:pStyle w:val="Normal"/>
        <w:rPr/>
      </w:pPr>
      <w:r>
        <w:rPr/>
        <w:t xml:space="preserve">Scanning and blocking of all e-mail attachments should be done upon entering the organization's e-mail gateway if they contain malicious code or file types that are unnecessary for the organization's business. This scanning should be done before the e-mail is placed in the user's inbox. This includes e-mail content filtering and web content filtering. </w:t>
      </w:r>
    </w:p>
    <w:p>
      <w:pPr>
        <w:pStyle w:val="Normal"/>
        <w:rPr/>
      </w:pPr>
      <w:r>
        <w:rPr/>
      </w:r>
    </w:p>
    <w:p>
      <w:pPr>
        <w:pStyle w:val="Normal"/>
        <w:rPr/>
      </w:pPr>
      <w:r>
        <w:rPr/>
        <w:t>System entry and exit points include, for example, firewalls, electronic mail servers, web servers, proxy servers and remote-access servers.</w:t>
      </w:r>
    </w:p>
    <w:p>
      <w:pPr>
        <w:pStyle w:val="Normal"/>
        <w:rPr/>
      </w:pPr>
      <w:r>
        <w:rPr/>
      </w:r>
    </w:p>
    <w:p>
      <w:pPr>
        <w:pStyle w:val="Heading3"/>
        <w:rPr/>
      </w:pPr>
      <w:bookmarkStart w:id="833" w:name="_Toc474074988"/>
      <w:bookmarkStart w:id="834" w:name="_Toc34920829"/>
      <w:r>
        <w:rPr/>
        <w:t>END-08(a): Phishing &amp; Spam Protection | Central Management</w:t>
      </w:r>
      <w:bookmarkEnd w:id="833"/>
      <w:bookmarkEnd w:id="834"/>
      <w:r>
        <w:rPr/>
        <w:t xml:space="preserve"> </w:t>
      </w:r>
    </w:p>
    <w:p>
      <w:pPr>
        <w:pStyle w:val="Normal"/>
        <w:rPr/>
      </w:pPr>
      <w:r>
        <w:rPr>
          <w:u w:val="single"/>
        </w:rPr>
        <w:t>Control Objective</w:t>
      </w:r>
      <w:r>
        <w:rPr/>
        <w:t>: The organization centrally manages anti-phishing and spam protection mechanisms.</w:t>
      </w:r>
      <w:r>
        <w:rPr>
          <w:rStyle w:val="FootnoteAnchor"/>
          <w:rStyle w:val="FootnoteAnchor"/>
          <w:rFonts w:cs="Calibri"/>
        </w:rPr>
        <w:footnoteReference w:id="255"/>
      </w:r>
    </w:p>
    <w:p>
      <w:pPr>
        <w:pStyle w:val="Normal"/>
        <w:rPr/>
      </w:pPr>
      <w:r>
        <w:rPr/>
      </w:r>
    </w:p>
    <w:p>
      <w:pPr>
        <w:pStyle w:val="Normal"/>
        <w:rPr/>
      </w:pPr>
      <w:r>
        <w:rPr>
          <w:u w:val="single"/>
        </w:rPr>
        <w:t>Standard</w:t>
      </w:r>
      <w:r>
        <w:rPr/>
        <w:t>: Where technically feasible, NFCC shall centrally manage the spam protection mechanisms.</w:t>
      </w:r>
    </w:p>
    <w:p>
      <w:pPr>
        <w:pStyle w:val="Normal"/>
        <w:rPr/>
      </w:pPr>
      <w:r>
        <w:rPr/>
      </w:r>
    </w:p>
    <w:p>
      <w:pPr>
        <w:pStyle w:val="Normal"/>
        <w:rPr>
          <w:color w:val="C00000"/>
        </w:rPr>
      </w:pPr>
      <w:r>
        <w:rPr>
          <w:u w:val="single"/>
        </w:rPr>
        <w:t>Guidelines</w:t>
      </w:r>
      <w:r>
        <w:rPr/>
        <w:t>: Central management is the organization-wide management and implementation of spam protection mechanisms. Central management includes planning, implementing, assessing, authorizing and monitoring the organization-defined, centrally managed spam protection security controls.</w:t>
      </w:r>
    </w:p>
    <w:p>
      <w:pPr>
        <w:pStyle w:val="Normal"/>
        <w:rPr/>
      </w:pPr>
      <w:r>
        <w:rPr/>
      </w:r>
    </w:p>
    <w:p>
      <w:pPr>
        <w:pStyle w:val="Heading3"/>
        <w:rPr/>
      </w:pPr>
      <w:bookmarkStart w:id="835" w:name="_Toc474074989"/>
      <w:bookmarkStart w:id="836" w:name="_Toc34920830"/>
      <w:r>
        <w:rPr/>
        <w:t>END-08(b): Phishing &amp; Spam Protection | Automatic Updates</w:t>
      </w:r>
      <w:bookmarkEnd w:id="835"/>
      <w:bookmarkEnd w:id="836"/>
      <w:r>
        <w:rPr/>
        <w:t xml:space="preserve"> </w:t>
      </w:r>
    </w:p>
    <w:p>
      <w:pPr>
        <w:pStyle w:val="Normal"/>
        <w:rPr/>
      </w:pPr>
      <w:r>
        <w:rPr>
          <w:u w:val="single"/>
        </w:rPr>
        <w:t>Control Objective</w:t>
      </w:r>
      <w:r>
        <w:rPr/>
        <w:t>: System automatically update anti-phishing and spam protection mechanisms.</w:t>
      </w:r>
      <w:r>
        <w:rPr>
          <w:rStyle w:val="FootnoteAnchor"/>
          <w:rStyle w:val="FootnoteAnchor"/>
          <w:rFonts w:cs="Calibri"/>
        </w:rPr>
        <w:footnoteReference w:id="256"/>
      </w:r>
    </w:p>
    <w:p>
      <w:pPr>
        <w:pStyle w:val="Normal"/>
        <w:rPr/>
      </w:pPr>
      <w:r>
        <w:rPr/>
      </w:r>
    </w:p>
    <w:p>
      <w:pPr>
        <w:pStyle w:val="Normal"/>
        <w:rPr/>
      </w:pPr>
      <w:r>
        <w:rPr>
          <w:u w:val="single"/>
        </w:rPr>
        <w:t>Standard</w:t>
      </w:r>
      <w:r>
        <w:rPr/>
        <w:t>: Where technically feasible, systems must automatically update spam protection mechanisms.</w:t>
      </w:r>
    </w:p>
    <w:p>
      <w:pPr>
        <w:pStyle w:val="Normal"/>
        <w:rPr/>
      </w:pPr>
      <w:r>
        <w:rPr/>
      </w:r>
    </w:p>
    <w:p>
      <w:pPr>
        <w:pStyle w:val="Normal"/>
        <w:rPr>
          <w:color w:val="C00000"/>
        </w:rPr>
      </w:pPr>
      <w:r>
        <w:rPr>
          <w:u w:val="single"/>
        </w:rPr>
        <w:t>Guidelines</w:t>
      </w:r>
      <w:r>
        <w:rPr/>
        <w:t>: None</w:t>
      </w:r>
    </w:p>
    <w:p>
      <w:pPr>
        <w:pStyle w:val="Normal"/>
        <w:rPr/>
      </w:pPr>
      <w:r>
        <w:rPr/>
      </w:r>
    </w:p>
    <w:p>
      <w:pPr>
        <w:pStyle w:val="Normal"/>
        <w:rPr/>
      </w:pPr>
      <w:r>
        <w:rPr/>
      </w:r>
    </w:p>
    <w:p>
      <w:pPr>
        <w:pStyle w:val="Heading2"/>
        <w:rPr/>
      </w:pPr>
      <w:bookmarkStart w:id="837" w:name="_Toc474074990"/>
      <w:bookmarkStart w:id="838" w:name="_Toc474075628"/>
      <w:bookmarkStart w:id="839" w:name="_Toc34920831"/>
      <w:r>
        <w:rPr/>
        <w:t>END-09: Trusted Path</w:t>
      </w:r>
      <w:bookmarkEnd w:id="837"/>
      <w:bookmarkEnd w:id="838"/>
      <w:bookmarkEnd w:id="839"/>
    </w:p>
    <w:p>
      <w:pPr>
        <w:pStyle w:val="Normal"/>
        <w:rPr/>
      </w:pPr>
      <w:r>
        <w:rPr>
          <w:u w:val="single"/>
        </w:rPr>
        <w:t>Control Objective</w:t>
      </w:r>
      <w:r>
        <w:rPr/>
        <w:t>: Systems establish a trusted communications path between the user and the security functions of the system.</w:t>
      </w:r>
      <w:r>
        <w:rPr>
          <w:rStyle w:val="FootnoteAnchor"/>
          <w:rStyle w:val="FootnoteAnchor"/>
        </w:rPr>
        <w:footnoteReference w:id="257"/>
      </w:r>
    </w:p>
    <w:p>
      <w:pPr>
        <w:pStyle w:val="Normal"/>
        <w:rPr/>
      </w:pPr>
      <w:r>
        <w:rPr/>
      </w:r>
    </w:p>
    <w:p>
      <w:pPr>
        <w:pStyle w:val="Normal"/>
        <w:rPr/>
      </w:pPr>
      <w:r>
        <w:rPr>
          <w:u w:val="single"/>
        </w:rPr>
        <w:t>Standard</w:t>
      </w:r>
      <w:r>
        <w:rPr/>
        <w:t>: Where technically feasible, systems must authenticate with Active Directory (AD).</w:t>
      </w:r>
    </w:p>
    <w:p>
      <w:pPr>
        <w:pStyle w:val="Normal"/>
        <w:rPr/>
      </w:pPr>
      <w:r>
        <w:rPr/>
      </w:r>
    </w:p>
    <w:p>
      <w:pPr>
        <w:pStyle w:val="Normal"/>
        <w:rPr/>
      </w:pPr>
      <w:r>
        <w:rPr>
          <w:u w:val="single"/>
        </w:rPr>
        <w:t>Guidelines</w:t>
      </w:r>
      <w:r>
        <w:rPr/>
        <w:t xml:space="preserve">: A trusted path is simply some mechanism that provides confidence that the user is communicating with what the user intended to communicate with, ensuring that attackers can't intercept or modify whatever information is being communicated. The traditional example is a "fake login" program (e.g., a program is written to look like the login screen of a system) where users try to log in, the fake login program can then capture user passwords for later use. </w:t>
      </w:r>
    </w:p>
    <w:p>
      <w:pPr>
        <w:pStyle w:val="Normal"/>
        <w:rPr/>
      </w:pPr>
      <w:r>
        <w:rPr/>
      </w:r>
    </w:p>
    <w:p>
      <w:pPr>
        <w:pStyle w:val="Normal"/>
        <w:rPr/>
      </w:pPr>
      <w:r>
        <w:rPr/>
        <w:t>Microsoft’s Active Directory provides a trusted path to its login window by requiring the user to press Ctrl+Alt+Del. This key sequence causes a non-maskable interrupt that can only be intercepted by the operating system, thus guaranteeing that the login window cannot be spoofed by any application.</w:t>
      </w:r>
    </w:p>
    <w:p>
      <w:pPr>
        <w:pStyle w:val="Normal"/>
        <w:rPr/>
      </w:pPr>
      <w:r>
        <w:rPr/>
      </w:r>
    </w:p>
    <w:p>
      <w:pPr>
        <w:pStyle w:val="Normal"/>
        <w:rPr/>
      </w:pPr>
      <w:r>
        <w:rPr/>
      </w:r>
    </w:p>
    <w:p>
      <w:pPr>
        <w:pStyle w:val="Heading2"/>
        <w:rPr/>
      </w:pPr>
      <w:bookmarkStart w:id="840" w:name="_Toc34920832"/>
      <w:bookmarkStart w:id="841" w:name="_Toc474074991"/>
      <w:bookmarkStart w:id="842" w:name="_Toc474075629"/>
      <w:r>
        <w:rPr/>
        <w:t xml:space="preserve">END-10: </w:t>
      </w:r>
      <w:bookmarkEnd w:id="841"/>
      <w:bookmarkEnd w:id="842"/>
      <w:r>
        <w:rPr/>
        <w:t>Mobile Code</w:t>
      </w:r>
      <w:bookmarkEnd w:id="840"/>
      <w:r>
        <w:rPr/>
        <w:t xml:space="preserve"> </w:t>
      </w:r>
    </w:p>
    <w:p>
      <w:pPr>
        <w:pStyle w:val="Normal"/>
        <w:rPr/>
      </w:pPr>
      <w:r>
        <w:rPr>
          <w:u w:val="single"/>
        </w:rPr>
        <w:t>Control Objective</w:t>
      </w:r>
      <w:r>
        <w:rPr/>
        <w:t xml:space="preserve">: The organization addresses </w:t>
      </w:r>
      <w:r>
        <w:rPr>
          <w:iCs/>
        </w:rPr>
        <w:t xml:space="preserve">operating system-independent applications. </w:t>
      </w:r>
      <w:r>
        <w:rPr/>
        <w:t>The organization:</w:t>
      </w:r>
      <w:r>
        <w:rPr>
          <w:rStyle w:val="FootnoteAnchor"/>
          <w:rStyle w:val="FootnoteAnchor"/>
        </w:rPr>
        <w:footnoteReference w:id="258"/>
      </w:r>
    </w:p>
    <w:p>
      <w:pPr>
        <w:pStyle w:val="ListParagraph"/>
        <w:numPr>
          <w:ilvl w:val="0"/>
          <w:numId w:val="103"/>
        </w:numPr>
        <w:rPr/>
      </w:pPr>
      <w:r>
        <w:rPr/>
        <w:t>Defines acceptable and unacceptable mobile code and mobile code technologies;</w:t>
      </w:r>
    </w:p>
    <w:p>
      <w:pPr>
        <w:pStyle w:val="ListParagraph"/>
        <w:numPr>
          <w:ilvl w:val="0"/>
          <w:numId w:val="103"/>
        </w:numPr>
        <w:rPr/>
      </w:pPr>
      <w:r>
        <w:rPr/>
        <w:t>Establishes usage restrictions and implementation guidance for acceptable mobile code and mobile code technologies; and</w:t>
      </w:r>
    </w:p>
    <w:p>
      <w:pPr>
        <w:pStyle w:val="ListParagraph"/>
        <w:numPr>
          <w:ilvl w:val="0"/>
          <w:numId w:val="103"/>
        </w:numPr>
        <w:rPr/>
      </w:pPr>
      <w:r>
        <w:rPr/>
        <w:t>Authorizes, monitors and controls the use of mobile code within systems.</w:t>
      </w:r>
    </w:p>
    <w:p>
      <w:pPr>
        <w:pStyle w:val="Normal"/>
        <w:rPr/>
      </w:pPr>
      <w:r>
        <w:rPr/>
      </w:r>
    </w:p>
    <w:p>
      <w:pPr>
        <w:pStyle w:val="Normal"/>
        <w:rPr/>
      </w:pPr>
      <w:r>
        <w:rPr>
          <w:u w:val="single"/>
        </w:rPr>
        <w:t>Standard</w:t>
      </w:r>
      <w:r>
        <w:rPr/>
        <w:t>: Data/process owners and asset custodians are required to manage the use of mobile code technologies through:</w:t>
      </w:r>
    </w:p>
    <w:p>
      <w:pPr>
        <w:pStyle w:val="ListParagraph"/>
        <w:numPr>
          <w:ilvl w:val="0"/>
          <w:numId w:val="328"/>
        </w:numPr>
        <w:rPr/>
      </w:pPr>
      <w:r>
        <w:rPr/>
        <w:t xml:space="preserve">Managing operating system-independent applications, based on the threat posed since operating system-independent applications are applications that can run on multiple operating systems; and </w:t>
      </w:r>
    </w:p>
    <w:p>
      <w:pPr>
        <w:pStyle w:val="ListParagraph"/>
        <w:numPr>
          <w:ilvl w:val="1"/>
          <w:numId w:val="328"/>
        </w:numPr>
        <w:rPr/>
      </w:pPr>
      <w:r>
        <w:rPr/>
        <w:t>Defining acceptable and unacceptable mobile code and mobile code technologies;</w:t>
      </w:r>
    </w:p>
    <w:p>
      <w:pPr>
        <w:pStyle w:val="ListParagraph"/>
        <w:numPr>
          <w:ilvl w:val="1"/>
          <w:numId w:val="328"/>
        </w:numPr>
        <w:rPr/>
      </w:pPr>
      <w:r>
        <w:rPr/>
        <w:t xml:space="preserve">Establishing usage restrictions for mobile code and mobile code technologies; and </w:t>
      </w:r>
    </w:p>
    <w:p>
      <w:pPr>
        <w:pStyle w:val="ListParagraph"/>
        <w:numPr>
          <w:ilvl w:val="0"/>
          <w:numId w:val="328"/>
        </w:numPr>
        <w:rPr/>
      </w:pPr>
      <w:r>
        <w:rPr/>
        <w:t>Developing secure system configurations to address mobile code usage within systems that include, but is not limited to:</w:t>
      </w:r>
    </w:p>
    <w:p>
      <w:pPr>
        <w:pStyle w:val="ListParagraph"/>
        <w:numPr>
          <w:ilvl w:val="1"/>
          <w:numId w:val="328"/>
        </w:numPr>
        <w:rPr/>
      </w:pPr>
      <w:r>
        <w:rPr/>
        <w:t xml:space="preserve">Preventing the download and execution of prohibited mobile code; </w:t>
      </w:r>
    </w:p>
    <w:p>
      <w:pPr>
        <w:pStyle w:val="ListParagraph"/>
        <w:numPr>
          <w:ilvl w:val="1"/>
          <w:numId w:val="328"/>
        </w:numPr>
        <w:rPr/>
      </w:pPr>
      <w:r>
        <w:rPr/>
        <w:t>Preventing the automatic execution of mobile code; and</w:t>
      </w:r>
    </w:p>
    <w:p>
      <w:pPr>
        <w:pStyle w:val="ListParagraph"/>
        <w:numPr>
          <w:ilvl w:val="1"/>
          <w:numId w:val="328"/>
        </w:numPr>
        <w:rPr/>
      </w:pPr>
      <w:r>
        <w:rPr/>
        <w:t>Uninstalling operating system-independent applications from systems where the applications are not required for a business purpose.</w:t>
      </w:r>
    </w:p>
    <w:p>
      <w:pPr>
        <w:pStyle w:val="Normal"/>
        <w:rPr/>
      </w:pPr>
      <w:r>
        <w:rPr/>
      </w:r>
    </w:p>
    <w:p>
      <w:pPr>
        <w:pStyle w:val="Normal"/>
        <w:rPr/>
      </w:pPr>
      <w:r>
        <w:rPr>
          <w:u w:val="single"/>
        </w:rPr>
        <w:t>Guidelines</w:t>
      </w:r>
      <w:r>
        <w:rPr/>
        <w:t xml:space="preserve">: Operating system independent applications (e.g., Java, Flash, QuickTime, etc.) promote functionality across platforms, but are considered security risks. Operating system-independent applications are applications that can run on multiple operating systems. Such applications promote portability and reconstitution on different platform architectures, increasing the availability of critical functions within organizations while systems with specific operating systems are under attack. </w:t>
      </w:r>
    </w:p>
    <w:p>
      <w:pPr>
        <w:pStyle w:val="Normal"/>
        <w:rPr/>
      </w:pPr>
      <w:r>
        <w:rPr/>
      </w:r>
    </w:p>
    <w:p>
      <w:pPr>
        <w:pStyle w:val="Normal"/>
        <w:rPr/>
      </w:pPr>
      <w:r>
        <w:rPr/>
        <w:t xml:space="preserve">Decisions regarding the employment of mobile code within NFCC’s systems are based on the potential for the code to cause damage to the systems if used maliciously. Mobile code technologies include, for example, Java, JavaScript, ActiveX, Postscript, PDF, Shockwave movies, Flash animations and VBScript. Usage restrictions and implementation guidance apply to both the selection and use of mobile code installed on servers and mobile code downloaded and executed on individual workstations and devices (e.g., smartphones). </w:t>
      </w:r>
    </w:p>
    <w:p>
      <w:pPr>
        <w:pStyle w:val="Normal"/>
        <w:rPr/>
      </w:pPr>
      <w:r>
        <w:rPr/>
      </w:r>
    </w:p>
    <w:p>
      <w:pPr>
        <w:pStyle w:val="Normal"/>
        <w:rPr/>
      </w:pPr>
      <w:r>
        <w:rPr/>
        <w:t>The following mobile code and mobile code technologies are defined below as High Risk, Moderate Risk and Low Risk:</w:t>
      </w:r>
    </w:p>
    <w:p>
      <w:pPr>
        <w:pStyle w:val="ListParagraph"/>
        <w:numPr>
          <w:ilvl w:val="0"/>
          <w:numId w:val="104"/>
        </w:numPr>
        <w:rPr/>
      </w:pPr>
      <w:r>
        <w:rPr>
          <w:u w:val="single"/>
        </w:rPr>
        <w:t>High Risk</w:t>
      </w:r>
      <w:r>
        <w:rPr/>
        <w:t>: Mobile code technologies that exhibit functionality allowing unmediated access to host and remote services and resources.</w:t>
      </w:r>
    </w:p>
    <w:p>
      <w:pPr>
        <w:pStyle w:val="ListParagraph"/>
        <w:numPr>
          <w:ilvl w:val="0"/>
          <w:numId w:val="104"/>
        </w:numPr>
        <w:rPr/>
      </w:pPr>
      <w:r>
        <w:rPr>
          <w:u w:val="single"/>
        </w:rPr>
        <w:t>Medium Risk</w:t>
      </w:r>
      <w:r>
        <w:rPr/>
        <w:t>: Mobile code technologies that have functionality allowing mediated or controlled access to local services and resources.</w:t>
      </w:r>
    </w:p>
    <w:p>
      <w:pPr>
        <w:pStyle w:val="ListParagraph"/>
        <w:numPr>
          <w:ilvl w:val="0"/>
          <w:numId w:val="104"/>
        </w:numPr>
        <w:rPr/>
      </w:pPr>
      <w:r>
        <w:rPr>
          <w:u w:val="single"/>
        </w:rPr>
        <w:t>Low Risk</w:t>
      </w:r>
      <w:r>
        <w:rPr/>
        <w:t>: Mobile code technologies that have functionality with no capability for unmediated access to local services and resources.</w:t>
      </w:r>
    </w:p>
    <w:p>
      <w:pPr>
        <w:pStyle w:val="Normal"/>
        <w:rPr/>
      </w:pPr>
      <w:r>
        <w:rPr/>
      </w:r>
    </w:p>
    <w:p>
      <w:pPr>
        <w:pStyle w:val="Normal"/>
        <w:rPr/>
      </w:pPr>
      <w:r>
        <w:rPr/>
        <w:t>Ensure usage restrictions and implementation guidelines for mobile code and mobile code technologies are limited to:</w:t>
      </w:r>
    </w:p>
    <w:p>
      <w:pPr>
        <w:pStyle w:val="ListParagraph"/>
        <w:numPr>
          <w:ilvl w:val="0"/>
          <w:numId w:val="105"/>
        </w:numPr>
        <w:rPr/>
      </w:pPr>
      <w:r>
        <w:rPr>
          <w:u w:val="single"/>
        </w:rPr>
        <w:t>Intranet Usage</w:t>
      </w:r>
      <w:r>
        <w:rPr/>
        <w:t xml:space="preserve"> – Low, Medium and High-risk mobile code is permitted in controlled and trusted environments; and</w:t>
      </w:r>
    </w:p>
    <w:p>
      <w:pPr>
        <w:pStyle w:val="ListParagraph"/>
        <w:numPr>
          <w:ilvl w:val="0"/>
          <w:numId w:val="105"/>
        </w:numPr>
        <w:rPr/>
      </w:pPr>
      <w:r>
        <w:rPr>
          <w:u w:val="single"/>
        </w:rPr>
        <w:t>Internet Usage</w:t>
      </w:r>
      <w:r>
        <w:rPr/>
        <w:t xml:space="preserve"> – All High-risk mobile code will be blocked or disabled for Internet browsing sessions.</w:t>
      </w:r>
    </w:p>
    <w:p>
      <w:pPr>
        <w:pStyle w:val="Normal"/>
        <w:rPr/>
      </w:pPr>
      <w:r>
        <w:rPr/>
      </w:r>
    </w:p>
    <w:p>
      <w:pPr>
        <w:pStyle w:val="Normal"/>
        <w:rPr/>
      </w:pPr>
      <w:r>
        <w:rPr/>
      </w:r>
    </w:p>
    <w:p>
      <w:pPr>
        <w:pStyle w:val="Heading2"/>
        <w:rPr/>
      </w:pPr>
      <w:bookmarkStart w:id="843" w:name="_Toc474074992"/>
      <w:bookmarkStart w:id="844" w:name="_Toc474075630"/>
      <w:bookmarkStart w:id="845" w:name="_Toc34920833"/>
      <w:r>
        <w:rPr/>
        <w:t>END-11: Thin Nodes</w:t>
      </w:r>
      <w:bookmarkEnd w:id="843"/>
      <w:bookmarkEnd w:id="844"/>
      <w:bookmarkEnd w:id="845"/>
    </w:p>
    <w:p>
      <w:pPr>
        <w:pStyle w:val="Normal"/>
        <w:rPr/>
      </w:pPr>
      <w:r>
        <w:rPr>
          <w:u w:val="single"/>
        </w:rPr>
        <w:t>Control Objective</w:t>
      </w:r>
      <w:r>
        <w:rPr/>
        <w:t>: The organization configures thin nodes to employ processing components that have minimal functionality and information storage.</w:t>
      </w:r>
      <w:r>
        <w:rPr>
          <w:rStyle w:val="FootnoteAnchor"/>
          <w:rStyle w:val="FootnoteAnchor"/>
        </w:rPr>
        <w:footnoteReference w:id="259"/>
      </w:r>
    </w:p>
    <w:p>
      <w:pPr>
        <w:pStyle w:val="Normal"/>
        <w:rPr/>
      </w:pPr>
      <w:r>
        <w:rPr/>
      </w:r>
    </w:p>
    <w:p>
      <w:pPr>
        <w:pStyle w:val="Normal"/>
        <w:rPr/>
      </w:pPr>
      <w:r>
        <w:rPr>
          <w:u w:val="single"/>
        </w:rPr>
        <w:t>Standard</w:t>
      </w:r>
      <w:r>
        <w:rPr/>
        <w:t xml:space="preserve">: Where technically feasible and justified by a valid business case, NFCC authorizes the use of thin clients in scenarios where the physical security of a workstation cannot be guaranteed, such as kiosks or where system customization is not permitted. </w:t>
      </w:r>
    </w:p>
    <w:p>
      <w:pPr>
        <w:pStyle w:val="Normal"/>
        <w:rPr/>
      </w:pPr>
      <w:r>
        <w:rPr/>
      </w:r>
    </w:p>
    <w:p>
      <w:pPr>
        <w:pStyle w:val="Normal"/>
        <w:rPr/>
      </w:pPr>
      <w:r>
        <w:rPr>
          <w:u w:val="single"/>
        </w:rPr>
        <w:t>Guidelines</w:t>
      </w:r>
      <w:r>
        <w:rPr/>
        <w:t xml:space="preserve">: The deployment of system components with reduced / minimal functionality (e.g., diskless nodes and thin client technologies) reduces the need to secure every user endpoint and may reduce the exposure of information, systems and services to cyber-attacks. </w:t>
      </w:r>
    </w:p>
    <w:p>
      <w:pPr>
        <w:pStyle w:val="Normal"/>
        <w:rPr/>
      </w:pPr>
      <w:r>
        <w:rPr/>
      </w:r>
    </w:p>
    <w:p>
      <w:pPr>
        <w:pStyle w:val="Normal"/>
        <w:rPr/>
      </w:pPr>
      <w:r>
        <w:rPr/>
      </w:r>
    </w:p>
    <w:p>
      <w:pPr>
        <w:pStyle w:val="Heading2"/>
        <w:rPr/>
      </w:pPr>
      <w:bookmarkStart w:id="846" w:name="_Toc474074993"/>
      <w:bookmarkStart w:id="847" w:name="_Toc474075631"/>
      <w:bookmarkStart w:id="848" w:name="_Toc34920834"/>
      <w:r>
        <w:rPr/>
        <w:t>END-12: Port &amp; Input / Output (I/O) Device Access</w:t>
      </w:r>
      <w:bookmarkEnd w:id="846"/>
      <w:bookmarkEnd w:id="847"/>
      <w:bookmarkEnd w:id="848"/>
      <w:r>
        <w:rPr/>
        <w:t xml:space="preserve"> </w:t>
      </w:r>
    </w:p>
    <w:p>
      <w:pPr>
        <w:pStyle w:val="Normal"/>
        <w:rPr/>
      </w:pPr>
      <w:r>
        <w:rPr>
          <w:u w:val="single"/>
        </w:rPr>
        <w:t>Control Objective</w:t>
      </w:r>
      <w:r>
        <w:rPr/>
        <w:t>: The organization physically disables or removes unnecessary connection ports or input / output (I / O) devices on sensitive systems or system components.</w:t>
      </w:r>
      <w:r>
        <w:rPr>
          <w:rStyle w:val="FootnoteAnchor"/>
          <w:rStyle w:val="FootnoteAnchor"/>
        </w:rPr>
        <w:footnoteReference w:id="260"/>
      </w:r>
    </w:p>
    <w:p>
      <w:pPr>
        <w:pStyle w:val="Normal"/>
        <w:rPr/>
      </w:pPr>
      <w:r>
        <w:rPr/>
      </w:r>
    </w:p>
    <w:p>
      <w:pPr>
        <w:pStyle w:val="Normal"/>
        <w:rPr/>
      </w:pPr>
      <w:r>
        <w:rPr>
          <w:u w:val="single"/>
        </w:rPr>
        <w:t>Standard</w:t>
      </w:r>
      <w:r>
        <w:rPr/>
        <w:t>: Where technically feasible and a strong business need exists, asset custodians shall physically disable or remove connection ports or input / output (I / O) devices on sensitive systems or system components.</w:t>
      </w:r>
    </w:p>
    <w:p>
      <w:pPr>
        <w:pStyle w:val="Normal"/>
        <w:rPr/>
      </w:pPr>
      <w:r>
        <w:rPr/>
      </w:r>
    </w:p>
    <w:p>
      <w:pPr>
        <w:pStyle w:val="Normal"/>
        <w:rPr/>
      </w:pPr>
      <w:r>
        <w:rPr>
          <w:u w:val="single"/>
        </w:rPr>
        <w:t>Guidelines</w:t>
      </w:r>
      <w:r>
        <w:rPr/>
        <w:t>: Connection ports include, for example, Universal Serial Bus (USB) and Firewire (IEEE 1394). Input / output (I / O) devices include, for example, Compact Disk (CD) and Digital Video Disk (DVD) drives. Physically disabling or removing such connection ports and I / O devices helps prevent exfiltration of information from systems and the introduction of malicious code into systems from those ports / devices.</w:t>
      </w:r>
    </w:p>
    <w:p>
      <w:pPr>
        <w:pStyle w:val="Normal"/>
        <w:rPr/>
      </w:pPr>
      <w:r>
        <w:rPr/>
      </w:r>
    </w:p>
    <w:p>
      <w:pPr>
        <w:pStyle w:val="Normal"/>
        <w:rPr/>
      </w:pPr>
      <w:r>
        <w:rPr/>
      </w:r>
    </w:p>
    <w:p>
      <w:pPr>
        <w:pStyle w:val="Heading2"/>
        <w:rPr/>
      </w:pPr>
      <w:bookmarkStart w:id="849" w:name="_Toc474074994"/>
      <w:bookmarkStart w:id="850" w:name="_Toc474075632"/>
      <w:bookmarkStart w:id="851" w:name="_Toc34920835"/>
      <w:r>
        <w:rPr/>
        <w:t>END-13: Sensor Capability</w:t>
      </w:r>
      <w:bookmarkEnd w:id="849"/>
      <w:bookmarkEnd w:id="850"/>
      <w:bookmarkEnd w:id="851"/>
      <w:r>
        <w:rPr/>
        <w:t xml:space="preserve"> </w:t>
      </w:r>
    </w:p>
    <w:p>
      <w:pPr>
        <w:pStyle w:val="Normal"/>
        <w:rPr/>
      </w:pPr>
      <w:r>
        <w:rPr>
          <w:u w:val="single"/>
        </w:rPr>
        <w:t>Control Objective</w:t>
      </w:r>
      <w:r>
        <w:rPr/>
        <w:t>: Systems:</w:t>
      </w:r>
      <w:r>
        <w:rPr>
          <w:rStyle w:val="FootnoteAnchor"/>
          <w:rStyle w:val="FootnoteAnchor"/>
        </w:rPr>
        <w:footnoteReference w:id="261"/>
      </w:r>
    </w:p>
    <w:p>
      <w:pPr>
        <w:pStyle w:val="ListParagraph"/>
        <w:numPr>
          <w:ilvl w:val="0"/>
          <w:numId w:val="149"/>
        </w:numPr>
        <w:rPr/>
      </w:pPr>
      <w:r>
        <w:rPr/>
        <w:t>Prohibit the remote activation of environmental sensing capabilities; and</w:t>
      </w:r>
    </w:p>
    <w:p>
      <w:pPr>
        <w:pStyle w:val="ListParagraph"/>
        <w:numPr>
          <w:ilvl w:val="0"/>
          <w:numId w:val="149"/>
        </w:numPr>
        <w:rPr/>
      </w:pPr>
      <w:r>
        <w:rPr/>
        <w:t>Provide an explicit indication of sensor use to users.</w:t>
      </w:r>
    </w:p>
    <w:p>
      <w:pPr>
        <w:pStyle w:val="Normal"/>
        <w:rPr/>
      </w:pPr>
      <w:r>
        <w:rPr/>
      </w:r>
    </w:p>
    <w:p>
      <w:pPr>
        <w:pStyle w:val="Normal"/>
        <w:rPr>
          <w:rFonts w:cs="Calibri"/>
        </w:rPr>
      </w:pPr>
      <w:r>
        <w:rPr>
          <w:rFonts w:cs="Calibri"/>
          <w:u w:val="single"/>
        </w:rPr>
        <w:t>Standard</w:t>
      </w:r>
      <w:r>
        <w:rPr>
          <w:rFonts w:cs="Calibri"/>
        </w:rPr>
        <w:t>: Where applicable, a</w:t>
      </w:r>
      <w:r>
        <w:rPr/>
        <w:t>sset custodians and data / process owners are required to</w:t>
      </w:r>
      <w:r>
        <w:rPr>
          <w:rFonts w:cs="Calibri"/>
        </w:rPr>
        <w:t xml:space="preserve"> configure systems to:</w:t>
      </w:r>
    </w:p>
    <w:p>
      <w:pPr>
        <w:pStyle w:val="ListParagraph"/>
        <w:numPr>
          <w:ilvl w:val="0"/>
          <w:numId w:val="329"/>
        </w:numPr>
        <w:rPr/>
      </w:pPr>
      <w:r>
        <w:rPr/>
        <w:t>Prohibit the remote activation of environmental sensing capabilities (e.g., GPS mechanisms); and</w:t>
      </w:r>
    </w:p>
    <w:p>
      <w:pPr>
        <w:pStyle w:val="ListParagraph"/>
        <w:numPr>
          <w:ilvl w:val="0"/>
          <w:numId w:val="329"/>
        </w:numPr>
        <w:rPr/>
      </w:pPr>
      <w:r>
        <w:rPr/>
        <w:t>Provides an explicit indication of sensor use to users.</w:t>
      </w:r>
    </w:p>
    <w:p>
      <w:pPr>
        <w:pStyle w:val="Normal"/>
        <w:rPr/>
      </w:pPr>
      <w:r>
        <w:rPr/>
      </w:r>
    </w:p>
    <w:p>
      <w:pPr>
        <w:pStyle w:val="Normal"/>
        <w:rPr/>
      </w:pPr>
      <w:r>
        <w:rPr>
          <w:u w:val="single"/>
        </w:rPr>
        <w:t>Guidelines</w:t>
      </w:r>
      <w:r>
        <w:rPr/>
        <w:t>: This control often applies to types of systems or system components characterized as mobile devices, for example, smartphones, tablets and E-readers. These systems often include sensors that can collect and record data regarding the environment where the system is in use. Sensors that are embedded within mobile devices include, for example, cameras, microphones, Global Positioning System (GPS) mechanisms and accelerometers. While the sensors on mobiles devices provide an important function, if activated covertly, such devices can potentially provide a means for adversaries to learn valuable information about individuals and organizations. For example, remotely activating the GPS function on a mobile device could provide an adversary with the ability to track the specific movements of an individual.</w:t>
      </w:r>
    </w:p>
    <w:p>
      <w:pPr>
        <w:pStyle w:val="Normal"/>
        <w:tabs>
          <w:tab w:val="clear" w:pos="360"/>
          <w:tab w:val="clear" w:pos="720"/>
          <w:tab w:val="clear" w:pos="1080"/>
        </w:tabs>
        <w:jc w:val="left"/>
        <w:rPr>
          <w:rFonts w:eastAsia="Calibri" w:cs="Calibri"/>
          <w:b/>
          <w:b/>
          <w:bCs w:val="false"/>
          <w:iCs/>
          <w:smallCaps/>
          <w:color w:val="1F497D" w:themeColor="text2"/>
        </w:rPr>
      </w:pPr>
      <w:r>
        <w:rPr>
          <w:rFonts w:eastAsia="Calibri" w:cs="Calibri"/>
          <w:b/>
          <w:bCs w:val="false"/>
          <w:iCs/>
          <w:smallCaps/>
          <w:color w:val="1F497D" w:themeColor="text2"/>
        </w:rPr>
      </w:r>
    </w:p>
    <w:p>
      <w:pPr>
        <w:pStyle w:val="Heading3"/>
        <w:rPr/>
      </w:pPr>
      <w:bookmarkStart w:id="852" w:name="_Toc34920836"/>
      <w:r>
        <w:rPr/>
        <w:t>END-13(a): Sensor Capability | Authorized Use</w:t>
      </w:r>
      <w:bookmarkEnd w:id="852"/>
    </w:p>
    <w:p>
      <w:pPr>
        <w:pStyle w:val="Normal"/>
        <w:rPr/>
      </w:pPr>
      <w:r>
        <w:rPr>
          <w:u w:val="single"/>
        </w:rPr>
        <w:t>Control Objective</w:t>
      </w:r>
      <w:r>
        <w:rPr/>
        <w:t>: The organization employs organization-defined measures so that data or information collected by sensors is only used for authorized purposes.</w:t>
      </w:r>
    </w:p>
    <w:p>
      <w:pPr>
        <w:pStyle w:val="Normal"/>
        <w:rPr/>
      </w:pPr>
      <w:r>
        <w:rPr/>
      </w:r>
    </w:p>
    <w:p>
      <w:pPr>
        <w:pStyle w:val="Normal"/>
        <w:rPr/>
      </w:pPr>
      <w:r>
        <w:rPr>
          <w:u w:val="single"/>
        </w:rPr>
        <w:t>Standard</w:t>
      </w:r>
      <w:r>
        <w:rPr/>
        <w:t>: Asset custodians and data/process owners are required to employ measures so that data or information collected by Internet of Things (IoT) and/or Operational Technology (OT) sensors is only used for authorized purposes.</w:t>
      </w:r>
    </w:p>
    <w:p>
      <w:pPr>
        <w:pStyle w:val="Normal"/>
        <w:rPr/>
      </w:pPr>
      <w:r>
        <w:rPr/>
      </w:r>
    </w:p>
    <w:p>
      <w:pPr>
        <w:pStyle w:val="Normal"/>
        <w:rPr/>
      </w:pPr>
      <w:r>
        <w:rPr>
          <w:u w:val="single"/>
        </w:rPr>
        <w:t>Guidelines</w:t>
      </w:r>
      <w:r>
        <w:rPr/>
        <w:t>: Information collected by sensors for a specific authorized purpose could be misused for some unauthorized purpose. For example, GPS sensors that are used to support traffic navigation could be misused to track movements of individuals. Measures to mitigate such activities include, for example, additional training to ensure that authorized individuals do not abuse their authority; and in the case where sensor data or information is maintained by external parties, contractual restrictions on the use of such data/information.</w:t>
      </w:r>
    </w:p>
    <w:p>
      <w:pPr>
        <w:pStyle w:val="Normal"/>
        <w:rPr/>
      </w:pPr>
      <w:r>
        <w:rPr/>
      </w:r>
    </w:p>
    <w:p>
      <w:pPr>
        <w:pStyle w:val="Heading3"/>
        <w:rPr/>
      </w:pPr>
      <w:bookmarkStart w:id="853" w:name="_Toc34920837"/>
      <w:r>
        <w:rPr/>
        <w:t>END-13(b): Sensor Capability | Notice of Collection</w:t>
      </w:r>
      <w:bookmarkEnd w:id="853"/>
    </w:p>
    <w:p>
      <w:pPr>
        <w:pStyle w:val="Normal"/>
        <w:rPr/>
      </w:pPr>
      <w:r>
        <w:rPr>
          <w:u w:val="single"/>
        </w:rPr>
        <w:t>Control Objective</w:t>
      </w:r>
      <w:r>
        <w:rPr/>
        <w:t>: The organization notifies individuals that Personal Data (PD) is collected by sensors.</w:t>
      </w:r>
    </w:p>
    <w:p>
      <w:pPr>
        <w:pStyle w:val="Normal"/>
        <w:rPr/>
      </w:pPr>
      <w:r>
        <w:rPr/>
      </w:r>
    </w:p>
    <w:p>
      <w:pPr>
        <w:pStyle w:val="Normal"/>
        <w:rPr/>
      </w:pPr>
      <w:r>
        <w:rPr>
          <w:u w:val="single"/>
        </w:rPr>
        <w:t>Standard</w:t>
      </w:r>
      <w:r>
        <w:rPr/>
        <w:t>: Asset custodians and data/process owners are required to employ measures to facilitate an individual’s awareness that Personal Data (PD) is being collected by Internet of Things (IoT) and/or Operational Technology (OT) sensors.</w:t>
      </w:r>
    </w:p>
    <w:p>
      <w:pPr>
        <w:pStyle w:val="Normal"/>
        <w:rPr/>
      </w:pPr>
      <w:r>
        <w:rPr/>
      </w:r>
    </w:p>
    <w:p>
      <w:pPr>
        <w:pStyle w:val="Normal"/>
        <w:rPr/>
      </w:pPr>
      <w:r>
        <w:rPr>
          <w:u w:val="single"/>
        </w:rPr>
        <w:t>Guidelines</w:t>
      </w:r>
      <w:r>
        <w:rPr/>
        <w:t>: Awareness that organizational sensors are collecting data enable individuals to more effectively engage in managing their privacy. Measures can include, for example, conventional written notices and sensor configurations that make individuals aware directly or indirectly through other devices that the sensor is collecting information. Usability and efficacy of the notice are important considerations.</w:t>
      </w:r>
    </w:p>
    <w:p>
      <w:pPr>
        <w:pStyle w:val="Normal"/>
        <w:rPr/>
      </w:pPr>
      <w:r>
        <w:rPr/>
      </w:r>
    </w:p>
    <w:p>
      <w:pPr>
        <w:pStyle w:val="Heading3"/>
        <w:rPr/>
      </w:pPr>
      <w:bookmarkStart w:id="854" w:name="_Toc34920838"/>
      <w:r>
        <w:rPr/>
        <w:t>END-13(c): Sensor Capability | Collection Minimization</w:t>
      </w:r>
      <w:bookmarkEnd w:id="854"/>
    </w:p>
    <w:p>
      <w:pPr>
        <w:pStyle w:val="Normal"/>
        <w:rPr/>
      </w:pPr>
      <w:r>
        <w:rPr>
          <w:u w:val="single"/>
        </w:rPr>
        <w:t>Control Objective</w:t>
      </w:r>
      <w:r>
        <w:rPr/>
        <w:t>: The organization employs sensors that are configured to minimize the collection of information about individuals that is not needed.</w:t>
      </w:r>
    </w:p>
    <w:p>
      <w:pPr>
        <w:pStyle w:val="Normal"/>
        <w:rPr/>
      </w:pPr>
      <w:r>
        <w:rPr/>
      </w:r>
    </w:p>
    <w:p>
      <w:pPr>
        <w:pStyle w:val="Normal"/>
        <w:rPr/>
      </w:pPr>
      <w:r>
        <w:rPr>
          <w:u w:val="single"/>
        </w:rPr>
        <w:t>Standard</w:t>
      </w:r>
      <w:r>
        <w:rPr/>
        <w:t>: Asset custodians and data/process owners are required to configure Internet of Things (IoT) and/or Operational Technology (OT) sensors to minimize the collection of information about individuals that is not needed.</w:t>
      </w:r>
    </w:p>
    <w:p>
      <w:pPr>
        <w:pStyle w:val="Normal"/>
        <w:rPr/>
      </w:pPr>
      <w:r>
        <w:rPr/>
      </w:r>
    </w:p>
    <w:p>
      <w:pPr>
        <w:pStyle w:val="Normal"/>
        <w:rPr/>
      </w:pPr>
      <w:r>
        <w:rPr>
          <w:u w:val="single"/>
        </w:rPr>
        <w:t>Guidelines</w:t>
      </w:r>
      <w:r>
        <w:rPr/>
        <w:t>: Although policies to control for authorized use can be applied to information once it is collected, minimizing the collection of information that is not needed mitigates privacy-related risk at the system entry point and mitigates the risk of policy control failures. Sensor configurations include, for example, the obscuring of human features such as blurring or pixelating flesh tones.</w:t>
      </w:r>
    </w:p>
    <w:p>
      <w:pPr>
        <w:pStyle w:val="Normal"/>
        <w:rPr/>
      </w:pPr>
      <w:r>
        <w:rPr/>
      </w:r>
    </w:p>
    <w:p>
      <w:pPr>
        <w:pStyle w:val="Normal"/>
        <w:rPr/>
      </w:pPr>
      <w:r>
        <w:rPr/>
      </w:r>
    </w:p>
    <w:p>
      <w:pPr>
        <w:pStyle w:val="Heading2"/>
        <w:rPr/>
      </w:pPr>
      <w:bookmarkStart w:id="855" w:name="_Toc474074995"/>
      <w:bookmarkStart w:id="856" w:name="_Toc474075633"/>
      <w:bookmarkStart w:id="857" w:name="_Toc34920839"/>
      <w:r>
        <w:rPr/>
        <w:t>END-14: Collaborative Computing Devices</w:t>
      </w:r>
      <w:bookmarkEnd w:id="855"/>
      <w:bookmarkEnd w:id="856"/>
      <w:bookmarkEnd w:id="857"/>
      <w:r>
        <w:rPr/>
        <w:t xml:space="preserve"> </w:t>
      </w:r>
    </w:p>
    <w:p>
      <w:pPr>
        <w:pStyle w:val="Normal"/>
        <w:rPr/>
      </w:pPr>
      <w:r>
        <w:rPr>
          <w:u w:val="single"/>
        </w:rPr>
        <w:t>Control Objective</w:t>
      </w:r>
      <w:r>
        <w:rPr/>
        <w:t>: Systems prohibit remote activation of collaborative computing devices with the following exceptions:</w:t>
      </w:r>
      <w:r>
        <w:rPr>
          <w:rStyle w:val="FootnoteAnchor"/>
          <w:rStyle w:val="FootnoteAnchor"/>
          <w:rFonts w:cs="Calibri"/>
        </w:rPr>
        <w:footnoteReference w:id="262"/>
      </w:r>
      <w:r>
        <w:rPr/>
        <w:t xml:space="preserve"> </w:t>
      </w:r>
    </w:p>
    <w:p>
      <w:pPr>
        <w:pStyle w:val="ListParagraph"/>
        <w:numPr>
          <w:ilvl w:val="0"/>
          <w:numId w:val="7"/>
        </w:numPr>
        <w:rPr>
          <w:rFonts w:cs="Calibri"/>
        </w:rPr>
      </w:pPr>
      <w:r>
        <w:rPr>
          <w:rFonts w:cs="Calibri"/>
        </w:rPr>
        <w:t>N</w:t>
      </w:r>
      <w:r>
        <w:rPr/>
        <w:t xml:space="preserve">etworked whiteboards; </w:t>
      </w:r>
    </w:p>
    <w:p>
      <w:pPr>
        <w:pStyle w:val="ListParagraph"/>
        <w:numPr>
          <w:ilvl w:val="0"/>
          <w:numId w:val="7"/>
        </w:numPr>
        <w:rPr>
          <w:rFonts w:cs="Calibri"/>
        </w:rPr>
      </w:pPr>
      <w:r>
        <w:rPr/>
        <w:t xml:space="preserve">Cameras; and </w:t>
      </w:r>
    </w:p>
    <w:p>
      <w:pPr>
        <w:pStyle w:val="ListParagraph"/>
        <w:numPr>
          <w:ilvl w:val="0"/>
          <w:numId w:val="7"/>
        </w:numPr>
        <w:rPr>
          <w:rFonts w:cs="Calibri"/>
        </w:rPr>
      </w:pPr>
      <w:r>
        <w:rPr/>
        <w:t xml:space="preserve">Microphones. </w:t>
      </w:r>
    </w:p>
    <w:p>
      <w:pPr>
        <w:pStyle w:val="Normal"/>
        <w:rPr/>
      </w:pPr>
      <w:r>
        <w:rPr/>
      </w:r>
    </w:p>
    <w:p>
      <w:pPr>
        <w:pStyle w:val="Normal"/>
        <w:rPr>
          <w:rFonts w:cs="Calibri"/>
        </w:rPr>
      </w:pPr>
      <w:r>
        <w:rPr>
          <w:rFonts w:cs="Calibri"/>
          <w:u w:val="single"/>
        </w:rPr>
        <w:t>Standard</w:t>
      </w:r>
      <w:r>
        <w:rPr>
          <w:rFonts w:cs="Calibri"/>
        </w:rPr>
        <w:t>: Data/process owners and asset custodians are required to configure systems to provide an e</w:t>
      </w:r>
      <w:r>
        <w:rPr/>
        <w:t>xplicit indication of use that includes signaling to users when collaborative computing devices are activated.</w:t>
      </w:r>
    </w:p>
    <w:p>
      <w:pPr>
        <w:pStyle w:val="Normal"/>
        <w:rPr/>
      </w:pPr>
      <w:r>
        <w:rPr/>
      </w:r>
    </w:p>
    <w:p>
      <w:pPr>
        <w:pStyle w:val="Normal"/>
        <w:rPr>
          <w:u w:val="single"/>
        </w:rPr>
      </w:pPr>
      <w:r>
        <w:rPr>
          <w:u w:val="single"/>
        </w:rPr>
        <w:t>Guidelines</w:t>
      </w:r>
      <w:r>
        <w:rPr/>
        <w:t xml:space="preserve">: Collaborative computing devices include, for example, networked whiteboards, cameras and microphones. Explicit indication of use includes, for example, signals to users when collaborative computing devices are activated. </w:t>
      </w:r>
    </w:p>
    <w:p>
      <w:pPr>
        <w:pStyle w:val="Normal"/>
        <w:rPr/>
      </w:pPr>
      <w:r>
        <w:rPr/>
      </w:r>
    </w:p>
    <w:p>
      <w:pPr>
        <w:pStyle w:val="Heading3"/>
        <w:rPr/>
      </w:pPr>
      <w:bookmarkStart w:id="858" w:name="_Toc23242164"/>
      <w:bookmarkStart w:id="859" w:name="_Toc34920840"/>
      <w:r>
        <w:rPr/>
        <w:t>END-14(a): Collaborative Computing Devices | Disabling / Removal in Secure Work Areas</w:t>
      </w:r>
      <w:bookmarkEnd w:id="858"/>
      <w:bookmarkEnd w:id="859"/>
      <w:r>
        <w:rPr/>
        <w:t xml:space="preserve"> </w:t>
      </w:r>
    </w:p>
    <w:p>
      <w:pPr>
        <w:pStyle w:val="Normal"/>
        <w:rPr>
          <w:rFonts w:cs="Calibri"/>
        </w:rPr>
      </w:pPr>
      <w:r>
        <w:rPr>
          <w:rFonts w:cs="Calibri"/>
          <w:u w:val="single"/>
        </w:rPr>
        <w:t>Control Objective</w:t>
      </w:r>
      <w:r>
        <w:rPr>
          <w:rFonts w:cs="Calibri"/>
        </w:rPr>
        <w:t>:</w:t>
      </w:r>
      <w:r>
        <w:rPr>
          <w:rFonts w:cs="Calibri"/>
          <w:bCs w:val="false"/>
        </w:rPr>
        <w:t xml:space="preserve"> </w:t>
      </w:r>
      <w:r>
        <w:rPr>
          <w:rFonts w:cs="Calibri"/>
        </w:rPr>
        <w:t>The organization disables or removes collaborative computing devices from organization-defined information systems or information system components in organization-defined secure work areas.</w:t>
      </w:r>
      <w:r>
        <w:rPr>
          <w:rStyle w:val="FootnoteCharacters"/>
          <w:rFonts w:cs="Calibri"/>
        </w:rPr>
        <w:t xml:space="preserve"> </w:t>
      </w:r>
      <w:r>
        <w:rPr>
          <w:rStyle w:val="FootnoteAnchor"/>
          <w:rStyle w:val="FootnoteAnchor"/>
          <w:rFonts w:cs="Calibri"/>
        </w:rPr>
        <w:footnoteReference w:id="263"/>
      </w:r>
    </w:p>
    <w:p>
      <w:pPr>
        <w:pStyle w:val="Normal"/>
        <w:rPr>
          <w:rFonts w:cs="Calibri"/>
          <w:bCs w:val="false"/>
          <w:u w:val="single"/>
        </w:rPr>
      </w:pPr>
      <w:r>
        <w:rPr>
          <w:rFonts w:cs="Calibri"/>
          <w:bCs w:val="false"/>
          <w:u w:val="single"/>
        </w:rPr>
      </w:r>
    </w:p>
    <w:p>
      <w:pPr>
        <w:pStyle w:val="Normal"/>
        <w:rPr>
          <w:rFonts w:cs="Calibri"/>
          <w:bCs w:val="false"/>
        </w:rPr>
      </w:pPr>
      <w:r>
        <w:rPr>
          <w:rFonts w:cs="Calibri"/>
          <w:bCs w:val="false"/>
          <w:u w:val="single"/>
        </w:rPr>
        <w:t>Standard</w:t>
      </w:r>
      <w:r>
        <w:rPr>
          <w:rFonts w:cs="Calibri"/>
          <w:bCs w:val="false"/>
        </w:rPr>
        <w:t xml:space="preserve">: Where technically feasible, </w:t>
      </w:r>
      <w:r>
        <w:rPr>
          <w:rFonts w:cs="Calibri"/>
        </w:rPr>
        <w:t>collaborative computing devices must be physically removed or disabled in NFCC’s secure work environments to protect critical assets and sensitive data.</w:t>
      </w:r>
    </w:p>
    <w:p>
      <w:pPr>
        <w:pStyle w:val="Normal"/>
        <w:rPr>
          <w:rFonts w:cs="Calibri"/>
        </w:rPr>
      </w:pPr>
      <w:r>
        <w:rPr>
          <w:rFonts w:cs="Calibri"/>
        </w:rPr>
      </w:r>
    </w:p>
    <w:p>
      <w:pPr>
        <w:pStyle w:val="Normal"/>
        <w:rPr>
          <w:rFonts w:cs="Calibri"/>
        </w:rPr>
      </w:pPr>
      <w:r>
        <w:rPr>
          <w:rFonts w:cs="Calibri"/>
          <w:u w:val="single"/>
        </w:rPr>
        <w:t>Guidelines</w:t>
      </w:r>
      <w:r>
        <w:rPr>
          <w:rFonts w:cs="Calibri"/>
        </w:rPr>
        <w:t>: Failing to disable or remove collaborative computing devices from information systems or information system components can result in subsequent compromises of organizational information including, for example, eavesdropping on conversations.</w:t>
      </w:r>
    </w:p>
    <w:p>
      <w:pPr>
        <w:pStyle w:val="Normal"/>
        <w:rPr>
          <w:rFonts w:cs="Calibri"/>
        </w:rPr>
      </w:pPr>
      <w:r>
        <w:rPr>
          <w:rFonts w:cs="Calibri"/>
        </w:rPr>
      </w:r>
    </w:p>
    <w:p>
      <w:pPr>
        <w:pStyle w:val="Heading3"/>
        <w:rPr/>
      </w:pPr>
      <w:bookmarkStart w:id="860" w:name="_Toc23242165"/>
      <w:bookmarkStart w:id="861" w:name="_Toc34920841"/>
      <w:r>
        <w:rPr/>
        <w:t>END-14(b): Collaborative Computing Devices | Explicitly Indicate Current Participants</w:t>
      </w:r>
      <w:bookmarkEnd w:id="860"/>
      <w:bookmarkEnd w:id="861"/>
      <w:r>
        <w:rPr/>
        <w:t xml:space="preserve"> </w:t>
      </w:r>
    </w:p>
    <w:p>
      <w:pPr>
        <w:pStyle w:val="Normal"/>
        <w:rPr>
          <w:rFonts w:cs="Calibri"/>
        </w:rPr>
      </w:pPr>
      <w:r>
        <w:rPr>
          <w:rFonts w:cs="Calibri"/>
          <w:u w:val="single"/>
        </w:rPr>
        <w:t>Control Objective</w:t>
      </w:r>
      <w:r>
        <w:rPr>
          <w:rFonts w:cs="Calibri"/>
        </w:rPr>
        <w:t>:</w:t>
      </w:r>
      <w:r>
        <w:rPr>
          <w:rFonts w:cs="Calibri"/>
          <w:bCs w:val="false"/>
        </w:rPr>
        <w:t xml:space="preserve"> </w:t>
      </w:r>
      <w:r>
        <w:rPr>
          <w:rFonts w:cs="Calibri"/>
        </w:rPr>
        <w:t>The information system provides an explicit indication of current participants in organization-defined online meetings and teleconferences.</w:t>
      </w:r>
      <w:r>
        <w:rPr>
          <w:rStyle w:val="FootnoteCharacters"/>
          <w:rFonts w:cs="Calibri"/>
        </w:rPr>
        <w:t xml:space="preserve"> </w:t>
      </w:r>
      <w:r>
        <w:rPr>
          <w:rStyle w:val="FootnoteAnchor"/>
          <w:rStyle w:val="FootnoteAnchor"/>
          <w:rFonts w:cs="Calibri"/>
        </w:rPr>
        <w:footnoteReference w:id="264"/>
      </w:r>
    </w:p>
    <w:p>
      <w:pPr>
        <w:pStyle w:val="Normal"/>
        <w:rPr>
          <w:rFonts w:cs="Calibri"/>
          <w:bCs w:val="false"/>
          <w:u w:val="single"/>
        </w:rPr>
      </w:pPr>
      <w:r>
        <w:rPr>
          <w:rFonts w:cs="Calibri"/>
          <w:bCs w:val="false"/>
          <w:u w:val="single"/>
        </w:rPr>
      </w:r>
    </w:p>
    <w:p>
      <w:pPr>
        <w:pStyle w:val="Normal"/>
        <w:rPr>
          <w:rFonts w:cs="Calibri"/>
        </w:rPr>
      </w:pPr>
      <w:r>
        <w:rPr>
          <w:rFonts w:cs="Calibri"/>
          <w:bCs w:val="false"/>
          <w:u w:val="single"/>
        </w:rPr>
        <w:t>Standard</w:t>
      </w:r>
      <w:r>
        <w:rPr>
          <w:rFonts w:cs="Calibri"/>
          <w:bCs w:val="false"/>
        </w:rPr>
        <w:t xml:space="preserve">: Where technically feasible, </w:t>
      </w:r>
      <w:r>
        <w:rPr>
          <w:rFonts w:cs="Calibri"/>
        </w:rPr>
        <w:t>online meeting and teleconference technologies must be configured to:</w:t>
      </w:r>
    </w:p>
    <w:p>
      <w:pPr>
        <w:pStyle w:val="ListParagraph"/>
        <w:numPr>
          <w:ilvl w:val="0"/>
          <w:numId w:val="643"/>
        </w:numPr>
        <w:rPr>
          <w:rFonts w:cs="Calibri"/>
        </w:rPr>
      </w:pPr>
      <w:r>
        <w:rPr>
          <w:rFonts w:cs="Calibri"/>
        </w:rPr>
        <w:t xml:space="preserve">Allow only authorized personnel to dial into calls when sensitive topics are discussed; </w:t>
      </w:r>
    </w:p>
    <w:p>
      <w:pPr>
        <w:pStyle w:val="ListParagraph"/>
        <w:numPr>
          <w:ilvl w:val="0"/>
          <w:numId w:val="643"/>
        </w:numPr>
        <w:rPr>
          <w:rFonts w:cs="Calibri"/>
        </w:rPr>
      </w:pPr>
      <w:r>
        <w:rPr>
          <w:rFonts w:cs="Calibri"/>
        </w:rPr>
        <w:t>Prohibit anyone other than the host from recording the call; and</w:t>
      </w:r>
    </w:p>
    <w:p>
      <w:pPr>
        <w:pStyle w:val="ListParagraph"/>
        <w:numPr>
          <w:ilvl w:val="0"/>
          <w:numId w:val="643"/>
        </w:numPr>
        <w:rPr>
          <w:rFonts w:cs="Calibri"/>
        </w:rPr>
      </w:pPr>
      <w:r>
        <w:rPr>
          <w:rFonts w:cs="Calibri"/>
        </w:rPr>
        <w:t>Explicitly indicate the current participants on the call.</w:t>
      </w:r>
    </w:p>
    <w:p>
      <w:pPr>
        <w:pStyle w:val="Normal"/>
        <w:rPr>
          <w:rFonts w:cs="Calibri"/>
        </w:rPr>
      </w:pPr>
      <w:r>
        <w:rPr>
          <w:rFonts w:cs="Calibri"/>
        </w:rPr>
      </w:r>
    </w:p>
    <w:p>
      <w:pPr>
        <w:pStyle w:val="Normal"/>
        <w:rPr>
          <w:rFonts w:cs="Calibri"/>
        </w:rPr>
      </w:pPr>
      <w:r>
        <w:rPr>
          <w:rFonts w:cs="Calibri"/>
          <w:u w:val="single"/>
        </w:rPr>
        <w:t>Guidelines</w:t>
      </w:r>
      <w:r>
        <w:rPr>
          <w:rFonts w:cs="Calibri"/>
        </w:rPr>
        <w:t>: This control enhancement helps to prevent unauthorized individuals from participating in collaborative.</w:t>
      </w:r>
    </w:p>
    <w:p>
      <w:pPr>
        <w:pStyle w:val="Normal"/>
        <w:rPr/>
      </w:pPr>
      <w:r>
        <w:rPr/>
      </w:r>
      <w:bookmarkStart w:id="862" w:name="_Hlk27579490"/>
      <w:bookmarkStart w:id="863" w:name="_Hlk27579490"/>
      <w:bookmarkEnd w:id="863"/>
    </w:p>
    <w:p>
      <w:pPr>
        <w:pStyle w:val="Normal"/>
        <w:rPr/>
      </w:pPr>
      <w:r>
        <w:rPr/>
      </w:r>
    </w:p>
    <w:p>
      <w:pPr>
        <w:pStyle w:val="Heading2"/>
        <w:rPr/>
      </w:pPr>
      <w:bookmarkStart w:id="864" w:name="_Toc474074996"/>
      <w:bookmarkStart w:id="865" w:name="_Toc474075634"/>
      <w:bookmarkStart w:id="866" w:name="_Toc34920842"/>
      <w:r>
        <w:rPr/>
        <w:t>END-15: Hypervisor Access</w:t>
      </w:r>
      <w:bookmarkEnd w:id="864"/>
      <w:bookmarkEnd w:id="865"/>
      <w:bookmarkEnd w:id="866"/>
      <w:r>
        <w:rPr/>
        <w:t xml:space="preserve"> </w:t>
      </w:r>
    </w:p>
    <w:p>
      <w:pPr>
        <w:pStyle w:val="Normal"/>
        <w:rPr/>
      </w:pPr>
      <w:r>
        <w:rPr>
          <w:u w:val="single"/>
        </w:rPr>
        <w:t>Control Objective</w:t>
      </w:r>
      <w:r>
        <w:rPr/>
        <w:t>: The organization controls access to all hypervisor management functions or administrative consoles for systems hosting virtualized systems.</w:t>
      </w:r>
    </w:p>
    <w:p>
      <w:pPr>
        <w:pStyle w:val="Normal"/>
        <w:rPr/>
      </w:pPr>
      <w:r>
        <w:rPr/>
      </w:r>
    </w:p>
    <w:p>
      <w:pPr>
        <w:pStyle w:val="Normal"/>
        <w:rPr/>
      </w:pPr>
      <w:r>
        <w:rPr>
          <w:rFonts w:cs="Calibri"/>
          <w:u w:val="single"/>
        </w:rPr>
        <w:t>Standard</w:t>
      </w:r>
      <w:r>
        <w:rPr>
          <w:rFonts w:cs="Calibri"/>
        </w:rPr>
        <w:t xml:space="preserve">: </w:t>
      </w:r>
      <w:r>
        <w:rPr/>
        <w:t>Access to all hypervisor management functions or administrative consoles for systems hosting virtualized systems shall be:</w:t>
      </w:r>
    </w:p>
    <w:p>
      <w:pPr>
        <w:pStyle w:val="ListParagraph"/>
        <w:numPr>
          <w:ilvl w:val="0"/>
          <w:numId w:val="330"/>
        </w:numPr>
        <w:rPr/>
      </w:pPr>
      <w:r>
        <w:rPr/>
        <w:t xml:space="preserve">Restricted to personnel based on the principle of least privilege; and </w:t>
      </w:r>
    </w:p>
    <w:p>
      <w:pPr>
        <w:pStyle w:val="ListParagraph"/>
        <w:numPr>
          <w:ilvl w:val="0"/>
          <w:numId w:val="330"/>
        </w:numPr>
        <w:rPr/>
      </w:pPr>
      <w:r>
        <w:rPr/>
        <w:t>Supported by technical controls (e.g., multifactor authentication, audit trails, IP address filtering, firewalls and TLS encapsulated communications to the administrative consoles).</w:t>
      </w:r>
    </w:p>
    <w:p>
      <w:pPr>
        <w:pStyle w:val="Normal"/>
        <w:rPr/>
      </w:pPr>
      <w:r>
        <w:rPr/>
      </w:r>
    </w:p>
    <w:p>
      <w:pPr>
        <w:pStyle w:val="Normal"/>
        <w:rPr>
          <w:rFonts w:cs="Calibri"/>
        </w:rPr>
      </w:pPr>
      <w:r>
        <w:rPr>
          <w:u w:val="single"/>
        </w:rPr>
        <w:t>Guidelines</w:t>
      </w:r>
      <w:r>
        <w:rPr/>
        <w:t xml:space="preserve">: </w:t>
      </w:r>
      <w:r>
        <w:rPr>
          <w:rFonts w:cs="Calibri"/>
        </w:rPr>
        <w:t>None</w:t>
      </w:r>
    </w:p>
    <w:p>
      <w:pPr>
        <w:pStyle w:val="Normal"/>
        <w:rPr/>
      </w:pPr>
      <w:r>
        <w:rPr/>
      </w:r>
    </w:p>
    <w:p>
      <w:pPr>
        <w:pStyle w:val="Normal"/>
        <w:tabs>
          <w:tab w:val="clear" w:pos="360"/>
          <w:tab w:val="clear" w:pos="720"/>
          <w:tab w:val="clear" w:pos="1080"/>
        </w:tabs>
        <w:jc w:val="left"/>
        <w:rPr/>
      </w:pPr>
      <w:r>
        <w:rPr/>
      </w:r>
    </w:p>
    <w:p>
      <w:pPr>
        <w:pStyle w:val="Heading2"/>
        <w:rPr/>
      </w:pPr>
      <w:bookmarkStart w:id="867" w:name="_Toc474075158"/>
      <w:bookmarkStart w:id="868" w:name="_Toc474075710"/>
      <w:bookmarkStart w:id="869" w:name="_Toc34920843"/>
      <w:r>
        <w:rPr/>
        <w:t>END-16: Security Function Isolation</w:t>
      </w:r>
      <w:bookmarkEnd w:id="867"/>
      <w:bookmarkEnd w:id="868"/>
      <w:bookmarkEnd w:id="869"/>
      <w:r>
        <w:rPr/>
        <w:t xml:space="preserve"> </w:t>
      </w:r>
    </w:p>
    <w:p>
      <w:pPr>
        <w:pStyle w:val="Normal"/>
        <w:rPr/>
      </w:pPr>
      <w:r>
        <w:rPr>
          <w:u w:val="single"/>
        </w:rPr>
        <w:t>Control Objective</w:t>
      </w:r>
      <w:r>
        <w:rPr/>
        <w:t>: System configurations isolate security functions from non-security functions.</w:t>
      </w:r>
      <w:r>
        <w:rPr>
          <w:rStyle w:val="FootnoteCharacters"/>
          <w:rFonts w:cs="Calibri"/>
        </w:rPr>
        <w:t xml:space="preserve"> </w:t>
      </w:r>
      <w:r>
        <w:rPr>
          <w:rStyle w:val="FootnoteAnchor"/>
          <w:rStyle w:val="FootnoteAnchor"/>
          <w:rFonts w:cs="Calibri"/>
        </w:rPr>
        <w:footnoteReference w:id="265"/>
      </w:r>
      <w:r>
        <w:rPr/>
        <w:t xml:space="preserve"> </w:t>
      </w:r>
    </w:p>
    <w:p>
      <w:pPr>
        <w:pStyle w:val="Normal"/>
        <w:rPr/>
      </w:pPr>
      <w:r>
        <w:rPr/>
      </w:r>
    </w:p>
    <w:p>
      <w:pPr>
        <w:pStyle w:val="Normal"/>
        <w:rPr/>
      </w:pPr>
      <w:r>
        <w:rPr>
          <w:u w:val="single"/>
        </w:rPr>
        <w:t>Standard</w:t>
      </w:r>
      <w:r>
        <w:rPr/>
        <w:t>: Data/process owners and asset custodians are required to implement isolation techniques to prevent functions that require different security levels from co-existing on the same server. Isolation techniques include, but are not limited to:</w:t>
      </w:r>
      <w:r>
        <w:rPr>
          <w:rStyle w:val="FootnoteCharacters"/>
          <w:rFonts w:cs="Calibri"/>
        </w:rPr>
        <w:t xml:space="preserve"> </w:t>
      </w:r>
    </w:p>
    <w:p>
      <w:pPr>
        <w:pStyle w:val="ListParagraph"/>
        <w:numPr>
          <w:ilvl w:val="0"/>
          <w:numId w:val="411"/>
        </w:numPr>
        <w:rPr/>
      </w:pPr>
      <w:r>
        <w:rPr/>
        <w:t>Implement only one primary function per server to prevent functions that require different security levels from co-existing on the same server;</w:t>
      </w:r>
    </w:p>
    <w:p>
      <w:pPr>
        <w:pStyle w:val="ListParagraph"/>
        <w:numPr>
          <w:ilvl w:val="0"/>
          <w:numId w:val="411"/>
        </w:numPr>
        <w:rPr/>
      </w:pPr>
      <w:r>
        <w:rPr/>
        <w:t>Firewall and router configurations need to be configured to restrict connections between untrusted networks and any system components in NFCC’s trusted, internal network;</w:t>
      </w:r>
    </w:p>
    <w:p>
      <w:pPr>
        <w:pStyle w:val="ListParagraph"/>
        <w:numPr>
          <w:ilvl w:val="0"/>
          <w:numId w:val="411"/>
        </w:numPr>
        <w:rPr/>
      </w:pPr>
      <w:r>
        <w:rPr/>
        <w:t>Firewalls need to be installed at all connections from an internal to any other internal or external network;</w:t>
      </w:r>
    </w:p>
    <w:p>
      <w:pPr>
        <w:pStyle w:val="ListParagraph"/>
        <w:numPr>
          <w:ilvl w:val="0"/>
          <w:numId w:val="411"/>
        </w:numPr>
        <w:rPr/>
      </w:pPr>
      <w:r>
        <w:rPr/>
        <w:t>Demilitarized Zones (DMZs) need to be implemented to limit inbound traffic to only system components that provide authorized publicly accessible services, protocols and ports;</w:t>
      </w:r>
    </w:p>
    <w:p>
      <w:pPr>
        <w:pStyle w:val="ListParagraph"/>
        <w:numPr>
          <w:ilvl w:val="0"/>
          <w:numId w:val="411"/>
        </w:numPr>
        <w:rPr/>
      </w:pPr>
      <w:r>
        <w:rPr/>
        <w:t>Servers which access external networks or are accessed from external networks need to be logically isolated from the private intranet;</w:t>
      </w:r>
    </w:p>
    <w:p>
      <w:pPr>
        <w:pStyle w:val="ListParagraph"/>
        <w:numPr>
          <w:ilvl w:val="0"/>
          <w:numId w:val="411"/>
        </w:numPr>
        <w:rPr/>
      </w:pPr>
      <w:r>
        <w:rPr/>
        <w:t>Networks need to be segregated or divided into separate logical domains, so access between domains can be controlled by means of secure devices;</w:t>
      </w:r>
    </w:p>
    <w:p>
      <w:pPr>
        <w:pStyle w:val="ListParagraph"/>
        <w:numPr>
          <w:ilvl w:val="0"/>
          <w:numId w:val="411"/>
        </w:numPr>
        <w:rPr/>
      </w:pPr>
      <w:r>
        <w:rPr/>
        <w:t>Switched network technology need to be utilized, when possible, to prevent eavesdropping, session stealing or other exploits based on the accessibility of network traffic;</w:t>
      </w:r>
    </w:p>
    <w:p>
      <w:pPr>
        <w:pStyle w:val="ListParagraph"/>
        <w:numPr>
          <w:ilvl w:val="0"/>
          <w:numId w:val="411"/>
        </w:numPr>
        <w:rPr/>
      </w:pPr>
      <w:r>
        <w:rPr/>
        <w:t>Trust relationships should be strictly avoided between information resources with different risk profiles; and</w:t>
      </w:r>
    </w:p>
    <w:p>
      <w:pPr>
        <w:pStyle w:val="ListParagraph"/>
        <w:numPr>
          <w:ilvl w:val="0"/>
          <w:numId w:val="411"/>
        </w:numPr>
        <w:rPr/>
      </w:pPr>
      <w:r>
        <w:rPr/>
        <w:t>Information resources with higher protection requirements for confidentiality should not have a trusted relationship with a system that has lower protection requirements.</w:t>
      </w:r>
    </w:p>
    <w:p>
      <w:pPr>
        <w:pStyle w:val="Normal"/>
        <w:rPr/>
      </w:pPr>
      <w:r>
        <w:rPr/>
      </w:r>
    </w:p>
    <w:p>
      <w:pPr>
        <w:pStyle w:val="Normal"/>
        <w:rPr/>
      </w:pPr>
      <w:r>
        <w:rPr>
          <w:u w:val="single"/>
        </w:rPr>
        <w:t>Guidelines</w:t>
      </w:r>
      <w:r>
        <w:rPr/>
        <w:t xml:space="preserve">: The system isolates security functions from non-security functions by means of an isolation boundary (implemented via partitions and domains) that controls access to and protects the integrity of the hardware, software and firmware that perform those security functions. An “untrusted network” is any network that is external to the networks belonging to the entity under review and / or which is out of the entity's ability to control or manage. Information systems restrict access to security functions through the use of access control mechanisms and by implementing least privilege capabilities. </w:t>
      </w:r>
    </w:p>
    <w:p>
      <w:pPr>
        <w:pStyle w:val="Normal"/>
        <w:rPr/>
      </w:pPr>
      <w:r>
        <w:rPr/>
      </w:r>
    </w:p>
    <w:p>
      <w:pPr>
        <w:pStyle w:val="Heading3"/>
        <w:rPr/>
      </w:pPr>
      <w:bookmarkStart w:id="870" w:name="_Toc34920844"/>
      <w:bookmarkStart w:id="871" w:name="_Toc474075159"/>
      <w:r>
        <w:rPr/>
        <w:t xml:space="preserve">END-16(a): Security Function Isolation | </w:t>
      </w:r>
      <w:bookmarkEnd w:id="871"/>
      <w:r>
        <w:rPr/>
        <w:t>Host-Based Security Function Isolation</w:t>
      </w:r>
      <w:bookmarkEnd w:id="870"/>
    </w:p>
    <w:p>
      <w:pPr>
        <w:pStyle w:val="Normal"/>
        <w:rPr/>
      </w:pPr>
      <w:r>
        <w:rPr>
          <w:u w:val="single"/>
        </w:rPr>
        <w:t>Control Objective</w:t>
      </w:r>
      <w:r>
        <w:rPr/>
        <w:t>: Systems implement underlying software separation mechanisms to facilitate security function isolation.</w:t>
      </w:r>
      <w:r>
        <w:rPr>
          <w:rStyle w:val="FootnoteAnchor"/>
          <w:rStyle w:val="FootnoteAnchor"/>
          <w:rFonts w:cs="Calibri"/>
          <w:bCs w:val="false"/>
        </w:rPr>
        <w:footnoteReference w:id="266"/>
      </w:r>
      <w:r>
        <w:rPr/>
        <w:t xml:space="preserve"> </w:t>
      </w:r>
    </w:p>
    <w:p>
      <w:pPr>
        <w:pStyle w:val="Normal"/>
        <w:rPr/>
      </w:pPr>
      <w:r>
        <w:rPr/>
      </w:r>
    </w:p>
    <w:p>
      <w:pPr>
        <w:pStyle w:val="Normal"/>
        <w:rPr/>
      </w:pPr>
      <w:r>
        <w:rPr>
          <w:u w:val="single"/>
        </w:rPr>
        <w:t>Standard</w:t>
      </w:r>
      <w:r>
        <w:rPr/>
        <w:t>: NFCC requires:</w:t>
      </w:r>
    </w:p>
    <w:p>
      <w:pPr>
        <w:pStyle w:val="ListParagraph"/>
        <w:numPr>
          <w:ilvl w:val="0"/>
          <w:numId w:val="412"/>
        </w:numPr>
        <w:rPr/>
      </w:pPr>
      <w:r>
        <w:rPr/>
        <w:t>The installation of firewall software or equivalent functionality on any Internet-accessible mobile device or computer;</w:t>
      </w:r>
    </w:p>
    <w:p>
      <w:pPr>
        <w:pStyle w:val="ListParagraph"/>
        <w:numPr>
          <w:ilvl w:val="0"/>
          <w:numId w:val="412"/>
        </w:numPr>
        <w:rPr/>
      </w:pPr>
      <w:r>
        <w:rPr/>
        <w:t>Verification that the firewall software is configured to specific standards and is not alterable by users of the mobile and / or employee-owned computers; and</w:t>
      </w:r>
    </w:p>
    <w:p>
      <w:pPr>
        <w:pStyle w:val="ListParagraph"/>
        <w:numPr>
          <w:ilvl w:val="0"/>
          <w:numId w:val="412"/>
        </w:numPr>
        <w:rPr/>
      </w:pPr>
      <w:r>
        <w:rPr/>
        <w:t xml:space="preserve">The installation of a web application firewall in front of sensitive, public-facing web applications to detect and prevent web-based attacks. </w:t>
      </w:r>
    </w:p>
    <w:p>
      <w:pPr>
        <w:pStyle w:val="Normal"/>
        <w:rPr/>
      </w:pPr>
      <w:r>
        <w:rPr/>
      </w:r>
    </w:p>
    <w:p>
      <w:pPr>
        <w:pStyle w:val="Normal"/>
        <w:rPr/>
      </w:pPr>
      <w:r>
        <w:rPr>
          <w:u w:val="single"/>
        </w:rPr>
        <w:t>Guidelines</w:t>
      </w:r>
      <w:r>
        <w:rPr/>
        <w:t>: Host-based boundary protection mechanisms include, for example, host-based firewalls. System components employing host-based boundary protection mechanisms include, for example, servers, workstations and mobile devices.</w:t>
      </w:r>
    </w:p>
    <w:p>
      <w:pPr>
        <w:pStyle w:val="Normal"/>
        <w:tabs>
          <w:tab w:val="clear" w:pos="360"/>
          <w:tab w:val="clear" w:pos="720"/>
          <w:tab w:val="clear" w:pos="1080"/>
        </w:tabs>
        <w:jc w:val="left"/>
        <w:rPr/>
      </w:pPr>
      <w:r>
        <w:rPr/>
      </w:r>
      <w:r>
        <w:br w:type="page"/>
      </w:r>
    </w:p>
    <w:p>
      <w:pPr>
        <w:pStyle w:val="Heading1"/>
        <w:rPr/>
      </w:pPr>
      <w:bookmarkStart w:id="872" w:name="_Toc34920845"/>
      <w:bookmarkStart w:id="873" w:name="_Toc474075195"/>
      <w:bookmarkStart w:id="874" w:name="_Toc474075723"/>
      <w:r>
        <w:rPr/>
        <w:t>Human Resources Security (HRS)</w:t>
      </w:r>
      <w:bookmarkEnd w:id="873"/>
      <w:bookmarkEnd w:id="874"/>
      <w:r>
        <w:rPr/>
        <w:t xml:space="preserve"> Policy &amp; Standards</w:t>
      </w:r>
      <w:bookmarkEnd w:id="872"/>
    </w:p>
    <w:p>
      <w:pPr>
        <w:pStyle w:val="Normal"/>
        <w:rPr/>
      </w:pPr>
      <w:r>
        <w:rPr/>
      </w:r>
    </w:p>
    <w:p>
      <w:pPr>
        <w:pStyle w:val="Normal"/>
        <w:rPr/>
      </w:pPr>
      <w:r>
        <w:rPr>
          <w:u w:val="single"/>
        </w:rPr>
        <w:t>Management Intent</w:t>
      </w:r>
      <w:r>
        <w:rPr/>
        <w:t>: The purpose of the Human Resources Security (HRS) policy is to create a security-minded workforce and an environment that is conducive to innovation, considering issues such as culture, reward and collaboration.</w:t>
      </w:r>
    </w:p>
    <w:p>
      <w:pPr>
        <w:pStyle w:val="Normal"/>
        <w:rPr/>
      </w:pPr>
      <w:r>
        <w:rPr/>
      </w:r>
    </w:p>
    <w:p>
      <w:pPr>
        <w:pStyle w:val="Normal"/>
        <w:shd w:val="clear" w:color="auto" w:fill="DDD9C3" w:themeFill="background2" w:themeFillShade="e6"/>
        <w:rPr/>
      </w:pPr>
      <w:r>
        <w:rPr>
          <w:u w:val="single"/>
        </w:rPr>
        <w:t>Policy</w:t>
      </w:r>
      <w:r>
        <w:rPr/>
        <w:t xml:space="preserve">: NFCC shall ensure industry-recognized leading practices for cybersecurity are incorporated into Human Resources (HR) personnel management practices </w:t>
      </w:r>
    </w:p>
    <w:p>
      <w:pPr>
        <w:pStyle w:val="Normal"/>
        <w:rPr/>
      </w:pPr>
      <w:r>
        <w:rPr/>
      </w:r>
    </w:p>
    <w:p>
      <w:pPr>
        <w:pStyle w:val="Normal"/>
        <w:rPr/>
      </w:pPr>
      <w:r>
        <w:rPr>
          <w:u w:val="single"/>
        </w:rPr>
        <w:t>Supporting Documentation</w:t>
      </w:r>
      <w:r>
        <w:rPr/>
        <w:t xml:space="preserve">: This policy is supported by the following control objectives, standards and guidelines. </w:t>
      </w:r>
    </w:p>
    <w:p>
      <w:pPr>
        <w:pStyle w:val="Normal"/>
        <w:rPr/>
      </w:pPr>
      <w:r>
        <w:rPr/>
      </w:r>
    </w:p>
    <w:p>
      <w:pPr>
        <w:pStyle w:val="Normal"/>
        <w:rPr/>
      </w:pPr>
      <w:r>
        <w:rPr/>
      </w:r>
    </w:p>
    <w:p>
      <w:pPr>
        <w:pStyle w:val="Heading2"/>
        <w:rPr/>
      </w:pPr>
      <w:bookmarkStart w:id="875" w:name="_Toc474075196"/>
      <w:bookmarkStart w:id="876" w:name="_Toc474075724"/>
      <w:bookmarkStart w:id="877" w:name="_Toc34920846"/>
      <w:r>
        <w:rPr/>
        <w:t>HRS-01: Human Resources Security Management</w:t>
      </w:r>
      <w:bookmarkEnd w:id="875"/>
      <w:bookmarkEnd w:id="876"/>
      <w:bookmarkEnd w:id="877"/>
      <w:r>
        <w:rPr/>
        <w:t xml:space="preserve"> </w:t>
      </w:r>
    </w:p>
    <w:p>
      <w:pPr>
        <w:pStyle w:val="Normal"/>
        <w:rPr/>
      </w:pPr>
      <w:r>
        <w:rPr>
          <w:u w:val="single"/>
        </w:rPr>
        <w:t>Control Objective</w:t>
      </w:r>
      <w:r>
        <w:rPr/>
        <w:t>: The organization develops, implements and governs processes and documentation to facilitate the implementation of an enterprise-wide personnel security policy, as well as associated standards, controls and procedures.</w:t>
      </w:r>
      <w:r>
        <w:rPr>
          <w:rStyle w:val="FootnoteCharacters"/>
          <w:rFonts w:cs="Calibri"/>
        </w:rPr>
        <w:t xml:space="preserve"> </w:t>
      </w:r>
      <w:r>
        <w:rPr>
          <w:rStyle w:val="FootnoteAnchor"/>
          <w:rStyle w:val="FootnoteAnchor"/>
          <w:rFonts w:cs="Calibri"/>
        </w:rPr>
        <w:footnoteReference w:id="267"/>
      </w:r>
    </w:p>
    <w:p>
      <w:pPr>
        <w:pStyle w:val="Normal"/>
        <w:rPr/>
      </w:pPr>
      <w:r>
        <w:rPr/>
      </w:r>
    </w:p>
    <w:p>
      <w:pPr>
        <w:pStyle w:val="Normal"/>
        <w:rPr/>
      </w:pPr>
      <w:r>
        <w:rPr>
          <w:u w:val="single"/>
        </w:rPr>
        <w:t>Standard</w:t>
      </w:r>
      <w:r>
        <w:rPr/>
        <w:t>: NFCC is required to include cybersecurity considerations in H</w:t>
      </w:r>
      <w:r>
        <w:rPr>
          <w:rFonts w:cs="Calibri"/>
          <w:bCs w:val="false"/>
          <w:color w:val="000000"/>
        </w:rPr>
        <w:t>uman Resources (HR) practices (e.g., personnel screening, position changes, deprovisioning, etc.) to assist in creating a security-minded workforce.</w:t>
      </w:r>
    </w:p>
    <w:p>
      <w:pPr>
        <w:pStyle w:val="Normal"/>
        <w:rPr/>
      </w:pPr>
      <w:r>
        <w:rPr/>
      </w:r>
    </w:p>
    <w:p>
      <w:pPr>
        <w:pStyle w:val="Normal"/>
        <w:rPr/>
      </w:pPr>
      <w:r>
        <w:rPr>
          <w:u w:val="single"/>
        </w:rPr>
        <w:t>Guidelines</w:t>
      </w:r>
      <w:r>
        <w:rPr/>
        <w:t>: The intent is to create an environment that is conducive to innovation, considering issues such as culture, reward, collaboration, technology forums and mechanisms to promote and capture employee ideas.</w:t>
      </w:r>
    </w:p>
    <w:p>
      <w:pPr>
        <w:pStyle w:val="Normal"/>
        <w:rPr/>
      </w:pPr>
      <w:r>
        <w:rPr/>
      </w:r>
    </w:p>
    <w:p>
      <w:pPr>
        <w:pStyle w:val="Normal"/>
        <w:rPr/>
      </w:pPr>
      <w:r>
        <w:rPr/>
      </w:r>
    </w:p>
    <w:p>
      <w:pPr>
        <w:pStyle w:val="Heading2"/>
        <w:rPr/>
      </w:pPr>
      <w:bookmarkStart w:id="878" w:name="_Toc474075197"/>
      <w:bookmarkStart w:id="879" w:name="_Toc474075725"/>
      <w:bookmarkStart w:id="880" w:name="_Toc34920847"/>
      <w:r>
        <w:rPr/>
        <w:t>HRS-02: Position Categorization</w:t>
      </w:r>
      <w:bookmarkEnd w:id="878"/>
      <w:bookmarkEnd w:id="879"/>
      <w:bookmarkEnd w:id="880"/>
      <w:r>
        <w:rPr/>
        <w:t xml:space="preserve"> </w:t>
      </w:r>
    </w:p>
    <w:p>
      <w:pPr>
        <w:pStyle w:val="Normal"/>
        <w:rPr/>
      </w:pPr>
      <w:r>
        <w:rPr>
          <w:u w:val="single"/>
        </w:rPr>
        <w:t>Control Objective</w:t>
      </w:r>
      <w:r>
        <w:rPr/>
        <w:t>: The organization:</w:t>
      </w:r>
      <w:r>
        <w:rPr>
          <w:rStyle w:val="FootnoteAnchor"/>
          <w:rStyle w:val="FootnoteAnchor"/>
          <w:rFonts w:cs="Calibri"/>
        </w:rPr>
        <w:footnoteReference w:id="268"/>
      </w:r>
      <w:r>
        <w:rPr/>
        <w:t xml:space="preserve"> </w:t>
      </w:r>
    </w:p>
    <w:p>
      <w:pPr>
        <w:pStyle w:val="ListParagraph"/>
        <w:numPr>
          <w:ilvl w:val="0"/>
          <w:numId w:val="49"/>
        </w:numPr>
        <w:rPr/>
      </w:pPr>
      <w:r>
        <w:rPr/>
        <w:t>Assigns a risk designation to all positions;</w:t>
      </w:r>
    </w:p>
    <w:p>
      <w:pPr>
        <w:pStyle w:val="ListParagraph"/>
        <w:numPr>
          <w:ilvl w:val="0"/>
          <w:numId w:val="49"/>
        </w:numPr>
        <w:rPr/>
      </w:pPr>
      <w:r>
        <w:rPr/>
        <w:t>Establishes screening criteria for individuals filling those positions; and</w:t>
      </w:r>
    </w:p>
    <w:p>
      <w:pPr>
        <w:pStyle w:val="ListParagraph"/>
        <w:numPr>
          <w:ilvl w:val="0"/>
          <w:numId w:val="49"/>
        </w:numPr>
        <w:rPr/>
      </w:pPr>
      <w:r>
        <w:rPr/>
        <w:t>Reviews and revises position risk designations.</w:t>
      </w:r>
    </w:p>
    <w:p>
      <w:pPr>
        <w:pStyle w:val="Normal"/>
        <w:rPr/>
      </w:pPr>
      <w:r>
        <w:rPr/>
      </w:r>
    </w:p>
    <w:p>
      <w:pPr>
        <w:pStyle w:val="Normal"/>
        <w:rPr/>
      </w:pPr>
      <w:r>
        <w:rPr>
          <w:u w:val="single"/>
        </w:rPr>
        <w:t>Standard</w:t>
      </w:r>
      <w:r>
        <w:rPr/>
        <w:t>: Human Resources (HR) is assigned the responsibility for assigning risk to job positions. Assigned risk is required to:</w:t>
      </w:r>
    </w:p>
    <w:p>
      <w:pPr>
        <w:pStyle w:val="ListParagraph"/>
        <w:numPr>
          <w:ilvl w:val="0"/>
          <w:numId w:val="159"/>
        </w:numPr>
        <w:rPr/>
      </w:pPr>
      <w:r>
        <w:rPr/>
        <w:t>Be consistent with HR policy and guidance;</w:t>
      </w:r>
    </w:p>
    <w:p>
      <w:pPr>
        <w:pStyle w:val="ListParagraph"/>
        <w:numPr>
          <w:ilvl w:val="0"/>
          <w:numId w:val="159"/>
        </w:numPr>
        <w:rPr/>
      </w:pPr>
      <w:r>
        <w:rPr/>
        <w:t>Include explicit cybersecurity role appointment requirements (e.g., training, responsibilities, etc.); and</w:t>
      </w:r>
    </w:p>
    <w:p>
      <w:pPr>
        <w:pStyle w:val="ListParagraph"/>
        <w:numPr>
          <w:ilvl w:val="0"/>
          <w:numId w:val="159"/>
        </w:numPr>
        <w:rPr/>
      </w:pPr>
      <w:r>
        <w:rPr/>
        <w:t>Prevent personnel who do not have access to sensitive data from obtaining access to sensitive data.</w:t>
      </w:r>
    </w:p>
    <w:p>
      <w:pPr>
        <w:pStyle w:val="Normal"/>
        <w:rPr/>
      </w:pPr>
      <w:r>
        <w:rPr/>
      </w:r>
    </w:p>
    <w:p>
      <w:pPr>
        <w:pStyle w:val="Normal"/>
        <w:rPr/>
      </w:pPr>
      <w:r>
        <w:rPr>
          <w:u w:val="single"/>
        </w:rPr>
        <w:t>Guidelines</w:t>
      </w:r>
      <w:r>
        <w:rPr/>
        <w:t>: NFCC's documented roles and responsibilities provides a detailed description of NFCC user roles and responsibilities, in regards to cybersecurity-related use obligations.</w:t>
      </w:r>
    </w:p>
    <w:p>
      <w:pPr>
        <w:pStyle w:val="Normal"/>
        <w:rPr/>
      </w:pPr>
      <w:r>
        <w:rPr/>
      </w:r>
    </w:p>
    <w:p>
      <w:pPr>
        <w:pStyle w:val="Heading3"/>
        <w:rPr/>
      </w:pPr>
      <w:bookmarkStart w:id="881" w:name="_Toc474075198"/>
      <w:bookmarkStart w:id="882" w:name="_Toc34920848"/>
      <w:r>
        <w:rPr/>
        <w:t>HRS-02(a): Position Categorization | Users With Elevated Privileges</w:t>
      </w:r>
      <w:bookmarkEnd w:id="881"/>
      <w:bookmarkEnd w:id="882"/>
    </w:p>
    <w:p>
      <w:pPr>
        <w:pStyle w:val="Normal"/>
        <w:rPr/>
      </w:pPr>
      <w:r>
        <w:rPr>
          <w:u w:val="single"/>
        </w:rPr>
        <w:t>Control Objective</w:t>
      </w:r>
      <w:r>
        <w:rPr/>
        <w:t>: The organization ensures that every user accessing a system that processes, stores or transmits sensitive information is cleared and trained to handle the information in question.</w:t>
      </w:r>
    </w:p>
    <w:p>
      <w:pPr>
        <w:pStyle w:val="Normal"/>
        <w:rPr/>
      </w:pPr>
      <w:r>
        <w:rPr/>
      </w:r>
    </w:p>
    <w:p>
      <w:pPr>
        <w:pStyle w:val="Normal"/>
        <w:rPr/>
      </w:pPr>
      <w:r>
        <w:rPr>
          <w:u w:val="single"/>
        </w:rPr>
        <w:t>Standard</w:t>
      </w:r>
      <w:r>
        <w:rPr/>
        <w:t>: NFCC is required to diligently manage individuals with elevated privileges through the following methods:</w:t>
      </w:r>
    </w:p>
    <w:p>
      <w:pPr>
        <w:pStyle w:val="ListParagraph"/>
        <w:numPr>
          <w:ilvl w:val="0"/>
          <w:numId w:val="331"/>
        </w:numPr>
        <w:rPr/>
      </w:pPr>
      <w:r>
        <w:rPr/>
        <w:t>Privileged access must be based on a legitimate need to have system access (e.g., “need to know” or “need to use”) and be re-evaluate at least annually;</w:t>
      </w:r>
    </w:p>
    <w:p>
      <w:pPr>
        <w:pStyle w:val="ListParagraph"/>
        <w:numPr>
          <w:ilvl w:val="0"/>
          <w:numId w:val="331"/>
        </w:numPr>
        <w:rPr/>
      </w:pPr>
      <w:r>
        <w:rPr/>
        <w:t>Users with privileged access must be provided with periodic security awareness briefings and trained to fulfill their security responsibilities; and</w:t>
      </w:r>
    </w:p>
    <w:p>
      <w:pPr>
        <w:pStyle w:val="ListParagraph"/>
        <w:numPr>
          <w:ilvl w:val="0"/>
          <w:numId w:val="331"/>
        </w:numPr>
        <w:rPr/>
      </w:pPr>
      <w:r>
        <w:rPr/>
        <w:t>A process to ensure access privileges are revoked in a timely manner when the requirement for access ceases (e.g., transfer, resignation, retirement, change of job description, etc.) and immediately for individuals being separated for adverse reasons just prior to notifying them of the pending action.</w:t>
      </w:r>
    </w:p>
    <w:p>
      <w:pPr>
        <w:pStyle w:val="Normal"/>
        <w:rPr/>
      </w:pPr>
      <w:r>
        <w:rPr/>
      </w:r>
    </w:p>
    <w:p>
      <w:pPr>
        <w:pStyle w:val="Normal"/>
        <w:rPr/>
      </w:pPr>
      <w:r>
        <w:rPr>
          <w:rFonts w:cs="Calibri"/>
          <w:u w:val="single"/>
        </w:rPr>
        <w:t>Guidelines</w:t>
      </w:r>
      <w:r>
        <w:rPr>
          <w:rFonts w:cs="Calibri"/>
        </w:rPr>
        <w:t xml:space="preserve">: </w:t>
      </w:r>
      <w:r>
        <w:rPr/>
        <w:t>Managers should ensure that all personnel with elevated privileges take at least one (1) contiguous week of vacation annually, since studies have found that mandatory vacations:</w:t>
      </w:r>
    </w:p>
    <w:p>
      <w:pPr>
        <w:pStyle w:val="ListParagraph"/>
        <w:numPr>
          <w:ilvl w:val="0"/>
          <w:numId w:val="50"/>
        </w:numPr>
        <w:rPr/>
      </w:pPr>
      <w:r>
        <w:rPr/>
        <w:t>Prevent workers from concealing fraud or other illegal or abusive acts; and</w:t>
      </w:r>
    </w:p>
    <w:p>
      <w:pPr>
        <w:pStyle w:val="ListParagraph"/>
        <w:numPr>
          <w:ilvl w:val="0"/>
          <w:numId w:val="50"/>
        </w:numPr>
        <w:rPr/>
      </w:pPr>
      <w:r>
        <w:rPr/>
        <w:t>Serve to alleviate stress, helping them maintain the level of diligence needed to perform their job functions.</w:t>
      </w:r>
    </w:p>
    <w:p>
      <w:pPr>
        <w:pStyle w:val="Normal"/>
        <w:rPr/>
      </w:pPr>
      <w:r>
        <w:rPr/>
      </w:r>
    </w:p>
    <w:p>
      <w:pPr>
        <w:pStyle w:val="Normal"/>
        <w:rPr/>
      </w:pPr>
      <w:r>
        <w:rPr/>
      </w:r>
    </w:p>
    <w:p>
      <w:pPr>
        <w:pStyle w:val="Heading2"/>
        <w:rPr/>
      </w:pPr>
      <w:bookmarkStart w:id="883" w:name="_Toc474075200"/>
      <w:bookmarkStart w:id="884" w:name="_Toc474075726"/>
      <w:bookmarkStart w:id="885" w:name="_Toc34920849"/>
      <w:r>
        <w:rPr/>
        <w:t>HRS-03: Roles &amp; Responsibilities</w:t>
      </w:r>
      <w:bookmarkEnd w:id="883"/>
      <w:bookmarkEnd w:id="884"/>
      <w:bookmarkEnd w:id="885"/>
      <w:r>
        <w:rPr/>
        <w:t xml:space="preserve"> </w:t>
      </w:r>
    </w:p>
    <w:p>
      <w:pPr>
        <w:pStyle w:val="Normal"/>
        <w:rPr/>
      </w:pPr>
      <w:r>
        <w:rPr>
          <w:u w:val="single"/>
        </w:rPr>
        <w:t>Control Objective</w:t>
      </w:r>
      <w:r>
        <w:rPr/>
        <w:t>: The organization defines cybersecurity &amp; privacy responsibilities for all personnel.</w:t>
      </w:r>
      <w:r>
        <w:rPr>
          <w:rStyle w:val="FootnoteCharacters"/>
          <w:rFonts w:cs="Calibri"/>
        </w:rPr>
        <w:t xml:space="preserve"> </w:t>
      </w:r>
      <w:r>
        <w:rPr>
          <w:rStyle w:val="FootnoteAnchor"/>
          <w:rStyle w:val="FootnoteAnchor"/>
          <w:rFonts w:cs="Calibri"/>
        </w:rPr>
        <w:footnoteReference w:id="269"/>
      </w:r>
    </w:p>
    <w:p>
      <w:pPr>
        <w:pStyle w:val="Normal"/>
        <w:rPr/>
      </w:pPr>
      <w:r>
        <w:rPr/>
      </w:r>
    </w:p>
    <w:p>
      <w:pPr>
        <w:pStyle w:val="Normal"/>
        <w:rPr/>
      </w:pPr>
      <w:r>
        <w:rPr>
          <w:u w:val="single"/>
        </w:rPr>
        <w:t>Standard</w:t>
      </w:r>
      <w:r>
        <w:rPr/>
        <w:t>: Human Resources (HR), in conjunction with personnel managers, is required to:</w:t>
      </w:r>
    </w:p>
    <w:p>
      <w:pPr>
        <w:pStyle w:val="ListParagraph"/>
        <w:numPr>
          <w:ilvl w:val="0"/>
          <w:numId w:val="333"/>
        </w:numPr>
        <w:rPr/>
      </w:pPr>
      <w:r>
        <w:rPr/>
        <w:t xml:space="preserve">Document the roles and responsibilities of contractors, employees and third-party users as they relate cybersecurity and privacy; and </w:t>
      </w:r>
    </w:p>
    <w:p>
      <w:pPr>
        <w:pStyle w:val="ListParagraph"/>
        <w:numPr>
          <w:ilvl w:val="0"/>
          <w:numId w:val="333"/>
        </w:numPr>
        <w:rPr/>
      </w:pPr>
      <w:r>
        <w:rPr/>
        <w:t>Assign, document and communicate employment termination or change in employment procedures.</w:t>
      </w:r>
    </w:p>
    <w:p>
      <w:pPr>
        <w:pStyle w:val="Normal"/>
        <w:rPr/>
      </w:pPr>
      <w:r>
        <w:rPr/>
      </w:r>
    </w:p>
    <w:p>
      <w:pPr>
        <w:pStyle w:val="Normal"/>
        <w:rPr>
          <w:rFonts w:cs="Calibri"/>
        </w:rPr>
      </w:pPr>
      <w:r>
        <w:rPr>
          <w:rFonts w:cs="Calibri"/>
          <w:u w:val="single"/>
        </w:rPr>
        <w:t>Guidelines</w:t>
      </w:r>
      <w:r>
        <w:rPr>
          <w:rFonts w:cs="Calibri"/>
        </w:rPr>
        <w:t>: NFCC's documented roles and responsibilities provides a detailed description of NFCC user roles and responsibilities, in regards to cybersecurity-related use obligations.</w:t>
      </w:r>
    </w:p>
    <w:p>
      <w:pPr>
        <w:pStyle w:val="Normal"/>
        <w:rPr/>
      </w:pPr>
      <w:r>
        <w:rPr/>
      </w:r>
    </w:p>
    <w:p>
      <w:pPr>
        <w:pStyle w:val="Heading3"/>
        <w:rPr/>
      </w:pPr>
      <w:bookmarkStart w:id="886" w:name="_Toc474075201"/>
      <w:bookmarkStart w:id="887" w:name="_Toc34920850"/>
      <w:r>
        <w:rPr/>
        <w:t>HRS-03(a): Roles &amp; Responsibilities | User Awareness</w:t>
      </w:r>
      <w:bookmarkEnd w:id="886"/>
      <w:bookmarkEnd w:id="887"/>
      <w:r>
        <w:rPr/>
        <w:t xml:space="preserve"> </w:t>
      </w:r>
    </w:p>
    <w:p>
      <w:pPr>
        <w:pStyle w:val="Normal"/>
        <w:rPr/>
      </w:pPr>
      <w:r>
        <w:rPr>
          <w:u w:val="single"/>
        </w:rPr>
        <w:t>Control Objective</w:t>
      </w:r>
      <w:r>
        <w:rPr/>
        <w:t>: The organization ensures all users are made aware of their roles and responsibilities for:</w:t>
      </w:r>
    </w:p>
    <w:p>
      <w:pPr>
        <w:pStyle w:val="ListParagraph"/>
        <w:numPr>
          <w:ilvl w:val="0"/>
          <w:numId w:val="334"/>
        </w:numPr>
        <w:rPr/>
      </w:pPr>
      <w:r>
        <w:rPr/>
        <w:t>Maintaining awareness and compliance with established policies and procedures and applicable statutory, regulatory or contractual compliance obligations; and</w:t>
      </w:r>
    </w:p>
    <w:p>
      <w:pPr>
        <w:pStyle w:val="ListParagraph"/>
        <w:numPr>
          <w:ilvl w:val="0"/>
          <w:numId w:val="334"/>
        </w:numPr>
        <w:rPr/>
      </w:pPr>
      <w:r>
        <w:rPr/>
        <w:t>Maintaining a safe and secure working environment.</w:t>
      </w:r>
    </w:p>
    <w:p>
      <w:pPr>
        <w:pStyle w:val="Normal"/>
        <w:rPr/>
      </w:pPr>
      <w:r>
        <w:rPr/>
      </w:r>
    </w:p>
    <w:p>
      <w:pPr>
        <w:pStyle w:val="Normal"/>
        <w:rPr/>
      </w:pPr>
      <w:r>
        <w:rPr>
          <w:u w:val="single"/>
        </w:rPr>
        <w:t>Standard</w:t>
      </w:r>
      <w:r>
        <w:rPr/>
        <w:t xml:space="preserve">: NFCC’s Human Resources (HR) department, in conjunction with the Legal and Contracting departments, are responsible for ensuring workforce personnel and third-party users are informed of their responsibilities and contractually agree to report all security and / or privacy incidents in a timely manner. </w:t>
      </w:r>
    </w:p>
    <w:p>
      <w:pPr>
        <w:pStyle w:val="Normal"/>
        <w:rPr/>
      </w:pPr>
      <w:r>
        <w:rPr/>
      </w:r>
    </w:p>
    <w:p>
      <w:pPr>
        <w:pStyle w:val="Normal"/>
        <w:rPr/>
      </w:pPr>
      <w:r>
        <w:rPr>
          <w:rFonts w:cs="Calibri"/>
          <w:u w:val="single"/>
        </w:rPr>
        <w:t>Guidelines</w:t>
      </w:r>
      <w:r>
        <w:rPr>
          <w:rFonts w:cs="Calibri"/>
        </w:rPr>
        <w:t xml:space="preserve">: </w:t>
      </w:r>
      <w:r>
        <w:rPr/>
        <w:t>Information security events need to be reported through predefined communications channels in a timely manner adhering to applicable statutory, regulatory and contractual compliance obligations.</w:t>
      </w:r>
    </w:p>
    <w:p>
      <w:pPr>
        <w:pStyle w:val="Normal"/>
        <w:rPr/>
      </w:pPr>
      <w:r>
        <w:rPr/>
      </w:r>
    </w:p>
    <w:p>
      <w:pPr>
        <w:pStyle w:val="Heading3"/>
        <w:rPr/>
      </w:pPr>
      <w:bookmarkStart w:id="888" w:name="_Toc474075199"/>
      <w:bookmarkStart w:id="889" w:name="_Toc34920851"/>
      <w:r>
        <w:rPr/>
        <w:t>HRS-03(b): Roles &amp; Responsibilities | Competency Requirements for Security-Related Positions</w:t>
      </w:r>
      <w:bookmarkEnd w:id="888"/>
      <w:bookmarkEnd w:id="889"/>
      <w:r>
        <w:rPr/>
        <w:t xml:space="preserve"> </w:t>
      </w:r>
    </w:p>
    <w:p>
      <w:pPr>
        <w:pStyle w:val="Normal"/>
        <w:rPr/>
      </w:pPr>
      <w:r>
        <w:rPr>
          <w:u w:val="single"/>
        </w:rPr>
        <w:t>Control Objective</w:t>
      </w:r>
      <w:r>
        <w:rPr/>
        <w:t>: The organization ensures that all security-related positions are staffed by qualified individuals and those individuals have the skill set necessary to perform the cybersecurity and privacy-related job functions.</w:t>
      </w:r>
    </w:p>
    <w:p>
      <w:pPr>
        <w:pStyle w:val="Normal"/>
        <w:rPr/>
      </w:pPr>
      <w:r>
        <w:rPr/>
      </w:r>
    </w:p>
    <w:p>
      <w:pPr>
        <w:pStyle w:val="Normal"/>
        <w:rPr/>
      </w:pPr>
      <w:r>
        <w:rPr>
          <w:u w:val="single"/>
        </w:rPr>
        <w:t>Standard</w:t>
      </w:r>
      <w:r>
        <w:rPr/>
        <w:t>: NFCC is required to:</w:t>
      </w:r>
    </w:p>
    <w:p>
      <w:pPr>
        <w:pStyle w:val="ListParagraph"/>
        <w:numPr>
          <w:ilvl w:val="0"/>
          <w:numId w:val="332"/>
        </w:numPr>
        <w:rPr/>
      </w:pPr>
      <w:r>
        <w:rPr/>
        <w:t>Assess individual skill sets for all individuals that are responsible for cybersecurity functions. Only individuals meeting or exceeding NFCC’s cybersecurity skills requirement are allowed to perform cybersecurity-related functions; and</w:t>
      </w:r>
    </w:p>
    <w:p>
      <w:pPr>
        <w:pStyle w:val="ListParagraph"/>
        <w:numPr>
          <w:ilvl w:val="0"/>
          <w:numId w:val="332"/>
        </w:numPr>
        <w:rPr/>
      </w:pPr>
      <w:r>
        <w:rPr/>
        <w:t>Perform gap analysis to see which skills employees need and which behaviors employees are not adhering to, using this information to build a baseline training and awareness roadmap for other similar employees. </w:t>
      </w:r>
    </w:p>
    <w:p>
      <w:pPr>
        <w:pStyle w:val="Normal"/>
        <w:rPr/>
      </w:pPr>
      <w:r>
        <w:rPr/>
      </w:r>
    </w:p>
    <w:p>
      <w:pPr>
        <w:pStyle w:val="Normal"/>
        <w:rPr/>
      </w:pPr>
      <w:r>
        <w:rPr>
          <w:u w:val="single"/>
        </w:rPr>
        <w:t>Guidelines</w:t>
      </w:r>
      <w:r>
        <w:rPr/>
        <w:t>: None</w:t>
      </w:r>
    </w:p>
    <w:p>
      <w:pPr>
        <w:pStyle w:val="Normal"/>
        <w:rPr/>
      </w:pPr>
      <w:r>
        <w:rPr/>
      </w:r>
    </w:p>
    <w:p>
      <w:pPr>
        <w:pStyle w:val="Normal"/>
        <w:rPr/>
      </w:pPr>
      <w:r>
        <w:rPr/>
      </w:r>
    </w:p>
    <w:p>
      <w:pPr>
        <w:pStyle w:val="Heading2"/>
        <w:rPr/>
      </w:pPr>
      <w:bookmarkStart w:id="890" w:name="_Toc474075202"/>
      <w:bookmarkStart w:id="891" w:name="_Toc474075727"/>
      <w:bookmarkStart w:id="892" w:name="_Toc34920852"/>
      <w:r>
        <w:rPr/>
        <w:t>HRS-04: Personnel Screening</w:t>
      </w:r>
      <w:bookmarkEnd w:id="890"/>
      <w:bookmarkEnd w:id="891"/>
      <w:bookmarkEnd w:id="892"/>
      <w:r>
        <w:rPr/>
        <w:t xml:space="preserve"> </w:t>
      </w:r>
    </w:p>
    <w:p>
      <w:pPr>
        <w:pStyle w:val="Normal"/>
        <w:rPr/>
      </w:pPr>
      <w:r>
        <w:rPr>
          <w:u w:val="single"/>
        </w:rPr>
        <w:t>Control Objective</w:t>
      </w:r>
      <w:r>
        <w:rPr/>
        <w:t>: The organization:</w:t>
      </w:r>
      <w:r>
        <w:rPr>
          <w:rStyle w:val="FootnoteCharacters"/>
          <w:rFonts w:cs="Calibri"/>
        </w:rPr>
        <w:t xml:space="preserve"> </w:t>
      </w:r>
      <w:r>
        <w:rPr>
          <w:rStyle w:val="FootnoteAnchor"/>
          <w:rStyle w:val="FootnoteAnchor"/>
          <w:rFonts w:cs="Calibri"/>
        </w:rPr>
        <w:footnoteReference w:id="270"/>
      </w:r>
    </w:p>
    <w:p>
      <w:pPr>
        <w:pStyle w:val="ListParagraph"/>
        <w:numPr>
          <w:ilvl w:val="0"/>
          <w:numId w:val="51"/>
        </w:numPr>
        <w:rPr/>
      </w:pPr>
      <w:r>
        <w:rPr/>
        <w:t>Screens individuals prior to authorizing access; and</w:t>
      </w:r>
    </w:p>
    <w:p>
      <w:pPr>
        <w:pStyle w:val="ListParagraph"/>
        <w:numPr>
          <w:ilvl w:val="0"/>
          <w:numId w:val="51"/>
        </w:numPr>
        <w:rPr/>
      </w:pPr>
      <w:r>
        <w:rPr/>
        <w:t>Rescreens individuals, if necessary, based on organizational concerns.</w:t>
      </w:r>
    </w:p>
    <w:p>
      <w:pPr>
        <w:pStyle w:val="Normal"/>
        <w:rPr/>
      </w:pPr>
      <w:r>
        <w:rPr/>
      </w:r>
    </w:p>
    <w:p>
      <w:pPr>
        <w:pStyle w:val="Normal"/>
        <w:rPr/>
      </w:pPr>
      <w:r>
        <w:rPr>
          <w:u w:val="single"/>
        </w:rPr>
        <w:t>Standard</w:t>
      </w:r>
      <w:r>
        <w:rPr/>
        <w:t>: Pursuant to local laws, regulations, ethics and contractual constraints, all employment candidates, contractors and third-parties shall be subject to background verification proportional to the data classification to be accessed, the business requirements and acceptable risk.</w:t>
      </w:r>
    </w:p>
    <w:p>
      <w:pPr>
        <w:pStyle w:val="Normal"/>
        <w:rPr/>
      </w:pPr>
      <w:r>
        <w:rPr/>
      </w:r>
    </w:p>
    <w:p>
      <w:pPr>
        <w:pStyle w:val="Normal"/>
        <w:rPr/>
      </w:pPr>
      <w:r>
        <w:rPr>
          <w:u w:val="single"/>
        </w:rPr>
        <w:t>Guidelines</w:t>
      </w:r>
      <w:r>
        <w:rPr/>
        <w:t xml:space="preserve">: </w:t>
      </w:r>
      <w:bookmarkStart w:id="893" w:name="_Toc398527209"/>
      <w:r>
        <w:rPr/>
        <w:t>Background verification checks on all candidates for employment should be carried out in accordance with relevant laws, regulations and ethics and should be proportional to the business requirements, the classification of the information to be accessed and the perceived risks.</w:t>
      </w:r>
      <w:bookmarkEnd w:id="893"/>
      <w:r>
        <w:rPr/>
        <w:t xml:space="preserve"> </w:t>
      </w:r>
    </w:p>
    <w:p>
      <w:pPr>
        <w:pStyle w:val="Normal"/>
        <w:rPr/>
      </w:pPr>
      <w:r>
        <w:rPr/>
      </w:r>
    </w:p>
    <w:p>
      <w:pPr>
        <w:pStyle w:val="Normal"/>
        <w:rPr/>
      </w:pPr>
      <w:r>
        <w:rPr/>
        <w:t>Approved methods of screening procedures include:</w:t>
      </w:r>
    </w:p>
    <w:p>
      <w:pPr>
        <w:pStyle w:val="ListParagraph"/>
        <w:numPr>
          <w:ilvl w:val="0"/>
          <w:numId w:val="52"/>
        </w:numPr>
        <w:rPr/>
      </w:pPr>
      <w:r>
        <w:rPr/>
        <w:t>Previous employment history verification;</w:t>
      </w:r>
    </w:p>
    <w:p>
      <w:pPr>
        <w:pStyle w:val="ListParagraph"/>
        <w:numPr>
          <w:ilvl w:val="0"/>
          <w:numId w:val="52"/>
        </w:numPr>
        <w:rPr/>
      </w:pPr>
      <w:r>
        <w:rPr/>
        <w:t>Criminal history record check;</w:t>
      </w:r>
    </w:p>
    <w:p>
      <w:pPr>
        <w:pStyle w:val="ListParagraph"/>
        <w:numPr>
          <w:ilvl w:val="0"/>
          <w:numId w:val="52"/>
        </w:numPr>
        <w:rPr/>
      </w:pPr>
      <w:r>
        <w:rPr/>
        <w:t>Department of Motor Vehicles (DMV) history check;</w:t>
      </w:r>
    </w:p>
    <w:p>
      <w:pPr>
        <w:pStyle w:val="ListParagraph"/>
        <w:numPr>
          <w:ilvl w:val="0"/>
          <w:numId w:val="52"/>
        </w:numPr>
        <w:rPr/>
      </w:pPr>
      <w:r>
        <w:rPr/>
        <w:t xml:space="preserve">Credit history; and </w:t>
      </w:r>
    </w:p>
    <w:p>
      <w:pPr>
        <w:pStyle w:val="ListParagraph"/>
        <w:numPr>
          <w:ilvl w:val="0"/>
          <w:numId w:val="52"/>
        </w:numPr>
        <w:rPr/>
      </w:pPr>
      <w:r>
        <w:rPr/>
        <w:t>Personal / professional reference checks.</w:t>
      </w:r>
    </w:p>
    <w:p>
      <w:pPr>
        <w:pStyle w:val="Normal"/>
        <w:rPr/>
      </w:pPr>
      <w:r>
        <w:rPr/>
      </w:r>
    </w:p>
    <w:p>
      <w:pPr>
        <w:pStyle w:val="Heading3"/>
        <w:rPr/>
      </w:pPr>
      <w:bookmarkStart w:id="894" w:name="_Toc474075203"/>
      <w:bookmarkStart w:id="895" w:name="_Toc34920853"/>
      <w:r>
        <w:rPr/>
        <w:t>HRS-04(a): Personnel Screening | Roles With Special Protection Measures</w:t>
      </w:r>
      <w:bookmarkEnd w:id="894"/>
      <w:bookmarkEnd w:id="895"/>
    </w:p>
    <w:p>
      <w:pPr>
        <w:pStyle w:val="Normal"/>
        <w:rPr/>
      </w:pPr>
      <w:r>
        <w:rPr>
          <w:u w:val="single"/>
        </w:rPr>
        <w:t>Control Objective</w:t>
      </w:r>
      <w:r>
        <w:rPr/>
        <w:t>: The organization ensures that individuals accessing a system that stores, transmits or processes information requiring special protection:</w:t>
      </w:r>
      <w:r>
        <w:rPr>
          <w:rStyle w:val="FootnoteAnchor"/>
          <w:rStyle w:val="FootnoteAnchor"/>
          <w:rFonts w:cs="Calibri"/>
        </w:rPr>
        <w:footnoteReference w:id="271"/>
      </w:r>
      <w:r>
        <w:rPr/>
        <w:t xml:space="preserve"> </w:t>
      </w:r>
    </w:p>
    <w:p>
      <w:pPr>
        <w:pStyle w:val="ListParagraph"/>
        <w:numPr>
          <w:ilvl w:val="0"/>
          <w:numId w:val="176"/>
        </w:numPr>
        <w:rPr/>
      </w:pPr>
      <w:r>
        <w:rPr/>
        <w:t>Have valid access authorizations that are demonstrated by assigned official government duties; and</w:t>
      </w:r>
    </w:p>
    <w:p>
      <w:pPr>
        <w:pStyle w:val="ListParagraph"/>
        <w:numPr>
          <w:ilvl w:val="0"/>
          <w:numId w:val="176"/>
        </w:numPr>
        <w:rPr/>
      </w:pPr>
      <w:r>
        <w:rPr/>
        <w:t>Satisfy organization-defined additional personnel screening criteria.</w:t>
      </w:r>
    </w:p>
    <w:p>
      <w:pPr>
        <w:pStyle w:val="Normal"/>
        <w:rPr/>
      </w:pPr>
      <w:r>
        <w:rPr/>
      </w:r>
    </w:p>
    <w:p>
      <w:pPr>
        <w:pStyle w:val="Normal"/>
        <w:rPr/>
      </w:pPr>
      <w:r>
        <w:rPr>
          <w:u w:val="single"/>
        </w:rPr>
        <w:t>Standard</w:t>
      </w:r>
      <w:r>
        <w:rPr/>
        <w:t>: NFCC management is required to ensure authorized users meet personnel screening criteria.</w:t>
      </w:r>
    </w:p>
    <w:p>
      <w:pPr>
        <w:pStyle w:val="Normal"/>
        <w:rPr/>
      </w:pPr>
      <w:r>
        <w:rPr/>
      </w:r>
    </w:p>
    <w:p>
      <w:pPr>
        <w:pStyle w:val="Normal"/>
        <w:rPr/>
      </w:pPr>
      <w:r>
        <w:rPr>
          <w:u w:val="single"/>
        </w:rPr>
        <w:t>Guidelines</w:t>
      </w:r>
      <w:r>
        <w:rPr/>
        <w:t>: Organizational information requiring special protection includes, for example, Controlled Unclassified Information (CUI) and Sources and Methods Information (SAMI). Personnel security criteria include, for example, position-sensitive background screening requirements.</w:t>
      </w:r>
    </w:p>
    <w:p>
      <w:pPr>
        <w:pStyle w:val="Normal"/>
        <w:rPr/>
      </w:pPr>
      <w:r>
        <w:rPr/>
      </w:r>
    </w:p>
    <w:p>
      <w:pPr>
        <w:pStyle w:val="Heading3"/>
        <w:rPr/>
      </w:pPr>
      <w:bookmarkStart w:id="896" w:name="_Toc34920854"/>
      <w:r>
        <w:rPr/>
        <w:t>HRS-04(b): Personnel Screening | Formal Indoctrination</w:t>
      </w:r>
      <w:bookmarkEnd w:id="896"/>
    </w:p>
    <w:p>
      <w:pPr>
        <w:pStyle w:val="Normal"/>
        <w:rPr/>
      </w:pPr>
      <w:r>
        <w:rPr>
          <w:u w:val="single"/>
        </w:rPr>
        <w:t>Control Objective</w:t>
      </w:r>
      <w:r>
        <w:rPr/>
        <w:t>: The organization verifies that individuals accessing a system processing, storing or transmitting sensitive information which require formal indoctrination, are formally indoctrinated for all the relevant types of information to which they have access on the system.</w:t>
      </w:r>
    </w:p>
    <w:p>
      <w:pPr>
        <w:pStyle w:val="Normal"/>
        <w:rPr/>
      </w:pPr>
      <w:r>
        <w:rPr/>
      </w:r>
    </w:p>
    <w:p>
      <w:pPr>
        <w:pStyle w:val="Normal"/>
        <w:rPr/>
      </w:pPr>
      <w:r>
        <w:rPr>
          <w:u w:val="single"/>
        </w:rPr>
        <w:t>Standard</w:t>
      </w:r>
      <w:r>
        <w:rPr/>
        <w:t>: NFCC management must ensure that individuals accessing a system processing, storing or transmitting sensitive information, which require formal indoctrination, are formally indoctrinated for all the relevant types of information to which they have access on the system.</w:t>
      </w:r>
    </w:p>
    <w:p>
      <w:pPr>
        <w:pStyle w:val="Normal"/>
        <w:rPr/>
      </w:pPr>
      <w:r>
        <w:rPr/>
      </w:r>
    </w:p>
    <w:p>
      <w:pPr>
        <w:pStyle w:val="Normal"/>
        <w:rPr/>
      </w:pPr>
      <w:r>
        <w:rPr>
          <w:u w:val="single"/>
        </w:rPr>
        <w:t>Guidelines</w:t>
      </w:r>
      <w:r>
        <w:rPr/>
        <w:t>: Types of classified information requiring formal indoctrination include, for example, Special Access Program (SAP), Restricted Data (RD) and Sensitive Compartment Information (SCI).</w:t>
      </w:r>
    </w:p>
    <w:p>
      <w:pPr>
        <w:pStyle w:val="Normal"/>
        <w:rPr/>
      </w:pPr>
      <w:r>
        <w:rPr/>
      </w:r>
    </w:p>
    <w:p>
      <w:pPr>
        <w:pStyle w:val="Normal"/>
        <w:rPr/>
      </w:pPr>
      <w:r>
        <w:rPr/>
      </w:r>
    </w:p>
    <w:p>
      <w:pPr>
        <w:pStyle w:val="Heading2"/>
        <w:rPr/>
      </w:pPr>
      <w:bookmarkStart w:id="897" w:name="_Toc474075204"/>
      <w:bookmarkStart w:id="898" w:name="_Toc474075728"/>
      <w:bookmarkStart w:id="899" w:name="_Toc34920855"/>
      <w:r>
        <w:rPr/>
        <w:t>HRS-05: Terms of Employment</w:t>
      </w:r>
      <w:bookmarkEnd w:id="897"/>
      <w:bookmarkEnd w:id="898"/>
      <w:bookmarkEnd w:id="899"/>
      <w:r>
        <w:rPr/>
        <w:t xml:space="preserve"> </w:t>
      </w:r>
    </w:p>
    <w:p>
      <w:pPr>
        <w:pStyle w:val="Normal"/>
        <w:rPr/>
      </w:pPr>
      <w:r>
        <w:rPr>
          <w:u w:val="single"/>
        </w:rPr>
        <w:t>Control Objective</w:t>
      </w:r>
      <w:r>
        <w:rPr/>
        <w:t>: The organization requires all employees and contractors to apply security and privacy principles in accordance with the organization's established policies and procedures.</w:t>
      </w:r>
      <w:r>
        <w:rPr>
          <w:rStyle w:val="FootnoteCharacters"/>
          <w:rFonts w:cs="Calibri"/>
        </w:rPr>
        <w:t xml:space="preserve"> </w:t>
      </w:r>
      <w:r>
        <w:rPr>
          <w:rStyle w:val="FootnoteAnchor"/>
          <w:rStyle w:val="FootnoteAnchor"/>
          <w:rFonts w:cs="Calibri"/>
        </w:rPr>
        <w:footnoteReference w:id="272"/>
      </w:r>
    </w:p>
    <w:p>
      <w:pPr>
        <w:pStyle w:val="Normal"/>
        <w:rPr/>
      </w:pPr>
      <w:r>
        <w:rPr/>
      </w:r>
    </w:p>
    <w:p>
      <w:pPr>
        <w:pStyle w:val="Normal"/>
        <w:rPr/>
      </w:pPr>
      <w:r>
        <w:rPr>
          <w:u w:val="single"/>
        </w:rPr>
        <w:t>Standard</w:t>
      </w:r>
      <w:r>
        <w:rPr/>
        <w:t xml:space="preserve">: Prior to granting workforce personnel access to corporate facilities, resources or assets, employment or access agreements must be signed by newly hired or on-boarded workforce personnel (e.g., full or part-time employee or contingent staff) that incorporate provisions and / or terms for adherence to NFCC’s established cybersecurity policies and standards. </w:t>
      </w:r>
    </w:p>
    <w:p>
      <w:pPr>
        <w:pStyle w:val="Normal"/>
        <w:rPr/>
      </w:pPr>
      <w:r>
        <w:rPr/>
      </w:r>
    </w:p>
    <w:p>
      <w:pPr>
        <w:pStyle w:val="Normal"/>
        <w:rPr/>
      </w:pPr>
      <w:r>
        <w:rPr>
          <w:u w:val="single"/>
        </w:rPr>
        <w:t>Guidelines</w:t>
      </w:r>
      <w:r>
        <w:rPr/>
        <w:t>: None</w:t>
      </w:r>
    </w:p>
    <w:p>
      <w:pPr>
        <w:pStyle w:val="Normal"/>
        <w:rPr/>
      </w:pPr>
      <w:r>
        <w:rPr/>
      </w:r>
    </w:p>
    <w:p>
      <w:pPr>
        <w:pStyle w:val="Heading3"/>
        <w:rPr/>
      </w:pPr>
      <w:bookmarkStart w:id="900" w:name="_Toc398527110"/>
      <w:bookmarkStart w:id="901" w:name="_Toc474075205"/>
      <w:bookmarkStart w:id="902" w:name="_Toc34920856"/>
      <w:r>
        <w:rPr/>
        <w:t>HRS-05(a): Terms of Employment | Rules of Behavior</w:t>
      </w:r>
      <w:bookmarkEnd w:id="900"/>
      <w:bookmarkEnd w:id="901"/>
      <w:bookmarkEnd w:id="902"/>
      <w:r>
        <w:rPr/>
        <w:t xml:space="preserve"> </w:t>
      </w:r>
    </w:p>
    <w:p>
      <w:pPr>
        <w:pStyle w:val="Normal"/>
        <w:rPr/>
      </w:pPr>
      <w:r>
        <w:rPr>
          <w:u w:val="single"/>
        </w:rPr>
        <w:t>Control Objective</w:t>
      </w:r>
      <w:r>
        <w:rPr/>
        <w:t xml:space="preserve">: The organization: </w:t>
      </w:r>
      <w:r>
        <w:rPr>
          <w:rStyle w:val="FootnoteAnchor"/>
          <w:rStyle w:val="FootnoteAnchor"/>
          <w:rFonts w:cs="Calibri"/>
        </w:rPr>
        <w:footnoteReference w:id="273"/>
      </w:r>
      <w:r>
        <w:fldChar w:fldCharType="begin"/>
      </w:r>
      <w:r>
        <w:rPr/>
        <w:instrText> XE "Acceptable Use:Rules of Behavior: : " </w:instrText>
      </w:r>
      <w:r>
        <w:rPr/>
        <w:fldChar w:fldCharType="separate"/>
      </w:r>
      <w:r>
        <w:rPr/>
      </w:r>
      <w:r>
        <w:rPr/>
        <w:fldChar w:fldCharType="end"/>
      </w:r>
    </w:p>
    <w:p>
      <w:pPr>
        <w:pStyle w:val="ListParagraph"/>
        <w:numPr>
          <w:ilvl w:val="0"/>
          <w:numId w:val="187"/>
        </w:numPr>
        <w:rPr/>
      </w:pPr>
      <w:r>
        <w:rPr/>
        <w:t xml:space="preserve">Develops usage policies for critical technologies (for example, remote access technologies, wireless technologies, removable electronic media, laptops, tablets, smart phones, e-mail usage and Internet usage) and defines proper use of these technologies. </w:t>
      </w:r>
    </w:p>
    <w:p>
      <w:pPr>
        <w:pStyle w:val="ListParagraph"/>
        <w:numPr>
          <w:ilvl w:val="0"/>
          <w:numId w:val="187"/>
        </w:numPr>
        <w:rPr/>
      </w:pPr>
      <w:r>
        <w:rPr/>
        <w:t>Verifies that the usage policies require acceptable uses for the technology.</w:t>
      </w:r>
    </w:p>
    <w:p>
      <w:pPr>
        <w:pStyle w:val="ListParagraph"/>
        <w:numPr>
          <w:ilvl w:val="0"/>
          <w:numId w:val="187"/>
        </w:numPr>
        <w:rPr/>
      </w:pPr>
      <w:r>
        <w:rPr/>
        <w:t>Verifies that the usage policies require acceptable network locations for the technology.</w:t>
      </w:r>
    </w:p>
    <w:p>
      <w:pPr>
        <w:pStyle w:val="ListParagraph"/>
        <w:numPr>
          <w:ilvl w:val="0"/>
          <w:numId w:val="187"/>
        </w:numPr>
        <w:rPr/>
      </w:pPr>
      <w:r>
        <w:rPr/>
        <w:t>Prohibits copy, move and storage of sensitive data onto local hard drives and removable electronic media, unless explicitly authorized for a defined business need; and</w:t>
      </w:r>
    </w:p>
    <w:p>
      <w:pPr>
        <w:pStyle w:val="ListParagraph"/>
        <w:numPr>
          <w:ilvl w:val="0"/>
          <w:numId w:val="187"/>
        </w:numPr>
        <w:rPr/>
      </w:pPr>
      <w:r>
        <w:rPr/>
        <w:t>Establishes end-user messaging technologies restrictions.</w:t>
      </w:r>
    </w:p>
    <w:p>
      <w:pPr>
        <w:pStyle w:val="Normal"/>
        <w:rPr/>
      </w:pPr>
      <w:r>
        <w:rPr/>
      </w:r>
    </w:p>
    <w:p>
      <w:pPr>
        <w:pStyle w:val="Normal"/>
        <w:rPr/>
      </w:pPr>
      <w:r>
        <w:rPr>
          <w:u w:val="single"/>
        </w:rPr>
        <w:t>Standard</w:t>
      </w:r>
      <w:r>
        <w:rPr/>
        <w:t>: NFCC’s Human Resources (HR) department is assigned the responsibility for developing usage policies for technologies and defining proper use of these technologies, ensuring:</w:t>
      </w:r>
      <w:r>
        <w:rPr>
          <w:rStyle w:val="FootnoteCharacters"/>
          <w:rFonts w:cs="Calibri"/>
        </w:rPr>
        <w:t xml:space="preserve"> </w:t>
      </w:r>
    </w:p>
    <w:p>
      <w:pPr>
        <w:pStyle w:val="ListParagraph"/>
        <w:numPr>
          <w:ilvl w:val="0"/>
          <w:numId w:val="335"/>
        </w:numPr>
        <w:rPr/>
      </w:pPr>
      <w:r>
        <w:rPr/>
        <w:t>Information systems can only be used after explicit approval is given by company management;</w:t>
      </w:r>
    </w:p>
    <w:p>
      <w:pPr>
        <w:pStyle w:val="ListParagraph"/>
        <w:numPr>
          <w:ilvl w:val="0"/>
          <w:numId w:val="335"/>
        </w:numPr>
        <w:rPr/>
      </w:pPr>
      <w:r>
        <w:rPr/>
        <w:t>User authentication must be enabled, when technically feasible;</w:t>
      </w:r>
    </w:p>
    <w:p>
      <w:pPr>
        <w:pStyle w:val="ListParagraph"/>
        <w:numPr>
          <w:ilvl w:val="0"/>
          <w:numId w:val="335"/>
        </w:numPr>
        <w:rPr/>
      </w:pPr>
      <w:r>
        <w:rPr/>
        <w:t>Acceptable uses of the technologies must be given; and</w:t>
      </w:r>
    </w:p>
    <w:p>
      <w:pPr>
        <w:pStyle w:val="ListParagraph"/>
        <w:numPr>
          <w:ilvl w:val="0"/>
          <w:numId w:val="335"/>
        </w:numPr>
        <w:rPr/>
      </w:pPr>
      <w:r>
        <w:rPr/>
        <w:t>Acceptable network locations must be clearly stated.</w:t>
      </w:r>
    </w:p>
    <w:p>
      <w:pPr>
        <w:pStyle w:val="Normal"/>
        <w:rPr/>
      </w:pPr>
      <w:r>
        <w:rPr/>
      </w:r>
    </w:p>
    <w:p>
      <w:pPr>
        <w:pStyle w:val="Normal"/>
        <w:rPr/>
      </w:pPr>
      <w:r>
        <w:rPr>
          <w:u w:val="single"/>
        </w:rPr>
        <w:t>Guidelines</w:t>
      </w:r>
      <w:r>
        <w:rPr/>
        <w:t xml:space="preserve">: </w:t>
      </w:r>
      <w:r>
        <w:rPr>
          <w:i/>
          <w:u w:val="single"/>
        </w:rPr>
        <w:t>Annex 5: Rules of Behavior (Acceptable &amp; Unacceptable Use)</w:t>
      </w:r>
      <w:r>
        <w:rPr/>
        <w:t xml:space="preserve"> covers NFCC’s rules of behavior.</w:t>
      </w:r>
    </w:p>
    <w:p>
      <w:pPr>
        <w:pStyle w:val="Normal"/>
        <w:rPr/>
      </w:pPr>
      <w:r>
        <w:rPr/>
      </w:r>
    </w:p>
    <w:p>
      <w:pPr>
        <w:pStyle w:val="Normal"/>
        <w:rPr/>
      </w:pPr>
      <w:r>
        <w:rPr/>
        <w:t>An investigation should take place when there is:</w:t>
      </w:r>
    </w:p>
    <w:p>
      <w:pPr>
        <w:pStyle w:val="ListParagraph"/>
        <w:numPr>
          <w:ilvl w:val="0"/>
          <w:numId w:val="188"/>
        </w:numPr>
        <w:rPr/>
      </w:pPr>
      <w:r>
        <w:rPr/>
        <w:t>A credible allegation or evidence of unethical or unlawful acts, fraud or gross misconduct, including but not limited to acts which could reasonably form the basis of a claim against NFCC for unlawful discrimination, harassment or retaliation; or</w:t>
      </w:r>
    </w:p>
    <w:p>
      <w:pPr>
        <w:pStyle w:val="ListParagraph"/>
        <w:numPr>
          <w:ilvl w:val="0"/>
          <w:numId w:val="188"/>
        </w:numPr>
        <w:rPr/>
      </w:pPr>
      <w:r>
        <w:rPr/>
        <w:t>A requirement to do so by law, regulation or policy.</w:t>
      </w:r>
    </w:p>
    <w:p>
      <w:pPr>
        <w:pStyle w:val="Normal"/>
        <w:rPr/>
      </w:pPr>
      <w:r>
        <w:rPr/>
      </w:r>
    </w:p>
    <w:p>
      <w:pPr>
        <w:pStyle w:val="Normal"/>
        <w:rPr/>
      </w:pPr>
      <w:r>
        <w:rPr/>
        <w:t>Where law enforcement becomes involved in the subject of an internal investigation, NFCC needs to be prepared to cooperate with authorities consistent with its legal obligations to employees.</w:t>
      </w:r>
    </w:p>
    <w:p>
      <w:pPr>
        <w:pStyle w:val="Normal"/>
        <w:rPr/>
      </w:pPr>
      <w:r>
        <w:rPr/>
      </w:r>
    </w:p>
    <w:p>
      <w:pPr>
        <w:pStyle w:val="Heading3"/>
        <w:rPr/>
      </w:pPr>
      <w:bookmarkStart w:id="903" w:name="_Toc474075206"/>
      <w:bookmarkStart w:id="904" w:name="_Toc34920857"/>
      <w:r>
        <w:rPr/>
        <w:t>HRS-05(b): Terms of Employment | Social Media &amp; Social Networking Restrictions</w:t>
      </w:r>
      <w:bookmarkEnd w:id="903"/>
      <w:bookmarkEnd w:id="904"/>
      <w:r>
        <w:rPr/>
        <w:t xml:space="preserve"> </w:t>
      </w:r>
    </w:p>
    <w:p>
      <w:pPr>
        <w:pStyle w:val="Normal"/>
        <w:rPr/>
      </w:pPr>
      <w:r>
        <w:rPr>
          <w:u w:val="single"/>
        </w:rPr>
        <w:t>Control Objective</w:t>
      </w:r>
      <w:r>
        <w:rPr/>
        <w:t>: The organization includes in the rules of behavior, explicit restrictions on the use of social media and networking sites, posting information on commercial websites and sharing account information.</w:t>
      </w:r>
      <w:r>
        <w:rPr>
          <w:rStyle w:val="FootnoteCharacters"/>
          <w:rFonts w:cs="Calibri"/>
        </w:rPr>
        <w:t xml:space="preserve"> </w:t>
      </w:r>
      <w:r>
        <w:rPr>
          <w:rStyle w:val="FootnoteAnchor"/>
          <w:rStyle w:val="FootnoteAnchor"/>
          <w:rFonts w:cs="Calibri"/>
        </w:rPr>
        <w:footnoteReference w:id="274"/>
      </w:r>
    </w:p>
    <w:p>
      <w:pPr>
        <w:pStyle w:val="Normal"/>
        <w:rPr/>
      </w:pPr>
      <w:r>
        <w:rPr/>
      </w:r>
    </w:p>
    <w:p>
      <w:pPr>
        <w:pStyle w:val="Normal"/>
        <w:rPr/>
      </w:pPr>
      <w:r>
        <w:rPr>
          <w:u w:val="single"/>
        </w:rPr>
        <w:t>Standard</w:t>
      </w:r>
      <w:r>
        <w:rPr/>
        <w:t xml:space="preserve">: NFCC’s Human Resources (HR) department is assigned the responsibility for developing usage policies and guidance specifically for social media and social networking usage. </w:t>
      </w:r>
    </w:p>
    <w:p>
      <w:pPr>
        <w:pStyle w:val="Normal"/>
        <w:rPr/>
      </w:pPr>
      <w:r>
        <w:rPr/>
      </w:r>
    </w:p>
    <w:p>
      <w:pPr>
        <w:pStyle w:val="Normal"/>
        <w:rPr/>
      </w:pPr>
      <w:r>
        <w:rPr>
          <w:u w:val="single"/>
        </w:rPr>
        <w:t>Guidelines</w:t>
      </w:r>
      <w:r>
        <w:rPr/>
        <w:t xml:space="preserve">: This standard addresses rules of behavior related to use of social media and networking sites: </w:t>
      </w:r>
    </w:p>
    <w:p>
      <w:pPr>
        <w:pStyle w:val="ListParagraph"/>
        <w:numPr>
          <w:ilvl w:val="0"/>
          <w:numId w:val="189"/>
        </w:numPr>
        <w:rPr/>
      </w:pPr>
      <w:r>
        <w:rPr/>
        <w:t xml:space="preserve">When using such media and sites for official duties; </w:t>
      </w:r>
    </w:p>
    <w:p>
      <w:pPr>
        <w:pStyle w:val="ListParagraph"/>
        <w:numPr>
          <w:ilvl w:val="0"/>
          <w:numId w:val="189"/>
        </w:numPr>
        <w:rPr/>
      </w:pPr>
      <w:r>
        <w:rPr/>
        <w:t xml:space="preserve">When organizational information is involved in the social media / networking transactions; and </w:t>
      </w:r>
    </w:p>
    <w:p>
      <w:pPr>
        <w:pStyle w:val="ListParagraph"/>
        <w:numPr>
          <w:ilvl w:val="0"/>
          <w:numId w:val="189"/>
        </w:numPr>
        <w:rPr/>
      </w:pPr>
      <w:r>
        <w:rPr/>
        <w:t>When accessing social media / networking sites from organizational systems.</w:t>
      </w:r>
    </w:p>
    <w:p>
      <w:pPr>
        <w:pStyle w:val="Normal"/>
        <w:rPr/>
      </w:pPr>
      <w:r>
        <w:rPr/>
      </w:r>
    </w:p>
    <w:p>
      <w:pPr>
        <w:pStyle w:val="Heading3"/>
        <w:rPr/>
      </w:pPr>
      <w:bookmarkStart w:id="905" w:name="_Toc474075207"/>
      <w:bookmarkStart w:id="906" w:name="_Toc34920858"/>
      <w:r>
        <w:rPr/>
        <w:t>HRS-05(c): Terms of Employment | Use of Communications Technology</w:t>
      </w:r>
      <w:bookmarkEnd w:id="905"/>
      <w:bookmarkEnd w:id="906"/>
      <w:r>
        <w:rPr/>
        <w:t xml:space="preserve"> </w:t>
      </w:r>
    </w:p>
    <w:p>
      <w:pPr>
        <w:pStyle w:val="Normal"/>
        <w:rPr/>
      </w:pPr>
      <w:r>
        <w:rPr>
          <w:u w:val="single"/>
        </w:rPr>
        <w:t>Control Objective</w:t>
      </w:r>
      <w:r>
        <w:rPr/>
        <w:t>: The organization establishes usage restrictions and implementation guidance for communications technologies based on the potential to cause damage to systems, if used maliciously.</w:t>
      </w:r>
      <w:r>
        <w:rPr>
          <w:rStyle w:val="FootnoteAnchor"/>
          <w:rStyle w:val="FootnoteAnchor"/>
          <w:rFonts w:cs="Calibri"/>
        </w:rPr>
        <w:footnoteReference w:id="275"/>
      </w:r>
    </w:p>
    <w:p>
      <w:pPr>
        <w:pStyle w:val="Normal"/>
        <w:rPr/>
      </w:pPr>
      <w:r>
        <w:rPr/>
      </w:r>
    </w:p>
    <w:p>
      <w:pPr>
        <w:pStyle w:val="Normal"/>
        <w:rPr/>
      </w:pPr>
      <w:r>
        <w:rPr>
          <w:u w:val="single"/>
        </w:rPr>
        <w:t>Standard</w:t>
      </w:r>
      <w:r>
        <w:rPr/>
        <w:t>: Human Resources (HR) is assigned the responsibility for establishing usage restrictions and implementation guidance for the following communications technologies based on the potential to cause damage to systems, if used maliciously:</w:t>
      </w:r>
    </w:p>
    <w:p>
      <w:pPr>
        <w:pStyle w:val="ListParagraph"/>
        <w:numPr>
          <w:ilvl w:val="0"/>
          <w:numId w:val="336"/>
        </w:numPr>
        <w:rPr/>
      </w:pPr>
      <w:r>
        <w:rPr/>
        <w:t>Electronic Mail (email);</w:t>
      </w:r>
    </w:p>
    <w:p>
      <w:pPr>
        <w:pStyle w:val="ListParagraph"/>
        <w:numPr>
          <w:ilvl w:val="0"/>
          <w:numId w:val="336"/>
        </w:numPr>
        <w:rPr/>
      </w:pPr>
      <w:r>
        <w:rPr/>
        <w:t>Instant Messaging (IM);</w:t>
      </w:r>
    </w:p>
    <w:p>
      <w:pPr>
        <w:pStyle w:val="ListParagraph"/>
        <w:numPr>
          <w:ilvl w:val="0"/>
          <w:numId w:val="336"/>
        </w:numPr>
        <w:rPr/>
      </w:pPr>
      <w:r>
        <w:rPr/>
        <w:t>Short Message Service (SMS);</w:t>
      </w:r>
    </w:p>
    <w:p>
      <w:pPr>
        <w:pStyle w:val="ListParagraph"/>
        <w:numPr>
          <w:ilvl w:val="0"/>
          <w:numId w:val="336"/>
        </w:numPr>
        <w:rPr/>
      </w:pPr>
      <w:r>
        <w:rPr/>
        <w:t>Voice Over Internet Protocol (VOIP);</w:t>
      </w:r>
    </w:p>
    <w:p>
      <w:pPr>
        <w:pStyle w:val="ListParagraph"/>
        <w:numPr>
          <w:ilvl w:val="0"/>
          <w:numId w:val="336"/>
        </w:numPr>
        <w:rPr/>
      </w:pPr>
      <w:r>
        <w:rPr/>
        <w:t>Analog Lines (Plain Old Telephone Service (POTS); and</w:t>
      </w:r>
    </w:p>
    <w:p>
      <w:pPr>
        <w:pStyle w:val="ListParagraph"/>
        <w:numPr>
          <w:ilvl w:val="0"/>
          <w:numId w:val="336"/>
        </w:numPr>
        <w:rPr/>
      </w:pPr>
      <w:r>
        <w:rPr/>
        <w:t>Facsimile (Fax) Machines (analog &amp; digital).</w:t>
      </w:r>
    </w:p>
    <w:p>
      <w:pPr>
        <w:pStyle w:val="Normal"/>
        <w:rPr/>
      </w:pPr>
      <w:r>
        <w:rPr/>
      </w:r>
    </w:p>
    <w:p>
      <w:pPr>
        <w:pStyle w:val="Normal"/>
        <w:rPr/>
      </w:pPr>
      <w:r>
        <w:rPr>
          <w:u w:val="single"/>
        </w:rPr>
        <w:t>Guidelines</w:t>
      </w:r>
      <w:r>
        <w:rPr/>
        <w:t>: None</w:t>
      </w:r>
    </w:p>
    <w:p>
      <w:pPr>
        <w:pStyle w:val="Normal"/>
        <w:rPr/>
      </w:pPr>
      <w:r>
        <w:rPr/>
      </w:r>
    </w:p>
    <w:p>
      <w:pPr>
        <w:pStyle w:val="Heading3"/>
        <w:rPr/>
      </w:pPr>
      <w:bookmarkStart w:id="907" w:name="_Toc474075208"/>
      <w:bookmarkStart w:id="908" w:name="_Toc34920859"/>
      <w:r>
        <w:rPr/>
        <w:t>HRS-05(d): Terms of Employment | Use of Critical Technologies</w:t>
      </w:r>
      <w:bookmarkEnd w:id="907"/>
      <w:bookmarkEnd w:id="908"/>
    </w:p>
    <w:p>
      <w:pPr>
        <w:pStyle w:val="Normal"/>
        <w:rPr/>
      </w:pPr>
      <w:r>
        <w:rPr>
          <w:u w:val="single"/>
        </w:rPr>
        <w:t>Control Objective</w:t>
      </w:r>
      <w:r>
        <w:rPr/>
        <w:t>: The organization develops and implements usage restrictions for critical technologies.</w:t>
      </w:r>
      <w:r>
        <w:rPr>
          <w:rStyle w:val="FootnoteCharacters"/>
          <w:rFonts w:cs="Calibri"/>
        </w:rPr>
        <w:t xml:space="preserve"> </w:t>
      </w:r>
    </w:p>
    <w:p>
      <w:pPr>
        <w:pStyle w:val="Normal"/>
        <w:rPr/>
      </w:pPr>
      <w:r>
        <w:rPr/>
      </w:r>
    </w:p>
    <w:p>
      <w:pPr>
        <w:pStyle w:val="Normal"/>
        <w:rPr/>
      </w:pPr>
      <w:r>
        <w:rPr>
          <w:u w:val="single"/>
        </w:rPr>
        <w:t>Standard</w:t>
      </w:r>
      <w:r>
        <w:rPr/>
        <w:t>: Asset custodians are required to develop and implement usage restrictions for critical technologies and defining the proper use of these technologies. Usage policies require the following:</w:t>
      </w:r>
      <w:r>
        <w:rPr>
          <w:rStyle w:val="FootnoteCharacters"/>
          <w:rFonts w:cs="Calibri"/>
        </w:rPr>
        <w:t xml:space="preserve"> </w:t>
      </w:r>
    </w:p>
    <w:p>
      <w:pPr>
        <w:pStyle w:val="ListParagraph"/>
        <w:numPr>
          <w:ilvl w:val="0"/>
          <w:numId w:val="337"/>
        </w:numPr>
        <w:rPr/>
      </w:pPr>
      <w:r>
        <w:rPr/>
        <w:t>Explicit approval by authorized parties;</w:t>
      </w:r>
      <w:r>
        <w:rPr>
          <w:rStyle w:val="FootnoteCharacters"/>
          <w:rFonts w:cs="Calibri"/>
        </w:rPr>
        <w:t xml:space="preserve"> </w:t>
      </w:r>
    </w:p>
    <w:p>
      <w:pPr>
        <w:pStyle w:val="ListParagraph"/>
        <w:numPr>
          <w:ilvl w:val="0"/>
          <w:numId w:val="337"/>
        </w:numPr>
        <w:rPr/>
      </w:pPr>
      <w:r>
        <w:rPr/>
        <w:t>Authentication for the use of the technology;</w:t>
      </w:r>
      <w:r>
        <w:rPr>
          <w:rStyle w:val="FootnoteCharacters"/>
          <w:rFonts w:cs="Calibri"/>
        </w:rPr>
        <w:t xml:space="preserve"> </w:t>
      </w:r>
    </w:p>
    <w:p>
      <w:pPr>
        <w:pStyle w:val="ListParagraph"/>
        <w:numPr>
          <w:ilvl w:val="0"/>
          <w:numId w:val="337"/>
        </w:numPr>
        <w:rPr/>
      </w:pPr>
      <w:r>
        <w:rPr/>
        <w:t>A list of all such devices and personnel with access;</w:t>
      </w:r>
      <w:r>
        <w:rPr>
          <w:rStyle w:val="FootnoteCharacters"/>
          <w:rFonts w:cs="Calibri"/>
        </w:rPr>
        <w:t xml:space="preserve"> </w:t>
      </w:r>
    </w:p>
    <w:p>
      <w:pPr>
        <w:pStyle w:val="ListParagraph"/>
        <w:numPr>
          <w:ilvl w:val="0"/>
          <w:numId w:val="337"/>
        </w:numPr>
        <w:rPr/>
      </w:pPr>
      <w:r>
        <w:rPr/>
        <w:t>A method to accurately and readily determine owner, contact information and purpose (e.g., labeling, coding and / or inventorying of devices);</w:t>
      </w:r>
      <w:r>
        <w:rPr>
          <w:rStyle w:val="FootnoteCharacters"/>
          <w:rFonts w:cs="Calibri"/>
        </w:rPr>
        <w:t xml:space="preserve"> </w:t>
      </w:r>
    </w:p>
    <w:p>
      <w:pPr>
        <w:pStyle w:val="ListParagraph"/>
        <w:numPr>
          <w:ilvl w:val="0"/>
          <w:numId w:val="337"/>
        </w:numPr>
        <w:rPr/>
      </w:pPr>
      <w:r>
        <w:rPr/>
        <w:t>Acceptable uses of the technology;</w:t>
      </w:r>
      <w:r>
        <w:rPr>
          <w:rStyle w:val="FootnoteCharacters"/>
          <w:rFonts w:cs="Calibri"/>
        </w:rPr>
        <w:t xml:space="preserve"> </w:t>
      </w:r>
    </w:p>
    <w:p>
      <w:pPr>
        <w:pStyle w:val="ListParagraph"/>
        <w:numPr>
          <w:ilvl w:val="0"/>
          <w:numId w:val="337"/>
        </w:numPr>
        <w:rPr/>
      </w:pPr>
      <w:r>
        <w:rPr/>
        <w:t>Acceptable network locations for the technologies;</w:t>
      </w:r>
      <w:r>
        <w:rPr>
          <w:rStyle w:val="FootnoteCharacters"/>
          <w:rFonts w:cs="Calibri"/>
        </w:rPr>
        <w:t xml:space="preserve"> </w:t>
      </w:r>
    </w:p>
    <w:p>
      <w:pPr>
        <w:pStyle w:val="ListParagraph"/>
        <w:numPr>
          <w:ilvl w:val="0"/>
          <w:numId w:val="337"/>
        </w:numPr>
        <w:rPr/>
      </w:pPr>
      <w:r>
        <w:rPr/>
        <w:t>List of company-approved products;</w:t>
      </w:r>
      <w:r>
        <w:rPr>
          <w:rStyle w:val="FootnoteCharacters"/>
          <w:rFonts w:cs="Calibri"/>
        </w:rPr>
        <w:t xml:space="preserve"> </w:t>
      </w:r>
    </w:p>
    <w:p>
      <w:pPr>
        <w:pStyle w:val="ListParagraph"/>
        <w:numPr>
          <w:ilvl w:val="0"/>
          <w:numId w:val="337"/>
        </w:numPr>
        <w:rPr/>
      </w:pPr>
      <w:r>
        <w:rPr/>
        <w:t>Automatic disconnect of sessions for remote-access technologies after a specific period of inactivity;</w:t>
      </w:r>
      <w:r>
        <w:rPr>
          <w:rStyle w:val="FootnoteCharacters"/>
          <w:rFonts w:cs="Calibri"/>
        </w:rPr>
        <w:t xml:space="preserve"> </w:t>
      </w:r>
    </w:p>
    <w:p>
      <w:pPr>
        <w:pStyle w:val="ListParagraph"/>
        <w:numPr>
          <w:ilvl w:val="0"/>
          <w:numId w:val="337"/>
        </w:numPr>
        <w:rPr/>
      </w:pPr>
      <w:r>
        <w:rPr/>
        <w:t>Activation of remote-access technologies for vendors and business partners only when needed by vendors and business partners, with immediate deactivation after use;</w:t>
      </w:r>
      <w:r>
        <w:rPr>
          <w:rStyle w:val="FootnoteCharacters"/>
          <w:rFonts w:cs="Calibri"/>
        </w:rPr>
        <w:t xml:space="preserve"> </w:t>
      </w:r>
      <w:r>
        <w:rPr/>
        <w:t>and</w:t>
      </w:r>
    </w:p>
    <w:p>
      <w:pPr>
        <w:pStyle w:val="ListParagraph"/>
        <w:numPr>
          <w:ilvl w:val="0"/>
          <w:numId w:val="337"/>
        </w:numPr>
        <w:rPr/>
      </w:pPr>
      <w:r>
        <w:rPr/>
        <w:t>For personnel accessing sensitive data via remote-access technologies, prohibit copy, move and storage of sensitive data onto local hard drives and removable electronic media, unless explicitly authorized for a defined business need.</w:t>
      </w:r>
      <w:r>
        <w:rPr>
          <w:rStyle w:val="FootnoteCharacters"/>
          <w:rFonts w:cs="Calibri"/>
        </w:rPr>
        <w:t xml:space="preserve"> </w:t>
      </w:r>
    </w:p>
    <w:p>
      <w:pPr>
        <w:pStyle w:val="Normal"/>
        <w:rPr/>
      </w:pPr>
      <w:r>
        <w:rPr/>
      </w:r>
    </w:p>
    <w:p>
      <w:pPr>
        <w:pStyle w:val="Normal"/>
        <w:rPr>
          <w:rFonts w:cs="Calibri"/>
        </w:rPr>
      </w:pPr>
      <w:r>
        <w:rPr>
          <w:rFonts w:cs="Calibri"/>
          <w:u w:val="single"/>
        </w:rPr>
        <w:t>Guidelines</w:t>
      </w:r>
      <w:r>
        <w:rPr>
          <w:rFonts w:cs="Calibri"/>
        </w:rPr>
        <w:t xml:space="preserve">: </w:t>
      </w:r>
      <w:r>
        <w:rPr>
          <w:i/>
          <w:u w:val="single"/>
        </w:rPr>
        <w:t>Annex 5: Rules of Behavior (Acceptable &amp; Unacceptable Use)</w:t>
      </w:r>
      <w:r>
        <w:rPr/>
        <w:t xml:space="preserve"> </w:t>
      </w:r>
      <w:r>
        <w:rPr>
          <w:rFonts w:cs="Calibri"/>
        </w:rPr>
        <w:t>covers NFCC’s rules of behavior. Examples of critical technologies include, but are not limited to:</w:t>
      </w:r>
    </w:p>
    <w:p>
      <w:pPr>
        <w:pStyle w:val="ListParagraph"/>
        <w:numPr>
          <w:ilvl w:val="0"/>
          <w:numId w:val="191"/>
        </w:numPr>
        <w:rPr/>
      </w:pPr>
      <w:r>
        <w:rPr/>
        <w:t>Remote-access technologies;</w:t>
      </w:r>
    </w:p>
    <w:p>
      <w:pPr>
        <w:pStyle w:val="ListParagraph"/>
        <w:numPr>
          <w:ilvl w:val="0"/>
          <w:numId w:val="191"/>
        </w:numPr>
        <w:rPr/>
      </w:pPr>
      <w:r>
        <w:rPr/>
        <w:t>Wireless technologies;</w:t>
      </w:r>
    </w:p>
    <w:p>
      <w:pPr>
        <w:pStyle w:val="ListParagraph"/>
        <w:numPr>
          <w:ilvl w:val="0"/>
          <w:numId w:val="191"/>
        </w:numPr>
        <w:rPr/>
      </w:pPr>
      <w:r>
        <w:rPr/>
        <w:t>Removable electronic media</w:t>
      </w:r>
    </w:p>
    <w:p>
      <w:pPr>
        <w:pStyle w:val="ListParagraph"/>
        <w:numPr>
          <w:ilvl w:val="0"/>
          <w:numId w:val="191"/>
        </w:numPr>
        <w:rPr/>
      </w:pPr>
      <w:r>
        <w:rPr/>
        <w:t>Laptops;</w:t>
      </w:r>
    </w:p>
    <w:p>
      <w:pPr>
        <w:pStyle w:val="ListParagraph"/>
        <w:numPr>
          <w:ilvl w:val="0"/>
          <w:numId w:val="191"/>
        </w:numPr>
        <w:rPr/>
      </w:pPr>
      <w:r>
        <w:rPr/>
        <w:t>Tablets;</w:t>
      </w:r>
    </w:p>
    <w:p>
      <w:pPr>
        <w:pStyle w:val="ListParagraph"/>
        <w:numPr>
          <w:ilvl w:val="0"/>
          <w:numId w:val="191"/>
        </w:numPr>
        <w:rPr/>
      </w:pPr>
      <w:r>
        <w:rPr/>
        <w:t>Smart phones;</w:t>
      </w:r>
    </w:p>
    <w:p>
      <w:pPr>
        <w:pStyle w:val="ListParagraph"/>
        <w:numPr>
          <w:ilvl w:val="0"/>
          <w:numId w:val="191"/>
        </w:numPr>
        <w:rPr/>
      </w:pPr>
      <w:r>
        <w:rPr/>
        <w:t xml:space="preserve">Personal data / digital assistants (PDAs), </w:t>
      </w:r>
    </w:p>
    <w:p>
      <w:pPr>
        <w:pStyle w:val="ListParagraph"/>
        <w:numPr>
          <w:ilvl w:val="0"/>
          <w:numId w:val="191"/>
        </w:numPr>
        <w:rPr/>
      </w:pPr>
      <w:r>
        <w:rPr/>
        <w:t xml:space="preserve">e-mail usage; and </w:t>
      </w:r>
    </w:p>
    <w:p>
      <w:pPr>
        <w:pStyle w:val="ListParagraph"/>
        <w:numPr>
          <w:ilvl w:val="0"/>
          <w:numId w:val="191"/>
        </w:numPr>
        <w:rPr/>
      </w:pPr>
      <w:r>
        <w:rPr/>
        <w:t>Internet usage.</w:t>
      </w:r>
    </w:p>
    <w:p>
      <w:pPr>
        <w:pStyle w:val="Normal"/>
        <w:rPr/>
      </w:pPr>
      <w:r>
        <w:rPr/>
      </w:r>
    </w:p>
    <w:p>
      <w:pPr>
        <w:pStyle w:val="Heading3"/>
        <w:rPr/>
      </w:pPr>
      <w:bookmarkStart w:id="909" w:name="_Toc474075209"/>
      <w:bookmarkStart w:id="910" w:name="_Toc34920860"/>
      <w:r>
        <w:rPr/>
        <w:t>HRS-05(e): Terms of Employment | Use of Mobile Devices</w:t>
      </w:r>
      <w:bookmarkEnd w:id="909"/>
      <w:bookmarkEnd w:id="910"/>
      <w:r>
        <w:rPr/>
        <w:t xml:space="preserve"> </w:t>
      </w:r>
    </w:p>
    <w:p>
      <w:pPr>
        <w:pStyle w:val="Normal"/>
        <w:rPr/>
      </w:pPr>
      <w:r>
        <w:rPr>
          <w:u w:val="single"/>
        </w:rPr>
        <w:t>Control Objective</w:t>
      </w:r>
      <w:r>
        <w:rPr/>
        <w:t>: The organization establishes business processes and implements technical measures to manage business risks associated with permitting mobile device access to organizational resources and may require the implementation of higher assurance compensating controls and acceptable-use policies and procedures (e.g., mandated security training, stronger identity, entitlement and access controls and device monitoring).</w:t>
      </w:r>
    </w:p>
    <w:p>
      <w:pPr>
        <w:pStyle w:val="Normal"/>
        <w:rPr/>
      </w:pPr>
      <w:r>
        <w:rPr/>
      </w:r>
    </w:p>
    <w:p>
      <w:pPr>
        <w:pStyle w:val="Normal"/>
        <w:rPr/>
      </w:pPr>
      <w:r>
        <w:rPr>
          <w:u w:val="single"/>
        </w:rPr>
        <w:t>Standard</w:t>
      </w:r>
      <w:r>
        <w:rPr/>
        <w:t>: NFCC’s Human Resources (HR) department shall develop, publish and keep current requirements for employee use of NFCC-owned mobile devices.</w:t>
      </w:r>
    </w:p>
    <w:p>
      <w:pPr>
        <w:pStyle w:val="Normal"/>
        <w:rPr/>
      </w:pPr>
      <w:r>
        <w:rPr/>
      </w:r>
    </w:p>
    <w:p>
      <w:pPr>
        <w:pStyle w:val="Normal"/>
        <w:rPr/>
      </w:pPr>
      <w:r>
        <w:rPr>
          <w:rFonts w:cs="Calibri"/>
          <w:u w:val="single"/>
        </w:rPr>
        <w:t>Guidelines</w:t>
      </w:r>
      <w:r>
        <w:rPr>
          <w:rFonts w:cs="Calibri"/>
        </w:rPr>
        <w:t>: None</w:t>
      </w:r>
    </w:p>
    <w:p>
      <w:pPr>
        <w:pStyle w:val="Normal"/>
        <w:rPr/>
      </w:pPr>
      <w:r>
        <w:rPr/>
      </w:r>
    </w:p>
    <w:p>
      <w:pPr>
        <w:pStyle w:val="Normal"/>
        <w:rPr/>
      </w:pPr>
      <w:r>
        <w:rPr/>
      </w:r>
    </w:p>
    <w:p>
      <w:pPr>
        <w:pStyle w:val="Heading2"/>
        <w:rPr/>
      </w:pPr>
      <w:bookmarkStart w:id="911" w:name="_Toc474075211"/>
      <w:bookmarkStart w:id="912" w:name="_Toc474075729"/>
      <w:bookmarkStart w:id="913" w:name="_Toc34920861"/>
      <w:r>
        <w:rPr/>
        <w:t>HRS-06: Access Agreements</w:t>
      </w:r>
      <w:bookmarkEnd w:id="911"/>
      <w:bookmarkEnd w:id="912"/>
      <w:bookmarkEnd w:id="913"/>
      <w:r>
        <w:rPr/>
        <w:t xml:space="preserve"> </w:t>
      </w:r>
    </w:p>
    <w:p>
      <w:pPr>
        <w:pStyle w:val="Normal"/>
        <w:rPr/>
      </w:pPr>
      <w:r>
        <w:rPr>
          <w:u w:val="single"/>
        </w:rPr>
        <w:t>Control Objective</w:t>
      </w:r>
      <w:r>
        <w:rPr/>
        <w:t>: The organization:</w:t>
      </w:r>
      <w:r>
        <w:rPr>
          <w:rStyle w:val="FootnoteAnchor"/>
          <w:rStyle w:val="FootnoteAnchor"/>
          <w:rFonts w:cs="Calibri"/>
        </w:rPr>
        <w:footnoteReference w:id="276"/>
      </w:r>
      <w:r>
        <w:rPr/>
        <w:t xml:space="preserve"> </w:t>
      </w:r>
    </w:p>
    <w:p>
      <w:pPr>
        <w:pStyle w:val="ListParagraph"/>
        <w:numPr>
          <w:ilvl w:val="0"/>
          <w:numId w:val="55"/>
        </w:numPr>
        <w:rPr/>
      </w:pPr>
      <w:r>
        <w:rPr/>
        <w:t>Ensures that individuals requiring access to organizational information and systems sign appropriate access agreements prior to being granted access; and</w:t>
      </w:r>
    </w:p>
    <w:p>
      <w:pPr>
        <w:pStyle w:val="ListParagraph"/>
        <w:numPr>
          <w:ilvl w:val="0"/>
          <w:numId w:val="55"/>
        </w:numPr>
        <w:rPr/>
      </w:pPr>
      <w:r>
        <w:rPr/>
        <w:t>Reviews / updates the access agreements.</w:t>
      </w:r>
    </w:p>
    <w:p>
      <w:pPr>
        <w:pStyle w:val="Normal"/>
        <w:rPr/>
      </w:pPr>
      <w:r>
        <w:rPr/>
      </w:r>
    </w:p>
    <w:p>
      <w:pPr>
        <w:pStyle w:val="Normal"/>
        <w:rPr/>
      </w:pPr>
      <w:r>
        <w:rPr>
          <w:u w:val="single"/>
        </w:rPr>
        <w:t>Standard</w:t>
      </w:r>
      <w:r>
        <w:rPr/>
        <w:t>: NFCC is required to ensure that access to information with special protection measures is granted only to individuals who:</w:t>
      </w:r>
    </w:p>
    <w:p>
      <w:pPr>
        <w:pStyle w:val="ListParagraph"/>
        <w:numPr>
          <w:ilvl w:val="0"/>
          <w:numId w:val="338"/>
        </w:numPr>
        <w:rPr/>
      </w:pPr>
      <w:r>
        <w:rPr/>
        <w:t>Have a valid access authorization; and</w:t>
      </w:r>
    </w:p>
    <w:p>
      <w:pPr>
        <w:pStyle w:val="ListParagraph"/>
        <w:numPr>
          <w:ilvl w:val="0"/>
          <w:numId w:val="338"/>
        </w:numPr>
        <w:rPr/>
      </w:pPr>
      <w:r>
        <w:rPr/>
        <w:t>Satisfy associated personnel security criteria.</w:t>
      </w:r>
    </w:p>
    <w:p>
      <w:pPr>
        <w:pStyle w:val="Normal"/>
        <w:rPr/>
      </w:pPr>
      <w:r>
        <w:rPr/>
      </w:r>
    </w:p>
    <w:p>
      <w:pPr>
        <w:pStyle w:val="Normal"/>
        <w:rPr/>
      </w:pPr>
      <w:r>
        <w:rPr>
          <w:u w:val="single"/>
        </w:rPr>
        <w:t>Guidelines</w:t>
      </w:r>
      <w:r>
        <w:rPr/>
        <w:t>: This NDA should be maintained on-file in accordance with document retention guidelines. Prior to granting any access to NFCC systems or data, a Non-Disclosure Agreement (NDA) must be signed by the employee, contractor, service provider or partner requiring access.</w:t>
      </w:r>
    </w:p>
    <w:p>
      <w:pPr>
        <w:pStyle w:val="Normal"/>
        <w:rPr/>
      </w:pPr>
      <w:r>
        <w:rPr/>
      </w:r>
    </w:p>
    <w:p>
      <w:pPr>
        <w:pStyle w:val="Heading3"/>
        <w:rPr/>
      </w:pPr>
      <w:bookmarkStart w:id="914" w:name="_Toc474075210"/>
      <w:bookmarkStart w:id="915" w:name="_Toc34920862"/>
      <w:r>
        <w:rPr/>
        <w:t>HRS-06(a): Access Agreements | Confidentiality Agreements</w:t>
      </w:r>
      <w:bookmarkEnd w:id="914"/>
      <w:bookmarkEnd w:id="915"/>
      <w:r>
        <w:rPr/>
        <w:t xml:space="preserve"> </w:t>
      </w:r>
    </w:p>
    <w:p>
      <w:pPr>
        <w:pStyle w:val="Normal"/>
        <w:rPr/>
      </w:pPr>
      <w:r>
        <w:rPr>
          <w:u w:val="single"/>
        </w:rPr>
        <w:t>Control Objective</w:t>
      </w:r>
      <w:r>
        <w:rPr/>
        <w:t>: The organization requires Non-Disclosure Agreements (NDAs) or similar confidentiality agreements that reflect the needs to protect data and operational details.</w:t>
      </w:r>
      <w:r>
        <w:rPr>
          <w:rStyle w:val="FootnoteCharacters"/>
          <w:rFonts w:cs="Calibri"/>
        </w:rPr>
        <w:t xml:space="preserve"> </w:t>
      </w:r>
      <w:r>
        <w:rPr>
          <w:rStyle w:val="FootnoteAnchor"/>
          <w:rStyle w:val="FootnoteAnchor"/>
          <w:rFonts w:cs="Calibri"/>
        </w:rPr>
        <w:footnoteReference w:id="277"/>
      </w:r>
    </w:p>
    <w:p>
      <w:pPr>
        <w:pStyle w:val="Normal"/>
        <w:rPr/>
      </w:pPr>
      <w:r>
        <w:rPr/>
      </w:r>
    </w:p>
    <w:p>
      <w:pPr>
        <w:pStyle w:val="Normal"/>
        <w:rPr/>
      </w:pPr>
      <w:r>
        <w:rPr>
          <w:u w:val="single"/>
        </w:rPr>
        <w:t>Standard</w:t>
      </w:r>
      <w:r>
        <w:rPr/>
        <w:t xml:space="preserve">: NFCC’s Human Resources (HR) department, in conjunction with the Legal and Contracting departments, are responsible for enforcing non-disclosure or confidentiality agreements. Requirements for confidentiality requirements shall reflect NFCC’s needs for the protection of data and operational processes. </w:t>
      </w:r>
    </w:p>
    <w:p>
      <w:pPr>
        <w:pStyle w:val="Normal"/>
        <w:rPr/>
      </w:pPr>
      <w:r>
        <w:rPr/>
      </w:r>
    </w:p>
    <w:p>
      <w:pPr>
        <w:pStyle w:val="Normal"/>
        <w:rPr/>
      </w:pPr>
      <w:r>
        <w:rPr>
          <w:rFonts w:cs="Calibri"/>
          <w:u w:val="single"/>
        </w:rPr>
        <w:t>Guidelines</w:t>
      </w:r>
      <w:r>
        <w:rPr>
          <w:rFonts w:cs="Calibri"/>
        </w:rPr>
        <w:t>: None</w:t>
      </w:r>
    </w:p>
    <w:p>
      <w:pPr>
        <w:pStyle w:val="Normal"/>
        <w:rPr/>
      </w:pPr>
      <w:r>
        <w:rPr/>
      </w:r>
    </w:p>
    <w:p>
      <w:pPr>
        <w:pStyle w:val="Heading3"/>
        <w:rPr/>
      </w:pPr>
      <w:bookmarkStart w:id="916" w:name="_Toc34920863"/>
      <w:bookmarkStart w:id="917" w:name="_Toc23241854"/>
      <w:r>
        <w:rPr/>
        <w:t xml:space="preserve">HRS-06(b): Access Agreements | Post-Employment </w:t>
      </w:r>
      <w:bookmarkEnd w:id="917"/>
      <w:r>
        <w:rPr/>
        <w:t>Obligations</w:t>
      </w:r>
      <w:bookmarkEnd w:id="916"/>
      <w:r>
        <w:rPr/>
        <w:t xml:space="preserve"> </w:t>
      </w:r>
    </w:p>
    <w:p>
      <w:pPr>
        <w:pStyle w:val="Normal"/>
        <w:rPr>
          <w:rFonts w:cs="Calibri"/>
        </w:rPr>
      </w:pPr>
      <w:r>
        <w:rPr>
          <w:rFonts w:cs="Calibri"/>
          <w:u w:val="single"/>
        </w:rPr>
        <w:t>Control Objective</w:t>
      </w:r>
      <w:r>
        <w:rPr>
          <w:rFonts w:cs="Calibri"/>
        </w:rPr>
        <w:t>: The organization:</w:t>
      </w:r>
      <w:r>
        <w:rPr>
          <w:rStyle w:val="FootnoteCharacters"/>
          <w:rFonts w:cs="Calibri"/>
        </w:rPr>
        <w:t xml:space="preserve"> </w:t>
      </w:r>
      <w:r>
        <w:rPr>
          <w:rStyle w:val="FootnoteAnchor"/>
          <w:rStyle w:val="FootnoteAnchor"/>
          <w:rFonts w:cs="Calibri"/>
        </w:rPr>
        <w:footnoteReference w:id="278"/>
      </w:r>
    </w:p>
    <w:p>
      <w:pPr>
        <w:pStyle w:val="ListParagraph"/>
        <w:numPr>
          <w:ilvl w:val="0"/>
          <w:numId w:val="612"/>
        </w:numPr>
        <w:rPr>
          <w:rFonts w:cs="Calibri"/>
        </w:rPr>
      </w:pPr>
      <w:r>
        <w:rPr>
          <w:rFonts w:cs="Calibri"/>
        </w:rPr>
        <w:t>Notifies individuals of applicable, legally binding post-employment requirements for the protection of organizational information; and</w:t>
      </w:r>
    </w:p>
    <w:p>
      <w:pPr>
        <w:pStyle w:val="ListParagraph"/>
        <w:numPr>
          <w:ilvl w:val="0"/>
          <w:numId w:val="612"/>
        </w:numPr>
        <w:rPr>
          <w:rFonts w:cs="Calibri"/>
        </w:rPr>
      </w:pPr>
      <w:r>
        <w:rPr>
          <w:rFonts w:cs="Calibri"/>
        </w:rPr>
        <w:t>Requires individuals to sign an acknowledgment of these requirements, if applicable, as part of granting initial access to covered information.</w:t>
      </w:r>
    </w:p>
    <w:p>
      <w:pPr>
        <w:pStyle w:val="Normal"/>
        <w:rPr>
          <w:rFonts w:cs="Calibri"/>
          <w:u w:val="single"/>
        </w:rPr>
      </w:pPr>
      <w:r>
        <w:rPr>
          <w:rFonts w:cs="Calibri"/>
          <w:u w:val="single"/>
        </w:rPr>
      </w:r>
    </w:p>
    <w:p>
      <w:pPr>
        <w:pStyle w:val="Normal"/>
        <w:rPr>
          <w:rFonts w:cs="Calibri"/>
        </w:rPr>
      </w:pPr>
      <w:r>
        <w:rPr>
          <w:rFonts w:cs="Calibri"/>
          <w:u w:val="single"/>
        </w:rPr>
        <w:t>Standard</w:t>
      </w:r>
      <w:r>
        <w:rPr>
          <w:rFonts w:cs="Calibri"/>
        </w:rPr>
        <w:t>: As part of employment termination procedures, NFCC’s Human Resources (HR) department is required to:</w:t>
      </w:r>
    </w:p>
    <w:p>
      <w:pPr>
        <w:pStyle w:val="ListParagraph"/>
        <w:numPr>
          <w:ilvl w:val="0"/>
          <w:numId w:val="613"/>
        </w:numPr>
        <w:rPr>
          <w:rFonts w:cs="Calibri"/>
        </w:rPr>
      </w:pPr>
      <w:r>
        <w:rPr>
          <w:rFonts w:cs="Calibri"/>
        </w:rPr>
        <w:t>Notify terminated individuals of applicable, legally binding post-employment requirements for the protection of organizational information; and</w:t>
      </w:r>
    </w:p>
    <w:p>
      <w:pPr>
        <w:pStyle w:val="ListParagraph"/>
        <w:numPr>
          <w:ilvl w:val="0"/>
          <w:numId w:val="613"/>
        </w:numPr>
        <w:rPr>
          <w:rFonts w:cs="Calibri"/>
        </w:rPr>
      </w:pPr>
      <w:r>
        <w:rPr>
          <w:rFonts w:cs="Calibri"/>
        </w:rPr>
        <w:t>Require terminated individuals to sign an acknowledgment of post-employment requirements as part of the organizational termination process.</w:t>
      </w:r>
    </w:p>
    <w:p>
      <w:pPr>
        <w:pStyle w:val="Normal"/>
        <w:rPr>
          <w:rFonts w:cs="Calibri"/>
        </w:rPr>
      </w:pPr>
      <w:r>
        <w:rPr>
          <w:rFonts w:cs="Calibri"/>
        </w:rPr>
      </w:r>
    </w:p>
    <w:p>
      <w:pPr>
        <w:pStyle w:val="Normal"/>
        <w:rPr>
          <w:rFonts w:cs="Calibri"/>
        </w:rPr>
      </w:pPr>
      <w:r>
        <w:rPr>
          <w:rFonts w:cs="Calibri"/>
          <w:u w:val="single"/>
        </w:rPr>
        <w:t>Guidelines</w:t>
      </w:r>
      <w:r>
        <w:rPr>
          <w:rFonts w:cs="Calibri"/>
        </w:rPr>
        <w:t>: Organizations consult with legal counsel regarding matters of post-employment requirements on terminated individuals.</w:t>
      </w:r>
      <w:bookmarkStart w:id="918" w:name="_Hlk27579532"/>
      <w:bookmarkEnd w:id="918"/>
    </w:p>
    <w:p>
      <w:pPr>
        <w:pStyle w:val="Normal"/>
        <w:rPr>
          <w:rFonts w:cs="Calibri"/>
        </w:rPr>
      </w:pPr>
      <w:r>
        <w:rPr>
          <w:rFonts w:cs="Calibri"/>
        </w:rPr>
      </w:r>
    </w:p>
    <w:p>
      <w:pPr>
        <w:pStyle w:val="Normal"/>
        <w:rPr/>
      </w:pPr>
      <w:r>
        <w:rPr/>
      </w:r>
    </w:p>
    <w:p>
      <w:pPr>
        <w:pStyle w:val="Heading2"/>
        <w:rPr/>
      </w:pPr>
      <w:bookmarkStart w:id="919" w:name="_Toc474075212"/>
      <w:bookmarkStart w:id="920" w:name="_Toc474075730"/>
      <w:bookmarkStart w:id="921" w:name="_Toc34920864"/>
      <w:r>
        <w:rPr/>
        <w:t>HRS-07: Personnel Sanctions</w:t>
      </w:r>
      <w:bookmarkEnd w:id="919"/>
      <w:bookmarkEnd w:id="920"/>
      <w:bookmarkEnd w:id="921"/>
    </w:p>
    <w:p>
      <w:pPr>
        <w:pStyle w:val="Normal"/>
        <w:rPr/>
      </w:pPr>
      <w:r>
        <w:rPr>
          <w:u w:val="single"/>
        </w:rPr>
        <w:t>Control Objective</w:t>
      </w:r>
      <w:r>
        <w:rPr/>
        <w:t>: The organization employs a formal sanctions process for personnel failing to comply with established policies, standards and procedures.</w:t>
      </w:r>
      <w:r>
        <w:rPr>
          <w:rStyle w:val="FootnoteCharacters"/>
          <w:rFonts w:cs="Calibri"/>
          <w:bCs w:val="false"/>
        </w:rPr>
        <w:t xml:space="preserve"> </w:t>
      </w:r>
      <w:r>
        <w:rPr>
          <w:rStyle w:val="FootnoteAnchor"/>
          <w:rStyle w:val="FootnoteAnchor"/>
          <w:rFonts w:cs="Calibri"/>
          <w:bCs w:val="false"/>
        </w:rPr>
        <w:footnoteReference w:id="279"/>
      </w:r>
      <w:r>
        <w:rPr>
          <w:rFonts w:cs="Calibri"/>
          <w:bCs w:val="false"/>
        </w:rPr>
        <w:t xml:space="preserve"> </w:t>
      </w:r>
    </w:p>
    <w:p>
      <w:pPr>
        <w:pStyle w:val="Normal"/>
        <w:rPr/>
      </w:pPr>
      <w:r>
        <w:rPr/>
      </w:r>
    </w:p>
    <w:p>
      <w:pPr>
        <w:pStyle w:val="Normal"/>
        <w:rPr/>
      </w:pPr>
      <w:r>
        <w:rPr>
          <w:u w:val="single"/>
        </w:rPr>
        <w:t>Standard</w:t>
      </w:r>
      <w:r>
        <w:rPr/>
        <w:t>: Human Resources (HR) is required to manage and operate its personnel sanctions process consistent with applicable laws, regulations, policies and standards. NFCC may utilize a tiered structure of sanctions that takes into consideration the magnitude of harm caused by the actions or inactions of the individual under sanction.</w:t>
      </w:r>
    </w:p>
    <w:p>
      <w:pPr>
        <w:pStyle w:val="Normal"/>
        <w:rPr/>
      </w:pPr>
      <w:r>
        <w:rPr/>
      </w:r>
    </w:p>
    <w:p>
      <w:pPr>
        <w:pStyle w:val="Normal"/>
        <w:rPr/>
      </w:pPr>
      <w:r>
        <w:rPr>
          <w:u w:val="single"/>
        </w:rPr>
        <w:t>Guidelines</w:t>
      </w:r>
      <w:r>
        <w:rPr/>
        <w:t>: The personnel sanctions process is included as part of the general personnel policies and procedures managed by NFCC HR. NFCC reserves the right to examine its property at any time, including property in the possession, control, custody of or in use by any employee. NFCC may utilize a tiered structure of sanctions that takes into consideration the magnitude of harm caused by the actions or inactions of the individual under sanction.</w:t>
      </w:r>
    </w:p>
    <w:p>
      <w:pPr>
        <w:pStyle w:val="Normal"/>
        <w:rPr/>
      </w:pPr>
      <w:r>
        <w:rPr/>
      </w:r>
    </w:p>
    <w:p>
      <w:pPr>
        <w:pStyle w:val="Heading3"/>
        <w:rPr/>
      </w:pPr>
      <w:bookmarkStart w:id="922" w:name="_Toc474075213"/>
      <w:bookmarkStart w:id="923" w:name="_Toc34920865"/>
      <w:r>
        <w:rPr/>
        <w:t>HRS-07(a): Personnel Sanctions | Workplace Investigations</w:t>
      </w:r>
      <w:bookmarkEnd w:id="922"/>
      <w:bookmarkEnd w:id="923"/>
    </w:p>
    <w:p>
      <w:pPr>
        <w:pStyle w:val="Normal"/>
        <w:rPr/>
      </w:pPr>
      <w:r>
        <w:rPr>
          <w:u w:val="single"/>
        </w:rPr>
        <w:t>Control Objective</w:t>
      </w:r>
      <w:r>
        <w:rPr/>
        <w:t>: The organization establishes guidelines for employee misconduct investigations.</w:t>
      </w:r>
    </w:p>
    <w:p>
      <w:pPr>
        <w:pStyle w:val="Normal"/>
        <w:rPr/>
      </w:pPr>
      <w:r>
        <w:rPr/>
      </w:r>
    </w:p>
    <w:p>
      <w:pPr>
        <w:pStyle w:val="Normal"/>
        <w:rPr/>
      </w:pPr>
      <w:r>
        <w:rPr>
          <w:u w:val="single"/>
        </w:rPr>
        <w:t>Standard</w:t>
      </w:r>
      <w:r>
        <w:rPr/>
        <w:t>: NFCC is required to follow established guidelines for employee misconduct investigations:</w:t>
      </w:r>
    </w:p>
    <w:p>
      <w:pPr>
        <w:pStyle w:val="ListParagraph"/>
        <w:numPr>
          <w:ilvl w:val="0"/>
          <w:numId w:val="339"/>
        </w:numPr>
        <w:rPr/>
      </w:pPr>
      <w:r>
        <w:rPr/>
        <w:t>All applicable laws concerning misconduct investigations will be adhered to;</w:t>
      </w:r>
    </w:p>
    <w:p>
      <w:pPr>
        <w:pStyle w:val="ListParagraph"/>
        <w:numPr>
          <w:ilvl w:val="0"/>
          <w:numId w:val="339"/>
        </w:numPr>
        <w:rPr/>
      </w:pPr>
      <w:r>
        <w:rPr/>
        <w:t>Employees who become the subject of an internal investigation will be treated with dignity and respect and will be provided with timely information about the outcome of the investigation, although NFCC reserves the right to restrict access to the investigation report and related documentation; and</w:t>
      </w:r>
    </w:p>
    <w:p>
      <w:pPr>
        <w:pStyle w:val="ListParagraph"/>
        <w:numPr>
          <w:ilvl w:val="0"/>
          <w:numId w:val="339"/>
        </w:numPr>
        <w:rPr/>
      </w:pPr>
      <w:r>
        <w:rPr/>
        <w:t>Communications and work products relative to an investigation will be limited to parties with a legitimate need to know.</w:t>
      </w:r>
    </w:p>
    <w:p>
      <w:pPr>
        <w:pStyle w:val="Normal"/>
        <w:rPr/>
      </w:pPr>
      <w:r>
        <w:rPr/>
      </w:r>
    </w:p>
    <w:p>
      <w:pPr>
        <w:pStyle w:val="Normal"/>
        <w:rPr/>
      </w:pPr>
      <w:r>
        <w:rPr>
          <w:u w:val="single"/>
        </w:rPr>
        <w:t>Guidelines</w:t>
      </w:r>
      <w:r>
        <w:rPr/>
        <w:t xml:space="preserve">: The Federal Trade Commission (FTC) requires that when an employer investigates an employee's conduct on the job, including investigations of employee misconduct, the Fair Credit Reporting Act (FCRA) governs. However, the FCRA does not apply to investigations conducted by NFCC’s in-house personnel. In addition, FCRA does not apply when a third-party, who is not in the business of providing such reports, does the investigation (e.g., contractors who do such investigations, but not as their principal business). </w:t>
      </w:r>
    </w:p>
    <w:p>
      <w:pPr>
        <w:pStyle w:val="Normal"/>
        <w:rPr/>
      </w:pPr>
      <w:r>
        <w:rPr/>
      </w:r>
    </w:p>
    <w:p>
      <w:pPr>
        <w:pStyle w:val="Normal"/>
        <w:rPr/>
      </w:pPr>
      <w:r>
        <w:rPr/>
        <w:t xml:space="preserve">If NFCC uses a third-party to investigate an employee, the employee shall be notified "clearly and conspicuously" in writing. Employees must give their permission to have the investigative consumer report completed. If NFCC disciplines the employee based upon the report, NFCC is required to provide the employee with: </w:t>
      </w:r>
    </w:p>
    <w:p>
      <w:pPr>
        <w:pStyle w:val="ListParagraph"/>
        <w:numPr>
          <w:ilvl w:val="0"/>
          <w:numId w:val="57"/>
        </w:numPr>
        <w:rPr/>
      </w:pPr>
      <w:r>
        <w:rPr/>
        <w:t>Notice of the disciplinary action;</w:t>
      </w:r>
    </w:p>
    <w:p>
      <w:pPr>
        <w:pStyle w:val="ListParagraph"/>
        <w:numPr>
          <w:ilvl w:val="0"/>
          <w:numId w:val="57"/>
        </w:numPr>
        <w:rPr/>
      </w:pPr>
      <w:r>
        <w:rPr/>
        <w:t>Name, address and phone number of the third-party that furnished the report; and</w:t>
      </w:r>
    </w:p>
    <w:p>
      <w:pPr>
        <w:pStyle w:val="ListParagraph"/>
        <w:numPr>
          <w:ilvl w:val="0"/>
          <w:numId w:val="57"/>
        </w:numPr>
        <w:rPr/>
      </w:pPr>
      <w:r>
        <w:rPr/>
        <w:t>A free copy of the report and can request NFCC to state why the discipline was taken.</w:t>
      </w:r>
    </w:p>
    <w:p>
      <w:pPr>
        <w:pStyle w:val="Normal"/>
        <w:rPr/>
      </w:pPr>
      <w:r>
        <w:rPr/>
      </w:r>
    </w:p>
    <w:p>
      <w:pPr>
        <w:pStyle w:val="Normal"/>
        <w:rPr/>
      </w:pPr>
      <w:r>
        <w:rPr/>
        <w:t>These investigations may be conducted by a third-party if NFCC suspects a user of:</w:t>
      </w:r>
    </w:p>
    <w:p>
      <w:pPr>
        <w:pStyle w:val="ListParagraph"/>
        <w:numPr>
          <w:ilvl w:val="0"/>
          <w:numId w:val="57"/>
        </w:numPr>
        <w:rPr/>
      </w:pPr>
      <w:r>
        <w:rPr/>
        <w:t>Notice of the disciplinary action;</w:t>
      </w:r>
    </w:p>
    <w:p>
      <w:pPr>
        <w:pStyle w:val="ListParagraph"/>
        <w:numPr>
          <w:ilvl w:val="0"/>
          <w:numId w:val="57"/>
        </w:numPr>
        <w:rPr/>
      </w:pPr>
      <w:r>
        <w:rPr/>
        <w:t>Name, address and phone number of the third-party that furnished the report;</w:t>
      </w:r>
    </w:p>
    <w:p>
      <w:pPr>
        <w:pStyle w:val="ListParagraph"/>
        <w:numPr>
          <w:ilvl w:val="0"/>
          <w:numId w:val="57"/>
        </w:numPr>
        <w:rPr/>
      </w:pPr>
      <w:r>
        <w:rPr/>
        <w:t xml:space="preserve">A free copy of the report; and </w:t>
      </w:r>
    </w:p>
    <w:p>
      <w:pPr>
        <w:pStyle w:val="ListParagraph"/>
        <w:numPr>
          <w:ilvl w:val="0"/>
          <w:numId w:val="57"/>
        </w:numPr>
        <w:rPr/>
      </w:pPr>
      <w:r>
        <w:rPr/>
        <w:t>Notification that the employee is allowed request NFCC to state why the discipline was taken.</w:t>
      </w:r>
    </w:p>
    <w:p>
      <w:pPr>
        <w:pStyle w:val="Normal"/>
        <w:rPr/>
      </w:pPr>
      <w:r>
        <w:rPr/>
      </w:r>
    </w:p>
    <w:p>
      <w:pPr>
        <w:pStyle w:val="Normal"/>
        <w:rPr/>
      </w:pPr>
      <w:r>
        <w:rPr/>
      </w:r>
    </w:p>
    <w:p>
      <w:pPr>
        <w:pStyle w:val="Heading2"/>
        <w:rPr/>
      </w:pPr>
      <w:bookmarkStart w:id="924" w:name="_Toc474075214"/>
      <w:bookmarkStart w:id="925" w:name="_Toc474075731"/>
      <w:bookmarkStart w:id="926" w:name="_Toc34920866"/>
      <w:r>
        <w:rPr/>
        <w:t>HRS-08: Personnel Transfer</w:t>
      </w:r>
      <w:bookmarkEnd w:id="924"/>
      <w:bookmarkEnd w:id="925"/>
      <w:bookmarkEnd w:id="926"/>
    </w:p>
    <w:p>
      <w:pPr>
        <w:pStyle w:val="Normal"/>
        <w:rPr/>
      </w:pPr>
      <w:r>
        <w:rPr>
          <w:u w:val="single"/>
        </w:rPr>
        <w:t>Control Objective</w:t>
      </w:r>
      <w:r>
        <w:rPr/>
        <w:t>: The organization reviews logical and physical access authorizations to systems / facilities when personnel are reassigned or transferred to other positions within the organization and initiates organization-defined transfer or reassignment actions within an organization-defined time period following the formal transfer action.</w:t>
      </w:r>
      <w:r>
        <w:rPr>
          <w:rStyle w:val="FootnoteAnchor"/>
          <w:rStyle w:val="FootnoteAnchor"/>
          <w:rFonts w:cs="Calibri"/>
        </w:rPr>
        <w:footnoteReference w:id="280"/>
      </w:r>
    </w:p>
    <w:p>
      <w:pPr>
        <w:pStyle w:val="Normal"/>
        <w:rPr/>
      </w:pPr>
      <w:r>
        <w:rPr/>
      </w:r>
    </w:p>
    <w:p>
      <w:pPr>
        <w:pStyle w:val="Normal"/>
        <w:rPr/>
      </w:pPr>
      <w:r>
        <w:rPr>
          <w:u w:val="single"/>
        </w:rPr>
        <w:t>Standard</w:t>
      </w:r>
      <w:r>
        <w:rPr/>
        <w:t>: NFCC managers are required to:</w:t>
      </w:r>
    </w:p>
    <w:p>
      <w:pPr>
        <w:pStyle w:val="ListParagraph"/>
        <w:numPr>
          <w:ilvl w:val="0"/>
          <w:numId w:val="54"/>
        </w:numPr>
        <w:rPr/>
      </w:pPr>
      <w:r>
        <w:rPr/>
        <w:t>Review the logical and physical access authorizations to systems / facilities when personnel are reassigned or transferred to other positions within the company; and</w:t>
      </w:r>
    </w:p>
    <w:p>
      <w:pPr>
        <w:pStyle w:val="ListParagraph"/>
        <w:numPr>
          <w:ilvl w:val="0"/>
          <w:numId w:val="54"/>
        </w:numPr>
        <w:rPr/>
      </w:pPr>
      <w:r>
        <w:rPr/>
        <w:t>Initiate company-defined transfer or reassignment actions within seven (7) days following the formal transfer action.</w:t>
      </w:r>
    </w:p>
    <w:p>
      <w:pPr>
        <w:pStyle w:val="Normal"/>
        <w:rPr/>
      </w:pPr>
      <w:r>
        <w:rPr/>
      </w:r>
    </w:p>
    <w:p>
      <w:pPr>
        <w:pStyle w:val="Normal"/>
        <w:rPr/>
      </w:pPr>
      <w:r>
        <w:rPr>
          <w:u w:val="single"/>
        </w:rPr>
        <w:t>Guidelines</w:t>
      </w:r>
      <w:r>
        <w:rPr/>
        <w:t>: None</w:t>
      </w:r>
    </w:p>
    <w:p>
      <w:pPr>
        <w:pStyle w:val="Normal"/>
        <w:rPr/>
      </w:pPr>
      <w:r>
        <w:rPr/>
      </w:r>
    </w:p>
    <w:p>
      <w:pPr>
        <w:pStyle w:val="Normal"/>
        <w:rPr/>
      </w:pPr>
      <w:r>
        <w:rPr/>
      </w:r>
    </w:p>
    <w:p>
      <w:pPr>
        <w:pStyle w:val="Heading2"/>
        <w:rPr/>
      </w:pPr>
      <w:bookmarkStart w:id="927" w:name="_Toc474075215"/>
      <w:bookmarkStart w:id="928" w:name="_Toc474075732"/>
      <w:bookmarkStart w:id="929" w:name="_Toc34920867"/>
      <w:r>
        <w:rPr/>
        <w:t>HRS-09: Personnel Termination</w:t>
      </w:r>
      <w:bookmarkEnd w:id="927"/>
      <w:bookmarkEnd w:id="928"/>
      <w:bookmarkEnd w:id="929"/>
      <w:r>
        <w:rPr/>
        <w:t xml:space="preserve"> </w:t>
      </w:r>
    </w:p>
    <w:p>
      <w:pPr>
        <w:pStyle w:val="Normal"/>
        <w:rPr/>
      </w:pPr>
      <w:r>
        <w:rPr>
          <w:u w:val="single"/>
        </w:rPr>
        <w:t>Control Objective</w:t>
      </w:r>
      <w:r>
        <w:rPr/>
        <w:t>: The organization, upon termination of individual employment:</w:t>
      </w:r>
      <w:r>
        <w:rPr>
          <w:rStyle w:val="FootnoteAnchor"/>
          <w:rStyle w:val="FootnoteAnchor"/>
          <w:rFonts w:cs="Calibri"/>
          <w:bCs w:val="false"/>
        </w:rPr>
        <w:footnoteReference w:id="281"/>
      </w:r>
      <w:r>
        <w:rPr/>
        <w:t xml:space="preserve"> </w:t>
      </w:r>
    </w:p>
    <w:p>
      <w:pPr>
        <w:pStyle w:val="ListParagraph"/>
        <w:numPr>
          <w:ilvl w:val="0"/>
          <w:numId w:val="53"/>
        </w:numPr>
        <w:rPr/>
      </w:pPr>
      <w:r>
        <w:rPr/>
        <w:t>Terminates system access;</w:t>
      </w:r>
    </w:p>
    <w:p>
      <w:pPr>
        <w:pStyle w:val="ListParagraph"/>
        <w:numPr>
          <w:ilvl w:val="0"/>
          <w:numId w:val="53"/>
        </w:numPr>
        <w:rPr/>
      </w:pPr>
      <w:r>
        <w:rPr/>
        <w:t>Conducts exit interviews;</w:t>
      </w:r>
    </w:p>
    <w:p>
      <w:pPr>
        <w:pStyle w:val="ListParagraph"/>
        <w:numPr>
          <w:ilvl w:val="0"/>
          <w:numId w:val="53"/>
        </w:numPr>
        <w:rPr/>
      </w:pPr>
      <w:r>
        <w:rPr/>
        <w:t>Retrieves all security-related organizational system-related property; and</w:t>
      </w:r>
    </w:p>
    <w:p>
      <w:pPr>
        <w:pStyle w:val="ListParagraph"/>
        <w:numPr>
          <w:ilvl w:val="0"/>
          <w:numId w:val="53"/>
        </w:numPr>
        <w:rPr/>
      </w:pPr>
      <w:r>
        <w:rPr/>
        <w:t>Retains access to organizational information and systems formerly controlled by terminated individual.</w:t>
      </w:r>
    </w:p>
    <w:p>
      <w:pPr>
        <w:pStyle w:val="Normal"/>
        <w:rPr/>
      </w:pPr>
      <w:r>
        <w:rPr/>
      </w:r>
    </w:p>
    <w:p>
      <w:pPr>
        <w:pStyle w:val="Normal"/>
        <w:rPr/>
      </w:pPr>
      <w:r>
        <w:rPr>
          <w:u w:val="single"/>
        </w:rPr>
        <w:t>Standard</w:t>
      </w:r>
      <w:r>
        <w:rPr/>
        <w:t>: NFCC is required to ensure that upon termination of an individual’s employment:</w:t>
      </w:r>
    </w:p>
    <w:p>
      <w:pPr>
        <w:pStyle w:val="ListParagraph"/>
        <w:numPr>
          <w:ilvl w:val="0"/>
          <w:numId w:val="340"/>
        </w:numPr>
        <w:rPr/>
      </w:pPr>
      <w:r>
        <w:rPr/>
        <w:t>System access accounts are disabled with twenty-four (24) hours of the termination action;</w:t>
      </w:r>
    </w:p>
    <w:p>
      <w:pPr>
        <w:pStyle w:val="ListParagraph"/>
        <w:numPr>
          <w:ilvl w:val="0"/>
          <w:numId w:val="340"/>
        </w:numPr>
        <w:rPr/>
      </w:pPr>
      <w:r>
        <w:rPr/>
        <w:t>Exit interviews are conducted, if possible;</w:t>
      </w:r>
    </w:p>
    <w:p>
      <w:pPr>
        <w:pStyle w:val="ListParagraph"/>
        <w:numPr>
          <w:ilvl w:val="0"/>
          <w:numId w:val="340"/>
        </w:numPr>
        <w:rPr/>
      </w:pPr>
      <w:r>
        <w:rPr/>
        <w:t>All company-related property is recovered; and</w:t>
      </w:r>
    </w:p>
    <w:p>
      <w:pPr>
        <w:pStyle w:val="ListParagraph"/>
        <w:numPr>
          <w:ilvl w:val="0"/>
          <w:numId w:val="340"/>
        </w:numPr>
        <w:rPr/>
      </w:pPr>
      <w:r>
        <w:rPr/>
        <w:t>All company-owned information the terminated employee was responsible for is identified and accounted for.</w:t>
      </w:r>
    </w:p>
    <w:p>
      <w:pPr>
        <w:pStyle w:val="Normal"/>
        <w:rPr/>
      </w:pPr>
      <w:r>
        <w:rPr/>
      </w:r>
    </w:p>
    <w:p>
      <w:pPr>
        <w:pStyle w:val="Normal"/>
        <w:rPr/>
      </w:pPr>
      <w:r>
        <w:rPr>
          <w:rFonts w:cs="Calibri"/>
          <w:u w:val="single"/>
        </w:rPr>
        <w:t>Guidelines</w:t>
      </w:r>
      <w:r>
        <w:rPr>
          <w:rFonts w:cs="Calibri"/>
        </w:rPr>
        <w:t xml:space="preserve">: </w:t>
      </w:r>
      <w:r>
        <w:rPr/>
        <w:t>Information security responsibilities and duties that remain valid after termination or change of employment should be defined, communicated to the employee or contractor and enforced.</w:t>
      </w:r>
    </w:p>
    <w:p>
      <w:pPr>
        <w:pStyle w:val="Normal"/>
        <w:rPr/>
      </w:pPr>
      <w:r>
        <w:rPr/>
      </w:r>
    </w:p>
    <w:p>
      <w:pPr>
        <w:pStyle w:val="Normal"/>
        <w:rPr/>
      </w:pPr>
      <w:r>
        <w:rPr/>
        <w:t xml:space="preserve">If a user resigns or is terminated, the following should be accomplished as soon as possible, but no longer than twenty-four (24) hours from notification of a change in a user's status: </w:t>
      </w:r>
    </w:p>
    <w:p>
      <w:pPr>
        <w:pStyle w:val="ListParagraph"/>
        <w:numPr>
          <w:ilvl w:val="0"/>
          <w:numId w:val="5"/>
        </w:numPr>
        <w:rPr/>
      </w:pPr>
      <w:r>
        <w:rPr/>
        <w:t>The user's privileges and access must be revoked;</w:t>
      </w:r>
    </w:p>
    <w:p>
      <w:pPr>
        <w:pStyle w:val="ListParagraph"/>
        <w:numPr>
          <w:ilvl w:val="0"/>
          <w:numId w:val="5"/>
        </w:numPr>
        <w:rPr/>
      </w:pPr>
      <w:r>
        <w:rPr/>
        <w:t>The user’s passwords must be changed or the accounts disabled to preclude access;</w:t>
      </w:r>
    </w:p>
    <w:p>
      <w:pPr>
        <w:pStyle w:val="ListParagraph"/>
        <w:numPr>
          <w:ilvl w:val="0"/>
          <w:numId w:val="5"/>
        </w:numPr>
        <w:rPr/>
      </w:pPr>
      <w:r>
        <w:rPr/>
        <w:t>All shared passwords known by the user on all applicable systems must be changed;</w:t>
      </w:r>
    </w:p>
    <w:p>
      <w:pPr>
        <w:pStyle w:val="ListParagraph"/>
        <w:numPr>
          <w:ilvl w:val="0"/>
          <w:numId w:val="5"/>
        </w:numPr>
        <w:rPr/>
      </w:pPr>
      <w:r>
        <w:rPr/>
        <w:t>All privileged account passwords known by the user must be changed;</w:t>
      </w:r>
    </w:p>
    <w:p>
      <w:pPr>
        <w:pStyle w:val="ListParagraph"/>
        <w:numPr>
          <w:ilvl w:val="0"/>
          <w:numId w:val="5"/>
        </w:numPr>
        <w:rPr/>
      </w:pPr>
      <w:r>
        <w:rPr/>
        <w:t>Incoming mail for the user should be re-directed as directed by the user’s supervisor;</w:t>
      </w:r>
    </w:p>
    <w:p>
      <w:pPr>
        <w:pStyle w:val="ListParagraph"/>
        <w:numPr>
          <w:ilvl w:val="0"/>
          <w:numId w:val="5"/>
        </w:numPr>
        <w:rPr/>
      </w:pPr>
      <w:r>
        <w:rPr/>
        <w:t>After thirty (30) days, incoming mail should be disabled for the account, unless deemed necessary;</w:t>
      </w:r>
    </w:p>
    <w:p>
      <w:pPr>
        <w:pStyle w:val="ListParagraph"/>
        <w:numPr>
          <w:ilvl w:val="0"/>
          <w:numId w:val="5"/>
        </w:numPr>
        <w:rPr/>
      </w:pPr>
      <w:r>
        <w:rPr/>
        <w:t>All files owned by the user should be identified and either archived or ownership changed to a valid user;</w:t>
      </w:r>
    </w:p>
    <w:p>
      <w:pPr>
        <w:pStyle w:val="ListParagraph"/>
        <w:numPr>
          <w:ilvl w:val="0"/>
          <w:numId w:val="5"/>
        </w:numPr>
        <w:rPr/>
      </w:pPr>
      <w:r>
        <w:rPr/>
        <w:t>All automated scripts / batch jobs previously requested or previously submitted should be reviewed; and</w:t>
      </w:r>
    </w:p>
    <w:p>
      <w:pPr>
        <w:pStyle w:val="ListParagraph"/>
        <w:numPr>
          <w:ilvl w:val="0"/>
          <w:numId w:val="5"/>
        </w:numPr>
        <w:rPr/>
      </w:pPr>
      <w:r>
        <w:rPr/>
        <w:t xml:space="preserve">All NFCC property should be collected, including but not limited to: </w:t>
      </w:r>
    </w:p>
    <w:p>
      <w:pPr>
        <w:pStyle w:val="ListParagraph"/>
        <w:numPr>
          <w:ilvl w:val="1"/>
          <w:numId w:val="5"/>
        </w:numPr>
        <w:rPr/>
      </w:pPr>
      <w:r>
        <w:rPr/>
        <w:t>Keys, lock combinations and identification badges;</w:t>
      </w:r>
    </w:p>
    <w:p>
      <w:pPr>
        <w:pStyle w:val="ListParagraph"/>
        <w:numPr>
          <w:ilvl w:val="1"/>
          <w:numId w:val="5"/>
        </w:numPr>
        <w:rPr/>
      </w:pPr>
      <w:r>
        <w:rPr/>
        <w:t>Sensitive data and documentation;</w:t>
      </w:r>
    </w:p>
    <w:p>
      <w:pPr>
        <w:pStyle w:val="ListParagraph"/>
        <w:numPr>
          <w:ilvl w:val="1"/>
          <w:numId w:val="5"/>
        </w:numPr>
        <w:rPr/>
      </w:pPr>
      <w:r>
        <w:rPr/>
        <w:t>Operator procedures;</w:t>
      </w:r>
    </w:p>
    <w:p>
      <w:pPr>
        <w:pStyle w:val="ListParagraph"/>
        <w:numPr>
          <w:ilvl w:val="1"/>
          <w:numId w:val="5"/>
        </w:numPr>
        <w:rPr/>
      </w:pPr>
      <w:r>
        <w:rPr/>
        <w:t>Program documentation;</w:t>
      </w:r>
    </w:p>
    <w:p>
      <w:pPr>
        <w:pStyle w:val="ListParagraph"/>
        <w:numPr>
          <w:ilvl w:val="1"/>
          <w:numId w:val="5"/>
        </w:numPr>
        <w:rPr/>
      </w:pPr>
      <w:r>
        <w:rPr/>
        <w:t>Company-owned equipment, pagers, notebook computers and tools; and</w:t>
      </w:r>
    </w:p>
    <w:p>
      <w:pPr>
        <w:pStyle w:val="ListParagraph"/>
        <w:numPr>
          <w:ilvl w:val="1"/>
          <w:numId w:val="5"/>
        </w:numPr>
        <w:rPr/>
      </w:pPr>
      <w:r>
        <w:rPr/>
        <w:t>Phone contact lists.</w:t>
      </w:r>
    </w:p>
    <w:p>
      <w:pPr>
        <w:pStyle w:val="Normal"/>
        <w:rPr/>
      </w:pPr>
      <w:r>
        <w:rPr/>
      </w:r>
    </w:p>
    <w:p>
      <w:pPr>
        <w:pStyle w:val="Heading3"/>
        <w:rPr/>
      </w:pPr>
      <w:bookmarkStart w:id="930" w:name="_Toc474075216"/>
      <w:bookmarkStart w:id="931" w:name="_Toc34920868"/>
      <w:r>
        <w:rPr/>
        <w:t>HRS-09(a): Personnel Termination | Asset Collection</w:t>
      </w:r>
      <w:bookmarkEnd w:id="930"/>
      <w:bookmarkEnd w:id="931"/>
    </w:p>
    <w:p>
      <w:pPr>
        <w:pStyle w:val="Normal"/>
        <w:rPr/>
      </w:pPr>
      <w:r>
        <w:rPr>
          <w:u w:val="single"/>
        </w:rPr>
        <w:t>Control Objective</w:t>
      </w:r>
      <w:r>
        <w:rPr/>
        <w:t>: The organization, upon termination of individual employment, ensures for the collection of organization-owned assets prior to the individual’s departure.</w:t>
      </w:r>
    </w:p>
    <w:p>
      <w:pPr>
        <w:pStyle w:val="Normal"/>
        <w:rPr/>
      </w:pPr>
      <w:r>
        <w:rPr/>
      </w:r>
    </w:p>
    <w:p>
      <w:pPr>
        <w:pStyle w:val="Normal"/>
        <w:rPr/>
      </w:pPr>
      <w:r>
        <w:rPr>
          <w:u w:val="single"/>
        </w:rPr>
        <w:t>Standard</w:t>
      </w:r>
      <w:r>
        <w:rPr/>
        <w:t xml:space="preserve">: The direct manager of a terminated user is assigned the responsibility for inventorying and accounting for all NFCC-issued assets, prior to the individual’s departure. </w:t>
      </w:r>
    </w:p>
    <w:p>
      <w:pPr>
        <w:pStyle w:val="Normal"/>
        <w:rPr/>
      </w:pPr>
      <w:r>
        <w:rPr/>
      </w:r>
    </w:p>
    <w:p>
      <w:pPr>
        <w:pStyle w:val="Normal"/>
        <w:rPr/>
      </w:pPr>
      <w:r>
        <w:rPr>
          <w:u w:val="single"/>
        </w:rPr>
        <w:t>Guidelines</w:t>
      </w:r>
      <w:r>
        <w:rPr/>
        <w:t>: Depending on applicable labor laws, this may require withholding the final paycheck from the terminated individual until the company-issued assets are returned. Human Resources must be informed of any missing or damaged company assets that were the responsibility of the terminated individual.</w:t>
      </w:r>
    </w:p>
    <w:p>
      <w:pPr>
        <w:pStyle w:val="Normal"/>
        <w:rPr/>
      </w:pPr>
      <w:r>
        <w:rPr/>
      </w:r>
    </w:p>
    <w:p>
      <w:pPr>
        <w:pStyle w:val="Heading3"/>
        <w:rPr/>
      </w:pPr>
      <w:bookmarkStart w:id="932" w:name="_Toc474075217"/>
      <w:bookmarkStart w:id="933" w:name="_Toc34920869"/>
      <w:r>
        <w:rPr/>
        <w:t>HRS-09(b): Personnel Termination | High-Risk Terminations</w:t>
      </w:r>
      <w:bookmarkEnd w:id="932"/>
      <w:bookmarkEnd w:id="933"/>
    </w:p>
    <w:p>
      <w:pPr>
        <w:pStyle w:val="Normal"/>
        <w:rPr/>
      </w:pPr>
      <w:r>
        <w:rPr>
          <w:u w:val="single"/>
        </w:rPr>
        <w:t>Control Objective</w:t>
      </w:r>
      <w:r>
        <w:rPr/>
        <w:t>: The organization, upon termination of an individual deemed to be a “high risk” to the organization, ensures the expedited process of removing the individual’s access to organizational systems and data.</w:t>
      </w:r>
    </w:p>
    <w:p>
      <w:pPr>
        <w:pStyle w:val="Normal"/>
        <w:rPr/>
      </w:pPr>
      <w:r>
        <w:rPr/>
      </w:r>
    </w:p>
    <w:p>
      <w:pPr>
        <w:pStyle w:val="Normal"/>
        <w:rPr/>
      </w:pPr>
      <w:r>
        <w:rPr>
          <w:rFonts w:cs="Calibri"/>
          <w:u w:val="single"/>
        </w:rPr>
        <w:t>Standard</w:t>
      </w:r>
      <w:r>
        <w:rPr>
          <w:rFonts w:cs="Calibri"/>
        </w:rPr>
        <w:t xml:space="preserve">: Human Resources (HR) is required to </w:t>
      </w:r>
      <w:r>
        <w:rPr/>
        <w:t xml:space="preserve">immediately notify NFCC’s cybersecurity personnel to revoke the user's IDs, privileges and authorizations for a “high risk” employee or contractor termination. </w:t>
      </w:r>
    </w:p>
    <w:p>
      <w:pPr>
        <w:pStyle w:val="Normal"/>
        <w:rPr/>
      </w:pPr>
      <w:r>
        <w:rPr/>
      </w:r>
    </w:p>
    <w:p>
      <w:pPr>
        <w:pStyle w:val="Normal"/>
        <w:rPr/>
      </w:pPr>
      <w:r>
        <w:rPr>
          <w:u w:val="single"/>
        </w:rPr>
        <w:t>Guidelines</w:t>
      </w:r>
      <w:r>
        <w:rPr/>
        <w:t>: The objective of this control is to remove the user’s access without delay. If the situation warrants it, a backup or image of the individual’s systems (e.g., workstation, laptop, smart phone, etc.) may be required. If a backup is intended for possible punitive action against the individual, the backup must be in accordance with forensic investigation procedures to ensure chain of custody and unassailable data copies.</w:t>
      </w:r>
    </w:p>
    <w:p>
      <w:pPr>
        <w:pStyle w:val="Normal"/>
        <w:rPr/>
      </w:pPr>
      <w:r>
        <w:rPr/>
      </w:r>
    </w:p>
    <w:p>
      <w:pPr>
        <w:pStyle w:val="Heading3"/>
        <w:rPr/>
      </w:pPr>
      <w:bookmarkStart w:id="934" w:name="_Toc34920870"/>
      <w:r>
        <w:rPr/>
        <w:t>HRS-09(c): Personnel Termination | Post-Employment Requirements</w:t>
      </w:r>
      <w:bookmarkEnd w:id="934"/>
      <w:r>
        <w:rPr/>
        <w:t xml:space="preserve"> </w:t>
      </w:r>
    </w:p>
    <w:p>
      <w:pPr>
        <w:pStyle w:val="Normal"/>
        <w:rPr/>
      </w:pPr>
      <w:r>
        <w:rPr>
          <w:u w:val="single"/>
        </w:rPr>
        <w:t>Control Objective</w:t>
      </w:r>
      <w:r>
        <w:rPr/>
        <w:t>: The organization:</w:t>
      </w:r>
      <w:r>
        <w:rPr>
          <w:rStyle w:val="FootnoteCharacters"/>
          <w:rFonts w:cs="Calibri"/>
        </w:rPr>
        <w:t xml:space="preserve"> </w:t>
      </w:r>
      <w:r>
        <w:rPr>
          <w:rStyle w:val="FootnoteAnchor"/>
          <w:rStyle w:val="FootnoteAnchor"/>
          <w:rFonts w:cs="Calibri"/>
        </w:rPr>
        <w:footnoteReference w:id="282"/>
      </w:r>
    </w:p>
    <w:p>
      <w:pPr>
        <w:pStyle w:val="ListParagraph"/>
        <w:numPr>
          <w:ilvl w:val="0"/>
          <w:numId w:val="533"/>
        </w:numPr>
        <w:rPr/>
      </w:pPr>
      <w:r>
        <w:rPr/>
        <w:t>Notifies terminated individuals of applicable, legally binding post-employment requirements for the protection of organizational information; and</w:t>
      </w:r>
    </w:p>
    <w:p>
      <w:pPr>
        <w:pStyle w:val="ListParagraph"/>
        <w:numPr>
          <w:ilvl w:val="0"/>
          <w:numId w:val="533"/>
        </w:numPr>
        <w:rPr/>
      </w:pPr>
      <w:r>
        <w:rPr/>
        <w:t>Requires terminated individuals to sign an acknowledgment of post-employment requirements as part of the organizational termination process.</w:t>
      </w:r>
    </w:p>
    <w:p>
      <w:pPr>
        <w:pStyle w:val="Normal"/>
        <w:rPr/>
      </w:pPr>
      <w:r>
        <w:rPr/>
      </w:r>
    </w:p>
    <w:p>
      <w:pPr>
        <w:pStyle w:val="Normal"/>
        <w:rPr/>
      </w:pPr>
      <w:r>
        <w:rPr>
          <w:u w:val="single"/>
        </w:rPr>
        <w:t>Standard</w:t>
      </w:r>
      <w:r>
        <w:rPr/>
        <w:t>: NFCC’s HR department, in conjunction with direct manager of a terminated user, is assigned the responsibility for:</w:t>
      </w:r>
    </w:p>
    <w:p>
      <w:pPr>
        <w:pStyle w:val="ListParagraph"/>
        <w:numPr>
          <w:ilvl w:val="0"/>
          <w:numId w:val="574"/>
        </w:numPr>
        <w:tabs>
          <w:tab w:val="clear" w:pos="360"/>
          <w:tab w:val="clear" w:pos="720"/>
          <w:tab w:val="clear" w:pos="1080"/>
        </w:tabs>
        <w:rPr/>
      </w:pPr>
      <w:r>
        <w:rPr/>
        <w:t>Notifying terminated individuals of applicable, legally binding post-employment requirements for the protection of NFCC information; and</w:t>
      </w:r>
    </w:p>
    <w:p>
      <w:pPr>
        <w:pStyle w:val="ListParagraph"/>
        <w:numPr>
          <w:ilvl w:val="0"/>
          <w:numId w:val="574"/>
        </w:numPr>
        <w:tabs>
          <w:tab w:val="clear" w:pos="360"/>
          <w:tab w:val="clear" w:pos="720"/>
          <w:tab w:val="clear" w:pos="1080"/>
        </w:tabs>
        <w:rPr/>
      </w:pPr>
      <w:r>
        <w:rPr/>
        <w:t>Requiring terminated individuals to sign an acknowledgment of post-employment requirements as part of the NFCC termination process.</w:t>
      </w:r>
    </w:p>
    <w:p>
      <w:pPr>
        <w:pStyle w:val="Normal"/>
        <w:rPr/>
      </w:pPr>
      <w:r>
        <w:rPr/>
      </w:r>
    </w:p>
    <w:p>
      <w:pPr>
        <w:pStyle w:val="Normal"/>
        <w:rPr/>
      </w:pPr>
      <w:r>
        <w:rPr>
          <w:u w:val="single"/>
        </w:rPr>
        <w:t>Guidelines</w:t>
      </w:r>
      <w:r>
        <w:rPr/>
        <w:t>: Depending on applicable labor laws, this may require withholding the final paycheck from the terminated individual until the company-issued assets are returned. HR must be informed of any missing or damaged company assets that were the responsibility of the terminated individual.</w:t>
      </w:r>
    </w:p>
    <w:p>
      <w:pPr>
        <w:pStyle w:val="Normal"/>
        <w:rPr/>
      </w:pPr>
      <w:r>
        <w:rPr/>
      </w:r>
    </w:p>
    <w:p>
      <w:pPr>
        <w:pStyle w:val="Heading3"/>
        <w:rPr/>
      </w:pPr>
      <w:bookmarkStart w:id="935" w:name="_Toc34920871"/>
      <w:r>
        <w:rPr/>
        <w:t>HRS-09(d): Personnel Termination | Automated Employment Status Notification</w:t>
      </w:r>
      <w:bookmarkEnd w:id="935"/>
      <w:r>
        <w:rPr/>
        <w:t xml:space="preserve"> </w:t>
      </w:r>
    </w:p>
    <w:p>
      <w:pPr>
        <w:pStyle w:val="Normal"/>
        <w:rPr>
          <w:rFonts w:cs="Calibri"/>
        </w:rPr>
      </w:pPr>
      <w:r>
        <w:rPr>
          <w:u w:val="single"/>
        </w:rPr>
        <w:t>Control Objective</w:t>
      </w:r>
      <w:r>
        <w:rPr/>
        <w:t xml:space="preserve">: </w:t>
      </w:r>
      <w:r>
        <w:rPr>
          <w:rFonts w:cs="Calibri"/>
        </w:rPr>
        <w:t>The organization employs automated mechanisms to notify organization-defined personnel or roles upon termination of an individual.</w:t>
      </w:r>
      <w:r>
        <w:rPr>
          <w:rStyle w:val="FootnoteCharacters"/>
          <w:rFonts w:cs="Calibri"/>
        </w:rPr>
        <w:t xml:space="preserve"> </w:t>
      </w:r>
      <w:r>
        <w:rPr>
          <w:rStyle w:val="FootnoteAnchor"/>
          <w:rStyle w:val="FootnoteAnchor"/>
          <w:rFonts w:cs="Calibri"/>
        </w:rPr>
        <w:footnoteReference w:id="283"/>
      </w:r>
    </w:p>
    <w:p>
      <w:pPr>
        <w:pStyle w:val="Normal"/>
        <w:rPr/>
      </w:pPr>
      <w:r>
        <w:rPr/>
      </w:r>
    </w:p>
    <w:p>
      <w:pPr>
        <w:pStyle w:val="Normal"/>
        <w:rPr>
          <w:rFonts w:cs="Calibri"/>
        </w:rPr>
      </w:pPr>
      <w:r>
        <w:rPr>
          <w:rFonts w:cs="Calibri"/>
          <w:u w:val="single"/>
        </w:rPr>
        <w:t>Standard</w:t>
      </w:r>
      <w:r>
        <w:rPr>
          <w:rFonts w:cs="Calibri"/>
        </w:rPr>
        <w:t>: As part of employment termination procedures, NFCC’s Human Resources (HR) department is required to employs automated mechanisms to notify select IT and cybersecurity personnel or roles upon termination of an individual.</w:t>
      </w:r>
    </w:p>
    <w:p>
      <w:pPr>
        <w:pStyle w:val="Normal"/>
        <w:rPr>
          <w:rFonts w:cs="Calibri"/>
        </w:rPr>
      </w:pPr>
      <w:r>
        <w:rPr>
          <w:rFonts w:cs="Calibri"/>
        </w:rPr>
      </w:r>
    </w:p>
    <w:p>
      <w:pPr>
        <w:pStyle w:val="Normal"/>
        <w:rPr>
          <w:rFonts w:cs="Calibri"/>
        </w:rPr>
      </w:pPr>
      <w:r>
        <w:rPr>
          <w:rFonts w:cs="Calibri"/>
          <w:u w:val="single"/>
        </w:rPr>
        <w:t>Guidelines</w:t>
      </w:r>
      <w:r>
        <w:rPr>
          <w:rFonts w:cs="Calibri"/>
        </w:rPr>
        <w:t>: In organizations with a large number of employees, not all personnel who need to know about termination actions receive the appropriate notifications—or, if such notifications are received, they may not occur in a timely manner. Automated mechanisms can be used to send automatic alerts or notifications to specific organizational personnel or roles (e.g., management personnel, supervisors, personnel security officers, information security officers, systems administrators or information technology administrators) when individuals are terminated. Such automatic alerts or notifications can be conveyed in a variety of ways, including, for example, telephonically, via electronic mail, via text message or via websites.</w:t>
      </w:r>
      <w:bookmarkStart w:id="936" w:name="_Hlk27579554"/>
      <w:bookmarkEnd w:id="936"/>
    </w:p>
    <w:p>
      <w:pPr>
        <w:pStyle w:val="Normal"/>
        <w:rPr/>
      </w:pPr>
      <w:r>
        <w:rPr/>
      </w:r>
    </w:p>
    <w:p>
      <w:pPr>
        <w:pStyle w:val="Normal"/>
        <w:rPr/>
      </w:pPr>
      <w:r>
        <w:rPr/>
      </w:r>
    </w:p>
    <w:p>
      <w:pPr>
        <w:pStyle w:val="Heading2"/>
        <w:rPr/>
      </w:pPr>
      <w:bookmarkStart w:id="937" w:name="_Toc474075218"/>
      <w:bookmarkStart w:id="938" w:name="_Toc474075733"/>
      <w:bookmarkStart w:id="939" w:name="_Toc34920872"/>
      <w:r>
        <w:rPr/>
        <w:t>HRS-10: Third-Party Personnel Security</w:t>
      </w:r>
      <w:bookmarkEnd w:id="937"/>
      <w:bookmarkEnd w:id="938"/>
      <w:bookmarkEnd w:id="939"/>
    </w:p>
    <w:p>
      <w:pPr>
        <w:pStyle w:val="Normal"/>
        <w:rPr/>
      </w:pPr>
      <w:r>
        <w:rPr>
          <w:u w:val="single"/>
        </w:rPr>
        <w:t>Control Objective</w:t>
      </w:r>
      <w:r>
        <w:rPr/>
        <w:t>: The organization:</w:t>
      </w:r>
      <w:r>
        <w:rPr>
          <w:rStyle w:val="FootnoteAnchor"/>
          <w:rStyle w:val="FootnoteAnchor"/>
          <w:rFonts w:cs="Calibri"/>
        </w:rPr>
        <w:footnoteReference w:id="284"/>
      </w:r>
      <w:r>
        <w:rPr/>
        <w:t xml:space="preserve"> </w:t>
      </w:r>
    </w:p>
    <w:p>
      <w:pPr>
        <w:pStyle w:val="ListParagraph"/>
        <w:numPr>
          <w:ilvl w:val="0"/>
          <w:numId w:val="56"/>
        </w:numPr>
        <w:rPr/>
      </w:pPr>
      <w:r>
        <w:rPr/>
        <w:t>Establishes personnel security requirements including security roles and responsibilities for third-party providers;</w:t>
      </w:r>
    </w:p>
    <w:p>
      <w:pPr>
        <w:pStyle w:val="ListParagraph"/>
        <w:numPr>
          <w:ilvl w:val="0"/>
          <w:numId w:val="56"/>
        </w:numPr>
        <w:rPr/>
      </w:pPr>
      <w:r>
        <w:rPr/>
        <w:t>Documents personnel security requirements; and</w:t>
      </w:r>
    </w:p>
    <w:p>
      <w:pPr>
        <w:pStyle w:val="ListParagraph"/>
        <w:numPr>
          <w:ilvl w:val="0"/>
          <w:numId w:val="56"/>
        </w:numPr>
        <w:rPr/>
      </w:pPr>
      <w:r>
        <w:rPr/>
        <w:t>Monitors provider compliance.</w:t>
      </w:r>
    </w:p>
    <w:p>
      <w:pPr>
        <w:pStyle w:val="Normal"/>
        <w:rPr/>
      </w:pPr>
      <w:r>
        <w:rPr/>
      </w:r>
    </w:p>
    <w:p>
      <w:pPr>
        <w:pStyle w:val="Normal"/>
        <w:rPr/>
      </w:pPr>
      <w:r>
        <w:rPr>
          <w:u w:val="single"/>
        </w:rPr>
        <w:t>Standard</w:t>
      </w:r>
      <w:r>
        <w:rPr/>
        <w:t>: NFCC is required to ensure third-party personnel access is granted only to individuals who:</w:t>
      </w:r>
    </w:p>
    <w:p>
      <w:pPr>
        <w:pStyle w:val="ListParagraph"/>
        <w:numPr>
          <w:ilvl w:val="0"/>
          <w:numId w:val="341"/>
        </w:numPr>
        <w:rPr/>
      </w:pPr>
      <w:r>
        <w:rPr/>
        <w:t xml:space="preserve">Have a valid access authorization; </w:t>
      </w:r>
    </w:p>
    <w:p>
      <w:pPr>
        <w:pStyle w:val="ListParagraph"/>
        <w:numPr>
          <w:ilvl w:val="0"/>
          <w:numId w:val="341"/>
        </w:numPr>
        <w:rPr/>
      </w:pPr>
      <w:r>
        <w:rPr/>
        <w:t xml:space="preserve">Satisfy associated personnel security criteria; </w:t>
      </w:r>
    </w:p>
    <w:p>
      <w:pPr>
        <w:pStyle w:val="ListParagraph"/>
        <w:numPr>
          <w:ilvl w:val="0"/>
          <w:numId w:val="341"/>
        </w:numPr>
        <w:rPr/>
      </w:pPr>
      <w:r>
        <w:rPr/>
        <w:t>Have read, understand and signed a Non-Disclosure Agreement (NDA); and</w:t>
      </w:r>
    </w:p>
    <w:p>
      <w:pPr>
        <w:pStyle w:val="ListParagraph"/>
        <w:numPr>
          <w:ilvl w:val="0"/>
          <w:numId w:val="341"/>
        </w:numPr>
        <w:rPr/>
      </w:pPr>
      <w:r>
        <w:rPr/>
        <w:t xml:space="preserve">Have read, understand and signed an acknowledgment that he or she understands and will abide by NFCC’s policies, procedures, standards and guidelines. </w:t>
      </w:r>
    </w:p>
    <w:p>
      <w:pPr>
        <w:pStyle w:val="Normal"/>
        <w:rPr/>
      </w:pPr>
      <w:r>
        <w:rPr/>
      </w:r>
    </w:p>
    <w:p>
      <w:pPr>
        <w:pStyle w:val="Normal"/>
        <w:rPr/>
      </w:pPr>
      <w:r>
        <w:rPr>
          <w:u w:val="single"/>
        </w:rPr>
        <w:t>Guidelines</w:t>
      </w:r>
      <w:r>
        <w:rPr/>
        <w:t>: None</w:t>
      </w:r>
    </w:p>
    <w:p>
      <w:pPr>
        <w:pStyle w:val="Normal"/>
        <w:rPr/>
      </w:pPr>
      <w:r>
        <w:rPr/>
      </w:r>
    </w:p>
    <w:p>
      <w:pPr>
        <w:pStyle w:val="Normal"/>
        <w:rPr/>
      </w:pPr>
      <w:r>
        <w:rPr/>
      </w:r>
    </w:p>
    <w:p>
      <w:pPr>
        <w:pStyle w:val="Heading2"/>
        <w:rPr/>
      </w:pPr>
      <w:bookmarkStart w:id="940" w:name="_Toc474075219"/>
      <w:bookmarkStart w:id="941" w:name="_Toc474075734"/>
      <w:bookmarkStart w:id="942" w:name="_Toc34920873"/>
      <w:r>
        <w:rPr/>
        <w:t>HRS-11: Separation of Duties</w:t>
      </w:r>
      <w:bookmarkEnd w:id="940"/>
      <w:bookmarkEnd w:id="941"/>
      <w:bookmarkEnd w:id="942"/>
    </w:p>
    <w:p>
      <w:pPr>
        <w:pStyle w:val="Normal"/>
        <w:rPr/>
      </w:pPr>
      <w:r>
        <w:rPr>
          <w:u w:val="single"/>
        </w:rPr>
        <w:t>Control Objective</w:t>
      </w:r>
      <w:r>
        <w:rPr/>
        <w:t>: The organization:</w:t>
      </w:r>
      <w:r>
        <w:rPr>
          <w:rStyle w:val="FootnoteCharacters"/>
          <w:rFonts w:cs="Calibri"/>
        </w:rPr>
        <w:t xml:space="preserve"> </w:t>
      </w:r>
      <w:r>
        <w:rPr>
          <w:rStyle w:val="FootnoteAnchor"/>
          <w:rStyle w:val="FootnoteAnchor"/>
          <w:rFonts w:cs="Calibri"/>
        </w:rPr>
        <w:footnoteReference w:id="285"/>
      </w:r>
      <w:r>
        <w:rPr>
          <w:rFonts w:cs="Calibri"/>
        </w:rPr>
        <w:t xml:space="preserve"> </w:t>
      </w:r>
    </w:p>
    <w:p>
      <w:pPr>
        <w:pStyle w:val="ListParagraph"/>
        <w:numPr>
          <w:ilvl w:val="0"/>
          <w:numId w:val="79"/>
        </w:numPr>
        <w:rPr/>
      </w:pPr>
      <w:r>
        <w:rPr/>
        <w:t>Separates duties of individuals as necessary, to prevent malevolent activity without collusion;</w:t>
      </w:r>
    </w:p>
    <w:p>
      <w:pPr>
        <w:pStyle w:val="ListParagraph"/>
        <w:numPr>
          <w:ilvl w:val="0"/>
          <w:numId w:val="79"/>
        </w:numPr>
        <w:rPr/>
      </w:pPr>
      <w:r>
        <w:rPr/>
        <w:t>Documents separation of duties; and</w:t>
      </w:r>
    </w:p>
    <w:p>
      <w:pPr>
        <w:pStyle w:val="ListParagraph"/>
        <w:numPr>
          <w:ilvl w:val="0"/>
          <w:numId w:val="79"/>
        </w:numPr>
        <w:rPr/>
      </w:pPr>
      <w:r>
        <w:rPr/>
        <w:t>Implements separation of duties through assigned system access authorizations.</w:t>
      </w:r>
    </w:p>
    <w:p>
      <w:pPr>
        <w:pStyle w:val="Normal"/>
        <w:rPr/>
      </w:pPr>
      <w:r>
        <w:rPr/>
      </w:r>
    </w:p>
    <w:p>
      <w:pPr>
        <w:pStyle w:val="Normal"/>
        <w:rPr/>
      </w:pPr>
      <w:r>
        <w:rPr>
          <w:u w:val="single"/>
        </w:rPr>
        <w:t>Standard</w:t>
      </w:r>
      <w:r>
        <w:rPr/>
        <w:t>: In sensitive environments, NFCC management is required to:</w:t>
      </w:r>
    </w:p>
    <w:p>
      <w:pPr>
        <w:pStyle w:val="ListParagraph"/>
        <w:numPr>
          <w:ilvl w:val="0"/>
          <w:numId w:val="342"/>
        </w:numPr>
        <w:rPr/>
      </w:pPr>
      <w:r>
        <w:rPr/>
        <w:t>Separate duties of individuals, as necessary, to prevent malevolent activity without collusion;</w:t>
      </w:r>
    </w:p>
    <w:p>
      <w:pPr>
        <w:pStyle w:val="ListParagraph"/>
        <w:numPr>
          <w:ilvl w:val="0"/>
          <w:numId w:val="342"/>
        </w:numPr>
        <w:rPr/>
      </w:pPr>
      <w:r>
        <w:rPr/>
        <w:t>Document any separation of duties; and</w:t>
      </w:r>
    </w:p>
    <w:p>
      <w:pPr>
        <w:pStyle w:val="ListParagraph"/>
        <w:numPr>
          <w:ilvl w:val="0"/>
          <w:numId w:val="342"/>
        </w:numPr>
        <w:rPr/>
      </w:pPr>
      <w:r>
        <w:rPr/>
        <w:t>Where technically feasible, implement separation of duties through assigned system access authorizations.</w:t>
      </w:r>
    </w:p>
    <w:p>
      <w:pPr>
        <w:pStyle w:val="Normal"/>
        <w:rPr/>
      </w:pPr>
      <w:r>
        <w:rPr/>
      </w:r>
    </w:p>
    <w:p>
      <w:pPr>
        <w:pStyle w:val="Normal"/>
        <w:rPr/>
      </w:pPr>
      <w:r>
        <w:rPr>
          <w:u w:val="single"/>
        </w:rPr>
        <w:t>Guidelines</w:t>
      </w:r>
      <w:r>
        <w:rPr/>
        <w:t>: It is important to identify key IT personnel to minimize reliance on a single individual performing a critical job function through knowledge capture (documentation), knowledge sharing, succession planning and staff backup.</w:t>
      </w:r>
    </w:p>
    <w:p>
      <w:pPr>
        <w:pStyle w:val="Normal"/>
        <w:rPr/>
      </w:pPr>
      <w:r>
        <w:rPr/>
      </w:r>
    </w:p>
    <w:p>
      <w:pPr>
        <w:pStyle w:val="Normal"/>
        <w:rPr>
          <w:rFonts w:eastAsia="Calibri"/>
        </w:rPr>
      </w:pPr>
      <w:r>
        <w:rPr>
          <w:rFonts w:eastAsia="Calibri"/>
        </w:rPr>
      </w:r>
    </w:p>
    <w:p>
      <w:pPr>
        <w:pStyle w:val="Heading2"/>
        <w:rPr>
          <w:iCs/>
        </w:rPr>
      </w:pPr>
      <w:bookmarkStart w:id="943" w:name="_Toc474075220"/>
      <w:bookmarkStart w:id="944" w:name="_Toc474075735"/>
      <w:bookmarkStart w:id="945" w:name="_Toc34920874"/>
      <w:r>
        <w:rPr/>
        <w:t>HRS-12: Incompatible Roles</w:t>
      </w:r>
      <w:bookmarkEnd w:id="943"/>
      <w:bookmarkEnd w:id="944"/>
      <w:bookmarkEnd w:id="945"/>
      <w:r>
        <w:rPr/>
        <w:t xml:space="preserve"> </w:t>
      </w:r>
    </w:p>
    <w:p>
      <w:pPr>
        <w:pStyle w:val="Normal"/>
        <w:rPr/>
      </w:pPr>
      <w:r>
        <w:rPr>
          <w:u w:val="single"/>
        </w:rPr>
        <w:t>Control Objective</w:t>
      </w:r>
      <w:r>
        <w:rPr/>
        <w:t>: The organization:</w:t>
      </w:r>
      <w:r>
        <w:rPr>
          <w:rStyle w:val="FootnoteCharacters"/>
          <w:rFonts w:cs="Calibri"/>
        </w:rPr>
        <w:t xml:space="preserve"> </w:t>
      </w:r>
      <w:r>
        <w:rPr>
          <w:rStyle w:val="FootnoteAnchor"/>
          <w:rStyle w:val="FootnoteAnchor"/>
          <w:rFonts w:cs="Calibri"/>
        </w:rPr>
        <w:footnoteReference w:id="286"/>
      </w:r>
    </w:p>
    <w:p>
      <w:pPr>
        <w:pStyle w:val="ListParagraph"/>
        <w:numPr>
          <w:ilvl w:val="0"/>
          <w:numId w:val="181"/>
        </w:numPr>
        <w:rPr/>
      </w:pPr>
      <w:r>
        <w:rPr/>
        <w:t>Limits system developer privileges to change hardware, software and firmware components and system information within a production / operational environment; and</w:t>
      </w:r>
    </w:p>
    <w:p>
      <w:pPr>
        <w:pStyle w:val="ListParagraph"/>
        <w:numPr>
          <w:ilvl w:val="0"/>
          <w:numId w:val="181"/>
        </w:numPr>
        <w:rPr/>
      </w:pPr>
      <w:r>
        <w:rPr/>
        <w:t>Reviews and reevaluates system developer privileges as necessary.</w:t>
      </w:r>
    </w:p>
    <w:p>
      <w:pPr>
        <w:pStyle w:val="Normal"/>
        <w:rPr/>
      </w:pPr>
      <w:r>
        <w:rPr/>
      </w:r>
    </w:p>
    <w:p>
      <w:pPr>
        <w:pStyle w:val="Normal"/>
        <w:rPr/>
      </w:pPr>
      <w:r>
        <w:rPr>
          <w:u w:val="single"/>
        </w:rPr>
        <w:t>Standard</w:t>
      </w:r>
      <w:r>
        <w:rPr/>
        <w:t>: NFCC’s management is required to:</w:t>
      </w:r>
    </w:p>
    <w:p>
      <w:pPr>
        <w:pStyle w:val="ListParagraph"/>
        <w:numPr>
          <w:ilvl w:val="0"/>
          <w:numId w:val="343"/>
        </w:numPr>
        <w:rPr/>
      </w:pPr>
      <w:r>
        <w:rPr/>
        <w:t>Identify incompatible business roles; and</w:t>
      </w:r>
    </w:p>
    <w:p>
      <w:pPr>
        <w:pStyle w:val="ListParagraph"/>
        <w:numPr>
          <w:ilvl w:val="0"/>
          <w:numId w:val="343"/>
        </w:numPr>
        <w:rPr/>
      </w:pPr>
      <w:r>
        <w:rPr/>
        <w:t xml:space="preserve">Implement steps to remediate incompatible business roles. </w:t>
      </w:r>
    </w:p>
    <w:p>
      <w:pPr>
        <w:pStyle w:val="Normal"/>
        <w:rPr>
          <w:rFonts w:eastAsia="Calibri"/>
        </w:rPr>
      </w:pPr>
      <w:r>
        <w:rPr>
          <w:rFonts w:eastAsia="Calibri"/>
        </w:rPr>
      </w:r>
    </w:p>
    <w:p>
      <w:pPr>
        <w:pStyle w:val="Normal"/>
        <w:rPr/>
      </w:pPr>
      <w:r>
        <w:rPr>
          <w:u w:val="single"/>
        </w:rPr>
        <w:t>Guidelines</w:t>
      </w:r>
      <w:r>
        <w:rPr/>
        <w:t>: In permissible instances where business functions cannot be fully and appropriately segregated due to specific circumstances, management shall implement mitigating controls to compensate for such situations. Compensating controls in this arena might include read-only access, logs, dual authorization requirements and documented reviews of input / output. Where adequate segregation cannot be achieved, other compensating controls must be established and documented.</w:t>
      </w:r>
    </w:p>
    <w:p>
      <w:pPr>
        <w:pStyle w:val="Normal"/>
        <w:rPr/>
      </w:pPr>
      <w:r>
        <w:rPr/>
      </w:r>
    </w:p>
    <w:p>
      <w:pPr>
        <w:pStyle w:val="Heading3"/>
        <w:rPr/>
      </w:pPr>
      <w:bookmarkStart w:id="946" w:name="_Toc474075221"/>
      <w:bookmarkStart w:id="947" w:name="_Toc34920875"/>
      <w:r>
        <w:rPr/>
        <w:t>HRS-12(a): Incompatible Roles | Two-Person Rule</w:t>
      </w:r>
      <w:bookmarkEnd w:id="946"/>
      <w:bookmarkEnd w:id="947"/>
    </w:p>
    <w:p>
      <w:pPr>
        <w:pStyle w:val="Normal"/>
        <w:rPr/>
      </w:pPr>
      <w:r>
        <w:rPr>
          <w:u w:val="single"/>
        </w:rPr>
        <w:t>Control Objective</w:t>
      </w:r>
      <w:r>
        <w:rPr/>
        <w:t>: The organization enforces a two-person rule for implementing changes to sensitive systems.</w:t>
      </w:r>
      <w:r>
        <w:rPr>
          <w:rStyle w:val="FootnoteAnchor"/>
          <w:rStyle w:val="FootnoteAnchor"/>
        </w:rPr>
        <w:footnoteReference w:id="287"/>
      </w:r>
    </w:p>
    <w:p>
      <w:pPr>
        <w:pStyle w:val="Normal"/>
        <w:rPr/>
      </w:pPr>
      <w:r>
        <w:rPr/>
      </w:r>
    </w:p>
    <w:p>
      <w:pPr>
        <w:pStyle w:val="Normal"/>
        <w:rPr/>
      </w:pPr>
      <w:r>
        <w:rPr>
          <w:u w:val="single"/>
        </w:rPr>
        <w:t>Standard</w:t>
      </w:r>
      <w:r>
        <w:rPr/>
        <w:t>: When dictated by a business need, asset custodians are required to develop and implement a two-person rule for implementing changes to sensitive system components and system-level information.</w:t>
      </w:r>
    </w:p>
    <w:p>
      <w:pPr>
        <w:pStyle w:val="Normal"/>
        <w:rPr>
          <w:rFonts w:eastAsia="Calibri"/>
        </w:rPr>
      </w:pPr>
      <w:r>
        <w:rPr>
          <w:rFonts w:eastAsia="Calibri"/>
        </w:rPr>
      </w:r>
    </w:p>
    <w:p>
      <w:pPr>
        <w:pStyle w:val="Normal"/>
        <w:rPr/>
      </w:pPr>
      <w:r>
        <w:rPr>
          <w:u w:val="single"/>
        </w:rPr>
        <w:t>Guidelines</w:t>
      </w:r>
      <w:r>
        <w:rPr/>
        <w:t>: Organizations employ a two-person rule to ensure that any changes to selected system components and information cannot occur unless two qualified individuals implement such changes. The two individuals possess sufficient skills / expertise to determine if the proposed changes are correct implementations of approved changes.</w:t>
      </w:r>
    </w:p>
    <w:p>
      <w:pPr>
        <w:pStyle w:val="Normal"/>
        <w:rPr/>
      </w:pPr>
      <w:r>
        <w:rPr/>
      </w:r>
    </w:p>
    <w:p>
      <w:pPr>
        <w:pStyle w:val="Normal"/>
        <w:rPr/>
      </w:pPr>
      <w:r>
        <w:rPr/>
      </w:r>
    </w:p>
    <w:p>
      <w:pPr>
        <w:pStyle w:val="Heading2"/>
        <w:rPr/>
      </w:pPr>
      <w:bookmarkStart w:id="948" w:name="_Toc34920876"/>
      <w:r>
        <w:rPr/>
        <w:t>HRS-13: Identify Critical Skills &amp; Gaps</w:t>
      </w:r>
      <w:bookmarkEnd w:id="948"/>
      <w:r>
        <w:rPr/>
        <w:t xml:space="preserve"> </w:t>
      </w:r>
    </w:p>
    <w:p>
      <w:pPr>
        <w:pStyle w:val="Normal"/>
        <w:rPr/>
      </w:pPr>
      <w:r>
        <w:rPr>
          <w:u w:val="single"/>
        </w:rPr>
        <w:t>Control Objective</w:t>
      </w:r>
      <w:r>
        <w:rPr/>
        <w:t>: The organization evaluates critical skills needed to support the organization’s mission and gaps that exist.</w:t>
      </w:r>
    </w:p>
    <w:p>
      <w:pPr>
        <w:pStyle w:val="Normal"/>
        <w:rPr/>
      </w:pPr>
      <w:r>
        <w:rPr/>
      </w:r>
    </w:p>
    <w:p>
      <w:pPr>
        <w:pStyle w:val="Normal"/>
        <w:rPr/>
      </w:pPr>
      <w:r>
        <w:rPr>
          <w:u w:val="single"/>
        </w:rPr>
        <w:t>Standard</w:t>
      </w:r>
      <w:r>
        <w:rPr/>
        <w:t xml:space="preserve">: On an annual basis, Human Resources (HR) is required to: </w:t>
      </w:r>
    </w:p>
    <w:p>
      <w:pPr>
        <w:pStyle w:val="ListParagraph"/>
        <w:numPr>
          <w:ilvl w:val="0"/>
          <w:numId w:val="670"/>
        </w:numPr>
        <w:rPr/>
      </w:pPr>
      <w:r>
        <w:rPr/>
        <w:t>Analyze the appropriate skills that are required to support the organization’s mission and business functions;</w:t>
      </w:r>
    </w:p>
    <w:p>
      <w:pPr>
        <w:pStyle w:val="ListParagraph"/>
        <w:numPr>
          <w:ilvl w:val="0"/>
          <w:numId w:val="670"/>
        </w:numPr>
        <w:rPr/>
      </w:pPr>
      <w:r>
        <w:rPr/>
        <w:t>Document competencies necessary to define critical skills;</w:t>
      </w:r>
    </w:p>
    <w:p>
      <w:pPr>
        <w:pStyle w:val="ListParagraph"/>
        <w:numPr>
          <w:ilvl w:val="0"/>
          <w:numId w:val="670"/>
        </w:numPr>
        <w:rPr/>
      </w:pPr>
      <w:r>
        <w:rPr/>
        <w:t>Inventory the current technology staff for the identified critical skills;</w:t>
      </w:r>
    </w:p>
    <w:p>
      <w:pPr>
        <w:pStyle w:val="ListParagraph"/>
        <w:numPr>
          <w:ilvl w:val="0"/>
          <w:numId w:val="670"/>
        </w:numPr>
        <w:rPr/>
      </w:pPr>
      <w:r>
        <w:rPr/>
        <w:t>Document the gap that exists in current versus needed critical skills;</w:t>
      </w:r>
    </w:p>
    <w:p>
      <w:pPr>
        <w:pStyle w:val="ListParagraph"/>
        <w:numPr>
          <w:ilvl w:val="0"/>
          <w:numId w:val="670"/>
        </w:numPr>
        <w:rPr/>
      </w:pPr>
      <w:r>
        <w:rPr/>
        <w:t xml:space="preserve">Propose a solution to address the critical skills shortfall. </w:t>
      </w:r>
    </w:p>
    <w:p>
      <w:pPr>
        <w:pStyle w:val="Normal"/>
        <w:rPr/>
      </w:pPr>
      <w:r>
        <w:rPr/>
      </w:r>
    </w:p>
    <w:p>
      <w:pPr>
        <w:pStyle w:val="Normal"/>
        <w:rPr/>
      </w:pPr>
      <w:r>
        <w:rPr>
          <w:u w:val="single"/>
        </w:rPr>
        <w:t>Guidelines</w:t>
      </w:r>
      <w:r>
        <w:rPr/>
        <w:t>: A critical skills inventory is not a job inventory; it does not represent the positions that the organization currently has deployed on its organization chart. Instead, a skills inventory captures the skills and aptitudes of current staff, regardless of their job position or roles and responsibilities. The skills inventory provides a collective view of the organization’s capabilities, which in some cases may be more extensive than the positions currently employed by the organization. For example, there may be staff members who speak more than one language but are not using that skill in their current positions.</w:t>
      </w:r>
    </w:p>
    <w:p>
      <w:pPr>
        <w:pStyle w:val="Normal"/>
        <w:rPr/>
      </w:pPr>
      <w:r>
        <w:rPr/>
      </w:r>
    </w:p>
    <w:p>
      <w:pPr>
        <w:pStyle w:val="Heading3"/>
        <w:rPr/>
      </w:pPr>
      <w:bookmarkStart w:id="949" w:name="_Toc34920877"/>
      <w:r>
        <w:rPr/>
        <w:t>HRS-13(a): Identify Critical Skills &amp; Gaps | Remediate Identified Skills Deficiencies</w:t>
      </w:r>
      <w:bookmarkEnd w:id="949"/>
      <w:r>
        <w:rPr/>
        <w:t xml:space="preserve"> </w:t>
      </w:r>
    </w:p>
    <w:p>
      <w:pPr>
        <w:pStyle w:val="Normal"/>
        <w:rPr/>
      </w:pPr>
      <w:r>
        <w:rPr>
          <w:u w:val="single"/>
        </w:rPr>
        <w:t>Control Objective</w:t>
      </w:r>
      <w:r>
        <w:rPr/>
        <w:t>: The organization remediates skills deficiencies necessary to support the organization’s mission and business functions.</w:t>
      </w:r>
    </w:p>
    <w:p>
      <w:pPr>
        <w:pStyle w:val="Normal"/>
        <w:rPr/>
      </w:pPr>
      <w:r>
        <w:rPr/>
      </w:r>
    </w:p>
    <w:p>
      <w:pPr>
        <w:pStyle w:val="Normal"/>
        <w:rPr/>
      </w:pPr>
      <w:r>
        <w:rPr>
          <w:u w:val="single"/>
        </w:rPr>
        <w:t>Standard</w:t>
      </w:r>
      <w:r>
        <w:rPr/>
        <w:t>: Human Resources (HR) is required to remediate critical skills deficiencies by:</w:t>
      </w:r>
    </w:p>
    <w:p>
      <w:pPr>
        <w:pStyle w:val="ListParagraph"/>
        <w:numPr>
          <w:ilvl w:val="0"/>
          <w:numId w:val="671"/>
        </w:numPr>
        <w:rPr/>
      </w:pPr>
      <w:r>
        <w:rPr/>
        <w:t>Resourcing new hires;</w:t>
      </w:r>
    </w:p>
    <w:p>
      <w:pPr>
        <w:pStyle w:val="ListParagraph"/>
        <w:numPr>
          <w:ilvl w:val="0"/>
          <w:numId w:val="671"/>
        </w:numPr>
        <w:rPr/>
      </w:pPr>
      <w:r>
        <w:rPr/>
        <w:t>Outsourcing the responsibilities to a competent third-party;</w:t>
      </w:r>
    </w:p>
    <w:p>
      <w:pPr>
        <w:pStyle w:val="ListParagraph"/>
        <w:numPr>
          <w:ilvl w:val="0"/>
          <w:numId w:val="671"/>
        </w:numPr>
        <w:rPr/>
      </w:pPr>
      <w:r>
        <w:rPr/>
        <w:t>Reassign and train existing staff; and/or</w:t>
      </w:r>
    </w:p>
    <w:p>
      <w:pPr>
        <w:pStyle w:val="ListParagraph"/>
        <w:numPr>
          <w:ilvl w:val="0"/>
          <w:numId w:val="671"/>
        </w:numPr>
        <w:rPr/>
      </w:pPr>
      <w:r>
        <w:rPr/>
        <w:t>Create new positions with higher level skill requirements.</w:t>
      </w:r>
    </w:p>
    <w:p>
      <w:pPr>
        <w:pStyle w:val="Normal"/>
        <w:rPr/>
      </w:pPr>
      <w:r>
        <w:rPr/>
      </w:r>
    </w:p>
    <w:p>
      <w:pPr>
        <w:pStyle w:val="Normal"/>
        <w:rPr/>
      </w:pPr>
      <w:r>
        <w:rPr>
          <w:u w:val="single"/>
        </w:rPr>
        <w:t>Guidelines</w:t>
      </w:r>
      <w:r>
        <w:rPr/>
        <w:t>: If the skill deficiencies pose risks to the organization, these risks should be referred to the organization’s risk management process for analysis and resolution, particularly if the organization does not intend to address the existing gaps.</w:t>
      </w:r>
    </w:p>
    <w:p>
      <w:pPr>
        <w:pStyle w:val="Normal"/>
        <w:rPr/>
      </w:pPr>
      <w:r>
        <w:rPr/>
      </w:r>
    </w:p>
    <w:p>
      <w:pPr>
        <w:pStyle w:val="Heading3"/>
        <w:rPr/>
      </w:pPr>
      <w:bookmarkStart w:id="950" w:name="_Toc34920878"/>
      <w:r>
        <w:rPr/>
        <w:t>HRS-13(b): Identify Critical Skills &amp; Gaps | Identify Vital Cybersecurity &amp; Privacy Staff</w:t>
      </w:r>
      <w:bookmarkEnd w:id="950"/>
      <w:r>
        <w:rPr/>
        <w:t xml:space="preserve"> </w:t>
      </w:r>
    </w:p>
    <w:p>
      <w:pPr>
        <w:pStyle w:val="Normal"/>
        <w:rPr/>
      </w:pPr>
      <w:r>
        <w:rPr>
          <w:u w:val="single"/>
        </w:rPr>
        <w:t>Control Objective</w:t>
      </w:r>
      <w:r>
        <w:rPr/>
        <w:t>: The organization identifies vital cybersecurity &amp; privacy staff.</w:t>
      </w:r>
    </w:p>
    <w:p>
      <w:pPr>
        <w:pStyle w:val="Normal"/>
        <w:rPr/>
      </w:pPr>
      <w:r>
        <w:rPr/>
      </w:r>
    </w:p>
    <w:p>
      <w:pPr>
        <w:pStyle w:val="Normal"/>
        <w:rPr/>
      </w:pPr>
      <w:r>
        <w:rPr>
          <w:u w:val="single"/>
        </w:rPr>
        <w:t>Standard</w:t>
      </w:r>
      <w:r>
        <w:rPr/>
        <w:t>: Human Resources (HR) is required to:</w:t>
      </w:r>
    </w:p>
    <w:p>
      <w:pPr>
        <w:pStyle w:val="ListParagraph"/>
        <w:numPr>
          <w:ilvl w:val="0"/>
          <w:numId w:val="672"/>
        </w:numPr>
        <w:rPr/>
      </w:pPr>
      <w:r>
        <w:rPr/>
        <w:t>Identify vital cybersecurity &amp; privacy staff;</w:t>
      </w:r>
    </w:p>
    <w:p>
      <w:pPr>
        <w:pStyle w:val="ListParagraph"/>
        <w:numPr>
          <w:ilvl w:val="0"/>
          <w:numId w:val="672"/>
        </w:numPr>
        <w:rPr/>
      </w:pPr>
      <w:r>
        <w:rPr/>
        <w:t>Document the role, function, responsibility and reasons that supports their designation as vital;</w:t>
      </w:r>
    </w:p>
    <w:p>
      <w:pPr>
        <w:pStyle w:val="ListParagraph"/>
        <w:numPr>
          <w:ilvl w:val="0"/>
          <w:numId w:val="672"/>
        </w:numPr>
        <w:rPr/>
      </w:pPr>
      <w:r>
        <w:rPr/>
        <w:t xml:space="preserve">Where possible, identify staff that can backfill vital roles. </w:t>
      </w:r>
    </w:p>
    <w:p>
      <w:pPr>
        <w:pStyle w:val="Normal"/>
        <w:rPr/>
      </w:pPr>
      <w:r>
        <w:rPr/>
      </w:r>
    </w:p>
    <w:p>
      <w:pPr>
        <w:pStyle w:val="Normal"/>
        <w:rPr/>
      </w:pPr>
      <w:r>
        <w:rPr>
          <w:u w:val="single"/>
        </w:rPr>
        <w:t>Guidelines</w:t>
      </w:r>
      <w:r>
        <w:rPr/>
        <w:t>: None</w:t>
      </w:r>
    </w:p>
    <w:p>
      <w:pPr>
        <w:pStyle w:val="Normal"/>
        <w:rPr/>
      </w:pPr>
      <w:r>
        <w:rPr/>
      </w:r>
    </w:p>
    <w:p>
      <w:pPr>
        <w:pStyle w:val="Heading3"/>
        <w:rPr/>
      </w:pPr>
      <w:bookmarkStart w:id="951" w:name="_Toc34920879"/>
      <w:r>
        <w:rPr/>
        <w:t>HRS-13(c): Identify Critical Skills &amp; Gaps | Establish Redundancy for Vital Cybersecurity &amp; Privacy Staff</w:t>
      </w:r>
      <w:bookmarkEnd w:id="951"/>
      <w:r>
        <w:rPr/>
        <w:t xml:space="preserve"> </w:t>
      </w:r>
    </w:p>
    <w:p>
      <w:pPr>
        <w:pStyle w:val="Normal"/>
        <w:rPr/>
      </w:pPr>
      <w:r>
        <w:rPr>
          <w:u w:val="single"/>
        </w:rPr>
        <w:t>Control Objective</w:t>
      </w:r>
      <w:r>
        <w:rPr/>
        <w:t>: The organization establishes redundancy for vital cybersecurity &amp; privacy staff.</w:t>
      </w:r>
    </w:p>
    <w:p>
      <w:pPr>
        <w:pStyle w:val="Normal"/>
        <w:rPr/>
      </w:pPr>
      <w:r>
        <w:rPr/>
      </w:r>
    </w:p>
    <w:p>
      <w:pPr>
        <w:pStyle w:val="Normal"/>
        <w:rPr/>
      </w:pPr>
      <w:r>
        <w:rPr>
          <w:u w:val="single"/>
        </w:rPr>
        <w:t>Standard</w:t>
      </w:r>
      <w:r>
        <w:rPr/>
        <w:t>: Human Resources (HR) is required to:</w:t>
      </w:r>
    </w:p>
    <w:p>
      <w:pPr>
        <w:pStyle w:val="ListParagraph"/>
        <w:numPr>
          <w:ilvl w:val="0"/>
          <w:numId w:val="673"/>
        </w:numPr>
        <w:rPr/>
      </w:pPr>
      <w:r>
        <w:rPr/>
        <w:t>Designate roles that require redundancy;</w:t>
      </w:r>
    </w:p>
    <w:p>
      <w:pPr>
        <w:pStyle w:val="ListParagraph"/>
        <w:numPr>
          <w:ilvl w:val="0"/>
          <w:numId w:val="673"/>
        </w:numPr>
        <w:rPr/>
      </w:pPr>
      <w:r>
        <w:rPr/>
        <w:t>Identify a primary and alternate staff member for vital cybersecurity &amp; privacy roles; and</w:t>
      </w:r>
    </w:p>
    <w:p>
      <w:pPr>
        <w:pStyle w:val="ListParagraph"/>
        <w:numPr>
          <w:ilvl w:val="0"/>
          <w:numId w:val="673"/>
        </w:numPr>
        <w:rPr/>
      </w:pPr>
      <w:r>
        <w:rPr/>
        <w:t xml:space="preserve">Propose a solution to address any redundancy shortfalls. </w:t>
      </w:r>
    </w:p>
    <w:p>
      <w:pPr>
        <w:pStyle w:val="Normal"/>
        <w:rPr/>
      </w:pPr>
      <w:r>
        <w:rPr/>
      </w:r>
    </w:p>
    <w:p>
      <w:pPr>
        <w:pStyle w:val="Normal"/>
        <w:rPr/>
      </w:pPr>
      <w:r>
        <w:rPr>
          <w:u w:val="single"/>
        </w:rPr>
        <w:t>Guidelines</w:t>
      </w:r>
      <w:r>
        <w:rPr/>
        <w:t>: A significant risk to NFCC is the loss of the skills and knowledge of its staff. This risk can be increased when staff have institutional knowledge that has not been captured by the organization, documented and communicated. To ensure availability of vital staff is to establish redundancy through identifying, training, authorizing and credentialing backup staff.</w:t>
      </w:r>
    </w:p>
    <w:p>
      <w:pPr>
        <w:pStyle w:val="Normal"/>
        <w:rPr/>
      </w:pPr>
      <w:r>
        <w:rPr/>
      </w:r>
    </w:p>
    <w:p>
      <w:pPr>
        <w:pStyle w:val="Heading3"/>
        <w:rPr/>
      </w:pPr>
      <w:bookmarkStart w:id="952" w:name="_Toc34920880"/>
      <w:r>
        <w:rPr/>
        <w:t>HRS-13(d): Identify Critical Skills &amp; Gaps | Perform Succession Planning</w:t>
      </w:r>
      <w:bookmarkEnd w:id="952"/>
      <w:r>
        <w:rPr/>
        <w:t xml:space="preserve"> </w:t>
      </w:r>
    </w:p>
    <w:p>
      <w:pPr>
        <w:pStyle w:val="Normal"/>
        <w:rPr/>
      </w:pPr>
      <w:r>
        <w:rPr>
          <w:u w:val="single"/>
        </w:rPr>
        <w:t>Control Objective</w:t>
      </w:r>
      <w:r>
        <w:rPr/>
        <w:t>: The organization performs succession planning for vital cybersecurity &amp; privacy roles.</w:t>
      </w:r>
    </w:p>
    <w:p>
      <w:pPr>
        <w:pStyle w:val="Normal"/>
        <w:rPr/>
      </w:pPr>
      <w:r>
        <w:rPr/>
      </w:r>
    </w:p>
    <w:p>
      <w:pPr>
        <w:pStyle w:val="Normal"/>
        <w:rPr/>
      </w:pPr>
      <w:r>
        <w:rPr>
          <w:u w:val="single"/>
        </w:rPr>
        <w:t>Standard</w:t>
      </w:r>
      <w:r>
        <w:rPr/>
        <w:t>: Human Resources (HR) is required to:</w:t>
      </w:r>
    </w:p>
    <w:p>
      <w:pPr>
        <w:pStyle w:val="ListParagraph"/>
        <w:numPr>
          <w:ilvl w:val="0"/>
          <w:numId w:val="674"/>
        </w:numPr>
        <w:rPr/>
      </w:pPr>
      <w:r>
        <w:rPr/>
        <w:t>Maintain documented roles and responsibilities for vital cybersecurity &amp; privacy staff positions;</w:t>
      </w:r>
    </w:p>
    <w:p>
      <w:pPr>
        <w:pStyle w:val="ListParagraph"/>
        <w:numPr>
          <w:ilvl w:val="0"/>
          <w:numId w:val="674"/>
        </w:numPr>
        <w:rPr/>
      </w:pPr>
      <w:r>
        <w:rPr/>
        <w:t>Work with senior leaders who responsible those vital cybersecurity &amp; privacy staff positions to develop succession plans;</w:t>
      </w:r>
    </w:p>
    <w:p>
      <w:pPr>
        <w:pStyle w:val="ListParagraph"/>
        <w:numPr>
          <w:ilvl w:val="0"/>
          <w:numId w:val="674"/>
        </w:numPr>
        <w:rPr/>
      </w:pPr>
      <w:r>
        <w:rPr/>
        <w:t xml:space="preserve">Work with identified staff members to provide training and/or guidance on steps needed to successfully move into the new role if succession plans must be implemented to help ensure a smooth transition. </w:t>
      </w:r>
    </w:p>
    <w:p>
      <w:pPr>
        <w:pStyle w:val="Normal"/>
        <w:rPr/>
      </w:pPr>
      <w:r>
        <w:rPr/>
      </w:r>
    </w:p>
    <w:p>
      <w:pPr>
        <w:pStyle w:val="Normal"/>
        <w:rPr/>
      </w:pPr>
      <w:r>
        <w:rPr>
          <w:u w:val="single"/>
        </w:rPr>
        <w:t>Guidelines</w:t>
      </w:r>
      <w:r>
        <w:rPr/>
        <w:t>: Succession planning is an extensive and systematic activity. It requires NFCC executive leadership to look into the organization to identify potential successors and then mentor, train and groom them to take roles in the future contingent upon vacancies that have not yet occurred. This requires an adept balance of human resources management, strategic planning and skill building to create an effective succession chain.</w:t>
      </w:r>
    </w:p>
    <w:p>
      <w:pPr>
        <w:pStyle w:val="Normal"/>
        <w:rPr/>
      </w:pPr>
      <w:r>
        <w:rPr/>
      </w:r>
    </w:p>
    <w:p>
      <w:pPr>
        <w:pStyle w:val="Normal"/>
        <w:rPr/>
      </w:pPr>
      <w:r>
        <w:rPr/>
      </w:r>
    </w:p>
    <w:p>
      <w:pPr>
        <w:pStyle w:val="Normal"/>
        <w:rPr/>
      </w:pPr>
      <w:r>
        <w:rPr/>
      </w:r>
      <w:r>
        <w:br w:type="page"/>
      </w:r>
    </w:p>
    <w:p>
      <w:pPr>
        <w:pStyle w:val="Heading1"/>
        <w:rPr/>
      </w:pPr>
      <w:bookmarkStart w:id="953" w:name="_Toc34920881"/>
      <w:bookmarkStart w:id="954" w:name="_Toc474074997"/>
      <w:bookmarkStart w:id="955" w:name="_Toc474075635"/>
      <w:r>
        <w:rPr/>
        <w:t>Identification &amp; Authentication (IAC)</w:t>
      </w:r>
      <w:bookmarkEnd w:id="954"/>
      <w:bookmarkEnd w:id="955"/>
      <w:r>
        <w:rPr/>
        <w:t xml:space="preserve"> Policy &amp; Standards</w:t>
      </w:r>
      <w:bookmarkEnd w:id="953"/>
    </w:p>
    <w:p>
      <w:pPr>
        <w:pStyle w:val="Normal"/>
        <w:rPr/>
      </w:pPr>
      <w:r>
        <w:rPr/>
      </w:r>
    </w:p>
    <w:p>
      <w:pPr>
        <w:pStyle w:val="Normal"/>
        <w:rPr/>
      </w:pPr>
      <w:r>
        <w:rPr>
          <w:u w:val="single"/>
        </w:rPr>
        <w:t>Management Intent</w:t>
      </w:r>
      <w:r>
        <w:rPr/>
        <w:t>: The purpose of the Identification &amp; Authentication (IAC) policy is to implement the concept of “least privilege” through limiting access to NFCC’s systems and data to authorized users only.</w:t>
      </w:r>
    </w:p>
    <w:p>
      <w:pPr>
        <w:pStyle w:val="Normal"/>
        <w:rPr/>
      </w:pPr>
      <w:r>
        <w:rPr/>
      </w:r>
    </w:p>
    <w:p>
      <w:pPr>
        <w:pStyle w:val="Normal"/>
        <w:shd w:val="clear" w:color="auto" w:fill="DDD9C3" w:themeFill="background2" w:themeFillShade="e6"/>
        <w:rPr/>
      </w:pPr>
      <w:r>
        <w:rPr>
          <w:u w:val="single"/>
        </w:rPr>
        <w:t>Policy</w:t>
      </w:r>
      <w:r>
        <w:rPr/>
        <w:t xml:space="preserve">: NFCC shall implement the principle of “least privilege” within logical access control mechanisms so that only authorized users can gain access to NFCC’s systems and data. </w:t>
      </w:r>
    </w:p>
    <w:p>
      <w:pPr>
        <w:pStyle w:val="Normal"/>
        <w:rPr>
          <w:u w:val="single"/>
        </w:rPr>
      </w:pPr>
      <w:r>
        <w:rPr>
          <w:u w:val="single"/>
        </w:rPr>
      </w:r>
    </w:p>
    <w:p>
      <w:pPr>
        <w:pStyle w:val="Normal"/>
        <w:rPr/>
      </w:pPr>
      <w:r>
        <w:rPr>
          <w:u w:val="single"/>
        </w:rPr>
        <w:t>Supporting Documentation</w:t>
      </w:r>
      <w:r>
        <w:rPr/>
        <w:t xml:space="preserve">: This policy is supported by the following control objectives, standards and guidelines. </w:t>
      </w:r>
    </w:p>
    <w:p>
      <w:pPr>
        <w:pStyle w:val="Normal"/>
        <w:rPr/>
      </w:pPr>
      <w:r>
        <w:rPr/>
      </w:r>
    </w:p>
    <w:p>
      <w:pPr>
        <w:pStyle w:val="Normal"/>
        <w:rPr/>
      </w:pPr>
      <w:r>
        <w:rPr/>
      </w:r>
    </w:p>
    <w:p>
      <w:pPr>
        <w:pStyle w:val="Heading2"/>
        <w:rPr/>
      </w:pPr>
      <w:bookmarkStart w:id="956" w:name="_Toc474074998"/>
      <w:bookmarkStart w:id="957" w:name="_Toc474075636"/>
      <w:bookmarkStart w:id="958" w:name="_Toc34920882"/>
      <w:r>
        <w:rPr/>
        <w:t>IAC-01: Identity &amp; Access Management (IAM)</w:t>
      </w:r>
      <w:bookmarkEnd w:id="956"/>
      <w:bookmarkEnd w:id="957"/>
      <w:bookmarkEnd w:id="958"/>
      <w:r>
        <w:rPr/>
        <w:t xml:space="preserve"> </w:t>
      </w:r>
    </w:p>
    <w:p>
      <w:pPr>
        <w:pStyle w:val="Normal"/>
        <w:rPr/>
      </w:pPr>
      <w:r>
        <w:rPr>
          <w:u w:val="single"/>
        </w:rPr>
        <w:t>Control Objective</w:t>
      </w:r>
      <w:r>
        <w:rPr/>
        <w:t>: The organization develops, implements and governs processes and documentation to facilitate the implementation of an enterprise-wide identification and access control policy, as well as associated standards, controls and procedures.</w:t>
      </w:r>
      <w:r>
        <w:rPr>
          <w:rStyle w:val="FootnoteCharacters"/>
          <w:rFonts w:cs="Calibri"/>
        </w:rPr>
        <w:t xml:space="preserve"> </w:t>
      </w:r>
      <w:r>
        <w:rPr>
          <w:rStyle w:val="FootnoteAnchor"/>
          <w:rStyle w:val="FootnoteAnchor"/>
          <w:rFonts w:cs="Calibri"/>
        </w:rPr>
        <w:footnoteReference w:id="288"/>
      </w:r>
      <w:r>
        <w:rPr/>
        <w:t xml:space="preserve"> </w:t>
      </w:r>
    </w:p>
    <w:p>
      <w:pPr>
        <w:pStyle w:val="Normal"/>
        <w:rPr/>
      </w:pPr>
      <w:r>
        <w:rPr/>
      </w:r>
    </w:p>
    <w:p>
      <w:pPr>
        <w:pStyle w:val="Normal"/>
        <w:rPr>
          <w:rFonts w:cs="Arial"/>
          <w:sz w:val="18"/>
          <w:szCs w:val="18"/>
        </w:rPr>
      </w:pPr>
      <w:r>
        <w:rPr>
          <w:u w:val="single"/>
        </w:rPr>
        <w:t>Standard</w:t>
      </w:r>
      <w:r>
        <w:rPr/>
        <w:t>: NFCC is required to implement and document organization-wide access control controls that, at a minimum, include</w:t>
      </w:r>
      <w:r>
        <w:rPr>
          <w:rFonts w:cs="Arial"/>
          <w:sz w:val="18"/>
          <w:szCs w:val="18"/>
        </w:rPr>
        <w:t>:</w:t>
      </w:r>
      <w:r>
        <w:rPr>
          <w:rStyle w:val="FootnoteCharacters"/>
          <w:rFonts w:cs="Calibri"/>
        </w:rPr>
        <w:t xml:space="preserve"> </w:t>
      </w:r>
    </w:p>
    <w:p>
      <w:pPr>
        <w:pStyle w:val="ListParagraph"/>
        <w:numPr>
          <w:ilvl w:val="0"/>
          <w:numId w:val="344"/>
        </w:numPr>
        <w:rPr/>
      </w:pPr>
      <w:r>
        <w:rPr/>
        <w:t>Processes to facilitate the implementation of the access control procedures and associated controls;</w:t>
      </w:r>
    </w:p>
    <w:p>
      <w:pPr>
        <w:pStyle w:val="ListParagraph"/>
        <w:numPr>
          <w:ilvl w:val="0"/>
          <w:numId w:val="344"/>
        </w:numPr>
        <w:rPr/>
      </w:pPr>
      <w:r>
        <w:rPr/>
        <w:t>Adherence to industry acceptable and / or regulatory compliant Authentication, Authorization and Accounting (AAA) rules (e.g., strong / multifactor, expirable, non-shared authentication secrets);</w:t>
      </w:r>
    </w:p>
    <w:p>
      <w:pPr>
        <w:pStyle w:val="ListParagraph"/>
        <w:numPr>
          <w:ilvl w:val="0"/>
          <w:numId w:val="344"/>
        </w:numPr>
        <w:rPr/>
      </w:pPr>
      <w:r>
        <w:rPr/>
        <w:t>Account credential lifecycle management from instantiation through revocation; and</w:t>
      </w:r>
    </w:p>
    <w:p>
      <w:pPr>
        <w:pStyle w:val="ListParagraph"/>
        <w:numPr>
          <w:ilvl w:val="0"/>
          <w:numId w:val="344"/>
        </w:numPr>
        <w:rPr/>
      </w:pPr>
      <w:r>
        <w:rPr/>
        <w:t>Where technically feasible, utilize secure identity trust verification through service-to-service application (e.g., APIs) and information processing interoperability (e.g., SSO and Federation).</w:t>
      </w:r>
    </w:p>
    <w:p>
      <w:pPr>
        <w:pStyle w:val="Normal"/>
        <w:rPr/>
      </w:pPr>
      <w:r>
        <w:rPr/>
      </w:r>
    </w:p>
    <w:p>
      <w:pPr>
        <w:pStyle w:val="Normal"/>
        <w:rPr/>
      </w:pPr>
      <w:r>
        <w:rPr>
          <w:u w:val="single"/>
        </w:rPr>
        <w:t>Guidelines</w:t>
      </w:r>
      <w:r>
        <w:rPr/>
        <w:t>: This standard addresses the establishment of policy and procedures for the effective implementation of selected security controls and control enhancements in the IA family. Policy and procedures reflect applicable laws, regulations, policies, standards and guidance. Security program policies and procedures at the organization level may make the need for system-specific policies and procedures unnecessary. The policy can be included as part of the general cybersecurity policy for organizations. The procedures can be established for the security program in general and for particular systems, if needed. The organizational risk management strategy is a key factor in establishing policy and procedures.</w:t>
      </w:r>
    </w:p>
    <w:p>
      <w:pPr>
        <w:pStyle w:val="Normal"/>
        <w:rPr/>
      </w:pPr>
      <w:r>
        <w:rPr/>
      </w:r>
    </w:p>
    <w:p>
      <w:pPr>
        <w:pStyle w:val="Normal"/>
        <w:rPr/>
      </w:pPr>
      <w:r>
        <w:rPr/>
      </w:r>
    </w:p>
    <w:p>
      <w:pPr>
        <w:pStyle w:val="Heading2"/>
        <w:rPr/>
      </w:pPr>
      <w:bookmarkStart w:id="959" w:name="_Toc474074999"/>
      <w:bookmarkStart w:id="960" w:name="_Toc474075637"/>
      <w:bookmarkStart w:id="961" w:name="_Toc34920883"/>
      <w:r>
        <w:rPr/>
        <w:t>IAC-02: Identification &amp; Authentication for Organizational Users</w:t>
      </w:r>
      <w:bookmarkEnd w:id="959"/>
      <w:bookmarkEnd w:id="960"/>
      <w:bookmarkEnd w:id="961"/>
      <w:r>
        <w:rPr/>
        <w:t xml:space="preserve"> </w:t>
      </w:r>
    </w:p>
    <w:p>
      <w:pPr>
        <w:pStyle w:val="Normal"/>
        <w:rPr/>
      </w:pPr>
      <w:r>
        <w:rPr>
          <w:u w:val="single"/>
        </w:rPr>
        <w:t>Control Objective</w:t>
      </w:r>
      <w:r>
        <w:rPr/>
        <w:t>: Systems uniquely identify and authenticate organizational users or processes to:</w:t>
      </w:r>
      <w:r>
        <w:rPr>
          <w:rStyle w:val="FootnoteAnchor"/>
          <w:rStyle w:val="FootnoteAnchor"/>
          <w:rFonts w:cs="Calibri"/>
        </w:rPr>
        <w:footnoteReference w:id="289"/>
      </w:r>
      <w:r>
        <w:rPr/>
        <w:t xml:space="preserve"> </w:t>
      </w:r>
    </w:p>
    <w:p>
      <w:pPr>
        <w:pStyle w:val="ListParagraph"/>
        <w:numPr>
          <w:ilvl w:val="0"/>
          <w:numId w:val="96"/>
        </w:numPr>
        <w:rPr/>
      </w:pPr>
      <w:r>
        <w:rPr/>
        <w:t>Allow the use of group authenticators only when used in conjunction with an individual / unique authenticator; and</w:t>
      </w:r>
    </w:p>
    <w:p>
      <w:pPr>
        <w:pStyle w:val="ListParagraph"/>
        <w:numPr>
          <w:ilvl w:val="0"/>
          <w:numId w:val="96"/>
        </w:numPr>
        <w:rPr/>
      </w:pPr>
      <w:r>
        <w:rPr/>
        <w:t>Require individuals to be authenticated with an individual authenticator prior to using a group authenticator.</w:t>
      </w:r>
    </w:p>
    <w:p>
      <w:pPr>
        <w:pStyle w:val="Normal"/>
        <w:rPr/>
      </w:pPr>
      <w:r>
        <w:rPr/>
      </w:r>
    </w:p>
    <w:p>
      <w:pPr>
        <w:pStyle w:val="Normal"/>
        <w:rPr/>
      </w:pPr>
      <w:r>
        <w:rPr>
          <w:u w:val="single"/>
        </w:rPr>
        <w:t>Standard</w:t>
      </w:r>
      <w:r>
        <w:rPr/>
        <w:t>: NFCC is required to assign all users a unique identification (ID) before allowing them to access systems. In addition to assigning a unique ID, employ at least one (1) of the following methods to authenticate all users:</w:t>
      </w:r>
    </w:p>
    <w:p>
      <w:pPr>
        <w:pStyle w:val="ListParagraph"/>
        <w:numPr>
          <w:ilvl w:val="0"/>
          <w:numId w:val="345"/>
        </w:numPr>
        <w:rPr/>
      </w:pPr>
      <w:r>
        <w:rPr/>
        <w:t>Something you know, such as a password or passphrase;</w:t>
      </w:r>
    </w:p>
    <w:p>
      <w:pPr>
        <w:pStyle w:val="ListParagraph"/>
        <w:numPr>
          <w:ilvl w:val="0"/>
          <w:numId w:val="345"/>
        </w:numPr>
        <w:rPr/>
      </w:pPr>
      <w:r>
        <w:rPr/>
        <w:t>Something you have, such as a token device or smart card; or</w:t>
      </w:r>
    </w:p>
    <w:p>
      <w:pPr>
        <w:pStyle w:val="ListParagraph"/>
        <w:numPr>
          <w:ilvl w:val="0"/>
          <w:numId w:val="345"/>
        </w:numPr>
        <w:rPr/>
      </w:pPr>
      <w:r>
        <w:rPr/>
        <w:t>Something you are, such as a biometric.</w:t>
      </w:r>
    </w:p>
    <w:p>
      <w:pPr>
        <w:pStyle w:val="Normal"/>
        <w:rPr/>
      </w:pPr>
      <w:r>
        <w:rPr/>
      </w:r>
    </w:p>
    <w:p>
      <w:pPr>
        <w:pStyle w:val="Normal"/>
        <w:rPr>
          <w:u w:val="single"/>
        </w:rPr>
      </w:pPr>
      <w:r>
        <w:rPr>
          <w:u w:val="single"/>
        </w:rPr>
        <w:t>Guidelines</w:t>
      </w:r>
      <w:r>
        <w:rPr/>
        <w:t xml:space="preserve">: Organizational users include employees or individuals that NFCC deems to have the equivalent status of employees (e.g., contractors, interns) for access purposes. </w:t>
      </w:r>
    </w:p>
    <w:p>
      <w:pPr>
        <w:pStyle w:val="Normal"/>
        <w:rPr/>
      </w:pPr>
      <w:r>
        <w:rPr/>
      </w:r>
    </w:p>
    <w:p>
      <w:pPr>
        <w:pStyle w:val="Heading3"/>
        <w:rPr/>
      </w:pPr>
      <w:bookmarkStart w:id="962" w:name="_Toc474075003"/>
      <w:bookmarkStart w:id="963" w:name="_Toc34920884"/>
      <w:r>
        <w:rPr/>
        <w:t>IAC-02(a): Identification &amp; Authentication for Organizational Users | Group Authentication</w:t>
      </w:r>
      <w:bookmarkEnd w:id="962"/>
      <w:bookmarkEnd w:id="963"/>
      <w:r>
        <w:rPr/>
        <w:t xml:space="preserve"> </w:t>
      </w:r>
    </w:p>
    <w:p>
      <w:pPr>
        <w:pStyle w:val="Normal"/>
        <w:rPr/>
      </w:pPr>
      <w:r>
        <w:rPr>
          <w:u w:val="single"/>
        </w:rPr>
        <w:t>Control Objective</w:t>
      </w:r>
      <w:r>
        <w:rPr/>
        <w:t>: The organization requires individuals to be authenticated with an individual authenticator when a group authenticator is employed.</w:t>
      </w:r>
      <w:r>
        <w:rPr>
          <w:rStyle w:val="FootnoteAnchor"/>
          <w:rStyle w:val="FootnoteAnchor"/>
          <w:rFonts w:cs="Calibri"/>
          <w:bCs w:val="false"/>
        </w:rPr>
        <w:footnoteReference w:id="290"/>
      </w:r>
    </w:p>
    <w:p>
      <w:pPr>
        <w:pStyle w:val="Normal"/>
        <w:rPr/>
      </w:pPr>
      <w:r>
        <w:rPr/>
      </w:r>
    </w:p>
    <w:p>
      <w:pPr>
        <w:pStyle w:val="Normal"/>
        <w:rPr/>
      </w:pPr>
      <w:r>
        <w:rPr>
          <w:u w:val="single"/>
        </w:rPr>
        <w:t>Standard</w:t>
      </w:r>
      <w:r>
        <w:rPr/>
        <w:t>: Where technically feasible, individuals must be authenticated with an individual authenticator when a group authenticator is employed.</w:t>
      </w:r>
    </w:p>
    <w:p>
      <w:pPr>
        <w:pStyle w:val="Normal"/>
        <w:rPr/>
      </w:pPr>
      <w:r>
        <w:rPr/>
      </w:r>
    </w:p>
    <w:p>
      <w:pPr>
        <w:pStyle w:val="Normal"/>
        <w:rPr/>
      </w:pPr>
      <w:r>
        <w:rPr>
          <w:u w:val="single"/>
        </w:rPr>
        <w:t>Guidelines</w:t>
      </w:r>
      <w:r>
        <w:rPr/>
        <w:t>: Requiring individuals to use individual authenticators as a second level of authentication helps organizations to mitigate the risk of using group authenticators.</w:t>
      </w:r>
    </w:p>
    <w:p>
      <w:pPr>
        <w:pStyle w:val="Normal"/>
        <w:rPr/>
      </w:pPr>
      <w:r>
        <w:rPr/>
      </w:r>
    </w:p>
    <w:p>
      <w:pPr>
        <w:pStyle w:val="Heading3"/>
        <w:rPr/>
      </w:pPr>
      <w:bookmarkStart w:id="964" w:name="_Toc474075004"/>
      <w:bookmarkStart w:id="965" w:name="_Toc34920885"/>
      <w:r>
        <w:rPr/>
        <w:t>IAC-02(b): Identification &amp; Authentication for Organizational Users | Network Access to Privileged Accounts - Replay Resistant</w:t>
      </w:r>
      <w:bookmarkEnd w:id="964"/>
      <w:bookmarkEnd w:id="965"/>
      <w:r>
        <w:rPr/>
        <w:t xml:space="preserve"> </w:t>
      </w:r>
    </w:p>
    <w:p>
      <w:pPr>
        <w:pStyle w:val="Normal"/>
        <w:rPr/>
      </w:pPr>
      <w:r>
        <w:rPr>
          <w:u w:val="single"/>
        </w:rPr>
        <w:t>Control Objective</w:t>
      </w:r>
      <w:r>
        <w:rPr/>
        <w:t>: Systems implement replay-resistant authentication mechanisms for network access.</w:t>
      </w:r>
      <w:r>
        <w:rPr>
          <w:rStyle w:val="FootnoteAnchor"/>
          <w:rStyle w:val="FootnoteAnchor"/>
          <w:rFonts w:cs="Calibri"/>
          <w:bCs w:val="false"/>
        </w:rPr>
        <w:footnoteReference w:id="291"/>
      </w:r>
    </w:p>
    <w:p>
      <w:pPr>
        <w:pStyle w:val="Normal"/>
        <w:rPr/>
      </w:pPr>
      <w:r>
        <w:rPr/>
      </w:r>
    </w:p>
    <w:p>
      <w:pPr>
        <w:pStyle w:val="Normal"/>
        <w:rPr/>
      </w:pPr>
      <w:r>
        <w:rPr>
          <w:u w:val="single"/>
        </w:rPr>
        <w:t>Standard</w:t>
      </w:r>
      <w:r>
        <w:rPr/>
        <w:t>: Where technically feasible and a business justification exists, systems must implement replay-resistant authentication mechanisms for network access.</w:t>
      </w:r>
    </w:p>
    <w:p>
      <w:pPr>
        <w:pStyle w:val="Normal"/>
        <w:rPr/>
      </w:pPr>
      <w:r>
        <w:rPr/>
      </w:r>
    </w:p>
    <w:p>
      <w:pPr>
        <w:pStyle w:val="Normal"/>
        <w:rPr/>
      </w:pPr>
      <w:r>
        <w:rPr>
          <w:u w:val="single"/>
        </w:rPr>
        <w:t>Guidelines</w:t>
      </w:r>
      <w:r>
        <w:rPr/>
        <w:t>: Authentication processes resist replay attacks if it is impractical to achieve successful authentications by replaying previous authentication messages. Replay-resistant techniques include, for example, protocols that use nonces or challenges such as Transport Layer Security (TLS) and time synchronous or challenge-response one-time authenticators.</w:t>
      </w:r>
    </w:p>
    <w:p>
      <w:pPr>
        <w:pStyle w:val="Normal"/>
        <w:rPr/>
      </w:pPr>
      <w:r>
        <w:rPr/>
      </w:r>
    </w:p>
    <w:p>
      <w:pPr>
        <w:pStyle w:val="Heading3"/>
        <w:rPr/>
      </w:pPr>
      <w:bookmarkStart w:id="966" w:name="_Toc474075006"/>
      <w:bookmarkStart w:id="967" w:name="_Toc34920886"/>
      <w:r>
        <w:rPr/>
        <w:t>IAC-02(c): Identification &amp; Authentication for Organizational Users | Acceptance of PIV Credentials</w:t>
      </w:r>
      <w:bookmarkEnd w:id="966"/>
      <w:bookmarkEnd w:id="967"/>
      <w:r>
        <w:rPr/>
        <w:t xml:space="preserve"> </w:t>
      </w:r>
    </w:p>
    <w:p>
      <w:pPr>
        <w:pStyle w:val="Normal"/>
        <w:rPr/>
      </w:pPr>
      <w:r>
        <w:rPr>
          <w:u w:val="single"/>
        </w:rPr>
        <w:t>Control Objective</w:t>
      </w:r>
      <w:r>
        <w:rPr/>
        <w:t>: System accept and electronically verify Personal Identity Verification (PIV) credentials.</w:t>
      </w:r>
      <w:r>
        <w:rPr>
          <w:rStyle w:val="FootnoteAnchor"/>
          <w:rStyle w:val="FootnoteAnchor"/>
          <w:rFonts w:cs="Calibri"/>
          <w:bCs w:val="false"/>
        </w:rPr>
        <w:footnoteReference w:id="292"/>
      </w:r>
    </w:p>
    <w:p>
      <w:pPr>
        <w:pStyle w:val="Normal"/>
        <w:rPr/>
      </w:pPr>
      <w:r>
        <w:rPr/>
      </w:r>
    </w:p>
    <w:p>
      <w:pPr>
        <w:pStyle w:val="Normal"/>
        <w:rPr/>
      </w:pPr>
      <w:r>
        <w:rPr>
          <w:u w:val="single"/>
        </w:rPr>
        <w:t>Standard</w:t>
      </w:r>
      <w:r>
        <w:rPr/>
        <w:t>: Where technically feasible and justified by a valid business case, NFCC shall configure systems to accept and electronically verify Personal Identity Verification (PIV) credentials.</w:t>
      </w:r>
    </w:p>
    <w:p>
      <w:pPr>
        <w:pStyle w:val="Normal"/>
        <w:rPr/>
      </w:pPr>
      <w:r>
        <w:rPr/>
      </w:r>
    </w:p>
    <w:p>
      <w:pPr>
        <w:pStyle w:val="Normal"/>
        <w:rPr/>
      </w:pPr>
      <w:r>
        <w:rPr>
          <w:u w:val="single"/>
        </w:rPr>
        <w:t>Guidelines</w:t>
      </w:r>
      <w:r>
        <w:rPr/>
        <w:t>: This standard applies to implementing Logical Access Control Systems (LACS) and Physical Access Control Systems (PACS). Personal Identity Verification (PIV) credentials are those credentials issued by federal agencies that conform to FIPS Publication 201 and supporting guidance documents. OMB Memorandum 11-11 requires federal agencies to continue implementing the requirements specified in HSPD-12 to enable the agency-wide use of PIV credentials.</w:t>
      </w:r>
    </w:p>
    <w:p>
      <w:pPr>
        <w:pStyle w:val="Normal"/>
        <w:rPr>
          <w:rFonts w:eastAsia="Calibri"/>
        </w:rPr>
      </w:pPr>
      <w:r>
        <w:rPr>
          <w:rFonts w:eastAsia="Calibri"/>
        </w:rPr>
      </w:r>
    </w:p>
    <w:p>
      <w:pPr>
        <w:pStyle w:val="Heading3"/>
        <w:rPr/>
      </w:pPr>
      <w:bookmarkStart w:id="968" w:name="_Toc34920887"/>
      <w:r>
        <w:rPr/>
        <w:t>IAC-02(d): Identification &amp; Authentication for Organizational Users | Out-of-Band Authentication (OOBA)</w:t>
      </w:r>
      <w:bookmarkEnd w:id="968"/>
      <w:r>
        <w:rPr/>
        <w:t xml:space="preserve"> </w:t>
      </w:r>
    </w:p>
    <w:p>
      <w:pPr>
        <w:pStyle w:val="Normal"/>
        <w:rPr>
          <w:rFonts w:cs="Calibri"/>
          <w:bCs w:val="false"/>
        </w:rPr>
      </w:pPr>
      <w:r>
        <w:rPr>
          <w:rFonts w:cs="Calibri"/>
          <w:u w:val="single"/>
        </w:rPr>
        <w:t>Control Objective</w:t>
      </w:r>
      <w:r>
        <w:rPr>
          <w:rFonts w:cs="Calibri"/>
        </w:rPr>
        <w:t>:</w:t>
      </w:r>
      <w:r>
        <w:rPr>
          <w:rFonts w:cs="Calibri"/>
          <w:bCs w:val="false"/>
        </w:rPr>
        <w:t xml:space="preserve"> The information system implements organization-defined out-of-band authentication under specific conditions.</w:t>
      </w:r>
      <w:r>
        <w:rPr>
          <w:rStyle w:val="FootnoteCharacters"/>
          <w:rFonts w:cs="Calibri"/>
          <w:bCs w:val="false"/>
        </w:rPr>
        <w:t xml:space="preserve"> </w:t>
      </w:r>
      <w:r>
        <w:rPr>
          <w:rStyle w:val="FootnoteAnchor"/>
          <w:rStyle w:val="FootnoteAnchor"/>
          <w:rFonts w:cs="Calibri"/>
          <w:bCs w:val="false"/>
        </w:rPr>
        <w:footnoteReference w:id="293"/>
      </w:r>
    </w:p>
    <w:p>
      <w:pPr>
        <w:pStyle w:val="Normal"/>
        <w:rPr>
          <w:rFonts w:cs="Calibri"/>
        </w:rPr>
      </w:pPr>
      <w:r>
        <w:rPr>
          <w:rFonts w:cs="Calibri"/>
        </w:rPr>
      </w:r>
    </w:p>
    <w:p>
      <w:pPr>
        <w:pStyle w:val="Normal"/>
        <w:rPr>
          <w:rFonts w:cs="Calibri"/>
          <w:bCs w:val="false"/>
        </w:rPr>
      </w:pPr>
      <w:r>
        <w:rPr>
          <w:rFonts w:cs="Calibri"/>
          <w:bCs w:val="false"/>
          <w:u w:val="single"/>
        </w:rPr>
        <w:t>Standard</w:t>
      </w:r>
      <w:r>
        <w:rPr>
          <w:rFonts w:cs="Calibri"/>
          <w:bCs w:val="false"/>
        </w:rPr>
        <w:t>: Where technically feasible and justified by a valid business case, NFCC shall implement an Out-of-Band Authentication (OOBA) mechanism that follows industry-recognized secure practices to mitigate Man In The Middle (MTIM) or social engineering attack:</w:t>
      </w:r>
    </w:p>
    <w:p>
      <w:pPr>
        <w:pStyle w:val="ListParagraph"/>
        <w:numPr>
          <w:ilvl w:val="0"/>
          <w:numId w:val="632"/>
        </w:numPr>
        <w:rPr>
          <w:rFonts w:cs="Calibri"/>
        </w:rPr>
      </w:pPr>
      <w:r>
        <w:rPr>
          <w:rFonts w:cs="Calibri"/>
        </w:rPr>
        <w:t xml:space="preserve">Identify and authenticate users or devices that will be the path through which information flows; </w:t>
      </w:r>
    </w:p>
    <w:p>
      <w:pPr>
        <w:pStyle w:val="ListParagraph"/>
        <w:numPr>
          <w:ilvl w:val="0"/>
          <w:numId w:val="632"/>
        </w:numPr>
        <w:rPr>
          <w:rFonts w:cs="Calibri"/>
        </w:rPr>
      </w:pPr>
      <w:r>
        <w:rPr>
          <w:rFonts w:cs="Calibri"/>
        </w:rPr>
        <w:t>Independently (out-of-band) verify the authentication and/or requested action through an automated mechanism:</w:t>
      </w:r>
    </w:p>
    <w:p>
      <w:pPr>
        <w:pStyle w:val="ListParagraph"/>
        <w:numPr>
          <w:ilvl w:val="1"/>
          <w:numId w:val="632"/>
        </w:numPr>
        <w:rPr>
          <w:rFonts w:cs="Calibri"/>
        </w:rPr>
      </w:pPr>
      <w:r>
        <w:rPr>
          <w:rFonts w:cs="Calibri"/>
        </w:rPr>
        <w:t xml:space="preserve">Contacts the user via the user’s cell phone to verify that the requested action originated telephone; </w:t>
      </w:r>
    </w:p>
    <w:p>
      <w:pPr>
        <w:pStyle w:val="ListParagraph"/>
        <w:numPr>
          <w:ilvl w:val="1"/>
          <w:numId w:val="632"/>
        </w:numPr>
        <w:rPr>
          <w:rFonts w:cs="Calibri"/>
        </w:rPr>
      </w:pPr>
      <w:r>
        <w:rPr>
          <w:rFonts w:cs="Calibri"/>
        </w:rPr>
        <w:t>Provide an authentication code via the telephone; or</w:t>
      </w:r>
    </w:p>
    <w:p>
      <w:pPr>
        <w:pStyle w:val="ListParagraph"/>
        <w:numPr>
          <w:ilvl w:val="1"/>
          <w:numId w:val="632"/>
        </w:numPr>
        <w:rPr>
          <w:rFonts w:cs="Calibri"/>
        </w:rPr>
      </w:pPr>
      <w:r>
        <w:rPr>
          <w:rFonts w:cs="Calibri"/>
        </w:rPr>
        <w:t>Utilize a third-party One-Time-Password (OTP) service (e.g., Google Authenticator)</w:t>
      </w:r>
    </w:p>
    <w:p>
      <w:pPr>
        <w:pStyle w:val="Normal"/>
        <w:rPr>
          <w:rFonts w:cs="Calibri"/>
        </w:rPr>
      </w:pPr>
      <w:r>
        <w:rPr>
          <w:rFonts w:cs="Calibri"/>
        </w:rPr>
      </w:r>
    </w:p>
    <w:p>
      <w:pPr>
        <w:pStyle w:val="Normal"/>
        <w:rPr>
          <w:rFonts w:cs="Calibri"/>
          <w:bCs w:val="false"/>
        </w:rPr>
      </w:pPr>
      <w:r>
        <w:rPr>
          <w:rFonts w:cs="Calibri"/>
          <w:u w:val="single"/>
        </w:rPr>
        <w:t>Guidelines</w:t>
      </w:r>
      <w:r>
        <w:rPr>
          <w:rFonts w:cs="Calibri"/>
        </w:rPr>
        <w:t xml:space="preserve">: </w:t>
      </w:r>
      <w:r>
        <w:rPr>
          <w:rFonts w:cs="Calibri"/>
          <w:bCs w:val="false"/>
        </w:rPr>
        <w:t xml:space="preserve">Out-of-band authentication (OOBA) refers to the use of two separate communication paths to identify and authenticate users or devices to an information system. The conditions for activation can include, for example, suspicious activities, new threat indicators or elevated threat levels or the impact level or classification level of information in requested transactions. </w:t>
      </w:r>
      <w:bookmarkStart w:id="969" w:name="_Hlk27579586"/>
      <w:bookmarkEnd w:id="969"/>
    </w:p>
    <w:p>
      <w:pPr>
        <w:pStyle w:val="Normal"/>
        <w:rPr/>
      </w:pPr>
      <w:r>
        <w:rPr/>
      </w:r>
    </w:p>
    <w:p>
      <w:pPr>
        <w:pStyle w:val="Normal"/>
        <w:rPr/>
      </w:pPr>
      <w:r>
        <w:rPr/>
      </w:r>
    </w:p>
    <w:p>
      <w:pPr>
        <w:pStyle w:val="Heading2"/>
        <w:rPr/>
      </w:pPr>
      <w:bookmarkStart w:id="970" w:name="_Toc474075007"/>
      <w:bookmarkStart w:id="971" w:name="_Toc474075638"/>
      <w:bookmarkStart w:id="972" w:name="_Toc34920888"/>
      <w:r>
        <w:rPr/>
        <w:t>IAC-03: Identification &amp; Authentication for Non-Organizational Users</w:t>
      </w:r>
      <w:bookmarkEnd w:id="970"/>
      <w:bookmarkEnd w:id="971"/>
      <w:bookmarkEnd w:id="972"/>
      <w:r>
        <w:rPr/>
        <w:t xml:space="preserve"> </w:t>
      </w:r>
    </w:p>
    <w:p>
      <w:pPr>
        <w:pStyle w:val="Normal"/>
        <w:rPr/>
      </w:pPr>
      <w:r>
        <w:rPr>
          <w:u w:val="single"/>
        </w:rPr>
        <w:t>Control Objective</w:t>
      </w:r>
      <w:r>
        <w:rPr/>
        <w:t>: Systems uniquely identify and authenticate non-organizational users (or processes acting on behalf of non-organizational users).</w:t>
      </w:r>
      <w:r>
        <w:rPr>
          <w:rStyle w:val="FootnoteAnchor"/>
          <w:rStyle w:val="FootnoteAnchor"/>
          <w:rFonts w:cs="Calibri"/>
        </w:rPr>
        <w:footnoteReference w:id="294"/>
      </w:r>
    </w:p>
    <w:p>
      <w:pPr>
        <w:pStyle w:val="Normal"/>
        <w:rPr/>
      </w:pPr>
      <w:r>
        <w:rPr/>
      </w:r>
    </w:p>
    <w:p>
      <w:pPr>
        <w:pStyle w:val="Normal"/>
        <w:rPr/>
      </w:pPr>
      <w:r>
        <w:rPr>
          <w:u w:val="single"/>
        </w:rPr>
        <w:t>Standard</w:t>
      </w:r>
      <w:r>
        <w:rPr/>
        <w:t>: Where technically feasible, asset custodians are required to assign non-NFCCusers with unique identifiers in both usernames and email addresses to clarify the user is not directly employed by NFCC.</w:t>
      </w:r>
    </w:p>
    <w:p>
      <w:pPr>
        <w:pStyle w:val="Normal"/>
        <w:rPr/>
      </w:pPr>
      <w:r>
        <w:rPr/>
      </w:r>
    </w:p>
    <w:p>
      <w:pPr>
        <w:pStyle w:val="Normal"/>
        <w:rPr/>
      </w:pPr>
      <w:r>
        <w:rPr>
          <w:u w:val="single"/>
        </w:rPr>
        <w:t>Guidelines</w:t>
      </w:r>
      <w:r>
        <w:rPr/>
        <w:t xml:space="preserve">: NFCC should use risk assessments to determine authentication needs and consider scalability, practicality and security in balancing the need to ensure ease of use for access to federal information and systems with the need to protect and adequately mitigate risk. </w:t>
      </w:r>
    </w:p>
    <w:p>
      <w:pPr>
        <w:pStyle w:val="Normal"/>
        <w:rPr/>
      </w:pPr>
      <w:r>
        <w:rPr/>
      </w:r>
    </w:p>
    <w:p>
      <w:pPr>
        <w:pStyle w:val="Heading3"/>
        <w:rPr/>
      </w:pPr>
      <w:bookmarkStart w:id="973" w:name="_Toc474075008"/>
      <w:bookmarkStart w:id="974" w:name="_Toc34920889"/>
      <w:r>
        <w:rPr/>
        <w:t>IAC-03(a): Identification &amp; Authentication for Non-Organizational Users | Acceptance of PIV Credentials from Other Organizations</w:t>
      </w:r>
      <w:bookmarkEnd w:id="973"/>
      <w:bookmarkEnd w:id="974"/>
      <w:r>
        <w:rPr/>
        <w:t xml:space="preserve"> </w:t>
      </w:r>
    </w:p>
    <w:p>
      <w:pPr>
        <w:pStyle w:val="Normal"/>
        <w:rPr/>
      </w:pPr>
      <w:r>
        <w:rPr>
          <w:u w:val="single"/>
        </w:rPr>
        <w:t>Control Objective</w:t>
      </w:r>
      <w:r>
        <w:rPr/>
        <w:t>: System accept and electronically verify Personal Identity Verification (PIV) credentials from third-parties.</w:t>
      </w:r>
      <w:r>
        <w:rPr>
          <w:rStyle w:val="FootnoteAnchor"/>
          <w:rStyle w:val="FootnoteAnchor"/>
          <w:rFonts w:cs="Calibri"/>
        </w:rPr>
        <w:footnoteReference w:id="295"/>
      </w:r>
    </w:p>
    <w:p>
      <w:pPr>
        <w:pStyle w:val="Normal"/>
        <w:rPr/>
      </w:pPr>
      <w:r>
        <w:rPr/>
      </w:r>
    </w:p>
    <w:p>
      <w:pPr>
        <w:pStyle w:val="Normal"/>
        <w:rPr/>
      </w:pPr>
      <w:r>
        <w:rPr>
          <w:u w:val="single"/>
        </w:rPr>
        <w:t>Standard</w:t>
      </w:r>
      <w:r>
        <w:rPr/>
        <w:t>: Where technically feasible and justified by a valid business case, NFCC shall configure systems to accept and electronically verify Personal Identity Verification (PIV) credentials from third-parties.</w:t>
      </w:r>
    </w:p>
    <w:p>
      <w:pPr>
        <w:pStyle w:val="Normal"/>
        <w:rPr/>
      </w:pPr>
      <w:r>
        <w:rPr/>
      </w:r>
    </w:p>
    <w:p>
      <w:pPr>
        <w:pStyle w:val="Normal"/>
        <w:rPr/>
      </w:pPr>
      <w:r>
        <w:rPr>
          <w:u w:val="single"/>
        </w:rPr>
        <w:t>Guidelines</w:t>
      </w:r>
      <w:r>
        <w:rPr/>
        <w:t>: This standard applies to logical access control systems (LACS) and physical access control systems (PACS). Personal Identity Verification (PIV) credentials are those credentials issued by federal agencies that conform to FIPS Publication 201 and supporting guidance documents. OMB Memorandum 11-11 requires federal agencies to continue implementing the requirements specified in HSPD-12 to enable the agency-wide use of PIV credentials.</w:t>
      </w:r>
    </w:p>
    <w:p>
      <w:pPr>
        <w:pStyle w:val="Normal"/>
        <w:rPr/>
      </w:pPr>
      <w:r>
        <w:rPr/>
      </w:r>
    </w:p>
    <w:p>
      <w:pPr>
        <w:pStyle w:val="Heading3"/>
        <w:rPr/>
      </w:pPr>
      <w:bookmarkStart w:id="975" w:name="_Toc474075009"/>
      <w:bookmarkStart w:id="976" w:name="_Toc34920890"/>
      <w:r>
        <w:rPr/>
        <w:t>IAC-03(b): Identification &amp; Authentication for Non-Organizational Users | Acceptance of Third-Party Credentials</w:t>
      </w:r>
      <w:bookmarkEnd w:id="975"/>
      <w:bookmarkEnd w:id="976"/>
      <w:r>
        <w:rPr/>
        <w:t xml:space="preserve"> </w:t>
      </w:r>
    </w:p>
    <w:p>
      <w:pPr>
        <w:pStyle w:val="Normal"/>
        <w:rPr/>
      </w:pPr>
      <w:r>
        <w:rPr>
          <w:u w:val="single"/>
        </w:rPr>
        <w:t>Control Objective</w:t>
      </w:r>
      <w:r>
        <w:rPr/>
        <w:t>: System accept only Federal Identity, Credential and Access Management (FICAM)-approved third-party credentials.</w:t>
      </w:r>
      <w:r>
        <w:rPr>
          <w:rStyle w:val="FootnoteAnchor"/>
          <w:rStyle w:val="FootnoteAnchor"/>
          <w:rFonts w:cs="Calibri"/>
        </w:rPr>
        <w:footnoteReference w:id="296"/>
      </w:r>
    </w:p>
    <w:p>
      <w:pPr>
        <w:pStyle w:val="Normal"/>
        <w:rPr/>
      </w:pPr>
      <w:r>
        <w:rPr/>
      </w:r>
    </w:p>
    <w:p>
      <w:pPr>
        <w:pStyle w:val="Normal"/>
        <w:rPr/>
      </w:pPr>
      <w:r>
        <w:rPr>
          <w:u w:val="single"/>
        </w:rPr>
        <w:t>Standard</w:t>
      </w:r>
      <w:r>
        <w:rPr/>
        <w:t>: Where technically feasible and justified by a valid business case, NFCC shall configure systems to accept only FICAM-approved third-party credentials.</w:t>
      </w:r>
    </w:p>
    <w:p>
      <w:pPr>
        <w:pStyle w:val="Normal"/>
        <w:rPr/>
      </w:pPr>
      <w:r>
        <w:rPr/>
      </w:r>
    </w:p>
    <w:p>
      <w:pPr>
        <w:pStyle w:val="Normal"/>
        <w:rPr/>
      </w:pPr>
      <w:r>
        <w:rPr>
          <w:u w:val="single"/>
        </w:rPr>
        <w:t>Guidelines</w:t>
      </w:r>
      <w:r>
        <w:rPr/>
        <w:t xml:space="preserve">: This standard typically applies to organizational systems that are accessible to the general public, for example, public-facing websites. Third-Party credentials are those credentials issued by nonfederal government entities approved by the Federal Identity, Credential and Access Management (FICAM) Trust Framework Solutions initiative. Approved third-party credentials meet or exceed the set of minimum federal government-wide technical, security, privacy and organizational maturity requirements. </w:t>
      </w:r>
    </w:p>
    <w:p>
      <w:pPr>
        <w:pStyle w:val="Normal"/>
        <w:rPr/>
      </w:pPr>
      <w:r>
        <w:rPr/>
      </w:r>
    </w:p>
    <w:p>
      <w:pPr>
        <w:pStyle w:val="Heading3"/>
        <w:rPr/>
      </w:pPr>
      <w:bookmarkStart w:id="977" w:name="_Toc474075011"/>
      <w:bookmarkStart w:id="978" w:name="_Toc34920891"/>
      <w:r>
        <w:rPr/>
        <w:t>IAC-03(c): Identification &amp; Authentication for Non-Organizational Users | Use of FICAM-Issued Profiles</w:t>
      </w:r>
      <w:bookmarkEnd w:id="977"/>
      <w:bookmarkEnd w:id="978"/>
      <w:r>
        <w:rPr/>
        <w:t xml:space="preserve"> </w:t>
      </w:r>
    </w:p>
    <w:p>
      <w:pPr>
        <w:pStyle w:val="Normal"/>
        <w:rPr/>
      </w:pPr>
      <w:r>
        <w:rPr>
          <w:u w:val="single"/>
        </w:rPr>
        <w:t>Control Objective</w:t>
      </w:r>
      <w:r>
        <w:rPr/>
        <w:t>: Systems conform to Federal Identity, Credential and Access Management (FICAM)-issued profiles.</w:t>
      </w:r>
      <w:r>
        <w:rPr>
          <w:rStyle w:val="FootnoteAnchor"/>
          <w:rStyle w:val="FootnoteAnchor"/>
          <w:rFonts w:cs="Calibri"/>
        </w:rPr>
        <w:footnoteReference w:id="297"/>
      </w:r>
    </w:p>
    <w:p>
      <w:pPr>
        <w:pStyle w:val="Normal"/>
        <w:rPr/>
      </w:pPr>
      <w:r>
        <w:rPr/>
      </w:r>
    </w:p>
    <w:p>
      <w:pPr>
        <w:pStyle w:val="Normal"/>
        <w:rPr/>
      </w:pPr>
      <w:r>
        <w:rPr>
          <w:u w:val="single"/>
        </w:rPr>
        <w:t>Standard</w:t>
      </w:r>
      <w:r>
        <w:rPr/>
        <w:t>: Where technically feasible and justified by a valid business case, NFCC shall configure systems to conform to FICAM-issued profiles.</w:t>
      </w:r>
    </w:p>
    <w:p>
      <w:pPr>
        <w:pStyle w:val="Normal"/>
        <w:rPr/>
      </w:pPr>
      <w:r>
        <w:rPr/>
      </w:r>
    </w:p>
    <w:p>
      <w:pPr>
        <w:pStyle w:val="Normal"/>
        <w:rPr/>
      </w:pPr>
      <w:r>
        <w:rPr>
          <w:u w:val="single"/>
        </w:rPr>
        <w:t>Guidelines</w:t>
      </w:r>
      <w:r>
        <w:rPr/>
        <w:t>: This standard addresses open identity management standards. To ensure that these standards are viable, robust, reliable, sustainable (e.g., available in commercial information technology products) and interoperable as documented, the United States Government assesses and scopes identity management standards and technology implementations against the applicable federal legislation, directives, policies and requirements. The result is FICAM-issued implementation profiles of approved protocols (e.g., FICAM authentication protocols such as SAML 2.0 and OpenID 2.0, as well as other protocols such as the FICAM Backend Attribute Exchange).</w:t>
      </w:r>
    </w:p>
    <w:p>
      <w:pPr>
        <w:pStyle w:val="Normal"/>
        <w:rPr/>
      </w:pPr>
      <w:r>
        <w:rPr/>
      </w:r>
    </w:p>
    <w:p>
      <w:pPr>
        <w:pStyle w:val="Heading3"/>
        <w:rPr/>
      </w:pPr>
      <w:bookmarkStart w:id="979" w:name="_Toc34920892"/>
      <w:r>
        <w:rPr/>
        <w:t>IAC-03(d): Identification &amp; Authentication for Non-Organizational Users | Disassociability</w:t>
      </w:r>
      <w:bookmarkEnd w:id="979"/>
    </w:p>
    <w:p>
      <w:pPr>
        <w:pStyle w:val="Normal"/>
        <w:rPr/>
      </w:pPr>
      <w:r>
        <w:rPr>
          <w:u w:val="single"/>
        </w:rPr>
        <w:t>Control Objective</w:t>
      </w:r>
      <w:r>
        <w:rPr/>
        <w:t>: The organization implements organization-defined measures to disassociate user attributes or credential assertion relationships among individuals, credential service providers and relying parties.</w:t>
      </w:r>
    </w:p>
    <w:p>
      <w:pPr>
        <w:pStyle w:val="Normal"/>
        <w:rPr/>
      </w:pPr>
      <w:r>
        <w:rPr/>
      </w:r>
    </w:p>
    <w:p>
      <w:pPr>
        <w:pStyle w:val="Normal"/>
        <w:rPr/>
      </w:pPr>
      <w:r>
        <w:rPr>
          <w:u w:val="single"/>
        </w:rPr>
        <w:t>Standard</w:t>
      </w:r>
      <w:r>
        <w:rPr/>
        <w:t>: Where technically feasible and justified by a valid business case, asset custodians and data / process owners are required to implement measures to disassociate user attributes or credential assertion relationships among individuals, credential service providers and relying parties.</w:t>
      </w:r>
    </w:p>
    <w:p>
      <w:pPr>
        <w:pStyle w:val="Normal"/>
        <w:rPr/>
      </w:pPr>
      <w:r>
        <w:rPr/>
      </w:r>
    </w:p>
    <w:p>
      <w:pPr>
        <w:pStyle w:val="Normal"/>
        <w:rPr/>
      </w:pPr>
      <w:r>
        <w:rPr>
          <w:u w:val="single"/>
        </w:rPr>
        <w:t>Guidelines</w:t>
      </w:r>
      <w:r>
        <w:rPr/>
        <w:t>: Federated identity solutions can create increased privacy risks due to tracking and profiling of individuals. Using identifier mapping tables or privacy-enhancing cryptographic techniques to blind credential service providers and relying parties from each other or to make identity attributes less visible to transmitting parties can reduce these privacy risks.</w:t>
      </w:r>
    </w:p>
    <w:p>
      <w:pPr>
        <w:pStyle w:val="Normal"/>
        <w:rPr/>
      </w:pPr>
      <w:r>
        <w:rPr/>
        <w:t>Related Controls: None.</w:t>
      </w:r>
    </w:p>
    <w:p>
      <w:pPr>
        <w:pStyle w:val="Normal"/>
        <w:rPr/>
      </w:pPr>
      <w:r>
        <w:rPr/>
      </w:r>
    </w:p>
    <w:p>
      <w:pPr>
        <w:pStyle w:val="Normal"/>
        <w:rPr/>
      </w:pPr>
      <w:r>
        <w:rPr/>
      </w:r>
    </w:p>
    <w:p>
      <w:pPr>
        <w:pStyle w:val="Heading2"/>
        <w:rPr/>
      </w:pPr>
      <w:bookmarkStart w:id="980" w:name="_Toc474075012"/>
      <w:bookmarkStart w:id="981" w:name="_Toc474075639"/>
      <w:bookmarkStart w:id="982" w:name="_Toc34920893"/>
      <w:r>
        <w:rPr/>
        <w:t>IAC-04: Identification &amp; Authentication for Devices</w:t>
      </w:r>
      <w:bookmarkEnd w:id="980"/>
      <w:bookmarkEnd w:id="981"/>
      <w:bookmarkEnd w:id="982"/>
    </w:p>
    <w:p>
      <w:pPr>
        <w:pStyle w:val="Normal"/>
        <w:rPr>
          <w:iCs/>
        </w:rPr>
      </w:pPr>
      <w:r>
        <w:rPr>
          <w:u w:val="single"/>
        </w:rPr>
        <w:t>Control Objective</w:t>
      </w:r>
      <w:r>
        <w:rPr/>
        <w:t xml:space="preserve">: Systems uniquely identify and authenticate </w:t>
      </w:r>
      <w:r>
        <w:rPr>
          <w:iCs/>
        </w:rPr>
        <w:t>devices</w:t>
      </w:r>
      <w:r>
        <w:rPr/>
        <w:t xml:space="preserve"> before establishing a connection.</w:t>
      </w:r>
      <w:r>
        <w:rPr>
          <w:rStyle w:val="FootnoteAnchor"/>
          <w:rStyle w:val="FootnoteAnchor"/>
          <w:rFonts w:cs="Calibri"/>
        </w:rPr>
        <w:footnoteReference w:id="298"/>
      </w:r>
    </w:p>
    <w:p>
      <w:pPr>
        <w:pStyle w:val="Normal"/>
        <w:rPr/>
      </w:pPr>
      <w:r>
        <w:rPr/>
      </w:r>
    </w:p>
    <w:p>
      <w:pPr>
        <w:pStyle w:val="Normal"/>
        <w:rPr/>
      </w:pPr>
      <w:r>
        <w:rPr>
          <w:u w:val="single"/>
        </w:rPr>
        <w:t>Standard</w:t>
      </w:r>
      <w:r>
        <w:rPr/>
        <w:t>: NFCC is required to use Active Directory (AD) to authenticate devices before establishing network connections using bidirectional authentication between devices that is cryptographically based.</w:t>
      </w:r>
    </w:p>
    <w:p>
      <w:pPr>
        <w:pStyle w:val="Normal"/>
        <w:rPr/>
      </w:pPr>
      <w:r>
        <w:rPr/>
      </w:r>
    </w:p>
    <w:p>
      <w:pPr>
        <w:pStyle w:val="Normal"/>
        <w:rPr/>
      </w:pPr>
      <w:r>
        <w:rPr>
          <w:u w:val="single"/>
        </w:rPr>
        <w:t>Guidelines</w:t>
      </w:r>
      <w:r>
        <w:rPr/>
        <w:t>: Organizational devices requiring unique device-to-device identification and authentication may be defined by type, by the device or by a combination of type / device. Systems typically use either shared known information (e.g., Media Access Control (MAC) or Transmission Control Protocol / Internet Protocol (TCP / IP) addresses) for device identification or organizational authentication solutions (e.g., Kerberos, IEEE 802.1x and Extensible Authentication Protocol (EAP), Radius server with EAP-Transport Layer Security (TLS) authentication) to identify / authenticate devices on local and / or wide-area networks. Organizations determine the required strength of authentication mechanisms by the security categories of systems.</w:t>
      </w:r>
    </w:p>
    <w:p>
      <w:pPr>
        <w:pStyle w:val="Normal"/>
        <w:rPr/>
      </w:pPr>
      <w:r>
        <w:rPr/>
      </w:r>
    </w:p>
    <w:p>
      <w:pPr>
        <w:pStyle w:val="Heading3"/>
        <w:rPr/>
      </w:pPr>
      <w:bookmarkStart w:id="983" w:name="_Toc34920894"/>
      <w:r>
        <w:rPr/>
        <w:t>IAC-04(a): Identification &amp; Authentication for Devices | Device Attestation</w:t>
      </w:r>
      <w:bookmarkEnd w:id="983"/>
      <w:r>
        <w:rPr/>
        <w:t xml:space="preserve"> </w:t>
      </w:r>
    </w:p>
    <w:p>
      <w:pPr>
        <w:pStyle w:val="Normal"/>
        <w:rPr>
          <w:rFonts w:cs="Calibri"/>
          <w:bCs w:val="false"/>
        </w:rPr>
      </w:pPr>
      <w:r>
        <w:rPr>
          <w:rFonts w:cs="Calibri"/>
          <w:u w:val="single"/>
        </w:rPr>
        <w:t>Control Objective</w:t>
      </w:r>
      <w:r>
        <w:rPr>
          <w:rFonts w:cs="Calibri"/>
        </w:rPr>
        <w:t>:</w:t>
      </w:r>
      <w:r>
        <w:rPr>
          <w:rFonts w:cs="Calibri"/>
          <w:bCs w:val="false"/>
        </w:rPr>
        <w:t xml:space="preserve"> The organization ensures that device identification and authentication based on attestation is handled by organization-defined configuration management process.</w:t>
      </w:r>
      <w:r>
        <w:rPr>
          <w:rStyle w:val="FootnoteCharacters"/>
          <w:rFonts w:cs="Calibri"/>
        </w:rPr>
        <w:t xml:space="preserve"> </w:t>
      </w:r>
      <w:r>
        <w:rPr>
          <w:rStyle w:val="FootnoteAnchor"/>
          <w:rStyle w:val="FootnoteAnchor"/>
          <w:rFonts w:cs="Calibri"/>
        </w:rPr>
        <w:footnoteReference w:id="299"/>
      </w:r>
    </w:p>
    <w:p>
      <w:pPr>
        <w:pStyle w:val="Normal"/>
        <w:rPr>
          <w:rFonts w:cs="Calibri"/>
        </w:rPr>
      </w:pPr>
      <w:r>
        <w:rPr>
          <w:rFonts w:cs="Calibri"/>
        </w:rPr>
      </w:r>
    </w:p>
    <w:p>
      <w:pPr>
        <w:pStyle w:val="Normal"/>
        <w:rPr>
          <w:rFonts w:cs="Calibri"/>
        </w:rPr>
      </w:pPr>
      <w:r>
        <w:rPr>
          <w:rFonts w:cs="Calibri"/>
          <w:u w:val="single"/>
        </w:rPr>
        <w:t>Standard</w:t>
      </w:r>
      <w:r>
        <w:rPr>
          <w:rFonts w:cs="Calibri"/>
        </w:rPr>
        <w:t>: NFCC’s IT department shall centrally-manage the joining of systems to the domain as part of the initial asset configuration management process to help ensure device identification and authentication is accurate.</w:t>
      </w:r>
    </w:p>
    <w:p>
      <w:pPr>
        <w:pStyle w:val="Normal"/>
        <w:rPr>
          <w:rFonts w:cs="Calibri"/>
        </w:rPr>
      </w:pPr>
      <w:r>
        <w:rPr>
          <w:rFonts w:cs="Calibri"/>
        </w:rPr>
      </w:r>
    </w:p>
    <w:p>
      <w:pPr>
        <w:pStyle w:val="Normal"/>
        <w:rPr>
          <w:rFonts w:cs="Calibri"/>
        </w:rPr>
      </w:pPr>
      <w:r>
        <w:rPr>
          <w:rFonts w:cs="Calibri"/>
          <w:u w:val="single"/>
        </w:rPr>
        <w:t>Guidelines</w:t>
      </w:r>
      <w:r>
        <w:rPr>
          <w:rFonts w:cs="Calibri"/>
        </w:rPr>
        <w:t xml:space="preserve">: </w:t>
      </w:r>
      <w:r>
        <w:rPr>
          <w:rFonts w:cs="Calibri"/>
          <w:bCs w:val="false"/>
        </w:rPr>
        <w:t>Device attestation refers to the identification and authentication of a device based on its configuration and known operating state. This might be determined via some cryptographic hash of the device. If device attestation is the means of identification and authentication, then it is important that patches and updates to the device are handled via a configuration management process such that the patches/updates are done securely and at the same time do not disrupt the identification and authentication to other devices.</w:t>
      </w:r>
      <w:bookmarkStart w:id="984" w:name="_Hlk27579613"/>
      <w:bookmarkEnd w:id="984"/>
    </w:p>
    <w:p>
      <w:pPr>
        <w:pStyle w:val="Normal"/>
        <w:rPr/>
      </w:pPr>
      <w:r>
        <w:rPr/>
      </w:r>
    </w:p>
    <w:p>
      <w:pPr>
        <w:pStyle w:val="Normal"/>
        <w:rPr/>
      </w:pPr>
      <w:r>
        <w:rPr/>
      </w:r>
    </w:p>
    <w:p>
      <w:pPr>
        <w:pStyle w:val="Heading2"/>
        <w:rPr/>
      </w:pPr>
      <w:bookmarkStart w:id="985" w:name="_Toc34920895"/>
      <w:bookmarkStart w:id="986" w:name="_Toc474075013"/>
      <w:bookmarkStart w:id="987" w:name="_Toc474075640"/>
      <w:bookmarkStart w:id="988" w:name="_Toc398527307"/>
      <w:r>
        <w:rPr/>
        <w:t xml:space="preserve">IAC-05: </w:t>
      </w:r>
      <w:bookmarkEnd w:id="986"/>
      <w:bookmarkEnd w:id="987"/>
      <w:bookmarkEnd w:id="988"/>
      <w:r>
        <w:rPr/>
        <w:t>Identification &amp; Authentication for Third Party Systems &amp; Services</w:t>
      </w:r>
      <w:bookmarkEnd w:id="985"/>
    </w:p>
    <w:p>
      <w:pPr>
        <w:pStyle w:val="Normal"/>
        <w:rPr/>
      </w:pPr>
      <w:r>
        <w:rPr>
          <w:u w:val="single"/>
        </w:rPr>
        <w:t>Control Objective</w:t>
      </w:r>
      <w:r>
        <w:rPr/>
        <w:t xml:space="preserve">: The organization identifies and authenticates third-party service provider systems and services using security safeguards. </w:t>
      </w:r>
      <w:r>
        <w:rPr>
          <w:rStyle w:val="FootnoteAnchor"/>
          <w:rStyle w:val="FootnoteAnchor"/>
          <w:rFonts w:cs="Calibri"/>
        </w:rPr>
        <w:footnoteReference w:id="300"/>
      </w:r>
    </w:p>
    <w:p>
      <w:pPr>
        <w:pStyle w:val="Normal"/>
        <w:rPr/>
      </w:pPr>
      <w:r>
        <w:rPr/>
      </w:r>
    </w:p>
    <w:p>
      <w:pPr>
        <w:pStyle w:val="Normal"/>
        <w:rPr/>
      </w:pPr>
      <w:r>
        <w:rPr>
          <w:u w:val="single"/>
        </w:rPr>
        <w:t>Standard</w:t>
      </w:r>
      <w:r>
        <w:rPr/>
        <w:t>: Where technically feasible, asset custodians are required to implement mechanisms to authenticate traffic from third-party service providers that connect to NFCC’s networks.</w:t>
      </w:r>
    </w:p>
    <w:p>
      <w:pPr>
        <w:pStyle w:val="Normal"/>
        <w:rPr/>
      </w:pPr>
      <w:r>
        <w:rPr/>
      </w:r>
    </w:p>
    <w:p>
      <w:pPr>
        <w:pStyle w:val="Normal"/>
        <w:rPr/>
      </w:pPr>
      <w:r>
        <w:rPr>
          <w:u w:val="single"/>
        </w:rPr>
        <w:t>Guidelines</w:t>
      </w:r>
      <w:r>
        <w:rPr/>
        <w:t>: This control supports service-oriented architectures and other distributed, architectural approaches requiring the identification and authentication of system services. In such architectures, external services often appear dynamically. Therefore, systems should be able to determine in a dynamic manner, if external providers and associated services are authentic. Safeguards implemented by organizational systems to validate provider and service authenticity include, for example, information or code signing, provenance graphs and / or electronic signatures indicating or including the sources of services.</w:t>
      </w:r>
    </w:p>
    <w:p>
      <w:pPr>
        <w:pStyle w:val="Normal"/>
        <w:rPr/>
      </w:pPr>
      <w:r>
        <w:rPr/>
      </w:r>
    </w:p>
    <w:p>
      <w:pPr>
        <w:pStyle w:val="Heading3"/>
        <w:rPr/>
      </w:pPr>
      <w:bookmarkStart w:id="989" w:name="_Toc34920896"/>
      <w:r>
        <w:rPr/>
        <w:t>IAC-05(a): Identification &amp; Authentication for Third Party Systems &amp; Services | Information Exchange</w:t>
      </w:r>
      <w:bookmarkEnd w:id="989"/>
      <w:r>
        <w:rPr/>
        <w:t xml:space="preserve"> </w:t>
      </w:r>
    </w:p>
    <w:p>
      <w:pPr>
        <w:pStyle w:val="Normal"/>
        <w:rPr>
          <w:rFonts w:cs="Calibri"/>
        </w:rPr>
      </w:pPr>
      <w:r>
        <w:rPr>
          <w:rFonts w:cs="Calibri"/>
          <w:u w:val="single"/>
        </w:rPr>
        <w:t>Control Objective</w:t>
      </w:r>
      <w:r>
        <w:rPr>
          <w:rFonts w:cs="Calibri"/>
        </w:rPr>
        <w:t>:</w:t>
      </w:r>
      <w:r>
        <w:rPr>
          <w:rFonts w:cs="Calibri"/>
          <w:bCs w:val="false"/>
        </w:rPr>
        <w:t xml:space="preserve"> </w:t>
      </w:r>
      <w:r>
        <w:rPr>
          <w:rFonts w:cs="Calibri"/>
        </w:rPr>
        <w:t>The organization ensures that service providers receive, validate and transmit identification and authentication information.</w:t>
      </w:r>
      <w:r>
        <w:rPr>
          <w:rStyle w:val="FootnoteCharacters"/>
          <w:rFonts w:cs="Calibri"/>
        </w:rPr>
        <w:t xml:space="preserve"> </w:t>
      </w:r>
      <w:r>
        <w:rPr>
          <w:rStyle w:val="FootnoteAnchor"/>
          <w:rStyle w:val="FootnoteAnchor"/>
          <w:rFonts w:cs="Calibri"/>
        </w:rPr>
        <w:footnoteReference w:id="301"/>
      </w:r>
    </w:p>
    <w:p>
      <w:pPr>
        <w:pStyle w:val="Normal"/>
        <w:rPr>
          <w:rFonts w:cs="Calibri"/>
        </w:rPr>
      </w:pPr>
      <w:r>
        <w:rPr>
          <w:rFonts w:cs="Calibri"/>
        </w:rPr>
      </w:r>
    </w:p>
    <w:p>
      <w:pPr>
        <w:pStyle w:val="Normal"/>
        <w:rPr>
          <w:rFonts w:cs="Calibri"/>
        </w:rPr>
      </w:pPr>
      <w:r>
        <w:rPr>
          <w:rFonts w:cs="Calibri"/>
          <w:u w:val="single"/>
        </w:rPr>
        <w:t>Standard</w:t>
      </w:r>
      <w:r>
        <w:rPr>
          <w:rFonts w:cs="Calibri"/>
        </w:rPr>
        <w:t>: Third-party service providers are required to keep NFCC updated with current and accurate information for any third-party user with access to NFCC data or assets through:</w:t>
      </w:r>
    </w:p>
    <w:p>
      <w:pPr>
        <w:pStyle w:val="ListParagraph"/>
        <w:numPr>
          <w:ilvl w:val="0"/>
          <w:numId w:val="634"/>
        </w:numPr>
        <w:rPr>
          <w:rFonts w:cs="Calibri"/>
        </w:rPr>
      </w:pPr>
      <w:r>
        <w:rPr>
          <w:rFonts w:cs="Calibri"/>
        </w:rPr>
        <w:t>Automated account status sharing (e.g., federation services; or</w:t>
      </w:r>
    </w:p>
    <w:p>
      <w:pPr>
        <w:pStyle w:val="ListParagraph"/>
        <w:numPr>
          <w:ilvl w:val="0"/>
          <w:numId w:val="634"/>
        </w:numPr>
        <w:rPr>
          <w:rFonts w:cs="Calibri"/>
        </w:rPr>
      </w:pPr>
      <w:r>
        <w:rPr>
          <w:rFonts w:cs="Calibri"/>
        </w:rPr>
        <w:t>Manual process that alerts NFCC of a need to deactivate a third-party user account.</w:t>
      </w:r>
    </w:p>
    <w:p>
      <w:pPr>
        <w:pStyle w:val="Normal"/>
        <w:rPr>
          <w:rFonts w:cs="Calibri"/>
        </w:rPr>
      </w:pPr>
      <w:r>
        <w:rPr>
          <w:rFonts w:cs="Calibri"/>
        </w:rPr>
      </w:r>
    </w:p>
    <w:p>
      <w:pPr>
        <w:pStyle w:val="Normal"/>
        <w:rPr>
          <w:rFonts w:cs="Calibri"/>
        </w:rPr>
      </w:pPr>
      <w:r>
        <w:rPr>
          <w:rFonts w:cs="Calibri"/>
          <w:u w:val="single"/>
        </w:rPr>
        <w:t>Guidelines</w:t>
      </w:r>
      <w:r>
        <w:rPr>
          <w:rFonts w:cs="Calibri"/>
        </w:rPr>
        <w:t>: None</w:t>
      </w:r>
      <w:bookmarkStart w:id="990" w:name="_Hlk27579628"/>
      <w:bookmarkEnd w:id="990"/>
    </w:p>
    <w:p>
      <w:pPr>
        <w:pStyle w:val="Normal"/>
        <w:rPr/>
      </w:pPr>
      <w:r>
        <w:rPr/>
      </w:r>
    </w:p>
    <w:p>
      <w:pPr>
        <w:pStyle w:val="Heading2"/>
        <w:rPr/>
      </w:pPr>
      <w:bookmarkStart w:id="991" w:name="_Toc34920897"/>
      <w:bookmarkStart w:id="992" w:name="_Toc474075014"/>
      <w:bookmarkStart w:id="993" w:name="_Toc474075641"/>
      <w:r>
        <w:rPr/>
        <w:t>IAC-06: Multifactor Authentication</w:t>
      </w:r>
      <w:bookmarkEnd w:id="992"/>
      <w:bookmarkEnd w:id="993"/>
      <w:r>
        <w:rPr/>
        <w:t xml:space="preserve"> (MFA)</w:t>
      </w:r>
      <w:bookmarkEnd w:id="991"/>
    </w:p>
    <w:p>
      <w:pPr>
        <w:pStyle w:val="Normal"/>
        <w:rPr/>
      </w:pPr>
      <w:r>
        <w:rPr>
          <w:u w:val="single"/>
        </w:rPr>
        <w:t>Control Objective</w:t>
      </w:r>
      <w:r>
        <w:rPr/>
        <w:t>: Systems use Multi-Factor Authentication (MFA) for organization-defined requirements.</w:t>
      </w:r>
      <w:r>
        <w:rPr>
          <w:rStyle w:val="FootnoteAnchor"/>
          <w:rStyle w:val="FootnoteAnchor"/>
          <w:rFonts w:cs="Calibri"/>
        </w:rPr>
        <w:footnoteReference w:id="302"/>
      </w:r>
    </w:p>
    <w:p>
      <w:pPr>
        <w:pStyle w:val="Normal"/>
        <w:rPr/>
      </w:pPr>
      <w:r>
        <w:rPr/>
      </w:r>
    </w:p>
    <w:p>
      <w:pPr>
        <w:pStyle w:val="Normal"/>
        <w:rPr/>
      </w:pPr>
      <w:r>
        <w:rPr>
          <w:u w:val="single"/>
        </w:rPr>
        <w:t>Standard</w:t>
      </w:r>
      <w:r>
        <w:rPr/>
        <w:t>: NFCC requires multifactor authentication for where:</w:t>
      </w:r>
    </w:p>
    <w:p>
      <w:pPr>
        <w:pStyle w:val="ListParagraph"/>
        <w:numPr>
          <w:ilvl w:val="0"/>
          <w:numId w:val="686"/>
        </w:numPr>
        <w:rPr/>
      </w:pPr>
      <w:r>
        <w:rPr/>
        <w:t>Remote network access (both user and administrator and including third-party access for support or maintenance) originates from outside NFCC’s network; and</w:t>
      </w:r>
    </w:p>
    <w:p>
      <w:pPr>
        <w:pStyle w:val="ListParagraph"/>
        <w:numPr>
          <w:ilvl w:val="0"/>
          <w:numId w:val="686"/>
        </w:numPr>
        <w:rPr/>
      </w:pPr>
      <w:r>
        <w:rPr/>
        <w:t>Non-console access to critical systems or systems that store, transmit and/or process sensitive data.</w:t>
      </w:r>
    </w:p>
    <w:p>
      <w:pPr>
        <w:pStyle w:val="ListParagraph"/>
        <w:rPr/>
      </w:pPr>
      <w:r>
        <w:rPr/>
        <w:t xml:space="preserve"> </w:t>
      </w:r>
    </w:p>
    <w:p>
      <w:pPr>
        <w:pStyle w:val="Normal"/>
        <w:rPr/>
      </w:pPr>
      <w:r>
        <w:rPr>
          <w:u w:val="single"/>
        </w:rPr>
        <w:t>Guidelines</w:t>
      </w:r>
      <w:r>
        <w:rPr/>
        <w:t xml:space="preserve">: Multifactor authentication can include a variety of techniques, to include the use of smart cards, certificates, One Time Password (OTP) tokens, biometrics or other similar authentication methods. Examples of multifactor technologies include remote authentication and dial-in service (RADIUS) with tokens; terminal access controller access control system (TACACS) with tokens; and other technologies that facilitate multifactor authentication. Using one factor twice (e.g., using two separate passwords) is not considered multifactor authentication. </w:t>
      </w:r>
    </w:p>
    <w:p>
      <w:pPr>
        <w:pStyle w:val="Normal"/>
        <w:rPr/>
      </w:pPr>
      <w:r>
        <w:rPr/>
      </w:r>
    </w:p>
    <w:p>
      <w:pPr>
        <w:pStyle w:val="Heading3"/>
        <w:rPr/>
      </w:pPr>
      <w:bookmarkStart w:id="994" w:name="_Toc474075000"/>
      <w:bookmarkStart w:id="995" w:name="_Toc34920898"/>
      <w:r>
        <w:rPr/>
        <w:t>IAC-06(a): Multi-Factor Authentication (MFA) | Network Access to Privileged Accounts</w:t>
      </w:r>
      <w:bookmarkEnd w:id="994"/>
      <w:bookmarkEnd w:id="995"/>
      <w:r>
        <w:rPr/>
        <w:t xml:space="preserve"> </w:t>
      </w:r>
    </w:p>
    <w:p>
      <w:pPr>
        <w:pStyle w:val="Normal"/>
        <w:rPr/>
      </w:pPr>
      <w:r>
        <w:rPr>
          <w:u w:val="single"/>
        </w:rPr>
        <w:t>Control Objective</w:t>
      </w:r>
      <w:r>
        <w:rPr/>
        <w:t>: System implement multifactor authentication for network access to privileged accounts.</w:t>
      </w:r>
      <w:r>
        <w:rPr>
          <w:rStyle w:val="FootnoteAnchor"/>
          <w:rStyle w:val="FootnoteAnchor"/>
          <w:rFonts w:cs="Calibri"/>
          <w:bCs w:val="false"/>
        </w:rPr>
        <w:footnoteReference w:id="303"/>
      </w:r>
    </w:p>
    <w:p>
      <w:pPr>
        <w:pStyle w:val="Normal"/>
        <w:rPr/>
      </w:pPr>
      <w:r>
        <w:rPr/>
      </w:r>
    </w:p>
    <w:p>
      <w:pPr>
        <w:pStyle w:val="Normal"/>
        <w:rPr/>
      </w:pPr>
      <w:r>
        <w:rPr>
          <w:u w:val="single"/>
        </w:rPr>
        <w:t>Standard</w:t>
      </w:r>
      <w:r>
        <w:rPr/>
        <w:t>: Where technically feasible, systems must implement multifactor authentication for network access by privileged accounts.</w:t>
      </w:r>
    </w:p>
    <w:p>
      <w:pPr>
        <w:pStyle w:val="Normal"/>
        <w:rPr/>
      </w:pPr>
      <w:r>
        <w:rPr/>
      </w:r>
    </w:p>
    <w:p>
      <w:pPr>
        <w:pStyle w:val="Normal"/>
        <w:rPr/>
      </w:pPr>
      <w:r>
        <w:rPr>
          <w:u w:val="single"/>
        </w:rPr>
        <w:t>Guidelines</w:t>
      </w:r>
      <w:r>
        <w:rPr/>
        <w:t>: None</w:t>
      </w:r>
    </w:p>
    <w:p>
      <w:pPr>
        <w:pStyle w:val="Normal"/>
        <w:rPr/>
      </w:pPr>
      <w:r>
        <w:rPr/>
      </w:r>
    </w:p>
    <w:p>
      <w:pPr>
        <w:pStyle w:val="Heading3"/>
        <w:rPr/>
      </w:pPr>
      <w:bookmarkStart w:id="996" w:name="_Toc474075001"/>
      <w:bookmarkStart w:id="997" w:name="_Toc34920899"/>
      <w:r>
        <w:rPr/>
        <w:t>IAC-06(b): Multi-Factor Authentication (MFA) | Network Access to Non-Privileged Accounts</w:t>
      </w:r>
      <w:bookmarkEnd w:id="996"/>
      <w:bookmarkEnd w:id="997"/>
      <w:r>
        <w:rPr/>
        <w:t xml:space="preserve"> </w:t>
      </w:r>
    </w:p>
    <w:p>
      <w:pPr>
        <w:pStyle w:val="Normal"/>
        <w:rPr/>
      </w:pPr>
      <w:r>
        <w:rPr>
          <w:u w:val="single"/>
        </w:rPr>
        <w:t>Control Objective</w:t>
      </w:r>
      <w:r>
        <w:rPr/>
        <w:t>: System implement multifactor authentication for network access to non-privileged accounts.</w:t>
      </w:r>
      <w:r>
        <w:rPr>
          <w:rStyle w:val="FootnoteAnchor"/>
          <w:rStyle w:val="FootnoteAnchor"/>
          <w:rFonts w:cs="Calibri"/>
          <w:bCs w:val="false"/>
        </w:rPr>
        <w:footnoteReference w:id="304"/>
      </w:r>
    </w:p>
    <w:p>
      <w:pPr>
        <w:pStyle w:val="Normal"/>
        <w:rPr/>
      </w:pPr>
      <w:r>
        <w:rPr/>
      </w:r>
    </w:p>
    <w:p>
      <w:pPr>
        <w:pStyle w:val="Normal"/>
        <w:rPr/>
      </w:pPr>
      <w:r>
        <w:rPr>
          <w:u w:val="single"/>
        </w:rPr>
        <w:t>Standard</w:t>
      </w:r>
      <w:r>
        <w:rPr/>
        <w:t>: Where technically feasible and a business justification exists, systems must implement multifactor authentication for network access by non-privileged accounts.</w:t>
      </w:r>
    </w:p>
    <w:p>
      <w:pPr>
        <w:pStyle w:val="Normal"/>
        <w:rPr/>
      </w:pPr>
      <w:r>
        <w:rPr/>
      </w:r>
    </w:p>
    <w:p>
      <w:pPr>
        <w:pStyle w:val="Normal"/>
        <w:rPr/>
      </w:pPr>
      <w:r>
        <w:rPr>
          <w:u w:val="single"/>
        </w:rPr>
        <w:t>Guidelines</w:t>
      </w:r>
      <w:r>
        <w:rPr/>
        <w:t>: None</w:t>
      </w:r>
    </w:p>
    <w:p>
      <w:pPr>
        <w:pStyle w:val="Normal"/>
        <w:rPr/>
      </w:pPr>
      <w:r>
        <w:rPr/>
      </w:r>
    </w:p>
    <w:p>
      <w:pPr>
        <w:pStyle w:val="Heading3"/>
        <w:rPr/>
      </w:pPr>
      <w:bookmarkStart w:id="998" w:name="_Toc474075002"/>
      <w:bookmarkStart w:id="999" w:name="_Toc34920900"/>
      <w:r>
        <w:rPr/>
        <w:t>IAC-06(c): Multi-Factor Authentication (MFA) | Local Access to Privileged Accounts</w:t>
      </w:r>
      <w:bookmarkEnd w:id="998"/>
      <w:bookmarkEnd w:id="999"/>
      <w:r>
        <w:rPr/>
        <w:t xml:space="preserve"> </w:t>
      </w:r>
    </w:p>
    <w:p>
      <w:pPr>
        <w:pStyle w:val="Normal"/>
        <w:rPr/>
      </w:pPr>
      <w:r>
        <w:rPr>
          <w:u w:val="single"/>
        </w:rPr>
        <w:t>Control Objective</w:t>
      </w:r>
      <w:r>
        <w:rPr/>
        <w:t>: System implement multifactor authentication for local access to privileged accounts.</w:t>
      </w:r>
      <w:r>
        <w:rPr>
          <w:rStyle w:val="FootnoteAnchor"/>
          <w:rStyle w:val="FootnoteAnchor"/>
          <w:rFonts w:cs="Calibri"/>
          <w:bCs w:val="false"/>
        </w:rPr>
        <w:footnoteReference w:id="305"/>
      </w:r>
    </w:p>
    <w:p>
      <w:pPr>
        <w:pStyle w:val="Normal"/>
        <w:rPr/>
      </w:pPr>
      <w:r>
        <w:rPr/>
      </w:r>
    </w:p>
    <w:p>
      <w:pPr>
        <w:pStyle w:val="Normal"/>
        <w:rPr/>
      </w:pPr>
      <w:r>
        <w:rPr>
          <w:u w:val="single"/>
        </w:rPr>
        <w:t>Standard</w:t>
      </w:r>
      <w:r>
        <w:rPr/>
        <w:t xml:space="preserve">: Where technically feasible and a business justification exists, asset custodians are required to incorporate multifactor authentication for all administrative access, including domain administrative access. </w:t>
      </w:r>
    </w:p>
    <w:p>
      <w:pPr>
        <w:pStyle w:val="Normal"/>
        <w:rPr>
          <w:u w:val="single"/>
        </w:rPr>
      </w:pPr>
      <w:r>
        <w:rPr>
          <w:u w:val="single"/>
        </w:rPr>
      </w:r>
    </w:p>
    <w:p>
      <w:pPr>
        <w:pStyle w:val="Normal"/>
        <w:rPr/>
      </w:pPr>
      <w:r>
        <w:rPr>
          <w:u w:val="single"/>
        </w:rPr>
        <w:t>Guidelines</w:t>
      </w:r>
      <w:r>
        <w:rPr/>
        <w:t>: Using one factor twice (e.g., using two separate passwords) is not considered multifactor authentication.</w:t>
      </w:r>
    </w:p>
    <w:p>
      <w:pPr>
        <w:pStyle w:val="Normal"/>
        <w:rPr/>
      </w:pPr>
      <w:r>
        <w:rPr/>
      </w:r>
    </w:p>
    <w:p>
      <w:pPr>
        <w:pStyle w:val="Heading3"/>
        <w:rPr/>
      </w:pPr>
      <w:bookmarkStart w:id="1000" w:name="_Toc34920901"/>
      <w:r>
        <w:rPr/>
        <w:t>IAC-06(d): Multi-Factor Authentication (MFA) | Out of Band (OOB) Factor</w:t>
      </w:r>
      <w:bookmarkEnd w:id="1000"/>
      <w:r>
        <w:rPr/>
        <w:t xml:space="preserve"> </w:t>
      </w:r>
    </w:p>
    <w:p>
      <w:pPr>
        <w:pStyle w:val="Normal"/>
        <w:rPr/>
      </w:pPr>
      <w:r>
        <w:rPr>
          <w:u w:val="single"/>
        </w:rPr>
        <w:t>Control Objective</w:t>
      </w:r>
      <w:r>
        <w:rPr/>
        <w:t>: The information system implements multifactor authentication for remote access to privileged and non-privileged accounts such that one of the factors is provided by a device separate from the system gaining access and the device meets organization-defined strength of mechanism requirements.</w:t>
      </w:r>
      <w:r>
        <w:rPr>
          <w:rStyle w:val="FootnoteAnchor"/>
          <w:rStyle w:val="FootnoteAnchor"/>
          <w:rFonts w:cs="Calibri"/>
          <w:bCs w:val="false"/>
        </w:rPr>
        <w:footnoteReference w:id="306"/>
      </w:r>
    </w:p>
    <w:p>
      <w:pPr>
        <w:pStyle w:val="Normal"/>
        <w:rPr/>
      </w:pPr>
      <w:r>
        <w:rPr/>
      </w:r>
    </w:p>
    <w:p>
      <w:pPr>
        <w:pStyle w:val="Normal"/>
        <w:rPr/>
      </w:pPr>
      <w:r>
        <w:rPr>
          <w:u w:val="single"/>
        </w:rPr>
        <w:t>Standard</w:t>
      </w:r>
      <w:r>
        <w:rPr/>
        <w:t>: NFCC requires Multi-Factor Authentication (MFA) for remote access to utilize either a:</w:t>
      </w:r>
    </w:p>
    <w:p>
      <w:pPr>
        <w:pStyle w:val="ListParagraph"/>
        <w:numPr>
          <w:ilvl w:val="0"/>
          <w:numId w:val="687"/>
        </w:numPr>
        <w:rPr/>
      </w:pPr>
      <w:r>
        <w:rPr/>
        <w:t>One Time Password (OTP); or</w:t>
      </w:r>
    </w:p>
    <w:p>
      <w:pPr>
        <w:pStyle w:val="ListParagraph"/>
        <w:numPr>
          <w:ilvl w:val="0"/>
          <w:numId w:val="687"/>
        </w:numPr>
        <w:rPr/>
      </w:pPr>
      <w:r>
        <w:rPr/>
        <w:t>MFA token-generating device that is separate from the system gaining access.</w:t>
      </w:r>
    </w:p>
    <w:p>
      <w:pPr>
        <w:pStyle w:val="Normal"/>
        <w:rPr>
          <w:u w:val="single"/>
        </w:rPr>
      </w:pPr>
      <w:r>
        <w:rPr>
          <w:u w:val="single"/>
        </w:rPr>
      </w:r>
    </w:p>
    <w:p>
      <w:pPr>
        <w:pStyle w:val="Normal"/>
        <w:rPr/>
      </w:pPr>
      <w:r>
        <w:rPr>
          <w:u w:val="single"/>
        </w:rPr>
        <w:t>Guidelines</w:t>
      </w:r>
      <w:r>
        <w:rPr/>
        <w:t>: For remote access to privileged/non-privileged accounts, the purpose of requiring a device that is separate from the information system gaining access for one of the factors during multifactor authentication is to reduce the likelihood of compromising authentication credentials stored on the system. For example, adversaries deploying malicious code on organizational information systems can potentially compromise such credentials resident on the system and subsequently impersonate authorized users.</w:t>
      </w:r>
    </w:p>
    <w:p>
      <w:pPr>
        <w:pStyle w:val="Normal"/>
        <w:tabs>
          <w:tab w:val="clear" w:pos="360"/>
          <w:tab w:val="clear" w:pos="720"/>
          <w:tab w:val="clear" w:pos="1080"/>
        </w:tabs>
        <w:jc w:val="left"/>
        <w:rPr>
          <w:rFonts w:cs="Calibri"/>
          <w:b/>
          <w:b/>
          <w:bCs w:val="false"/>
          <w:smallCaps/>
          <w:color w:val="1F497D" w:themeColor="text2"/>
        </w:rPr>
      </w:pPr>
      <w:r>
        <w:rPr>
          <w:rFonts w:cs="Calibri"/>
          <w:b/>
          <w:bCs w:val="false"/>
          <w:smallCaps/>
          <w:color w:val="1F497D" w:themeColor="text2"/>
        </w:rPr>
      </w:r>
    </w:p>
    <w:p>
      <w:pPr>
        <w:pStyle w:val="Heading2"/>
        <w:rPr/>
      </w:pPr>
      <w:bookmarkStart w:id="1001" w:name="_Toc474075015"/>
      <w:bookmarkStart w:id="1002" w:name="_Toc474075642"/>
      <w:bookmarkStart w:id="1003" w:name="_Toc34920902"/>
      <w:r>
        <w:rPr/>
        <w:t>IAC-07: User Provisioning &amp; De-Provisioning</w:t>
      </w:r>
      <w:bookmarkEnd w:id="1001"/>
      <w:bookmarkEnd w:id="1002"/>
      <w:bookmarkEnd w:id="1003"/>
    </w:p>
    <w:p>
      <w:pPr>
        <w:pStyle w:val="Normal"/>
        <w:rPr/>
      </w:pPr>
      <w:r>
        <w:rPr>
          <w:u w:val="single"/>
        </w:rPr>
        <w:t>Control Objective</w:t>
      </w:r>
      <w:r>
        <w:rPr/>
        <w:t>: The organization implements a formal user registration and de-registration process to govern the assignment of access rights.</w:t>
      </w:r>
      <w:r>
        <w:rPr>
          <w:rStyle w:val="FootnoteCharacters"/>
          <w:rFonts w:cs="Calibri"/>
          <w:position w:val="0"/>
          <w:sz w:val="20"/>
          <w:sz w:val="20"/>
          <w:vertAlign w:val="baseline"/>
        </w:rPr>
        <w:t xml:space="preserve"> </w:t>
      </w:r>
      <w:r>
        <w:rPr>
          <w:rStyle w:val="FootnoteAnchor"/>
          <w:rStyle w:val="FootnoteAnchor"/>
          <w:rFonts w:cs="Calibri"/>
        </w:rPr>
        <w:footnoteReference w:id="307"/>
      </w:r>
    </w:p>
    <w:p>
      <w:pPr>
        <w:pStyle w:val="Normal"/>
        <w:rPr/>
      </w:pPr>
      <w:r>
        <w:rPr/>
      </w:r>
    </w:p>
    <w:p>
      <w:pPr>
        <w:pStyle w:val="Normal"/>
        <w:rPr/>
      </w:pPr>
      <w:r>
        <w:rPr>
          <w:u w:val="single"/>
        </w:rPr>
        <w:t>Standard</w:t>
      </w:r>
      <w:r>
        <w:rPr/>
        <w:t>: NFCC’s Identity and Access Management (IAM) team shall implement and manage a formal user access provisioning process to assign and / or revoke access rights for all user types to all systems and services.</w:t>
      </w:r>
    </w:p>
    <w:p>
      <w:pPr>
        <w:pStyle w:val="Normal"/>
        <w:rPr/>
      </w:pPr>
      <w:r>
        <w:rPr/>
      </w:r>
    </w:p>
    <w:p>
      <w:pPr>
        <w:pStyle w:val="Normal"/>
        <w:rPr/>
      </w:pPr>
      <w:r>
        <w:rPr>
          <w:u w:val="single"/>
        </w:rPr>
        <w:t>Guidelines</w:t>
      </w:r>
      <w:r>
        <w:rPr/>
        <w:t>: Provisioning user access (e.g., employees, contractors, customers (tenants), business partners and / or supplier relationships) to data and organizationally owned or managed (physical and virtual) applications, infrastructure systems and network components shall be authorized by the organization's management prior to access being granted and appropriately restricted as per established policies and procedures. Upon request, the provider shall inform customer (tenant) of this user access, especially if customer (tenant) data is used as part the service and / or customer (tenant) has some shared responsibility for implementation of control.</w:t>
      </w:r>
    </w:p>
    <w:p>
      <w:pPr>
        <w:pStyle w:val="Normal"/>
        <w:rPr/>
      </w:pPr>
      <w:r>
        <w:rPr/>
      </w:r>
    </w:p>
    <w:p>
      <w:pPr>
        <w:pStyle w:val="Normal"/>
        <w:rPr/>
      </w:pPr>
      <w:r>
        <w:rPr/>
        <w:t>Timely de-provisioning (revocation or modification) of user access to data and organizationally owned or managed (physical and virtual) applications, infrastructure systems and network components, shall be implemented as per established policies and procedures and based on user's change in status (e.g., termination of employment or other business relationship, job change or transfer). Upon request, the provider shall inform customer (tenant) of these changes, especially if customer (tenant) data is used as part the service and / or customer (tenant) has some shared responsibility for implementation of control.</w:t>
      </w:r>
    </w:p>
    <w:p>
      <w:pPr>
        <w:pStyle w:val="Normal"/>
        <w:rPr/>
      </w:pPr>
      <w:r>
        <w:rPr/>
      </w:r>
    </w:p>
    <w:p>
      <w:pPr>
        <w:pStyle w:val="Heading3"/>
        <w:rPr/>
      </w:pPr>
      <w:bookmarkStart w:id="1004" w:name="_Toc474075016"/>
      <w:bookmarkStart w:id="1005" w:name="_Toc34920903"/>
      <w:r>
        <w:rPr/>
        <w:t>IAC-07(a): User Provisioning &amp; De-Provisioning | Change of Roles &amp; Duties</w:t>
      </w:r>
      <w:bookmarkEnd w:id="1004"/>
      <w:bookmarkEnd w:id="1005"/>
    </w:p>
    <w:p>
      <w:pPr>
        <w:pStyle w:val="Normal"/>
        <w:rPr/>
      </w:pPr>
      <w:r>
        <w:rPr>
          <w:u w:val="single"/>
        </w:rPr>
        <w:t>Control Objective</w:t>
      </w:r>
      <w:r>
        <w:rPr/>
        <w:t>: Following changes in personnel roles and duties, the organization revokes access rights, if no longer necessary or permitted.</w:t>
      </w:r>
      <w:r>
        <w:rPr>
          <w:rStyle w:val="FootnoteAnchor"/>
          <w:rStyle w:val="FootnoteAnchor"/>
        </w:rPr>
        <w:footnoteReference w:id="308"/>
      </w:r>
    </w:p>
    <w:p>
      <w:pPr>
        <w:pStyle w:val="Normal"/>
        <w:rPr/>
      </w:pPr>
      <w:r>
        <w:rPr/>
      </w:r>
    </w:p>
    <w:p>
      <w:pPr>
        <w:pStyle w:val="Normal"/>
        <w:rPr/>
      </w:pPr>
      <w:r>
        <w:rPr>
          <w:rFonts w:cs="Calibri"/>
          <w:u w:val="single"/>
        </w:rPr>
        <w:t>Standard</w:t>
      </w:r>
      <w:r>
        <w:rPr>
          <w:rFonts w:cs="Calibri"/>
        </w:rPr>
        <w:t xml:space="preserve">: Upon a change of roles for a user, </w:t>
      </w:r>
      <w:r>
        <w:rPr/>
        <w:t xml:space="preserve">the following actions must be accomplished as soon as possible, but no longer than seven (7) days from notification of a change in a user's status: </w:t>
      </w:r>
    </w:p>
    <w:p>
      <w:pPr>
        <w:pStyle w:val="ListParagraph"/>
        <w:numPr>
          <w:ilvl w:val="0"/>
          <w:numId w:val="346"/>
        </w:numPr>
        <w:tabs>
          <w:tab w:val="clear" w:pos="360"/>
          <w:tab w:val="clear" w:pos="720"/>
          <w:tab w:val="clear" w:pos="1080"/>
        </w:tabs>
        <w:rPr/>
      </w:pPr>
      <w:r>
        <w:rPr/>
        <w:t>The user's privileges and access to must be updated to reflect the new role;</w:t>
      </w:r>
    </w:p>
    <w:p>
      <w:pPr>
        <w:pStyle w:val="ListParagraph"/>
        <w:numPr>
          <w:ilvl w:val="0"/>
          <w:numId w:val="346"/>
        </w:numPr>
        <w:tabs>
          <w:tab w:val="clear" w:pos="360"/>
          <w:tab w:val="clear" w:pos="720"/>
          <w:tab w:val="clear" w:pos="1080"/>
        </w:tabs>
        <w:rPr/>
      </w:pPr>
      <w:r>
        <w:rPr/>
        <w:t>All privileged account passwords known by the user must be changed, if the user no longer has a business requirement for the privileged account in question.</w:t>
      </w:r>
    </w:p>
    <w:p>
      <w:pPr>
        <w:pStyle w:val="Normal"/>
        <w:rPr/>
      </w:pPr>
      <w:r>
        <w:rPr/>
        <w:t xml:space="preserve"> </w:t>
      </w:r>
    </w:p>
    <w:p>
      <w:pPr>
        <w:pStyle w:val="Normal"/>
        <w:rPr/>
      </w:pPr>
      <w:r>
        <w:rPr>
          <w:u w:val="single"/>
        </w:rPr>
        <w:t>Guidelines</w:t>
      </w:r>
      <w:r>
        <w:rPr/>
        <w:t>: None</w:t>
      </w:r>
    </w:p>
    <w:p>
      <w:pPr>
        <w:pStyle w:val="Normal"/>
        <w:rPr/>
      </w:pPr>
      <w:r>
        <w:rPr/>
      </w:r>
    </w:p>
    <w:p>
      <w:pPr>
        <w:pStyle w:val="Heading3"/>
        <w:rPr/>
      </w:pPr>
      <w:bookmarkStart w:id="1006" w:name="_Toc474075017"/>
      <w:bookmarkStart w:id="1007" w:name="_Toc34920904"/>
      <w:r>
        <w:rPr/>
        <w:t>IAC-07(b): User Provisioning &amp; De-Provisioning | Termination of Employment</w:t>
      </w:r>
      <w:bookmarkEnd w:id="1006"/>
      <w:bookmarkEnd w:id="1007"/>
    </w:p>
    <w:p>
      <w:pPr>
        <w:pStyle w:val="Normal"/>
        <w:rPr/>
      </w:pPr>
      <w:r>
        <w:rPr>
          <w:u w:val="single"/>
        </w:rPr>
        <w:t>Control Objective</w:t>
      </w:r>
      <w:r>
        <w:rPr/>
        <w:t xml:space="preserve">: Upon termination of employment or contract, the organization revokes access rights for the user in a timely manner. </w:t>
      </w:r>
      <w:r>
        <w:rPr>
          <w:rStyle w:val="FootnoteAnchor"/>
          <w:rStyle w:val="FootnoteAnchor"/>
        </w:rPr>
        <w:footnoteReference w:id="309"/>
      </w:r>
    </w:p>
    <w:p>
      <w:pPr>
        <w:pStyle w:val="Normal"/>
        <w:rPr/>
      </w:pPr>
      <w:r>
        <w:rPr/>
      </w:r>
    </w:p>
    <w:p>
      <w:pPr>
        <w:pStyle w:val="Normal"/>
        <w:rPr/>
      </w:pPr>
      <w:r>
        <w:rPr>
          <w:rFonts w:cs="Calibri"/>
          <w:u w:val="single"/>
        </w:rPr>
        <w:t>Standard</w:t>
      </w:r>
      <w:r>
        <w:rPr>
          <w:rFonts w:cs="Calibri"/>
        </w:rPr>
        <w:t xml:space="preserve">: </w:t>
      </w:r>
      <w:r>
        <w:rPr/>
        <w:t xml:space="preserve">If a user resigns, the following should be accomplished as soon as possible, but no longer than twenty-four (24) hours from notification of a change in a user's status: </w:t>
      </w:r>
    </w:p>
    <w:p>
      <w:pPr>
        <w:pStyle w:val="ListParagraph"/>
        <w:numPr>
          <w:ilvl w:val="0"/>
          <w:numId w:val="347"/>
        </w:numPr>
        <w:tabs>
          <w:tab w:val="clear" w:pos="360"/>
          <w:tab w:val="clear" w:pos="720"/>
          <w:tab w:val="clear" w:pos="1080"/>
        </w:tabs>
        <w:rPr/>
      </w:pPr>
      <w:r>
        <w:rPr/>
        <w:t>The user's privileges and access must be revoked;</w:t>
      </w:r>
    </w:p>
    <w:p>
      <w:pPr>
        <w:pStyle w:val="ListParagraph"/>
        <w:numPr>
          <w:ilvl w:val="0"/>
          <w:numId w:val="347"/>
        </w:numPr>
        <w:tabs>
          <w:tab w:val="clear" w:pos="360"/>
          <w:tab w:val="clear" w:pos="720"/>
          <w:tab w:val="clear" w:pos="1080"/>
        </w:tabs>
        <w:rPr/>
      </w:pPr>
      <w:r>
        <w:rPr/>
        <w:t>The user’s passwords must be changed or the accounts disabled to preclude access;</w:t>
      </w:r>
    </w:p>
    <w:p>
      <w:pPr>
        <w:pStyle w:val="ListParagraph"/>
        <w:numPr>
          <w:ilvl w:val="0"/>
          <w:numId w:val="347"/>
        </w:numPr>
        <w:tabs>
          <w:tab w:val="clear" w:pos="360"/>
          <w:tab w:val="clear" w:pos="720"/>
          <w:tab w:val="clear" w:pos="1080"/>
        </w:tabs>
        <w:rPr/>
      </w:pPr>
      <w:r>
        <w:rPr/>
        <w:t>All shared passwords known by the user on all applicable systems must be changed;</w:t>
      </w:r>
    </w:p>
    <w:p>
      <w:pPr>
        <w:pStyle w:val="ListParagraph"/>
        <w:numPr>
          <w:ilvl w:val="0"/>
          <w:numId w:val="347"/>
        </w:numPr>
        <w:tabs>
          <w:tab w:val="clear" w:pos="360"/>
          <w:tab w:val="clear" w:pos="720"/>
          <w:tab w:val="clear" w:pos="1080"/>
        </w:tabs>
        <w:rPr/>
      </w:pPr>
      <w:r>
        <w:rPr/>
        <w:t>All privileged account passwords known by the user must be changed;</w:t>
      </w:r>
    </w:p>
    <w:p>
      <w:pPr>
        <w:pStyle w:val="ListParagraph"/>
        <w:numPr>
          <w:ilvl w:val="0"/>
          <w:numId w:val="347"/>
        </w:numPr>
        <w:tabs>
          <w:tab w:val="clear" w:pos="360"/>
          <w:tab w:val="clear" w:pos="720"/>
          <w:tab w:val="clear" w:pos="1080"/>
        </w:tabs>
        <w:rPr/>
      </w:pPr>
      <w:r>
        <w:rPr/>
        <w:t>Incoming mail for the user should be re-directed as directed by the user’s supervisor;</w:t>
      </w:r>
    </w:p>
    <w:p>
      <w:pPr>
        <w:pStyle w:val="ListParagraph"/>
        <w:numPr>
          <w:ilvl w:val="0"/>
          <w:numId w:val="347"/>
        </w:numPr>
        <w:tabs>
          <w:tab w:val="clear" w:pos="360"/>
          <w:tab w:val="clear" w:pos="720"/>
          <w:tab w:val="clear" w:pos="1080"/>
        </w:tabs>
        <w:rPr/>
      </w:pPr>
      <w:r>
        <w:rPr/>
        <w:t>After thirty (30) days, incoming mail should be disabled for the account, unless deemed necessary;</w:t>
      </w:r>
    </w:p>
    <w:p>
      <w:pPr>
        <w:pStyle w:val="ListParagraph"/>
        <w:numPr>
          <w:ilvl w:val="0"/>
          <w:numId w:val="347"/>
        </w:numPr>
        <w:tabs>
          <w:tab w:val="clear" w:pos="360"/>
          <w:tab w:val="clear" w:pos="720"/>
          <w:tab w:val="clear" w:pos="1080"/>
        </w:tabs>
        <w:rPr/>
      </w:pPr>
      <w:r>
        <w:rPr/>
        <w:t>All files owned by the user should be identified and either archived or ownership changed to a valid user;</w:t>
      </w:r>
    </w:p>
    <w:p>
      <w:pPr>
        <w:pStyle w:val="ListParagraph"/>
        <w:numPr>
          <w:ilvl w:val="0"/>
          <w:numId w:val="347"/>
        </w:numPr>
        <w:tabs>
          <w:tab w:val="clear" w:pos="360"/>
          <w:tab w:val="clear" w:pos="720"/>
          <w:tab w:val="clear" w:pos="1080"/>
        </w:tabs>
        <w:rPr/>
      </w:pPr>
      <w:r>
        <w:rPr/>
        <w:t>All automated scripts / batch jobs previously requested or previously submitted should be reviewed; and</w:t>
      </w:r>
    </w:p>
    <w:p>
      <w:pPr>
        <w:pStyle w:val="ListParagraph"/>
        <w:numPr>
          <w:ilvl w:val="0"/>
          <w:numId w:val="347"/>
        </w:numPr>
        <w:tabs>
          <w:tab w:val="clear" w:pos="360"/>
          <w:tab w:val="clear" w:pos="720"/>
          <w:tab w:val="clear" w:pos="1080"/>
        </w:tabs>
        <w:rPr/>
      </w:pPr>
      <w:r>
        <w:rPr/>
        <w:t xml:space="preserve">All NFCC property must be collected or accounted for, including but not limited to: </w:t>
      </w:r>
    </w:p>
    <w:p>
      <w:pPr>
        <w:pStyle w:val="ListParagraph"/>
        <w:numPr>
          <w:ilvl w:val="1"/>
          <w:numId w:val="347"/>
        </w:numPr>
        <w:tabs>
          <w:tab w:val="clear" w:pos="360"/>
          <w:tab w:val="clear" w:pos="720"/>
          <w:tab w:val="clear" w:pos="1080"/>
        </w:tabs>
        <w:rPr/>
      </w:pPr>
      <w:r>
        <w:rPr/>
        <w:t>Keys, lock combinations and identification badges;</w:t>
      </w:r>
    </w:p>
    <w:p>
      <w:pPr>
        <w:pStyle w:val="ListParagraph"/>
        <w:numPr>
          <w:ilvl w:val="1"/>
          <w:numId w:val="347"/>
        </w:numPr>
        <w:tabs>
          <w:tab w:val="clear" w:pos="360"/>
          <w:tab w:val="clear" w:pos="720"/>
          <w:tab w:val="clear" w:pos="1080"/>
        </w:tabs>
        <w:rPr/>
      </w:pPr>
      <w:r>
        <w:rPr/>
        <w:t>Sensitive data and documentation;</w:t>
      </w:r>
    </w:p>
    <w:p>
      <w:pPr>
        <w:pStyle w:val="ListParagraph"/>
        <w:numPr>
          <w:ilvl w:val="1"/>
          <w:numId w:val="347"/>
        </w:numPr>
        <w:tabs>
          <w:tab w:val="clear" w:pos="360"/>
          <w:tab w:val="clear" w:pos="720"/>
          <w:tab w:val="clear" w:pos="1080"/>
        </w:tabs>
        <w:rPr/>
      </w:pPr>
      <w:r>
        <w:rPr/>
        <w:t>Operator procedures;</w:t>
      </w:r>
    </w:p>
    <w:p>
      <w:pPr>
        <w:pStyle w:val="ListParagraph"/>
        <w:numPr>
          <w:ilvl w:val="1"/>
          <w:numId w:val="347"/>
        </w:numPr>
        <w:tabs>
          <w:tab w:val="clear" w:pos="360"/>
          <w:tab w:val="clear" w:pos="720"/>
          <w:tab w:val="clear" w:pos="1080"/>
        </w:tabs>
        <w:rPr/>
      </w:pPr>
      <w:r>
        <w:rPr/>
        <w:t>Program documentation;</w:t>
      </w:r>
    </w:p>
    <w:p>
      <w:pPr>
        <w:pStyle w:val="ListParagraph"/>
        <w:numPr>
          <w:ilvl w:val="1"/>
          <w:numId w:val="347"/>
        </w:numPr>
        <w:tabs>
          <w:tab w:val="clear" w:pos="360"/>
          <w:tab w:val="clear" w:pos="720"/>
          <w:tab w:val="clear" w:pos="1080"/>
        </w:tabs>
        <w:rPr/>
      </w:pPr>
      <w:r>
        <w:rPr/>
        <w:t>NFCC-owned equipment, pagers, notebook computers and tools; and</w:t>
      </w:r>
    </w:p>
    <w:p>
      <w:pPr>
        <w:pStyle w:val="ListParagraph"/>
        <w:numPr>
          <w:ilvl w:val="1"/>
          <w:numId w:val="347"/>
        </w:numPr>
        <w:tabs>
          <w:tab w:val="clear" w:pos="360"/>
          <w:tab w:val="clear" w:pos="720"/>
          <w:tab w:val="clear" w:pos="1080"/>
        </w:tabs>
        <w:rPr/>
      </w:pPr>
      <w:r>
        <w:rPr/>
        <w:t>Phone contact lists.</w:t>
      </w:r>
    </w:p>
    <w:p>
      <w:pPr>
        <w:pStyle w:val="Normal"/>
        <w:rPr/>
      </w:pPr>
      <w:r>
        <w:rPr/>
      </w:r>
    </w:p>
    <w:p>
      <w:pPr>
        <w:pStyle w:val="Normal"/>
        <w:rPr/>
      </w:pPr>
      <w:r>
        <w:rPr>
          <w:u w:val="single"/>
        </w:rPr>
        <w:t>Guidelines</w:t>
      </w:r>
      <w:r>
        <w:rPr/>
        <w:t>: None</w:t>
      </w:r>
    </w:p>
    <w:p>
      <w:pPr>
        <w:pStyle w:val="Normal"/>
        <w:tabs>
          <w:tab w:val="clear" w:pos="360"/>
          <w:tab w:val="clear" w:pos="720"/>
          <w:tab w:val="clear" w:pos="1080"/>
        </w:tabs>
        <w:jc w:val="left"/>
        <w:rPr/>
      </w:pPr>
      <w:r>
        <w:rPr/>
      </w:r>
    </w:p>
    <w:p>
      <w:pPr>
        <w:pStyle w:val="Normal"/>
        <w:tabs>
          <w:tab w:val="clear" w:pos="360"/>
          <w:tab w:val="clear" w:pos="720"/>
          <w:tab w:val="clear" w:pos="1080"/>
        </w:tabs>
        <w:jc w:val="left"/>
        <w:rPr>
          <w:rFonts w:eastAsia="Calibri" w:cs="Calibri"/>
          <w:b/>
          <w:b/>
          <w:bCs w:val="false"/>
          <w:smallCaps/>
          <w:color w:val="C00000"/>
          <w:sz w:val="24"/>
        </w:rPr>
      </w:pPr>
      <w:r>
        <w:rPr>
          <w:rFonts w:eastAsia="Calibri" w:cs="Calibri"/>
          <w:b/>
          <w:bCs w:val="false"/>
          <w:smallCaps/>
          <w:color w:val="C00000"/>
          <w:sz w:val="24"/>
        </w:rPr>
      </w:r>
    </w:p>
    <w:p>
      <w:pPr>
        <w:pStyle w:val="Heading2"/>
        <w:rPr/>
      </w:pPr>
      <w:bookmarkStart w:id="1008" w:name="_Toc34920905"/>
      <w:bookmarkStart w:id="1009" w:name="_Toc474075018"/>
      <w:bookmarkStart w:id="1010" w:name="_Toc474075643"/>
      <w:r>
        <w:rPr/>
        <w:t>IAC-08: Role-Based Access Control (RBAC)</w:t>
      </w:r>
      <w:bookmarkEnd w:id="1008"/>
      <w:bookmarkEnd w:id="1009"/>
      <w:bookmarkEnd w:id="1010"/>
      <w:r>
        <w:rPr/>
        <w:t xml:space="preserve"> </w:t>
      </w:r>
    </w:p>
    <w:p>
      <w:pPr>
        <w:pStyle w:val="Normal"/>
        <w:rPr/>
      </w:pPr>
      <w:r>
        <w:rPr>
          <w:u w:val="single"/>
        </w:rPr>
        <w:t>Control Objective</w:t>
      </w:r>
      <w:r>
        <w:rPr/>
        <w:t>: The organization enforces Role-Based Access Control (RBAC) mechanisms over users and resources, based upon roles and the users who are authorized to assume such roles.</w:t>
      </w:r>
      <w:r>
        <w:rPr>
          <w:rStyle w:val="FootnoteCharacters"/>
          <w:rFonts w:cs="Calibri"/>
        </w:rPr>
        <w:t xml:space="preserve"> </w:t>
      </w:r>
      <w:r>
        <w:rPr>
          <w:rStyle w:val="FootnoteAnchor"/>
          <w:rStyle w:val="FootnoteAnchor"/>
          <w:rFonts w:cs="Calibri"/>
        </w:rPr>
        <w:footnoteReference w:id="310"/>
      </w:r>
      <w:r>
        <w:rPr>
          <w:rFonts w:cs="Calibri"/>
        </w:rPr>
        <w:t xml:space="preserve"> </w:t>
      </w:r>
    </w:p>
    <w:p>
      <w:pPr>
        <w:pStyle w:val="Normal"/>
        <w:rPr/>
      </w:pPr>
      <w:r>
        <w:rPr/>
      </w:r>
    </w:p>
    <w:p>
      <w:pPr>
        <w:pStyle w:val="Normal"/>
        <w:rPr/>
      </w:pPr>
      <w:r>
        <w:rPr>
          <w:u w:val="single"/>
        </w:rPr>
        <w:t>Standard</w:t>
      </w:r>
      <w:r>
        <w:rPr/>
        <w:t>: All information stored on systems shall be protected with the file system, network share, claims, application or database specific access control lists. These Role-Based Access Control (RBAC) will enforce the principle that only authorized individuals should have access to the information based on their need to access the information as a part of their responsibilities through requiring access enforcement that:</w:t>
      </w:r>
      <w:r>
        <w:rPr>
          <w:rStyle w:val="FootnoteCharacters"/>
          <w:rFonts w:cs="Calibri"/>
        </w:rPr>
        <w:t xml:space="preserve"> </w:t>
      </w:r>
    </w:p>
    <w:p>
      <w:pPr>
        <w:pStyle w:val="ListParagraph"/>
        <w:numPr>
          <w:ilvl w:val="0"/>
          <w:numId w:val="348"/>
        </w:numPr>
        <w:rPr/>
      </w:pPr>
      <w:r>
        <w:rPr/>
        <w:t>Assigns privileges to individuals based on job classification and function; and</w:t>
      </w:r>
    </w:p>
    <w:p>
      <w:pPr>
        <w:pStyle w:val="ListParagraph"/>
        <w:numPr>
          <w:ilvl w:val="0"/>
          <w:numId w:val="348"/>
        </w:numPr>
        <w:rPr/>
      </w:pPr>
      <w:r>
        <w:rPr/>
        <w:t xml:space="preserve">Restricts access based on a user’s need to know and is set to “deny all” unless specifically allowed. </w:t>
      </w:r>
    </w:p>
    <w:p>
      <w:pPr>
        <w:pStyle w:val="Normal"/>
        <w:rPr/>
      </w:pPr>
      <w:r>
        <w:rPr/>
      </w:r>
    </w:p>
    <w:p>
      <w:pPr>
        <w:pStyle w:val="Normal"/>
        <w:rPr/>
      </w:pPr>
      <w:r>
        <w:rPr>
          <w:u w:val="single"/>
        </w:rPr>
        <w:t>Guidelines</w:t>
      </w:r>
      <w:r>
        <w:rPr/>
        <w:t>: RBAC is a type of Discretionary Access Control (DAC).</w:t>
      </w:r>
    </w:p>
    <w:p>
      <w:pPr>
        <w:pStyle w:val="Normal"/>
        <w:rPr/>
      </w:pPr>
      <w:r>
        <w:rPr/>
      </w:r>
    </w:p>
    <w:p>
      <w:pPr>
        <w:pStyle w:val="Normal"/>
        <w:rPr/>
      </w:pPr>
      <w:r>
        <w:rPr/>
      </w:r>
    </w:p>
    <w:p>
      <w:pPr>
        <w:pStyle w:val="Heading2"/>
        <w:rPr/>
      </w:pPr>
      <w:bookmarkStart w:id="1011" w:name="_Toc398527302"/>
      <w:bookmarkStart w:id="1012" w:name="_Toc474075019"/>
      <w:bookmarkStart w:id="1013" w:name="_Toc474075644"/>
      <w:bookmarkStart w:id="1014" w:name="_Toc34920906"/>
      <w:r>
        <w:rPr/>
        <w:t>IAC-09: Identifier Management (User Names)</w:t>
      </w:r>
      <w:bookmarkEnd w:id="1011"/>
      <w:bookmarkEnd w:id="1012"/>
      <w:bookmarkEnd w:id="1013"/>
      <w:bookmarkEnd w:id="1014"/>
    </w:p>
    <w:p>
      <w:pPr>
        <w:pStyle w:val="Normal"/>
        <w:rPr/>
      </w:pPr>
      <w:r>
        <w:rPr>
          <w:u w:val="single"/>
        </w:rPr>
        <w:t>Control Objective</w:t>
      </w:r>
      <w:r>
        <w:rPr/>
        <w:t>: The organization manages system identifiers for users and devices by:</w:t>
      </w:r>
      <w:r>
        <w:rPr>
          <w:rStyle w:val="FootnoteCharacters"/>
          <w:rFonts w:cs="Calibri"/>
        </w:rPr>
        <w:t xml:space="preserve"> </w:t>
      </w:r>
      <w:r>
        <w:rPr>
          <w:rStyle w:val="FootnoteAnchor"/>
          <w:rStyle w:val="FootnoteAnchor"/>
          <w:rFonts w:cs="Calibri"/>
        </w:rPr>
        <w:footnoteReference w:id="311"/>
      </w:r>
    </w:p>
    <w:p>
      <w:pPr>
        <w:pStyle w:val="ListParagraph"/>
        <w:numPr>
          <w:ilvl w:val="0"/>
          <w:numId w:val="97"/>
        </w:numPr>
        <w:rPr/>
      </w:pPr>
      <w:r>
        <w:rPr/>
        <w:t>Receiving authorization from a designated organizational official to assign a user or device identifier;</w:t>
      </w:r>
    </w:p>
    <w:p>
      <w:pPr>
        <w:pStyle w:val="ListParagraph"/>
        <w:numPr>
          <w:ilvl w:val="0"/>
          <w:numId w:val="97"/>
        </w:numPr>
        <w:rPr/>
      </w:pPr>
      <w:r>
        <w:rPr/>
        <w:t>Selecting an identifier that uniquely identifies an individual or device;</w:t>
      </w:r>
    </w:p>
    <w:p>
      <w:pPr>
        <w:pStyle w:val="ListParagraph"/>
        <w:numPr>
          <w:ilvl w:val="0"/>
          <w:numId w:val="97"/>
        </w:numPr>
        <w:rPr/>
      </w:pPr>
      <w:r>
        <w:rPr/>
        <w:t>Assigning the user identifier to the intended party or the device identifier to the intended device; and</w:t>
      </w:r>
    </w:p>
    <w:p>
      <w:pPr>
        <w:pStyle w:val="ListParagraph"/>
        <w:numPr>
          <w:ilvl w:val="0"/>
          <w:numId w:val="97"/>
        </w:numPr>
        <w:rPr/>
      </w:pPr>
      <w:r>
        <w:rPr/>
        <w:t>Preventing reuse of user or device identifiers.</w:t>
      </w:r>
      <w:r>
        <w:fldChar w:fldCharType="begin"/>
      </w:r>
      <w:r>
        <w:rPr/>
        <w:instrText> XE "User Names: : " </w:instrText>
      </w:r>
      <w:r>
        <w:rPr/>
        <w:fldChar w:fldCharType="separate"/>
      </w:r>
      <w:r>
        <w:rPr/>
      </w:r>
      <w:r>
        <w:rPr/>
        <w:fldChar w:fldCharType="end"/>
      </w:r>
    </w:p>
    <w:p>
      <w:pPr>
        <w:pStyle w:val="Normal"/>
        <w:rPr/>
      </w:pPr>
      <w:r>
        <w:rPr/>
      </w:r>
    </w:p>
    <w:p>
      <w:pPr>
        <w:pStyle w:val="Normal"/>
        <w:rPr/>
      </w:pPr>
      <w:r>
        <w:rPr>
          <w:u w:val="single"/>
        </w:rPr>
        <w:t>Standard</w:t>
      </w:r>
      <w:r>
        <w:rPr/>
        <w:t>: NFCC is required to ensure proper user identification management for all standard and privileged users on all systems, as follows:</w:t>
      </w:r>
      <w:r>
        <w:rPr>
          <w:rStyle w:val="FootnoteCharacters"/>
          <w:rFonts w:cs="Calibri"/>
        </w:rPr>
        <w:t xml:space="preserve"> </w:t>
      </w:r>
    </w:p>
    <w:p>
      <w:pPr>
        <w:pStyle w:val="ListParagraph"/>
        <w:numPr>
          <w:ilvl w:val="0"/>
          <w:numId w:val="349"/>
        </w:numPr>
        <w:rPr/>
      </w:pPr>
      <w:r>
        <w:rPr/>
        <w:t>Ensure that only authorized users are provided with user IDs;</w:t>
      </w:r>
      <w:r>
        <w:fldChar w:fldCharType="begin"/>
      </w:r>
      <w:r>
        <w:rPr/>
        <w:instrText> XE "Identifiers:User Names: : " </w:instrText>
      </w:r>
      <w:r>
        <w:rPr/>
        <w:fldChar w:fldCharType="separate"/>
      </w:r>
      <w:r>
        <w:rPr/>
      </w:r>
      <w:r>
        <w:rPr/>
        <w:fldChar w:fldCharType="end"/>
      </w:r>
    </w:p>
    <w:p>
      <w:pPr>
        <w:pStyle w:val="ListParagraph"/>
        <w:numPr>
          <w:ilvl w:val="0"/>
          <w:numId w:val="349"/>
        </w:numPr>
        <w:rPr/>
      </w:pPr>
      <w:r>
        <w:rPr/>
        <w:t>Ensure that user names and service accounts are uniquely named and in a manner consistent with organizationally defined guidelines; and</w:t>
      </w:r>
      <w:r>
        <w:fldChar w:fldCharType="begin"/>
      </w:r>
      <w:r>
        <w:rPr/>
        <w:instrText> XE "Identifiers:Service Accounts: : " </w:instrText>
      </w:r>
      <w:r>
        <w:rPr/>
        <w:fldChar w:fldCharType="separate"/>
      </w:r>
      <w:r>
        <w:rPr/>
      </w:r>
      <w:r>
        <w:rPr/>
        <w:fldChar w:fldCharType="end"/>
      </w:r>
    </w:p>
    <w:p>
      <w:pPr>
        <w:pStyle w:val="ListParagraph"/>
        <w:numPr>
          <w:ilvl w:val="0"/>
          <w:numId w:val="349"/>
        </w:numPr>
        <w:rPr/>
      </w:pPr>
      <w:r>
        <w:rPr/>
        <w:t>Require written authorization by a supervisor or manager to receive a user ID.</w:t>
      </w:r>
    </w:p>
    <w:p>
      <w:pPr>
        <w:pStyle w:val="Normal"/>
        <w:rPr/>
      </w:pPr>
      <w:r>
        <w:rPr/>
      </w:r>
    </w:p>
    <w:p>
      <w:pPr>
        <w:pStyle w:val="Normal"/>
        <w:rPr/>
      </w:pPr>
      <w:r>
        <w:rPr>
          <w:u w:val="single"/>
        </w:rPr>
        <w:t>Guidelines</w:t>
      </w:r>
      <w:r>
        <w:rPr/>
        <w:t>: Management of individual identifiers is not applicable to shared system accounts (e.g., guest and anonymous accounts). Typically, individual identifiers are the names of the system accounts associated with those individuals. Preventing reuse of identifiers implies preventing the assignment of a previously used individual, group, role or device identifiers to different individuals, groups, roles or devices.</w:t>
      </w:r>
    </w:p>
    <w:p>
      <w:pPr>
        <w:pStyle w:val="Normal"/>
        <w:rPr/>
      </w:pPr>
      <w:r>
        <w:rPr/>
      </w:r>
    </w:p>
    <w:p>
      <w:pPr>
        <w:pStyle w:val="Heading3"/>
        <w:rPr/>
      </w:pPr>
      <w:bookmarkStart w:id="1015" w:name="_Toc474075020"/>
      <w:bookmarkStart w:id="1016" w:name="_Toc34920907"/>
      <w:r>
        <w:rPr/>
        <w:t>IAC-09(a): Identifier Management | User Identity (ID) Management</w:t>
      </w:r>
      <w:bookmarkEnd w:id="1015"/>
      <w:bookmarkEnd w:id="1016"/>
      <w:r>
        <w:rPr/>
        <w:t xml:space="preserve"> </w:t>
      </w:r>
    </w:p>
    <w:p>
      <w:pPr>
        <w:pStyle w:val="Normal"/>
        <w:rPr/>
      </w:pPr>
      <w:r>
        <w:rPr>
          <w:u w:val="single"/>
        </w:rPr>
        <w:t>Control Objective</w:t>
      </w:r>
      <w:r>
        <w:rPr/>
        <w:t>: The organization defines and implements policies and procedures to ensure proper user identification management users on all system components.</w:t>
      </w:r>
      <w:r>
        <w:rPr>
          <w:rStyle w:val="FootnoteCharacters"/>
          <w:rFonts w:cs="Calibri"/>
        </w:rPr>
        <w:t xml:space="preserve"> </w:t>
      </w:r>
      <w:r>
        <w:rPr>
          <w:rStyle w:val="FootnoteAnchor"/>
          <w:rStyle w:val="FootnoteAnchor"/>
          <w:rFonts w:cs="Calibri"/>
        </w:rPr>
        <w:footnoteReference w:id="312"/>
      </w:r>
    </w:p>
    <w:p>
      <w:pPr>
        <w:pStyle w:val="Normal"/>
        <w:rPr/>
      </w:pPr>
      <w:r>
        <w:rPr/>
      </w:r>
    </w:p>
    <w:p>
      <w:pPr>
        <w:pStyle w:val="Normal"/>
        <w:rPr/>
      </w:pPr>
      <w:r>
        <w:rPr>
          <w:u w:val="single"/>
        </w:rPr>
        <w:t>Standard</w:t>
      </w:r>
      <w:r>
        <w:rPr/>
        <w:t>: Asset custodians are required to assign all non-consumer users a unique user identification (ID before allowing them to access system components. User identification controls include the following:</w:t>
      </w:r>
      <w:r>
        <w:rPr>
          <w:rStyle w:val="FootnoteCharacters"/>
          <w:rFonts w:cs="Calibri"/>
        </w:rPr>
        <w:t xml:space="preserve"> </w:t>
      </w:r>
    </w:p>
    <w:p>
      <w:pPr>
        <w:pStyle w:val="ListParagraph"/>
        <w:numPr>
          <w:ilvl w:val="0"/>
          <w:numId w:val="350"/>
        </w:numPr>
        <w:rPr/>
      </w:pPr>
      <w:r>
        <w:rPr/>
        <w:t>Controlling addition, deletion and modification of user IDs, credentials and other identifier objects;</w:t>
      </w:r>
      <w:r>
        <w:rPr>
          <w:rStyle w:val="FootnoteCharacters"/>
          <w:rFonts w:cs="Calibri"/>
        </w:rPr>
        <w:t xml:space="preserve"> </w:t>
      </w:r>
    </w:p>
    <w:p>
      <w:pPr>
        <w:pStyle w:val="ListParagraph"/>
        <w:numPr>
          <w:ilvl w:val="0"/>
          <w:numId w:val="350"/>
        </w:numPr>
        <w:rPr/>
      </w:pPr>
      <w:r>
        <w:rPr/>
        <w:t>Revoking access for any terminated users within twenty-four (24) hours of employment status change;</w:t>
      </w:r>
      <w:r>
        <w:rPr>
          <w:rStyle w:val="FootnoteCharacters"/>
          <w:rFonts w:cs="Calibri"/>
        </w:rPr>
        <w:t xml:space="preserve"> </w:t>
      </w:r>
    </w:p>
    <w:p>
      <w:pPr>
        <w:pStyle w:val="ListParagraph"/>
        <w:numPr>
          <w:ilvl w:val="0"/>
          <w:numId w:val="350"/>
        </w:numPr>
        <w:rPr/>
      </w:pPr>
      <w:r>
        <w:rPr/>
        <w:t>Removing or disabling inactive user accounts that have been inactive for ninety (90) days or more;</w:t>
      </w:r>
      <w:r>
        <w:rPr>
          <w:rStyle w:val="FootnoteCharacters"/>
          <w:rFonts w:cs="Calibri"/>
        </w:rPr>
        <w:t xml:space="preserve"> </w:t>
      </w:r>
    </w:p>
    <w:p>
      <w:pPr>
        <w:pStyle w:val="ListParagraph"/>
        <w:numPr>
          <w:ilvl w:val="0"/>
          <w:numId w:val="350"/>
        </w:numPr>
        <w:rPr/>
      </w:pPr>
      <w:r>
        <w:rPr/>
        <w:t>Managing user accounts assigned to vendors that are used to access, support or maintain system components via remote access:</w:t>
      </w:r>
      <w:r>
        <w:rPr>
          <w:rStyle w:val="FootnoteCharacters"/>
          <w:rFonts w:cs="Calibri"/>
        </w:rPr>
        <w:t xml:space="preserve"> </w:t>
      </w:r>
    </w:p>
    <w:p>
      <w:pPr>
        <w:pStyle w:val="ListParagraph"/>
        <w:numPr>
          <w:ilvl w:val="1"/>
          <w:numId w:val="350"/>
        </w:numPr>
        <w:rPr/>
      </w:pPr>
      <w:r>
        <w:rPr/>
        <w:t>Enabling the accounts only during the time period needed and disabled when not in use; and</w:t>
      </w:r>
    </w:p>
    <w:p>
      <w:pPr>
        <w:pStyle w:val="ListParagraph"/>
        <w:numPr>
          <w:ilvl w:val="1"/>
          <w:numId w:val="350"/>
        </w:numPr>
        <w:rPr/>
      </w:pPr>
      <w:r>
        <w:rPr/>
        <w:t>Monitoring the accounts when in use;</w:t>
      </w:r>
    </w:p>
    <w:p>
      <w:pPr>
        <w:pStyle w:val="ListParagraph"/>
        <w:numPr>
          <w:ilvl w:val="0"/>
          <w:numId w:val="350"/>
        </w:numPr>
        <w:rPr/>
      </w:pPr>
      <w:r>
        <w:rPr/>
        <w:t>Limiting repeated access attempts be locked out after not more than six (6) invalid login attempts;</w:t>
      </w:r>
      <w:r>
        <w:rPr>
          <w:rStyle w:val="FootnoteCharacters"/>
          <w:rFonts w:cs="Calibri"/>
        </w:rPr>
        <w:t xml:space="preserve"> </w:t>
      </w:r>
    </w:p>
    <w:p>
      <w:pPr>
        <w:pStyle w:val="ListParagraph"/>
        <w:numPr>
          <w:ilvl w:val="0"/>
          <w:numId w:val="350"/>
        </w:numPr>
        <w:rPr/>
      </w:pPr>
      <w:r>
        <w:rPr/>
        <w:t>Setting lockout durations to a minimum of thirty (30) minutes or until an administrator enables the user ID;</w:t>
      </w:r>
      <w:r>
        <w:rPr>
          <w:rStyle w:val="FootnoteCharacters"/>
          <w:rFonts w:cs="Calibri"/>
        </w:rPr>
        <w:t xml:space="preserve"> </w:t>
      </w:r>
      <w:r>
        <w:rPr/>
        <w:t>and</w:t>
      </w:r>
    </w:p>
    <w:p>
      <w:pPr>
        <w:pStyle w:val="ListParagraph"/>
        <w:numPr>
          <w:ilvl w:val="0"/>
          <w:numId w:val="350"/>
        </w:numPr>
        <w:rPr/>
      </w:pPr>
      <w:r>
        <w:rPr/>
        <w:t>Require users to re-authenticate if a session has been idle for more than fifteen (15) minutes to re-activate the terminal or session.</w:t>
      </w:r>
      <w:r>
        <w:rPr>
          <w:rStyle w:val="FootnoteCharacters"/>
          <w:rFonts w:cs="Calibri"/>
        </w:rPr>
        <w:t xml:space="preserve"> </w:t>
      </w:r>
    </w:p>
    <w:p>
      <w:pPr>
        <w:pStyle w:val="Normal"/>
        <w:rPr/>
      </w:pPr>
      <w:r>
        <w:rPr/>
      </w:r>
    </w:p>
    <w:p>
      <w:pPr>
        <w:pStyle w:val="Normal"/>
        <w:rPr/>
      </w:pPr>
      <w:r>
        <w:rPr>
          <w:u w:val="single"/>
        </w:rPr>
        <w:t>Guidelines</w:t>
      </w:r>
      <w:r>
        <w:rPr/>
        <w:t>: As an example of uniqueness, the difference can be adding a designator to the end of the username, such as a number. Examples include:</w:t>
      </w:r>
    </w:p>
    <w:p>
      <w:pPr>
        <w:pStyle w:val="ListParagraph"/>
        <w:numPr>
          <w:ilvl w:val="0"/>
          <w:numId w:val="99"/>
        </w:numPr>
        <w:rPr/>
      </w:pPr>
      <w:r>
        <w:rPr/>
        <w:t>First user in the system named “John Smith”: John.Smith or JSMITH</w:t>
      </w:r>
    </w:p>
    <w:p>
      <w:pPr>
        <w:pStyle w:val="ListParagraph"/>
        <w:numPr>
          <w:ilvl w:val="0"/>
          <w:numId w:val="99"/>
        </w:numPr>
        <w:rPr/>
      </w:pPr>
      <w:r>
        <w:rPr/>
        <w:t>Second user in the system named “John Smith”: John.Smith1 or JSMITH1</w:t>
      </w:r>
    </w:p>
    <w:p>
      <w:pPr>
        <w:pStyle w:val="ListParagraph"/>
        <w:numPr>
          <w:ilvl w:val="0"/>
          <w:numId w:val="99"/>
        </w:numPr>
        <w:rPr/>
      </w:pPr>
      <w:r>
        <w:rPr/>
        <w:t>Third user in the system named “John Smith”: John.Smith2 or JSMITH2</w:t>
      </w:r>
      <w:bookmarkStart w:id="1017" w:name="_Toc398527300"/>
      <w:bookmarkEnd w:id="1017"/>
    </w:p>
    <w:p>
      <w:pPr>
        <w:pStyle w:val="Normal"/>
        <w:rPr/>
      </w:pPr>
      <w:r>
        <w:rPr/>
      </w:r>
    </w:p>
    <w:p>
      <w:pPr>
        <w:pStyle w:val="Heading3"/>
        <w:rPr/>
      </w:pPr>
      <w:bookmarkStart w:id="1018" w:name="_Toc474075021"/>
      <w:bookmarkStart w:id="1019" w:name="_Toc34920908"/>
      <w:r>
        <w:rPr/>
        <w:t>IAC-09(b): Identifier Management | Identity User Status</w:t>
      </w:r>
      <w:bookmarkEnd w:id="1018"/>
      <w:bookmarkEnd w:id="1019"/>
    </w:p>
    <w:p>
      <w:pPr>
        <w:pStyle w:val="Normal"/>
        <w:rPr/>
      </w:pPr>
      <w:r>
        <w:rPr>
          <w:u w:val="single"/>
        </w:rPr>
        <w:t>Control Objective</w:t>
      </w:r>
      <w:r>
        <w:rPr/>
        <w:t>: The organization identifies individuals with unique username characteristics that correspond to employment status.</w:t>
      </w:r>
      <w:r>
        <w:rPr>
          <w:rStyle w:val="FootnoteAnchor"/>
          <w:rStyle w:val="FootnoteAnchor"/>
        </w:rPr>
        <w:footnoteReference w:id="313"/>
      </w:r>
    </w:p>
    <w:p>
      <w:pPr>
        <w:pStyle w:val="Normal"/>
        <w:rPr/>
      </w:pPr>
      <w:r>
        <w:rPr/>
      </w:r>
    </w:p>
    <w:p>
      <w:pPr>
        <w:pStyle w:val="Normal"/>
        <w:rPr/>
      </w:pPr>
      <w:r>
        <w:rPr>
          <w:u w:val="single"/>
        </w:rPr>
        <w:t>Standard</w:t>
      </w:r>
      <w:r>
        <w:rPr/>
        <w:t>: Where technically feasible, NFCC shall identify individuals with unique username characteristics that correspond to employment status.</w:t>
      </w:r>
    </w:p>
    <w:p>
      <w:pPr>
        <w:pStyle w:val="Normal"/>
        <w:rPr/>
      </w:pPr>
      <w:r>
        <w:rPr/>
      </w:r>
    </w:p>
    <w:p>
      <w:pPr>
        <w:pStyle w:val="Normal"/>
        <w:rPr/>
      </w:pPr>
      <w:r>
        <w:rPr>
          <w:u w:val="single"/>
        </w:rPr>
        <w:t>Guidelines</w:t>
      </w:r>
      <w:r>
        <w:rPr/>
        <w:t>: Characteristics identifying the status of individuals include, for example, contractors and foreign nationals. Identifying the status of individuals by specific characteristics provides additional information about the people with whom organizational personnel are communicating. For example, it might be useful for a government employee to know that one of the individuals on an email message is a contractor.</w:t>
      </w:r>
    </w:p>
    <w:p>
      <w:pPr>
        <w:pStyle w:val="Normal"/>
        <w:rPr/>
      </w:pPr>
      <w:r>
        <w:rPr/>
      </w:r>
    </w:p>
    <w:p>
      <w:pPr>
        <w:pStyle w:val="Heading3"/>
        <w:rPr/>
      </w:pPr>
      <w:bookmarkStart w:id="1020" w:name="_Toc474075022"/>
      <w:bookmarkStart w:id="1021" w:name="_Toc34920909"/>
      <w:r>
        <w:rPr/>
        <w:t>IAC-09(c): Identifier Management | Dynamic Management</w:t>
      </w:r>
      <w:bookmarkEnd w:id="1020"/>
      <w:bookmarkEnd w:id="1021"/>
    </w:p>
    <w:p>
      <w:pPr>
        <w:pStyle w:val="Normal"/>
        <w:rPr/>
      </w:pPr>
      <w:r>
        <w:rPr>
          <w:u w:val="single"/>
        </w:rPr>
        <w:t>Control Objective</w:t>
      </w:r>
      <w:r>
        <w:rPr/>
        <w:t>: Systems dynamically manage identifiers.</w:t>
      </w:r>
      <w:r>
        <w:rPr>
          <w:rStyle w:val="FootnoteAnchor"/>
          <w:rStyle w:val="FootnoteAnchor"/>
          <w:rFonts w:cs="Calibri"/>
        </w:rPr>
        <w:footnoteReference w:id="314"/>
      </w:r>
    </w:p>
    <w:p>
      <w:pPr>
        <w:pStyle w:val="Normal"/>
        <w:rPr/>
      </w:pPr>
      <w:r>
        <w:rPr/>
      </w:r>
    </w:p>
    <w:p>
      <w:pPr>
        <w:pStyle w:val="Normal"/>
        <w:rPr/>
      </w:pPr>
      <w:r>
        <w:rPr>
          <w:u w:val="single"/>
        </w:rPr>
        <w:t>Standard</w:t>
      </w:r>
      <w:r>
        <w:rPr/>
        <w:t>: Where technically feasible, systems shall dynamically manage identifiers.</w:t>
      </w:r>
    </w:p>
    <w:p>
      <w:pPr>
        <w:pStyle w:val="Normal"/>
        <w:rPr/>
      </w:pPr>
      <w:r>
        <w:rPr/>
      </w:r>
    </w:p>
    <w:p>
      <w:pPr>
        <w:pStyle w:val="Normal"/>
        <w:rPr/>
      </w:pPr>
      <w:r>
        <w:rPr>
          <w:u w:val="single"/>
        </w:rPr>
        <w:t>Guidelines</w:t>
      </w:r>
      <w:r>
        <w:rPr/>
        <w:t>: In contrast to conventional approaches to identification which presume static accounts for preregistered users, many distributed systems including, for example, service-oriented architectures, rely on establishing identifiers at run time for entities that were previously unknown. In these situations, organizations anticipate and provision for the dynamic establishment of identifiers. Pre-established trust relationships and mechanisms with appropriate authorities to validate identities and related credentials are essential.</w:t>
      </w:r>
    </w:p>
    <w:p>
      <w:pPr>
        <w:pStyle w:val="Normal"/>
        <w:rPr/>
      </w:pPr>
      <w:r>
        <w:rPr/>
      </w:r>
    </w:p>
    <w:p>
      <w:pPr>
        <w:pStyle w:val="Heading3"/>
        <w:rPr/>
      </w:pPr>
      <w:bookmarkStart w:id="1022" w:name="_Toc474075023"/>
      <w:bookmarkStart w:id="1023" w:name="_Toc34920910"/>
      <w:r>
        <w:rPr/>
        <w:t>IAC-09(d): Identifier Management | Cross-Organization Management</w:t>
      </w:r>
      <w:bookmarkEnd w:id="1022"/>
      <w:bookmarkEnd w:id="1023"/>
    </w:p>
    <w:p>
      <w:pPr>
        <w:pStyle w:val="Normal"/>
        <w:rPr/>
      </w:pPr>
      <w:r>
        <w:rPr>
          <w:u w:val="single"/>
        </w:rPr>
        <w:t>Control Objective</w:t>
      </w:r>
      <w:r>
        <w:rPr/>
        <w:t>: The organization coordinates with external organizations for cross-organization management of identifiers.</w:t>
      </w:r>
      <w:r>
        <w:rPr>
          <w:rStyle w:val="FootnoteAnchor"/>
          <w:rStyle w:val="FootnoteAnchor"/>
          <w:rFonts w:cs="Calibri"/>
        </w:rPr>
        <w:footnoteReference w:id="315"/>
      </w:r>
    </w:p>
    <w:p>
      <w:pPr>
        <w:pStyle w:val="Normal"/>
        <w:rPr/>
      </w:pPr>
      <w:r>
        <w:rPr/>
      </w:r>
    </w:p>
    <w:p>
      <w:pPr>
        <w:pStyle w:val="Normal"/>
        <w:rPr/>
      </w:pPr>
      <w:r>
        <w:rPr>
          <w:u w:val="single"/>
        </w:rPr>
        <w:t>Standard</w:t>
      </w:r>
      <w:r>
        <w:rPr/>
        <w:t>: Where technically feasible, NFCC shall coordinate with external organizations for cross-organization management of identifiers.</w:t>
      </w:r>
    </w:p>
    <w:p>
      <w:pPr>
        <w:pStyle w:val="Normal"/>
        <w:rPr/>
      </w:pPr>
      <w:r>
        <w:rPr/>
      </w:r>
    </w:p>
    <w:p>
      <w:pPr>
        <w:pStyle w:val="Normal"/>
        <w:rPr/>
      </w:pPr>
      <w:r>
        <w:rPr>
          <w:u w:val="single"/>
        </w:rPr>
        <w:t>Guidelines</w:t>
      </w:r>
      <w:r>
        <w:rPr/>
        <w:t>: Cross-organization identifier management provides the capability for organizations to appropriately identify individuals, groups, roles or devices when conducting cross-organization activities involving the processing, storage or transmission of information.</w:t>
      </w:r>
    </w:p>
    <w:p>
      <w:pPr>
        <w:pStyle w:val="Normal"/>
        <w:rPr/>
      </w:pPr>
      <w:r>
        <w:rPr/>
      </w:r>
    </w:p>
    <w:p>
      <w:pPr>
        <w:pStyle w:val="Heading3"/>
        <w:rPr/>
      </w:pPr>
      <w:bookmarkStart w:id="1024" w:name="_Toc474075024"/>
      <w:bookmarkStart w:id="1025" w:name="_Toc34920911"/>
      <w:r>
        <w:rPr/>
        <w:t>IAC-09(e): Identifier Management | Privileged Account Identifiers</w:t>
      </w:r>
      <w:bookmarkEnd w:id="1024"/>
      <w:bookmarkEnd w:id="1025"/>
    </w:p>
    <w:p>
      <w:pPr>
        <w:pStyle w:val="Normal"/>
        <w:rPr/>
      </w:pPr>
      <w:r>
        <w:rPr>
          <w:u w:val="single"/>
        </w:rPr>
        <w:t>Control Objective</w:t>
      </w:r>
      <w:r>
        <w:rPr/>
        <w:t>: The organization manages system identifiers for privileged users by:</w:t>
      </w:r>
    </w:p>
    <w:p>
      <w:pPr>
        <w:pStyle w:val="ListParagraph"/>
        <w:numPr>
          <w:ilvl w:val="0"/>
          <w:numId w:val="98"/>
        </w:numPr>
        <w:rPr/>
      </w:pPr>
      <w:r>
        <w:rPr/>
        <w:t>Receiving authorization from a designated organizational official to assign a privileged user identifier; and</w:t>
      </w:r>
    </w:p>
    <w:p>
      <w:pPr>
        <w:pStyle w:val="ListParagraph"/>
        <w:numPr>
          <w:ilvl w:val="0"/>
          <w:numId w:val="98"/>
        </w:numPr>
        <w:rPr/>
      </w:pPr>
      <w:r>
        <w:rPr/>
        <w:t>Selecting an identifier that uniquely identifies the privileged user.</w:t>
      </w:r>
      <w:r>
        <w:fldChar w:fldCharType="begin"/>
      </w:r>
      <w:r>
        <w:rPr/>
        <w:instrText> XE "Identifiers:Privileged Accounts: : " </w:instrText>
      </w:r>
      <w:r>
        <w:rPr/>
        <w:fldChar w:fldCharType="separate"/>
      </w:r>
      <w:r>
        <w:rPr/>
      </w:r>
      <w:r>
        <w:rPr/>
        <w:fldChar w:fldCharType="end"/>
      </w:r>
    </w:p>
    <w:p>
      <w:pPr>
        <w:pStyle w:val="Normal"/>
        <w:rPr/>
      </w:pPr>
      <w:r>
        <w:rPr/>
      </w:r>
    </w:p>
    <w:p>
      <w:pPr>
        <w:pStyle w:val="Normal"/>
        <w:rPr/>
      </w:pPr>
      <w:r>
        <w:rPr>
          <w:u w:val="single"/>
        </w:rPr>
        <w:t>Standard</w:t>
      </w:r>
      <w:r>
        <w:rPr/>
        <w:t>: NFCC requires privileged user accounts to be:</w:t>
      </w:r>
    </w:p>
    <w:p>
      <w:pPr>
        <w:pStyle w:val="ListParagraph"/>
        <w:numPr>
          <w:ilvl w:val="0"/>
          <w:numId w:val="351"/>
        </w:numPr>
        <w:rPr/>
      </w:pPr>
      <w:r>
        <w:rPr/>
        <w:t>A unique account, separate from a standard user account; and</w:t>
      </w:r>
    </w:p>
    <w:p>
      <w:pPr>
        <w:pStyle w:val="ListParagraph"/>
        <w:numPr>
          <w:ilvl w:val="0"/>
          <w:numId w:val="351"/>
        </w:numPr>
        <w:rPr/>
      </w:pPr>
      <w:r>
        <w:rPr/>
        <w:t xml:space="preserve">Used only when necessary for running privileged functions. </w:t>
      </w:r>
    </w:p>
    <w:p>
      <w:pPr>
        <w:pStyle w:val="Normal"/>
        <w:rPr/>
      </w:pPr>
      <w:r>
        <w:rPr/>
      </w:r>
    </w:p>
    <w:p>
      <w:pPr>
        <w:pStyle w:val="Normal"/>
        <w:rPr/>
      </w:pPr>
      <w:r>
        <w:rPr>
          <w:u w:val="single"/>
        </w:rPr>
        <w:t>Guidelines</w:t>
      </w:r>
      <w:r>
        <w:rPr/>
        <w:t>: As an example of uniqueness, the difference can be adding a designator to the end of the username, such as an “A” for administrator. Examples include:</w:t>
      </w:r>
    </w:p>
    <w:p>
      <w:pPr>
        <w:pStyle w:val="ListParagraph"/>
        <w:numPr>
          <w:ilvl w:val="0"/>
          <w:numId w:val="99"/>
        </w:numPr>
        <w:rPr/>
      </w:pPr>
      <w:r>
        <w:rPr/>
        <w:t>Standard user named John Smith: JSMITH1</w:t>
      </w:r>
    </w:p>
    <w:p>
      <w:pPr>
        <w:pStyle w:val="ListParagraph"/>
        <w:numPr>
          <w:ilvl w:val="0"/>
          <w:numId w:val="99"/>
        </w:numPr>
        <w:rPr/>
      </w:pPr>
      <w:r>
        <w:rPr/>
        <w:t>Privileged user named John Smith: A.JSMITH1</w:t>
      </w:r>
    </w:p>
    <w:p>
      <w:pPr>
        <w:pStyle w:val="Normal"/>
        <w:tabs>
          <w:tab w:val="clear" w:pos="360"/>
          <w:tab w:val="clear" w:pos="720"/>
          <w:tab w:val="clear" w:pos="1080"/>
        </w:tabs>
        <w:jc w:val="left"/>
        <w:rPr/>
      </w:pPr>
      <w:r>
        <w:rPr/>
      </w:r>
    </w:p>
    <w:p>
      <w:pPr>
        <w:pStyle w:val="Heading3"/>
        <w:rPr/>
      </w:pPr>
      <w:bookmarkStart w:id="1026" w:name="_Toc34920912"/>
      <w:r>
        <w:rPr/>
        <w:t>IAC-09(f): Identifier Management | Pairwise Pseudonymous Identifiers (PPID)</w:t>
      </w:r>
      <w:bookmarkEnd w:id="1026"/>
    </w:p>
    <w:p>
      <w:pPr>
        <w:pStyle w:val="Normal"/>
        <w:rPr/>
      </w:pPr>
      <w:r>
        <w:rPr>
          <w:u w:val="single"/>
        </w:rPr>
        <w:t>Control Objective</w:t>
      </w:r>
      <w:r>
        <w:rPr/>
        <w:t>: The organization generates pairwise pseudonymous identifiers with no identifying information about a subscriber to discourage activity tracking and profiling of the subscriber.</w:t>
      </w:r>
      <w:r>
        <w:fldChar w:fldCharType="begin"/>
      </w:r>
      <w:r>
        <w:rPr/>
        <w:instrText> XE "Identifiers:Privileged Accounts: : " </w:instrText>
      </w:r>
      <w:r>
        <w:rPr/>
        <w:fldChar w:fldCharType="separate"/>
      </w:r>
      <w:r>
        <w:rPr/>
      </w:r>
      <w:r>
        <w:rPr/>
        <w:fldChar w:fldCharType="end"/>
      </w:r>
    </w:p>
    <w:p>
      <w:pPr>
        <w:pStyle w:val="Normal"/>
        <w:rPr/>
      </w:pPr>
      <w:r>
        <w:rPr/>
      </w:r>
    </w:p>
    <w:p>
      <w:pPr>
        <w:pStyle w:val="Normal"/>
        <w:rPr/>
      </w:pPr>
      <w:r>
        <w:rPr>
          <w:u w:val="single"/>
        </w:rPr>
        <w:t>Standard</w:t>
      </w:r>
      <w:r>
        <w:rPr/>
        <w:t xml:space="preserve">: </w:t>
      </w:r>
      <w:r>
        <w:rPr>
          <w:bCs w:val="false"/>
        </w:rPr>
        <w:t>Where technically feasible and justified by a valid business case, NFCC requires the generation of pairwise pseudonymous identifiers.</w:t>
      </w:r>
    </w:p>
    <w:p>
      <w:pPr>
        <w:pStyle w:val="Normal"/>
        <w:rPr/>
      </w:pPr>
      <w:r>
        <w:rPr/>
      </w:r>
    </w:p>
    <w:p>
      <w:pPr>
        <w:pStyle w:val="Normal"/>
        <w:rPr>
          <w:bCs w:val="false"/>
        </w:rPr>
      </w:pPr>
      <w:r>
        <w:rPr>
          <w:u w:val="single"/>
        </w:rPr>
        <w:t>Guidelines</w:t>
      </w:r>
      <w:r>
        <w:rPr/>
        <w:t xml:space="preserve">: </w:t>
      </w:r>
      <w:r>
        <w:rPr>
          <w:bCs w:val="false"/>
        </w:rPr>
        <w:t>Generating distinct pairwise pseudonymous identifiers, with no identifying information about a subscriber, discourages subscriber activity tracking and profiling beyond the operational requirements established by an organization. The pairwise pseudonymous identifiers are unique to each relying party, except in situations where relying parties show a demonstrable relationship justifying an operational need for correlation, or all parties consent to being correlated in such a manner.</w:t>
      </w:r>
    </w:p>
    <w:p>
      <w:pPr>
        <w:pStyle w:val="Normal"/>
        <w:tabs>
          <w:tab w:val="clear" w:pos="360"/>
          <w:tab w:val="clear" w:pos="720"/>
          <w:tab w:val="clear" w:pos="1080"/>
        </w:tabs>
        <w:jc w:val="left"/>
        <w:rPr>
          <w:rFonts w:eastAsia="Calibri" w:cs="Calibri"/>
          <w:b/>
          <w:b/>
          <w:bCs w:val="false"/>
          <w:smallCaps/>
          <w:color w:val="C00000"/>
          <w:sz w:val="24"/>
        </w:rPr>
      </w:pPr>
      <w:r>
        <w:rPr>
          <w:rFonts w:eastAsia="Calibri" w:cs="Calibri"/>
          <w:b/>
          <w:bCs w:val="false"/>
          <w:smallCaps/>
          <w:color w:val="C00000"/>
          <w:sz w:val="24"/>
        </w:rPr>
      </w:r>
    </w:p>
    <w:p>
      <w:pPr>
        <w:pStyle w:val="Normal"/>
        <w:tabs>
          <w:tab w:val="clear" w:pos="360"/>
          <w:tab w:val="clear" w:pos="720"/>
          <w:tab w:val="clear" w:pos="1080"/>
        </w:tabs>
        <w:jc w:val="left"/>
        <w:rPr>
          <w:rFonts w:eastAsia="Calibri" w:cs="Calibri"/>
          <w:b/>
          <w:b/>
          <w:bCs w:val="false"/>
          <w:smallCaps/>
          <w:color w:val="C00000"/>
          <w:sz w:val="24"/>
        </w:rPr>
      </w:pPr>
      <w:r>
        <w:rPr>
          <w:rFonts w:eastAsia="Calibri" w:cs="Calibri"/>
          <w:b/>
          <w:bCs w:val="false"/>
          <w:smallCaps/>
          <w:color w:val="C00000"/>
          <w:sz w:val="24"/>
        </w:rPr>
      </w:r>
    </w:p>
    <w:p>
      <w:pPr>
        <w:pStyle w:val="Heading2"/>
        <w:rPr/>
      </w:pPr>
      <w:bookmarkStart w:id="1027" w:name="_Toc34920913"/>
      <w:bookmarkStart w:id="1028" w:name="_Toc474075025"/>
      <w:bookmarkStart w:id="1029" w:name="_Toc474075645"/>
      <w:r>
        <w:rPr/>
        <w:t>IAC-10: Authenticator Management (Passwords)</w:t>
      </w:r>
      <w:bookmarkEnd w:id="1027"/>
      <w:bookmarkEnd w:id="1028"/>
      <w:bookmarkEnd w:id="1029"/>
    </w:p>
    <w:p>
      <w:pPr>
        <w:pStyle w:val="Normal"/>
        <w:rPr/>
      </w:pPr>
      <w:r>
        <w:rPr>
          <w:u w:val="single"/>
        </w:rPr>
        <w:t>Control Objective</w:t>
      </w:r>
      <w:r>
        <w:rPr/>
        <w:t>: The organization manages system authenticators for users and devices by:</w:t>
      </w:r>
      <w:r>
        <w:rPr>
          <w:rStyle w:val="FootnoteCharacters"/>
          <w:rFonts w:cs="Calibri"/>
        </w:rPr>
        <w:t xml:space="preserve"> </w:t>
      </w:r>
      <w:r>
        <w:rPr>
          <w:rStyle w:val="FootnoteAnchor"/>
          <w:rStyle w:val="FootnoteAnchor"/>
          <w:rFonts w:cs="Calibri"/>
        </w:rPr>
        <w:footnoteReference w:id="316"/>
      </w:r>
    </w:p>
    <w:p>
      <w:pPr>
        <w:pStyle w:val="Normal"/>
        <w:numPr>
          <w:ilvl w:val="0"/>
          <w:numId w:val="100"/>
        </w:numPr>
        <w:rPr>
          <w:rFonts w:cs="Calibri"/>
        </w:rPr>
      </w:pPr>
      <w:r>
        <w:rPr>
          <w:rFonts w:cs="Calibri"/>
        </w:rPr>
        <w:t>Verifying, as part of the initial authenticator distribution, the identity of the individual and / or device receiving the authenticator;</w:t>
      </w:r>
    </w:p>
    <w:p>
      <w:pPr>
        <w:pStyle w:val="Normal"/>
        <w:numPr>
          <w:ilvl w:val="0"/>
          <w:numId w:val="100"/>
        </w:numPr>
        <w:rPr>
          <w:rFonts w:cs="Calibri"/>
        </w:rPr>
      </w:pPr>
      <w:r>
        <w:rPr>
          <w:rFonts w:cs="Calibri"/>
        </w:rPr>
        <w:t>Ensuring that authenticators have sufficient strength of mechanism for their intended use;</w:t>
      </w:r>
    </w:p>
    <w:p>
      <w:pPr>
        <w:pStyle w:val="Normal"/>
        <w:numPr>
          <w:ilvl w:val="0"/>
          <w:numId w:val="100"/>
        </w:numPr>
        <w:rPr>
          <w:rFonts w:cs="Calibri"/>
        </w:rPr>
      </w:pPr>
      <w:r>
        <w:rPr>
          <w:rFonts w:cs="Calibri"/>
        </w:rPr>
        <w:t>Establishing and implementing administrative procedures for initial authenticator distribution, for lost / compromised or damaged authenticators and for revoking authenticators;</w:t>
      </w:r>
    </w:p>
    <w:p>
      <w:pPr>
        <w:pStyle w:val="Normal"/>
        <w:numPr>
          <w:ilvl w:val="0"/>
          <w:numId w:val="100"/>
        </w:numPr>
        <w:rPr>
          <w:rFonts w:cs="Calibri"/>
        </w:rPr>
      </w:pPr>
      <w:r>
        <w:rPr>
          <w:rFonts w:cs="Calibri"/>
        </w:rPr>
        <w:t>Changing default content of authenticators upon system installation;</w:t>
      </w:r>
    </w:p>
    <w:p>
      <w:pPr>
        <w:pStyle w:val="Normal"/>
        <w:numPr>
          <w:ilvl w:val="0"/>
          <w:numId w:val="100"/>
        </w:numPr>
        <w:rPr>
          <w:rFonts w:cs="Calibri"/>
        </w:rPr>
      </w:pPr>
      <w:r>
        <w:rPr>
          <w:rFonts w:cs="Calibri"/>
        </w:rPr>
        <w:t>Establishing minimum and maximum lifetime restrictions and reuse conditions for authenticators (if appropriate);</w:t>
      </w:r>
    </w:p>
    <w:p>
      <w:pPr>
        <w:pStyle w:val="Normal"/>
        <w:numPr>
          <w:ilvl w:val="0"/>
          <w:numId w:val="100"/>
        </w:numPr>
        <w:rPr>
          <w:rFonts w:cs="Calibri"/>
        </w:rPr>
      </w:pPr>
      <w:r>
        <w:rPr>
          <w:rFonts w:cs="Calibri"/>
        </w:rPr>
        <w:t xml:space="preserve">Changing / refreshing authenticators according to an </w:t>
      </w:r>
      <w:r>
        <w:rPr>
          <w:rFonts w:cs="Calibri"/>
          <w:iCs/>
        </w:rPr>
        <w:t>organization-defined time period by authenticator type</w:t>
      </w:r>
      <w:r>
        <w:rPr>
          <w:rFonts w:cs="Calibri"/>
        </w:rPr>
        <w:t>;</w:t>
      </w:r>
    </w:p>
    <w:p>
      <w:pPr>
        <w:pStyle w:val="Normal"/>
        <w:numPr>
          <w:ilvl w:val="0"/>
          <w:numId w:val="100"/>
        </w:numPr>
        <w:rPr>
          <w:rFonts w:cs="Calibri"/>
        </w:rPr>
      </w:pPr>
      <w:r>
        <w:rPr>
          <w:rFonts w:cs="Calibri"/>
        </w:rPr>
        <w:t>Protecting authenticator content from unauthorized disclosure and modification; and</w:t>
      </w:r>
    </w:p>
    <w:p>
      <w:pPr>
        <w:pStyle w:val="Normal"/>
        <w:numPr>
          <w:ilvl w:val="0"/>
          <w:numId w:val="100"/>
        </w:numPr>
        <w:rPr>
          <w:rFonts w:cs="Calibri"/>
        </w:rPr>
      </w:pPr>
      <w:r>
        <w:rPr>
          <w:rFonts w:cs="Calibri"/>
        </w:rPr>
        <w:t>Requiring users to take and having devices implement, specific measures to safeguard authenticators.</w:t>
      </w:r>
    </w:p>
    <w:p>
      <w:pPr>
        <w:pStyle w:val="Normal"/>
        <w:rPr>
          <w:rFonts w:cs="Calibri"/>
        </w:rPr>
      </w:pPr>
      <w:r>
        <w:rPr>
          <w:rFonts w:cs="Calibri"/>
        </w:rPr>
      </w:r>
    </w:p>
    <w:p>
      <w:pPr>
        <w:pStyle w:val="Normal"/>
        <w:rPr>
          <w:rFonts w:cs="Calibri"/>
        </w:rPr>
      </w:pPr>
      <w:r>
        <w:rPr>
          <w:rFonts w:cs="Calibri"/>
          <w:u w:val="single"/>
        </w:rPr>
        <w:t>Standard</w:t>
      </w:r>
      <w:r>
        <w:rPr>
          <w:rFonts w:cs="Calibri"/>
        </w:rPr>
        <w:t>: NFCC manages system accounts (authenticators) for users and devices by the following:</w:t>
      </w:r>
      <w:r>
        <w:rPr>
          <w:rStyle w:val="FootnoteCharacters"/>
          <w:rFonts w:cs="Calibri"/>
        </w:rPr>
        <w:t xml:space="preserve"> </w:t>
      </w:r>
    </w:p>
    <w:p>
      <w:pPr>
        <w:pStyle w:val="Normal"/>
        <w:numPr>
          <w:ilvl w:val="0"/>
          <w:numId w:val="352"/>
        </w:numPr>
        <w:tabs>
          <w:tab w:val="clear" w:pos="360"/>
          <w:tab w:val="clear" w:pos="720"/>
          <w:tab w:val="clear" w:pos="1080"/>
        </w:tabs>
        <w:rPr>
          <w:rFonts w:cs="Calibri"/>
        </w:rPr>
      </w:pPr>
      <w:r>
        <w:rPr>
          <w:rFonts w:cs="Calibri"/>
        </w:rPr>
        <w:t>Verify, as part of the initial authenticator distribution, the identity of the individual and / or device receiving the authenticator;</w:t>
      </w:r>
    </w:p>
    <w:p>
      <w:pPr>
        <w:pStyle w:val="Normal"/>
        <w:numPr>
          <w:ilvl w:val="0"/>
          <w:numId w:val="352"/>
        </w:numPr>
        <w:tabs>
          <w:tab w:val="clear" w:pos="360"/>
          <w:tab w:val="clear" w:pos="720"/>
          <w:tab w:val="clear" w:pos="1080"/>
        </w:tabs>
        <w:rPr>
          <w:rFonts w:cs="Calibri"/>
        </w:rPr>
      </w:pPr>
      <w:r>
        <w:rPr>
          <w:rFonts w:cs="Calibri"/>
        </w:rPr>
        <w:t>Ensure that authenticators have sufficient strength of mechanism for their intended use;</w:t>
      </w:r>
    </w:p>
    <w:p>
      <w:pPr>
        <w:pStyle w:val="Normal"/>
        <w:numPr>
          <w:ilvl w:val="0"/>
          <w:numId w:val="352"/>
        </w:numPr>
        <w:tabs>
          <w:tab w:val="clear" w:pos="360"/>
          <w:tab w:val="clear" w:pos="720"/>
          <w:tab w:val="clear" w:pos="1080"/>
        </w:tabs>
        <w:rPr>
          <w:rFonts w:cs="Calibri"/>
        </w:rPr>
      </w:pPr>
      <w:r>
        <w:rPr>
          <w:rFonts w:cs="Calibri"/>
        </w:rPr>
        <w:t>Establish and implement administrative procedures for initial authenticator distribution, for lost / compromised or damaged authenticators and for revoking authenticators;</w:t>
      </w:r>
    </w:p>
    <w:p>
      <w:pPr>
        <w:pStyle w:val="Normal"/>
        <w:numPr>
          <w:ilvl w:val="0"/>
          <w:numId w:val="352"/>
        </w:numPr>
        <w:tabs>
          <w:tab w:val="clear" w:pos="360"/>
          <w:tab w:val="clear" w:pos="720"/>
          <w:tab w:val="clear" w:pos="1080"/>
        </w:tabs>
        <w:rPr>
          <w:rFonts w:cs="Calibri"/>
        </w:rPr>
      </w:pPr>
      <w:r>
        <w:rPr>
          <w:rFonts w:cs="Calibri"/>
        </w:rPr>
        <w:t>Change default content of authenticators upon system installation;</w:t>
      </w:r>
    </w:p>
    <w:p>
      <w:pPr>
        <w:pStyle w:val="Normal"/>
        <w:numPr>
          <w:ilvl w:val="0"/>
          <w:numId w:val="352"/>
        </w:numPr>
        <w:tabs>
          <w:tab w:val="clear" w:pos="360"/>
          <w:tab w:val="clear" w:pos="720"/>
          <w:tab w:val="clear" w:pos="1080"/>
        </w:tabs>
        <w:rPr>
          <w:rFonts w:cs="Calibri"/>
        </w:rPr>
      </w:pPr>
      <w:r>
        <w:rPr>
          <w:rFonts w:cs="Calibri"/>
        </w:rPr>
        <w:t>Establish minimum and maximum lifetime restrictions and reuse conditions for authenticators (if appropriate);</w:t>
      </w:r>
    </w:p>
    <w:p>
      <w:pPr>
        <w:pStyle w:val="Normal"/>
        <w:numPr>
          <w:ilvl w:val="0"/>
          <w:numId w:val="352"/>
        </w:numPr>
        <w:tabs>
          <w:tab w:val="clear" w:pos="360"/>
          <w:tab w:val="clear" w:pos="720"/>
          <w:tab w:val="clear" w:pos="1080"/>
        </w:tabs>
        <w:rPr>
          <w:rFonts w:cs="Calibri"/>
        </w:rPr>
      </w:pPr>
      <w:r>
        <w:rPr>
          <w:rFonts w:cs="Calibri"/>
        </w:rPr>
        <w:t xml:space="preserve">Change / refresh authenticators according to a </w:t>
      </w:r>
      <w:r>
        <w:rPr>
          <w:rFonts w:cs="Calibri"/>
          <w:iCs/>
        </w:rPr>
        <w:t>NFCC-defined time period by authenticator type</w:t>
      </w:r>
      <w:r>
        <w:rPr>
          <w:rFonts w:cs="Calibri"/>
        </w:rPr>
        <w:t>;</w:t>
      </w:r>
    </w:p>
    <w:p>
      <w:pPr>
        <w:pStyle w:val="Normal"/>
        <w:numPr>
          <w:ilvl w:val="0"/>
          <w:numId w:val="352"/>
        </w:numPr>
        <w:tabs>
          <w:tab w:val="clear" w:pos="360"/>
          <w:tab w:val="clear" w:pos="720"/>
          <w:tab w:val="clear" w:pos="1080"/>
        </w:tabs>
        <w:rPr>
          <w:rFonts w:cs="Calibri"/>
        </w:rPr>
      </w:pPr>
      <w:r>
        <w:rPr>
          <w:rFonts w:cs="Calibri"/>
        </w:rPr>
        <w:t>Protect authenticator content from unauthorized disclosure and modification; and</w:t>
      </w:r>
    </w:p>
    <w:p>
      <w:pPr>
        <w:pStyle w:val="Normal"/>
        <w:numPr>
          <w:ilvl w:val="0"/>
          <w:numId w:val="352"/>
        </w:numPr>
        <w:tabs>
          <w:tab w:val="clear" w:pos="360"/>
          <w:tab w:val="clear" w:pos="720"/>
          <w:tab w:val="clear" w:pos="1080"/>
        </w:tabs>
        <w:rPr>
          <w:rFonts w:cs="Calibri"/>
        </w:rPr>
      </w:pPr>
      <w:r>
        <w:rPr>
          <w:rFonts w:cs="Calibri"/>
        </w:rPr>
        <w:t>Require users to take and having devices implement, specific measures to safeguard authenticators.</w:t>
      </w:r>
    </w:p>
    <w:p>
      <w:pPr>
        <w:pStyle w:val="Normal"/>
        <w:rPr>
          <w:rFonts w:cs="Calibri"/>
        </w:rPr>
      </w:pPr>
      <w:r>
        <w:fldChar w:fldCharType="begin"/>
      </w:r>
      <w:r>
        <w:rPr/>
        <w:instrText> XE "Password:Length: : " </w:instrText>
      </w:r>
      <w:r>
        <w:rPr/>
        <w:fldChar w:fldCharType="separate"/>
      </w:r>
      <w:r>
        <w:rPr/>
      </w:r>
      <w:r>
        <w:rPr/>
        <w:fldChar w:fldCharType="end"/>
      </w:r>
      <w:r>
        <w:fldChar w:fldCharType="begin"/>
      </w:r>
      <w:r>
        <w:rPr/>
        <w:instrText> XE "Password:Complexity: : " </w:instrText>
      </w:r>
      <w:r>
        <w:rPr/>
        <w:fldChar w:fldCharType="separate"/>
      </w:r>
      <w:r>
        <w:rPr/>
      </w:r>
      <w:r>
        <w:rPr/>
        <w:fldChar w:fldCharType="end"/>
      </w:r>
      <w:r>
        <w:fldChar w:fldCharType="begin"/>
      </w:r>
      <w:r>
        <w:rPr/>
        <w:instrText> XE "Password:Maximum Life: : " </w:instrText>
      </w:r>
      <w:r>
        <w:rPr/>
        <w:fldChar w:fldCharType="separate"/>
      </w:r>
      <w:r>
        <w:rPr/>
      </w:r>
      <w:r>
        <w:rPr/>
        <w:fldChar w:fldCharType="end"/>
      </w:r>
    </w:p>
    <w:p>
      <w:pPr>
        <w:pStyle w:val="Normal"/>
        <w:rPr>
          <w:rFonts w:cs="Calibri"/>
        </w:rPr>
      </w:pPr>
      <w:r>
        <w:rPr>
          <w:rFonts w:cs="Calibri"/>
          <w:u w:val="single"/>
        </w:rPr>
        <w:t>Guidelines</w:t>
      </w:r>
      <w:r>
        <w:rPr>
          <w:rFonts w:cs="Calibri"/>
        </w:rPr>
        <w:t>: Individual authenticators include, for example, passwords, tokens, biometrics, PKI certificates and key cards. Initial authenticator content is the actual content (e.g., the initial password) as opposed to requirements about authenticator content (e.g., minimum password length). In many cases, developers ship system components with factory default authentication credentials to allow for initial installation and configuration. Default authentication credentials are often well known, easily discoverable and present a significant security risk. Systems support individual authenticator management by organization-defined settings and restrictions for various authenticator characteristics including, for example, minimum password length, password composition, validation time window for time synchronous one-time tokens and the number of allowed rejections during the verification stage of biometric authentication. Specific actions to safeguard authenticators include, for example, maintaining possession of individual authenticators, not loaning or sharing authenticators with others and reporting lost or compromised authenticators immediately. Authenticator management includes issuing and revoking, when no longer needed, authenticators for temporary access such as that required for remote maintenance. Device authenticators include, for example, certificates and passwords.</w:t>
      </w:r>
    </w:p>
    <w:p>
      <w:pPr>
        <w:pStyle w:val="Normal"/>
        <w:rPr>
          <w:rFonts w:cs="Calibri"/>
        </w:rPr>
      </w:pPr>
      <w:r>
        <w:rPr>
          <w:rFonts w:cs="Calibri"/>
        </w:rPr>
      </w:r>
    </w:p>
    <w:p>
      <w:pPr>
        <w:pStyle w:val="Heading3"/>
        <w:rPr/>
      </w:pPr>
      <w:bookmarkStart w:id="1030" w:name="_Toc34920914"/>
      <w:r>
        <w:rPr/>
        <w:t>IAC-10(a): Authenticator Management | Password-Based Authentication</w:t>
      </w:r>
      <w:bookmarkEnd w:id="1030"/>
    </w:p>
    <w:p>
      <w:pPr>
        <w:pStyle w:val="Normal"/>
        <w:rPr>
          <w:rFonts w:cs="Calibri"/>
        </w:rPr>
      </w:pPr>
      <w:r>
        <w:rPr>
          <w:rFonts w:cs="Calibri"/>
          <w:u w:val="single"/>
        </w:rPr>
        <w:t>Control Objective</w:t>
      </w:r>
      <w:r>
        <w:rPr>
          <w:rFonts w:cs="Calibri"/>
        </w:rPr>
        <w:t>:</w:t>
      </w:r>
      <w:r>
        <w:rPr>
          <w:rFonts w:cs="Calibri"/>
          <w:bCs w:val="false"/>
        </w:rPr>
        <w:t xml:space="preserve"> </w:t>
      </w:r>
      <w:r>
        <w:rPr>
          <w:rFonts w:cs="Calibri"/>
        </w:rPr>
        <w:t>For password-based authentication, systems:</w:t>
      </w:r>
      <w:r>
        <w:rPr>
          <w:rStyle w:val="FootnoteCharacters"/>
          <w:rFonts w:cs="Calibri"/>
        </w:rPr>
        <w:t xml:space="preserve"> </w:t>
      </w:r>
      <w:r>
        <w:rPr>
          <w:rStyle w:val="FootnoteAnchor"/>
          <w:rStyle w:val="FootnoteAnchor"/>
          <w:rFonts w:cs="Calibri"/>
        </w:rPr>
        <w:footnoteReference w:id="317"/>
      </w:r>
    </w:p>
    <w:p>
      <w:pPr>
        <w:pStyle w:val="ListParagraph"/>
        <w:numPr>
          <w:ilvl w:val="0"/>
          <w:numId w:val="221"/>
        </w:numPr>
        <w:rPr>
          <w:rFonts w:cs="Calibri"/>
        </w:rPr>
      </w:pPr>
      <w:r>
        <w:rPr>
          <w:rFonts w:cs="Calibri"/>
        </w:rPr>
        <w:t>Enforce minimum password complexity of organization-defined requirements for case sensitivity, number of characters, mix of uppercase letters, lowercase letters, numbers and special characters, including minimum requirements for each type;</w:t>
      </w:r>
    </w:p>
    <w:p>
      <w:pPr>
        <w:pStyle w:val="ListParagraph"/>
        <w:numPr>
          <w:ilvl w:val="0"/>
          <w:numId w:val="221"/>
        </w:numPr>
        <w:rPr>
          <w:rFonts w:cs="Calibri"/>
        </w:rPr>
      </w:pPr>
      <w:r>
        <w:rPr>
          <w:rFonts w:cs="Calibri"/>
        </w:rPr>
        <w:t>Enforce at least an organization-defined number of changed characters when new passwords are created;</w:t>
      </w:r>
    </w:p>
    <w:p>
      <w:pPr>
        <w:pStyle w:val="ListParagraph"/>
        <w:numPr>
          <w:ilvl w:val="0"/>
          <w:numId w:val="221"/>
        </w:numPr>
        <w:rPr>
          <w:rFonts w:cs="Calibri"/>
        </w:rPr>
      </w:pPr>
      <w:r>
        <w:rPr>
          <w:rFonts w:cs="Calibri"/>
        </w:rPr>
        <w:t>Store and transmit only encrypted representations of passwords;</w:t>
      </w:r>
    </w:p>
    <w:p>
      <w:pPr>
        <w:pStyle w:val="ListParagraph"/>
        <w:numPr>
          <w:ilvl w:val="0"/>
          <w:numId w:val="221"/>
        </w:numPr>
        <w:rPr>
          <w:rFonts w:cs="Calibri"/>
        </w:rPr>
      </w:pPr>
      <w:r>
        <w:rPr>
          <w:rFonts w:cs="Calibri"/>
        </w:rPr>
        <w:t>Enforce password minimum and maximum lifetime restrictions of organization- defined numbers for lifetime minimum and lifetime maximum;</w:t>
      </w:r>
    </w:p>
    <w:p>
      <w:pPr>
        <w:pStyle w:val="ListParagraph"/>
        <w:numPr>
          <w:ilvl w:val="0"/>
          <w:numId w:val="221"/>
        </w:numPr>
        <w:rPr>
          <w:rFonts w:cs="Calibri"/>
        </w:rPr>
      </w:pPr>
      <w:r>
        <w:rPr>
          <w:rFonts w:cs="Calibri"/>
        </w:rPr>
        <w:t>Prohibit password reuse for organization-defined number generations; and</w:t>
      </w:r>
    </w:p>
    <w:p>
      <w:pPr>
        <w:pStyle w:val="ListParagraph"/>
        <w:numPr>
          <w:ilvl w:val="0"/>
          <w:numId w:val="221"/>
        </w:numPr>
        <w:rPr>
          <w:rFonts w:cs="Calibri"/>
        </w:rPr>
      </w:pPr>
      <w:r>
        <w:rPr>
          <w:rFonts w:cs="Calibri"/>
        </w:rPr>
        <w:t>Allow the use of a temporary password for system logons with an immediate change to a permanent password.</w:t>
      </w:r>
    </w:p>
    <w:p>
      <w:pPr>
        <w:pStyle w:val="Normal"/>
        <w:rPr>
          <w:rFonts w:cs="Calibri"/>
          <w:bCs w:val="false"/>
        </w:rPr>
      </w:pPr>
      <w:r>
        <w:rPr>
          <w:rFonts w:cs="Calibri"/>
          <w:bCs w:val="false"/>
        </w:rPr>
      </w:r>
    </w:p>
    <w:p>
      <w:pPr>
        <w:pStyle w:val="Normal"/>
        <w:rPr>
          <w:rFonts w:cs="Calibri"/>
        </w:rPr>
      </w:pPr>
      <w:r>
        <w:rPr>
          <w:rFonts w:cs="Calibri"/>
          <w:u w:val="single"/>
        </w:rPr>
        <w:t>Standard</w:t>
      </w:r>
      <w:r>
        <w:rPr>
          <w:rFonts w:cs="Calibri"/>
        </w:rPr>
        <w:t>: NFCC manages system accounts (authenticators) for users and devices by the following:</w:t>
      </w:r>
      <w:r>
        <w:rPr>
          <w:rStyle w:val="FootnoteCharacters"/>
          <w:rFonts w:cs="Calibri"/>
        </w:rPr>
        <w:t xml:space="preserve"> </w:t>
      </w:r>
      <w:r>
        <w:fldChar w:fldCharType="begin"/>
      </w:r>
      <w:r>
        <w:rPr/>
        <w:instrText> XE "Password:Length: : " </w:instrText>
      </w:r>
      <w:r>
        <w:rPr/>
        <w:fldChar w:fldCharType="separate"/>
      </w:r>
      <w:r>
        <w:rPr/>
      </w:r>
      <w:r>
        <w:rPr/>
        <w:fldChar w:fldCharType="end"/>
      </w:r>
      <w:r>
        <w:fldChar w:fldCharType="begin"/>
      </w:r>
      <w:r>
        <w:rPr/>
        <w:instrText> XE "Password:Complexity: : " </w:instrText>
      </w:r>
      <w:r>
        <w:rPr/>
        <w:fldChar w:fldCharType="separate"/>
      </w:r>
      <w:r>
        <w:rPr/>
      </w:r>
      <w:r>
        <w:rPr/>
        <w:fldChar w:fldCharType="end"/>
      </w:r>
      <w:r>
        <w:fldChar w:fldCharType="begin"/>
      </w:r>
      <w:r>
        <w:rPr/>
        <w:instrText> XE "Password:Maximum Life: : " </w:instrText>
      </w:r>
      <w:r>
        <w:rPr/>
        <w:fldChar w:fldCharType="separate"/>
      </w:r>
      <w:r>
        <w:rPr/>
      </w:r>
      <w:r>
        <w:rPr/>
        <w:fldChar w:fldCharType="end"/>
      </w:r>
    </w:p>
    <w:p>
      <w:pPr>
        <w:pStyle w:val="ListParagraph"/>
        <w:numPr>
          <w:ilvl w:val="0"/>
          <w:numId w:val="353"/>
        </w:numPr>
        <w:rPr>
          <w:rFonts w:cs="Calibri"/>
          <w:b/>
          <w:b/>
        </w:rPr>
      </w:pPr>
      <w:r>
        <w:rPr>
          <w:rFonts w:cs="Calibri"/>
          <w:b/>
        </w:rPr>
        <w:t>User Accounts:</w:t>
      </w:r>
    </w:p>
    <w:p>
      <w:pPr>
        <w:pStyle w:val="ListParagraph"/>
        <w:numPr>
          <w:ilvl w:val="1"/>
          <w:numId w:val="353"/>
        </w:numPr>
        <w:rPr>
          <w:rFonts w:cs="Calibri"/>
        </w:rPr>
      </w:pPr>
      <w:r>
        <w:rPr>
          <w:rFonts w:cs="Calibri"/>
        </w:rPr>
        <w:t>Password Length: Minimum of eight (8) characters</w:t>
      </w:r>
    </w:p>
    <w:p>
      <w:pPr>
        <w:pStyle w:val="ListParagraph"/>
        <w:numPr>
          <w:ilvl w:val="1"/>
          <w:numId w:val="353"/>
        </w:numPr>
        <w:rPr>
          <w:rFonts w:cs="Calibri"/>
        </w:rPr>
      </w:pPr>
      <w:r>
        <w:rPr>
          <w:rFonts w:cs="Calibri"/>
        </w:rPr>
        <w:t>Password Reuse: Ten (10) (users cannot use any of the last ten (10) password he or she have used)</w:t>
      </w:r>
    </w:p>
    <w:p>
      <w:pPr>
        <w:pStyle w:val="ListParagraph"/>
        <w:numPr>
          <w:ilvl w:val="1"/>
          <w:numId w:val="353"/>
        </w:numPr>
        <w:rPr>
          <w:rFonts w:cs="Calibri"/>
        </w:rPr>
      </w:pPr>
      <w:r>
        <w:rPr>
          <w:rFonts w:cs="Calibri"/>
        </w:rPr>
        <w:t xml:space="preserve">Password Life: </w:t>
      </w:r>
    </w:p>
    <w:p>
      <w:pPr>
        <w:pStyle w:val="ListParagraph"/>
        <w:numPr>
          <w:ilvl w:val="2"/>
          <w:numId w:val="353"/>
        </w:numPr>
        <w:rPr>
          <w:rFonts w:cs="Calibri"/>
        </w:rPr>
      </w:pPr>
      <w:r>
        <w:rPr>
          <w:rFonts w:cs="Calibri"/>
        </w:rPr>
        <w:t>Maximum: Ninety (90) days</w:t>
      </w:r>
    </w:p>
    <w:p>
      <w:pPr>
        <w:pStyle w:val="ListParagraph"/>
        <w:numPr>
          <w:ilvl w:val="2"/>
          <w:numId w:val="353"/>
        </w:numPr>
        <w:rPr>
          <w:rFonts w:cs="Calibri"/>
        </w:rPr>
      </w:pPr>
      <w:r>
        <w:rPr>
          <w:rFonts w:cs="Calibri"/>
        </w:rPr>
        <w:t>Minimum: One (1) day</w:t>
      </w:r>
    </w:p>
    <w:p>
      <w:pPr>
        <w:pStyle w:val="ListParagraph"/>
        <w:numPr>
          <w:ilvl w:val="1"/>
          <w:numId w:val="353"/>
        </w:numPr>
        <w:rPr>
          <w:rFonts w:cs="Calibri"/>
        </w:rPr>
      </w:pPr>
      <w:r>
        <w:rPr>
          <w:rFonts w:cs="Calibri"/>
        </w:rPr>
        <w:t xml:space="preserve">Password Complexity: </w:t>
      </w:r>
    </w:p>
    <w:p>
      <w:pPr>
        <w:pStyle w:val="ListParagraph"/>
        <w:numPr>
          <w:ilvl w:val="2"/>
          <w:numId w:val="353"/>
        </w:numPr>
        <w:rPr>
          <w:rFonts w:cs="Calibri"/>
        </w:rPr>
      </w:pPr>
      <w:r>
        <w:rPr>
          <w:rFonts w:cs="Calibri"/>
        </w:rPr>
        <w:t>Passwords are not a derivative of the user ID</w:t>
      </w:r>
    </w:p>
    <w:p>
      <w:pPr>
        <w:pStyle w:val="ListParagraph"/>
        <w:numPr>
          <w:ilvl w:val="2"/>
          <w:numId w:val="353"/>
        </w:numPr>
        <w:rPr>
          <w:rFonts w:cs="Calibri"/>
        </w:rPr>
      </w:pPr>
      <w:r>
        <w:rPr>
          <w:rFonts w:cs="Calibri"/>
        </w:rPr>
        <w:t>Passwords have at least one (1) lower alpha, one (1) upper alpha, one (1) number and one (1) special character.</w:t>
      </w:r>
    </w:p>
    <w:p>
      <w:pPr>
        <w:pStyle w:val="ListParagraph"/>
        <w:numPr>
          <w:ilvl w:val="2"/>
          <w:numId w:val="353"/>
        </w:numPr>
        <w:rPr>
          <w:rFonts w:cs="Calibri"/>
        </w:rPr>
      </w:pPr>
      <w:r>
        <w:rPr>
          <w:rFonts w:cs="Calibri"/>
        </w:rPr>
        <w:t>Passwords cannot contain two identical, consecutive characters</w:t>
      </w:r>
    </w:p>
    <w:p>
      <w:pPr>
        <w:pStyle w:val="ListParagraph"/>
        <w:numPr>
          <w:ilvl w:val="0"/>
          <w:numId w:val="353"/>
        </w:numPr>
        <w:rPr>
          <w:rFonts w:cs="Calibri"/>
          <w:b/>
          <w:b/>
        </w:rPr>
      </w:pPr>
      <w:r>
        <w:rPr>
          <w:rFonts w:cs="Calibri"/>
          <w:b/>
        </w:rPr>
        <w:t>Service Accounts:</w:t>
      </w:r>
    </w:p>
    <w:p>
      <w:pPr>
        <w:pStyle w:val="ListParagraph"/>
        <w:numPr>
          <w:ilvl w:val="1"/>
          <w:numId w:val="353"/>
        </w:numPr>
        <w:rPr>
          <w:rFonts w:cs="Calibri"/>
        </w:rPr>
      </w:pPr>
      <w:r>
        <w:rPr>
          <w:rFonts w:cs="Calibri"/>
        </w:rPr>
        <w:t>Password Length: Minimum of eight (8) characters</w:t>
      </w:r>
    </w:p>
    <w:p>
      <w:pPr>
        <w:pStyle w:val="ListParagraph"/>
        <w:numPr>
          <w:ilvl w:val="1"/>
          <w:numId w:val="353"/>
        </w:numPr>
        <w:rPr>
          <w:rFonts w:cs="Calibri"/>
        </w:rPr>
      </w:pPr>
      <w:r>
        <w:rPr>
          <w:rFonts w:cs="Calibri"/>
        </w:rPr>
        <w:t>Password Reuse: Ten (10) (service accounts cannot use any of the last ten (10) password he or she have used)</w:t>
      </w:r>
    </w:p>
    <w:p>
      <w:pPr>
        <w:pStyle w:val="ListParagraph"/>
        <w:numPr>
          <w:ilvl w:val="1"/>
          <w:numId w:val="353"/>
        </w:numPr>
        <w:rPr>
          <w:rFonts w:cs="Calibri"/>
        </w:rPr>
      </w:pPr>
      <w:r>
        <w:rPr>
          <w:rFonts w:cs="Calibri"/>
        </w:rPr>
        <w:t xml:space="preserve">Password Life: </w:t>
      </w:r>
    </w:p>
    <w:p>
      <w:pPr>
        <w:pStyle w:val="ListParagraph"/>
        <w:numPr>
          <w:ilvl w:val="2"/>
          <w:numId w:val="353"/>
        </w:numPr>
        <w:rPr>
          <w:rFonts w:cs="Calibri"/>
        </w:rPr>
      </w:pPr>
      <w:r>
        <w:rPr>
          <w:rFonts w:cs="Calibri"/>
        </w:rPr>
        <w:t>Maximum: Three hundred sixty-five (365) days</w:t>
      </w:r>
    </w:p>
    <w:p>
      <w:pPr>
        <w:pStyle w:val="ListParagraph"/>
        <w:numPr>
          <w:ilvl w:val="2"/>
          <w:numId w:val="353"/>
        </w:numPr>
        <w:rPr>
          <w:rFonts w:cs="Calibri"/>
        </w:rPr>
      </w:pPr>
      <w:r>
        <w:rPr>
          <w:rFonts w:cs="Calibri"/>
        </w:rPr>
        <w:t>Minimum: One (1) day</w:t>
      </w:r>
    </w:p>
    <w:p>
      <w:pPr>
        <w:pStyle w:val="ListParagraph"/>
        <w:numPr>
          <w:ilvl w:val="1"/>
          <w:numId w:val="353"/>
        </w:numPr>
        <w:rPr>
          <w:rFonts w:cs="Calibri"/>
        </w:rPr>
      </w:pPr>
      <w:r>
        <w:rPr>
          <w:rFonts w:cs="Calibri"/>
        </w:rPr>
        <w:t xml:space="preserve">Password Complexity: </w:t>
      </w:r>
    </w:p>
    <w:p>
      <w:pPr>
        <w:pStyle w:val="ListParagraph"/>
        <w:numPr>
          <w:ilvl w:val="2"/>
          <w:numId w:val="353"/>
        </w:numPr>
        <w:rPr>
          <w:rFonts w:cs="Calibri"/>
        </w:rPr>
      </w:pPr>
      <w:r>
        <w:rPr>
          <w:rFonts w:cs="Calibri"/>
        </w:rPr>
        <w:t>Passwords are not a derivative of the user ID</w:t>
      </w:r>
    </w:p>
    <w:p>
      <w:pPr>
        <w:pStyle w:val="ListParagraph"/>
        <w:numPr>
          <w:ilvl w:val="2"/>
          <w:numId w:val="353"/>
        </w:numPr>
        <w:rPr>
          <w:rFonts w:cs="Calibri"/>
        </w:rPr>
      </w:pPr>
      <w:r>
        <w:rPr>
          <w:rFonts w:cs="Calibri"/>
        </w:rPr>
        <w:t>Passwords have at least one (1) lower alpha, one (1) upper alpha, one (1) number and one (1) special character.</w:t>
      </w:r>
    </w:p>
    <w:p>
      <w:pPr>
        <w:pStyle w:val="ListParagraph"/>
        <w:numPr>
          <w:ilvl w:val="2"/>
          <w:numId w:val="353"/>
        </w:numPr>
        <w:rPr>
          <w:rFonts w:cs="Calibri"/>
        </w:rPr>
      </w:pPr>
      <w:r>
        <w:rPr>
          <w:rFonts w:cs="Calibri"/>
        </w:rPr>
        <w:t>Passwords cannot contain two identical, consecutive characters</w:t>
      </w:r>
    </w:p>
    <w:p>
      <w:pPr>
        <w:pStyle w:val="ListParagraph"/>
        <w:numPr>
          <w:ilvl w:val="0"/>
          <w:numId w:val="353"/>
        </w:numPr>
        <w:rPr>
          <w:rFonts w:cs="Calibri"/>
          <w:b/>
          <w:b/>
        </w:rPr>
      </w:pPr>
      <w:r>
        <w:rPr>
          <w:rFonts w:cs="Calibri"/>
          <w:b/>
        </w:rPr>
        <w:t>Password Protection:</w:t>
      </w:r>
    </w:p>
    <w:p>
      <w:pPr>
        <w:pStyle w:val="ListParagraph"/>
        <w:numPr>
          <w:ilvl w:val="1"/>
          <w:numId w:val="353"/>
        </w:numPr>
        <w:rPr>
          <w:rFonts w:cs="Calibri"/>
        </w:rPr>
      </w:pPr>
      <w:r>
        <w:rPr>
          <w:rFonts w:cs="Calibri"/>
        </w:rPr>
        <w:t xml:space="preserve">Do not use the same password for NFCC accounts as for other non-NFCC access (e.g., personal ISP account, online banking, benefits, etc.). Users must not use the same password for various NFCC access needs and are required to have unique passwords for each account they access. </w:t>
      </w:r>
    </w:p>
    <w:p>
      <w:pPr>
        <w:pStyle w:val="ListParagraph"/>
        <w:numPr>
          <w:ilvl w:val="1"/>
          <w:numId w:val="353"/>
        </w:numPr>
        <w:rPr>
          <w:rFonts w:cs="Calibri"/>
        </w:rPr>
      </w:pPr>
      <w:r>
        <w:rPr>
          <w:rFonts w:cs="Calibri"/>
        </w:rPr>
        <w:t xml:space="preserve">Do not share NFCC passwords with anyone, including administrative assistants or secretaries. All passwords are to be treated as Restricted, Confidential NFCC information. </w:t>
      </w:r>
    </w:p>
    <w:p>
      <w:pPr>
        <w:pStyle w:val="ListParagraph"/>
        <w:numPr>
          <w:ilvl w:val="1"/>
          <w:numId w:val="353"/>
        </w:numPr>
        <w:rPr>
          <w:rFonts w:cs="Calibri"/>
        </w:rPr>
      </w:pPr>
      <w:r>
        <w:rPr>
          <w:rFonts w:cs="Calibri"/>
        </w:rPr>
        <w:t xml:space="preserve">Prohibited password practices: </w:t>
      </w:r>
    </w:p>
    <w:p>
      <w:pPr>
        <w:pStyle w:val="ListParagraph"/>
        <w:numPr>
          <w:ilvl w:val="2"/>
          <w:numId w:val="353"/>
        </w:numPr>
        <w:rPr>
          <w:rFonts w:cs="Calibri"/>
        </w:rPr>
      </w:pPr>
      <w:r>
        <w:rPr>
          <w:rFonts w:cs="Calibri"/>
        </w:rPr>
        <w:t>Do not use default vendor passwords</w:t>
      </w:r>
    </w:p>
    <w:p>
      <w:pPr>
        <w:pStyle w:val="ListParagraph"/>
        <w:numPr>
          <w:ilvl w:val="2"/>
          <w:numId w:val="353"/>
        </w:numPr>
        <w:rPr>
          <w:rFonts w:cs="Calibri"/>
        </w:rPr>
      </w:pPr>
      <w:r>
        <w:rPr>
          <w:rFonts w:cs="Calibri"/>
        </w:rPr>
        <w:t xml:space="preserve">Do not reveal a password over the phone to anyone for any reason </w:t>
      </w:r>
    </w:p>
    <w:p>
      <w:pPr>
        <w:pStyle w:val="ListParagraph"/>
        <w:numPr>
          <w:ilvl w:val="2"/>
          <w:numId w:val="353"/>
        </w:numPr>
        <w:rPr>
          <w:rFonts w:cs="Calibri"/>
        </w:rPr>
      </w:pPr>
      <w:r>
        <w:rPr>
          <w:rFonts w:cs="Calibri"/>
        </w:rPr>
        <w:t xml:space="preserve">Do not reveal a password in an e-mail message </w:t>
      </w:r>
    </w:p>
    <w:p>
      <w:pPr>
        <w:pStyle w:val="ListParagraph"/>
        <w:numPr>
          <w:ilvl w:val="2"/>
          <w:numId w:val="353"/>
        </w:numPr>
        <w:rPr>
          <w:rFonts w:cs="Calibri"/>
        </w:rPr>
      </w:pPr>
      <w:r>
        <w:rPr>
          <w:rFonts w:cs="Calibri"/>
        </w:rPr>
        <w:t xml:space="preserve">Do not reveal a password to a co-worker or supervisor </w:t>
      </w:r>
    </w:p>
    <w:p>
      <w:pPr>
        <w:pStyle w:val="ListParagraph"/>
        <w:numPr>
          <w:ilvl w:val="2"/>
          <w:numId w:val="353"/>
        </w:numPr>
        <w:rPr>
          <w:rFonts w:cs="Calibri"/>
        </w:rPr>
      </w:pPr>
      <w:r>
        <w:rPr>
          <w:rFonts w:cs="Calibri"/>
        </w:rPr>
        <w:t xml:space="preserve">Do not talk about a password in front of others </w:t>
      </w:r>
    </w:p>
    <w:p>
      <w:pPr>
        <w:pStyle w:val="ListParagraph"/>
        <w:numPr>
          <w:ilvl w:val="2"/>
          <w:numId w:val="353"/>
        </w:numPr>
        <w:rPr>
          <w:rFonts w:cs="Calibri"/>
        </w:rPr>
      </w:pPr>
      <w:r>
        <w:rPr>
          <w:rFonts w:cs="Calibri"/>
        </w:rPr>
        <w:t xml:space="preserve">Do not hint at the format of a password (e.g., "my family name") </w:t>
      </w:r>
    </w:p>
    <w:p>
      <w:pPr>
        <w:pStyle w:val="ListParagraph"/>
        <w:numPr>
          <w:ilvl w:val="2"/>
          <w:numId w:val="353"/>
        </w:numPr>
        <w:rPr>
          <w:rFonts w:cs="Calibri"/>
        </w:rPr>
      </w:pPr>
      <w:r>
        <w:rPr>
          <w:rFonts w:cs="Calibri"/>
        </w:rPr>
        <w:t xml:space="preserve">Do not reveal a password on questionnaires or security forms </w:t>
      </w:r>
    </w:p>
    <w:p>
      <w:pPr>
        <w:pStyle w:val="ListParagraph"/>
        <w:numPr>
          <w:ilvl w:val="2"/>
          <w:numId w:val="353"/>
        </w:numPr>
        <w:rPr>
          <w:rFonts w:cs="Calibri"/>
        </w:rPr>
      </w:pPr>
      <w:r>
        <w:rPr>
          <w:rFonts w:cs="Calibri"/>
        </w:rPr>
        <w:t xml:space="preserve">Do not share a password with family members </w:t>
      </w:r>
    </w:p>
    <w:p>
      <w:pPr>
        <w:pStyle w:val="ListParagraph"/>
        <w:numPr>
          <w:ilvl w:val="2"/>
          <w:numId w:val="353"/>
        </w:numPr>
        <w:rPr>
          <w:rFonts w:cs="Calibri"/>
        </w:rPr>
      </w:pPr>
      <w:r>
        <w:rPr>
          <w:rFonts w:cs="Calibri"/>
        </w:rPr>
        <w:t>Do not write passwords down and store them anywhere in the user’s office</w:t>
      </w:r>
    </w:p>
    <w:p>
      <w:pPr>
        <w:pStyle w:val="ListParagraph"/>
        <w:numPr>
          <w:ilvl w:val="2"/>
          <w:numId w:val="353"/>
        </w:numPr>
        <w:rPr>
          <w:rFonts w:cs="Calibri"/>
        </w:rPr>
      </w:pPr>
      <w:r>
        <w:rPr>
          <w:rFonts w:cs="Calibri"/>
        </w:rPr>
        <w:t>Do not store passwords in a file on any information asset without encryption</w:t>
      </w:r>
    </w:p>
    <w:p>
      <w:pPr>
        <w:pStyle w:val="ListParagraph"/>
        <w:numPr>
          <w:ilvl w:val="0"/>
          <w:numId w:val="353"/>
        </w:numPr>
        <w:rPr>
          <w:rFonts w:cs="Calibri"/>
          <w:b/>
          <w:b/>
        </w:rPr>
      </w:pPr>
      <w:r>
        <w:rPr>
          <w:rFonts w:cs="Calibri"/>
          <w:b/>
        </w:rPr>
        <w:t>Compromise:</w:t>
      </w:r>
    </w:p>
    <w:p>
      <w:pPr>
        <w:pStyle w:val="ListParagraph"/>
        <w:numPr>
          <w:ilvl w:val="1"/>
          <w:numId w:val="353"/>
        </w:numPr>
        <w:rPr>
          <w:rFonts w:cs="Calibri"/>
        </w:rPr>
      </w:pPr>
      <w:r>
        <w:rPr>
          <w:rFonts w:cs="Calibri"/>
        </w:rPr>
        <w:t xml:space="preserve">If an account or password is suspected to have been compromised, report the incident to management and change all affected passwords immediately. </w:t>
      </w:r>
    </w:p>
    <w:p>
      <w:pPr>
        <w:pStyle w:val="Normal"/>
        <w:rPr>
          <w:rFonts w:cs="Calibri"/>
        </w:rPr>
      </w:pPr>
      <w:r>
        <w:rPr>
          <w:rFonts w:cs="Calibri"/>
        </w:rPr>
      </w:r>
    </w:p>
    <w:p>
      <w:pPr>
        <w:pStyle w:val="Normal"/>
        <w:rPr>
          <w:rFonts w:eastAsia="Calibri" w:cs="Calibri"/>
          <w:b/>
          <w:b/>
          <w:bCs w:val="false"/>
          <w:iCs/>
          <w:smallCaps/>
          <w:color w:val="1F497D" w:themeColor="text2"/>
        </w:rPr>
      </w:pPr>
      <w:r>
        <w:rPr>
          <w:rFonts w:cs="Calibri"/>
          <w:u w:val="single"/>
        </w:rPr>
        <w:t>Guidelines</w:t>
      </w:r>
      <w:r>
        <w:rPr>
          <w:rFonts w:cs="Calibri"/>
        </w:rPr>
        <w:t>: This control enhancement applies to single-factor authentication of individuals using passwords as individual or group authenticators and in a similar manner, when passwords are part of multifactor authenticators. This control enhancement does not apply when passwords are used to unlock hardware authenticators (e.g., Personal Identity Verification cards). The implementation of such password mechanisms may not meet all of the requirements in the enhancement. Encrypted representations of passwords include, for example, encrypted versions of passwords and one-way cryptographic hashes of passwords. The number of changed characters refers to the number of changes required with respect to the total number of positions in the current password. Password lifetime restrictions do not apply to temporary passwords.</w:t>
      </w:r>
    </w:p>
    <w:p>
      <w:pPr>
        <w:pStyle w:val="Normal"/>
        <w:rPr>
          <w:rFonts w:cs="Calibri"/>
        </w:rPr>
      </w:pPr>
      <w:r>
        <w:rPr>
          <w:rFonts w:cs="Calibri"/>
        </w:rPr>
      </w:r>
    </w:p>
    <w:p>
      <w:pPr>
        <w:pStyle w:val="Normal"/>
        <w:rPr>
          <w:rFonts w:cs="Calibri"/>
        </w:rPr>
      </w:pPr>
      <w:r>
        <w:rPr>
          <w:rFonts w:cs="Calibri"/>
        </w:rPr>
        <w:t>Passwords should never be written down or stored on-line in an unencrypted format. Users must create passwords that can be easily remembered. One way to do this is to create a password based on a song title, affirmation or another phrase. For example, the phrase might be: "This May Be One Way To Remember" and the password could be: "TmB1w2R!" or "Tmb1W&gt;r~" or some other variation. NOTE: Do not use either of these examples as passwords!</w:t>
      </w:r>
    </w:p>
    <w:p>
      <w:pPr>
        <w:pStyle w:val="Normal"/>
        <w:rPr>
          <w:rFonts w:cs="Calibri"/>
        </w:rPr>
      </w:pPr>
      <w:r>
        <w:rPr>
          <w:rFonts w:cs="Calibri"/>
        </w:rPr>
      </w:r>
    </w:p>
    <w:p>
      <w:pPr>
        <w:pStyle w:val="Normal"/>
        <w:rPr>
          <w:rFonts w:cs="Calibri"/>
        </w:rPr>
      </w:pPr>
      <w:r>
        <w:rPr>
          <w:rFonts w:cs="Calibri"/>
        </w:rPr>
        <w:t xml:space="preserve">Strong (good) passwords have the following characteristics: </w:t>
      </w:r>
    </w:p>
    <w:p>
      <w:pPr>
        <w:pStyle w:val="ListParagraph"/>
        <w:numPr>
          <w:ilvl w:val="0"/>
          <w:numId w:val="101"/>
        </w:numPr>
        <w:rPr>
          <w:rFonts w:cs="Calibri"/>
        </w:rPr>
      </w:pPr>
      <w:r>
        <w:rPr>
          <w:rFonts w:cs="Calibri"/>
        </w:rPr>
        <w:t xml:space="preserve">Contain both upper and lower case characters (e.g., a-z, A-Z) </w:t>
      </w:r>
    </w:p>
    <w:p>
      <w:pPr>
        <w:pStyle w:val="ListParagraph"/>
        <w:numPr>
          <w:ilvl w:val="0"/>
          <w:numId w:val="101"/>
        </w:numPr>
        <w:rPr>
          <w:rFonts w:cs="Calibri"/>
        </w:rPr>
      </w:pPr>
      <w:r>
        <w:rPr>
          <w:rFonts w:cs="Calibri"/>
        </w:rPr>
        <w:t>Have digits and punctuation characters as well as letters (e.g., 0-9, !@#$%^&amp;*)</w:t>
      </w:r>
    </w:p>
    <w:p>
      <w:pPr>
        <w:pStyle w:val="ListParagraph"/>
        <w:numPr>
          <w:ilvl w:val="0"/>
          <w:numId w:val="101"/>
        </w:numPr>
        <w:rPr>
          <w:rFonts w:cs="Calibri"/>
        </w:rPr>
      </w:pPr>
      <w:r>
        <w:rPr>
          <w:rFonts w:cs="Calibri"/>
        </w:rPr>
        <w:t xml:space="preserve">Eight (8) or more alphanumeric characters. </w:t>
      </w:r>
    </w:p>
    <w:p>
      <w:pPr>
        <w:pStyle w:val="ListParagraph"/>
        <w:numPr>
          <w:ilvl w:val="0"/>
          <w:numId w:val="101"/>
        </w:numPr>
        <w:rPr>
          <w:rFonts w:cs="Calibri"/>
        </w:rPr>
      </w:pPr>
      <w:r>
        <w:rPr>
          <w:rFonts w:cs="Calibri"/>
        </w:rPr>
        <w:t xml:space="preserve">Not a word in any language, slang, dialect or jargon. </w:t>
      </w:r>
    </w:p>
    <w:p>
      <w:pPr>
        <w:pStyle w:val="ListParagraph"/>
        <w:numPr>
          <w:ilvl w:val="0"/>
          <w:numId w:val="101"/>
        </w:numPr>
        <w:rPr>
          <w:rFonts w:cs="Calibri"/>
        </w:rPr>
      </w:pPr>
      <w:r>
        <w:rPr>
          <w:rFonts w:cs="Calibri"/>
        </w:rPr>
        <w:t xml:space="preserve">Not based on personal information, names of family or important calendar dates. </w:t>
      </w:r>
    </w:p>
    <w:p>
      <w:pPr>
        <w:pStyle w:val="Normal"/>
        <w:rPr>
          <w:rFonts w:cs="Calibri"/>
        </w:rPr>
      </w:pPr>
      <w:r>
        <w:rPr>
          <w:rFonts w:cs="Calibri"/>
        </w:rPr>
      </w:r>
    </w:p>
    <w:p>
      <w:pPr>
        <w:pStyle w:val="Normal"/>
        <w:rPr>
          <w:rFonts w:cs="Calibri"/>
        </w:rPr>
      </w:pPr>
      <w:r>
        <w:rPr>
          <w:rFonts w:cs="Calibri"/>
        </w:rPr>
        <w:t xml:space="preserve">Weak (bad) passwords have the following characteristics: </w:t>
      </w:r>
    </w:p>
    <w:p>
      <w:pPr>
        <w:pStyle w:val="ListParagraph"/>
        <w:numPr>
          <w:ilvl w:val="0"/>
          <w:numId w:val="102"/>
        </w:numPr>
        <w:rPr>
          <w:rFonts w:cs="Calibri"/>
        </w:rPr>
      </w:pPr>
      <w:r>
        <w:rPr>
          <w:rFonts w:cs="Calibri"/>
        </w:rPr>
        <w:t>Default vendor password</w:t>
      </w:r>
    </w:p>
    <w:p>
      <w:pPr>
        <w:pStyle w:val="ListParagraph"/>
        <w:numPr>
          <w:ilvl w:val="0"/>
          <w:numId w:val="102"/>
        </w:numPr>
        <w:rPr>
          <w:rFonts w:cs="Calibri"/>
        </w:rPr>
      </w:pPr>
      <w:r>
        <w:rPr>
          <w:rFonts w:cs="Calibri"/>
        </w:rPr>
        <w:t xml:space="preserve">Contain less than eight (8) characters </w:t>
      </w:r>
    </w:p>
    <w:p>
      <w:pPr>
        <w:pStyle w:val="ListParagraph"/>
        <w:numPr>
          <w:ilvl w:val="0"/>
          <w:numId w:val="102"/>
        </w:numPr>
        <w:rPr>
          <w:rFonts w:cs="Calibri"/>
        </w:rPr>
      </w:pPr>
      <w:r>
        <w:rPr>
          <w:rFonts w:cs="Calibri"/>
        </w:rPr>
        <w:t xml:space="preserve">A word found in a dictionary (English or foreign) </w:t>
      </w:r>
    </w:p>
    <w:p>
      <w:pPr>
        <w:pStyle w:val="ListParagraph"/>
        <w:numPr>
          <w:ilvl w:val="0"/>
          <w:numId w:val="102"/>
        </w:numPr>
        <w:rPr>
          <w:rFonts w:cs="Calibri"/>
        </w:rPr>
      </w:pPr>
      <w:r>
        <w:rPr>
          <w:rFonts w:cs="Calibri"/>
        </w:rPr>
        <w:t xml:space="preserve">A common usage word such as: </w:t>
      </w:r>
    </w:p>
    <w:p>
      <w:pPr>
        <w:pStyle w:val="ListParagraph"/>
        <w:numPr>
          <w:ilvl w:val="1"/>
          <w:numId w:val="102"/>
        </w:numPr>
        <w:rPr>
          <w:rFonts w:cs="Calibri"/>
        </w:rPr>
      </w:pPr>
      <w:r>
        <w:rPr>
          <w:rFonts w:cs="Calibri"/>
        </w:rPr>
        <w:t xml:space="preserve">Names of family, pets, friends, co-workers, fantasy characters, etc. </w:t>
      </w:r>
    </w:p>
    <w:p>
      <w:pPr>
        <w:pStyle w:val="ListParagraph"/>
        <w:numPr>
          <w:ilvl w:val="1"/>
          <w:numId w:val="102"/>
        </w:numPr>
        <w:rPr>
          <w:rFonts w:cs="Calibri"/>
        </w:rPr>
      </w:pPr>
      <w:r>
        <w:rPr>
          <w:rFonts w:cs="Calibri"/>
        </w:rPr>
        <w:t xml:space="preserve">Computer terms and names, commands, sites, companies, hardware, software. </w:t>
      </w:r>
    </w:p>
    <w:p>
      <w:pPr>
        <w:pStyle w:val="ListParagraph"/>
        <w:numPr>
          <w:ilvl w:val="0"/>
          <w:numId w:val="102"/>
        </w:numPr>
        <w:rPr>
          <w:rFonts w:cs="Calibri"/>
        </w:rPr>
      </w:pPr>
      <w:r>
        <w:rPr>
          <w:rFonts w:cs="Calibri"/>
        </w:rPr>
        <w:t xml:space="preserve">The words "NFCC" or any derivation. </w:t>
      </w:r>
    </w:p>
    <w:p>
      <w:pPr>
        <w:pStyle w:val="ListParagraph"/>
        <w:numPr>
          <w:ilvl w:val="0"/>
          <w:numId w:val="102"/>
        </w:numPr>
        <w:rPr>
          <w:rFonts w:cs="Calibri"/>
        </w:rPr>
      </w:pPr>
      <w:r>
        <w:rPr>
          <w:rFonts w:cs="Calibri"/>
        </w:rPr>
        <w:t xml:space="preserve">Birthdays and other personal information such as addresses and phone numbers. </w:t>
      </w:r>
    </w:p>
    <w:p>
      <w:pPr>
        <w:pStyle w:val="ListParagraph"/>
        <w:numPr>
          <w:ilvl w:val="0"/>
          <w:numId w:val="102"/>
        </w:numPr>
        <w:rPr>
          <w:rFonts w:cs="Calibri"/>
        </w:rPr>
      </w:pPr>
      <w:r>
        <w:rPr>
          <w:rFonts w:cs="Calibri"/>
        </w:rPr>
        <w:t>Word or number patterns (e.g., aaabbb, qwerty, zyxwvuts or 123321)</w:t>
      </w:r>
    </w:p>
    <w:p>
      <w:pPr>
        <w:pStyle w:val="ListParagraph"/>
        <w:numPr>
          <w:ilvl w:val="0"/>
          <w:numId w:val="102"/>
        </w:numPr>
        <w:rPr>
          <w:rFonts w:cs="Calibri"/>
        </w:rPr>
      </w:pPr>
      <w:r>
        <w:rPr>
          <w:rFonts w:cs="Calibri"/>
        </w:rPr>
        <w:t xml:space="preserve">Any of the above spelled backward. </w:t>
      </w:r>
    </w:p>
    <w:p>
      <w:pPr>
        <w:pStyle w:val="ListParagraph"/>
        <w:numPr>
          <w:ilvl w:val="0"/>
          <w:numId w:val="102"/>
        </w:numPr>
        <w:rPr>
          <w:rFonts w:cs="Calibri"/>
        </w:rPr>
      </w:pPr>
      <w:r>
        <w:rPr>
          <w:rFonts w:cs="Calibri"/>
        </w:rPr>
        <w:t xml:space="preserve">Any of the above preceded or followed by a digit (e.g., secret1 or 1secret) </w:t>
      </w:r>
    </w:p>
    <w:p>
      <w:pPr>
        <w:pStyle w:val="Normal"/>
        <w:rPr>
          <w:rFonts w:cs="Calibri"/>
        </w:rPr>
      </w:pPr>
      <w:r>
        <w:rPr>
          <w:rFonts w:cs="Calibri"/>
        </w:rPr>
      </w:r>
    </w:p>
    <w:p>
      <w:pPr>
        <w:pStyle w:val="Heading3"/>
        <w:rPr/>
      </w:pPr>
      <w:bookmarkStart w:id="1031" w:name="_Toc34920915"/>
      <w:r>
        <w:rPr/>
        <w:t>IAC-10(b): Authenticator Management | PKI-Based Authentication</w:t>
      </w:r>
      <w:bookmarkEnd w:id="1031"/>
    </w:p>
    <w:p>
      <w:pPr>
        <w:pStyle w:val="Normal"/>
        <w:rPr>
          <w:rFonts w:cs="Calibri"/>
        </w:rPr>
      </w:pPr>
      <w:r>
        <w:rPr>
          <w:rFonts w:cs="Calibri"/>
          <w:u w:val="single"/>
        </w:rPr>
        <w:t>Control Objective</w:t>
      </w:r>
      <w:r>
        <w:rPr>
          <w:rFonts w:cs="Calibri"/>
        </w:rPr>
        <w:t>:</w:t>
      </w:r>
      <w:r>
        <w:rPr>
          <w:rFonts w:cs="Calibri"/>
          <w:bCs w:val="false"/>
        </w:rPr>
        <w:t xml:space="preserve"> </w:t>
      </w:r>
      <w:r>
        <w:rPr>
          <w:rFonts w:cs="Calibri"/>
        </w:rPr>
        <w:t>For PKI-based authentication, systems:</w:t>
      </w:r>
      <w:r>
        <w:rPr>
          <w:rStyle w:val="FootnoteAnchor"/>
          <w:rStyle w:val="FootnoteAnchor"/>
          <w:rFonts w:cs="Calibri"/>
        </w:rPr>
        <w:footnoteReference w:id="318"/>
      </w:r>
    </w:p>
    <w:p>
      <w:pPr>
        <w:pStyle w:val="ListParagraph"/>
        <w:numPr>
          <w:ilvl w:val="0"/>
          <w:numId w:val="222"/>
        </w:numPr>
        <w:rPr>
          <w:rFonts w:cs="Calibri"/>
        </w:rPr>
      </w:pPr>
      <w:r>
        <w:rPr>
          <w:rFonts w:cs="Calibri"/>
        </w:rPr>
        <w:t>Validate certifications by constructing and verifying a certification path to an accepted trust anchor including checking certificate status information;</w:t>
      </w:r>
    </w:p>
    <w:p>
      <w:pPr>
        <w:pStyle w:val="ListParagraph"/>
        <w:numPr>
          <w:ilvl w:val="0"/>
          <w:numId w:val="222"/>
        </w:numPr>
        <w:rPr>
          <w:rFonts w:cs="Calibri"/>
        </w:rPr>
      </w:pPr>
      <w:r>
        <w:rPr>
          <w:rFonts w:cs="Calibri"/>
        </w:rPr>
        <w:t>Enforce authorized access to the corresponding private key;</w:t>
      </w:r>
    </w:p>
    <w:p>
      <w:pPr>
        <w:pStyle w:val="ListParagraph"/>
        <w:numPr>
          <w:ilvl w:val="0"/>
          <w:numId w:val="222"/>
        </w:numPr>
        <w:rPr>
          <w:rFonts w:cs="Calibri"/>
        </w:rPr>
      </w:pPr>
      <w:r>
        <w:rPr>
          <w:rFonts w:cs="Calibri"/>
        </w:rPr>
        <w:t>Map the authenticated identity to the account of the individual or group; and</w:t>
      </w:r>
    </w:p>
    <w:p>
      <w:pPr>
        <w:pStyle w:val="ListParagraph"/>
        <w:numPr>
          <w:ilvl w:val="0"/>
          <w:numId w:val="222"/>
        </w:numPr>
        <w:rPr>
          <w:rFonts w:cs="Calibri"/>
        </w:rPr>
      </w:pPr>
      <w:r>
        <w:rPr>
          <w:rFonts w:cs="Calibri"/>
        </w:rPr>
        <w:t>Implement a local cache of revocation data to support path discovery and validation in case of inability to access revocation information via the network.</w:t>
      </w:r>
    </w:p>
    <w:p>
      <w:pPr>
        <w:pStyle w:val="Normal"/>
        <w:rPr>
          <w:rFonts w:cs="Calibri"/>
        </w:rPr>
      </w:pPr>
      <w:r>
        <w:rPr>
          <w:rFonts w:cs="Calibri"/>
        </w:rPr>
      </w:r>
    </w:p>
    <w:p>
      <w:pPr>
        <w:pStyle w:val="Normal"/>
        <w:rPr>
          <w:rFonts w:cs="Calibri"/>
        </w:rPr>
      </w:pPr>
      <w:r>
        <w:rPr>
          <w:rFonts w:cs="Calibri"/>
          <w:bCs w:val="false"/>
          <w:u w:val="single"/>
        </w:rPr>
        <w:t>Standard</w:t>
      </w:r>
      <w:r>
        <w:rPr>
          <w:rFonts w:cs="Calibri"/>
          <w:bCs w:val="false"/>
        </w:rPr>
        <w:t xml:space="preserve">: Where technically feasible, asset custodians must configure assets </w:t>
      </w:r>
      <w:r>
        <w:rPr>
          <w:rFonts w:cs="Calibri"/>
        </w:rPr>
        <w:t>for PKI-based authentication</w:t>
      </w:r>
      <w:r>
        <w:rPr>
          <w:rFonts w:cs="Calibri"/>
          <w:bCs w:val="false"/>
        </w:rPr>
        <w:t xml:space="preserve"> by</w:t>
      </w:r>
      <w:r>
        <w:rPr>
          <w:rFonts w:cs="Calibri"/>
        </w:rPr>
        <w:t>:</w:t>
      </w:r>
    </w:p>
    <w:p>
      <w:pPr>
        <w:pStyle w:val="ListParagraph"/>
        <w:numPr>
          <w:ilvl w:val="0"/>
          <w:numId w:val="354"/>
        </w:numPr>
        <w:rPr>
          <w:rFonts w:cs="Calibri"/>
        </w:rPr>
      </w:pPr>
      <w:r>
        <w:rPr>
          <w:rFonts w:cs="Calibri"/>
          <w:bCs w:val="false"/>
        </w:rPr>
        <w:t>Validating</w:t>
      </w:r>
      <w:r>
        <w:rPr>
          <w:rFonts w:cs="Calibri"/>
        </w:rPr>
        <w:t xml:space="preserve"> certifications by constructing and verifying a certification path to an accepted trust anchor including checking certificate status information;</w:t>
      </w:r>
    </w:p>
    <w:p>
      <w:pPr>
        <w:pStyle w:val="ListParagraph"/>
        <w:numPr>
          <w:ilvl w:val="0"/>
          <w:numId w:val="354"/>
        </w:numPr>
        <w:rPr>
          <w:rFonts w:cs="Calibri"/>
        </w:rPr>
      </w:pPr>
      <w:r>
        <w:rPr>
          <w:rFonts w:cs="Calibri"/>
        </w:rPr>
        <w:t>Enforc</w:t>
      </w:r>
      <w:r>
        <w:rPr>
          <w:rFonts w:cs="Calibri"/>
          <w:bCs w:val="false"/>
        </w:rPr>
        <w:t>ing</w:t>
      </w:r>
      <w:r>
        <w:rPr>
          <w:rFonts w:cs="Calibri"/>
        </w:rPr>
        <w:t xml:space="preserve"> authorized access to the corresponding private key;</w:t>
      </w:r>
    </w:p>
    <w:p>
      <w:pPr>
        <w:pStyle w:val="ListParagraph"/>
        <w:numPr>
          <w:ilvl w:val="0"/>
          <w:numId w:val="354"/>
        </w:numPr>
        <w:rPr>
          <w:rFonts w:cs="Calibri"/>
        </w:rPr>
      </w:pPr>
      <w:r>
        <w:rPr>
          <w:rFonts w:cs="Calibri"/>
          <w:bCs w:val="false"/>
        </w:rPr>
        <w:t>Mapping</w:t>
      </w:r>
      <w:r>
        <w:rPr>
          <w:rFonts w:cs="Calibri"/>
        </w:rPr>
        <w:t xml:space="preserve"> the authenticated identity to the account of the individual or group; and</w:t>
      </w:r>
    </w:p>
    <w:p>
      <w:pPr>
        <w:pStyle w:val="ListParagraph"/>
        <w:numPr>
          <w:ilvl w:val="0"/>
          <w:numId w:val="354"/>
        </w:numPr>
        <w:rPr>
          <w:rFonts w:cs="Calibri"/>
        </w:rPr>
      </w:pPr>
      <w:r>
        <w:rPr>
          <w:rFonts w:cs="Calibri"/>
          <w:bCs w:val="false"/>
        </w:rPr>
        <w:t>Implementing</w:t>
      </w:r>
      <w:r>
        <w:rPr>
          <w:rFonts w:cs="Calibri"/>
        </w:rPr>
        <w:t xml:space="preserve"> a local cache of revocation data to support path discovery and validation in case of inability to access revocation information via the network.</w:t>
      </w:r>
    </w:p>
    <w:p>
      <w:pPr>
        <w:pStyle w:val="Normal"/>
        <w:rPr>
          <w:rFonts w:cs="Calibri"/>
        </w:rPr>
      </w:pPr>
      <w:r>
        <w:rPr>
          <w:rFonts w:cs="Calibri"/>
        </w:rPr>
      </w:r>
    </w:p>
    <w:p>
      <w:pPr>
        <w:pStyle w:val="Normal"/>
        <w:rPr>
          <w:rFonts w:eastAsia="Calibri" w:cs="Calibri"/>
          <w:b/>
          <w:b/>
          <w:bCs w:val="false"/>
          <w:iCs/>
          <w:smallCaps/>
          <w:color w:val="1F497D" w:themeColor="text2"/>
        </w:rPr>
      </w:pPr>
      <w:r>
        <w:rPr>
          <w:rFonts w:cs="Calibri"/>
          <w:u w:val="single"/>
        </w:rPr>
        <w:t>Guidelines</w:t>
      </w:r>
      <w:r>
        <w:rPr>
          <w:rFonts w:cs="Calibri"/>
        </w:rPr>
        <w:t>: Status information for certification paths includes, for example, certificate revocation lists or certificate status protocol responses. For PIV cards, validation of certifications involves the construction and verification of a certification path to the Common Policy Root trust anchor including certificate policy processing.</w:t>
      </w:r>
    </w:p>
    <w:p>
      <w:pPr>
        <w:pStyle w:val="Normal"/>
        <w:rPr>
          <w:rFonts w:eastAsia="Calibri" w:cs="Calibri"/>
          <w:b/>
          <w:b/>
          <w:bCs w:val="false"/>
          <w:iCs/>
          <w:smallCaps/>
          <w:color w:val="1F497D" w:themeColor="text2"/>
        </w:rPr>
      </w:pPr>
      <w:r>
        <w:rPr>
          <w:rFonts w:eastAsia="Calibri" w:cs="Calibri"/>
          <w:b/>
          <w:bCs w:val="false"/>
          <w:iCs/>
          <w:smallCaps/>
          <w:color w:val="1F497D" w:themeColor="text2"/>
        </w:rPr>
      </w:r>
    </w:p>
    <w:p>
      <w:pPr>
        <w:pStyle w:val="Heading3"/>
        <w:rPr/>
      </w:pPr>
      <w:bookmarkStart w:id="1032" w:name="_Toc34920916"/>
      <w:r>
        <w:rPr/>
        <w:t>IAC-10(c): Authenticator Management | In-Person or Trusted Third-Party Registration</w:t>
      </w:r>
      <w:bookmarkEnd w:id="1032"/>
      <w:r>
        <w:rPr/>
        <w:t xml:space="preserve"> </w:t>
      </w:r>
    </w:p>
    <w:p>
      <w:pPr>
        <w:pStyle w:val="Normal"/>
        <w:rPr>
          <w:rFonts w:cs="Calibri"/>
          <w:bCs w:val="false"/>
        </w:rPr>
      </w:pPr>
      <w:r>
        <w:rPr>
          <w:rFonts w:cs="Calibri"/>
          <w:u w:val="single"/>
        </w:rPr>
        <w:t>Control Objective</w:t>
      </w:r>
      <w:r>
        <w:rPr>
          <w:rFonts w:cs="Calibri"/>
        </w:rPr>
        <w:t>:</w:t>
      </w:r>
      <w:r>
        <w:rPr>
          <w:rFonts w:cs="Calibri"/>
          <w:bCs w:val="false"/>
        </w:rPr>
        <w:t xml:space="preserve"> </w:t>
      </w:r>
      <w:r>
        <w:rPr>
          <w:rFonts w:cs="Calibri"/>
        </w:rPr>
        <w:t>The organization requires that the registration process for certain specific authenticators are conducted in person or by a trusted third-party before with authorization by organization-defined personnel or roles.</w:t>
      </w:r>
      <w:r>
        <w:rPr>
          <w:rStyle w:val="FootnoteAnchor"/>
          <w:rStyle w:val="FootnoteAnchor"/>
          <w:rFonts w:cs="Calibri"/>
        </w:rPr>
        <w:footnoteReference w:id="319"/>
      </w:r>
    </w:p>
    <w:p>
      <w:pPr>
        <w:pStyle w:val="Normal"/>
        <w:rPr>
          <w:rFonts w:cs="Calibri"/>
          <w:bCs w:val="false"/>
        </w:rPr>
      </w:pPr>
      <w:r>
        <w:rPr>
          <w:rFonts w:cs="Calibri"/>
          <w:bCs w:val="false"/>
        </w:rPr>
      </w:r>
    </w:p>
    <w:p>
      <w:pPr>
        <w:pStyle w:val="Normal"/>
        <w:rPr>
          <w:rFonts w:cs="Calibri"/>
          <w:bCs w:val="false"/>
        </w:rPr>
      </w:pPr>
      <w:r>
        <w:rPr>
          <w:rFonts w:cs="Calibri"/>
          <w:bCs w:val="false"/>
          <w:u w:val="single"/>
        </w:rPr>
        <w:t>Standard</w:t>
      </w:r>
      <w:r>
        <w:rPr>
          <w:rFonts w:cs="Calibri"/>
          <w:bCs w:val="false"/>
        </w:rPr>
        <w:t>: NFCC’s Human Resources (HR) department, in conjunction with the Identity and Access Management (IAM) team, must develop and implement mechanisms</w:t>
      </w:r>
      <w:r>
        <w:rPr>
          <w:rFonts w:cs="Calibri"/>
        </w:rPr>
        <w:t xml:space="preserve"> </w:t>
      </w:r>
      <w:r>
        <w:rPr>
          <w:rFonts w:cs="Calibri"/>
          <w:bCs w:val="false"/>
        </w:rPr>
        <w:t>to enforce</w:t>
      </w:r>
      <w:r>
        <w:rPr>
          <w:rFonts w:cs="Calibri"/>
        </w:rPr>
        <w:t xml:space="preserve"> </w:t>
      </w:r>
      <w:r>
        <w:rPr>
          <w:rFonts w:cs="Calibri"/>
          <w:bCs w:val="false"/>
        </w:rPr>
        <w:t>authenticators are only issued by:</w:t>
      </w:r>
    </w:p>
    <w:p>
      <w:pPr>
        <w:pStyle w:val="ListParagraph"/>
        <w:numPr>
          <w:ilvl w:val="0"/>
          <w:numId w:val="355"/>
        </w:numPr>
        <w:rPr>
          <w:rFonts w:cs="Calibri"/>
          <w:bCs w:val="false"/>
        </w:rPr>
      </w:pPr>
      <w:r>
        <w:rPr>
          <w:rFonts w:cs="Calibri"/>
          <w:bCs w:val="false"/>
        </w:rPr>
        <w:t>An in-person process that is managed by HR-designated personnel / roles; or</w:t>
      </w:r>
    </w:p>
    <w:p>
      <w:pPr>
        <w:pStyle w:val="ListParagraph"/>
        <w:numPr>
          <w:ilvl w:val="0"/>
          <w:numId w:val="355"/>
        </w:numPr>
        <w:rPr>
          <w:rFonts w:cs="Calibri"/>
        </w:rPr>
      </w:pPr>
      <w:r>
        <w:rPr>
          <w:rFonts w:cs="Calibri"/>
          <w:bCs w:val="false"/>
        </w:rPr>
        <w:t>An outsourced process that is managed by</w:t>
      </w:r>
      <w:r>
        <w:rPr>
          <w:rFonts w:cs="Calibri"/>
        </w:rPr>
        <w:t xml:space="preserve"> a trusted third party</w:t>
      </w:r>
      <w:r>
        <w:rPr>
          <w:rFonts w:cs="Calibri"/>
          <w:bCs w:val="false"/>
        </w:rPr>
        <w:t>.</w:t>
      </w:r>
    </w:p>
    <w:p>
      <w:pPr>
        <w:pStyle w:val="Normal"/>
        <w:rPr>
          <w:rFonts w:cs="Calibri"/>
        </w:rPr>
      </w:pPr>
      <w:r>
        <w:rPr>
          <w:rFonts w:cs="Calibri"/>
        </w:rPr>
      </w:r>
    </w:p>
    <w:p>
      <w:pPr>
        <w:pStyle w:val="Normal"/>
        <w:rPr>
          <w:rFonts w:eastAsia="Calibri" w:cs="Calibri"/>
          <w:b/>
          <w:b/>
          <w:bCs w:val="false"/>
          <w:iCs/>
          <w:smallCaps/>
          <w:color w:val="1F497D" w:themeColor="text2"/>
        </w:rPr>
      </w:pPr>
      <w:r>
        <w:rPr>
          <w:rFonts w:cs="Calibri"/>
          <w:u w:val="single"/>
        </w:rPr>
        <w:t>Guidelines</w:t>
      </w:r>
      <w:r>
        <w:rPr>
          <w:rFonts w:cs="Calibri"/>
        </w:rPr>
        <w:t>: None</w:t>
      </w:r>
    </w:p>
    <w:p>
      <w:pPr>
        <w:pStyle w:val="Normal"/>
        <w:rPr>
          <w:rFonts w:eastAsia="Calibri" w:cs="Calibri"/>
          <w:b/>
          <w:b/>
          <w:bCs w:val="false"/>
          <w:iCs/>
          <w:smallCaps/>
          <w:color w:val="1F497D" w:themeColor="text2"/>
        </w:rPr>
      </w:pPr>
      <w:r>
        <w:rPr>
          <w:rFonts w:eastAsia="Calibri" w:cs="Calibri"/>
          <w:b/>
          <w:bCs w:val="false"/>
          <w:iCs/>
          <w:smallCaps/>
          <w:color w:val="1F497D" w:themeColor="text2"/>
        </w:rPr>
      </w:r>
    </w:p>
    <w:p>
      <w:pPr>
        <w:pStyle w:val="Heading3"/>
        <w:rPr/>
      </w:pPr>
      <w:bookmarkStart w:id="1033" w:name="_Toc34920917"/>
      <w:r>
        <w:rPr/>
        <w:t>IAC-10(d): Authenticator Management | Automated Support For Password Strength</w:t>
      </w:r>
      <w:bookmarkEnd w:id="1033"/>
      <w:r>
        <w:rPr/>
        <w:t xml:space="preserve"> </w:t>
      </w:r>
    </w:p>
    <w:p>
      <w:pPr>
        <w:pStyle w:val="Normal"/>
        <w:rPr>
          <w:rFonts w:cs="Calibri"/>
        </w:rPr>
      </w:pPr>
      <w:r>
        <w:rPr>
          <w:rFonts w:cs="Calibri"/>
          <w:u w:val="single"/>
        </w:rPr>
        <w:t>Control Objective</w:t>
      </w:r>
      <w:r>
        <w:rPr>
          <w:rFonts w:cs="Calibri"/>
        </w:rPr>
        <w:t>:</w:t>
      </w:r>
      <w:r>
        <w:rPr>
          <w:rFonts w:cs="Calibri"/>
          <w:bCs w:val="false"/>
        </w:rPr>
        <w:t xml:space="preserve"> </w:t>
      </w:r>
      <w:r>
        <w:rPr>
          <w:rFonts w:cs="Calibri"/>
        </w:rPr>
        <w:t>The organization employs automated tools to determine if password authenticators are sufficiently strong to satisfy organization-defined requirements.</w:t>
      </w:r>
      <w:r>
        <w:rPr>
          <w:rStyle w:val="FootnoteAnchor"/>
          <w:rStyle w:val="FootnoteAnchor"/>
          <w:rFonts w:cs="Calibri"/>
        </w:rPr>
        <w:footnoteReference w:id="320"/>
      </w:r>
    </w:p>
    <w:p>
      <w:pPr>
        <w:pStyle w:val="Normal"/>
        <w:rPr>
          <w:rFonts w:cs="Calibri"/>
        </w:rPr>
      </w:pPr>
      <w:r>
        <w:rPr>
          <w:rFonts w:cs="Calibri"/>
        </w:rPr>
      </w:r>
    </w:p>
    <w:p>
      <w:pPr>
        <w:pStyle w:val="Normal"/>
        <w:rPr>
          <w:rFonts w:cs="Calibri"/>
        </w:rPr>
      </w:pPr>
      <w:r>
        <w:rPr>
          <w:rFonts w:cs="Calibri"/>
          <w:bCs w:val="false"/>
          <w:u w:val="single"/>
        </w:rPr>
        <w:t>Standard</w:t>
      </w:r>
      <w:r>
        <w:rPr>
          <w:rFonts w:cs="Calibri"/>
          <w:bCs w:val="false"/>
        </w:rPr>
        <w:t xml:space="preserve">: </w:t>
      </w:r>
      <w:r>
        <w:rPr>
          <w:rFonts w:cs="Calibri"/>
        </w:rPr>
        <w:t xml:space="preserve">NFCC </w:t>
      </w:r>
      <w:r>
        <w:rPr>
          <w:rFonts w:cs="Calibri"/>
          <w:bCs w:val="false"/>
        </w:rPr>
        <w:t xml:space="preserve">Identity and Access Management (IAM) team </w:t>
      </w:r>
      <w:r>
        <w:rPr>
          <w:rFonts w:cs="Calibri"/>
        </w:rPr>
        <w:t xml:space="preserve">may perform password cracking on a periodic or random basis determine if password authenticators are sufficiently strong to satisfy </w:t>
      </w:r>
      <w:r>
        <w:rPr>
          <w:rFonts w:cs="Calibri"/>
          <w:bCs w:val="false"/>
        </w:rPr>
        <w:t>NFCC</w:t>
      </w:r>
      <w:r>
        <w:rPr>
          <w:rFonts w:cs="Calibri"/>
        </w:rPr>
        <w:t>-defined requirements.</w:t>
      </w:r>
    </w:p>
    <w:p>
      <w:pPr>
        <w:pStyle w:val="Normal"/>
        <w:rPr>
          <w:rFonts w:cs="Calibri"/>
        </w:rPr>
      </w:pPr>
      <w:r>
        <w:rPr>
          <w:rFonts w:cs="Calibri"/>
        </w:rPr>
      </w:r>
    </w:p>
    <w:p>
      <w:pPr>
        <w:pStyle w:val="Normal"/>
        <w:rPr>
          <w:rFonts w:cs="Calibri"/>
          <w:bCs w:val="false"/>
        </w:rPr>
      </w:pPr>
      <w:r>
        <w:rPr>
          <w:rFonts w:cs="Calibri"/>
          <w:u w:val="single"/>
        </w:rPr>
        <w:t>Guidelines</w:t>
      </w:r>
      <w:r>
        <w:rPr>
          <w:rFonts w:cs="Calibri"/>
        </w:rPr>
        <w:t>: This focuses on the creation of strong passwords and the characteristics of such passwords (e.g., complexity) prior to use, the enforcement of which is carried out by organizational systems</w:t>
      </w:r>
      <w:r>
        <w:rPr>
          <w:rFonts w:cs="Calibri"/>
          <w:bCs w:val="false"/>
        </w:rPr>
        <w:t>.</w:t>
      </w:r>
    </w:p>
    <w:p>
      <w:pPr>
        <w:pStyle w:val="Normal"/>
        <w:rPr>
          <w:rFonts w:eastAsia="Calibri" w:cs="Calibri"/>
          <w:b/>
          <w:b/>
          <w:bCs w:val="false"/>
          <w:iCs/>
          <w:smallCaps/>
          <w:color w:val="1F497D" w:themeColor="text2"/>
        </w:rPr>
      </w:pPr>
      <w:r>
        <w:rPr>
          <w:rFonts w:eastAsia="Calibri" w:cs="Calibri"/>
          <w:b/>
          <w:bCs w:val="false"/>
          <w:iCs/>
          <w:smallCaps/>
          <w:color w:val="1F497D" w:themeColor="text2"/>
        </w:rPr>
      </w:r>
    </w:p>
    <w:p>
      <w:pPr>
        <w:pStyle w:val="Heading3"/>
        <w:rPr/>
      </w:pPr>
      <w:bookmarkStart w:id="1034" w:name="_Toc34920918"/>
      <w:r>
        <w:rPr/>
        <w:t>IAC-10(e): Authenticator Management | Protection of Authenticators</w:t>
      </w:r>
      <w:bookmarkEnd w:id="1034"/>
      <w:r>
        <w:rPr/>
        <w:t xml:space="preserve"> </w:t>
      </w:r>
    </w:p>
    <w:p>
      <w:pPr>
        <w:pStyle w:val="Normal"/>
        <w:rPr/>
      </w:pPr>
      <w:r>
        <w:rPr>
          <w:u w:val="single"/>
        </w:rPr>
        <w:t>Control Objective</w:t>
      </w:r>
      <w:r>
        <w:rPr/>
        <w:t>: The organization protects authenticators commensurate with the security category of the information to which use of the authenticator permits access.</w:t>
      </w:r>
      <w:r>
        <w:rPr>
          <w:rStyle w:val="FootnoteAnchor"/>
          <w:rStyle w:val="FootnoteAnchor"/>
          <w:rFonts w:cs="Calibri"/>
        </w:rPr>
        <w:footnoteReference w:id="321"/>
      </w:r>
    </w:p>
    <w:p>
      <w:pPr>
        <w:pStyle w:val="Normal"/>
        <w:rPr/>
      </w:pPr>
      <w:r>
        <w:rPr/>
      </w:r>
    </w:p>
    <w:p>
      <w:pPr>
        <w:pStyle w:val="Normal"/>
        <w:rPr/>
      </w:pPr>
      <w:r>
        <w:rPr>
          <w:u w:val="single"/>
        </w:rPr>
        <w:t>Standard</w:t>
      </w:r>
      <w:r>
        <w:rPr/>
        <w:t xml:space="preserve">: Users are required to follow NFCC’s practices in: </w:t>
      </w:r>
    </w:p>
    <w:p>
      <w:pPr>
        <w:pStyle w:val="ListParagraph"/>
        <w:numPr>
          <w:ilvl w:val="0"/>
          <w:numId w:val="356"/>
        </w:numPr>
        <w:tabs>
          <w:tab w:val="clear" w:pos="360"/>
          <w:tab w:val="clear" w:pos="720"/>
          <w:tab w:val="clear" w:pos="1080"/>
        </w:tabs>
        <w:rPr/>
      </w:pPr>
      <w:r>
        <w:rPr/>
        <w:t>Store and transmit only cryptographically-protected passwords;</w:t>
      </w:r>
    </w:p>
    <w:p>
      <w:pPr>
        <w:pStyle w:val="ListParagraph"/>
        <w:numPr>
          <w:ilvl w:val="0"/>
          <w:numId w:val="356"/>
        </w:numPr>
        <w:tabs>
          <w:tab w:val="clear" w:pos="360"/>
          <w:tab w:val="clear" w:pos="720"/>
          <w:tab w:val="clear" w:pos="1080"/>
        </w:tabs>
        <w:rPr/>
      </w:pPr>
      <w:r>
        <w:rPr/>
        <w:t>The use of authentication mechanisms (e.g., passwords, passphrases, physical or logical security tokens, smart cards, certificates, etc.); and</w:t>
      </w:r>
    </w:p>
    <w:p>
      <w:pPr>
        <w:pStyle w:val="ListParagraph"/>
        <w:numPr>
          <w:ilvl w:val="0"/>
          <w:numId w:val="356"/>
        </w:numPr>
        <w:tabs>
          <w:tab w:val="clear" w:pos="360"/>
          <w:tab w:val="clear" w:pos="720"/>
          <w:tab w:val="clear" w:pos="1080"/>
        </w:tabs>
        <w:rPr/>
      </w:pPr>
      <w:r>
        <w:rPr/>
        <w:t>Protecting authenticators commensurate with the risk posed to NFCC that use of the authenticator permits access.</w:t>
      </w:r>
      <w:r>
        <w:rPr>
          <w:rStyle w:val="FootnoteCharacters"/>
          <w:rFonts w:cs="Calibri"/>
        </w:rPr>
        <w:t xml:space="preserve"> </w:t>
      </w:r>
    </w:p>
    <w:p>
      <w:pPr>
        <w:pStyle w:val="Normal"/>
        <w:rPr/>
      </w:pPr>
      <w:r>
        <w:rPr/>
      </w:r>
    </w:p>
    <w:p>
      <w:pPr>
        <w:pStyle w:val="Normal"/>
        <w:rPr/>
      </w:pPr>
      <w:r>
        <w:rPr>
          <w:u w:val="single"/>
        </w:rPr>
        <w:t>Guidelines</w:t>
      </w:r>
      <w:r>
        <w:rPr/>
        <w:t>: For systems containing multiple security categories of information without reliable physical or logical separation between categories, authenticators used to grant access to the systems are protected commensurate with the highest security category of information on the systems.</w:t>
      </w:r>
    </w:p>
    <w:p>
      <w:pPr>
        <w:pStyle w:val="Normal"/>
        <w:rPr>
          <w:rFonts w:eastAsia="Calibri" w:cs="Calibri"/>
          <w:b/>
          <w:b/>
          <w:bCs w:val="false"/>
          <w:iCs/>
          <w:smallCaps/>
          <w:color w:val="1F497D" w:themeColor="text2"/>
        </w:rPr>
      </w:pPr>
      <w:r>
        <w:rPr>
          <w:rFonts w:eastAsia="Calibri" w:cs="Calibri"/>
          <w:b/>
          <w:bCs w:val="false"/>
          <w:iCs/>
          <w:smallCaps/>
          <w:color w:val="1F497D" w:themeColor="text2"/>
        </w:rPr>
      </w:r>
    </w:p>
    <w:p>
      <w:pPr>
        <w:pStyle w:val="Heading3"/>
        <w:rPr/>
      </w:pPr>
      <w:bookmarkStart w:id="1035" w:name="_Toc34920919"/>
      <w:r>
        <w:rPr/>
        <w:t>IAC-10(f): Authenticator Management | No Embedded Unencrypted Static Authenticators</w:t>
      </w:r>
      <w:bookmarkEnd w:id="1035"/>
    </w:p>
    <w:p>
      <w:pPr>
        <w:pStyle w:val="Normal"/>
        <w:rPr/>
      </w:pPr>
      <w:r>
        <w:rPr>
          <w:u w:val="single"/>
        </w:rPr>
        <w:t>Control Objective</w:t>
      </w:r>
      <w:r>
        <w:rPr/>
        <w:t>: The organization ensures that unencrypted, static authenticators are not embedded in applications or access scripts or stored on function keys.</w:t>
      </w:r>
      <w:r>
        <w:rPr>
          <w:rStyle w:val="FootnoteCharacters"/>
          <w:rFonts w:cs="Calibri"/>
          <w:bCs w:val="false"/>
        </w:rPr>
        <w:t xml:space="preserve"> </w:t>
      </w:r>
      <w:r>
        <w:rPr>
          <w:rStyle w:val="FootnoteAnchor"/>
          <w:rStyle w:val="FootnoteAnchor"/>
          <w:rFonts w:cs="Calibri"/>
          <w:bCs w:val="false"/>
        </w:rPr>
        <w:footnoteReference w:id="322"/>
      </w:r>
    </w:p>
    <w:p>
      <w:pPr>
        <w:pStyle w:val="Normal"/>
        <w:rPr/>
      </w:pPr>
      <w:r>
        <w:rPr/>
      </w:r>
    </w:p>
    <w:p>
      <w:pPr>
        <w:pStyle w:val="Normal"/>
        <w:rPr/>
      </w:pPr>
      <w:r>
        <w:rPr>
          <w:u w:val="single"/>
        </w:rPr>
        <w:t>Standard</w:t>
      </w:r>
      <w:r>
        <w:rPr/>
        <w:t>: NFCC prohibits unencrypted static authenticators from being:</w:t>
      </w:r>
    </w:p>
    <w:p>
      <w:pPr>
        <w:pStyle w:val="ListParagraph"/>
        <w:numPr>
          <w:ilvl w:val="0"/>
          <w:numId w:val="357"/>
        </w:numPr>
        <w:tabs>
          <w:tab w:val="clear" w:pos="360"/>
          <w:tab w:val="clear" w:pos="720"/>
          <w:tab w:val="clear" w:pos="1080"/>
        </w:tabs>
        <w:rPr/>
      </w:pPr>
      <w:r>
        <w:rPr/>
        <w:t>Embedded in applications or access scripts; or</w:t>
      </w:r>
    </w:p>
    <w:p>
      <w:pPr>
        <w:pStyle w:val="ListParagraph"/>
        <w:numPr>
          <w:ilvl w:val="0"/>
          <w:numId w:val="357"/>
        </w:numPr>
        <w:tabs>
          <w:tab w:val="clear" w:pos="360"/>
          <w:tab w:val="clear" w:pos="720"/>
          <w:tab w:val="clear" w:pos="1080"/>
        </w:tabs>
        <w:rPr/>
      </w:pPr>
      <w:r>
        <w:rPr/>
        <w:t>Stored on function keys.</w:t>
      </w:r>
    </w:p>
    <w:p>
      <w:pPr>
        <w:pStyle w:val="Normal"/>
        <w:rPr/>
      </w:pPr>
      <w:r>
        <w:rPr/>
      </w:r>
    </w:p>
    <w:p>
      <w:pPr>
        <w:pStyle w:val="Normal"/>
        <w:rPr/>
      </w:pPr>
      <w:r>
        <w:rPr>
          <w:u w:val="single"/>
        </w:rPr>
        <w:t>Guidelines</w:t>
      </w:r>
      <w:r>
        <w:rPr/>
        <w:t>: Organizations exercise caution in determining whether embedded or stored authenticators are in encrypted or unencrypted form. If authenticators are used in the manner stored, then those representations are considered unencrypted authenticators. This is irrespective of whether that representation is perhaps an encrypted version of something else (e.g., a password).</w:t>
      </w:r>
    </w:p>
    <w:p>
      <w:pPr>
        <w:pStyle w:val="Normal"/>
        <w:tabs>
          <w:tab w:val="clear" w:pos="360"/>
          <w:tab w:val="clear" w:pos="720"/>
          <w:tab w:val="clear" w:pos="1080"/>
        </w:tabs>
        <w:jc w:val="left"/>
        <w:rPr>
          <w:rFonts w:cs="Calibri"/>
          <w:b/>
          <w:b/>
          <w:bCs w:val="false"/>
          <w:smallCaps/>
          <w:sz w:val="22"/>
        </w:rPr>
      </w:pPr>
      <w:r>
        <w:rPr>
          <w:rFonts w:cs="Calibri"/>
          <w:b/>
          <w:bCs w:val="false"/>
          <w:smallCaps/>
          <w:sz w:val="22"/>
        </w:rPr>
      </w:r>
    </w:p>
    <w:p>
      <w:pPr>
        <w:pStyle w:val="Heading3"/>
        <w:rPr/>
      </w:pPr>
      <w:bookmarkStart w:id="1036" w:name="_Toc34920920"/>
      <w:r>
        <w:rPr/>
        <w:t>IAC-10(g): Authenticator Management | Hardware Token-Based Authentication</w:t>
      </w:r>
      <w:bookmarkEnd w:id="1036"/>
    </w:p>
    <w:p>
      <w:pPr>
        <w:pStyle w:val="Normal"/>
        <w:rPr>
          <w:rFonts w:cs="Calibri"/>
        </w:rPr>
      </w:pPr>
      <w:r>
        <w:rPr>
          <w:rFonts w:cs="Calibri"/>
          <w:u w:val="single"/>
        </w:rPr>
        <w:t>Control Objective</w:t>
      </w:r>
      <w:r>
        <w:rPr>
          <w:rFonts w:cs="Calibri"/>
        </w:rPr>
        <w:t>: For hardware token-based authentication, systems employ mechanisms that satisfy organization-defined token quality requirements.</w:t>
      </w:r>
      <w:r>
        <w:rPr>
          <w:rStyle w:val="FootnoteAnchor"/>
          <w:rStyle w:val="FootnoteAnchor"/>
          <w:rFonts w:cs="Calibri"/>
        </w:rPr>
        <w:footnoteReference w:id="323"/>
      </w:r>
    </w:p>
    <w:p>
      <w:pPr>
        <w:pStyle w:val="Normal"/>
        <w:rPr>
          <w:rFonts w:cs="Calibri"/>
        </w:rPr>
      </w:pPr>
      <w:r>
        <w:rPr>
          <w:rFonts w:cs="Calibri"/>
        </w:rPr>
      </w:r>
    </w:p>
    <w:p>
      <w:pPr>
        <w:pStyle w:val="Normal"/>
        <w:rPr>
          <w:rFonts w:cs="Calibri"/>
          <w:bCs w:val="false"/>
        </w:rPr>
      </w:pPr>
      <w:r>
        <w:rPr>
          <w:rFonts w:cs="Calibri"/>
          <w:bCs w:val="false"/>
          <w:u w:val="single"/>
        </w:rPr>
        <w:t>Standard</w:t>
      </w:r>
      <w:r>
        <w:rPr>
          <w:rFonts w:cs="Calibri"/>
          <w:bCs w:val="false"/>
        </w:rPr>
        <w:t xml:space="preserve">: Where applicable, asset custodians must employ mechanisms </w:t>
      </w:r>
      <w:r>
        <w:rPr>
          <w:rFonts w:cs="Calibri"/>
        </w:rPr>
        <w:t>for hardware token-based authentication</w:t>
      </w:r>
      <w:r>
        <w:rPr>
          <w:rFonts w:cs="Calibri"/>
          <w:bCs w:val="false"/>
        </w:rPr>
        <w:t xml:space="preserve"> that satisfy NFCC’s </w:t>
      </w:r>
      <w:r>
        <w:rPr>
          <w:rFonts w:cs="Calibri"/>
        </w:rPr>
        <w:t>token quality requirements.</w:t>
      </w:r>
    </w:p>
    <w:p>
      <w:pPr>
        <w:pStyle w:val="Normal"/>
        <w:rPr>
          <w:rFonts w:cs="Calibri"/>
        </w:rPr>
      </w:pPr>
      <w:r>
        <w:rPr>
          <w:rFonts w:cs="Calibri"/>
        </w:rPr>
      </w:r>
    </w:p>
    <w:p>
      <w:pPr>
        <w:pStyle w:val="Normal"/>
        <w:rPr>
          <w:rFonts w:eastAsia="Calibri" w:cs="Calibri"/>
          <w:b/>
          <w:b/>
          <w:bCs w:val="false"/>
          <w:iCs/>
          <w:smallCaps/>
          <w:color w:val="1F497D" w:themeColor="text2"/>
        </w:rPr>
      </w:pPr>
      <w:r>
        <w:rPr>
          <w:rFonts w:cs="Calibri"/>
          <w:u w:val="single"/>
        </w:rPr>
        <w:t>Guidelines</w:t>
      </w:r>
      <w:r>
        <w:rPr>
          <w:rFonts w:cs="Calibri"/>
        </w:rPr>
        <w:t>: Hardware token-based authentication typically refers to the use of PKI-based tokens, such as the U.S. Government Personal Identity Verification (PIV) card. Organizations define specific requirements for tokens, such as working with a particular PKI.</w:t>
      </w:r>
    </w:p>
    <w:p>
      <w:pPr>
        <w:pStyle w:val="Normal"/>
        <w:rPr>
          <w:rFonts w:eastAsia="Calibri"/>
        </w:rPr>
      </w:pPr>
      <w:r>
        <w:rPr>
          <w:rFonts w:eastAsia="Calibri"/>
        </w:rPr>
      </w:r>
    </w:p>
    <w:p>
      <w:pPr>
        <w:pStyle w:val="Heading3"/>
        <w:rPr/>
      </w:pPr>
      <w:bookmarkStart w:id="1037" w:name="_Toc474075027"/>
      <w:bookmarkStart w:id="1038" w:name="_Toc34920921"/>
      <w:r>
        <w:rPr/>
        <w:t>IAC-10(h): Authenticator Management | Vendor-Supplied Defaults</w:t>
      </w:r>
      <w:bookmarkEnd w:id="1037"/>
      <w:bookmarkEnd w:id="1038"/>
      <w:r>
        <w:rPr/>
        <w:t xml:space="preserve"> </w:t>
      </w:r>
    </w:p>
    <w:p>
      <w:pPr>
        <w:pStyle w:val="Normal"/>
        <w:rPr/>
      </w:pPr>
      <w:r>
        <w:rPr>
          <w:u w:val="single"/>
        </w:rPr>
        <w:t>Control Objective</w:t>
      </w:r>
      <w:r>
        <w:rPr/>
        <w:t>: The organization changes vendor-supplied defaults before installing a system on the network, including but not limited to passwords, Simple Network Management Protocol (SNMP) strings and eliminating unnecessary accounts.</w:t>
      </w:r>
      <w:r>
        <w:rPr>
          <w:rStyle w:val="FootnoteAnchor"/>
          <w:rStyle w:val="FootnoteAnchor"/>
          <w:rFonts w:cs="Calibri"/>
          <w:bCs w:val="false"/>
        </w:rPr>
        <w:footnoteReference w:id="324"/>
      </w:r>
    </w:p>
    <w:p>
      <w:pPr>
        <w:pStyle w:val="Normal"/>
        <w:rPr/>
      </w:pPr>
      <w:r>
        <w:rPr/>
      </w:r>
    </w:p>
    <w:p>
      <w:pPr>
        <w:pStyle w:val="Normal"/>
        <w:rPr/>
      </w:pPr>
      <w:r>
        <w:rPr>
          <w:u w:val="single"/>
        </w:rPr>
        <w:t>Standard</w:t>
      </w:r>
      <w:r>
        <w:rPr/>
        <w:t>: Data/process owners and asset custodians are required to changes vendor-supplied defaults before installing a system on the network, including but not limited to:</w:t>
      </w:r>
    </w:p>
    <w:p>
      <w:pPr>
        <w:pStyle w:val="ListParagraph"/>
        <w:numPr>
          <w:ilvl w:val="0"/>
          <w:numId w:val="358"/>
        </w:numPr>
        <w:rPr/>
      </w:pPr>
      <w:r>
        <w:rPr/>
        <w:t>Passwords;</w:t>
      </w:r>
    </w:p>
    <w:p>
      <w:pPr>
        <w:pStyle w:val="ListParagraph"/>
        <w:numPr>
          <w:ilvl w:val="0"/>
          <w:numId w:val="358"/>
        </w:numPr>
        <w:rPr/>
      </w:pPr>
      <w:r>
        <w:rPr/>
        <w:t>Encryption keys;</w:t>
      </w:r>
    </w:p>
    <w:p>
      <w:pPr>
        <w:pStyle w:val="ListParagraph"/>
        <w:numPr>
          <w:ilvl w:val="0"/>
          <w:numId w:val="358"/>
        </w:numPr>
        <w:rPr/>
      </w:pPr>
      <w:r>
        <w:rPr/>
        <w:t>Simple Network Management Protocol (SNMP) strings; and</w:t>
      </w:r>
    </w:p>
    <w:p>
      <w:pPr>
        <w:pStyle w:val="ListParagraph"/>
        <w:numPr>
          <w:ilvl w:val="0"/>
          <w:numId w:val="358"/>
        </w:numPr>
        <w:rPr/>
      </w:pPr>
      <w:r>
        <w:rPr/>
        <w:t>Removing unnecessary, default accounts.</w:t>
      </w:r>
    </w:p>
    <w:p>
      <w:pPr>
        <w:pStyle w:val="Normal"/>
        <w:rPr/>
      </w:pPr>
      <w:r>
        <w:rPr/>
      </w:r>
    </w:p>
    <w:p>
      <w:pPr>
        <w:pStyle w:val="Normal"/>
        <w:rPr/>
      </w:pPr>
      <w:r>
        <w:rPr>
          <w:u w:val="single"/>
        </w:rPr>
        <w:t>Guidelines</w:t>
      </w:r>
      <w:r>
        <w:rPr/>
        <w:t>: Personnel need to be aware of and follow security policies and daily operational procedures to ensure vendor defaults and other security parameters are continuously managed to prevent insecure configurations.</w:t>
      </w:r>
    </w:p>
    <w:p>
      <w:pPr>
        <w:pStyle w:val="Normal"/>
        <w:rPr/>
      </w:pPr>
      <w:r>
        <w:rPr/>
      </w:r>
    </w:p>
    <w:p>
      <w:pPr>
        <w:pStyle w:val="Heading3"/>
        <w:rPr/>
      </w:pPr>
      <w:bookmarkStart w:id="1039" w:name="_Toc34920922"/>
      <w:r>
        <w:rPr/>
        <w:t>IAC-10(i): Authenticator Management | Multiple Information System Accounts</w:t>
      </w:r>
      <w:bookmarkEnd w:id="1039"/>
      <w:r>
        <w:rPr/>
        <w:t xml:space="preserve"> </w:t>
      </w:r>
    </w:p>
    <w:p>
      <w:pPr>
        <w:pStyle w:val="Normal"/>
        <w:rPr>
          <w:rFonts w:cs="Calibri"/>
        </w:rPr>
      </w:pPr>
      <w:r>
        <w:rPr>
          <w:rFonts w:cs="Calibri"/>
          <w:u w:val="single"/>
        </w:rPr>
        <w:t>Control Objective</w:t>
      </w:r>
      <w:r>
        <w:rPr>
          <w:rFonts w:cs="Calibri"/>
        </w:rPr>
        <w:t>: The organization implements organization-defined security safeguards to manage the risk of compromise due to individuals having accounts on multiple information systems.</w:t>
      </w:r>
      <w:r>
        <w:rPr>
          <w:rStyle w:val="FootnoteCharacters"/>
          <w:rFonts w:cs="Calibri"/>
          <w:bCs w:val="false"/>
        </w:rPr>
        <w:t xml:space="preserve"> </w:t>
      </w:r>
      <w:r>
        <w:rPr>
          <w:rStyle w:val="FootnoteAnchor"/>
          <w:rStyle w:val="FootnoteAnchor"/>
          <w:rFonts w:cs="Calibri"/>
          <w:bCs w:val="false"/>
        </w:rPr>
        <w:footnoteReference w:id="325"/>
      </w:r>
    </w:p>
    <w:p>
      <w:pPr>
        <w:pStyle w:val="Normal"/>
        <w:rPr>
          <w:rFonts w:cs="Calibri"/>
        </w:rPr>
      </w:pPr>
      <w:r>
        <w:rPr>
          <w:rFonts w:cs="Calibri"/>
        </w:rPr>
      </w:r>
    </w:p>
    <w:p>
      <w:pPr>
        <w:pStyle w:val="Normal"/>
        <w:rPr>
          <w:rFonts w:cs="Calibri"/>
        </w:rPr>
      </w:pPr>
      <w:r>
        <w:rPr>
          <w:rFonts w:cs="Calibri"/>
          <w:bCs w:val="false"/>
          <w:u w:val="single"/>
        </w:rPr>
        <w:t>Standard</w:t>
      </w:r>
      <w:r>
        <w:rPr>
          <w:rFonts w:cs="Calibri"/>
          <w:bCs w:val="false"/>
        </w:rPr>
        <w:t>:</w:t>
      </w:r>
      <w:r>
        <w:rPr>
          <w:rFonts w:cs="Calibri"/>
        </w:rPr>
        <w:t xml:space="preserve"> Where technically feasible, data/process owners and asset custodians must limit the risk of compromise due to individuals having accounts on multiple information systems through:</w:t>
      </w:r>
    </w:p>
    <w:p>
      <w:pPr>
        <w:pStyle w:val="ListParagraph"/>
        <w:numPr>
          <w:ilvl w:val="0"/>
          <w:numId w:val="633"/>
        </w:numPr>
        <w:rPr>
          <w:rFonts w:cs="Calibri"/>
        </w:rPr>
      </w:pPr>
      <w:r>
        <w:rPr>
          <w:rFonts w:cs="Calibri"/>
        </w:rPr>
        <w:t>Issuing users different authenticators on for each system they require access;</w:t>
      </w:r>
    </w:p>
    <w:p>
      <w:pPr>
        <w:pStyle w:val="ListParagraph"/>
        <w:numPr>
          <w:ilvl w:val="0"/>
          <w:numId w:val="633"/>
        </w:numPr>
        <w:rPr>
          <w:rFonts w:cs="Calibri"/>
        </w:rPr>
      </w:pPr>
      <w:r>
        <w:rPr>
          <w:rFonts w:cs="Calibri"/>
        </w:rPr>
        <w:t>Employing some form of single sign-on mechanism; or</w:t>
      </w:r>
    </w:p>
    <w:p>
      <w:pPr>
        <w:pStyle w:val="ListParagraph"/>
        <w:numPr>
          <w:ilvl w:val="0"/>
          <w:numId w:val="633"/>
        </w:numPr>
        <w:rPr>
          <w:rFonts w:cs="Calibri"/>
        </w:rPr>
      </w:pPr>
      <w:r>
        <w:rPr>
          <w:rFonts w:cs="Calibri"/>
        </w:rPr>
        <w:t>Including some form of one-time password authentication method on all systems.</w:t>
      </w:r>
    </w:p>
    <w:p>
      <w:pPr>
        <w:pStyle w:val="Normal"/>
        <w:rPr>
          <w:rFonts w:cs="Calibri"/>
        </w:rPr>
      </w:pPr>
      <w:r>
        <w:rPr>
          <w:rFonts w:cs="Calibri"/>
        </w:rPr>
      </w:r>
    </w:p>
    <w:p>
      <w:pPr>
        <w:pStyle w:val="Normal"/>
        <w:rPr>
          <w:rFonts w:cs="Calibri"/>
        </w:rPr>
      </w:pPr>
      <w:r>
        <w:rPr>
          <w:rFonts w:cs="Calibri"/>
          <w:u w:val="single"/>
        </w:rPr>
        <w:t>Guidelines</w:t>
      </w:r>
      <w:r>
        <w:rPr>
          <w:rFonts w:cs="Calibri"/>
        </w:rPr>
        <w:t xml:space="preserve">: When individuals have accounts on multiple information systems, there is the risk that the compromise of one account may lead to the compromise of other accounts if individuals use the same authenticators.  </w:t>
      </w:r>
    </w:p>
    <w:p>
      <w:pPr>
        <w:pStyle w:val="Normal"/>
        <w:rPr/>
      </w:pPr>
      <w:r>
        <w:rPr/>
      </w:r>
    </w:p>
    <w:p>
      <w:pPr>
        <w:pStyle w:val="Heading3"/>
        <w:rPr/>
      </w:pPr>
      <w:bookmarkStart w:id="1040" w:name="_Toc34920923"/>
      <w:r>
        <w:rPr/>
        <w:t>IAC-10(j): Authenticator Management | Expiration of Cached Authenticators</w:t>
      </w:r>
      <w:bookmarkEnd w:id="1040"/>
      <w:r>
        <w:rPr/>
        <w:t xml:space="preserve"> </w:t>
      </w:r>
    </w:p>
    <w:p>
      <w:pPr>
        <w:pStyle w:val="Normal"/>
        <w:rPr>
          <w:rFonts w:cs="Calibri"/>
        </w:rPr>
      </w:pPr>
      <w:r>
        <w:rPr>
          <w:rFonts w:cs="Calibri"/>
          <w:u w:val="single"/>
        </w:rPr>
        <w:t>Control Objective</w:t>
      </w:r>
      <w:r>
        <w:rPr>
          <w:rFonts w:cs="Calibri"/>
        </w:rPr>
        <w:t xml:space="preserve">: </w:t>
      </w:r>
      <w:r>
        <w:rPr/>
        <w:t>The information system prohibits the use of cached authenticators after organization-defined time period.</w:t>
      </w:r>
      <w:r>
        <w:rPr>
          <w:rStyle w:val="FootnoteCharacters"/>
          <w:rFonts w:cs="Calibri"/>
          <w:bCs w:val="false"/>
        </w:rPr>
        <w:t xml:space="preserve"> </w:t>
      </w:r>
      <w:r>
        <w:rPr>
          <w:rStyle w:val="FootnoteAnchor"/>
          <w:rStyle w:val="FootnoteAnchor"/>
          <w:rFonts w:cs="Calibri"/>
          <w:bCs w:val="false"/>
        </w:rPr>
        <w:footnoteReference w:id="326"/>
      </w:r>
    </w:p>
    <w:p>
      <w:pPr>
        <w:pStyle w:val="Normal"/>
        <w:rPr>
          <w:rFonts w:cs="Calibri"/>
        </w:rPr>
      </w:pPr>
      <w:r>
        <w:rPr>
          <w:rFonts w:cs="Calibri"/>
        </w:rPr>
      </w:r>
    </w:p>
    <w:p>
      <w:pPr>
        <w:pStyle w:val="Normal"/>
        <w:rPr>
          <w:rFonts w:cs="Calibri"/>
        </w:rPr>
      </w:pPr>
      <w:r>
        <w:rPr>
          <w:rFonts w:cs="Calibri"/>
          <w:bCs w:val="false"/>
          <w:u w:val="single"/>
        </w:rPr>
        <w:t>Standard</w:t>
      </w:r>
      <w:r>
        <w:rPr>
          <w:rFonts w:cs="Calibri"/>
          <w:bCs w:val="false"/>
        </w:rPr>
        <w:t>:</w:t>
      </w:r>
      <w:r>
        <w:rPr>
          <w:rFonts w:cs="Calibri"/>
        </w:rPr>
        <w:t xml:space="preserve"> Where technically feasible, systems, applications and processes must be configured to prohibit the use of cached authenticators that are greater than thirty (30) days old.</w:t>
      </w:r>
    </w:p>
    <w:p>
      <w:pPr>
        <w:pStyle w:val="Normal"/>
        <w:rPr>
          <w:rFonts w:cs="Calibri"/>
        </w:rPr>
      </w:pPr>
      <w:r>
        <w:rPr>
          <w:rFonts w:cs="Calibri"/>
        </w:rPr>
      </w:r>
    </w:p>
    <w:p>
      <w:pPr>
        <w:pStyle w:val="Normal"/>
        <w:rPr>
          <w:rFonts w:cs="Calibri"/>
        </w:rPr>
      </w:pPr>
      <w:r>
        <w:rPr>
          <w:rFonts w:cs="Calibri"/>
          <w:u w:val="single"/>
        </w:rPr>
        <w:t>Guidelines</w:t>
      </w:r>
      <w:r>
        <w:rPr>
          <w:rFonts w:cs="Calibri"/>
        </w:rPr>
        <w:t>: None</w:t>
      </w:r>
      <w:bookmarkStart w:id="1041" w:name="_Hlk27579669"/>
      <w:bookmarkEnd w:id="1041"/>
    </w:p>
    <w:p>
      <w:pPr>
        <w:pStyle w:val="Normal"/>
        <w:rPr/>
      </w:pPr>
      <w:r>
        <w:rPr/>
      </w:r>
    </w:p>
    <w:p>
      <w:pPr>
        <w:pStyle w:val="Normal"/>
        <w:rPr/>
      </w:pPr>
      <w:r>
        <w:rPr/>
      </w:r>
    </w:p>
    <w:p>
      <w:pPr>
        <w:pStyle w:val="Heading2"/>
        <w:rPr/>
      </w:pPr>
      <w:bookmarkStart w:id="1042" w:name="_Toc474075029"/>
      <w:bookmarkStart w:id="1043" w:name="_Toc474075646"/>
      <w:bookmarkStart w:id="1044" w:name="_Toc34920924"/>
      <w:r>
        <w:rPr/>
        <w:t>IAC-11: Authenticator Feedback</w:t>
      </w:r>
      <w:bookmarkEnd w:id="1042"/>
      <w:bookmarkEnd w:id="1043"/>
      <w:bookmarkEnd w:id="1044"/>
    </w:p>
    <w:p>
      <w:pPr>
        <w:pStyle w:val="Normal"/>
        <w:rPr/>
      </w:pPr>
      <w:r>
        <w:rPr>
          <w:u w:val="single"/>
        </w:rPr>
        <w:t>Control Objective</w:t>
      </w:r>
      <w:r>
        <w:rPr/>
        <w:t>: Systems obscure feedback of authentication information during the authentication process to protect the information from possible exploitation / use by unauthorized individuals.</w:t>
      </w:r>
      <w:r>
        <w:rPr>
          <w:rStyle w:val="FootnoteAnchor"/>
          <w:rStyle w:val="FootnoteAnchor"/>
          <w:rFonts w:cs="Calibri"/>
        </w:rPr>
        <w:footnoteReference w:id="327"/>
      </w:r>
    </w:p>
    <w:p>
      <w:pPr>
        <w:pStyle w:val="Normal"/>
        <w:rPr/>
      </w:pPr>
      <w:r>
        <w:rPr/>
      </w:r>
    </w:p>
    <w:p>
      <w:pPr>
        <w:pStyle w:val="Normal"/>
        <w:rPr/>
      </w:pPr>
      <w:r>
        <w:rPr>
          <w:u w:val="single"/>
        </w:rPr>
        <w:t>Standard</w:t>
      </w:r>
      <w:r>
        <w:rPr/>
        <w:t>: Data/process owners and asset custodians are required to ensure all systems and applications obscure the visible feedback of authentication information (e.g., passwords) during the authentication process to protect the information from possible exploitation by unauthorized individuals.</w:t>
      </w:r>
    </w:p>
    <w:p>
      <w:pPr>
        <w:pStyle w:val="Normal"/>
        <w:rPr/>
      </w:pPr>
      <w:r>
        <w:rPr/>
      </w:r>
    </w:p>
    <w:p>
      <w:pPr>
        <w:pStyle w:val="Normal"/>
        <w:rPr/>
      </w:pPr>
      <w:r>
        <w:rPr>
          <w:u w:val="single"/>
        </w:rPr>
        <w:t>Guidelines</w:t>
      </w:r>
      <w:r>
        <w:rPr/>
        <w:t>: The feedback from systems does not provide information that would allow unauthorized individuals to compromise authentication mechanisms. Obscuring the feedback of authentication information includes, for example, displaying asterisks when users type passwords into input devices.</w:t>
      </w:r>
    </w:p>
    <w:p>
      <w:pPr>
        <w:pStyle w:val="Normal"/>
        <w:rPr/>
      </w:pPr>
      <w:r>
        <w:rPr/>
      </w:r>
    </w:p>
    <w:p>
      <w:pPr>
        <w:pStyle w:val="Normal"/>
        <w:rPr/>
      </w:pPr>
      <w:r>
        <w:rPr/>
      </w:r>
    </w:p>
    <w:p>
      <w:pPr>
        <w:pStyle w:val="Heading2"/>
        <w:rPr/>
      </w:pPr>
      <w:bookmarkStart w:id="1045" w:name="_Toc474075030"/>
      <w:bookmarkStart w:id="1046" w:name="_Toc474075647"/>
      <w:bookmarkStart w:id="1047" w:name="_Toc34920925"/>
      <w:r>
        <w:rPr/>
        <w:t>IAC-12: Cryptographic Module Authentication</w:t>
      </w:r>
      <w:bookmarkEnd w:id="1045"/>
      <w:bookmarkEnd w:id="1046"/>
      <w:bookmarkEnd w:id="1047"/>
      <w:r>
        <w:rPr/>
        <w:t xml:space="preserve"> </w:t>
      </w:r>
    </w:p>
    <w:p>
      <w:pPr>
        <w:pStyle w:val="Normal"/>
        <w:rPr/>
      </w:pPr>
      <w:r>
        <w:rPr>
          <w:u w:val="single"/>
        </w:rPr>
        <w:t>Control Objective</w:t>
      </w:r>
      <w:r>
        <w:rPr/>
        <w:t>: Systems use mechanisms for authentication to a cryptographic module that meet applicable statutory, regulatory and contractual requirements.</w:t>
      </w:r>
      <w:r>
        <w:rPr>
          <w:rStyle w:val="FootnoteAnchor"/>
          <w:rStyle w:val="FootnoteAnchor"/>
          <w:rFonts w:cs="Calibri"/>
        </w:rPr>
        <w:footnoteReference w:id="328"/>
      </w:r>
    </w:p>
    <w:p>
      <w:pPr>
        <w:pStyle w:val="Normal"/>
        <w:rPr/>
      </w:pPr>
      <w:r>
        <w:rPr/>
      </w:r>
    </w:p>
    <w:p>
      <w:pPr>
        <w:pStyle w:val="Normal"/>
        <w:rPr/>
      </w:pPr>
      <w:r>
        <w:rPr>
          <w:u w:val="single"/>
        </w:rPr>
        <w:t>Standard</w:t>
      </w:r>
      <w:r>
        <w:rPr/>
        <w:t xml:space="preserve">: Data/process owners and asset custodians are required to </w:t>
      </w:r>
    </w:p>
    <w:p>
      <w:pPr>
        <w:pStyle w:val="ListParagraph"/>
        <w:numPr>
          <w:ilvl w:val="0"/>
          <w:numId w:val="359"/>
        </w:numPr>
        <w:rPr/>
      </w:pPr>
      <w:r>
        <w:rPr/>
        <w:t xml:space="preserve">Ensure all systems and applications use strong cryptography to render all passwords unreadable during transmission and storage on all system components; </w:t>
      </w:r>
    </w:p>
    <w:p>
      <w:pPr>
        <w:pStyle w:val="ListParagraph"/>
        <w:numPr>
          <w:ilvl w:val="0"/>
          <w:numId w:val="359"/>
        </w:numPr>
        <w:rPr/>
      </w:pPr>
      <w:r>
        <w:rPr/>
        <w:t>Verify that all authentication files are encrypted or hashed and that these files cannot be accessed without root or administrator privileges; and</w:t>
      </w:r>
    </w:p>
    <w:p>
      <w:pPr>
        <w:pStyle w:val="ListParagraph"/>
        <w:numPr>
          <w:ilvl w:val="0"/>
          <w:numId w:val="359"/>
        </w:numPr>
        <w:rPr/>
      </w:pPr>
      <w:r>
        <w:rPr/>
        <w:t>Audit all access to password files in the system.</w:t>
      </w:r>
    </w:p>
    <w:p>
      <w:pPr>
        <w:pStyle w:val="Normal"/>
        <w:rPr/>
      </w:pPr>
      <w:r>
        <w:rPr/>
      </w:r>
    </w:p>
    <w:p>
      <w:pPr>
        <w:pStyle w:val="Normal"/>
        <w:rPr/>
      </w:pPr>
      <w:r>
        <w:rPr>
          <w:u w:val="single"/>
        </w:rPr>
        <w:t>Guidelines</w:t>
      </w:r>
      <w:r>
        <w:rPr/>
        <w:t>: This control reinforces the requirements for organizational systems implementing cryptographic protections using cryptographic modules. If cryptography is required, systems are required to authenticate to the associated cryptographic modules implementing the cryptography.</w:t>
      </w:r>
    </w:p>
    <w:p>
      <w:pPr>
        <w:pStyle w:val="Normal"/>
        <w:rPr/>
      </w:pPr>
      <w:r>
        <w:rPr/>
      </w:r>
    </w:p>
    <w:p>
      <w:pPr>
        <w:pStyle w:val="Normal"/>
        <w:rPr/>
      </w:pPr>
      <w:r>
        <w:rPr/>
        <w:t>National Institute of Science &amp; Technology (NIST) guidance is the authoritative source for selection and implementation of this control based on the security categorization and risk environment of the data and / or system.</w:t>
      </w:r>
    </w:p>
    <w:p>
      <w:pPr>
        <w:pStyle w:val="Normal"/>
        <w:rPr/>
      </w:pPr>
      <w:r>
        <w:rPr/>
      </w:r>
    </w:p>
    <w:p>
      <w:pPr>
        <w:pStyle w:val="Normal"/>
        <w:rPr/>
      </w:pPr>
      <w:r>
        <w:rPr/>
      </w:r>
    </w:p>
    <w:p>
      <w:pPr>
        <w:pStyle w:val="Heading2"/>
        <w:rPr/>
      </w:pPr>
      <w:bookmarkStart w:id="1048" w:name="_Toc474075031"/>
      <w:bookmarkStart w:id="1049" w:name="_Toc474075648"/>
      <w:bookmarkStart w:id="1050" w:name="_Toc34920926"/>
      <w:r>
        <w:rPr/>
        <w:t>IAC-13: Adaptive Identification &amp; Authentication</w:t>
      </w:r>
      <w:bookmarkEnd w:id="1048"/>
      <w:bookmarkEnd w:id="1049"/>
      <w:bookmarkEnd w:id="1050"/>
      <w:r>
        <w:rPr/>
        <w:t xml:space="preserve"> </w:t>
      </w:r>
    </w:p>
    <w:p>
      <w:pPr>
        <w:pStyle w:val="Normal"/>
        <w:rPr/>
      </w:pPr>
      <w:r>
        <w:rPr>
          <w:u w:val="single"/>
        </w:rPr>
        <w:t>Control Objective</w:t>
      </w:r>
      <w:r>
        <w:rPr/>
        <w:t>: The organization requires that individuals accessing the system employ authentication techniques or mechanisms under specific circumstances or situations.</w:t>
      </w:r>
      <w:r>
        <w:rPr>
          <w:rStyle w:val="FootnoteAnchor"/>
          <w:rStyle w:val="FootnoteAnchor"/>
        </w:rPr>
        <w:footnoteReference w:id="329"/>
      </w:r>
    </w:p>
    <w:p>
      <w:pPr>
        <w:pStyle w:val="Normal"/>
        <w:rPr/>
      </w:pPr>
      <w:r>
        <w:rPr/>
      </w:r>
    </w:p>
    <w:p>
      <w:pPr>
        <w:pStyle w:val="Normal"/>
        <w:rPr/>
      </w:pPr>
      <w:r>
        <w:rPr>
          <w:u w:val="single"/>
        </w:rPr>
        <w:t>Standard</w:t>
      </w:r>
      <w:r>
        <w:rPr/>
        <w:t>: Adaptive identification or authentication mechanisms must be pre-approved by the Chief Information Security Officer (CISO) or his / her designated representatives.</w:t>
      </w:r>
    </w:p>
    <w:p>
      <w:pPr>
        <w:pStyle w:val="Normal"/>
        <w:rPr/>
      </w:pPr>
      <w:r>
        <w:rPr/>
      </w:r>
    </w:p>
    <w:p>
      <w:pPr>
        <w:pStyle w:val="Normal"/>
        <w:rPr/>
      </w:pPr>
      <w:r>
        <w:rPr>
          <w:u w:val="single"/>
        </w:rPr>
        <w:t>Guidelines</w:t>
      </w:r>
      <w:r>
        <w:rPr/>
        <w:t xml:space="preserve">: Adversaries may compromise individual authentication mechanisms and subsequently attempt to impersonate legitimate users. This situation can potentially occur with any authentication mechanisms employed by organizations. To address this threat, organizations may employ specific techniques / mechanisms and establish protocols to assess suspicious behavior (e.g., individuals accessing information that they do not typically access as part of their normal duties, roles or responsibilities, accessing greater quantities of information than the individuals would routinely access or attempting to access information from suspicious network addresses). In these situations, when certain pre-established conditions or triggers occur, organizations can require selected individuals to provide additional authentication information. </w:t>
      </w:r>
    </w:p>
    <w:p>
      <w:pPr>
        <w:pStyle w:val="Normal"/>
        <w:rPr/>
      </w:pPr>
      <w:r>
        <w:rPr/>
      </w:r>
    </w:p>
    <w:p>
      <w:pPr>
        <w:pStyle w:val="Normal"/>
        <w:rPr/>
      </w:pPr>
      <w:r>
        <w:rPr/>
      </w:r>
    </w:p>
    <w:p>
      <w:pPr>
        <w:pStyle w:val="Heading2"/>
        <w:rPr/>
      </w:pPr>
      <w:bookmarkStart w:id="1051" w:name="_Toc474075032"/>
      <w:bookmarkStart w:id="1052" w:name="_Toc474075649"/>
      <w:bookmarkStart w:id="1053" w:name="_Toc34920927"/>
      <w:r>
        <w:rPr/>
        <w:t>IAC-14: Re-Authentication</w:t>
      </w:r>
      <w:bookmarkEnd w:id="1051"/>
      <w:bookmarkEnd w:id="1052"/>
      <w:bookmarkEnd w:id="1053"/>
      <w:r>
        <w:rPr/>
        <w:t xml:space="preserve"> </w:t>
      </w:r>
    </w:p>
    <w:p>
      <w:pPr>
        <w:pStyle w:val="Normal"/>
        <w:rPr/>
      </w:pPr>
      <w:r>
        <w:rPr>
          <w:u w:val="single"/>
        </w:rPr>
        <w:t>Control Objective</w:t>
      </w:r>
      <w:r>
        <w:rPr/>
        <w:t>: The organization requires users and devices to re-authenticate when circumstances or situations requiring re-authentication.</w:t>
      </w:r>
      <w:r>
        <w:rPr>
          <w:rStyle w:val="FootnoteCharacters"/>
          <w:rFonts w:cs="Calibri"/>
        </w:rPr>
        <w:t xml:space="preserve"> </w:t>
      </w:r>
      <w:r>
        <w:rPr>
          <w:rStyle w:val="FootnoteAnchor"/>
          <w:rStyle w:val="FootnoteAnchor"/>
          <w:rFonts w:cs="Calibri"/>
        </w:rPr>
        <w:footnoteReference w:id="330"/>
      </w:r>
    </w:p>
    <w:p>
      <w:pPr>
        <w:pStyle w:val="Normal"/>
        <w:rPr/>
      </w:pPr>
      <w:r>
        <w:rPr/>
      </w:r>
    </w:p>
    <w:p>
      <w:pPr>
        <w:pStyle w:val="Normal"/>
        <w:rPr/>
      </w:pPr>
      <w:r>
        <w:rPr>
          <w:u w:val="single"/>
        </w:rPr>
        <w:t>Standard</w:t>
      </w:r>
      <w:r>
        <w:rPr/>
        <w:t>: Data/process owners and asset custodians are required to configure systems to terminate sessions and require users to re-authenticate to re-activate a terminal or session if a session has been idle for more than fifteen (15) minutes.</w:t>
      </w:r>
    </w:p>
    <w:p>
      <w:pPr>
        <w:pStyle w:val="Normal"/>
        <w:rPr/>
      </w:pPr>
      <w:r>
        <w:rPr/>
      </w:r>
    </w:p>
    <w:p>
      <w:pPr>
        <w:pStyle w:val="Normal"/>
        <w:rPr/>
      </w:pPr>
      <w:r>
        <w:rPr>
          <w:u w:val="single"/>
        </w:rPr>
        <w:t>Guidelines</w:t>
      </w:r>
      <w:r>
        <w:rPr/>
        <w:t xml:space="preserve">: In addition to the re-authentication requirements associated with session locks, organizations may require re-authentication of individuals and / or devices in other situations including, for example: </w:t>
      </w:r>
    </w:p>
    <w:p>
      <w:pPr>
        <w:pStyle w:val="ListParagraph"/>
        <w:numPr>
          <w:ilvl w:val="0"/>
          <w:numId w:val="145"/>
        </w:numPr>
        <w:rPr/>
      </w:pPr>
      <w:r>
        <w:rPr/>
        <w:t xml:space="preserve">When authenticators change; </w:t>
      </w:r>
    </w:p>
    <w:p>
      <w:pPr>
        <w:pStyle w:val="ListParagraph"/>
        <w:numPr>
          <w:ilvl w:val="0"/>
          <w:numId w:val="145"/>
        </w:numPr>
        <w:rPr/>
      </w:pPr>
      <w:r>
        <w:rPr/>
        <w:t xml:space="preserve">When roles change; </w:t>
      </w:r>
    </w:p>
    <w:p>
      <w:pPr>
        <w:pStyle w:val="ListParagraph"/>
        <w:numPr>
          <w:ilvl w:val="0"/>
          <w:numId w:val="145"/>
        </w:numPr>
        <w:rPr/>
      </w:pPr>
      <w:r>
        <w:rPr/>
        <w:t xml:space="preserve">When security categories of systems change; </w:t>
      </w:r>
    </w:p>
    <w:p>
      <w:pPr>
        <w:pStyle w:val="ListParagraph"/>
        <w:numPr>
          <w:ilvl w:val="0"/>
          <w:numId w:val="145"/>
        </w:numPr>
        <w:rPr/>
      </w:pPr>
      <w:r>
        <w:rPr/>
        <w:t xml:space="preserve">When the execution of privileged functions occurs; </w:t>
      </w:r>
    </w:p>
    <w:p>
      <w:pPr>
        <w:pStyle w:val="ListParagraph"/>
        <w:numPr>
          <w:ilvl w:val="0"/>
          <w:numId w:val="145"/>
        </w:numPr>
        <w:rPr/>
      </w:pPr>
      <w:r>
        <w:rPr/>
        <w:t>After a fixed period of time; or periodically.</w:t>
      </w:r>
    </w:p>
    <w:p>
      <w:pPr>
        <w:pStyle w:val="Normal"/>
        <w:rPr/>
      </w:pPr>
      <w:r>
        <w:rPr/>
      </w:r>
    </w:p>
    <w:p>
      <w:pPr>
        <w:pStyle w:val="Normal"/>
        <w:tabs>
          <w:tab w:val="clear" w:pos="360"/>
          <w:tab w:val="clear" w:pos="720"/>
          <w:tab w:val="clear" w:pos="1080"/>
        </w:tabs>
        <w:jc w:val="left"/>
        <w:rPr/>
      </w:pPr>
      <w:r>
        <w:rPr/>
      </w:r>
    </w:p>
    <w:p>
      <w:pPr>
        <w:pStyle w:val="Heading2"/>
        <w:rPr/>
      </w:pPr>
      <w:bookmarkStart w:id="1054" w:name="_Toc34920928"/>
      <w:bookmarkStart w:id="1055" w:name="_Toc474075033"/>
      <w:bookmarkStart w:id="1056" w:name="_Toc474075650"/>
      <w:r>
        <w:rPr/>
        <w:t>IAC-15: Account Management</w:t>
      </w:r>
      <w:bookmarkEnd w:id="1054"/>
      <w:bookmarkEnd w:id="1055"/>
      <w:bookmarkEnd w:id="1056"/>
      <w:r>
        <w:rPr/>
        <w:t xml:space="preserve"> </w:t>
      </w:r>
    </w:p>
    <w:p>
      <w:pPr>
        <w:pStyle w:val="Normal"/>
        <w:rPr/>
      </w:pPr>
      <w:r>
        <w:rPr>
          <w:u w:val="single"/>
        </w:rPr>
        <w:t>Control Objective</w:t>
      </w:r>
      <w:r>
        <w:rPr/>
        <w:t>: The organization manages system accounts, including:</w:t>
      </w:r>
      <w:r>
        <w:rPr>
          <w:rStyle w:val="FootnoteCharacters"/>
          <w:rFonts w:cs="Calibri"/>
        </w:rPr>
        <w:t xml:space="preserve"> </w:t>
      </w:r>
      <w:r>
        <w:rPr>
          <w:rStyle w:val="FootnoteAnchor"/>
          <w:rStyle w:val="FootnoteAnchor"/>
          <w:rFonts w:cs="Calibri"/>
        </w:rPr>
        <w:footnoteReference w:id="331"/>
      </w:r>
      <w:r>
        <w:rPr>
          <w:rFonts w:cs="Calibri"/>
        </w:rPr>
        <w:t xml:space="preserve"> </w:t>
      </w:r>
    </w:p>
    <w:p>
      <w:pPr>
        <w:pStyle w:val="ListParagraph"/>
        <w:numPr>
          <w:ilvl w:val="0"/>
          <w:numId w:val="76"/>
        </w:numPr>
        <w:rPr/>
      </w:pPr>
      <w:r>
        <w:rPr/>
        <w:t>Identifying account types (e.g., individual, group, system, application, guest / anonymous and temporary);</w:t>
      </w:r>
    </w:p>
    <w:p>
      <w:pPr>
        <w:pStyle w:val="ListParagraph"/>
        <w:numPr>
          <w:ilvl w:val="0"/>
          <w:numId w:val="76"/>
        </w:numPr>
        <w:rPr/>
      </w:pPr>
      <w:r>
        <w:rPr/>
        <w:t>Establishing conditions for group membership;</w:t>
      </w:r>
    </w:p>
    <w:p>
      <w:pPr>
        <w:pStyle w:val="ListParagraph"/>
        <w:numPr>
          <w:ilvl w:val="0"/>
          <w:numId w:val="76"/>
        </w:numPr>
        <w:rPr/>
      </w:pPr>
      <w:r>
        <w:rPr/>
        <w:t>Identifying authorized users of the system and specifying access privileges;</w:t>
      </w:r>
    </w:p>
    <w:p>
      <w:pPr>
        <w:pStyle w:val="ListParagraph"/>
        <w:numPr>
          <w:ilvl w:val="0"/>
          <w:numId w:val="76"/>
        </w:numPr>
        <w:rPr/>
      </w:pPr>
      <w:r>
        <w:rPr/>
        <w:t>Requiring appropriate approvals for requests to establish accounts;</w:t>
      </w:r>
    </w:p>
    <w:p>
      <w:pPr>
        <w:pStyle w:val="ListParagraph"/>
        <w:numPr>
          <w:ilvl w:val="0"/>
          <w:numId w:val="76"/>
        </w:numPr>
        <w:rPr/>
      </w:pPr>
      <w:r>
        <w:rPr/>
        <w:t>Establishing, activating, modifying, disabling and removing accounts;</w:t>
      </w:r>
    </w:p>
    <w:p>
      <w:pPr>
        <w:pStyle w:val="ListParagraph"/>
        <w:numPr>
          <w:ilvl w:val="0"/>
          <w:numId w:val="76"/>
        </w:numPr>
        <w:rPr/>
      </w:pPr>
      <w:r>
        <w:rPr/>
        <w:t>Specifically authorizing and monitoring the use of guest / anonymous and temporary accounts;</w:t>
      </w:r>
    </w:p>
    <w:p>
      <w:pPr>
        <w:pStyle w:val="ListParagraph"/>
        <w:numPr>
          <w:ilvl w:val="0"/>
          <w:numId w:val="76"/>
        </w:numPr>
        <w:rPr/>
      </w:pPr>
      <w:r>
        <w:rPr/>
        <w:t>Notifying account managers when temporary accounts are no longer required and when system users are terminated, transferred or system usage or need-to-know / need-to-share changes;</w:t>
      </w:r>
    </w:p>
    <w:p>
      <w:pPr>
        <w:pStyle w:val="ListParagraph"/>
        <w:numPr>
          <w:ilvl w:val="0"/>
          <w:numId w:val="76"/>
        </w:numPr>
        <w:rPr/>
      </w:pPr>
      <w:r>
        <w:rPr/>
        <w:t xml:space="preserve">Deactivating accounts that are no longer required; </w:t>
      </w:r>
    </w:p>
    <w:p>
      <w:pPr>
        <w:pStyle w:val="ListParagraph"/>
        <w:numPr>
          <w:ilvl w:val="0"/>
          <w:numId w:val="76"/>
        </w:numPr>
        <w:rPr/>
      </w:pPr>
      <w:r>
        <w:rPr/>
        <w:t>Granting access to the system based on a valid access authorization; and</w:t>
      </w:r>
    </w:p>
    <w:p>
      <w:pPr>
        <w:pStyle w:val="ListParagraph"/>
        <w:numPr>
          <w:ilvl w:val="0"/>
          <w:numId w:val="76"/>
        </w:numPr>
        <w:rPr/>
      </w:pPr>
      <w:r>
        <w:rPr/>
        <w:t>Reviewing accounts on a regular basis.</w:t>
      </w:r>
    </w:p>
    <w:p>
      <w:pPr>
        <w:pStyle w:val="Normal"/>
        <w:rPr/>
      </w:pPr>
      <w:r>
        <w:rPr/>
      </w:r>
    </w:p>
    <w:p>
      <w:pPr>
        <w:pStyle w:val="Normal"/>
        <w:rPr/>
      </w:pPr>
      <w:r>
        <w:rPr>
          <w:u w:val="single"/>
        </w:rPr>
        <w:t>Standard</w:t>
      </w:r>
      <w:r>
        <w:rPr/>
        <w:t xml:space="preserve">: NFCC’s IT department is assigned the responsibility for ensuring proper user identification and authentication management for all standard and privileged users on all systems, as follows: </w:t>
      </w:r>
    </w:p>
    <w:p>
      <w:pPr>
        <w:pStyle w:val="ListParagraph"/>
        <w:numPr>
          <w:ilvl w:val="0"/>
          <w:numId w:val="360"/>
        </w:numPr>
        <w:rPr/>
      </w:pPr>
      <w:r>
        <w:rPr/>
        <w:t>Control addition, deletion and modification of user IDs, credentials and other identifier objects to ensure authorized use is maintained;</w:t>
      </w:r>
    </w:p>
    <w:p>
      <w:pPr>
        <w:pStyle w:val="ListParagraph"/>
        <w:numPr>
          <w:ilvl w:val="0"/>
          <w:numId w:val="360"/>
        </w:numPr>
        <w:rPr/>
      </w:pPr>
      <w:r>
        <w:rPr/>
        <w:t>Verify user identity before issuing initial passwords or performing password resets;</w:t>
      </w:r>
    </w:p>
    <w:p>
      <w:pPr>
        <w:pStyle w:val="ListParagraph"/>
        <w:numPr>
          <w:ilvl w:val="0"/>
          <w:numId w:val="360"/>
        </w:numPr>
        <w:rPr/>
      </w:pPr>
      <w:r>
        <w:rPr/>
        <w:t>Set passwords for first-time use and resets to a unique value for each user and change immediately after the first use;</w:t>
      </w:r>
    </w:p>
    <w:p>
      <w:pPr>
        <w:pStyle w:val="ListParagraph"/>
        <w:numPr>
          <w:ilvl w:val="0"/>
          <w:numId w:val="360"/>
        </w:numPr>
        <w:rPr/>
      </w:pPr>
      <w:r>
        <w:rPr/>
        <w:t>Immediately revoke access for any terminated users;</w:t>
      </w:r>
    </w:p>
    <w:p>
      <w:pPr>
        <w:pStyle w:val="ListParagraph"/>
        <w:numPr>
          <w:ilvl w:val="0"/>
          <w:numId w:val="360"/>
        </w:numPr>
        <w:rPr/>
      </w:pPr>
      <w:r>
        <w:rPr/>
        <w:t>Remove / disable inactive user accounts within ninety (90) days;</w:t>
      </w:r>
    </w:p>
    <w:p>
      <w:pPr>
        <w:pStyle w:val="ListParagraph"/>
        <w:numPr>
          <w:ilvl w:val="0"/>
          <w:numId w:val="360"/>
        </w:numPr>
        <w:rPr/>
      </w:pPr>
      <w:r>
        <w:rPr/>
        <w:t>Limit repeated access attempts by locking out the user ID after not more than six (6) attempts;</w:t>
      </w:r>
    </w:p>
    <w:p>
      <w:pPr>
        <w:pStyle w:val="ListParagraph"/>
        <w:numPr>
          <w:ilvl w:val="0"/>
          <w:numId w:val="360"/>
        </w:numPr>
        <w:rPr/>
      </w:pPr>
      <w:r>
        <w:rPr/>
        <w:t>Set the lockout duration to a minimum of thirty (30) minutes or until administrator enables the user ID;</w:t>
      </w:r>
    </w:p>
    <w:p>
      <w:pPr>
        <w:pStyle w:val="ListParagraph"/>
        <w:numPr>
          <w:ilvl w:val="0"/>
          <w:numId w:val="360"/>
        </w:numPr>
        <w:rPr/>
      </w:pPr>
      <w:r>
        <w:rPr/>
        <w:t xml:space="preserve">Establish and administer accounts in accordance with a role-based access scheme that organizes system and network privileges into roles; </w:t>
      </w:r>
    </w:p>
    <w:p>
      <w:pPr>
        <w:pStyle w:val="ListParagraph"/>
        <w:numPr>
          <w:ilvl w:val="0"/>
          <w:numId w:val="360"/>
        </w:numPr>
        <w:rPr/>
      </w:pPr>
      <w:r>
        <w:rPr/>
        <w:t>Track and monitor role assignments for privileged user accounts;</w:t>
      </w:r>
    </w:p>
    <w:p>
      <w:pPr>
        <w:pStyle w:val="ListParagraph"/>
        <w:numPr>
          <w:ilvl w:val="0"/>
          <w:numId w:val="360"/>
        </w:numPr>
        <w:rPr/>
      </w:pPr>
      <w:r>
        <w:rPr/>
        <w:t>Automatically terminate access for temporary and emergency accounts after the accounts are no longer needed;</w:t>
      </w:r>
    </w:p>
    <w:p>
      <w:pPr>
        <w:pStyle w:val="ListParagraph"/>
        <w:numPr>
          <w:ilvl w:val="0"/>
          <w:numId w:val="360"/>
        </w:numPr>
        <w:rPr/>
      </w:pPr>
      <w:r>
        <w:rPr/>
        <w:t>Enable accounts used by vendors for remote access only during the time period needed and monitor vendor remote access accounts when in use;</w:t>
      </w:r>
    </w:p>
    <w:p>
      <w:pPr>
        <w:pStyle w:val="ListParagraph"/>
        <w:numPr>
          <w:ilvl w:val="0"/>
          <w:numId w:val="360"/>
        </w:numPr>
        <w:rPr/>
      </w:pPr>
      <w:r>
        <w:rPr/>
        <w:t>Minimize the use of group, shared or generic accounts and passwords;</w:t>
      </w:r>
    </w:p>
    <w:p>
      <w:pPr>
        <w:pStyle w:val="ListParagraph"/>
        <w:numPr>
          <w:ilvl w:val="0"/>
          <w:numId w:val="360"/>
        </w:numPr>
        <w:rPr/>
      </w:pPr>
      <w:r>
        <w:rPr/>
        <w:t>Disable or remove default user IDs and accounts;</w:t>
      </w:r>
    </w:p>
    <w:p>
      <w:pPr>
        <w:pStyle w:val="ListParagraph"/>
        <w:numPr>
          <w:ilvl w:val="0"/>
          <w:numId w:val="360"/>
        </w:numPr>
        <w:rPr/>
      </w:pPr>
      <w:r>
        <w:rPr/>
        <w:t>Service providers with remote access to NFCC’s premises (e.g., for support of POS systems or servers) must use a unique authentication credential (such as a password / phrase) for each customer; and</w:t>
      </w:r>
    </w:p>
    <w:p>
      <w:pPr>
        <w:pStyle w:val="ListParagraph"/>
        <w:numPr>
          <w:ilvl w:val="0"/>
          <w:numId w:val="360"/>
        </w:numPr>
        <w:rPr/>
      </w:pPr>
      <w:r>
        <w:rPr/>
        <w:t>Restrict user direct access or queries to databases to database administrators, including.</w:t>
      </w:r>
    </w:p>
    <w:p>
      <w:pPr>
        <w:pStyle w:val="ListParagraph"/>
        <w:numPr>
          <w:ilvl w:val="1"/>
          <w:numId w:val="360"/>
        </w:numPr>
        <w:rPr/>
      </w:pPr>
      <w:r>
        <w:rPr/>
        <w:t>Verify that database and application configuration settings ensure that all user access to, user queries of and user actions on (e.g., move, copy, delete), the database are through programmatic methods only (e.g., through stored procedures);</w:t>
      </w:r>
    </w:p>
    <w:p>
      <w:pPr>
        <w:pStyle w:val="ListParagraph"/>
        <w:numPr>
          <w:ilvl w:val="1"/>
          <w:numId w:val="360"/>
        </w:numPr>
        <w:rPr/>
      </w:pPr>
      <w:r>
        <w:rPr/>
        <w:t>Verify that database and application configuration settings restrict user direct access or queries to databases to database administrators; and</w:t>
      </w:r>
    </w:p>
    <w:p>
      <w:pPr>
        <w:pStyle w:val="ListParagraph"/>
        <w:numPr>
          <w:ilvl w:val="1"/>
          <w:numId w:val="360"/>
        </w:numPr>
        <w:rPr/>
      </w:pPr>
      <w:r>
        <w:rPr/>
        <w:t>Review database applications and the related application IDs to verify that application IDs can only be used by the applications and not by individual users or other processes.</w:t>
      </w:r>
    </w:p>
    <w:p>
      <w:pPr>
        <w:pStyle w:val="Normal"/>
        <w:rPr/>
      </w:pPr>
      <w:r>
        <w:rPr/>
      </w:r>
    </w:p>
    <w:p>
      <w:pPr>
        <w:pStyle w:val="Normal"/>
        <w:rPr/>
      </w:pPr>
      <w:r>
        <w:rPr>
          <w:u w:val="single"/>
        </w:rPr>
        <w:t>Guidelines</w:t>
      </w:r>
      <w:r>
        <w:rPr/>
        <w:t xml:space="preserve">: </w:t>
      </w:r>
      <w:r>
        <w:rPr>
          <w:rFonts w:cs="Calibri"/>
        </w:rPr>
        <w:t>A</w:t>
      </w:r>
      <w:r>
        <w:rPr/>
        <w:t>ccess privileges granted to general users should be reviewed by information owners every six (6) months to determine if access rights are commensurate with the user's job duties:</w:t>
      </w:r>
    </w:p>
    <w:p>
      <w:pPr>
        <w:pStyle w:val="ListParagraph"/>
        <w:numPr>
          <w:ilvl w:val="0"/>
          <w:numId w:val="77"/>
        </w:numPr>
        <w:rPr/>
      </w:pPr>
      <w:r>
        <w:rPr/>
        <w:t>Evidence of account and privilege reviews that documents the review occurred, who conducted the review and what action (if any) was taken should be maintained for a period of twelve (12) months; and</w:t>
      </w:r>
    </w:p>
    <w:p>
      <w:pPr>
        <w:pStyle w:val="ListParagraph"/>
        <w:numPr>
          <w:ilvl w:val="0"/>
          <w:numId w:val="77"/>
        </w:numPr>
        <w:rPr/>
      </w:pPr>
      <w:r>
        <w:rPr/>
        <w:t>Data/process owners and asset custodians are required to promptly report all changes in user duties or employment status for the User IDs associated with the involved personnel and administrators should promptly revoke all unnecessary access privileges.</w:t>
      </w:r>
    </w:p>
    <w:p>
      <w:pPr>
        <w:pStyle w:val="Normal"/>
        <w:rPr/>
      </w:pPr>
      <w:r>
        <w:rPr/>
      </w:r>
    </w:p>
    <w:p>
      <w:pPr>
        <w:pStyle w:val="Heading3"/>
        <w:rPr/>
      </w:pPr>
      <w:bookmarkStart w:id="1057" w:name="_Toc474075034"/>
      <w:bookmarkStart w:id="1058" w:name="_Toc34920929"/>
      <w:r>
        <w:rPr/>
        <w:t>IAC-15(a): Account Management | Automated System Account Management</w:t>
      </w:r>
      <w:bookmarkEnd w:id="1057"/>
      <w:bookmarkEnd w:id="1058"/>
      <w:r>
        <w:rPr/>
        <w:t xml:space="preserve"> </w:t>
      </w:r>
    </w:p>
    <w:p>
      <w:pPr>
        <w:pStyle w:val="Normal"/>
        <w:rPr/>
      </w:pPr>
      <w:r>
        <w:rPr>
          <w:u w:val="single"/>
        </w:rPr>
        <w:t>Control Objective</w:t>
      </w:r>
      <w:r>
        <w:rPr/>
        <w:t>: The organization employs automated mechanisms to support the management of system accounts.</w:t>
      </w:r>
      <w:r>
        <w:rPr>
          <w:rStyle w:val="FootnoteAnchor"/>
          <w:rStyle w:val="FootnoteAnchor"/>
          <w:rFonts w:cs="Calibri"/>
          <w:bCs w:val="false"/>
        </w:rPr>
        <w:footnoteReference w:id="332"/>
      </w:r>
    </w:p>
    <w:p>
      <w:pPr>
        <w:pStyle w:val="Normal"/>
        <w:rPr/>
      </w:pPr>
      <w:r>
        <w:rPr/>
      </w:r>
    </w:p>
    <w:p>
      <w:pPr>
        <w:pStyle w:val="Normal"/>
        <w:rPr/>
      </w:pPr>
      <w:r>
        <w:rPr>
          <w:u w:val="single"/>
        </w:rPr>
        <w:t>Standard</w:t>
      </w:r>
      <w:r>
        <w:rPr/>
        <w:t xml:space="preserve">: Where technically feasible, automated mechanisms are required to: </w:t>
      </w:r>
    </w:p>
    <w:p>
      <w:pPr>
        <w:pStyle w:val="ListParagraph"/>
        <w:numPr>
          <w:ilvl w:val="0"/>
          <w:numId w:val="361"/>
        </w:numPr>
        <w:rPr/>
      </w:pPr>
      <w:r>
        <w:rPr/>
        <w:t xml:space="preserve">Configure access for all accounts through a centralized point of authentication, for example Active Directory or LDAP; and </w:t>
      </w:r>
    </w:p>
    <w:p>
      <w:pPr>
        <w:pStyle w:val="ListParagraph"/>
        <w:numPr>
          <w:ilvl w:val="0"/>
          <w:numId w:val="361"/>
        </w:numPr>
        <w:rPr/>
      </w:pPr>
      <w:r>
        <w:rPr/>
        <w:t>Automatically alert appropriate personnel for security-related changes in privileged account status.</w:t>
      </w:r>
    </w:p>
    <w:p>
      <w:pPr>
        <w:pStyle w:val="Normal"/>
        <w:rPr/>
      </w:pPr>
      <w:r>
        <w:rPr/>
      </w:r>
    </w:p>
    <w:p>
      <w:pPr>
        <w:pStyle w:val="Normal"/>
        <w:rPr/>
      </w:pPr>
      <w:r>
        <w:rPr>
          <w:u w:val="single"/>
        </w:rPr>
        <w:t>Guidelines</w:t>
      </w:r>
      <w:r>
        <w:rPr/>
        <w:t xml:space="preserve">: The use of automated mechanisms can include, for example: </w:t>
      </w:r>
    </w:p>
    <w:p>
      <w:pPr>
        <w:pStyle w:val="ListParagraph"/>
        <w:numPr>
          <w:ilvl w:val="0"/>
          <w:numId w:val="168"/>
        </w:numPr>
        <w:rPr/>
      </w:pPr>
      <w:r>
        <w:rPr/>
        <w:t xml:space="preserve">Using email or text messaging to automatically notify account managers when users are terminated or transferred; </w:t>
      </w:r>
    </w:p>
    <w:p>
      <w:pPr>
        <w:pStyle w:val="ListParagraph"/>
        <w:numPr>
          <w:ilvl w:val="0"/>
          <w:numId w:val="168"/>
        </w:numPr>
        <w:rPr/>
      </w:pPr>
      <w:r>
        <w:rPr/>
        <w:t xml:space="preserve">Using the system to monitor account usage; and </w:t>
      </w:r>
    </w:p>
    <w:p>
      <w:pPr>
        <w:pStyle w:val="ListParagraph"/>
        <w:numPr>
          <w:ilvl w:val="0"/>
          <w:numId w:val="168"/>
        </w:numPr>
        <w:rPr/>
      </w:pPr>
      <w:r>
        <w:rPr/>
        <w:t>Using telephonic notification to report atypical system account usage.</w:t>
      </w:r>
    </w:p>
    <w:p>
      <w:pPr>
        <w:pStyle w:val="Normal"/>
        <w:rPr/>
      </w:pPr>
      <w:r>
        <w:rPr/>
      </w:r>
    </w:p>
    <w:p>
      <w:pPr>
        <w:pStyle w:val="Heading3"/>
        <w:rPr/>
      </w:pPr>
      <w:bookmarkStart w:id="1059" w:name="_Toc474075035"/>
      <w:bookmarkStart w:id="1060" w:name="_Toc34920930"/>
      <w:r>
        <w:rPr/>
        <w:t>IAC-15(b): Account Management | Removal of Temporary / Emergency Accounts</w:t>
      </w:r>
      <w:bookmarkEnd w:id="1059"/>
      <w:bookmarkEnd w:id="1060"/>
      <w:r>
        <w:rPr/>
        <w:t xml:space="preserve"> </w:t>
      </w:r>
    </w:p>
    <w:p>
      <w:pPr>
        <w:pStyle w:val="Normal"/>
        <w:rPr/>
      </w:pPr>
      <w:r>
        <w:rPr>
          <w:u w:val="single"/>
        </w:rPr>
        <w:t>Control Objective</w:t>
      </w:r>
      <w:r>
        <w:rPr/>
        <w:t>: System automatically disable or remove temporary and emergency accounts after an organization-defined time period for each type of account.</w:t>
      </w:r>
      <w:r>
        <w:rPr>
          <w:rStyle w:val="FootnoteAnchor"/>
          <w:rStyle w:val="FootnoteAnchor"/>
          <w:rFonts w:cs="Calibri"/>
          <w:bCs w:val="false"/>
        </w:rPr>
        <w:footnoteReference w:id="333"/>
      </w:r>
    </w:p>
    <w:p>
      <w:pPr>
        <w:pStyle w:val="Normal"/>
        <w:rPr/>
      </w:pPr>
      <w:r>
        <w:rPr/>
      </w:r>
    </w:p>
    <w:p>
      <w:pPr>
        <w:pStyle w:val="Normal"/>
        <w:rPr/>
      </w:pPr>
      <w:r>
        <w:rPr>
          <w:u w:val="single"/>
        </w:rPr>
        <w:t>Standard</w:t>
      </w:r>
      <w:r>
        <w:rPr/>
        <w:t xml:space="preserve">: Where technically feasible, automated mechanisms are required to disable temporary / emergency accounts after twenty-four (24) hours. </w:t>
      </w:r>
    </w:p>
    <w:p>
      <w:pPr>
        <w:pStyle w:val="Normal"/>
        <w:rPr/>
      </w:pPr>
      <w:r>
        <w:rPr/>
      </w:r>
    </w:p>
    <w:p>
      <w:pPr>
        <w:pStyle w:val="Normal"/>
        <w:rPr/>
      </w:pPr>
      <w:r>
        <w:rPr>
          <w:u w:val="single"/>
        </w:rPr>
        <w:t>Guidelines</w:t>
      </w:r>
      <w:r>
        <w:rPr/>
        <w:t>: This standard requires the removal of both temporary and emergency accounts automatically after a predefined period of time has elapsed, rather than at the convenience of the systems administrator.</w:t>
      </w:r>
    </w:p>
    <w:p>
      <w:pPr>
        <w:pStyle w:val="Normal"/>
        <w:rPr/>
      </w:pPr>
      <w:r>
        <w:rPr/>
      </w:r>
    </w:p>
    <w:p>
      <w:pPr>
        <w:pStyle w:val="Heading3"/>
        <w:rPr/>
      </w:pPr>
      <w:bookmarkStart w:id="1061" w:name="_Toc474075036"/>
      <w:bookmarkStart w:id="1062" w:name="_Toc34920931"/>
      <w:r>
        <w:rPr/>
        <w:t>IAC-15(c): Account Management | Disable Inactive Accounts</w:t>
      </w:r>
      <w:bookmarkEnd w:id="1061"/>
      <w:bookmarkEnd w:id="1062"/>
      <w:r>
        <w:rPr/>
        <w:t xml:space="preserve"> </w:t>
      </w:r>
    </w:p>
    <w:p>
      <w:pPr>
        <w:pStyle w:val="Normal"/>
        <w:rPr/>
      </w:pPr>
      <w:r>
        <w:rPr>
          <w:u w:val="single"/>
        </w:rPr>
        <w:t>Control Objective</w:t>
      </w:r>
      <w:r>
        <w:rPr/>
        <w:t>: System automatically disable inactive accounts after an organization-defined time period.</w:t>
      </w:r>
      <w:r>
        <w:rPr>
          <w:rStyle w:val="FootnoteAnchor"/>
          <w:rStyle w:val="FootnoteAnchor"/>
          <w:rFonts w:cs="Calibri"/>
          <w:bCs w:val="false"/>
        </w:rPr>
        <w:footnoteReference w:id="334"/>
      </w:r>
    </w:p>
    <w:p>
      <w:pPr>
        <w:pStyle w:val="Normal"/>
        <w:rPr/>
      </w:pPr>
      <w:r>
        <w:rPr/>
      </w:r>
    </w:p>
    <w:p>
      <w:pPr>
        <w:pStyle w:val="Normal"/>
        <w:rPr/>
      </w:pPr>
      <w:r>
        <w:rPr>
          <w:u w:val="single"/>
        </w:rPr>
        <w:t>Standard</w:t>
      </w:r>
      <w:r>
        <w:rPr/>
        <w:t>: Where technically feasible:</w:t>
      </w:r>
    </w:p>
    <w:p>
      <w:pPr>
        <w:pStyle w:val="ListParagraph"/>
        <w:numPr>
          <w:ilvl w:val="0"/>
          <w:numId w:val="362"/>
        </w:numPr>
        <w:rPr/>
      </w:pPr>
      <w:r>
        <w:rPr/>
        <w:t xml:space="preserve">Automated mechanisms are required to disable inactive accounts after ninety (90) days; and </w:t>
      </w:r>
    </w:p>
    <w:p>
      <w:pPr>
        <w:pStyle w:val="ListParagraph"/>
        <w:numPr>
          <w:ilvl w:val="0"/>
          <w:numId w:val="362"/>
        </w:numPr>
        <w:rPr/>
      </w:pPr>
      <w:r>
        <w:rPr/>
        <w:t>All accounts have an expiration date that is monitored and enforced.</w:t>
      </w:r>
    </w:p>
    <w:p>
      <w:pPr>
        <w:pStyle w:val="Normal"/>
        <w:rPr/>
      </w:pPr>
      <w:r>
        <w:rPr/>
      </w:r>
    </w:p>
    <w:p>
      <w:pPr>
        <w:pStyle w:val="Normal"/>
        <w:rPr/>
      </w:pPr>
      <w:r>
        <w:rPr>
          <w:u w:val="single"/>
        </w:rPr>
        <w:t>Guidelines</w:t>
      </w:r>
      <w:r>
        <w:rPr/>
        <w:t xml:space="preserve">: Monitoring account usage helps identify dormant accounts. </w:t>
      </w:r>
    </w:p>
    <w:p>
      <w:pPr>
        <w:pStyle w:val="Normal"/>
        <w:rPr/>
      </w:pPr>
      <w:r>
        <w:rPr/>
      </w:r>
    </w:p>
    <w:p>
      <w:pPr>
        <w:pStyle w:val="Heading3"/>
        <w:rPr/>
      </w:pPr>
      <w:bookmarkStart w:id="1063" w:name="_Toc474075037"/>
      <w:bookmarkStart w:id="1064" w:name="_Toc34920932"/>
      <w:r>
        <w:rPr/>
        <w:t>IAC-15(d): Account Management | Automated Audit Actions</w:t>
      </w:r>
      <w:bookmarkEnd w:id="1063"/>
      <w:bookmarkEnd w:id="1064"/>
      <w:r>
        <w:rPr/>
        <w:t xml:space="preserve"> </w:t>
      </w:r>
    </w:p>
    <w:p>
      <w:pPr>
        <w:pStyle w:val="Normal"/>
        <w:rPr/>
      </w:pPr>
      <w:r>
        <w:rPr>
          <w:u w:val="single"/>
        </w:rPr>
        <w:t>Control Objective</w:t>
      </w:r>
      <w:r>
        <w:rPr/>
        <w:t>: System automatically audit account creation, modification, enabling, disabling and removal actions and notify organization-defined personnel or roles.</w:t>
      </w:r>
      <w:r>
        <w:rPr>
          <w:rStyle w:val="FootnoteAnchor"/>
          <w:rStyle w:val="FootnoteAnchor"/>
          <w:rFonts w:cs="Calibri"/>
          <w:bCs w:val="false"/>
        </w:rPr>
        <w:footnoteReference w:id="335"/>
      </w:r>
    </w:p>
    <w:p>
      <w:pPr>
        <w:pStyle w:val="Normal"/>
        <w:rPr/>
      </w:pPr>
      <w:r>
        <w:rPr/>
      </w:r>
    </w:p>
    <w:p>
      <w:pPr>
        <w:pStyle w:val="Normal"/>
        <w:rPr/>
      </w:pPr>
      <w:r>
        <w:rPr>
          <w:u w:val="single"/>
        </w:rPr>
        <w:t>Standard</w:t>
      </w:r>
      <w:r>
        <w:rPr/>
        <w:t>: Where technically feasible, automated mechanisms are required to alert asset custodians when accounts are created, modified, enabled, disabled and / or removed.</w:t>
      </w:r>
    </w:p>
    <w:p>
      <w:pPr>
        <w:pStyle w:val="Normal"/>
        <w:rPr/>
      </w:pPr>
      <w:r>
        <w:rPr/>
      </w:r>
    </w:p>
    <w:p>
      <w:pPr>
        <w:pStyle w:val="Normal"/>
        <w:rPr/>
      </w:pPr>
      <w:r>
        <w:rPr>
          <w:u w:val="single"/>
        </w:rPr>
        <w:t>Guidelines</w:t>
      </w:r>
      <w:r>
        <w:rPr/>
        <w:t>: None</w:t>
      </w:r>
    </w:p>
    <w:p>
      <w:pPr>
        <w:pStyle w:val="Normal"/>
        <w:rPr/>
      </w:pPr>
      <w:r>
        <w:rPr/>
      </w:r>
    </w:p>
    <w:p>
      <w:pPr>
        <w:pStyle w:val="Heading3"/>
        <w:rPr/>
      </w:pPr>
      <w:bookmarkStart w:id="1065" w:name="_Toc474075039"/>
      <w:bookmarkStart w:id="1066" w:name="_Toc34920933"/>
      <w:r>
        <w:rPr/>
        <w:t>IAC-15(e): Account Management | Restrictions on Shared Groups / Accounts</w:t>
      </w:r>
      <w:bookmarkEnd w:id="1065"/>
      <w:bookmarkEnd w:id="1066"/>
    </w:p>
    <w:p>
      <w:pPr>
        <w:pStyle w:val="Normal"/>
        <w:rPr/>
      </w:pPr>
      <w:r>
        <w:rPr>
          <w:u w:val="single"/>
        </w:rPr>
        <w:t>Control Objective</w:t>
      </w:r>
      <w:r>
        <w:rPr/>
        <w:t>: The organization only permits the use of shared / group accounts that meet conditions for establishing shared / group accounts.</w:t>
      </w:r>
      <w:r>
        <w:rPr>
          <w:rStyle w:val="FootnoteAnchor"/>
          <w:rStyle w:val="FootnoteAnchor"/>
          <w:rFonts w:cs="Calibri"/>
          <w:bCs w:val="false"/>
        </w:rPr>
        <w:footnoteReference w:id="336"/>
      </w:r>
    </w:p>
    <w:p>
      <w:pPr>
        <w:pStyle w:val="Normal"/>
        <w:rPr/>
      </w:pPr>
      <w:r>
        <w:rPr/>
      </w:r>
    </w:p>
    <w:p>
      <w:pPr>
        <w:pStyle w:val="Normal"/>
        <w:rPr/>
      </w:pPr>
      <w:r>
        <w:rPr>
          <w:u w:val="single"/>
        </w:rPr>
        <w:t>Standard</w:t>
      </w:r>
      <w:r>
        <w:rPr/>
        <w:t xml:space="preserve">: Only when justified by a valid business case, NFCC permits the use of shared / group accounts. </w:t>
      </w:r>
    </w:p>
    <w:p>
      <w:pPr>
        <w:pStyle w:val="Normal"/>
        <w:rPr/>
      </w:pPr>
      <w:r>
        <w:rPr/>
      </w:r>
    </w:p>
    <w:p>
      <w:pPr>
        <w:pStyle w:val="Normal"/>
        <w:rPr/>
      </w:pPr>
      <w:r>
        <w:rPr>
          <w:u w:val="single"/>
        </w:rPr>
        <w:t>Guidelines</w:t>
      </w:r>
      <w:r>
        <w:rPr/>
        <w:t>: None</w:t>
      </w:r>
    </w:p>
    <w:p>
      <w:pPr>
        <w:pStyle w:val="Normal"/>
        <w:rPr/>
      </w:pPr>
      <w:r>
        <w:rPr/>
      </w:r>
    </w:p>
    <w:p>
      <w:pPr>
        <w:pStyle w:val="Heading3"/>
        <w:rPr/>
      </w:pPr>
      <w:bookmarkStart w:id="1067" w:name="_Toc34920934"/>
      <w:bookmarkStart w:id="1068" w:name="_Toc474075040"/>
      <w:r>
        <w:rPr/>
        <w:t xml:space="preserve">IAC-15(f): Account Management | </w:t>
      </w:r>
      <w:bookmarkEnd w:id="1068"/>
      <w:r>
        <w:rPr/>
        <w:t>Account Disabling for High Risk Individuals</w:t>
      </w:r>
      <w:bookmarkEnd w:id="1067"/>
    </w:p>
    <w:p>
      <w:pPr>
        <w:pStyle w:val="Normal"/>
        <w:rPr/>
      </w:pPr>
      <w:r>
        <w:rPr>
          <w:u w:val="single"/>
        </w:rPr>
        <w:t>Control Objective</w:t>
      </w:r>
      <w:r>
        <w:rPr/>
        <w:t>: The organization disables accounts without delay for users posing a significant risk to the organization.</w:t>
      </w:r>
      <w:r>
        <w:rPr>
          <w:rStyle w:val="FootnoteAnchor"/>
          <w:rStyle w:val="FootnoteAnchor"/>
          <w:rFonts w:cs="Calibri"/>
          <w:bCs w:val="false"/>
        </w:rPr>
        <w:footnoteReference w:id="337"/>
      </w:r>
    </w:p>
    <w:p>
      <w:pPr>
        <w:pStyle w:val="Normal"/>
        <w:rPr/>
      </w:pPr>
      <w:r>
        <w:rPr/>
      </w:r>
    </w:p>
    <w:p>
      <w:pPr>
        <w:pStyle w:val="Normal"/>
        <w:rPr/>
      </w:pPr>
      <w:r>
        <w:rPr>
          <w:u w:val="single"/>
        </w:rPr>
        <w:t>Standard</w:t>
      </w:r>
      <w:r>
        <w:rPr/>
        <w:t>: Data/process owners and asset custodians are required to implement processes to expeditiously disable accounts for users posing a significant risk to the organization.</w:t>
      </w:r>
    </w:p>
    <w:p>
      <w:pPr>
        <w:pStyle w:val="Normal"/>
        <w:rPr/>
      </w:pPr>
      <w:r>
        <w:rPr/>
      </w:r>
    </w:p>
    <w:p>
      <w:pPr>
        <w:pStyle w:val="Normal"/>
        <w:rPr/>
      </w:pPr>
      <w:r>
        <w:rPr>
          <w:u w:val="single"/>
        </w:rPr>
        <w:t>Guidelines</w:t>
      </w:r>
      <w:r>
        <w:rPr/>
        <w:t>: None</w:t>
      </w:r>
    </w:p>
    <w:p>
      <w:pPr>
        <w:pStyle w:val="Normal"/>
        <w:rPr/>
      </w:pPr>
      <w:r>
        <w:rPr/>
      </w:r>
    </w:p>
    <w:p>
      <w:pPr>
        <w:pStyle w:val="Heading3"/>
        <w:rPr/>
      </w:pPr>
      <w:bookmarkStart w:id="1069" w:name="_Toc474075041"/>
      <w:bookmarkStart w:id="1070" w:name="_Toc34920935"/>
      <w:r>
        <w:rPr/>
        <w:t>IAC-15(g): Account Management | System Accounts</w:t>
      </w:r>
      <w:bookmarkEnd w:id="1069"/>
      <w:bookmarkEnd w:id="1070"/>
      <w:r>
        <w:rPr/>
        <w:t xml:space="preserve"> </w:t>
      </w:r>
    </w:p>
    <w:p>
      <w:pPr>
        <w:pStyle w:val="Normal"/>
        <w:rPr/>
      </w:pPr>
      <w:r>
        <w:rPr>
          <w:u w:val="single"/>
        </w:rPr>
        <w:t>Control Objective</w:t>
      </w:r>
      <w:r>
        <w:rPr/>
        <w:t>: The organization reviews all system accounts and disables any account that cannot be associated with a business process and owner.</w:t>
      </w:r>
    </w:p>
    <w:p>
      <w:pPr>
        <w:pStyle w:val="Normal"/>
        <w:rPr/>
      </w:pPr>
      <w:r>
        <w:rPr/>
      </w:r>
    </w:p>
    <w:p>
      <w:pPr>
        <w:pStyle w:val="Normal"/>
        <w:rPr/>
      </w:pPr>
      <w:r>
        <w:rPr>
          <w:u w:val="single"/>
        </w:rPr>
        <w:t>Standard</w:t>
      </w:r>
      <w:r>
        <w:rPr/>
        <w:t>: NFCC’s Identity and Access Management (IAM) team shall:</w:t>
      </w:r>
    </w:p>
    <w:p>
      <w:pPr>
        <w:pStyle w:val="ListParagraph"/>
        <w:numPr>
          <w:ilvl w:val="0"/>
          <w:numId w:val="363"/>
        </w:numPr>
        <w:rPr/>
      </w:pPr>
      <w:r>
        <w:rPr/>
        <w:t xml:space="preserve">Review all system accounts; and </w:t>
      </w:r>
    </w:p>
    <w:p>
      <w:pPr>
        <w:pStyle w:val="ListParagraph"/>
        <w:numPr>
          <w:ilvl w:val="0"/>
          <w:numId w:val="363"/>
        </w:numPr>
        <w:rPr/>
      </w:pPr>
      <w:r>
        <w:rPr/>
        <w:t>Disable any account that cannot be associated with a business process and owner.</w:t>
      </w:r>
    </w:p>
    <w:p>
      <w:pPr>
        <w:pStyle w:val="Normal"/>
        <w:rPr/>
      </w:pPr>
      <w:r>
        <w:rPr/>
      </w:r>
    </w:p>
    <w:p>
      <w:pPr>
        <w:pStyle w:val="Normal"/>
        <w:rPr/>
      </w:pPr>
      <w:r>
        <w:rPr>
          <w:u w:val="single"/>
        </w:rPr>
        <w:t>Guidelines</w:t>
      </w:r>
      <w:r>
        <w:rPr/>
        <w:t>: None</w:t>
      </w:r>
    </w:p>
    <w:p>
      <w:pPr>
        <w:pStyle w:val="Normal"/>
        <w:rPr/>
      </w:pPr>
      <w:r>
        <w:rPr/>
      </w:r>
    </w:p>
    <w:p>
      <w:pPr>
        <w:pStyle w:val="Heading3"/>
        <w:rPr/>
      </w:pPr>
      <w:bookmarkStart w:id="1071" w:name="_Toc23241905"/>
      <w:bookmarkStart w:id="1072" w:name="_Toc34920936"/>
      <w:r>
        <w:rPr/>
        <w:t>IAC-15(h): Account Management | Usage Conditions</w:t>
      </w:r>
      <w:bookmarkEnd w:id="1071"/>
      <w:bookmarkEnd w:id="1072"/>
      <w:r>
        <w:rPr/>
        <w:t xml:space="preserve"> </w:t>
      </w:r>
    </w:p>
    <w:p>
      <w:pPr>
        <w:pStyle w:val="Normal"/>
        <w:rPr/>
      </w:pPr>
      <w:r>
        <w:rPr>
          <w:rFonts w:cs="Calibri"/>
          <w:u w:val="single"/>
        </w:rPr>
        <w:t>Control Objective</w:t>
      </w:r>
      <w:r>
        <w:rPr>
          <w:rFonts w:cs="Calibri"/>
        </w:rPr>
        <w:t xml:space="preserve">: </w:t>
      </w:r>
      <w:r>
        <w:rPr/>
        <w:t>The information system enforces organization-defined circumstances and/or usage conditions for organization-defined information system accounts.</w:t>
      </w:r>
      <w:r>
        <w:rPr>
          <w:rStyle w:val="FootnoteCharacters"/>
          <w:rFonts w:cs="Calibri"/>
          <w:bCs w:val="false"/>
        </w:rPr>
        <w:t xml:space="preserve"> </w:t>
      </w:r>
      <w:r>
        <w:rPr>
          <w:rStyle w:val="FootnoteAnchor"/>
          <w:rStyle w:val="FootnoteAnchor"/>
          <w:rFonts w:cs="Calibri"/>
          <w:bCs w:val="false"/>
        </w:rPr>
        <w:footnoteReference w:id="338"/>
      </w:r>
      <w:r>
        <w:rPr/>
        <w:t xml:space="preserve"> </w:t>
      </w:r>
    </w:p>
    <w:p>
      <w:pPr>
        <w:pStyle w:val="Normal"/>
        <w:rPr>
          <w:rFonts w:cs="Calibri"/>
        </w:rPr>
      </w:pPr>
      <w:r>
        <w:rPr>
          <w:rFonts w:cs="Calibri"/>
        </w:rPr>
      </w:r>
    </w:p>
    <w:p>
      <w:pPr>
        <w:pStyle w:val="Normal"/>
        <w:rPr>
          <w:rFonts w:cs="Calibri"/>
          <w:bCs w:val="false"/>
        </w:rPr>
      </w:pPr>
      <w:r>
        <w:rPr>
          <w:rFonts w:cs="Calibri"/>
          <w:bCs w:val="false"/>
          <w:u w:val="single"/>
        </w:rPr>
        <w:t>Standard</w:t>
      </w:r>
      <w:r>
        <w:rPr>
          <w:rFonts w:cs="Calibri"/>
          <w:bCs w:val="false"/>
        </w:rPr>
        <w:t>: Where technically feasible, [Company Nam]’s security personnel will:</w:t>
      </w:r>
    </w:p>
    <w:p>
      <w:pPr>
        <w:pStyle w:val="ListParagraph"/>
        <w:numPr>
          <w:ilvl w:val="0"/>
          <w:numId w:val="617"/>
        </w:numPr>
        <w:rPr>
          <w:rFonts w:cs="Calibri"/>
        </w:rPr>
      </w:pPr>
      <w:r>
        <w:rPr>
          <w:rFonts w:cs="Calibri"/>
        </w:rPr>
        <w:t>Baseline “normal” usage conditions per user role (e.g., RBAC); and</w:t>
      </w:r>
    </w:p>
    <w:p>
      <w:pPr>
        <w:pStyle w:val="ListParagraph"/>
        <w:numPr>
          <w:ilvl w:val="0"/>
          <w:numId w:val="617"/>
        </w:numPr>
        <w:rPr>
          <w:rFonts w:cs="Calibri"/>
        </w:rPr>
      </w:pPr>
      <w:r>
        <w:rPr>
          <w:rFonts w:cs="Calibri"/>
        </w:rPr>
        <w:t>Configure systems to alert and/or disable the account(s) involved until incident responders can assess the situation for a possible incident.</w:t>
      </w:r>
    </w:p>
    <w:p>
      <w:pPr>
        <w:pStyle w:val="Normal"/>
        <w:rPr>
          <w:rFonts w:cs="Calibri"/>
        </w:rPr>
      </w:pPr>
      <w:r>
        <w:rPr>
          <w:rFonts w:cs="Calibri"/>
        </w:rPr>
      </w:r>
    </w:p>
    <w:p>
      <w:pPr>
        <w:pStyle w:val="Normal"/>
        <w:rPr/>
      </w:pPr>
      <w:r>
        <w:rPr>
          <w:rFonts w:cs="Calibri"/>
          <w:u w:val="single"/>
        </w:rPr>
        <w:t>Guidelines</w:t>
      </w:r>
      <w:r>
        <w:rPr>
          <w:rFonts w:cs="Calibri"/>
        </w:rPr>
        <w:t xml:space="preserve">: </w:t>
      </w:r>
      <w:r>
        <w:rPr/>
        <w:t>Organizations can describe the specific conditions or circumstances under which information system accounts can be used, for example, by restricting usage to certain days of the week, time of day or specific durations of time.</w:t>
      </w:r>
    </w:p>
    <w:p>
      <w:pPr>
        <w:pStyle w:val="Normal"/>
        <w:rPr/>
      </w:pPr>
      <w:r>
        <w:rPr/>
      </w:r>
    </w:p>
    <w:p>
      <w:pPr>
        <w:pStyle w:val="Normal"/>
        <w:rPr/>
      </w:pPr>
      <w:r>
        <w:rPr/>
      </w:r>
    </w:p>
    <w:p>
      <w:pPr>
        <w:pStyle w:val="Heading2"/>
        <w:rPr/>
      </w:pPr>
      <w:bookmarkStart w:id="1073" w:name="_Toc474075044"/>
      <w:bookmarkStart w:id="1074" w:name="_Toc474075651"/>
      <w:bookmarkStart w:id="1075" w:name="_Toc34920937"/>
      <w:r>
        <w:rPr/>
        <w:t>IAC-16: Privileged Account Management (PAM)</w:t>
      </w:r>
      <w:bookmarkEnd w:id="1073"/>
      <w:bookmarkEnd w:id="1074"/>
      <w:bookmarkEnd w:id="1075"/>
      <w:r>
        <w:rPr/>
        <w:t xml:space="preserve"> </w:t>
      </w:r>
    </w:p>
    <w:p>
      <w:pPr>
        <w:pStyle w:val="Normal"/>
        <w:rPr/>
      </w:pPr>
      <w:r>
        <w:rPr>
          <w:u w:val="single"/>
        </w:rPr>
        <w:t>Control Objective</w:t>
      </w:r>
      <w:r>
        <w:rPr/>
        <w:t>: The allocation and use of privileged access rights is tightly restricted and controlled.</w:t>
      </w:r>
      <w:r>
        <w:rPr>
          <w:rStyle w:val="FootnoteAnchor"/>
          <w:rStyle w:val="FootnoteAnchor"/>
          <w:rFonts w:cs="Calibri"/>
        </w:rPr>
        <w:footnoteReference w:id="339"/>
      </w:r>
    </w:p>
    <w:p>
      <w:pPr>
        <w:pStyle w:val="Normal"/>
        <w:rPr/>
      </w:pPr>
      <w:r>
        <w:rPr/>
      </w:r>
    </w:p>
    <w:p>
      <w:pPr>
        <w:pStyle w:val="Normal"/>
        <w:rPr/>
      </w:pPr>
      <w:r>
        <w:rPr>
          <w:u w:val="single"/>
        </w:rPr>
        <w:t>Standard</w:t>
      </w:r>
      <w:r>
        <w:rPr/>
        <w:t>: NFCC requires privileged user accounts be:</w:t>
      </w:r>
    </w:p>
    <w:p>
      <w:pPr>
        <w:pStyle w:val="ListParagraph"/>
        <w:numPr>
          <w:ilvl w:val="0"/>
          <w:numId w:val="364"/>
        </w:numPr>
        <w:rPr/>
      </w:pPr>
      <w:r>
        <w:rPr/>
        <w:t>A unique account, separate from a standard user account; and</w:t>
      </w:r>
    </w:p>
    <w:p>
      <w:pPr>
        <w:pStyle w:val="ListParagraph"/>
        <w:numPr>
          <w:ilvl w:val="0"/>
          <w:numId w:val="364"/>
        </w:numPr>
        <w:rPr/>
      </w:pPr>
      <w:r>
        <w:rPr/>
        <w:t xml:space="preserve">Used only when necessary for running privileged functions. </w:t>
      </w:r>
    </w:p>
    <w:p>
      <w:pPr>
        <w:pStyle w:val="Normal"/>
        <w:rPr/>
      </w:pPr>
      <w:r>
        <w:rPr/>
      </w:r>
    </w:p>
    <w:p>
      <w:pPr>
        <w:pStyle w:val="Normal"/>
        <w:rPr/>
      </w:pPr>
      <w:r>
        <w:rPr>
          <w:u w:val="single"/>
        </w:rPr>
        <w:t>Guidelines</w:t>
      </w:r>
      <w:r>
        <w:rPr/>
        <w:t>: Security and system administration personnel with elevated privileges have significant access to processes and data in systems. As such, Security, Network, Systems and Database Administrators have added responsibilities to ensure the secure operation of any NFCC system.</w:t>
      </w:r>
    </w:p>
    <w:p>
      <w:pPr>
        <w:pStyle w:val="Normal"/>
        <w:rPr/>
      </w:pPr>
      <w:r>
        <w:rPr/>
        <w:t xml:space="preserve"> </w:t>
      </w:r>
    </w:p>
    <w:p>
      <w:pPr>
        <w:pStyle w:val="Normal"/>
        <w:rPr/>
      </w:pPr>
      <w:r>
        <w:rPr/>
        <w:t>Personnel with elevated privileges are expected to:</w:t>
      </w:r>
    </w:p>
    <w:p>
      <w:pPr>
        <w:pStyle w:val="ListParagraph"/>
        <w:numPr>
          <w:ilvl w:val="0"/>
          <w:numId w:val="110"/>
        </w:numPr>
        <w:rPr/>
      </w:pPr>
      <w:r>
        <w:rPr/>
        <w:t xml:space="preserve">Advise the asset owner on matters concerning cybersecurity. </w:t>
      </w:r>
    </w:p>
    <w:p>
      <w:pPr>
        <w:pStyle w:val="ListParagraph"/>
        <w:numPr>
          <w:ilvl w:val="0"/>
          <w:numId w:val="110"/>
        </w:numPr>
        <w:rPr/>
      </w:pPr>
      <w:r>
        <w:rPr/>
        <w:t xml:space="preserve">Assist the asset owner in developing security plans, risk assessments and supporting documentation for the certification and accreditation process. </w:t>
      </w:r>
    </w:p>
    <w:p>
      <w:pPr>
        <w:pStyle w:val="ListParagraph"/>
        <w:numPr>
          <w:ilvl w:val="0"/>
          <w:numId w:val="110"/>
        </w:numPr>
        <w:rPr/>
      </w:pPr>
      <w:r>
        <w:rPr/>
        <w:t xml:space="preserve">Ensure that any changes to any system that affect contingency and disaster recovery plans are conveyed to the asset custodian responsible for maintaining continuity of operations plans for that system. </w:t>
      </w:r>
    </w:p>
    <w:p>
      <w:pPr>
        <w:pStyle w:val="ListParagraph"/>
        <w:numPr>
          <w:ilvl w:val="0"/>
          <w:numId w:val="110"/>
        </w:numPr>
        <w:rPr/>
      </w:pPr>
      <w:r>
        <w:rPr/>
        <w:t xml:space="preserve">Ensure that adequate physical and technical safeguards are operational within their areas of responsibility and that access to information and data is restricted to authorized personnel on a need to know basis. </w:t>
      </w:r>
    </w:p>
    <w:p>
      <w:pPr>
        <w:pStyle w:val="ListParagraph"/>
        <w:numPr>
          <w:ilvl w:val="0"/>
          <w:numId w:val="110"/>
        </w:numPr>
        <w:rPr/>
      </w:pPr>
      <w:r>
        <w:rPr/>
        <w:t xml:space="preserve">Verify that users have received appropriate security training before allowing access to any system. </w:t>
      </w:r>
    </w:p>
    <w:p>
      <w:pPr>
        <w:pStyle w:val="ListParagraph"/>
        <w:numPr>
          <w:ilvl w:val="0"/>
          <w:numId w:val="110"/>
        </w:numPr>
        <w:rPr/>
      </w:pPr>
      <w:r>
        <w:rPr/>
        <w:t xml:space="preserve">Implement applicable security access procedures and mechanisms, incorporate appropriate levels of system auditing and review audit logs. </w:t>
      </w:r>
    </w:p>
    <w:p>
      <w:pPr>
        <w:pStyle w:val="ListParagraph"/>
        <w:numPr>
          <w:ilvl w:val="0"/>
          <w:numId w:val="110"/>
        </w:numPr>
        <w:rPr/>
      </w:pPr>
      <w:r>
        <w:rPr/>
        <w:t>Document and investigate known or suspected security incidents or violations and report them to the Chief Information Security Officer (CISO).</w:t>
      </w:r>
    </w:p>
    <w:p>
      <w:pPr>
        <w:pStyle w:val="Normal"/>
        <w:rPr/>
      </w:pPr>
      <w:r>
        <w:rPr/>
      </w:r>
    </w:p>
    <w:p>
      <w:pPr>
        <w:pStyle w:val="Heading3"/>
        <w:rPr/>
      </w:pPr>
      <w:bookmarkStart w:id="1076" w:name="_Toc474075045"/>
      <w:bookmarkStart w:id="1077" w:name="_Toc34920938"/>
      <w:r>
        <w:rPr/>
        <w:t>IAC-16(a): Privileged Account Management (PAM) | Privileged Account Inventories</w:t>
      </w:r>
      <w:bookmarkEnd w:id="1076"/>
      <w:bookmarkEnd w:id="1077"/>
      <w:r>
        <w:rPr/>
        <w:t xml:space="preserve"> </w:t>
      </w:r>
    </w:p>
    <w:p>
      <w:pPr>
        <w:pStyle w:val="Normal"/>
        <w:rPr/>
      </w:pPr>
      <w:r>
        <w:rPr>
          <w:u w:val="single"/>
        </w:rPr>
        <w:t>Control Objective</w:t>
      </w:r>
      <w:r>
        <w:rPr/>
        <w:t>: The organization uses automated tools to inventory all privileged accounts and validate that each person with elevated privileges is authorized by the appropriate level of organizational management.</w:t>
      </w:r>
    </w:p>
    <w:p>
      <w:pPr>
        <w:pStyle w:val="Normal"/>
        <w:rPr/>
      </w:pPr>
      <w:r>
        <w:rPr/>
      </w:r>
    </w:p>
    <w:p>
      <w:pPr>
        <w:pStyle w:val="Normal"/>
        <w:rPr/>
      </w:pPr>
      <w:r>
        <w:rPr>
          <w:u w:val="single"/>
        </w:rPr>
        <w:t>Standard</w:t>
      </w:r>
      <w:r>
        <w:rPr/>
        <w:t>: Where technically feasible, NFCC’s Identify and Access Management (IAM) team shall:</w:t>
      </w:r>
    </w:p>
    <w:p>
      <w:pPr>
        <w:pStyle w:val="ListParagraph"/>
        <w:numPr>
          <w:ilvl w:val="0"/>
          <w:numId w:val="365"/>
        </w:numPr>
        <w:rPr/>
      </w:pPr>
      <w:r>
        <w:rPr/>
        <w:t xml:space="preserve">Use automated tools to inventory all privileged accounts; and </w:t>
      </w:r>
    </w:p>
    <w:p>
      <w:pPr>
        <w:pStyle w:val="ListParagraph"/>
        <w:numPr>
          <w:ilvl w:val="0"/>
          <w:numId w:val="365"/>
        </w:numPr>
        <w:rPr/>
      </w:pPr>
      <w:r>
        <w:rPr/>
        <w:t>Validate that each person with administrative privileges on desktops, laptops and servers is authorized by NFCC management.</w:t>
      </w:r>
    </w:p>
    <w:p>
      <w:pPr>
        <w:pStyle w:val="Normal"/>
        <w:rPr/>
      </w:pPr>
      <w:r>
        <w:rPr/>
      </w:r>
    </w:p>
    <w:p>
      <w:pPr>
        <w:pStyle w:val="Normal"/>
        <w:rPr/>
      </w:pPr>
      <w:r>
        <w:rPr>
          <w:u w:val="single"/>
        </w:rPr>
        <w:t>Guidelines</w:t>
      </w:r>
      <w:r>
        <w:rPr/>
        <w:t>: None</w:t>
      </w:r>
    </w:p>
    <w:p>
      <w:pPr>
        <w:pStyle w:val="Normal"/>
        <w:rPr>
          <w:rFonts w:eastAsia="Calibri"/>
        </w:rPr>
      </w:pPr>
      <w:r>
        <w:rPr>
          <w:rFonts w:eastAsia="Calibri"/>
        </w:rPr>
      </w:r>
    </w:p>
    <w:p>
      <w:pPr>
        <w:pStyle w:val="Normal"/>
        <w:rPr>
          <w:rFonts w:eastAsia="Calibri"/>
        </w:rPr>
      </w:pPr>
      <w:r>
        <w:rPr>
          <w:rFonts w:eastAsia="Calibri"/>
        </w:rPr>
      </w:r>
    </w:p>
    <w:p>
      <w:pPr>
        <w:pStyle w:val="Heading2"/>
        <w:rPr/>
      </w:pPr>
      <w:bookmarkStart w:id="1078" w:name="_Toc34920939"/>
      <w:bookmarkStart w:id="1079" w:name="_Toc474075046"/>
      <w:bookmarkStart w:id="1080" w:name="_Toc474075652"/>
      <w:r>
        <w:rPr/>
        <w:t>IAC-17: Periodic Review</w:t>
      </w:r>
      <w:bookmarkEnd w:id="1079"/>
      <w:bookmarkEnd w:id="1080"/>
      <w:r>
        <w:rPr/>
        <w:t xml:space="preserve">  of User Privileges</w:t>
      </w:r>
      <w:bookmarkEnd w:id="1078"/>
      <w:r>
        <w:rPr/>
        <w:t xml:space="preserve"> </w:t>
      </w:r>
    </w:p>
    <w:p>
      <w:pPr>
        <w:pStyle w:val="Normal"/>
        <w:rPr/>
      </w:pPr>
      <w:r>
        <w:rPr>
          <w:u w:val="single"/>
        </w:rPr>
        <w:t>Control Objective</w:t>
      </w:r>
      <w:r>
        <w:rPr/>
        <w:t>: The organization:</w:t>
      </w:r>
      <w:r>
        <w:rPr>
          <w:rStyle w:val="FootnoteCharacters"/>
          <w:rFonts w:cs="Calibri"/>
        </w:rPr>
        <w:t xml:space="preserve"> </w:t>
      </w:r>
      <w:r>
        <w:rPr>
          <w:rStyle w:val="FootnoteAnchor"/>
          <w:rStyle w:val="FootnoteAnchor"/>
          <w:rFonts w:cs="Calibri"/>
        </w:rPr>
        <w:footnoteReference w:id="340"/>
      </w:r>
    </w:p>
    <w:p>
      <w:pPr>
        <w:pStyle w:val="ListParagraph"/>
        <w:numPr>
          <w:ilvl w:val="0"/>
          <w:numId w:val="165"/>
        </w:numPr>
        <w:rPr/>
      </w:pPr>
      <w:r>
        <w:rPr/>
        <w:t>Periodically reviews the privileges assigned to users to validate the need for such privileges; and</w:t>
      </w:r>
    </w:p>
    <w:p>
      <w:pPr>
        <w:pStyle w:val="ListParagraph"/>
        <w:numPr>
          <w:ilvl w:val="0"/>
          <w:numId w:val="165"/>
        </w:numPr>
        <w:rPr/>
      </w:pPr>
      <w:r>
        <w:rPr/>
        <w:t>Reassigns or removes privileges, if necessary, to correctly reflect organizational mission and business needs.</w:t>
      </w:r>
    </w:p>
    <w:p>
      <w:pPr>
        <w:pStyle w:val="Normal"/>
        <w:rPr/>
      </w:pPr>
      <w:r>
        <w:rPr/>
      </w:r>
    </w:p>
    <w:p>
      <w:pPr>
        <w:pStyle w:val="Normal"/>
        <w:rPr/>
      </w:pPr>
      <w:r>
        <w:rPr>
          <w:u w:val="single"/>
        </w:rPr>
        <w:t>Standard</w:t>
      </w:r>
      <w:r>
        <w:rPr/>
        <w:t>: NFCC requires:</w:t>
      </w:r>
    </w:p>
    <w:p>
      <w:pPr>
        <w:pStyle w:val="ListParagraph"/>
        <w:numPr>
          <w:ilvl w:val="0"/>
          <w:numId w:val="675"/>
        </w:numPr>
        <w:rPr>
          <w:rFonts w:eastAsia="Calibri"/>
        </w:rPr>
      </w:pPr>
      <w:r>
        <w:rPr/>
        <w:t>Managers to perform a quarterly review to:</w:t>
      </w:r>
    </w:p>
    <w:p>
      <w:pPr>
        <w:pStyle w:val="ListParagraph"/>
        <w:numPr>
          <w:ilvl w:val="1"/>
          <w:numId w:val="675"/>
        </w:numPr>
        <w:rPr/>
      </w:pPr>
      <w:r>
        <w:rPr/>
        <w:t>Match active employees and contractors with each account belonging to their managed staff; and</w:t>
      </w:r>
    </w:p>
    <w:p>
      <w:pPr>
        <w:pStyle w:val="ListParagraph"/>
        <w:numPr>
          <w:ilvl w:val="1"/>
          <w:numId w:val="675"/>
        </w:numPr>
        <w:rPr/>
      </w:pPr>
      <w:r>
        <w:rPr/>
        <w:t>Adjust permissions based on current staff roles and business needs;</w:t>
      </w:r>
    </w:p>
    <w:p>
      <w:pPr>
        <w:pStyle w:val="ListParagraph"/>
        <w:numPr>
          <w:ilvl w:val="0"/>
          <w:numId w:val="675"/>
        </w:numPr>
        <w:rPr/>
      </w:pPr>
      <w:r>
        <w:rPr/>
        <w:t xml:space="preserve">Data/process owners and asset custodians are required to: </w:t>
      </w:r>
    </w:p>
    <w:p>
      <w:pPr>
        <w:pStyle w:val="ListParagraph"/>
        <w:numPr>
          <w:ilvl w:val="1"/>
          <w:numId w:val="675"/>
        </w:numPr>
        <w:rPr/>
      </w:pPr>
      <w:r>
        <w:rPr/>
        <w:t xml:space="preserve">Periodically review their systems to identify non-secure functions, ports, protocols and services; and </w:t>
      </w:r>
    </w:p>
    <w:p>
      <w:pPr>
        <w:pStyle w:val="ListParagraph"/>
        <w:numPr>
          <w:ilvl w:val="1"/>
          <w:numId w:val="675"/>
        </w:numPr>
        <w:rPr/>
      </w:pPr>
      <w:r>
        <w:rPr/>
        <w:t>Disable unnecessary and non-secure functions, ports, protocols and services.</w:t>
      </w:r>
    </w:p>
    <w:p>
      <w:pPr>
        <w:pStyle w:val="ListParagraph"/>
        <w:numPr>
          <w:ilvl w:val="1"/>
          <w:numId w:val="675"/>
        </w:numPr>
        <w:rPr/>
      </w:pPr>
      <w:r>
        <w:rPr/>
        <w:t>Review users’ access rights at regular intervals; and</w:t>
      </w:r>
    </w:p>
    <w:p>
      <w:pPr>
        <w:pStyle w:val="ListParagraph"/>
        <w:numPr>
          <w:ilvl w:val="1"/>
          <w:numId w:val="675"/>
        </w:numPr>
        <w:rPr/>
      </w:pPr>
      <w:r>
        <w:rPr/>
        <w:t>Remove access rights upon a user’s termination of employment, contract or agreement or adjust upon change; and</w:t>
      </w:r>
    </w:p>
    <w:p>
      <w:pPr>
        <w:pStyle w:val="ListParagraph"/>
        <w:numPr>
          <w:ilvl w:val="0"/>
          <w:numId w:val="675"/>
        </w:numPr>
        <w:rPr>
          <w:rFonts w:eastAsia="Calibri"/>
        </w:rPr>
      </w:pPr>
      <w:r>
        <w:rPr/>
        <w:t>Accounts that are not assigned to valid workforce members to be disabled without delay.</w:t>
      </w:r>
    </w:p>
    <w:p>
      <w:pPr>
        <w:pStyle w:val="Normal"/>
        <w:rPr/>
      </w:pPr>
      <w:r>
        <w:rPr/>
      </w:r>
      <w:bookmarkStart w:id="1081" w:name="_Hlk22217657"/>
      <w:bookmarkStart w:id="1082" w:name="_Hlk22217657"/>
      <w:bookmarkEnd w:id="1082"/>
    </w:p>
    <w:p>
      <w:pPr>
        <w:pStyle w:val="Normal"/>
        <w:rPr>
          <w:rFonts w:cs="Calibri"/>
        </w:rPr>
      </w:pPr>
      <w:r>
        <w:rPr>
          <w:u w:val="single"/>
        </w:rPr>
        <w:t>Guidelines</w:t>
      </w:r>
      <w:r>
        <w:rPr/>
        <w:t xml:space="preserve">: </w:t>
      </w:r>
      <w:r>
        <w:rPr>
          <w:rFonts w:cs="Calibri"/>
        </w:rPr>
        <w:t>The need for certain assigned user privileges may change over time reflecting changes in organizational missions/business function, environments of operation, technologies, or threat. Periodic review of assigned user privileges is necessary to determine if the rationale for assigning such privileges remains valid. If the need cannot be revalidated, organizations take appropriate corrective actions</w:t>
      </w:r>
    </w:p>
    <w:p>
      <w:pPr>
        <w:pStyle w:val="Normal"/>
        <w:rPr/>
      </w:pPr>
      <w:r>
        <w:rPr/>
      </w:r>
    </w:p>
    <w:p>
      <w:pPr>
        <w:pStyle w:val="Normal"/>
        <w:rPr/>
      </w:pPr>
      <w:r>
        <w:rPr/>
      </w:r>
    </w:p>
    <w:p>
      <w:pPr>
        <w:pStyle w:val="Heading2"/>
        <w:rPr/>
      </w:pPr>
      <w:bookmarkStart w:id="1083" w:name="_Toc474075047"/>
      <w:bookmarkStart w:id="1084" w:name="_Toc474075653"/>
      <w:bookmarkStart w:id="1085" w:name="_Toc34920940"/>
      <w:bookmarkStart w:id="1086" w:name="_Toc462992742"/>
      <w:r>
        <w:rPr/>
        <w:t>IAC-18: User Responsibilities</w:t>
      </w:r>
      <w:bookmarkEnd w:id="1086"/>
      <w:r>
        <w:rPr/>
        <w:t xml:space="preserve"> for Account Management</w:t>
      </w:r>
      <w:bookmarkEnd w:id="1083"/>
      <w:bookmarkEnd w:id="1084"/>
      <w:bookmarkEnd w:id="1085"/>
    </w:p>
    <w:p>
      <w:pPr>
        <w:pStyle w:val="Normal"/>
        <w:rPr/>
      </w:pPr>
      <w:r>
        <w:rPr>
          <w:u w:val="single"/>
        </w:rPr>
        <w:t>Control Objective</w:t>
      </w:r>
      <w:r>
        <w:rPr/>
        <w:t>: The organization requires users to follow the organization’s practices in the use of authentication mechanisms (e.g., passwords, passphrases, physical or logical security tokens, smart cards, certificates, etc.).</w:t>
      </w:r>
      <w:r>
        <w:rPr>
          <w:rStyle w:val="FootnoteAnchor"/>
          <w:rStyle w:val="FootnoteAnchor"/>
          <w:rFonts w:cs="Calibri"/>
        </w:rPr>
        <w:footnoteReference w:id="341"/>
      </w:r>
      <w:r>
        <w:rPr>
          <w:rStyle w:val="FootnoteCharacters"/>
          <w:rFonts w:cs="Calibri"/>
        </w:rPr>
        <w:t xml:space="preserve"> </w:t>
      </w:r>
    </w:p>
    <w:p>
      <w:pPr>
        <w:pStyle w:val="Normal"/>
        <w:rPr/>
      </w:pPr>
      <w:r>
        <w:rPr/>
      </w:r>
    </w:p>
    <w:p>
      <w:pPr>
        <w:pStyle w:val="Normal"/>
        <w:rPr/>
      </w:pPr>
      <w:r>
        <w:rPr>
          <w:u w:val="single"/>
        </w:rPr>
        <w:t>Standard</w:t>
      </w:r>
      <w:r>
        <w:rPr/>
        <w:t>: NFCC requires users to follow the published practices in the use of authentication mechanisms. Where other authentication mechanisms are used (e.g., physical or logical security tokens, smart cards, certificates, etc.), use of these mechanisms must be assigned as follows:</w:t>
      </w:r>
      <w:r>
        <w:rPr>
          <w:rStyle w:val="FootnoteCharacters"/>
          <w:rFonts w:cs="Calibri"/>
        </w:rPr>
        <w:t xml:space="preserve"> </w:t>
      </w:r>
    </w:p>
    <w:p>
      <w:pPr>
        <w:pStyle w:val="ListParagraph"/>
        <w:numPr>
          <w:ilvl w:val="0"/>
          <w:numId w:val="366"/>
        </w:numPr>
        <w:rPr/>
      </w:pPr>
      <w:r>
        <w:rPr/>
        <w:t>Authentication mechanisms must be assigned to an individual account and not shared among multiple accounts.</w:t>
      </w:r>
    </w:p>
    <w:p>
      <w:pPr>
        <w:pStyle w:val="ListParagraph"/>
        <w:numPr>
          <w:ilvl w:val="0"/>
          <w:numId w:val="366"/>
        </w:numPr>
        <w:rPr/>
      </w:pPr>
      <w:r>
        <w:rPr/>
        <w:t>Physical and / or logical controls must be in place to ensure only the intended account can use that mechanism to gain access.</w:t>
      </w:r>
    </w:p>
    <w:p>
      <w:pPr>
        <w:pStyle w:val="Normal"/>
        <w:rPr/>
      </w:pPr>
      <w:r>
        <w:rPr/>
      </w:r>
    </w:p>
    <w:p>
      <w:pPr>
        <w:pStyle w:val="Normal"/>
        <w:rPr/>
      </w:pPr>
      <w:r>
        <w:rPr>
          <w:u w:val="single"/>
        </w:rPr>
        <w:t>Guidelines</w:t>
      </w:r>
      <w:r>
        <w:rPr/>
        <w:t>: If user authentication mechanisms such as tokens, smart cards and certificates can be used by multiple accounts, it may be impossible to identify the individual using the authentication mechanism. Having physical and / or logical controls (e.g., a PIN, biometric data or a password) to uniquely identify the user of the account will prevent unauthorized users from gaining access through the use of a shared authentication mechanism.</w:t>
      </w:r>
    </w:p>
    <w:p>
      <w:pPr>
        <w:pStyle w:val="Normal"/>
        <w:rPr/>
      </w:pPr>
      <w:r>
        <w:rPr/>
      </w:r>
    </w:p>
    <w:p>
      <w:pPr>
        <w:pStyle w:val="Normal"/>
        <w:rPr/>
      </w:pPr>
      <w:r>
        <w:rPr/>
      </w:r>
    </w:p>
    <w:p>
      <w:pPr>
        <w:pStyle w:val="Heading2"/>
        <w:rPr/>
      </w:pPr>
      <w:bookmarkStart w:id="1087" w:name="_Toc474075048"/>
      <w:bookmarkStart w:id="1088" w:name="_Toc474075654"/>
      <w:bookmarkStart w:id="1089" w:name="_Toc34920941"/>
      <w:r>
        <w:rPr/>
        <w:t>IAC-19: Credential Sharing</w:t>
      </w:r>
      <w:bookmarkEnd w:id="1087"/>
      <w:bookmarkEnd w:id="1088"/>
      <w:bookmarkEnd w:id="1089"/>
      <w:r>
        <w:rPr/>
        <w:t xml:space="preserve"> </w:t>
      </w:r>
    </w:p>
    <w:p>
      <w:pPr>
        <w:pStyle w:val="Normal"/>
        <w:rPr/>
      </w:pPr>
      <w:r>
        <w:rPr>
          <w:u w:val="single"/>
        </w:rPr>
        <w:t>Control Objective</w:t>
      </w:r>
      <w:r>
        <w:rPr/>
        <w:t>: The organization prohibits the use of group, shared or generic IDs, passwords or other generic authentication methods.</w:t>
      </w:r>
      <w:r>
        <w:rPr>
          <w:rStyle w:val="FootnoteCharacters"/>
          <w:rFonts w:cs="Calibri"/>
        </w:rPr>
        <w:t xml:space="preserve"> </w:t>
      </w:r>
    </w:p>
    <w:p>
      <w:pPr>
        <w:pStyle w:val="Normal"/>
        <w:rPr/>
      </w:pPr>
      <w:r>
        <w:rPr/>
      </w:r>
    </w:p>
    <w:p>
      <w:pPr>
        <w:pStyle w:val="Normal"/>
        <w:rPr/>
      </w:pPr>
      <w:r>
        <w:rPr>
          <w:u w:val="single"/>
        </w:rPr>
        <w:t>Standard</w:t>
      </w:r>
      <w:r>
        <w:rPr/>
        <w:t>: Unless supported by a valid business case and approved by NFCC management, asset custodians are prohibited from using group, shared or generic IDs, passwords or other authentication methods as follows:</w:t>
      </w:r>
      <w:r>
        <w:rPr>
          <w:rStyle w:val="FootnoteCharacters"/>
          <w:rFonts w:cs="Calibri"/>
        </w:rPr>
        <w:t xml:space="preserve"> </w:t>
      </w:r>
    </w:p>
    <w:p>
      <w:pPr>
        <w:pStyle w:val="ListParagraph"/>
        <w:numPr>
          <w:ilvl w:val="0"/>
          <w:numId w:val="367"/>
        </w:numPr>
        <w:rPr/>
      </w:pPr>
      <w:r>
        <w:rPr/>
        <w:t>Generic user IDs must be disabled or removed;</w:t>
      </w:r>
    </w:p>
    <w:p>
      <w:pPr>
        <w:pStyle w:val="ListParagraph"/>
        <w:numPr>
          <w:ilvl w:val="0"/>
          <w:numId w:val="367"/>
        </w:numPr>
        <w:rPr/>
      </w:pPr>
      <w:r>
        <w:rPr/>
        <w:t xml:space="preserve">Shared user IDs must not exist for system administration and other critical functions; </w:t>
      </w:r>
    </w:p>
    <w:p>
      <w:pPr>
        <w:pStyle w:val="ListParagraph"/>
        <w:numPr>
          <w:ilvl w:val="0"/>
          <w:numId w:val="367"/>
        </w:numPr>
        <w:rPr/>
      </w:pPr>
      <w:r>
        <w:rPr/>
        <w:t>Shared and generic user IDs must not be used to administer any system components; and</w:t>
      </w:r>
    </w:p>
    <w:p>
      <w:pPr>
        <w:pStyle w:val="ListParagraph"/>
        <w:numPr>
          <w:ilvl w:val="0"/>
          <w:numId w:val="367"/>
        </w:numPr>
        <w:rPr/>
      </w:pPr>
      <w:r>
        <w:rPr/>
        <w:t>Service providers with remote access to customer premises (e.g., for support of POS systems or servers) must use a unique authentication credential (such as a password / phrase) for each customer.</w:t>
      </w:r>
      <w:r>
        <w:rPr>
          <w:rStyle w:val="FootnoteCharacters"/>
          <w:rFonts w:cs="Calibri"/>
        </w:rPr>
        <w:t xml:space="preserve"> </w:t>
      </w:r>
    </w:p>
    <w:p>
      <w:pPr>
        <w:pStyle w:val="Normal"/>
        <w:rPr/>
      </w:pPr>
      <w:r>
        <w:rPr/>
      </w:r>
    </w:p>
    <w:p>
      <w:pPr>
        <w:pStyle w:val="Normal"/>
        <w:rPr/>
      </w:pPr>
      <w:r>
        <w:rPr>
          <w:u w:val="single"/>
        </w:rPr>
        <w:t>Guidelines</w:t>
      </w:r>
      <w:r>
        <w:rPr/>
        <w:t>: If multiple users share the same authentication credentials (e.g., user account and password), it becomes impossible to trace system access and activities to an individual. This, in turn, prevents an entity from assigning accountability for or having effective logging of an individual’s actions, since a given action could have been performed by anyone in the group that has knowledge of the authentication credentials.</w:t>
      </w:r>
    </w:p>
    <w:p>
      <w:pPr>
        <w:pStyle w:val="Normal"/>
        <w:rPr/>
      </w:pPr>
      <w:r>
        <w:rPr/>
      </w:r>
    </w:p>
    <w:p>
      <w:pPr>
        <w:pStyle w:val="Normal"/>
        <w:rPr/>
      </w:pPr>
      <w:r>
        <w:rPr/>
      </w:r>
    </w:p>
    <w:p>
      <w:pPr>
        <w:pStyle w:val="Heading2"/>
        <w:rPr/>
      </w:pPr>
      <w:bookmarkStart w:id="1090" w:name="_Toc474075049"/>
      <w:bookmarkStart w:id="1091" w:name="_Toc474075655"/>
      <w:bookmarkStart w:id="1092" w:name="_Toc34920942"/>
      <w:r>
        <w:rPr/>
        <w:t>IAC-20: Access Enforcement</w:t>
      </w:r>
      <w:bookmarkEnd w:id="1090"/>
      <w:bookmarkEnd w:id="1091"/>
      <w:bookmarkEnd w:id="1092"/>
      <w:r>
        <w:rPr/>
        <w:t xml:space="preserve"> </w:t>
      </w:r>
    </w:p>
    <w:p>
      <w:pPr>
        <w:pStyle w:val="Normal"/>
        <w:rPr/>
      </w:pPr>
      <w:r>
        <w:rPr>
          <w:u w:val="single"/>
        </w:rPr>
        <w:t>Control Objective</w:t>
      </w:r>
      <w:r>
        <w:rPr/>
        <w:t>: Systems enforce approved authorizations for logical access to the system in accordance with applicable policy.</w:t>
      </w:r>
      <w:r>
        <w:rPr>
          <w:rStyle w:val="FootnoteAnchor"/>
          <w:rStyle w:val="FootnoteAnchor"/>
          <w:rFonts w:cs="Calibri"/>
        </w:rPr>
        <w:footnoteReference w:id="342"/>
      </w:r>
    </w:p>
    <w:p>
      <w:pPr>
        <w:pStyle w:val="Normal"/>
        <w:rPr/>
      </w:pPr>
      <w:r>
        <w:rPr/>
      </w:r>
    </w:p>
    <w:p>
      <w:pPr>
        <w:pStyle w:val="Normal"/>
        <w:rPr/>
      </w:pPr>
      <w:r>
        <w:rPr>
          <w:u w:val="single"/>
        </w:rPr>
        <w:t>Standard</w:t>
      </w:r>
      <w:r>
        <w:rPr/>
        <w:t xml:space="preserve">: NFCC is required to limit access to systems and sensitive data to only those individuals whose job requires such access. </w:t>
      </w:r>
    </w:p>
    <w:p>
      <w:pPr>
        <w:pStyle w:val="Normal"/>
        <w:rPr/>
      </w:pPr>
      <w:r>
        <w:rPr/>
      </w:r>
    </w:p>
    <w:p>
      <w:pPr>
        <w:pStyle w:val="Normal"/>
        <w:rPr/>
      </w:pPr>
      <w:r>
        <w:rPr>
          <w:u w:val="single"/>
        </w:rPr>
        <w:t>Guidelines</w:t>
      </w:r>
      <w:r>
        <w:rPr/>
        <w:t>: The objective is to prevent unauthorized access to systems and applications. Access limitations should include the following:</w:t>
      </w:r>
    </w:p>
    <w:p>
      <w:pPr>
        <w:pStyle w:val="ListParagraph"/>
        <w:numPr>
          <w:ilvl w:val="0"/>
          <w:numId w:val="78"/>
        </w:numPr>
        <w:rPr/>
      </w:pPr>
      <w:r>
        <w:rPr/>
        <w:t>Restriction of access rights to privileged user IDs to least privileges necessary to perform job responsibilities;</w:t>
      </w:r>
    </w:p>
    <w:p>
      <w:pPr>
        <w:pStyle w:val="ListParagraph"/>
        <w:numPr>
          <w:ilvl w:val="0"/>
          <w:numId w:val="78"/>
        </w:numPr>
        <w:rPr/>
      </w:pPr>
      <w:r>
        <w:rPr/>
        <w:t>Assignment of privileges is based on individual personnel’s job classification and function;</w:t>
      </w:r>
    </w:p>
    <w:p>
      <w:pPr>
        <w:pStyle w:val="ListParagraph"/>
        <w:numPr>
          <w:ilvl w:val="0"/>
          <w:numId w:val="78"/>
        </w:numPr>
        <w:rPr/>
      </w:pPr>
      <w:r>
        <w:rPr/>
        <w:t>Requirement for a documented approval by authorized parties specifying required privileges; and</w:t>
      </w:r>
    </w:p>
    <w:p>
      <w:pPr>
        <w:pStyle w:val="ListParagraph"/>
        <w:numPr>
          <w:ilvl w:val="0"/>
          <w:numId w:val="78"/>
        </w:numPr>
        <w:rPr/>
      </w:pPr>
      <w:r>
        <w:rPr/>
        <w:t>Implementation of an automated access control system.</w:t>
      </w:r>
    </w:p>
    <w:p>
      <w:pPr>
        <w:pStyle w:val="Normal"/>
        <w:rPr/>
      </w:pPr>
      <w:r>
        <w:rPr/>
      </w:r>
    </w:p>
    <w:p>
      <w:pPr>
        <w:pStyle w:val="Heading3"/>
        <w:rPr/>
      </w:pPr>
      <w:bookmarkStart w:id="1093" w:name="_Toc474075051"/>
      <w:bookmarkStart w:id="1094" w:name="_Toc34920943"/>
      <w:r>
        <w:rPr/>
        <w:t>IAC-20(a): Access Enforcement | Access To Sensitive Data</w:t>
      </w:r>
      <w:bookmarkEnd w:id="1093"/>
      <w:bookmarkEnd w:id="1094"/>
    </w:p>
    <w:p>
      <w:pPr>
        <w:pStyle w:val="Normal"/>
        <w:rPr/>
      </w:pPr>
      <w:r>
        <w:rPr>
          <w:u w:val="single"/>
        </w:rPr>
        <w:t>Control Objective</w:t>
      </w:r>
      <w:r>
        <w:rPr/>
        <w:t xml:space="preserve">: The organization limits access to sensitive data to only those individuals whose job requires such access. </w:t>
      </w:r>
    </w:p>
    <w:p>
      <w:pPr>
        <w:pStyle w:val="Normal"/>
        <w:rPr/>
      </w:pPr>
      <w:r>
        <w:rPr/>
      </w:r>
    </w:p>
    <w:p>
      <w:pPr>
        <w:pStyle w:val="Normal"/>
        <w:rPr/>
      </w:pPr>
      <w:r>
        <w:rPr>
          <w:u w:val="single"/>
        </w:rPr>
        <w:t>Standard</w:t>
      </w:r>
      <w:r>
        <w:rPr/>
        <w:t>: Data / process owners and asset custodians are required to implement administrative and technical measures to limit access to system components and sensitive data to only those individuals whose job requires such access. Access limitations include the following:</w:t>
      </w:r>
      <w:r>
        <w:rPr>
          <w:rStyle w:val="FootnoteCharacters"/>
          <w:rFonts w:cs="Calibri"/>
        </w:rPr>
        <w:t xml:space="preserve"> </w:t>
      </w:r>
    </w:p>
    <w:p>
      <w:pPr>
        <w:pStyle w:val="ListParagraph"/>
        <w:numPr>
          <w:ilvl w:val="0"/>
          <w:numId w:val="368"/>
        </w:numPr>
        <w:rPr/>
      </w:pPr>
      <w:r>
        <w:rPr/>
        <w:t>Defining access needs for each role, including:</w:t>
      </w:r>
      <w:r>
        <w:rPr>
          <w:rStyle w:val="FootnoteCharacters"/>
          <w:rFonts w:cs="Calibri"/>
        </w:rPr>
        <w:t xml:space="preserve"> </w:t>
      </w:r>
    </w:p>
    <w:p>
      <w:pPr>
        <w:pStyle w:val="ListParagraph"/>
        <w:numPr>
          <w:ilvl w:val="1"/>
          <w:numId w:val="368"/>
        </w:numPr>
        <w:rPr/>
      </w:pPr>
      <w:r>
        <w:rPr/>
        <w:t>System components and data resources that each role needs to access for their job function; and</w:t>
      </w:r>
    </w:p>
    <w:p>
      <w:pPr>
        <w:pStyle w:val="ListParagraph"/>
        <w:numPr>
          <w:ilvl w:val="1"/>
          <w:numId w:val="368"/>
        </w:numPr>
        <w:rPr/>
      </w:pPr>
      <w:r>
        <w:rPr/>
        <w:t xml:space="preserve">Level of privilege required (e.g., user, administrator, etc.) for accessing resources; </w:t>
      </w:r>
    </w:p>
    <w:p>
      <w:pPr>
        <w:pStyle w:val="ListParagraph"/>
        <w:numPr>
          <w:ilvl w:val="0"/>
          <w:numId w:val="368"/>
        </w:numPr>
        <w:rPr/>
      </w:pPr>
      <w:r>
        <w:rPr/>
        <w:t>Restricting access to privileged user IDs to least privileges necessary to perform job responsibilities;</w:t>
      </w:r>
      <w:r>
        <w:rPr>
          <w:rStyle w:val="FootnoteCharacters"/>
          <w:rFonts w:cs="Calibri"/>
        </w:rPr>
        <w:t xml:space="preserve"> </w:t>
      </w:r>
    </w:p>
    <w:p>
      <w:pPr>
        <w:pStyle w:val="ListParagraph"/>
        <w:numPr>
          <w:ilvl w:val="0"/>
          <w:numId w:val="368"/>
        </w:numPr>
        <w:rPr/>
      </w:pPr>
      <w:r>
        <w:rPr/>
        <w:t>Assigning access based on individual personnel’s job classification and function;</w:t>
      </w:r>
      <w:r>
        <w:rPr>
          <w:rStyle w:val="FootnoteCharacters"/>
          <w:rFonts w:cs="Calibri"/>
        </w:rPr>
        <w:t xml:space="preserve"> </w:t>
      </w:r>
      <w:r>
        <w:rPr/>
        <w:t>and</w:t>
      </w:r>
    </w:p>
    <w:p>
      <w:pPr>
        <w:pStyle w:val="ListParagraph"/>
        <w:numPr>
          <w:ilvl w:val="0"/>
          <w:numId w:val="368"/>
        </w:numPr>
        <w:rPr/>
      </w:pPr>
      <w:r>
        <w:rPr/>
        <w:t>Requiring documented approval by authorized parties specifying required privileges.</w:t>
      </w:r>
      <w:r>
        <w:rPr>
          <w:rStyle w:val="FootnoteCharacters"/>
          <w:rFonts w:cs="Calibri"/>
        </w:rPr>
        <w:t xml:space="preserve"> </w:t>
      </w:r>
    </w:p>
    <w:p>
      <w:pPr>
        <w:pStyle w:val="Normal"/>
        <w:rPr/>
      </w:pPr>
      <w:r>
        <w:rPr/>
      </w:r>
    </w:p>
    <w:p>
      <w:pPr>
        <w:pStyle w:val="Normal"/>
        <w:rPr/>
      </w:pPr>
      <w:r>
        <w:rPr>
          <w:u w:val="single"/>
        </w:rPr>
        <w:t>Guidelines</w:t>
      </w:r>
      <w:r>
        <w:rPr/>
        <w:t xml:space="preserve">: The implementation of an automated access control system can be a combination of technology, since all modern computers, payment application and Point of Sale (POS) software already have built-in systems for user accounts and privilege controls. Microsoft’s PCI DSS Compliance Planning Guide should be referenced for using Active Directory as an automated access control system for Windows-based POS management. </w:t>
      </w:r>
      <w:r>
        <w:rPr>
          <w:rStyle w:val="FootnoteAnchor"/>
          <w:rStyle w:val="FootnoteAnchor"/>
          <w:rFonts w:cs="Calibri"/>
        </w:rPr>
        <w:footnoteReference w:id="343"/>
      </w:r>
    </w:p>
    <w:p>
      <w:pPr>
        <w:pStyle w:val="Normal"/>
        <w:rPr/>
      </w:pPr>
      <w:r>
        <w:rPr/>
      </w:r>
    </w:p>
    <w:p>
      <w:pPr>
        <w:pStyle w:val="Heading3"/>
        <w:rPr/>
      </w:pPr>
      <w:bookmarkStart w:id="1095" w:name="_Toc474075052"/>
      <w:bookmarkStart w:id="1096" w:name="_Toc34920944"/>
      <w:r>
        <w:rPr/>
        <w:t>IAC-20(b): Access Enforcement | Database Access</w:t>
      </w:r>
      <w:bookmarkEnd w:id="1095"/>
      <w:bookmarkEnd w:id="1096"/>
    </w:p>
    <w:p>
      <w:pPr>
        <w:pStyle w:val="Normal"/>
        <w:rPr/>
      </w:pPr>
      <w:r>
        <w:rPr>
          <w:u w:val="single"/>
        </w:rPr>
        <w:t>Control Objective</w:t>
      </w:r>
      <w:r>
        <w:rPr/>
        <w:t>: The organization ensures that access to any database containing sensitive data (including access by applications, administrators and all other users) is restricted.</w:t>
      </w:r>
      <w:r>
        <w:rPr>
          <w:rStyle w:val="FootnoteCharacters"/>
          <w:rFonts w:cs="Calibri"/>
        </w:rPr>
        <w:t xml:space="preserve"> </w:t>
      </w:r>
    </w:p>
    <w:p>
      <w:pPr>
        <w:pStyle w:val="Normal"/>
        <w:rPr/>
      </w:pPr>
      <w:r>
        <w:rPr/>
      </w:r>
    </w:p>
    <w:p>
      <w:pPr>
        <w:pStyle w:val="Normal"/>
        <w:rPr/>
      </w:pPr>
      <w:r>
        <w:rPr>
          <w:u w:val="single"/>
        </w:rPr>
        <w:t>Standard</w:t>
      </w:r>
      <w:r>
        <w:rPr/>
        <w:t>: Asset custodians are required to restrict all access to any database containing sensitive data (including access by applications, administrators and all other users), as follows:</w:t>
      </w:r>
      <w:r>
        <w:rPr>
          <w:rStyle w:val="FootnoteCharacters"/>
          <w:rFonts w:cs="Calibri"/>
        </w:rPr>
        <w:t xml:space="preserve"> </w:t>
      </w:r>
    </w:p>
    <w:p>
      <w:pPr>
        <w:pStyle w:val="ListParagraph"/>
        <w:numPr>
          <w:ilvl w:val="0"/>
          <w:numId w:val="369"/>
        </w:numPr>
        <w:rPr/>
      </w:pPr>
      <w:r>
        <w:rPr/>
        <w:t>All user access to, user queries of and user actions on databases must be through programmatic methods;</w:t>
      </w:r>
    </w:p>
    <w:p>
      <w:pPr>
        <w:pStyle w:val="ListParagraph"/>
        <w:numPr>
          <w:ilvl w:val="0"/>
          <w:numId w:val="369"/>
        </w:numPr>
        <w:rPr/>
      </w:pPr>
      <w:r>
        <w:rPr/>
        <w:t>Only database administrators are allowed the ability to directly access or query databases; and</w:t>
      </w:r>
    </w:p>
    <w:p>
      <w:pPr>
        <w:pStyle w:val="ListParagraph"/>
        <w:numPr>
          <w:ilvl w:val="0"/>
          <w:numId w:val="369"/>
        </w:numPr>
        <w:rPr/>
      </w:pPr>
      <w:r>
        <w:rPr/>
        <w:t>Application IDs for database applications may only be used by the applications (not by individual users or other non-application processes).</w:t>
      </w:r>
    </w:p>
    <w:p>
      <w:pPr>
        <w:pStyle w:val="Normal"/>
        <w:rPr/>
      </w:pPr>
      <w:r>
        <w:rPr/>
      </w:r>
    </w:p>
    <w:p>
      <w:pPr>
        <w:pStyle w:val="Normal"/>
        <w:rPr/>
      </w:pPr>
      <w:r>
        <w:rPr>
          <w:u w:val="single"/>
        </w:rPr>
        <w:t>Guidelines</w:t>
      </w:r>
      <w:r>
        <w:rPr/>
        <w:t>: Without user authentication for access to databases and applications, the potential for unauthorized or malicious access increases and such access cannot be logged since the user has not been authenticated and is therefore not known to the system. Also, database access should be granted through programmatic methods only (for example, through stored procedures), rather than via direct access to the database by end users (except for DBAs, who may need direct access to the database for their administrative duties).</w:t>
      </w:r>
    </w:p>
    <w:p>
      <w:pPr>
        <w:pStyle w:val="Normal"/>
        <w:rPr/>
      </w:pPr>
      <w:r>
        <w:rPr/>
      </w:r>
    </w:p>
    <w:p>
      <w:pPr>
        <w:pStyle w:val="Heading3"/>
        <w:rPr/>
      </w:pPr>
      <w:bookmarkStart w:id="1097" w:name="_Toc474075053"/>
      <w:bookmarkStart w:id="1098" w:name="_Toc34920945"/>
      <w:r>
        <w:rPr/>
        <w:t>IAC-20(c): Access Enforcement | Use of Privileged Utility Programs</w:t>
      </w:r>
      <w:bookmarkEnd w:id="1097"/>
      <w:bookmarkEnd w:id="1098"/>
      <w:r>
        <w:rPr/>
        <w:t xml:space="preserve"> </w:t>
      </w:r>
    </w:p>
    <w:p>
      <w:pPr>
        <w:pStyle w:val="Normal"/>
        <w:rPr/>
      </w:pPr>
      <w:r>
        <w:rPr>
          <w:u w:val="single"/>
        </w:rPr>
        <w:t>Control Objective</w:t>
      </w:r>
      <w:r>
        <w:rPr/>
        <w:t>: The use of utility programs that are capable of overriding system and application controls are restricted and tightly controlled.</w:t>
      </w:r>
      <w:r>
        <w:rPr>
          <w:rStyle w:val="FootnoteCharacters"/>
          <w:rFonts w:cs="Calibri"/>
        </w:rPr>
        <w:t xml:space="preserve"> </w:t>
      </w:r>
      <w:r>
        <w:rPr>
          <w:rStyle w:val="FootnoteAnchor"/>
          <w:rStyle w:val="FootnoteAnchor"/>
          <w:rFonts w:cs="Calibri"/>
        </w:rPr>
        <w:footnoteReference w:id="344"/>
      </w:r>
    </w:p>
    <w:p>
      <w:pPr>
        <w:pStyle w:val="Normal"/>
        <w:rPr/>
      </w:pPr>
      <w:r>
        <w:rPr/>
      </w:r>
    </w:p>
    <w:p>
      <w:pPr>
        <w:pStyle w:val="Normal"/>
        <w:rPr/>
      </w:pPr>
      <w:r>
        <w:rPr>
          <w:u w:val="single"/>
        </w:rPr>
        <w:t>Standard</w:t>
      </w:r>
      <w:r>
        <w:rPr/>
        <w:t>: NFCC is required to limit access to systems and sensitive data to only those individuals whose job requires such access.</w:t>
      </w:r>
    </w:p>
    <w:p>
      <w:pPr>
        <w:pStyle w:val="Normal"/>
        <w:rPr/>
      </w:pPr>
      <w:r>
        <w:rPr/>
      </w:r>
    </w:p>
    <w:p>
      <w:pPr>
        <w:pStyle w:val="Normal"/>
        <w:rPr/>
      </w:pPr>
      <w:r>
        <w:rPr>
          <w:u w:val="single"/>
        </w:rPr>
        <w:t>Guidelines</w:t>
      </w:r>
      <w:r>
        <w:rPr/>
        <w:t>: Access limitations should include the following:</w:t>
      </w:r>
    </w:p>
    <w:p>
      <w:pPr>
        <w:pStyle w:val="ListParagraph"/>
        <w:numPr>
          <w:ilvl w:val="0"/>
          <w:numId w:val="78"/>
        </w:numPr>
        <w:rPr/>
      </w:pPr>
      <w:r>
        <w:rPr/>
        <w:t>Restriction of access rights to privileged user IDs to least privileges necessary to perform job responsibilities;</w:t>
      </w:r>
    </w:p>
    <w:p>
      <w:pPr>
        <w:pStyle w:val="ListParagraph"/>
        <w:numPr>
          <w:ilvl w:val="0"/>
          <w:numId w:val="78"/>
        </w:numPr>
        <w:rPr/>
      </w:pPr>
      <w:r>
        <w:rPr/>
        <w:t>Assignment of privileges is based on individual personnel’s job classification and function;</w:t>
      </w:r>
    </w:p>
    <w:p>
      <w:pPr>
        <w:pStyle w:val="ListParagraph"/>
        <w:numPr>
          <w:ilvl w:val="0"/>
          <w:numId w:val="78"/>
        </w:numPr>
        <w:rPr/>
      </w:pPr>
      <w:r>
        <w:rPr/>
        <w:t>Requirement for a documented approval by authorized parties specifying required privileges; and</w:t>
      </w:r>
    </w:p>
    <w:p>
      <w:pPr>
        <w:pStyle w:val="ListParagraph"/>
        <w:numPr>
          <w:ilvl w:val="0"/>
          <w:numId w:val="78"/>
        </w:numPr>
        <w:rPr/>
      </w:pPr>
      <w:r>
        <w:rPr/>
        <w:t>Implementation of an automated access control system.</w:t>
      </w:r>
    </w:p>
    <w:p>
      <w:pPr>
        <w:pStyle w:val="Normal"/>
        <w:rPr/>
      </w:pPr>
      <w:r>
        <w:rPr/>
      </w:r>
    </w:p>
    <w:p>
      <w:pPr>
        <w:pStyle w:val="Heading3"/>
        <w:rPr/>
      </w:pPr>
      <w:bookmarkStart w:id="1099" w:name="_Toc34920946"/>
      <w:bookmarkStart w:id="1100" w:name="_Toc474075054"/>
      <w:r>
        <w:rPr/>
        <w:t xml:space="preserve">IAC-20(d): Access Enforcement | </w:t>
      </w:r>
      <w:bookmarkEnd w:id="1100"/>
      <w:r>
        <w:rPr/>
        <w:t>Dedicated Administrative Machines</w:t>
      </w:r>
      <w:bookmarkEnd w:id="1099"/>
    </w:p>
    <w:p>
      <w:pPr>
        <w:pStyle w:val="Normal"/>
        <w:rPr/>
      </w:pPr>
      <w:r>
        <w:rPr>
          <w:u w:val="single"/>
        </w:rPr>
        <w:t>Control Objective</w:t>
      </w:r>
      <w:r>
        <w:rPr/>
        <w:t>: The organization requires privileged users to use a dedicated machine for all administrative tasks or tasks requiring elevated access.</w:t>
      </w:r>
    </w:p>
    <w:p>
      <w:pPr>
        <w:pStyle w:val="Normal"/>
        <w:rPr/>
      </w:pPr>
      <w:r>
        <w:rPr/>
      </w:r>
    </w:p>
    <w:p>
      <w:pPr>
        <w:pStyle w:val="Normal"/>
        <w:rPr/>
      </w:pPr>
      <w:r>
        <w:rPr>
          <w:u w:val="single"/>
        </w:rPr>
        <w:t>Standard</w:t>
      </w:r>
      <w:r>
        <w:rPr/>
        <w:t>: Administrators shall use a dedicated machine (e.g., jump host) for all administrative tasks or tasks requiring elevated access. This machine shall be:</w:t>
      </w:r>
    </w:p>
    <w:p>
      <w:pPr>
        <w:pStyle w:val="ListParagraph"/>
        <w:numPr>
          <w:ilvl w:val="0"/>
          <w:numId w:val="370"/>
        </w:numPr>
        <w:rPr/>
      </w:pPr>
      <w:r>
        <w:rPr/>
        <w:t xml:space="preserve">Isolated from NFCC’s primary network; and </w:t>
      </w:r>
    </w:p>
    <w:p>
      <w:pPr>
        <w:pStyle w:val="ListParagraph"/>
        <w:numPr>
          <w:ilvl w:val="0"/>
          <w:numId w:val="370"/>
        </w:numPr>
        <w:rPr/>
      </w:pPr>
      <w:r>
        <w:rPr/>
        <w:t>Prohibited from reading e-mail, composing documents or surfing the Internet.</w:t>
      </w:r>
    </w:p>
    <w:p>
      <w:pPr>
        <w:pStyle w:val="Normal"/>
        <w:rPr/>
      </w:pPr>
      <w:r>
        <w:rPr/>
      </w:r>
    </w:p>
    <w:p>
      <w:pPr>
        <w:pStyle w:val="Normal"/>
        <w:rPr/>
      </w:pPr>
      <w:r>
        <w:rPr>
          <w:u w:val="single"/>
        </w:rPr>
        <w:t>Guidelines</w:t>
      </w:r>
      <w:r>
        <w:rPr/>
        <w:t>: A dedicated administrative machine may be a “jump host” that the privileged user connects to via Remote Desktop Connection (RDP).</w:t>
      </w:r>
    </w:p>
    <w:p>
      <w:pPr>
        <w:pStyle w:val="Normal"/>
        <w:rPr/>
      </w:pPr>
      <w:r>
        <w:rPr/>
      </w:r>
    </w:p>
    <w:p>
      <w:pPr>
        <w:pStyle w:val="Heading3"/>
        <w:rPr/>
      </w:pPr>
      <w:bookmarkStart w:id="1101" w:name="_Toc34920947"/>
      <w:bookmarkStart w:id="1102" w:name="_Toc23241909"/>
      <w:r>
        <w:rPr/>
        <w:t>IAC-20(e): Access Enforcement | Dual Authorization</w:t>
      </w:r>
      <w:bookmarkEnd w:id="1102"/>
      <w:r>
        <w:rPr/>
        <w:t xml:space="preserve"> for Privileged Commands</w:t>
      </w:r>
      <w:bookmarkEnd w:id="1101"/>
      <w:r>
        <w:rPr/>
        <w:t xml:space="preserve"> </w:t>
      </w:r>
    </w:p>
    <w:p>
      <w:pPr>
        <w:pStyle w:val="Normal"/>
        <w:rPr>
          <w:rFonts w:cs="Calibri"/>
        </w:rPr>
      </w:pPr>
      <w:r>
        <w:rPr>
          <w:rFonts w:cs="Calibri"/>
          <w:u w:val="single"/>
        </w:rPr>
        <w:t>Control Objective</w:t>
      </w:r>
      <w:r>
        <w:rPr>
          <w:rFonts w:cs="Calibri"/>
        </w:rPr>
        <w:t>: The information system enforces dual authorization for organization-defined privileged commands and/or other organization-defined actions.</w:t>
      </w:r>
      <w:r>
        <w:rPr>
          <w:rStyle w:val="FootnoteCharacters"/>
          <w:rFonts w:cs="Calibri"/>
          <w:bCs w:val="false"/>
        </w:rPr>
        <w:t xml:space="preserve"> </w:t>
      </w:r>
      <w:r>
        <w:rPr>
          <w:rStyle w:val="FootnoteAnchor"/>
          <w:rStyle w:val="FootnoteAnchor"/>
          <w:rFonts w:cs="Calibri"/>
          <w:bCs w:val="false"/>
        </w:rPr>
        <w:footnoteReference w:id="345"/>
      </w:r>
    </w:p>
    <w:p>
      <w:pPr>
        <w:pStyle w:val="Normal"/>
        <w:rPr>
          <w:rFonts w:cs="Calibri"/>
        </w:rPr>
      </w:pPr>
      <w:r>
        <w:rPr>
          <w:rFonts w:cs="Calibri"/>
        </w:rPr>
      </w:r>
    </w:p>
    <w:p>
      <w:pPr>
        <w:pStyle w:val="Normal"/>
        <w:rPr>
          <w:rFonts w:cs="Calibri"/>
        </w:rPr>
      </w:pPr>
      <w:r>
        <w:rPr>
          <w:rFonts w:cs="Calibri"/>
          <w:u w:val="single"/>
        </w:rPr>
        <w:t>Standard</w:t>
      </w:r>
      <w:r>
        <w:rPr>
          <w:rFonts w:cs="Calibri"/>
        </w:rPr>
        <w:t xml:space="preserve">: Where technically feasible and justified by a valid business case, </w:t>
      </w:r>
      <w:r>
        <w:rPr>
          <w:rFonts w:cs="Calibri"/>
          <w:bCs w:val="false"/>
        </w:rPr>
        <w:t>NFCC’s cybersecurity personnel shall implement mechanisms that will allow for d</w:t>
      </w:r>
      <w:r>
        <w:rPr>
          <w:rFonts w:cs="Calibri"/>
        </w:rPr>
        <w:t>ual authorization to be enforced through:</w:t>
      </w:r>
    </w:p>
    <w:p>
      <w:pPr>
        <w:pStyle w:val="ListParagraph"/>
        <w:numPr>
          <w:ilvl w:val="0"/>
          <w:numId w:val="618"/>
        </w:numPr>
        <w:rPr>
          <w:rFonts w:cs="Calibri"/>
        </w:rPr>
      </w:pPr>
      <w:r>
        <w:rPr>
          <w:rFonts w:cs="Calibri"/>
        </w:rPr>
        <w:t>Technical means that to prevent the execution of privileged commands on critical NFCC technology assets; or</w:t>
      </w:r>
    </w:p>
    <w:p>
      <w:pPr>
        <w:pStyle w:val="ListParagraph"/>
        <w:numPr>
          <w:ilvl w:val="0"/>
          <w:numId w:val="618"/>
        </w:numPr>
        <w:rPr>
          <w:rFonts w:cs="Calibri"/>
        </w:rPr>
      </w:pPr>
      <w:r>
        <w:rPr>
          <w:rFonts w:cs="Calibri"/>
        </w:rPr>
        <w:t>Administrative means, where the prevention of commands is prohibited without first undergoing appropriate change control review and approval processes that include more than just one reviewer/approver.</w:t>
      </w:r>
    </w:p>
    <w:p>
      <w:pPr>
        <w:pStyle w:val="Normal"/>
        <w:rPr>
          <w:rFonts w:cs="Calibri"/>
        </w:rPr>
      </w:pPr>
      <w:r>
        <w:rPr>
          <w:rFonts w:cs="Calibri"/>
        </w:rPr>
      </w:r>
    </w:p>
    <w:p>
      <w:pPr>
        <w:pStyle w:val="Normal"/>
        <w:rPr>
          <w:rFonts w:cs="Calibri"/>
        </w:rPr>
      </w:pPr>
      <w:r>
        <w:rPr>
          <w:rFonts w:cs="Calibri"/>
          <w:u w:val="single"/>
        </w:rPr>
        <w:t>Guidelines</w:t>
      </w:r>
      <w:r>
        <w:rPr>
          <w:rFonts w:cs="Calibri"/>
        </w:rPr>
        <w:t>: Dual authorization mechanisms require the approval of two authorized individuals in order to execute. Organizations do not require dual authorization mechanisms when immediate responses are necessary to ensure public and environmental safety. Dual authorization may also be known as two-person control.</w:t>
      </w:r>
      <w:bookmarkStart w:id="1103" w:name="_Hlk27579707"/>
      <w:bookmarkEnd w:id="1103"/>
    </w:p>
    <w:p>
      <w:pPr>
        <w:pStyle w:val="Normal"/>
        <w:rPr/>
      </w:pPr>
      <w:r>
        <w:rPr/>
      </w:r>
    </w:p>
    <w:p>
      <w:pPr>
        <w:pStyle w:val="Normal"/>
        <w:rPr/>
      </w:pPr>
      <w:r>
        <w:rPr/>
      </w:r>
    </w:p>
    <w:p>
      <w:pPr>
        <w:pStyle w:val="Heading2"/>
        <w:rPr/>
      </w:pPr>
      <w:bookmarkStart w:id="1104" w:name="_Toc474075055"/>
      <w:bookmarkStart w:id="1105" w:name="_Toc474075656"/>
      <w:bookmarkStart w:id="1106" w:name="_Toc34920948"/>
      <w:r>
        <w:rPr/>
        <w:t>IAC-21: Least Privilege</w:t>
      </w:r>
      <w:bookmarkEnd w:id="1104"/>
      <w:bookmarkEnd w:id="1105"/>
      <w:bookmarkEnd w:id="1106"/>
    </w:p>
    <w:p>
      <w:pPr>
        <w:pStyle w:val="Normal"/>
        <w:rPr/>
      </w:pPr>
      <w:r>
        <w:rPr>
          <w:u w:val="single"/>
        </w:rPr>
        <w:t>Control Objective</w:t>
      </w:r>
      <w:r>
        <w:rPr/>
        <w:t>: The organization employs the concept of least privilege, allowing only authorized accesses for users and processes which are necessary to accomplish assigned tasks in accordance with organizational business functions.</w:t>
      </w:r>
      <w:r>
        <w:rPr>
          <w:rStyle w:val="FootnoteCharacters"/>
          <w:rFonts w:cs="Calibri"/>
          <w:bCs w:val="false"/>
        </w:rPr>
        <w:t xml:space="preserve"> </w:t>
      </w:r>
      <w:r>
        <w:rPr>
          <w:rStyle w:val="FootnoteAnchor"/>
          <w:rStyle w:val="FootnoteAnchor"/>
          <w:rFonts w:cs="Calibri"/>
        </w:rPr>
        <w:footnoteReference w:id="346"/>
      </w:r>
    </w:p>
    <w:p>
      <w:pPr>
        <w:pStyle w:val="Normal"/>
        <w:rPr/>
      </w:pPr>
      <w:r>
        <w:rPr/>
      </w:r>
    </w:p>
    <w:p>
      <w:pPr>
        <w:pStyle w:val="Normal"/>
        <w:rPr/>
      </w:pPr>
      <w:r>
        <w:rPr>
          <w:u w:val="single"/>
        </w:rPr>
        <w:t>Standard</w:t>
      </w:r>
      <w:r>
        <w:rPr/>
        <w:t>: NFCC follows the “principle of least privilege,”</w:t>
      </w:r>
      <w:r>
        <w:rPr>
          <w:rStyle w:val="FootnoteAnchor"/>
          <w:rStyle w:val="FootnoteAnchor"/>
          <w:rFonts w:cs="Calibri"/>
        </w:rPr>
        <w:footnoteReference w:id="347"/>
      </w:r>
      <w:r>
        <w:rPr/>
        <w:t xml:space="preserve"> which states that only the minimum access and functionality necessary to perform an operation should be granted and only for the minimum amount of time necessary. Asset custodians are required to grant access only for the minimum:</w:t>
      </w:r>
      <w:r>
        <w:rPr>
          <w:rStyle w:val="FootnoteCharacters"/>
          <w:rFonts w:cs="Calibri"/>
        </w:rPr>
        <w:t xml:space="preserve"> </w:t>
      </w:r>
    </w:p>
    <w:p>
      <w:pPr>
        <w:pStyle w:val="ListParagraph"/>
        <w:numPr>
          <w:ilvl w:val="0"/>
          <w:numId w:val="371"/>
        </w:numPr>
        <w:rPr/>
      </w:pPr>
      <w:r>
        <w:rPr/>
        <w:t>Levels of permissions necessary to perform the job function; and</w:t>
      </w:r>
    </w:p>
    <w:p>
      <w:pPr>
        <w:pStyle w:val="ListParagraph"/>
        <w:numPr>
          <w:ilvl w:val="0"/>
          <w:numId w:val="371"/>
        </w:numPr>
        <w:rPr/>
      </w:pPr>
      <w:r>
        <w:rPr/>
        <w:t>Time required.</w:t>
      </w:r>
    </w:p>
    <w:p>
      <w:pPr>
        <w:pStyle w:val="Normal"/>
        <w:rPr/>
      </w:pPr>
      <w:r>
        <w:rPr/>
      </w:r>
    </w:p>
    <w:p>
      <w:pPr>
        <w:pStyle w:val="Normal"/>
        <w:rPr/>
      </w:pPr>
      <w:r>
        <w:rPr>
          <w:u w:val="single"/>
        </w:rPr>
        <w:t>Guidelines</w:t>
      </w:r>
      <w:r>
        <w:rPr/>
        <w:t>: NFCC employs the concept of least privilege for specific duties and systems (including specific functions, ports, protocols and services). The concept of least privilege is also applied to system processes, ensuring that the processes operate at privilege levels no higher than necessary to accomplish required organizational missions and / or functions. NFCC considers the creation of additional processes, roles and system accounts as necessary to achieve least privilege. NFCC also applies least privilege concepts to the design, development, implementation and operations of systems.</w:t>
      </w:r>
    </w:p>
    <w:p>
      <w:pPr>
        <w:pStyle w:val="Normal"/>
        <w:rPr/>
      </w:pPr>
      <w:r>
        <w:rPr/>
      </w:r>
    </w:p>
    <w:p>
      <w:pPr>
        <w:pStyle w:val="Heading3"/>
        <w:rPr/>
      </w:pPr>
      <w:bookmarkStart w:id="1107" w:name="_Toc474075056"/>
      <w:bookmarkStart w:id="1108" w:name="_Toc34920949"/>
      <w:r>
        <w:rPr/>
        <w:t>IAC-21(a): Least Privilege | Authorize Access to Security Functions</w:t>
      </w:r>
      <w:bookmarkEnd w:id="1107"/>
      <w:bookmarkEnd w:id="1108"/>
      <w:r>
        <w:rPr/>
        <w:t xml:space="preserve"> </w:t>
      </w:r>
    </w:p>
    <w:p>
      <w:pPr>
        <w:pStyle w:val="Normal"/>
        <w:rPr/>
      </w:pPr>
      <w:r>
        <w:rPr>
          <w:u w:val="single"/>
        </w:rPr>
        <w:t>Control Objective</w:t>
      </w:r>
      <w:r>
        <w:rPr/>
        <w:t>: The organization explicitly authorizes access to organization-defined security functions (deployed in hardware, software and firmware) and security-relevant information.</w:t>
      </w:r>
      <w:r>
        <w:rPr>
          <w:rStyle w:val="FootnoteAnchor"/>
          <w:rStyle w:val="FootnoteAnchor"/>
          <w:rFonts w:cs="Calibri"/>
          <w:bCs w:val="false"/>
        </w:rPr>
        <w:footnoteReference w:id="348"/>
      </w:r>
    </w:p>
    <w:p>
      <w:pPr>
        <w:pStyle w:val="Normal"/>
        <w:rPr/>
      </w:pPr>
      <w:r>
        <w:rPr/>
      </w:r>
    </w:p>
    <w:p>
      <w:pPr>
        <w:pStyle w:val="Normal"/>
        <w:rPr/>
      </w:pPr>
      <w:r>
        <w:rPr>
          <w:u w:val="single"/>
        </w:rPr>
        <w:t>Standard</w:t>
      </w:r>
      <w:r>
        <w:rPr/>
        <w:t xml:space="preserve">: Only explicitly-authorized personnel are permitted to have access to security functions and security-related information. </w:t>
      </w:r>
    </w:p>
    <w:p>
      <w:pPr>
        <w:pStyle w:val="Normal"/>
        <w:rPr/>
      </w:pPr>
      <w:r>
        <w:rPr/>
      </w:r>
    </w:p>
    <w:p>
      <w:pPr>
        <w:pStyle w:val="Normal"/>
        <w:rPr/>
      </w:pPr>
      <w:r>
        <w:rPr>
          <w:u w:val="single"/>
        </w:rPr>
        <w:t>Guidelines</w:t>
      </w:r>
      <w:r>
        <w:rPr/>
        <w:t>: Security functions include, for example, establishing system accounts, configuring access authorizations (e.g., permissions, privileges), setting events to be audited and setting intrusion detection parameters. Security-relevant information includes, for example, filtering rules for routers / firewalls, cryptographic key management information, configuration parameters for security services and access control lists. Explicitly authorized personnel include, for example, security administrators, system and network administrators, system security officers, system maintenance personnel, system programmers and other privileged users.</w:t>
      </w:r>
    </w:p>
    <w:p>
      <w:pPr>
        <w:pStyle w:val="Normal"/>
        <w:rPr/>
      </w:pPr>
      <w:r>
        <w:rPr/>
      </w:r>
    </w:p>
    <w:p>
      <w:pPr>
        <w:pStyle w:val="Heading3"/>
        <w:rPr/>
      </w:pPr>
      <w:bookmarkStart w:id="1109" w:name="_Toc474075057"/>
      <w:bookmarkStart w:id="1110" w:name="_Toc34920950"/>
      <w:r>
        <w:rPr/>
        <w:t>IAC-21(b): Least Privilege | Non-Privileged Access for Non-Security Functions</w:t>
      </w:r>
      <w:bookmarkEnd w:id="1109"/>
      <w:bookmarkEnd w:id="1110"/>
      <w:r>
        <w:rPr/>
        <w:t xml:space="preserve"> </w:t>
      </w:r>
    </w:p>
    <w:p>
      <w:pPr>
        <w:pStyle w:val="Normal"/>
        <w:rPr/>
      </w:pPr>
      <w:r>
        <w:rPr>
          <w:u w:val="single"/>
        </w:rPr>
        <w:t>Control Objective</w:t>
      </w:r>
      <w:r>
        <w:rPr/>
        <w:t>: The organization requires that users of system accounts or roles, with access to organization-defined security functions or security-relevant information, use non-privileged accounts or roles, when accessing non-security functions.</w:t>
      </w:r>
      <w:r>
        <w:rPr>
          <w:rStyle w:val="FootnoteAnchor"/>
          <w:rStyle w:val="FootnoteAnchor"/>
          <w:rFonts w:cs="Calibri"/>
          <w:bCs w:val="false"/>
        </w:rPr>
        <w:footnoteReference w:id="349"/>
      </w:r>
    </w:p>
    <w:p>
      <w:pPr>
        <w:pStyle w:val="Normal"/>
        <w:rPr/>
      </w:pPr>
      <w:r>
        <w:rPr/>
      </w:r>
    </w:p>
    <w:p>
      <w:pPr>
        <w:pStyle w:val="Normal"/>
        <w:rPr/>
      </w:pPr>
      <w:r>
        <w:rPr>
          <w:u w:val="single"/>
        </w:rPr>
        <w:t>Standard</w:t>
      </w:r>
      <w:r>
        <w:rPr/>
        <w:t>: Users must use accounts with the least privileges necessary to perform their job functions and are therefore prohibited from using privileged accounts to perform non-privileged functions.</w:t>
      </w:r>
    </w:p>
    <w:p>
      <w:pPr>
        <w:pStyle w:val="Normal"/>
        <w:rPr/>
      </w:pPr>
      <w:r>
        <w:rPr/>
      </w:r>
    </w:p>
    <w:p>
      <w:pPr>
        <w:pStyle w:val="Normal"/>
        <w:rPr/>
      </w:pPr>
      <w:r>
        <w:rPr>
          <w:u w:val="single"/>
        </w:rPr>
        <w:t>Guidelines</w:t>
      </w:r>
      <w:r>
        <w:rPr/>
        <w:t>: This standard limits exposure when operating from within privileged accounts or roles. The inclusion of roles addresses situations where organizations implement access control policies such as role-based access control and where a change of role provides the same degree of assurance in the change of access authorizations for both the user and all processes acting on behalf of the user as would be provided by a change between a privileged and non-privileged account.</w:t>
      </w:r>
    </w:p>
    <w:p>
      <w:pPr>
        <w:pStyle w:val="Normal"/>
        <w:rPr/>
      </w:pPr>
      <w:r>
        <w:rPr/>
      </w:r>
    </w:p>
    <w:p>
      <w:pPr>
        <w:pStyle w:val="Heading3"/>
        <w:rPr/>
      </w:pPr>
      <w:bookmarkStart w:id="1111" w:name="_Toc474075058"/>
      <w:bookmarkStart w:id="1112" w:name="_Toc34920951"/>
      <w:r>
        <w:rPr/>
        <w:t>IAC-21(c): Least Privilege | Privileged Accounts</w:t>
      </w:r>
      <w:bookmarkEnd w:id="1111"/>
      <w:bookmarkEnd w:id="1112"/>
      <w:r>
        <w:rPr/>
        <w:t xml:space="preserve"> </w:t>
      </w:r>
    </w:p>
    <w:p>
      <w:pPr>
        <w:pStyle w:val="Normal"/>
        <w:rPr/>
      </w:pPr>
      <w:r>
        <w:rPr>
          <w:u w:val="single"/>
        </w:rPr>
        <w:t>Control Objective</w:t>
      </w:r>
      <w:r>
        <w:rPr/>
        <w:t>: The organization restricts privileged accounts to organization-defined personnel or roles.</w:t>
      </w:r>
      <w:r>
        <w:rPr>
          <w:rStyle w:val="FootnoteAnchor"/>
          <w:rStyle w:val="FootnoteAnchor"/>
          <w:rFonts w:cs="Calibri"/>
          <w:bCs w:val="false"/>
        </w:rPr>
        <w:footnoteReference w:id="350"/>
      </w:r>
    </w:p>
    <w:p>
      <w:pPr>
        <w:pStyle w:val="Normal"/>
        <w:rPr/>
      </w:pPr>
      <w:r>
        <w:rPr/>
      </w:r>
    </w:p>
    <w:p>
      <w:pPr>
        <w:pStyle w:val="Normal"/>
        <w:rPr/>
      </w:pPr>
      <w:r>
        <w:rPr>
          <w:u w:val="single"/>
        </w:rPr>
        <w:t>Standard</w:t>
      </w:r>
      <w:r>
        <w:rPr/>
        <w:t>: Assignment of privileged accounts must be limited to users who have:</w:t>
      </w:r>
    </w:p>
    <w:p>
      <w:pPr>
        <w:pStyle w:val="ListParagraph"/>
        <w:numPr>
          <w:ilvl w:val="0"/>
          <w:numId w:val="372"/>
        </w:numPr>
        <w:rPr/>
      </w:pPr>
      <w:r>
        <w:rPr/>
        <w:t xml:space="preserve">A valid business justification; </w:t>
      </w:r>
    </w:p>
    <w:p>
      <w:pPr>
        <w:pStyle w:val="ListParagraph"/>
        <w:numPr>
          <w:ilvl w:val="0"/>
          <w:numId w:val="372"/>
        </w:numPr>
        <w:rPr/>
      </w:pPr>
      <w:r>
        <w:rPr/>
        <w:t>Received security awareness training commensurate with the level of risk from having privileged access; and</w:t>
      </w:r>
    </w:p>
    <w:p>
      <w:pPr>
        <w:pStyle w:val="ListParagraph"/>
        <w:numPr>
          <w:ilvl w:val="0"/>
          <w:numId w:val="372"/>
        </w:numPr>
        <w:rPr/>
      </w:pPr>
      <w:r>
        <w:rPr/>
        <w:t>Demonstrated technical competence specific to the environment where privileged access is being granted.</w:t>
      </w:r>
    </w:p>
    <w:p>
      <w:pPr>
        <w:pStyle w:val="ListParagraph"/>
        <w:rPr/>
      </w:pPr>
      <w:r>
        <w:rPr/>
        <w:t xml:space="preserve"> </w:t>
      </w:r>
    </w:p>
    <w:p>
      <w:pPr>
        <w:pStyle w:val="Normal"/>
        <w:rPr/>
      </w:pPr>
      <w:r>
        <w:rPr>
          <w:u w:val="single"/>
        </w:rPr>
        <w:t>Guidelines</w:t>
      </w:r>
      <w:r>
        <w:rPr/>
        <w:t>: Privileged accounts, including super user accounts, are typically described as system administrator for various types of commercial off-the-shelf operating systems. Restricting privileged accounts to specific personnel or roles prevents day-to-day users from having access to privileged information / functions. Organizations may differentiate in the application of this control enhancement between allowed privileges for local accounts and for domain accounts provided that organizations retain the ability to control information.</w:t>
      </w:r>
    </w:p>
    <w:p>
      <w:pPr>
        <w:pStyle w:val="Normal"/>
        <w:rPr/>
      </w:pPr>
      <w:r>
        <w:rPr/>
      </w:r>
    </w:p>
    <w:p>
      <w:pPr>
        <w:pStyle w:val="Normal"/>
        <w:rPr/>
      </w:pPr>
      <w:r>
        <w:rPr/>
        <w:t>Administrators should be required to access a system using a fully logged and non-administrative account. Then, once logged on to the machine without administrative privileges, the administrator should transition to administrative privileges using tools such as Sudo on Linux / UNIX, “run as” on Windows and other similar facilities for other types of systems.</w:t>
      </w:r>
    </w:p>
    <w:p>
      <w:pPr>
        <w:pStyle w:val="Normal"/>
        <w:rPr/>
      </w:pPr>
      <w:r>
        <w:rPr/>
      </w:r>
    </w:p>
    <w:p>
      <w:pPr>
        <w:pStyle w:val="Heading3"/>
        <w:rPr/>
      </w:pPr>
      <w:bookmarkStart w:id="1113" w:name="_Toc474075059"/>
      <w:bookmarkStart w:id="1114" w:name="_Toc34920952"/>
      <w:r>
        <w:rPr/>
        <w:t>IAC-21(d): Least Privilege | Auditing Use of Privileged Functions</w:t>
      </w:r>
      <w:bookmarkEnd w:id="1113"/>
      <w:bookmarkEnd w:id="1114"/>
      <w:r>
        <w:rPr/>
        <w:t xml:space="preserve"> </w:t>
      </w:r>
    </w:p>
    <w:p>
      <w:pPr>
        <w:pStyle w:val="Normal"/>
        <w:rPr/>
      </w:pPr>
      <w:r>
        <w:rPr>
          <w:u w:val="single"/>
        </w:rPr>
        <w:t>Control Objective</w:t>
      </w:r>
      <w:r>
        <w:rPr/>
        <w:t>: Systems audit the execution of privileged functions.</w:t>
      </w:r>
      <w:r>
        <w:rPr>
          <w:rStyle w:val="FootnoteCharacters"/>
          <w:rFonts w:cs="Calibri"/>
        </w:rPr>
        <w:t xml:space="preserve"> </w:t>
      </w:r>
      <w:r>
        <w:rPr>
          <w:rStyle w:val="FootnoteAnchor"/>
          <w:rStyle w:val="FootnoteAnchor"/>
          <w:rFonts w:cs="Calibri"/>
        </w:rPr>
        <w:footnoteReference w:id="351"/>
      </w:r>
    </w:p>
    <w:p>
      <w:pPr>
        <w:pStyle w:val="Normal"/>
        <w:rPr/>
      </w:pPr>
      <w:r>
        <w:rPr/>
      </w:r>
    </w:p>
    <w:p>
      <w:pPr>
        <w:pStyle w:val="Normal"/>
        <w:rPr/>
      </w:pPr>
      <w:r>
        <w:rPr>
          <w:u w:val="single"/>
        </w:rPr>
        <w:t>Standard</w:t>
      </w:r>
      <w:r>
        <w:rPr/>
        <w:t xml:space="preserve">: NFCC is required to establish a process for linking all access to systems, including administrative privileged accounts (e.g., root or administrator) to each individual user. </w:t>
      </w:r>
    </w:p>
    <w:p>
      <w:pPr>
        <w:pStyle w:val="Normal"/>
        <w:rPr/>
      </w:pPr>
      <w:r>
        <w:rPr/>
      </w:r>
    </w:p>
    <w:p>
      <w:pPr>
        <w:pStyle w:val="Normal"/>
        <w:rPr/>
      </w:pPr>
      <w:r>
        <w:rPr>
          <w:u w:val="single"/>
        </w:rPr>
        <w:t>Guidelines</w:t>
      </w:r>
      <w:r>
        <w:rPr/>
        <w:t>: Misuse of privileged functions, either intentionally or unintentionally by authorized users or by unauthorized external entities that have compromised system accounts, is a serious and ongoing concern and can have significant adverse impacts on organizations. Auditing the use of privileged functions is one way to detect such misuse and in doing so, help mitigate the risk from insider threats and Advanced Persistent Threats (APT).</w:t>
      </w:r>
    </w:p>
    <w:p>
      <w:pPr>
        <w:pStyle w:val="Normal"/>
        <w:rPr/>
      </w:pPr>
      <w:r>
        <w:rPr/>
      </w:r>
    </w:p>
    <w:p>
      <w:pPr>
        <w:pStyle w:val="Heading3"/>
        <w:rPr/>
      </w:pPr>
      <w:bookmarkStart w:id="1115" w:name="_Toc474075060"/>
      <w:bookmarkStart w:id="1116" w:name="_Toc34920953"/>
      <w:r>
        <w:rPr/>
        <w:t>IAC-21(e): Least Privilege | Prohibit Non-Privileged Users from Executing Privileged Functions</w:t>
      </w:r>
      <w:bookmarkEnd w:id="1115"/>
      <w:bookmarkEnd w:id="1116"/>
      <w:r>
        <w:rPr/>
        <w:t xml:space="preserve"> </w:t>
      </w:r>
    </w:p>
    <w:p>
      <w:pPr>
        <w:pStyle w:val="Normal"/>
        <w:rPr/>
      </w:pPr>
      <w:r>
        <w:rPr>
          <w:u w:val="single"/>
        </w:rPr>
        <w:t>Control Objective</w:t>
      </w:r>
      <w:r>
        <w:rPr/>
        <w:t>: Systems prevent non-privileged users from executing privileged functions to include disabling, circumventing or altering implemented security safeguards / countermeasures.</w:t>
      </w:r>
      <w:r>
        <w:rPr>
          <w:rStyle w:val="FootnoteAnchor"/>
          <w:rStyle w:val="FootnoteAnchor"/>
          <w:rFonts w:cs="Calibri"/>
          <w:bCs w:val="false"/>
        </w:rPr>
        <w:footnoteReference w:id="352"/>
      </w:r>
    </w:p>
    <w:p>
      <w:pPr>
        <w:pStyle w:val="Normal"/>
        <w:rPr/>
      </w:pPr>
      <w:r>
        <w:rPr/>
      </w:r>
    </w:p>
    <w:p>
      <w:pPr>
        <w:pStyle w:val="Normal"/>
        <w:rPr/>
      </w:pPr>
      <w:r>
        <w:rPr>
          <w:u w:val="single"/>
        </w:rPr>
        <w:t>Standard</w:t>
      </w:r>
      <w:r>
        <w:rPr/>
        <w:t>: Where technically feasible, systems must be configured to prevent non-privileged users from executing privileged functions to include disabling, circumventing or altering implemented security safeguards / countermeasures.</w:t>
      </w:r>
    </w:p>
    <w:p>
      <w:pPr>
        <w:pStyle w:val="Normal"/>
        <w:rPr/>
      </w:pPr>
      <w:r>
        <w:rPr/>
      </w:r>
    </w:p>
    <w:p>
      <w:pPr>
        <w:pStyle w:val="Normal"/>
        <w:rPr/>
      </w:pPr>
      <w:r>
        <w:rPr>
          <w:u w:val="single"/>
        </w:rPr>
        <w:t>Guidelines</w:t>
      </w:r>
      <w:r>
        <w:rPr/>
        <w:t>: Privileged functions include, for example, establishing system accounts, performing system integrity checks or administering cryptographic key management activities. Non-privileged users are individuals that do not possess appropriate authorizations. Circumventing intrusion detection and prevention mechanisms or malicious code protection mechanisms are examples of privileged functions that require protection from non-privileged users.</w:t>
      </w:r>
    </w:p>
    <w:p>
      <w:pPr>
        <w:pStyle w:val="Normal"/>
        <w:rPr/>
      </w:pPr>
      <w:r>
        <w:rPr/>
      </w:r>
    </w:p>
    <w:p>
      <w:pPr>
        <w:pStyle w:val="Heading3"/>
        <w:rPr/>
      </w:pPr>
      <w:bookmarkStart w:id="1117" w:name="_Toc34920954"/>
      <w:r>
        <w:rPr/>
        <w:t>IAC-21(f): Least Privilege | Network Access to Privileged Commands</w:t>
      </w:r>
      <w:bookmarkEnd w:id="1117"/>
      <w:r>
        <w:rPr/>
        <w:t xml:space="preserve"> </w:t>
      </w:r>
    </w:p>
    <w:p>
      <w:pPr>
        <w:pStyle w:val="Normal"/>
        <w:rPr/>
      </w:pPr>
      <w:r>
        <w:rPr>
          <w:rFonts w:cs="Calibri"/>
          <w:u w:val="single"/>
        </w:rPr>
        <w:t>Control Objective</w:t>
      </w:r>
      <w:r>
        <w:rPr>
          <w:rFonts w:cs="Calibri"/>
        </w:rPr>
        <w:t xml:space="preserve">: </w:t>
      </w:r>
      <w:r>
        <w:rPr/>
        <w:t>The organization authorizes network access to organization-defined privileged commands only for compelling operational needs and documents the rationale for such access in the security plan for the information system.</w:t>
      </w:r>
      <w:r>
        <w:rPr>
          <w:rStyle w:val="FootnoteCharacters"/>
          <w:rFonts w:cs="Calibri"/>
          <w:bCs w:val="false"/>
        </w:rPr>
        <w:t xml:space="preserve"> </w:t>
      </w:r>
      <w:r>
        <w:rPr>
          <w:rStyle w:val="FootnoteAnchor"/>
          <w:rStyle w:val="FootnoteAnchor"/>
          <w:rFonts w:cs="Calibri"/>
          <w:bCs w:val="false"/>
        </w:rPr>
        <w:footnoteReference w:id="353"/>
      </w:r>
    </w:p>
    <w:p>
      <w:pPr>
        <w:pStyle w:val="Normal"/>
        <w:rPr>
          <w:rFonts w:cs="Calibri"/>
        </w:rPr>
      </w:pPr>
      <w:r>
        <w:rPr>
          <w:rFonts w:cs="Calibri"/>
        </w:rPr>
      </w:r>
    </w:p>
    <w:p>
      <w:pPr>
        <w:pStyle w:val="Normal"/>
        <w:rPr/>
      </w:pPr>
      <w:r>
        <w:rPr>
          <w:rFonts w:cs="Calibri"/>
          <w:bCs w:val="false"/>
          <w:u w:val="single"/>
        </w:rPr>
        <w:t>Standard</w:t>
      </w:r>
      <w:r>
        <w:rPr>
          <w:rFonts w:cs="Calibri"/>
          <w:bCs w:val="false"/>
        </w:rPr>
        <w:t xml:space="preserve">: NFCC authorizes </w:t>
      </w:r>
      <w:r>
        <w:rPr/>
        <w:t>network access to privileged commands that affect critical systems and/or sensitive data:</w:t>
      </w:r>
    </w:p>
    <w:p>
      <w:pPr>
        <w:pStyle w:val="ListParagraph"/>
        <w:numPr>
          <w:ilvl w:val="0"/>
          <w:numId w:val="626"/>
        </w:numPr>
        <w:rPr/>
      </w:pPr>
      <w:r>
        <w:rPr/>
        <w:t xml:space="preserve">Only for compelling operational needs; and </w:t>
      </w:r>
    </w:p>
    <w:p>
      <w:pPr>
        <w:pStyle w:val="ListParagraph"/>
        <w:numPr>
          <w:ilvl w:val="0"/>
          <w:numId w:val="626"/>
        </w:numPr>
        <w:rPr/>
      </w:pPr>
      <w:r>
        <w:rPr/>
        <w:t xml:space="preserve">Data/process owners and asset custodians must document the rationale for such access in the System Security Plan (SSP) for the information system. </w:t>
      </w:r>
    </w:p>
    <w:p>
      <w:pPr>
        <w:pStyle w:val="Normal"/>
        <w:rPr>
          <w:rFonts w:cs="Calibri"/>
          <w:bCs w:val="false"/>
        </w:rPr>
      </w:pPr>
      <w:r>
        <w:rPr>
          <w:rFonts w:cs="Calibri"/>
          <w:bCs w:val="false"/>
        </w:rPr>
      </w:r>
    </w:p>
    <w:p>
      <w:pPr>
        <w:pStyle w:val="Normal"/>
        <w:rPr>
          <w:rFonts w:cs="Calibri"/>
        </w:rPr>
      </w:pPr>
      <w:r>
        <w:rPr>
          <w:rFonts w:cs="Calibri"/>
          <w:u w:val="single"/>
        </w:rPr>
        <w:t>Guidelines</w:t>
      </w:r>
      <w:r>
        <w:rPr>
          <w:rFonts w:cs="Calibri"/>
        </w:rPr>
        <w:t xml:space="preserve">: </w:t>
      </w:r>
      <w:r>
        <w:rPr/>
        <w:t>Network access is any access across a network connection in lieu of local access (e.g., user being physically present at the device).</w:t>
      </w:r>
    </w:p>
    <w:p>
      <w:pPr>
        <w:pStyle w:val="Normal"/>
        <w:rPr/>
      </w:pPr>
      <w:r>
        <w:rPr/>
      </w:r>
    </w:p>
    <w:p>
      <w:pPr>
        <w:pStyle w:val="Heading3"/>
        <w:rPr/>
      </w:pPr>
      <w:bookmarkStart w:id="1118" w:name="_Toc23241929"/>
      <w:bookmarkStart w:id="1119" w:name="_Toc34920955"/>
      <w:r>
        <w:rPr/>
        <w:t>IAC-21(g): Least Privilege | Privilege Levels for Code Execution</w:t>
      </w:r>
      <w:bookmarkEnd w:id="1118"/>
      <w:bookmarkEnd w:id="1119"/>
      <w:r>
        <w:rPr/>
        <w:t xml:space="preserve"> </w:t>
      </w:r>
    </w:p>
    <w:p>
      <w:pPr>
        <w:pStyle w:val="Normal"/>
        <w:rPr/>
      </w:pPr>
      <w:r>
        <w:rPr>
          <w:rFonts w:cs="Calibri"/>
          <w:u w:val="single"/>
        </w:rPr>
        <w:t>Control Objective</w:t>
      </w:r>
      <w:r>
        <w:rPr>
          <w:rFonts w:cs="Calibri"/>
        </w:rPr>
        <w:t>:</w:t>
      </w:r>
      <w:r>
        <w:rPr>
          <w:rFonts w:cs="Calibri"/>
          <w:bCs w:val="false"/>
        </w:rPr>
        <w:t xml:space="preserve"> </w:t>
      </w:r>
      <w:r>
        <w:rPr/>
        <w:t>The information system prevents organization-defined software from executing at higher privilege levels than users executing the software.</w:t>
      </w:r>
      <w:r>
        <w:rPr>
          <w:rStyle w:val="FootnoteAnchor"/>
          <w:rStyle w:val="FootnoteAnchor"/>
          <w:rFonts w:cs="Calibri"/>
          <w:bCs w:val="false"/>
        </w:rPr>
        <w:footnoteReference w:id="354"/>
      </w:r>
    </w:p>
    <w:p>
      <w:pPr>
        <w:pStyle w:val="Normal"/>
        <w:rPr/>
      </w:pPr>
      <w:r>
        <w:rPr/>
      </w:r>
    </w:p>
    <w:p>
      <w:pPr>
        <w:pStyle w:val="Normal"/>
        <w:rPr/>
      </w:pPr>
      <w:r>
        <w:rPr>
          <w:rFonts w:cs="Calibri"/>
          <w:u w:val="single"/>
        </w:rPr>
        <w:t>Standard</w:t>
      </w:r>
      <w:r>
        <w:rPr>
          <w:rFonts w:cs="Calibri"/>
        </w:rPr>
        <w:t>:</w:t>
      </w:r>
      <w:r>
        <w:rPr/>
        <w:t xml:space="preserve"> </w:t>
      </w:r>
      <w:r>
        <w:rPr>
          <w:rFonts w:cs="Calibri"/>
        </w:rPr>
        <w:t xml:space="preserve">Where technically feasible, information systems must be configured to </w:t>
      </w:r>
      <w:r>
        <w:rPr/>
        <w:t xml:space="preserve">prevent applications and services from executing at higher privilege levels than user(s).  </w:t>
      </w:r>
    </w:p>
    <w:p>
      <w:pPr>
        <w:pStyle w:val="Normal"/>
        <w:rPr/>
      </w:pPr>
      <w:r>
        <w:rPr/>
      </w:r>
    </w:p>
    <w:p>
      <w:pPr>
        <w:pStyle w:val="Normal"/>
        <w:rPr/>
      </w:pPr>
      <w:r>
        <w:rPr>
          <w:rFonts w:cs="Calibri"/>
          <w:bCs w:val="false"/>
          <w:u w:val="single"/>
        </w:rPr>
        <w:t>Guidelines</w:t>
      </w:r>
      <w:r>
        <w:rPr>
          <w:rFonts w:cs="Calibri"/>
          <w:bCs w:val="false"/>
        </w:rPr>
        <w:t xml:space="preserve">: </w:t>
      </w:r>
      <w:r>
        <w:rPr/>
        <w:t>In certain situations, software applications/programs need to execute with elevated privileges to perform required functions. However, if the privileges required for execution are at a higher level than the privileges assigned to organizational users invoking such applications/programs, those users are indirectly provided with greater privileges than assigned by organizations.</w:t>
      </w:r>
      <w:bookmarkStart w:id="1120" w:name="_Hlk27579730"/>
      <w:bookmarkEnd w:id="1120"/>
    </w:p>
    <w:p>
      <w:pPr>
        <w:pStyle w:val="Normal"/>
        <w:rPr/>
      </w:pPr>
      <w:r>
        <w:rPr/>
      </w:r>
    </w:p>
    <w:p>
      <w:pPr>
        <w:pStyle w:val="Normal"/>
        <w:rPr/>
      </w:pPr>
      <w:r>
        <w:rPr/>
      </w:r>
    </w:p>
    <w:p>
      <w:pPr>
        <w:pStyle w:val="Heading2"/>
        <w:rPr/>
      </w:pPr>
      <w:bookmarkStart w:id="1121" w:name="_Toc474075061"/>
      <w:bookmarkStart w:id="1122" w:name="_Toc474075657"/>
      <w:bookmarkStart w:id="1123" w:name="_Toc34920956"/>
      <w:r>
        <w:rPr/>
        <w:t>IAC-22: Account Lockout</w:t>
      </w:r>
      <w:bookmarkEnd w:id="1121"/>
      <w:bookmarkEnd w:id="1122"/>
      <w:bookmarkEnd w:id="1123"/>
      <w:r>
        <w:rPr/>
        <w:t xml:space="preserve"> </w:t>
      </w:r>
    </w:p>
    <w:p>
      <w:pPr>
        <w:pStyle w:val="Normal"/>
        <w:rPr/>
      </w:pPr>
      <w:r>
        <w:rPr>
          <w:u w:val="single"/>
        </w:rPr>
        <w:t>Control Objective</w:t>
      </w:r>
      <w:r>
        <w:rPr/>
        <w:t>: Systems:</w:t>
      </w:r>
      <w:r>
        <w:rPr>
          <w:rStyle w:val="FootnoteCharacters"/>
          <w:rFonts w:cs="Calibri"/>
          <w:bCs w:val="false"/>
        </w:rPr>
        <w:t xml:space="preserve"> </w:t>
      </w:r>
      <w:r>
        <w:rPr>
          <w:rStyle w:val="FootnoteAnchor"/>
          <w:rStyle w:val="FootnoteAnchor"/>
          <w:rFonts w:cs="Calibri"/>
          <w:bCs w:val="false"/>
        </w:rPr>
        <w:footnoteReference w:id="355"/>
      </w:r>
    </w:p>
    <w:p>
      <w:pPr>
        <w:pStyle w:val="ListParagraph"/>
        <w:numPr>
          <w:ilvl w:val="0"/>
          <w:numId w:val="80"/>
        </w:numPr>
        <w:rPr/>
      </w:pPr>
      <w:r>
        <w:rPr/>
        <w:t xml:space="preserve">Enforce a limit for consecutive invalid login attempts by a user during an </w:t>
      </w:r>
      <w:r>
        <w:rPr>
          <w:iCs/>
        </w:rPr>
        <w:t>organization-defined time period</w:t>
      </w:r>
      <w:r>
        <w:rPr/>
        <w:t>; and</w:t>
      </w:r>
    </w:p>
    <w:p>
      <w:pPr>
        <w:pStyle w:val="ListParagraph"/>
        <w:numPr>
          <w:ilvl w:val="0"/>
          <w:numId w:val="80"/>
        </w:numPr>
        <w:rPr/>
      </w:pPr>
      <w:r>
        <w:rPr/>
        <w:t xml:space="preserve">Automatically </w:t>
      </w:r>
      <w:r>
        <w:rPr>
          <w:iCs/>
        </w:rPr>
        <w:t xml:space="preserve">lock the account </w:t>
      </w:r>
      <w:r>
        <w:rPr/>
        <w:t>when the maximum number of unsuccessful attempts is exceeded.</w:t>
      </w:r>
    </w:p>
    <w:p>
      <w:pPr>
        <w:pStyle w:val="Normal"/>
        <w:rPr/>
      </w:pPr>
      <w:r>
        <w:rPr/>
      </w:r>
    </w:p>
    <w:p>
      <w:pPr>
        <w:pStyle w:val="Normal"/>
        <w:rPr/>
      </w:pPr>
      <w:r>
        <w:rPr>
          <w:u w:val="single"/>
        </w:rPr>
        <w:t>Standard</w:t>
      </w:r>
      <w:r>
        <w:rPr/>
        <w:t>: NFCC’s system configurations must address account lockouts such that:</w:t>
      </w:r>
    </w:p>
    <w:p>
      <w:pPr>
        <w:pStyle w:val="ListParagraph"/>
        <w:numPr>
          <w:ilvl w:val="0"/>
          <w:numId w:val="534"/>
        </w:numPr>
        <w:rPr/>
      </w:pPr>
      <w:r>
        <w:rPr/>
        <w:t>Systems automatically lock the accounts until released by an administrator when the maximum number of unsuccessful attempts is exceeded; and</w:t>
      </w:r>
    </w:p>
    <w:p>
      <w:pPr>
        <w:pStyle w:val="ListParagraph"/>
        <w:numPr>
          <w:ilvl w:val="0"/>
          <w:numId w:val="534"/>
        </w:numPr>
        <w:rPr/>
      </w:pPr>
      <w:r>
        <w:rPr/>
        <w:t>The maximum number of consecutive, unsuccessful access attempts is six (6) attempts.</w:t>
      </w:r>
    </w:p>
    <w:p>
      <w:pPr>
        <w:pStyle w:val="Normal"/>
        <w:rPr/>
      </w:pPr>
      <w:r>
        <w:rPr/>
      </w:r>
    </w:p>
    <w:p>
      <w:pPr>
        <w:pStyle w:val="Normal"/>
        <w:rPr/>
      </w:pPr>
      <w:r>
        <w:rPr>
          <w:u w:val="single"/>
        </w:rPr>
        <w:t>Guidelines</w:t>
      </w:r>
      <w:r>
        <w:rPr/>
        <w:t xml:space="preserve">: This applies regardless of whether the login occurs via a local or network connection. Due to the potential for denial of service, automatic lockouts initiated by systems are usually temporary and automatically release after a predetermined time period established by organizations. </w:t>
      </w:r>
    </w:p>
    <w:p>
      <w:pPr>
        <w:pStyle w:val="Normal"/>
        <w:rPr/>
      </w:pPr>
      <w:r>
        <w:rPr/>
      </w:r>
    </w:p>
    <w:p>
      <w:pPr>
        <w:pStyle w:val="Normal"/>
        <w:rPr/>
      </w:pPr>
      <w:r>
        <w:rPr/>
      </w:r>
    </w:p>
    <w:p>
      <w:pPr>
        <w:pStyle w:val="Heading2"/>
        <w:rPr/>
      </w:pPr>
      <w:bookmarkStart w:id="1124" w:name="_Toc474075063"/>
      <w:bookmarkStart w:id="1125" w:name="_Toc474075658"/>
      <w:bookmarkStart w:id="1126" w:name="_Toc34920957"/>
      <w:r>
        <w:rPr/>
        <w:t>IAC-23: Concurrent Session Control</w:t>
      </w:r>
      <w:bookmarkEnd w:id="1124"/>
      <w:bookmarkEnd w:id="1125"/>
      <w:bookmarkEnd w:id="1126"/>
    </w:p>
    <w:p>
      <w:pPr>
        <w:pStyle w:val="Normal"/>
        <w:rPr/>
      </w:pPr>
      <w:r>
        <w:rPr>
          <w:u w:val="single"/>
        </w:rPr>
        <w:t>Control Objective</w:t>
      </w:r>
      <w:r>
        <w:rPr/>
        <w:t>: Systems limit the number of concurrent sessions for each system account.</w:t>
      </w:r>
      <w:r>
        <w:rPr>
          <w:rStyle w:val="FootnoteAnchor"/>
          <w:rStyle w:val="FootnoteAnchor"/>
          <w:rFonts w:cs="Calibri"/>
        </w:rPr>
        <w:footnoteReference w:id="356"/>
      </w:r>
    </w:p>
    <w:p>
      <w:pPr>
        <w:pStyle w:val="Normal"/>
        <w:rPr/>
      </w:pPr>
      <w:r>
        <w:rPr/>
      </w:r>
    </w:p>
    <w:p>
      <w:pPr>
        <w:pStyle w:val="Normal"/>
        <w:rPr/>
      </w:pPr>
      <w:r>
        <w:rPr>
          <w:u w:val="single"/>
        </w:rPr>
        <w:t>Standard</w:t>
      </w:r>
      <w:r>
        <w:rPr/>
        <w:t>: NFCC requires that concurrent sessions are limited to users, based on the role of the account:</w:t>
      </w:r>
    </w:p>
    <w:p>
      <w:pPr>
        <w:pStyle w:val="ListParagraph"/>
        <w:numPr>
          <w:ilvl w:val="0"/>
          <w:numId w:val="373"/>
        </w:numPr>
        <w:rPr/>
      </w:pPr>
      <w:r>
        <w:rPr>
          <w:u w:val="single"/>
        </w:rPr>
        <w:t>Users</w:t>
      </w:r>
      <w:r>
        <w:rPr/>
        <w:t>: Standard user accounts should be configured to have no more than two (2) concurrent sessions; and</w:t>
      </w:r>
    </w:p>
    <w:p>
      <w:pPr>
        <w:pStyle w:val="ListParagraph"/>
        <w:numPr>
          <w:ilvl w:val="0"/>
          <w:numId w:val="373"/>
        </w:numPr>
        <w:rPr/>
      </w:pPr>
      <w:r>
        <w:rPr>
          <w:u w:val="single"/>
        </w:rPr>
        <w:t>Administrators</w:t>
      </w:r>
      <w:r>
        <w:rPr/>
        <w:t>: Privileged user accounts should be configured to have no more than five (5) concurrent sessions.</w:t>
      </w:r>
    </w:p>
    <w:p>
      <w:pPr>
        <w:pStyle w:val="Normal"/>
        <w:rPr/>
      </w:pPr>
      <w:r>
        <w:rPr/>
      </w:r>
    </w:p>
    <w:p>
      <w:pPr>
        <w:pStyle w:val="Normal"/>
        <w:rPr>
          <w:u w:val="single"/>
        </w:rPr>
      </w:pPr>
      <w:r>
        <w:rPr>
          <w:u w:val="single"/>
        </w:rPr>
        <w:t>Guidelines</w:t>
      </w:r>
      <w:r>
        <w:rPr/>
        <w:t>: Organizations may define the maximum number of concurrent sessions for system accounts globally, by account type (e.g., privileged user, non-privileged user, domain, specific application), by account or a combination. For example, organizations may limit the number of concurrent sessions for system administrators or individuals working in particularly sensitive domains or mission critical applications. This addresses concurrent sessions for system accounts and does not address concurrent sessions by single users via multiple system accounts.</w:t>
      </w:r>
    </w:p>
    <w:p>
      <w:pPr>
        <w:pStyle w:val="Normal"/>
        <w:rPr/>
      </w:pPr>
      <w:r>
        <w:rPr/>
      </w:r>
    </w:p>
    <w:p>
      <w:pPr>
        <w:pStyle w:val="Normal"/>
        <w:tabs>
          <w:tab w:val="clear" w:pos="360"/>
          <w:tab w:val="clear" w:pos="720"/>
          <w:tab w:val="clear" w:pos="1080"/>
        </w:tabs>
        <w:jc w:val="left"/>
        <w:rPr/>
      </w:pPr>
      <w:r>
        <w:rPr/>
      </w:r>
    </w:p>
    <w:p>
      <w:pPr>
        <w:pStyle w:val="Heading2"/>
        <w:rPr/>
      </w:pPr>
      <w:bookmarkStart w:id="1127" w:name="_Toc34920958"/>
      <w:bookmarkStart w:id="1128" w:name="_Toc474075064"/>
      <w:bookmarkStart w:id="1129" w:name="_Toc474075659"/>
      <w:r>
        <w:rPr/>
        <w:t>IAC-24: Session Lock</w:t>
      </w:r>
      <w:bookmarkEnd w:id="1127"/>
      <w:bookmarkEnd w:id="1128"/>
      <w:bookmarkEnd w:id="1129"/>
      <w:r>
        <w:rPr/>
        <w:t xml:space="preserve"> </w:t>
      </w:r>
    </w:p>
    <w:p>
      <w:pPr>
        <w:pStyle w:val="Normal"/>
        <w:rPr/>
      </w:pPr>
      <w:r>
        <w:rPr>
          <w:u w:val="single"/>
        </w:rPr>
        <w:t>Control Objective</w:t>
      </w:r>
      <w:r>
        <w:rPr/>
        <w:t>: Systems:</w:t>
      </w:r>
      <w:r>
        <w:rPr>
          <w:rStyle w:val="FootnoteAnchor"/>
          <w:rStyle w:val="FootnoteAnchor"/>
          <w:rFonts w:cs="Calibri"/>
        </w:rPr>
        <w:footnoteReference w:id="357"/>
      </w:r>
    </w:p>
    <w:p>
      <w:pPr>
        <w:pStyle w:val="ListParagraph"/>
        <w:numPr>
          <w:ilvl w:val="0"/>
          <w:numId w:val="81"/>
        </w:numPr>
        <w:rPr/>
      </w:pPr>
      <w:r>
        <w:rPr/>
        <w:t xml:space="preserve">Prevent continued access to systems by initiating a session lock after an </w:t>
      </w:r>
      <w:r>
        <w:rPr>
          <w:iCs/>
        </w:rPr>
        <w:t>organization-defined time period</w:t>
      </w:r>
      <w:r>
        <w:rPr/>
        <w:t xml:space="preserve"> of inactivity or upon receiving a request from a user; and</w:t>
      </w:r>
    </w:p>
    <w:p>
      <w:pPr>
        <w:pStyle w:val="ListParagraph"/>
        <w:numPr>
          <w:ilvl w:val="0"/>
          <w:numId w:val="81"/>
        </w:numPr>
        <w:rPr/>
      </w:pPr>
      <w:r>
        <w:rPr/>
        <w:t>Retain the session lock until the user reestablishes access using established identification and authentication procedures.</w:t>
      </w:r>
    </w:p>
    <w:p>
      <w:pPr>
        <w:pStyle w:val="Normal"/>
        <w:rPr/>
      </w:pPr>
      <w:r>
        <w:rPr/>
      </w:r>
    </w:p>
    <w:p>
      <w:pPr>
        <w:pStyle w:val="Normal"/>
        <w:rPr/>
      </w:pPr>
      <w:r>
        <w:rPr>
          <w:u w:val="single"/>
        </w:rPr>
        <w:t>Standard</w:t>
      </w:r>
      <w:r>
        <w:rPr/>
        <w:t>: Systems are required to enforce a session lock mechanism after fifteen (15) minutes of inactivity, where the user must re-authenticate to re-activate the session.</w:t>
      </w:r>
    </w:p>
    <w:p>
      <w:pPr>
        <w:pStyle w:val="Normal"/>
        <w:rPr/>
      </w:pPr>
      <w:r>
        <w:rPr/>
      </w:r>
    </w:p>
    <w:p>
      <w:pPr>
        <w:pStyle w:val="Normal"/>
        <w:rPr/>
      </w:pPr>
      <w:r>
        <w:rPr>
          <w:u w:val="single"/>
        </w:rPr>
        <w:t>Guidelines</w:t>
      </w:r>
      <w:r>
        <w:rPr/>
        <w:t>: Session locks are temporary actions taken when users stop work and move away from the immediate vicinity of systems but do not want to log out because of the temporary nature of their absences. Session locks are implemented where session activities can be determined. This is typically at the operating system level, but can also be at the application level. Session locks are not an acceptable substitute for logging out of systems, for example, if organizations require users to log out at the end of workdays. Publicly viewable patterns can include, for example, screen saver patterns, photographic images, solid colors or a blank screen, so long as none of those patterns convey sensitive information.</w:t>
      </w:r>
    </w:p>
    <w:p>
      <w:pPr>
        <w:pStyle w:val="Normal"/>
        <w:rPr/>
      </w:pPr>
      <w:r>
        <w:rPr/>
      </w:r>
    </w:p>
    <w:p>
      <w:pPr>
        <w:pStyle w:val="Heading3"/>
        <w:rPr/>
      </w:pPr>
      <w:bookmarkStart w:id="1130" w:name="_Toc474075065"/>
      <w:bookmarkStart w:id="1131" w:name="_Toc34920959"/>
      <w:r>
        <w:rPr/>
        <w:t>IAC-24(a): Session Lock | Pattern-Hiding Displays</w:t>
      </w:r>
      <w:bookmarkEnd w:id="1130"/>
      <w:bookmarkEnd w:id="1131"/>
      <w:r>
        <w:rPr/>
        <w:t xml:space="preserve"> </w:t>
      </w:r>
    </w:p>
    <w:p>
      <w:pPr>
        <w:pStyle w:val="Normal"/>
        <w:rPr/>
      </w:pPr>
      <w:r>
        <w:rPr>
          <w:u w:val="single"/>
        </w:rPr>
        <w:t>Control Objective</w:t>
      </w:r>
      <w:r>
        <w:rPr/>
        <w:t>: Systems conceal, via the session lock, information previously visible on the display with a publicly viewable image.</w:t>
      </w:r>
      <w:r>
        <w:rPr>
          <w:rStyle w:val="FootnoteAnchor"/>
          <w:rStyle w:val="FootnoteAnchor"/>
          <w:rFonts w:cs="Calibri"/>
          <w:bCs w:val="false"/>
        </w:rPr>
        <w:footnoteReference w:id="358"/>
      </w:r>
    </w:p>
    <w:p>
      <w:pPr>
        <w:pStyle w:val="Normal"/>
        <w:rPr/>
      </w:pPr>
      <w:r>
        <w:rPr/>
      </w:r>
    </w:p>
    <w:p>
      <w:pPr>
        <w:pStyle w:val="Normal"/>
        <w:rPr/>
      </w:pPr>
      <w:r>
        <w:rPr>
          <w:u w:val="single"/>
        </w:rPr>
        <w:t>Standard</w:t>
      </w:r>
      <w:r>
        <w:rPr/>
        <w:t>: Where technically feasible, systems must be configured to conceal, via the session lock, information previously visible on the display with a publicly viewable image.</w:t>
      </w:r>
    </w:p>
    <w:p>
      <w:pPr>
        <w:pStyle w:val="Normal"/>
        <w:rPr/>
      </w:pPr>
      <w:r>
        <w:rPr/>
      </w:r>
    </w:p>
    <w:p>
      <w:pPr>
        <w:pStyle w:val="Normal"/>
        <w:rPr/>
      </w:pPr>
      <w:r>
        <w:rPr>
          <w:u w:val="single"/>
        </w:rPr>
        <w:t>Guidelines</w:t>
      </w:r>
      <w:r>
        <w:rPr/>
        <w:t>: Publicly viewable images can include static or dynamic images, for example, patterns used with screen savers, photographic images, solid colors, clock, battery life indicator or a blank screen, with the additional caveat that none of the images convey sensitive information.</w:t>
      </w:r>
    </w:p>
    <w:p>
      <w:pPr>
        <w:pStyle w:val="Normal"/>
        <w:rPr/>
      </w:pPr>
      <w:r>
        <w:rPr/>
      </w:r>
    </w:p>
    <w:p>
      <w:pPr>
        <w:pStyle w:val="Normal"/>
        <w:rPr/>
      </w:pPr>
      <w:r>
        <w:rPr/>
      </w:r>
    </w:p>
    <w:p>
      <w:pPr>
        <w:pStyle w:val="Heading2"/>
        <w:rPr/>
      </w:pPr>
      <w:bookmarkStart w:id="1132" w:name="_Toc474075066"/>
      <w:bookmarkStart w:id="1133" w:name="_Toc474075660"/>
      <w:bookmarkStart w:id="1134" w:name="_Toc34920960"/>
      <w:r>
        <w:rPr/>
        <w:t>IAC-25: Session Termination</w:t>
      </w:r>
      <w:bookmarkEnd w:id="1132"/>
      <w:bookmarkEnd w:id="1133"/>
      <w:bookmarkEnd w:id="1134"/>
      <w:r>
        <w:rPr/>
        <w:t xml:space="preserve"> </w:t>
      </w:r>
    </w:p>
    <w:p>
      <w:pPr>
        <w:pStyle w:val="Normal"/>
        <w:rPr>
          <w:rFonts w:ascii="Times New Roman" w:hAnsi="Times New Roman" w:eastAsia="Calibri"/>
          <w:sz w:val="24"/>
          <w:szCs w:val="24"/>
        </w:rPr>
      </w:pPr>
      <w:r>
        <w:rPr>
          <w:u w:val="single"/>
        </w:rPr>
        <w:t>Control Objective</w:t>
      </w:r>
      <w:r>
        <w:rPr/>
        <w:t>: Systems automatically log out users at the end of the session or after an</w:t>
      </w:r>
      <w:r>
        <w:rPr>
          <w:iCs/>
        </w:rPr>
        <w:t xml:space="preserve"> organization-defined period</w:t>
      </w:r>
      <w:r>
        <w:rPr/>
        <w:t xml:space="preserve"> of inactivity.</w:t>
      </w:r>
      <w:r>
        <w:rPr>
          <w:rStyle w:val="FootnoteAnchor"/>
          <w:rStyle w:val="FootnoteAnchor"/>
          <w:rFonts w:cs="Calibri"/>
        </w:rPr>
        <w:footnoteReference w:id="359"/>
      </w:r>
      <w:r>
        <w:rPr>
          <w:rFonts w:eastAsia="Calibri" w:ascii="Times New Roman" w:hAnsi="Times New Roman"/>
          <w:sz w:val="24"/>
          <w:szCs w:val="24"/>
        </w:rPr>
        <w:t xml:space="preserve"> </w:t>
      </w:r>
    </w:p>
    <w:p>
      <w:pPr>
        <w:pStyle w:val="Normal"/>
        <w:rPr/>
      </w:pPr>
      <w:r>
        <w:rPr/>
      </w:r>
    </w:p>
    <w:p>
      <w:pPr>
        <w:pStyle w:val="Normal"/>
        <w:rPr/>
      </w:pPr>
      <w:r>
        <w:rPr>
          <w:u w:val="single"/>
        </w:rPr>
        <w:t>Standard</w:t>
      </w:r>
      <w:r>
        <w:rPr/>
        <w:t>: Systems are required to be configured to automatically log users off and require the user to re-authenticate to re-activate the terminal or session if a session has been idle for more than fifteen (15) minutes.</w:t>
      </w:r>
    </w:p>
    <w:p>
      <w:pPr>
        <w:pStyle w:val="Normal"/>
        <w:rPr/>
      </w:pPr>
      <w:r>
        <w:rPr/>
      </w:r>
    </w:p>
    <w:p>
      <w:pPr>
        <w:pStyle w:val="Normal"/>
        <w:rPr/>
      </w:pPr>
      <w:r>
        <w:rPr>
          <w:u w:val="single"/>
        </w:rPr>
        <w:t>Guidelines</w:t>
      </w:r>
      <w:r>
        <w:rPr/>
        <w:t>: None.</w:t>
      </w:r>
    </w:p>
    <w:p>
      <w:pPr>
        <w:pStyle w:val="Normal"/>
        <w:rPr/>
      </w:pPr>
      <w:r>
        <w:rPr/>
      </w:r>
    </w:p>
    <w:p>
      <w:pPr>
        <w:pStyle w:val="Heading3"/>
        <w:rPr/>
      </w:pPr>
      <w:bookmarkStart w:id="1135" w:name="_Toc34920961"/>
      <w:r>
        <w:rPr/>
        <w:t>IAC-25(a): Session Termination | User-Initiated Logouts / Message Displays</w:t>
      </w:r>
      <w:bookmarkEnd w:id="1135"/>
      <w:r>
        <w:rPr/>
        <w:t xml:space="preserve"> </w:t>
      </w:r>
    </w:p>
    <w:p>
      <w:pPr>
        <w:pStyle w:val="Normal"/>
        <w:rPr/>
      </w:pPr>
      <w:r>
        <w:rPr>
          <w:rFonts w:cs="Calibri"/>
          <w:u w:val="single"/>
        </w:rPr>
        <w:t>Control Objective</w:t>
      </w:r>
      <w:r>
        <w:rPr>
          <w:rFonts w:cs="Calibri"/>
        </w:rPr>
        <w:t xml:space="preserve">: </w:t>
      </w:r>
      <w:r>
        <w:rPr/>
        <w:t>The information system:</w:t>
      </w:r>
      <w:r>
        <w:rPr>
          <w:rStyle w:val="FootnoteCharacters"/>
          <w:rFonts w:cs="Calibri"/>
        </w:rPr>
        <w:t xml:space="preserve"> </w:t>
      </w:r>
      <w:r>
        <w:rPr>
          <w:rStyle w:val="FootnoteAnchor"/>
          <w:rStyle w:val="FootnoteAnchor"/>
          <w:rFonts w:cs="Calibri"/>
        </w:rPr>
        <w:footnoteReference w:id="360"/>
      </w:r>
      <w:r>
        <w:rPr>
          <w:rFonts w:eastAsia="Calibri" w:ascii="Times New Roman" w:hAnsi="Times New Roman"/>
          <w:sz w:val="24"/>
          <w:szCs w:val="24"/>
        </w:rPr>
        <w:t xml:space="preserve"> </w:t>
      </w:r>
      <w:r>
        <w:rPr/>
        <w:t xml:space="preserve"> </w:t>
      </w:r>
    </w:p>
    <w:p>
      <w:pPr>
        <w:pStyle w:val="ListParagraph"/>
        <w:numPr>
          <w:ilvl w:val="0"/>
          <w:numId w:val="627"/>
        </w:numPr>
        <w:rPr/>
      </w:pPr>
      <w:r>
        <w:rPr/>
        <w:t xml:space="preserve">Provides a logout capability for user-initiated communications sessions whenever authentication is used to gain access to organization-defined information resources; and </w:t>
      </w:r>
    </w:p>
    <w:p>
      <w:pPr>
        <w:pStyle w:val="ListParagraph"/>
        <w:numPr>
          <w:ilvl w:val="0"/>
          <w:numId w:val="627"/>
        </w:numPr>
        <w:rPr/>
      </w:pPr>
      <w:r>
        <w:rPr/>
        <w:t xml:space="preserve">Displays an explicit logout message to users indicating the reliable termination of authenticated communications sessions. </w:t>
      </w:r>
    </w:p>
    <w:p>
      <w:pPr>
        <w:pStyle w:val="Normal"/>
        <w:rPr>
          <w:rFonts w:cs="Calibri"/>
        </w:rPr>
      </w:pPr>
      <w:r>
        <w:rPr>
          <w:rFonts w:cs="Calibri"/>
        </w:rPr>
      </w:r>
    </w:p>
    <w:p>
      <w:pPr>
        <w:pStyle w:val="Normal"/>
        <w:rPr>
          <w:rFonts w:cs="Calibri"/>
        </w:rPr>
      </w:pPr>
      <w:r>
        <w:rPr>
          <w:rFonts w:cs="Calibri"/>
          <w:bCs w:val="false"/>
          <w:u w:val="single"/>
        </w:rPr>
        <w:t>Standard</w:t>
      </w:r>
      <w:r>
        <w:rPr>
          <w:rFonts w:cs="Calibri"/>
          <w:bCs w:val="false"/>
        </w:rPr>
        <w:t>:</w:t>
      </w:r>
      <w:r>
        <w:rPr>
          <w:rFonts w:cs="Calibri"/>
        </w:rPr>
        <w:t xml:space="preserve"> Where technically feasible, information systems and applications must be configured to:</w:t>
      </w:r>
    </w:p>
    <w:p>
      <w:pPr>
        <w:pStyle w:val="ListParagraph"/>
        <w:numPr>
          <w:ilvl w:val="0"/>
          <w:numId w:val="628"/>
        </w:numPr>
        <w:rPr/>
      </w:pPr>
      <w:r>
        <w:rPr/>
        <w:t xml:space="preserve">Provide users with a capability to end sessions (e.g., logout); and </w:t>
      </w:r>
    </w:p>
    <w:p>
      <w:pPr>
        <w:pStyle w:val="ListParagraph"/>
        <w:numPr>
          <w:ilvl w:val="0"/>
          <w:numId w:val="628"/>
        </w:numPr>
        <w:rPr>
          <w:rFonts w:cs="Calibri"/>
        </w:rPr>
      </w:pPr>
      <w:r>
        <w:rPr/>
        <w:t xml:space="preserve">Display an explicit logout message to users indicating the reliable termination of the authenticated communications session. </w:t>
      </w:r>
    </w:p>
    <w:p>
      <w:pPr>
        <w:pStyle w:val="Normal"/>
        <w:rPr>
          <w:rFonts w:cs="Calibri"/>
        </w:rPr>
      </w:pPr>
      <w:r>
        <w:rPr>
          <w:rFonts w:cs="Calibri"/>
        </w:rPr>
      </w:r>
    </w:p>
    <w:p>
      <w:pPr>
        <w:pStyle w:val="Normal"/>
        <w:rPr>
          <w:rFonts w:cs="Calibri"/>
        </w:rPr>
      </w:pPr>
      <w:r>
        <w:rPr>
          <w:rFonts w:cs="Calibri"/>
          <w:u w:val="single"/>
        </w:rPr>
        <w:t>Guidelines</w:t>
      </w:r>
      <w:r>
        <w:rPr>
          <w:rFonts w:cs="Calibri"/>
        </w:rPr>
        <w:t xml:space="preserve">: </w:t>
      </w:r>
      <w:r>
        <w:rPr/>
        <w:t>Information resources to which users gain access via authentication include, for example, local workstations, databases and password-protected websites/web-based services. Logout messages for web page access, for example, can be displayed after authenticated sessions have been terminated. However, for some types of interactive sessions including, for example, file transfer protocol (FTP) sessions, information systems typically send logout messages as final messages prior to terminating sessions.</w:t>
      </w:r>
    </w:p>
    <w:p>
      <w:pPr>
        <w:pStyle w:val="Normal"/>
        <w:rPr/>
      </w:pPr>
      <w:r>
        <w:rPr/>
      </w:r>
    </w:p>
    <w:p>
      <w:pPr>
        <w:pStyle w:val="Normal"/>
        <w:rPr/>
      </w:pPr>
      <w:r>
        <w:rPr/>
      </w:r>
    </w:p>
    <w:p>
      <w:pPr>
        <w:pStyle w:val="Heading2"/>
        <w:rPr/>
      </w:pPr>
      <w:bookmarkStart w:id="1136" w:name="_Toc474075067"/>
      <w:bookmarkStart w:id="1137" w:name="_Toc474075661"/>
      <w:bookmarkStart w:id="1138" w:name="_Toc34920962"/>
      <w:r>
        <w:rPr/>
        <w:t>IAC-26: Permitted Actions Without Identification or Authorization</w:t>
      </w:r>
      <w:bookmarkEnd w:id="1136"/>
      <w:bookmarkEnd w:id="1137"/>
      <w:bookmarkEnd w:id="1138"/>
    </w:p>
    <w:p>
      <w:pPr>
        <w:pStyle w:val="Normal"/>
        <w:rPr/>
      </w:pPr>
      <w:r>
        <w:rPr>
          <w:u w:val="single"/>
        </w:rPr>
        <w:t>Control Objective</w:t>
      </w:r>
      <w:r>
        <w:rPr/>
        <w:t>: The organization:</w:t>
      </w:r>
      <w:r>
        <w:rPr>
          <w:rStyle w:val="FootnoteAnchor"/>
          <w:rStyle w:val="FootnoteAnchor"/>
          <w:rFonts w:cs="Calibri"/>
        </w:rPr>
        <w:footnoteReference w:id="361"/>
      </w:r>
    </w:p>
    <w:p>
      <w:pPr>
        <w:pStyle w:val="ListParagraph"/>
        <w:numPr>
          <w:ilvl w:val="0"/>
          <w:numId w:val="83"/>
        </w:numPr>
        <w:rPr/>
      </w:pPr>
      <w:r>
        <w:rPr/>
        <w:t>Identifies specific user actions that can be performed on the system without identification or authentication; and</w:t>
      </w:r>
    </w:p>
    <w:p>
      <w:pPr>
        <w:pStyle w:val="ListParagraph"/>
        <w:numPr>
          <w:ilvl w:val="0"/>
          <w:numId w:val="83"/>
        </w:numPr>
        <w:rPr/>
      </w:pPr>
      <w:r>
        <w:rPr/>
        <w:t>Documents and provides supporting rationale in the security plan for the system, user actions not requiring identification and authentication.</w:t>
      </w:r>
    </w:p>
    <w:p>
      <w:pPr>
        <w:pStyle w:val="Normal"/>
        <w:rPr/>
      </w:pPr>
      <w:r>
        <w:rPr/>
      </w:r>
    </w:p>
    <w:p>
      <w:pPr>
        <w:pStyle w:val="Normal"/>
        <w:rPr/>
      </w:pPr>
      <w:r>
        <w:rPr>
          <w:u w:val="single"/>
        </w:rPr>
        <w:t>Standard</w:t>
      </w:r>
      <w:r>
        <w:rPr/>
        <w:t xml:space="preserve">: NFCC prohibits system configurations that do not require identification or authentication, without a documented and justifiable business requirement. </w:t>
      </w:r>
    </w:p>
    <w:p>
      <w:pPr>
        <w:pStyle w:val="Normal"/>
        <w:rPr/>
      </w:pPr>
      <w:r>
        <w:rPr/>
      </w:r>
    </w:p>
    <w:p>
      <w:pPr>
        <w:pStyle w:val="Normal"/>
        <w:rPr/>
      </w:pPr>
      <w:r>
        <w:rPr>
          <w:u w:val="single"/>
        </w:rPr>
        <w:t>Guidelines</w:t>
      </w:r>
      <w:r>
        <w:rPr/>
        <w:t>: This standard addresses situations in which organizations determine that no identification or authentication is required in organizational systems. NFCC may allow a limited number of user actions without identification or authentication (e.g., when individuals access public websites) and only to the extent necessary to accomplish mission / business objectives. This control does not apply to situations where identification and authentication have already occurred and are not repeated, but rather to situations where identification and authentication have not yet occurred.</w:t>
      </w:r>
    </w:p>
    <w:p>
      <w:pPr>
        <w:pStyle w:val="Normal"/>
        <w:rPr/>
      </w:pPr>
      <w:r>
        <w:rPr/>
      </w:r>
    </w:p>
    <w:p>
      <w:pPr>
        <w:pStyle w:val="Normal"/>
        <w:rPr/>
      </w:pPr>
      <w:r>
        <w:rPr/>
      </w:r>
    </w:p>
    <w:p>
      <w:pPr>
        <w:pStyle w:val="Heading2"/>
        <w:rPr/>
      </w:pPr>
      <w:bookmarkStart w:id="1139" w:name="_Toc34920963"/>
      <w:r>
        <w:rPr/>
        <w:t>IAC-27: Reference Monitor</w:t>
      </w:r>
      <w:bookmarkEnd w:id="1139"/>
    </w:p>
    <w:p>
      <w:pPr>
        <w:pStyle w:val="Normal"/>
        <w:rPr/>
      </w:pPr>
      <w:r>
        <w:rPr>
          <w:u w:val="single"/>
        </w:rPr>
        <w:t>Control Objective</w:t>
      </w:r>
      <w:r>
        <w:rPr/>
        <w:t>: The organization implements a reference monitor that is tamperproof, always-invoked, small enough to be subject to analysis / testing and the completeness of which can be assured.</w:t>
      </w:r>
    </w:p>
    <w:p>
      <w:pPr>
        <w:pStyle w:val="Normal"/>
        <w:rPr/>
      </w:pPr>
      <w:r>
        <w:rPr/>
      </w:r>
    </w:p>
    <w:p>
      <w:pPr>
        <w:pStyle w:val="Normal"/>
        <w:rPr/>
      </w:pPr>
      <w:r>
        <w:rPr>
          <w:u w:val="single"/>
        </w:rPr>
        <w:t>Standard</w:t>
      </w:r>
      <w:r>
        <w:rPr/>
        <w:t>: Where technically feasible and justified by a valid business case, asset custodians and data/process owners are required to configure critical systems to a reference monitor.</w:t>
      </w:r>
    </w:p>
    <w:p>
      <w:pPr>
        <w:pStyle w:val="Normal"/>
        <w:rPr/>
      </w:pPr>
      <w:r>
        <w:rPr/>
      </w:r>
    </w:p>
    <w:p>
      <w:pPr>
        <w:pStyle w:val="Normal"/>
        <w:rPr/>
      </w:pPr>
      <w:r>
        <w:rPr>
          <w:u w:val="single"/>
        </w:rPr>
        <w:t>Guidelines</w:t>
      </w:r>
      <w:r>
        <w:rPr/>
        <w:t xml:space="preserve">: The tamperproof property of the reference monitor prevents adversaries from compromising the functioning of the mechanism. The always invoked property prevents adversaries from bypassing the mechanism and hence violating the security policy. The smallness property helps to ensure the completeness of the analysis and testing of the mechanism to detect weaknesses or deficiencies (e.g., latent flaws) that would prevent the enforcement of the security policy. </w:t>
      </w:r>
    </w:p>
    <w:p>
      <w:pPr>
        <w:pStyle w:val="Normal"/>
        <w:rPr/>
      </w:pPr>
      <w:r>
        <w:rPr/>
      </w:r>
    </w:p>
    <w:p>
      <w:pPr>
        <w:pStyle w:val="Normal"/>
        <w:rPr/>
      </w:pPr>
      <w:r>
        <w:rPr/>
      </w:r>
    </w:p>
    <w:p>
      <w:pPr>
        <w:pStyle w:val="Heading2"/>
        <w:rPr/>
      </w:pPr>
      <w:bookmarkStart w:id="1140" w:name="_Toc34920964"/>
      <w:r>
        <w:rPr/>
        <w:t>IAC-28: Identity Proofing</w:t>
      </w:r>
      <w:bookmarkEnd w:id="1140"/>
    </w:p>
    <w:p>
      <w:pPr>
        <w:pStyle w:val="Normal"/>
        <w:rPr/>
      </w:pPr>
      <w:r>
        <w:rPr>
          <w:u w:val="single"/>
        </w:rPr>
        <w:t>Control Objective</w:t>
      </w:r>
      <w:r>
        <w:rPr/>
        <w:t xml:space="preserve">: The organization: </w:t>
      </w:r>
    </w:p>
    <w:p>
      <w:pPr>
        <w:pStyle w:val="ListParagraph"/>
        <w:numPr>
          <w:ilvl w:val="0"/>
          <w:numId w:val="535"/>
        </w:numPr>
        <w:rPr/>
      </w:pPr>
      <w:r>
        <w:rPr/>
        <w:t>Identity proofs users that require accounts for logical access to systems based on appropriate identity assurance level requirements as specified in applicable standards and guidelines;</w:t>
      </w:r>
    </w:p>
    <w:p>
      <w:pPr>
        <w:pStyle w:val="ListParagraph"/>
        <w:numPr>
          <w:ilvl w:val="0"/>
          <w:numId w:val="535"/>
        </w:numPr>
        <w:rPr/>
      </w:pPr>
      <w:r>
        <w:rPr/>
        <w:t>Resolves user identities to a unique individual; and</w:t>
      </w:r>
    </w:p>
    <w:p>
      <w:pPr>
        <w:pStyle w:val="ListParagraph"/>
        <w:numPr>
          <w:ilvl w:val="0"/>
          <w:numId w:val="535"/>
        </w:numPr>
        <w:rPr/>
      </w:pPr>
      <w:r>
        <w:rPr/>
        <w:t>Collects, validates and verifies identity evidence.</w:t>
      </w:r>
    </w:p>
    <w:p>
      <w:pPr>
        <w:pStyle w:val="Normal"/>
        <w:rPr/>
      </w:pPr>
      <w:r>
        <w:rPr/>
      </w:r>
    </w:p>
    <w:p>
      <w:pPr>
        <w:pStyle w:val="Normal"/>
        <w:rPr/>
      </w:pPr>
      <w:r>
        <w:rPr>
          <w:u w:val="single"/>
        </w:rPr>
        <w:t>Standard</w:t>
      </w:r>
      <w:r>
        <w:rPr/>
        <w:t>: NFCC validate user identities by:</w:t>
      </w:r>
    </w:p>
    <w:p>
      <w:pPr>
        <w:pStyle w:val="ListParagraph"/>
        <w:numPr>
          <w:ilvl w:val="0"/>
          <w:numId w:val="575"/>
        </w:numPr>
        <w:tabs>
          <w:tab w:val="clear" w:pos="360"/>
          <w:tab w:val="clear" w:pos="720"/>
          <w:tab w:val="clear" w:pos="1080"/>
        </w:tabs>
        <w:rPr/>
      </w:pPr>
      <w:r>
        <w:rPr/>
        <w:t>Identity proofing users that require accounts for logical access to systems based on appropriate identity assurance level requirements as specified in applicable standards and guidelines;</w:t>
      </w:r>
    </w:p>
    <w:p>
      <w:pPr>
        <w:pStyle w:val="ListParagraph"/>
        <w:numPr>
          <w:ilvl w:val="0"/>
          <w:numId w:val="575"/>
        </w:numPr>
        <w:tabs>
          <w:tab w:val="clear" w:pos="360"/>
          <w:tab w:val="clear" w:pos="720"/>
          <w:tab w:val="clear" w:pos="1080"/>
        </w:tabs>
        <w:rPr/>
      </w:pPr>
      <w:r>
        <w:rPr/>
        <w:t>Resolving user identities to a unique individual; and</w:t>
      </w:r>
    </w:p>
    <w:p>
      <w:pPr>
        <w:pStyle w:val="ListParagraph"/>
        <w:numPr>
          <w:ilvl w:val="0"/>
          <w:numId w:val="575"/>
        </w:numPr>
        <w:tabs>
          <w:tab w:val="clear" w:pos="360"/>
          <w:tab w:val="clear" w:pos="720"/>
          <w:tab w:val="clear" w:pos="1080"/>
        </w:tabs>
        <w:rPr/>
      </w:pPr>
      <w:r>
        <w:rPr/>
        <w:t>Collecting, validating and verifying identity evidence.</w:t>
      </w:r>
    </w:p>
    <w:p>
      <w:pPr>
        <w:pStyle w:val="Normal"/>
        <w:rPr/>
      </w:pPr>
      <w:r>
        <w:rPr/>
      </w:r>
    </w:p>
    <w:p>
      <w:pPr>
        <w:pStyle w:val="Normal"/>
        <w:rPr/>
      </w:pPr>
      <w:r>
        <w:rPr>
          <w:u w:val="single"/>
        </w:rPr>
        <w:t>Guidelines</w:t>
      </w:r>
      <w:r>
        <w:rPr/>
        <w:t>: Identity proofing is the process of collecting, validating and verifying user’s identity information for the purposes of issuing credentials for accessing a system. This control is intended to mitigate threats to the registration of users and the establishment of their accounts. Standards and guidelines specifying identity assurance levels for identity proofing include NIST Special Publications 800-63 and 800-63A.</w:t>
      </w:r>
    </w:p>
    <w:p>
      <w:pPr>
        <w:pStyle w:val="Normal"/>
        <w:rPr/>
      </w:pPr>
      <w:r>
        <w:rPr/>
      </w:r>
    </w:p>
    <w:p>
      <w:pPr>
        <w:pStyle w:val="Heading3"/>
        <w:rPr>
          <w:color w:val="FF0000"/>
        </w:rPr>
      </w:pPr>
      <w:bookmarkStart w:id="1141" w:name="_Toc34920965"/>
      <w:r>
        <w:rPr/>
        <w:t>IAC-28(a): Identity Proofing | Supervisor Authorization</w:t>
      </w:r>
      <w:bookmarkEnd w:id="1141"/>
      <w:r>
        <w:rPr/>
        <w:t xml:space="preserve"> </w:t>
      </w:r>
    </w:p>
    <w:p>
      <w:pPr>
        <w:pStyle w:val="Normal"/>
        <w:rPr/>
      </w:pPr>
      <w:r>
        <w:rPr>
          <w:u w:val="single"/>
        </w:rPr>
        <w:t>Control Objective</w:t>
      </w:r>
      <w:r>
        <w:rPr/>
        <w:t>: The organization requires that the registration process to receive an account for logical access includes supervisor or sponsor authorization.</w:t>
      </w:r>
      <w:r>
        <w:rPr>
          <w:rStyle w:val="FootnoteCharacters"/>
        </w:rPr>
        <w:t xml:space="preserve"> </w:t>
      </w:r>
      <w:r>
        <w:rPr>
          <w:rStyle w:val="FootnoteAnchor"/>
          <w:rStyle w:val="FootnoteAnchor"/>
        </w:rPr>
        <w:footnoteReference w:id="362"/>
      </w:r>
      <w:r>
        <w:fldChar w:fldCharType="begin"/>
      </w:r>
      <w:r>
        <w:rPr/>
        <w:instrText> XE "Mobile Devices:Remote Kill: : " </w:instrText>
      </w:r>
      <w:r>
        <w:rPr/>
        <w:fldChar w:fldCharType="separate"/>
      </w:r>
      <w:r>
        <w:rPr/>
      </w:r>
      <w:r>
        <w:rPr/>
        <w:fldChar w:fldCharType="end"/>
      </w:r>
    </w:p>
    <w:p>
      <w:pPr>
        <w:pStyle w:val="Normal"/>
        <w:rPr/>
      </w:pPr>
      <w:r>
        <w:rPr/>
      </w:r>
    </w:p>
    <w:p>
      <w:pPr>
        <w:pStyle w:val="Normal"/>
        <w:rPr/>
      </w:pPr>
      <w:r>
        <w:rPr>
          <w:u w:val="single"/>
        </w:rPr>
        <w:t>Standard</w:t>
      </w:r>
      <w:r>
        <w:rPr/>
        <w:t>: Data/process owners and asset custodians are required to ensure access control decisions are applied to each access request prior to access enforcement.</w:t>
      </w:r>
    </w:p>
    <w:p>
      <w:pPr>
        <w:pStyle w:val="Normal"/>
        <w:rPr/>
      </w:pPr>
      <w:r>
        <w:rPr/>
      </w:r>
    </w:p>
    <w:p>
      <w:pPr>
        <w:pStyle w:val="Normal"/>
        <w:rPr/>
      </w:pPr>
      <w:r>
        <w:rPr>
          <w:u w:val="single"/>
        </w:rPr>
        <w:t>Guidelines</w:t>
      </w:r>
      <w:r>
        <w:rPr/>
        <w:t xml:space="preserve">: Access control decisions (also known as authorization decisions) occur when authorization information is applied to specific accesses. In contrast, access enforcement occurs when systems enforce access control decisions. </w:t>
      </w:r>
    </w:p>
    <w:p>
      <w:pPr>
        <w:pStyle w:val="Normal"/>
        <w:rPr/>
      </w:pPr>
      <w:r>
        <w:rPr/>
      </w:r>
    </w:p>
    <w:p>
      <w:pPr>
        <w:pStyle w:val="Heading3"/>
        <w:rPr>
          <w:color w:val="FF0000"/>
        </w:rPr>
      </w:pPr>
      <w:bookmarkStart w:id="1142" w:name="_Toc34920966"/>
      <w:r>
        <w:rPr/>
        <w:t>IAC-28(b): Identity Proofing | Identity Evidence</w:t>
      </w:r>
      <w:bookmarkEnd w:id="1142"/>
    </w:p>
    <w:p>
      <w:pPr>
        <w:pStyle w:val="Normal"/>
        <w:rPr/>
      </w:pPr>
      <w:r>
        <w:rPr>
          <w:u w:val="single"/>
        </w:rPr>
        <w:t>Control Objective</w:t>
      </w:r>
      <w:r>
        <w:rPr/>
        <w:t>: The organization requires evidence of individual identification be presented to the registration authority.</w:t>
      </w:r>
      <w:r>
        <w:fldChar w:fldCharType="begin"/>
      </w:r>
      <w:r>
        <w:rPr/>
        <w:instrText> XE "Mobile Devices:Remote Kill: : " </w:instrText>
      </w:r>
      <w:r>
        <w:rPr/>
        <w:fldChar w:fldCharType="separate"/>
      </w:r>
      <w:r>
        <w:rPr/>
      </w:r>
      <w:r>
        <w:rPr/>
        <w:fldChar w:fldCharType="end"/>
      </w:r>
    </w:p>
    <w:p>
      <w:pPr>
        <w:pStyle w:val="Normal"/>
        <w:rPr/>
      </w:pPr>
      <w:r>
        <w:rPr/>
      </w:r>
    </w:p>
    <w:p>
      <w:pPr>
        <w:pStyle w:val="Normal"/>
        <w:rPr/>
      </w:pPr>
      <w:r>
        <w:rPr>
          <w:u w:val="single"/>
        </w:rPr>
        <w:t>Standard</w:t>
      </w:r>
      <w:r>
        <w:rPr/>
        <w:t>: NFCC requires that evidence of individual identification be presented to NFCC’s registration authority (e.g., human resources).</w:t>
      </w:r>
    </w:p>
    <w:p>
      <w:pPr>
        <w:pStyle w:val="Normal"/>
        <w:rPr/>
      </w:pPr>
      <w:r>
        <w:rPr/>
      </w:r>
    </w:p>
    <w:p>
      <w:pPr>
        <w:pStyle w:val="Normal"/>
        <w:rPr/>
      </w:pPr>
      <w:r>
        <w:rPr>
          <w:u w:val="single"/>
        </w:rPr>
        <w:t>Guidelines</w:t>
      </w:r>
      <w:r>
        <w:rPr/>
        <w:t>: Requiring identity evidence, such as documentary evidence or a combination of documents and biometrics, reduces the likelihood of individuals using fraudulent identification to establish an identity, or at least increases the work factor of potential adversaries. Acceptable forms of evidence are consistent with the risk to the systems, roles and privileges associated with the user’s account.</w:t>
      </w:r>
    </w:p>
    <w:p>
      <w:pPr>
        <w:pStyle w:val="Normal"/>
        <w:rPr/>
      </w:pPr>
      <w:r>
        <w:rPr/>
      </w:r>
    </w:p>
    <w:p>
      <w:pPr>
        <w:pStyle w:val="Heading3"/>
        <w:rPr>
          <w:color w:val="FF0000"/>
        </w:rPr>
      </w:pPr>
      <w:bookmarkStart w:id="1143" w:name="_Toc34920967"/>
      <w:r>
        <w:rPr/>
        <w:t>IAC-28(c): Identity Proofing | Identity Evidence Validation &amp; Verification</w:t>
      </w:r>
      <w:bookmarkEnd w:id="1143"/>
    </w:p>
    <w:p>
      <w:pPr>
        <w:pStyle w:val="Normal"/>
        <w:rPr/>
      </w:pPr>
      <w:r>
        <w:rPr>
          <w:u w:val="single"/>
        </w:rPr>
        <w:t>Control Objective</w:t>
      </w:r>
      <w:r>
        <w:rPr/>
        <w:t>: The organization requires that the presented identity evidence be validated and verified through organizational-defined methods of validation and verification.</w:t>
      </w:r>
      <w:r>
        <w:fldChar w:fldCharType="begin"/>
      </w:r>
      <w:r>
        <w:rPr/>
        <w:instrText> XE "Mobile Devices:Remote Kill: : " </w:instrText>
      </w:r>
      <w:r>
        <w:rPr/>
        <w:fldChar w:fldCharType="separate"/>
      </w:r>
      <w:r>
        <w:rPr/>
      </w:r>
      <w:r>
        <w:rPr/>
        <w:fldChar w:fldCharType="end"/>
      </w:r>
    </w:p>
    <w:p>
      <w:pPr>
        <w:pStyle w:val="Normal"/>
        <w:rPr/>
      </w:pPr>
      <w:r>
        <w:rPr/>
      </w:r>
    </w:p>
    <w:p>
      <w:pPr>
        <w:pStyle w:val="Normal"/>
        <w:rPr/>
      </w:pPr>
      <w:r>
        <w:rPr>
          <w:u w:val="single"/>
        </w:rPr>
        <w:t>Standard</w:t>
      </w:r>
      <w:r>
        <w:rPr/>
        <w:t>: NFCC requires that the presented identity evidence be validated and verified through methods of validation and verification, as defined by NFCC’s Human Resource (HR) department.</w:t>
      </w:r>
    </w:p>
    <w:p>
      <w:pPr>
        <w:pStyle w:val="Normal"/>
        <w:rPr/>
      </w:pPr>
      <w:r>
        <w:rPr/>
      </w:r>
    </w:p>
    <w:p>
      <w:pPr>
        <w:pStyle w:val="Normal"/>
        <w:rPr/>
      </w:pPr>
      <w:r>
        <w:rPr>
          <w:u w:val="single"/>
        </w:rPr>
        <w:t>Guidelines</w:t>
      </w:r>
      <w:r>
        <w:rPr/>
        <w:t>: Validating and verifying identity evidence increases the assurance that that accounts, identifiers and authenticators are being issued to the correct user. Validation refers to the process of confirming that the evidence is genuine and authentic and that the data contained in the evidence is correct, current and related to an actual person or individual. Verification confirms and establishes a linkage between the claimed identity and the actual existence of the user presenting the evidence. Acceptable methods for validating and verifying identity evidence are consistent with the risk to the systems, roles and privileges associated with the users account.</w:t>
      </w:r>
    </w:p>
    <w:p>
      <w:pPr>
        <w:pStyle w:val="Normal"/>
        <w:rPr/>
      </w:pPr>
      <w:r>
        <w:rPr/>
      </w:r>
    </w:p>
    <w:p>
      <w:pPr>
        <w:pStyle w:val="Heading3"/>
        <w:rPr>
          <w:color w:val="FF0000"/>
        </w:rPr>
      </w:pPr>
      <w:bookmarkStart w:id="1144" w:name="_Toc34920968"/>
      <w:r>
        <w:rPr/>
        <w:t>IAC-28(d): Identity Proofing | In-Person Validation &amp; Verification</w:t>
      </w:r>
      <w:bookmarkEnd w:id="1144"/>
    </w:p>
    <w:p>
      <w:pPr>
        <w:pStyle w:val="Normal"/>
        <w:rPr/>
      </w:pPr>
      <w:r>
        <w:rPr>
          <w:u w:val="single"/>
        </w:rPr>
        <w:t>Control Objective</w:t>
      </w:r>
      <w:r>
        <w:rPr/>
        <w:t>: The organization requires that the validation and verification of identity evidence be conducted in person before a designated registration authority.</w:t>
      </w:r>
      <w:r>
        <w:fldChar w:fldCharType="begin"/>
      </w:r>
      <w:r>
        <w:rPr/>
        <w:instrText> XE "Mobile Devices:Remote Kill: : " </w:instrText>
      </w:r>
      <w:r>
        <w:rPr/>
        <w:fldChar w:fldCharType="separate"/>
      </w:r>
      <w:r>
        <w:rPr/>
      </w:r>
      <w:r>
        <w:rPr/>
        <w:fldChar w:fldCharType="end"/>
      </w:r>
    </w:p>
    <w:p>
      <w:pPr>
        <w:pStyle w:val="Normal"/>
        <w:rPr/>
      </w:pPr>
      <w:r>
        <w:rPr/>
      </w:r>
    </w:p>
    <w:p>
      <w:pPr>
        <w:pStyle w:val="Normal"/>
        <w:rPr/>
      </w:pPr>
      <w:r>
        <w:rPr>
          <w:u w:val="single"/>
        </w:rPr>
        <w:t>Standard</w:t>
      </w:r>
      <w:r>
        <w:rPr/>
        <w:t>: NFCC’s Human Resources (HR) department, in conjunction with the Identity and Access Management (IAM) team, must develop and implement mechanisms to enforce authenticators are only issued by:</w:t>
      </w:r>
    </w:p>
    <w:p>
      <w:pPr>
        <w:pStyle w:val="ListParagraph"/>
        <w:numPr>
          <w:ilvl w:val="0"/>
          <w:numId w:val="576"/>
        </w:numPr>
        <w:tabs>
          <w:tab w:val="clear" w:pos="360"/>
          <w:tab w:val="clear" w:pos="720"/>
          <w:tab w:val="clear" w:pos="1080"/>
        </w:tabs>
        <w:rPr/>
      </w:pPr>
      <w:r>
        <w:rPr/>
        <w:t>An in-person process that is managed by HR-designated personnel/roles; or</w:t>
      </w:r>
    </w:p>
    <w:p>
      <w:pPr>
        <w:pStyle w:val="ListParagraph"/>
        <w:numPr>
          <w:ilvl w:val="0"/>
          <w:numId w:val="576"/>
        </w:numPr>
        <w:tabs>
          <w:tab w:val="clear" w:pos="360"/>
          <w:tab w:val="clear" w:pos="720"/>
          <w:tab w:val="clear" w:pos="1080"/>
        </w:tabs>
        <w:rPr/>
      </w:pPr>
      <w:r>
        <w:rPr/>
        <w:t>An outsourced process that is managed by a trusted third party.</w:t>
      </w:r>
    </w:p>
    <w:p>
      <w:pPr>
        <w:pStyle w:val="Normal"/>
        <w:rPr/>
      </w:pPr>
      <w:r>
        <w:rPr/>
      </w:r>
    </w:p>
    <w:p>
      <w:pPr>
        <w:pStyle w:val="Normal"/>
        <w:rPr>
          <w:rFonts w:eastAsia="Calibri"/>
          <w:b/>
          <w:b/>
          <w:bCs w:val="false"/>
          <w:iCs/>
          <w:smallCaps/>
          <w:color w:val="1F497D" w:themeColor="text2"/>
        </w:rPr>
      </w:pPr>
      <w:r>
        <w:rPr>
          <w:u w:val="single"/>
        </w:rPr>
        <w:t>Guidelines</w:t>
      </w:r>
      <w:r>
        <w:rPr/>
        <w:t>: In-person proofing reduces the likelihood of fraudulent credentials being issued because it requires the physical presence of individuals, the presentation of physical identity documents and actual face-to-face interactions with designated registration authorities.</w:t>
      </w:r>
    </w:p>
    <w:p>
      <w:pPr>
        <w:pStyle w:val="Normal"/>
        <w:rPr/>
      </w:pPr>
      <w:r>
        <w:rPr/>
      </w:r>
    </w:p>
    <w:p>
      <w:pPr>
        <w:pStyle w:val="Heading3"/>
        <w:rPr>
          <w:color w:val="FF0000"/>
        </w:rPr>
      </w:pPr>
      <w:bookmarkStart w:id="1145" w:name="_Toc34920969"/>
      <w:r>
        <w:rPr/>
        <w:t>IAC-28(e): Identity Proofing | Address Confirmation</w:t>
      </w:r>
      <w:bookmarkEnd w:id="1145"/>
    </w:p>
    <w:p>
      <w:pPr>
        <w:pStyle w:val="Normal"/>
        <w:rPr/>
      </w:pPr>
      <w:r>
        <w:rPr>
          <w:u w:val="single"/>
        </w:rPr>
        <w:t>Control Objective</w:t>
      </w:r>
      <w:r>
        <w:rPr/>
        <w:t>: The organization requires that a notice of proofing be delivered through an out-of-band channel to verify the users address (physical or digital) of record.</w:t>
      </w:r>
      <w:r>
        <w:fldChar w:fldCharType="begin"/>
      </w:r>
      <w:r>
        <w:rPr/>
        <w:instrText> XE "Mobile Devices:Remote Kill: : " </w:instrText>
      </w:r>
      <w:r>
        <w:rPr/>
        <w:fldChar w:fldCharType="separate"/>
      </w:r>
      <w:r>
        <w:rPr/>
      </w:r>
      <w:r>
        <w:rPr/>
        <w:fldChar w:fldCharType="end"/>
      </w:r>
    </w:p>
    <w:p>
      <w:pPr>
        <w:pStyle w:val="Normal"/>
        <w:rPr/>
      </w:pPr>
      <w:r>
        <w:rPr/>
      </w:r>
    </w:p>
    <w:p>
      <w:pPr>
        <w:pStyle w:val="Normal"/>
        <w:rPr/>
      </w:pPr>
      <w:r>
        <w:rPr>
          <w:u w:val="single"/>
        </w:rPr>
        <w:t>Standard</w:t>
      </w:r>
      <w:r>
        <w:rPr/>
        <w:t>: When address confirmation is required as part of the hiring process, NFCC requires that a notice of proofing be delivered through an out-of-band channel to verify the user’s address of record.</w:t>
      </w:r>
    </w:p>
    <w:p>
      <w:pPr>
        <w:pStyle w:val="Normal"/>
        <w:rPr/>
      </w:pPr>
      <w:r>
        <w:rPr/>
      </w:r>
    </w:p>
    <w:p>
      <w:pPr>
        <w:pStyle w:val="Normal"/>
        <w:rPr/>
      </w:pPr>
      <w:r>
        <w:rPr>
          <w:u w:val="single"/>
        </w:rPr>
        <w:t>Guidelines</w:t>
      </w:r>
      <w:r>
        <w:rPr/>
        <w:t>: To make it more difficult for adversaries to pose as legitimate users during the identity proofing process, organizations can use out-of-band methods to increase assurance that the individual associated with an address of record was the same person that participated in the registration. Confirmation can take the form of a temporary enrollment code or a notice of proofing. The delivery address for these artifacts are obtained from records and not self-asserted by the user. The address can include a physical or a digital address. A home address is an example of a physical address. Email addresses and telephone numbers are examples of digital addresses.</w:t>
      </w:r>
    </w:p>
    <w:p>
      <w:pPr>
        <w:pStyle w:val="Normal"/>
        <w:tabs>
          <w:tab w:val="clear" w:pos="360"/>
          <w:tab w:val="clear" w:pos="720"/>
          <w:tab w:val="clear" w:pos="1080"/>
        </w:tabs>
        <w:jc w:val="left"/>
        <w:rPr/>
      </w:pPr>
      <w:r>
        <w:rPr/>
      </w:r>
      <w:r>
        <w:br w:type="page"/>
      </w:r>
    </w:p>
    <w:p>
      <w:pPr>
        <w:pStyle w:val="Heading1"/>
        <w:rPr/>
      </w:pPr>
      <w:bookmarkStart w:id="1146" w:name="_Toc34920970"/>
      <w:bookmarkStart w:id="1147" w:name="_Toc474075068"/>
      <w:bookmarkStart w:id="1148" w:name="_Toc474075662"/>
      <w:r>
        <w:rPr/>
        <w:t>Incident Response (IRO)</w:t>
      </w:r>
      <w:bookmarkEnd w:id="1147"/>
      <w:bookmarkEnd w:id="1148"/>
      <w:r>
        <w:rPr/>
        <w:t xml:space="preserve"> Policy &amp; Standards</w:t>
      </w:r>
      <w:bookmarkEnd w:id="1146"/>
    </w:p>
    <w:p>
      <w:pPr>
        <w:pStyle w:val="Normal"/>
        <w:rPr/>
      </w:pPr>
      <w:r>
        <w:rPr/>
      </w:r>
    </w:p>
    <w:p>
      <w:pPr>
        <w:pStyle w:val="Normal"/>
        <w:rPr/>
      </w:pPr>
      <w:r>
        <w:rPr>
          <w:u w:val="single"/>
        </w:rPr>
        <w:t>Management Intent</w:t>
      </w:r>
      <w:r>
        <w:rPr/>
        <w:t>: The purpose of the Incident Response (IRO) policy is to establish and maintain a capability to guide NFCC’s response when security-related incidents occur.</w:t>
      </w:r>
    </w:p>
    <w:p>
      <w:pPr>
        <w:pStyle w:val="Normal"/>
        <w:rPr/>
      </w:pPr>
      <w:r>
        <w:rPr/>
      </w:r>
    </w:p>
    <w:p>
      <w:pPr>
        <w:pStyle w:val="Normal"/>
        <w:shd w:val="clear" w:color="auto" w:fill="DDD9C3" w:themeFill="background2" w:themeFillShade="e6"/>
        <w:rPr/>
      </w:pPr>
      <w:r>
        <w:rPr>
          <w:u w:val="single"/>
        </w:rPr>
        <w:t>Policy</w:t>
      </w:r>
      <w:r>
        <w:rPr/>
        <w:t>: NFCC shall maintain a cybersecurity incident handling capability that includes adequate preparation, detection, analysis, containment, recovery and reporting activities.</w:t>
      </w:r>
    </w:p>
    <w:p>
      <w:pPr>
        <w:pStyle w:val="Normal"/>
        <w:rPr>
          <w:u w:val="single"/>
        </w:rPr>
      </w:pPr>
      <w:r>
        <w:rPr>
          <w:u w:val="single"/>
        </w:rPr>
      </w:r>
    </w:p>
    <w:p>
      <w:pPr>
        <w:pStyle w:val="Normal"/>
        <w:rPr/>
      </w:pPr>
      <w:r>
        <w:rPr>
          <w:u w:val="single"/>
        </w:rPr>
        <w:t>Supporting Documentation</w:t>
      </w:r>
      <w:r>
        <w:rPr/>
        <w:t xml:space="preserve">: This policy is supported by the following control objectives, standards and guidelines. </w:t>
      </w:r>
    </w:p>
    <w:p>
      <w:pPr>
        <w:pStyle w:val="Normal"/>
        <w:rPr/>
      </w:pPr>
      <w:r>
        <w:rPr/>
      </w:r>
    </w:p>
    <w:p>
      <w:pPr>
        <w:pStyle w:val="Normal"/>
        <w:rPr/>
      </w:pPr>
      <w:r>
        <w:rPr/>
      </w:r>
    </w:p>
    <w:p>
      <w:pPr>
        <w:pStyle w:val="Heading2"/>
        <w:rPr/>
      </w:pPr>
      <w:bookmarkStart w:id="1149" w:name="_Toc34920971"/>
      <w:bookmarkStart w:id="1150" w:name="_Toc462992775"/>
      <w:bookmarkStart w:id="1151" w:name="_Toc474075069"/>
      <w:bookmarkStart w:id="1152" w:name="_Toc474075663"/>
      <w:r>
        <w:rPr/>
        <w:t>IRO-01: Incidents</w:t>
      </w:r>
      <w:bookmarkEnd w:id="1150"/>
      <w:bookmarkEnd w:id="1151"/>
      <w:bookmarkEnd w:id="1152"/>
      <w:r>
        <w:rPr/>
        <w:t xml:space="preserve"> Response Operations</w:t>
      </w:r>
      <w:bookmarkEnd w:id="1149"/>
    </w:p>
    <w:p>
      <w:pPr>
        <w:pStyle w:val="Normal"/>
        <w:rPr/>
      </w:pPr>
      <w:r>
        <w:rPr>
          <w:u w:val="single"/>
        </w:rPr>
        <w:t>Control Objective</w:t>
      </w:r>
      <w:r>
        <w:rPr/>
        <w:t>: The organization develops, implements and governs processes and documentation to facilitate the implementation of an enterprise-wide incident response policy, as well as associated standards, controls and procedures.</w:t>
      </w:r>
      <w:r>
        <w:rPr>
          <w:rStyle w:val="FootnoteCharacters"/>
        </w:rPr>
        <w:t xml:space="preserve"> </w:t>
      </w:r>
      <w:r>
        <w:rPr>
          <w:rStyle w:val="FootnoteAnchor"/>
          <w:rStyle w:val="FootnoteAnchor"/>
        </w:rPr>
        <w:footnoteReference w:id="363"/>
      </w:r>
    </w:p>
    <w:p>
      <w:pPr>
        <w:pStyle w:val="Normal"/>
        <w:rPr/>
      </w:pPr>
      <w:r>
        <w:rPr/>
      </w:r>
    </w:p>
    <w:p>
      <w:pPr>
        <w:pStyle w:val="Normal"/>
        <w:rPr>
          <w:rFonts w:cs="Arial"/>
          <w:sz w:val="18"/>
          <w:szCs w:val="18"/>
        </w:rPr>
      </w:pPr>
      <w:r>
        <w:rPr>
          <w:u w:val="single"/>
        </w:rPr>
        <w:t>Standard</w:t>
      </w:r>
      <w:r>
        <w:rPr/>
        <w:t>: NFCC is required to document enterprise-wide incident response controls that, at a minimum, include</w:t>
      </w:r>
      <w:r>
        <w:rPr>
          <w:rFonts w:cs="Arial"/>
          <w:sz w:val="18"/>
          <w:szCs w:val="18"/>
        </w:rPr>
        <w:t>:</w:t>
      </w:r>
    </w:p>
    <w:p>
      <w:pPr>
        <w:pStyle w:val="ListParagraph"/>
        <w:numPr>
          <w:ilvl w:val="0"/>
          <w:numId w:val="374"/>
        </w:numPr>
        <w:rPr/>
      </w:pPr>
      <w:r>
        <w:rPr/>
        <w:t>A formal, documented Incident Response Plan (IRP); and</w:t>
      </w:r>
    </w:p>
    <w:p>
      <w:pPr>
        <w:pStyle w:val="ListParagraph"/>
        <w:numPr>
          <w:ilvl w:val="0"/>
          <w:numId w:val="374"/>
        </w:numPr>
        <w:rPr/>
      </w:pPr>
      <w:r>
        <w:rPr/>
        <w:t>Processes to facilitate the implementation of the incident response processes and associated controls.</w:t>
      </w:r>
    </w:p>
    <w:p>
      <w:pPr>
        <w:pStyle w:val="Normal"/>
        <w:rPr/>
      </w:pPr>
      <w:r>
        <w:rPr/>
      </w:r>
    </w:p>
    <w:p>
      <w:pPr>
        <w:pStyle w:val="Normal"/>
        <w:rPr/>
      </w:pPr>
      <w:r>
        <w:rPr>
          <w:u w:val="single"/>
        </w:rPr>
        <w:t>Guidelines</w:t>
      </w:r>
      <w:r>
        <w:rPr/>
        <w:t>: The objective is to ensure a consistent and effective approach to the management of cybersecurity incidents, including communication on security events and weaknesses.</w:t>
      </w:r>
    </w:p>
    <w:p>
      <w:pPr>
        <w:pStyle w:val="Normal"/>
        <w:rPr/>
      </w:pPr>
      <w:r>
        <w:rPr/>
      </w:r>
    </w:p>
    <w:p>
      <w:pPr>
        <w:pStyle w:val="Normal"/>
        <w:rPr/>
      </w:pPr>
      <w:r>
        <w:rPr/>
        <w:t>National Institute of Standards and Technology (NIST) guidance for incident response industry-recognized leading practices can be referenced at:</w:t>
      </w:r>
    </w:p>
    <w:p>
      <w:pPr>
        <w:pStyle w:val="ListParagraph"/>
        <w:numPr>
          <w:ilvl w:val="0"/>
          <w:numId w:val="209"/>
        </w:numPr>
        <w:rPr/>
      </w:pPr>
      <w:r>
        <w:rPr/>
        <w:t>Computer Security Incident Handling Guide</w:t>
      </w:r>
      <w:r>
        <w:rPr>
          <w:rStyle w:val="FootnoteAnchor"/>
          <w:rStyle w:val="FootnoteAnchor"/>
        </w:rPr>
        <w:footnoteReference w:id="364"/>
      </w:r>
    </w:p>
    <w:p>
      <w:pPr>
        <w:pStyle w:val="ListParagraph"/>
        <w:numPr>
          <w:ilvl w:val="0"/>
          <w:numId w:val="209"/>
        </w:numPr>
        <w:rPr/>
      </w:pPr>
      <w:r>
        <w:rPr/>
        <w:t>Guide to Integrating Forensic Techniques into Incident Response</w:t>
      </w:r>
      <w:r>
        <w:rPr>
          <w:rStyle w:val="FootnoteAnchor"/>
          <w:rStyle w:val="FootnoteAnchor"/>
        </w:rPr>
        <w:footnoteReference w:id="365"/>
      </w:r>
      <w:r>
        <w:rPr/>
        <w:t xml:space="preserve"> </w:t>
      </w:r>
    </w:p>
    <w:p>
      <w:pPr>
        <w:pStyle w:val="Normal"/>
        <w:rPr/>
      </w:pPr>
      <w:r>
        <w:rPr/>
      </w:r>
    </w:p>
    <w:p>
      <w:pPr>
        <w:pStyle w:val="Normal"/>
        <w:rPr/>
      </w:pPr>
      <w:r>
        <w:rPr/>
      </w:r>
    </w:p>
    <w:p>
      <w:pPr>
        <w:pStyle w:val="Heading2"/>
        <w:rPr/>
      </w:pPr>
      <w:bookmarkStart w:id="1153" w:name="_Toc474075070"/>
      <w:bookmarkStart w:id="1154" w:name="_Toc474075664"/>
      <w:bookmarkStart w:id="1155" w:name="_Toc34920972"/>
      <w:r>
        <w:rPr/>
        <w:t>IRO-02: Incident Handling</w:t>
      </w:r>
      <w:bookmarkEnd w:id="1153"/>
      <w:bookmarkEnd w:id="1154"/>
      <w:bookmarkEnd w:id="1155"/>
      <w:r>
        <w:rPr/>
        <w:t xml:space="preserve"> </w:t>
      </w:r>
    </w:p>
    <w:p>
      <w:pPr>
        <w:pStyle w:val="Normal"/>
        <w:rPr/>
      </w:pPr>
      <w:r>
        <w:rPr>
          <w:u w:val="single"/>
        </w:rPr>
        <w:t>Control Objective</w:t>
      </w:r>
      <w:r>
        <w:rPr/>
        <w:t>: The organization:</w:t>
      </w:r>
      <w:r>
        <w:rPr>
          <w:rStyle w:val="FootnoteCharacters"/>
          <w:rFonts w:cs="Calibri"/>
        </w:rPr>
        <w:t xml:space="preserve"> </w:t>
      </w:r>
      <w:r>
        <w:rPr>
          <w:rStyle w:val="FootnoteAnchor"/>
          <w:rStyle w:val="FootnoteAnchor"/>
          <w:rFonts w:cs="Calibri"/>
        </w:rPr>
        <w:footnoteReference w:id="366"/>
      </w:r>
      <w:r>
        <w:rPr>
          <w:rFonts w:cs="Calibri"/>
        </w:rPr>
        <w:t xml:space="preserve"> </w:t>
      </w:r>
    </w:p>
    <w:p>
      <w:pPr>
        <w:pStyle w:val="ListParagraph"/>
        <w:numPr>
          <w:ilvl w:val="0"/>
          <w:numId w:val="36"/>
        </w:numPr>
        <w:rPr/>
      </w:pPr>
      <w:r>
        <w:rPr/>
        <w:t>Implements an incident handling capability for security incidents that includes preparation, detection and analysis, containment, eradication and recovery;</w:t>
      </w:r>
    </w:p>
    <w:p>
      <w:pPr>
        <w:pStyle w:val="ListParagraph"/>
        <w:numPr>
          <w:ilvl w:val="0"/>
          <w:numId w:val="36"/>
        </w:numPr>
        <w:rPr/>
      </w:pPr>
      <w:r>
        <w:rPr/>
        <w:t>Coordinates incident handling activities with contingency planning activities; and</w:t>
      </w:r>
    </w:p>
    <w:p>
      <w:pPr>
        <w:pStyle w:val="ListParagraph"/>
        <w:numPr>
          <w:ilvl w:val="0"/>
          <w:numId w:val="36"/>
        </w:numPr>
        <w:rPr/>
      </w:pPr>
      <w:r>
        <w:rPr/>
        <w:t>Incorporates lessons learned from ongoing incident handling activities into incident response procedures, training and testing / exercises and implements the resulting changes accordingly.</w:t>
      </w:r>
    </w:p>
    <w:p>
      <w:pPr>
        <w:pStyle w:val="Normal"/>
        <w:rPr/>
      </w:pPr>
      <w:r>
        <w:rPr/>
      </w:r>
    </w:p>
    <w:p>
      <w:pPr>
        <w:pStyle w:val="Normal"/>
        <w:rPr/>
      </w:pPr>
      <w:r>
        <w:rPr>
          <w:u w:val="single"/>
        </w:rPr>
        <w:t>Standard</w:t>
      </w:r>
      <w:r>
        <w:rPr/>
        <w:t>: NFCC management and IT staff are required to:</w:t>
      </w:r>
    </w:p>
    <w:p>
      <w:pPr>
        <w:pStyle w:val="ListParagraph"/>
        <w:numPr>
          <w:ilvl w:val="0"/>
          <w:numId w:val="375"/>
        </w:numPr>
        <w:rPr/>
      </w:pPr>
      <w:r>
        <w:rPr/>
        <w:t>Investigate notifications from detection systems; </w:t>
      </w:r>
    </w:p>
    <w:p>
      <w:pPr>
        <w:pStyle w:val="ListParagraph"/>
        <w:numPr>
          <w:ilvl w:val="0"/>
          <w:numId w:val="375"/>
        </w:numPr>
        <w:rPr/>
      </w:pPr>
      <w:r>
        <w:rPr/>
        <w:t xml:space="preserve">Identify and assess the severity and classification of incidents; </w:t>
      </w:r>
    </w:p>
    <w:p>
      <w:pPr>
        <w:pStyle w:val="ListParagraph"/>
        <w:numPr>
          <w:ilvl w:val="0"/>
          <w:numId w:val="375"/>
        </w:numPr>
        <w:rPr/>
      </w:pPr>
      <w:r>
        <w:rPr/>
        <w:t>Define appropriate actions to take in response to the incident; and</w:t>
      </w:r>
    </w:p>
    <w:p>
      <w:pPr>
        <w:pStyle w:val="ListParagraph"/>
        <w:numPr>
          <w:ilvl w:val="0"/>
          <w:numId w:val="375"/>
        </w:numPr>
        <w:rPr/>
      </w:pPr>
      <w:r>
        <w:rPr/>
        <w:t>Respond with appropriate actions to minimize impact and ensure the continuation of business functions.</w:t>
      </w:r>
    </w:p>
    <w:p>
      <w:pPr>
        <w:pStyle w:val="Normal"/>
        <w:rPr/>
      </w:pPr>
      <w:r>
        <w:rPr/>
      </w:r>
    </w:p>
    <w:p>
      <w:pPr>
        <w:pStyle w:val="Normal"/>
        <w:rPr/>
      </w:pPr>
      <w:r>
        <w:rPr>
          <w:u w:val="single"/>
        </w:rPr>
        <w:t>Guidelines</w:t>
      </w:r>
      <w:r>
        <w:rPr/>
        <w:t>: Organizations recognize that incident response capability is dependent on the capabilities of organizational systems and the mission / business processes being supported by those systems. Therefore, organizations consider incident response as part of the definition, design and development of mission / business processes and systems. Incident-related information can be obtained from a variety of sources including, for example, audit monitoring, network monitoring, physical access monitoring, user / administrator reports and reported supply chain events. Effective incident handling capability includes coordination among many organizational entities including, for example, mission / business owners, system owners, authorizing officials, human resources offices, physical and personnel security offices, legal departments, operations personnel, procurement offices and the risk executive (function).</w:t>
      </w:r>
    </w:p>
    <w:p>
      <w:pPr>
        <w:pStyle w:val="Normal"/>
        <w:rPr/>
      </w:pPr>
      <w:r>
        <w:rPr/>
      </w:r>
    </w:p>
    <w:p>
      <w:pPr>
        <w:pStyle w:val="Normal"/>
        <w:rPr/>
      </w:pPr>
      <w:r>
        <w:rPr/>
      </w:r>
    </w:p>
    <w:p>
      <w:pPr>
        <w:pStyle w:val="Heading3"/>
        <w:rPr/>
      </w:pPr>
      <w:bookmarkStart w:id="1156" w:name="_Toc474075071"/>
      <w:bookmarkStart w:id="1157" w:name="_Toc34920973"/>
      <w:r>
        <w:rPr/>
        <w:t>IRO-02(a): Incident Handling | Automated Incident Handling Processes</w:t>
      </w:r>
      <w:bookmarkEnd w:id="1156"/>
      <w:bookmarkEnd w:id="1157"/>
      <w:r>
        <w:rPr/>
        <w:t xml:space="preserve"> </w:t>
      </w:r>
    </w:p>
    <w:p>
      <w:pPr>
        <w:pStyle w:val="Normal"/>
        <w:rPr/>
      </w:pPr>
      <w:r>
        <w:rPr>
          <w:u w:val="single"/>
        </w:rPr>
        <w:t>Control Objective</w:t>
      </w:r>
      <w:r>
        <w:rPr/>
        <w:t>: The organization employs automated mechanisms to support the incident handling process.</w:t>
      </w:r>
      <w:r>
        <w:rPr>
          <w:rStyle w:val="FootnoteAnchor"/>
          <w:rStyle w:val="FootnoteAnchor"/>
          <w:rFonts w:cs="Calibri"/>
        </w:rPr>
        <w:footnoteReference w:id="367"/>
      </w:r>
    </w:p>
    <w:p>
      <w:pPr>
        <w:pStyle w:val="Normal"/>
        <w:rPr/>
      </w:pPr>
      <w:r>
        <w:rPr/>
      </w:r>
    </w:p>
    <w:p>
      <w:pPr>
        <w:pStyle w:val="Normal"/>
        <w:rPr/>
      </w:pPr>
      <w:r>
        <w:rPr>
          <w:u w:val="single"/>
        </w:rPr>
        <w:t>Standard</w:t>
      </w:r>
      <w:r>
        <w:rPr/>
        <w:t>: Where technically feasible, NFCC shall employ automated mechanisms to support the incident handling process.</w:t>
      </w:r>
    </w:p>
    <w:p>
      <w:pPr>
        <w:pStyle w:val="Normal"/>
        <w:rPr/>
      </w:pPr>
      <w:r>
        <w:rPr/>
      </w:r>
    </w:p>
    <w:p>
      <w:pPr>
        <w:pStyle w:val="Normal"/>
        <w:rPr/>
      </w:pPr>
      <w:r>
        <w:rPr>
          <w:rFonts w:cs="Calibri"/>
          <w:u w:val="single"/>
        </w:rPr>
        <w:t>Guidelines</w:t>
      </w:r>
      <w:r>
        <w:rPr>
          <w:rFonts w:cs="Calibri"/>
        </w:rPr>
        <w:t xml:space="preserve">: </w:t>
      </w:r>
      <w:r>
        <w:rPr/>
        <w:t>Automated mechanisms supporting incident handling processes include, for example, online incident management systems.</w:t>
      </w:r>
    </w:p>
    <w:p>
      <w:pPr>
        <w:pStyle w:val="Normal"/>
        <w:rPr/>
      </w:pPr>
      <w:r>
        <w:rPr/>
      </w:r>
    </w:p>
    <w:p>
      <w:pPr>
        <w:pStyle w:val="Heading3"/>
        <w:rPr/>
      </w:pPr>
      <w:bookmarkStart w:id="1158" w:name="_Toc34920974"/>
      <w:bookmarkStart w:id="1159" w:name="_Toc474075072"/>
      <w:r>
        <w:rPr/>
        <w:t xml:space="preserve">IRO-02(b): Incident Handling | </w:t>
      </w:r>
      <w:bookmarkEnd w:id="1159"/>
      <w:r>
        <w:rPr/>
        <w:t>Insider Threat Program</w:t>
      </w:r>
      <w:bookmarkEnd w:id="1158"/>
      <w:r>
        <w:rPr/>
        <w:t xml:space="preserve"> </w:t>
      </w:r>
    </w:p>
    <w:p>
      <w:pPr>
        <w:pStyle w:val="Normal"/>
        <w:rPr/>
      </w:pPr>
      <w:r>
        <w:rPr>
          <w:rFonts w:cs="Calibri"/>
          <w:u w:val="single"/>
        </w:rPr>
        <w:t>Control Objective</w:t>
      </w:r>
      <w:r>
        <w:rPr>
          <w:rFonts w:cs="Calibri"/>
        </w:rPr>
        <w:t xml:space="preserve">: </w:t>
      </w:r>
      <w:r>
        <w:rPr/>
        <w:t>The organization implements incident handling capability for insider threats.</w:t>
      </w:r>
      <w:r>
        <w:rPr>
          <w:rStyle w:val="FootnoteAnchor"/>
          <w:rStyle w:val="FootnoteAnchor"/>
          <w:rFonts w:cs="Calibri"/>
        </w:rPr>
        <w:footnoteReference w:id="368"/>
      </w:r>
    </w:p>
    <w:p>
      <w:pPr>
        <w:pStyle w:val="Normal"/>
        <w:rPr>
          <w:rFonts w:cs="Calibri"/>
        </w:rPr>
      </w:pPr>
      <w:r>
        <w:rPr>
          <w:rFonts w:cs="Calibri"/>
        </w:rPr>
      </w:r>
    </w:p>
    <w:p>
      <w:pPr>
        <w:pStyle w:val="Normal"/>
        <w:rPr/>
      </w:pPr>
      <w:r>
        <w:rPr>
          <w:rFonts w:cs="Calibri"/>
          <w:u w:val="single"/>
        </w:rPr>
        <w:t>Standard</w:t>
      </w:r>
      <w:r>
        <w:rPr>
          <w:rFonts w:cs="Calibri"/>
        </w:rPr>
        <w:t xml:space="preserve">: NFCC is required to maintain a defense against insider threat capability that is focused on preventing the abuse of resources or theft of sensitive data. </w:t>
      </w:r>
      <w:r>
        <w:rPr/>
        <w:t>NFCC shall take precautions to detect, prevent and mitigate insider threats through the following means:</w:t>
      </w:r>
    </w:p>
    <w:p>
      <w:pPr>
        <w:pStyle w:val="ListParagraph"/>
        <w:numPr>
          <w:ilvl w:val="0"/>
          <w:numId w:val="608"/>
        </w:numPr>
        <w:rPr/>
      </w:pPr>
      <w:r>
        <w:rPr/>
        <w:t>Identify relevant patterns, practices and specific forms of activity that signal possible insider threat actions and incorporate those warnings into the incident response intake process:</w:t>
      </w:r>
    </w:p>
    <w:p>
      <w:pPr>
        <w:pStyle w:val="ListParagraph"/>
        <w:numPr>
          <w:ilvl w:val="1"/>
          <w:numId w:val="608"/>
        </w:numPr>
        <w:rPr/>
      </w:pPr>
      <w:r>
        <w:rPr/>
        <w:t>Alerts, notifications or warnings from a Consumer Reporting Agency;</w:t>
      </w:r>
    </w:p>
    <w:p>
      <w:pPr>
        <w:pStyle w:val="ListParagraph"/>
        <w:numPr>
          <w:ilvl w:val="1"/>
          <w:numId w:val="608"/>
        </w:numPr>
        <w:rPr/>
      </w:pPr>
      <w:r>
        <w:rPr/>
        <w:t>Suspicious documents;</w:t>
      </w:r>
    </w:p>
    <w:p>
      <w:pPr>
        <w:pStyle w:val="ListParagraph"/>
        <w:numPr>
          <w:ilvl w:val="1"/>
          <w:numId w:val="608"/>
        </w:numPr>
        <w:rPr/>
      </w:pPr>
      <w:r>
        <w:rPr/>
        <w:t>Suspicious personal data (storage or transmission);</w:t>
      </w:r>
    </w:p>
    <w:p>
      <w:pPr>
        <w:pStyle w:val="ListParagraph"/>
        <w:numPr>
          <w:ilvl w:val="1"/>
          <w:numId w:val="608"/>
        </w:numPr>
        <w:rPr/>
      </w:pPr>
      <w:r>
        <w:rPr/>
        <w:t>Unusual use of or suspicious activity related to, the sensitive data or systems; and</w:t>
      </w:r>
    </w:p>
    <w:p>
      <w:pPr>
        <w:pStyle w:val="ListParagraph"/>
        <w:numPr>
          <w:ilvl w:val="1"/>
          <w:numId w:val="608"/>
        </w:numPr>
        <w:rPr/>
      </w:pPr>
      <w:r>
        <w:rPr/>
        <w:t>Notice from customers, victims of identity theft, law enforcement authorities or other persons regarding possible insider threats in connection with sensitive data or systems.</w:t>
      </w:r>
    </w:p>
    <w:p>
      <w:pPr>
        <w:pStyle w:val="ListParagraph"/>
        <w:numPr>
          <w:ilvl w:val="0"/>
          <w:numId w:val="608"/>
        </w:numPr>
        <w:rPr/>
      </w:pPr>
      <w:r>
        <w:rPr/>
        <w:t>Detect “Red Flags” that have been incorporated into the incident response intake process (e.g., indicators of compromise);</w:t>
      </w:r>
    </w:p>
    <w:p>
      <w:pPr>
        <w:pStyle w:val="ListParagraph"/>
        <w:numPr>
          <w:ilvl w:val="0"/>
          <w:numId w:val="608"/>
        </w:numPr>
        <w:rPr/>
      </w:pPr>
      <w:r>
        <w:rPr/>
        <w:t>Respond appropriately to any incidents that are detected to prevent and mitigate insider threats; and</w:t>
      </w:r>
    </w:p>
    <w:p>
      <w:pPr>
        <w:pStyle w:val="ListParagraph"/>
        <w:numPr>
          <w:ilvl w:val="0"/>
          <w:numId w:val="608"/>
        </w:numPr>
        <w:rPr/>
      </w:pPr>
      <w:r>
        <w:rPr/>
        <w:t>Ensure the incident response capability is updated periodically to reflect changes in risks from insider threats.</w:t>
      </w:r>
    </w:p>
    <w:p>
      <w:pPr>
        <w:pStyle w:val="Normal"/>
        <w:rPr>
          <w:rFonts w:cs="Calibri"/>
        </w:rPr>
      </w:pPr>
      <w:r>
        <w:rPr>
          <w:rFonts w:cs="Calibri"/>
        </w:rPr>
      </w:r>
    </w:p>
    <w:p>
      <w:pPr>
        <w:pStyle w:val="Normal"/>
        <w:rPr/>
      </w:pPr>
      <w:r>
        <w:rPr>
          <w:rFonts w:cs="Calibri"/>
          <w:u w:val="single"/>
        </w:rPr>
        <w:t>Guidelines</w:t>
      </w:r>
      <w:r>
        <w:rPr>
          <w:rFonts w:cs="Calibri"/>
        </w:rPr>
        <w:t xml:space="preserve">: </w:t>
      </w:r>
      <w:r>
        <w:rPr/>
        <w:t>While many organizations address insider threat incidents as an inherent part of their organizational incident response capability, this control enhancement provides additional emphasis on this type of threat and the need for specific incident handling capabilities (as defined within organizations) to provide appropriate and timely responses.</w:t>
      </w:r>
    </w:p>
    <w:p>
      <w:pPr>
        <w:pStyle w:val="Normal"/>
        <w:rPr>
          <w:rFonts w:cs="Calibri"/>
          <w:bCs w:val="false"/>
          <w:u w:val="single"/>
        </w:rPr>
      </w:pPr>
      <w:r>
        <w:rPr>
          <w:rFonts w:cs="Calibri"/>
          <w:bCs w:val="false"/>
          <w:u w:val="single"/>
        </w:rPr>
      </w:r>
    </w:p>
    <w:p>
      <w:pPr>
        <w:pStyle w:val="Normal"/>
        <w:rPr/>
      </w:pPr>
      <w:r>
        <w:rPr/>
        <w:t>As applicable, NFCC staff is required to identify Red Flags that are relevant to detecting a possible risk of identity theft to customers through the following means:</w:t>
      </w:r>
    </w:p>
    <w:p>
      <w:pPr>
        <w:pStyle w:val="ListParagraph"/>
        <w:numPr>
          <w:ilvl w:val="0"/>
          <w:numId w:val="38"/>
        </w:numPr>
        <w:rPr/>
      </w:pPr>
      <w:r>
        <w:rPr/>
        <w:t>Verify the identity of persons opening accounts;</w:t>
      </w:r>
    </w:p>
    <w:p>
      <w:pPr>
        <w:pStyle w:val="ListParagraph"/>
        <w:numPr>
          <w:ilvl w:val="0"/>
          <w:numId w:val="38"/>
        </w:numPr>
        <w:rPr/>
      </w:pPr>
      <w:r>
        <w:rPr/>
        <w:t>Detect the Red Flags that the financial institution or creditor identifies as relevant in connection with the opening of an account or any existing account;</w:t>
      </w:r>
    </w:p>
    <w:p>
      <w:pPr>
        <w:pStyle w:val="ListParagraph"/>
        <w:numPr>
          <w:ilvl w:val="0"/>
          <w:numId w:val="38"/>
        </w:numPr>
        <w:rPr/>
      </w:pPr>
      <w:r>
        <w:rPr/>
        <w:t>Assess whether the Red Flags detected evidence a risk of identity theft;</w:t>
      </w:r>
    </w:p>
    <w:p>
      <w:pPr>
        <w:pStyle w:val="ListParagraph"/>
        <w:numPr>
          <w:ilvl w:val="0"/>
          <w:numId w:val="38"/>
        </w:numPr>
        <w:rPr/>
      </w:pPr>
      <w:r>
        <w:rPr/>
        <w:t>Mitigate the risk of identity theft, commensurate with the degree of risk posed;</w:t>
      </w:r>
    </w:p>
    <w:p>
      <w:pPr>
        <w:pStyle w:val="ListParagraph"/>
        <w:numPr>
          <w:ilvl w:val="0"/>
          <w:numId w:val="38"/>
        </w:numPr>
        <w:rPr/>
      </w:pPr>
      <w:r>
        <w:rPr/>
        <w:t>Train staff to implement the ITPP; and</w:t>
      </w:r>
    </w:p>
    <w:p>
      <w:pPr>
        <w:pStyle w:val="ListParagraph"/>
        <w:numPr>
          <w:ilvl w:val="0"/>
          <w:numId w:val="38"/>
        </w:numPr>
        <w:rPr/>
      </w:pPr>
      <w:r>
        <w:rPr/>
        <w:t>Oversee service provider arrangements.</w:t>
      </w:r>
    </w:p>
    <w:p>
      <w:pPr>
        <w:pStyle w:val="Normal"/>
        <w:rPr/>
      </w:pPr>
      <w:r>
        <w:rPr/>
      </w:r>
    </w:p>
    <w:p>
      <w:pPr>
        <w:pStyle w:val="Normal"/>
        <w:rPr/>
      </w:pPr>
      <w:r>
        <w:rPr/>
        <w:t>Fair and Accurate Credit Transactions Act (FACTA) rules and guidelines implemented in Section 114 of FACTA specify five categories of Red Flags which illustrate the types of identity theft-related activities that need to be identified:</w:t>
      </w:r>
    </w:p>
    <w:p>
      <w:pPr>
        <w:pStyle w:val="ListParagraph"/>
        <w:numPr>
          <w:ilvl w:val="0"/>
          <w:numId w:val="37"/>
        </w:numPr>
        <w:rPr/>
      </w:pPr>
      <w:r>
        <w:rPr/>
        <w:t>Alerts, notifications or warnings from a Consumer Reporting Agency;</w:t>
      </w:r>
    </w:p>
    <w:p>
      <w:pPr>
        <w:pStyle w:val="ListParagraph"/>
        <w:numPr>
          <w:ilvl w:val="0"/>
          <w:numId w:val="37"/>
        </w:numPr>
        <w:rPr/>
      </w:pPr>
      <w:r>
        <w:rPr/>
        <w:t>Suspicious documents;</w:t>
      </w:r>
    </w:p>
    <w:p>
      <w:pPr>
        <w:pStyle w:val="ListParagraph"/>
        <w:numPr>
          <w:ilvl w:val="0"/>
          <w:numId w:val="37"/>
        </w:numPr>
        <w:rPr/>
      </w:pPr>
      <w:r>
        <w:rPr/>
        <w:t>Suspicious personal identifying information;</w:t>
      </w:r>
    </w:p>
    <w:p>
      <w:pPr>
        <w:pStyle w:val="ListParagraph"/>
        <w:numPr>
          <w:ilvl w:val="0"/>
          <w:numId w:val="37"/>
        </w:numPr>
        <w:rPr/>
      </w:pPr>
      <w:r>
        <w:rPr/>
        <w:t>Unusual use of or suspicious activity related to, the covered account; and</w:t>
      </w:r>
    </w:p>
    <w:p>
      <w:pPr>
        <w:pStyle w:val="ListParagraph"/>
        <w:numPr>
          <w:ilvl w:val="0"/>
          <w:numId w:val="37"/>
        </w:numPr>
        <w:rPr/>
      </w:pPr>
      <w:r>
        <w:rPr/>
        <w:t>Notice from customers, victims of identity theft, law enforcement authorities or other persons regarding possible identity theft in connection with covered accounts held by the financial institution or creditor.</w:t>
      </w:r>
    </w:p>
    <w:p>
      <w:pPr>
        <w:pStyle w:val="Normal"/>
        <w:rPr>
          <w:rFonts w:cs="Calibri"/>
        </w:rPr>
      </w:pPr>
      <w:r>
        <w:rPr>
          <w:rFonts w:cs="Calibri"/>
        </w:rPr>
      </w:r>
    </w:p>
    <w:p>
      <w:pPr>
        <w:pStyle w:val="Normal"/>
        <w:rPr/>
      </w:pPr>
      <w:r>
        <w:rPr/>
        <w:t>The definition of a Red Flag is a pattern, practice or specific activity that indicates the possible risk of identity theft. In developing Red Flag guidelines, organizations must identify patterns, practices and specific forms of activity that indicate “the possible existence” of identity theft. In simple terms, a Red Flag must be an indicator of the possible existence of a fraud attempted or committed using the identifying information of another person without authority.</w:t>
      </w:r>
    </w:p>
    <w:p>
      <w:pPr>
        <w:pStyle w:val="Normal"/>
        <w:rPr/>
      </w:pPr>
      <w:r>
        <w:rPr/>
      </w:r>
    </w:p>
    <w:p>
      <w:pPr>
        <w:pStyle w:val="Normal"/>
        <w:rPr/>
      </w:pPr>
      <w:r>
        <w:rPr/>
        <w:t xml:space="preserve">The Red Flag guidelines require each financial institution and creditor that holds any consumer account or another account for which there is a reasonably foreseeable risk of identity theft, to develop and implement an Identity Theft Prevention Program (ITPP) for combating identity theft in connection with new and existing accounts. The ITPP must be appropriate to the size and complexity of the financial institution or creditor and the nature and scope of its activities and be flexible to address changing identity theft risks as they arise. </w:t>
      </w:r>
    </w:p>
    <w:p>
      <w:pPr>
        <w:pStyle w:val="Normal"/>
        <w:rPr/>
      </w:pPr>
      <w:r>
        <w:rPr/>
      </w:r>
    </w:p>
    <w:p>
      <w:pPr>
        <w:pStyle w:val="Heading3"/>
        <w:rPr/>
      </w:pPr>
      <w:bookmarkStart w:id="1160" w:name="_Toc34920975"/>
      <w:r>
        <w:rPr/>
        <w:t>IRO-02(c): Incident Handling | Dynamic Reconfiguration</w:t>
      </w:r>
      <w:bookmarkEnd w:id="1160"/>
      <w:r>
        <w:rPr/>
        <w:t xml:space="preserve"> </w:t>
      </w:r>
    </w:p>
    <w:p>
      <w:pPr>
        <w:pStyle w:val="Normal"/>
        <w:rPr/>
      </w:pPr>
      <w:r>
        <w:rPr>
          <w:rFonts w:cs="Calibri"/>
          <w:u w:val="single"/>
        </w:rPr>
        <w:t>Control Objective</w:t>
      </w:r>
      <w:r>
        <w:rPr>
          <w:rFonts w:cs="Calibri"/>
        </w:rPr>
        <w:t xml:space="preserve">: </w:t>
      </w:r>
      <w:r>
        <w:rPr/>
        <w:t>The organization includes dynamic reconfiguration of organization-defined information system components as part of the incident response capability.</w:t>
      </w:r>
      <w:r>
        <w:rPr>
          <w:rStyle w:val="FootnoteCharacters"/>
          <w:rFonts w:cs="Calibri"/>
        </w:rPr>
        <w:t xml:space="preserve"> </w:t>
      </w:r>
      <w:r>
        <w:rPr>
          <w:rStyle w:val="FootnoteAnchor"/>
          <w:rStyle w:val="FootnoteAnchor"/>
          <w:rFonts w:cs="Calibri"/>
        </w:rPr>
        <w:footnoteReference w:id="369"/>
      </w:r>
      <w:r>
        <w:rPr/>
        <w:t xml:space="preserve"> </w:t>
      </w:r>
    </w:p>
    <w:p>
      <w:pPr>
        <w:pStyle w:val="Normal"/>
        <w:rPr>
          <w:rFonts w:cs="Calibri"/>
        </w:rPr>
      </w:pPr>
      <w:r>
        <w:rPr>
          <w:rFonts w:cs="Calibri"/>
        </w:rPr>
      </w:r>
    </w:p>
    <w:p>
      <w:pPr>
        <w:pStyle w:val="Normal"/>
        <w:rPr/>
      </w:pPr>
      <w:r>
        <w:rPr>
          <w:rFonts w:cs="Calibri"/>
          <w:u w:val="single"/>
        </w:rPr>
        <w:t>Standard</w:t>
      </w:r>
      <w:r>
        <w:rPr>
          <w:rFonts w:cs="Calibri"/>
        </w:rPr>
        <w:t>: Where technically feasible and a business justification exists, NFCC shall employ automated mechanisms to enable dynamic reconfiguration of information systems as part of incident response remediation actions.</w:t>
      </w:r>
    </w:p>
    <w:p>
      <w:pPr>
        <w:pStyle w:val="Normal"/>
        <w:rPr>
          <w:rFonts w:cs="Calibri"/>
        </w:rPr>
      </w:pPr>
      <w:r>
        <w:rPr>
          <w:rFonts w:cs="Calibri"/>
        </w:rPr>
      </w:r>
    </w:p>
    <w:p>
      <w:pPr>
        <w:pStyle w:val="Normal"/>
        <w:rPr>
          <w:rFonts w:cs="Calibri"/>
        </w:rPr>
      </w:pPr>
      <w:r>
        <w:rPr>
          <w:rFonts w:cs="Calibri"/>
          <w:u w:val="single"/>
        </w:rPr>
        <w:t>Guidelines</w:t>
      </w:r>
      <w:r>
        <w:rPr>
          <w:rFonts w:cs="Calibri"/>
        </w:rPr>
        <w:t xml:space="preserve">: </w:t>
      </w:r>
      <w:r>
        <w:rPr/>
        <w:t>Dynamic reconfiguration includes, for example, changes to router rules, access control lists, intrusion detection/prevention system parameters and filter rules for firewalls and gateways. Organizations perform dynamic reconfiguration of information systems, for example, to stop attacks, to misdirect attackers and to isolate components of systems, thus limiting the extent of the damage from breaches or compromises. Organizations include time frames for achieving the reconfiguration of information systems in the definition of the reconfiguration capability, considering the potential need for rapid response in order to effectively address sophisticated cyber threats.</w:t>
      </w:r>
    </w:p>
    <w:p>
      <w:pPr>
        <w:pStyle w:val="Normal"/>
        <w:rPr/>
      </w:pPr>
      <w:r>
        <w:rPr/>
      </w:r>
    </w:p>
    <w:p>
      <w:pPr>
        <w:pStyle w:val="Heading3"/>
        <w:rPr/>
      </w:pPr>
      <w:bookmarkStart w:id="1161" w:name="_Toc23241810"/>
      <w:bookmarkStart w:id="1162" w:name="_Toc34920976"/>
      <w:r>
        <w:rPr/>
        <w:t>IRO-02(d): Incident Handling | Continuity of Operations</w:t>
      </w:r>
      <w:bookmarkEnd w:id="1161"/>
      <w:bookmarkEnd w:id="1162"/>
      <w:r>
        <w:rPr/>
        <w:t xml:space="preserve"> </w:t>
      </w:r>
    </w:p>
    <w:p>
      <w:pPr>
        <w:pStyle w:val="Normal"/>
        <w:rPr>
          <w:rFonts w:cs="Calibri"/>
        </w:rPr>
      </w:pPr>
      <w:r>
        <w:rPr>
          <w:rFonts w:cs="Calibri"/>
          <w:u w:val="single"/>
        </w:rPr>
        <w:t>Control Objective</w:t>
      </w:r>
      <w:r>
        <w:rPr>
          <w:rFonts w:cs="Calibri"/>
        </w:rPr>
        <w:t>: The organization identifies organization-defined classes of incidents and actions to take in response to classes of incidents to ensure continuation of organizational missions and business functions.</w:t>
      </w:r>
      <w:r>
        <w:rPr>
          <w:rStyle w:val="FootnoteCharacters"/>
          <w:rFonts w:cs="Calibri"/>
        </w:rPr>
        <w:t xml:space="preserve"> </w:t>
      </w:r>
      <w:r>
        <w:rPr>
          <w:rStyle w:val="FootnoteAnchor"/>
          <w:rStyle w:val="FootnoteAnchor"/>
          <w:rFonts w:cs="Calibri"/>
        </w:rPr>
        <w:footnoteReference w:id="370"/>
      </w:r>
    </w:p>
    <w:p>
      <w:pPr>
        <w:pStyle w:val="Normal"/>
        <w:rPr>
          <w:rFonts w:cs="Calibri"/>
        </w:rPr>
      </w:pPr>
      <w:r>
        <w:rPr>
          <w:rFonts w:cs="Calibri"/>
        </w:rPr>
      </w:r>
    </w:p>
    <w:p>
      <w:pPr>
        <w:pStyle w:val="Normal"/>
        <w:rPr>
          <w:rFonts w:cs="Calibri"/>
        </w:rPr>
      </w:pPr>
      <w:r>
        <w:rPr>
          <w:rFonts w:cs="Calibri"/>
          <w:u w:val="single"/>
        </w:rPr>
        <w:t>Standard</w:t>
      </w:r>
      <w:r>
        <w:rPr>
          <w:rFonts w:cs="Calibri"/>
        </w:rPr>
        <w:t xml:space="preserve">: </w:t>
      </w:r>
      <w:r>
        <w:rPr/>
        <w:t>NFCC’s Integrated Incident Response Program (IIRP) addresses ten (10) categories of cybersecurity incidents. Each category has the potential to escalate and requires different handling procedures, per the IIRP:</w:t>
      </w:r>
    </w:p>
    <w:p>
      <w:pPr>
        <w:pStyle w:val="Normal"/>
        <w:rPr>
          <w:rFonts w:cs="Calibri"/>
        </w:rPr>
      </w:pPr>
      <w:r>
        <w:rPr>
          <w:rFonts w:cs="Calibri"/>
        </w:rPr>
      </w:r>
    </w:p>
    <w:tbl>
      <w:tblPr>
        <w:tblW w:w="10530" w:type="dxa"/>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noVBand="1" w:val="04a0" w:noHBand="0" w:lastColumn="0" w:firstColumn="1" w:lastRow="0" w:firstRow="1"/>
      </w:tblPr>
      <w:tblGrid>
        <w:gridCol w:w="660"/>
        <w:gridCol w:w="1580"/>
        <w:gridCol w:w="1680"/>
        <w:gridCol w:w="6609"/>
      </w:tblGrid>
      <w:tr>
        <w:trPr>
          <w:trHeight w:val="300" w:hRule="atLeast"/>
        </w:trPr>
        <w:tc>
          <w:tcPr>
            <w:tcW w:w="6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000000" w:fill="44546A" w:val="clear"/>
            <w:vAlign w:val="center"/>
          </w:tcPr>
          <w:p>
            <w:pPr>
              <w:pStyle w:val="Normal"/>
              <w:jc w:val="center"/>
              <w:rPr>
                <w:b/>
                <w:b/>
                <w:bCs w:val="false"/>
                <w:color w:val="FFFFFF"/>
              </w:rPr>
            </w:pPr>
            <w:bookmarkStart w:id="1163" w:name="RANGE!A1%253AD12"/>
            <w:r>
              <w:rPr>
                <w:b/>
                <w:color w:val="FFFFFF"/>
              </w:rPr>
              <w:t>#</w:t>
            </w:r>
            <w:bookmarkEnd w:id="1163"/>
          </w:p>
        </w:tc>
        <w:tc>
          <w:tcPr>
            <w:tcW w:w="158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000000" w:fill="44546A" w:val="clear"/>
            <w:vAlign w:val="center"/>
          </w:tcPr>
          <w:p>
            <w:pPr>
              <w:pStyle w:val="Normal"/>
              <w:jc w:val="center"/>
              <w:rPr>
                <w:b/>
                <w:b/>
                <w:bCs w:val="false"/>
                <w:color w:val="FFFFFF"/>
              </w:rPr>
            </w:pPr>
            <w:r>
              <w:rPr>
                <w:b/>
                <w:color w:val="FFFFFF"/>
              </w:rPr>
              <w:t>Threat</w:t>
            </w:r>
          </w:p>
        </w:tc>
        <w:tc>
          <w:tcPr>
            <w:tcW w:w="168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000000" w:fill="44546A" w:val="clear"/>
            <w:vAlign w:val="center"/>
          </w:tcPr>
          <w:p>
            <w:pPr>
              <w:pStyle w:val="Normal"/>
              <w:jc w:val="center"/>
              <w:rPr>
                <w:b/>
                <w:b/>
                <w:bCs w:val="false"/>
                <w:color w:val="FFFFFF"/>
              </w:rPr>
            </w:pPr>
            <w:r>
              <w:rPr>
                <w:b/>
                <w:color w:val="FFFFFF"/>
              </w:rPr>
              <w:t>Category</w:t>
            </w:r>
          </w:p>
        </w:tc>
        <w:tc>
          <w:tcPr>
            <w:tcW w:w="6609"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000000" w:fill="44546A" w:val="clear"/>
            <w:vAlign w:val="center"/>
          </w:tcPr>
          <w:p>
            <w:pPr>
              <w:pStyle w:val="Normal"/>
              <w:jc w:val="center"/>
              <w:rPr>
                <w:b/>
                <w:b/>
                <w:bCs w:val="false"/>
                <w:color w:val="FFFFFF"/>
              </w:rPr>
            </w:pPr>
            <w:r>
              <w:rPr>
                <w:b/>
                <w:color w:val="FFFFFF"/>
              </w:rPr>
              <w:t>Category Description</w:t>
            </w:r>
          </w:p>
        </w:tc>
      </w:tr>
      <w:tr>
        <w:trPr>
          <w:trHeight w:val="810" w:hRule="atLeast"/>
        </w:trPr>
        <w:tc>
          <w:tcPr>
            <w:tcW w:w="6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jc w:val="center"/>
              <w:rPr>
                <w:b/>
                <w:b/>
                <w:bCs w:val="false"/>
                <w:color w:val="000000"/>
              </w:rPr>
            </w:pPr>
            <w:r>
              <w:rPr>
                <w:b/>
                <w:color w:val="000000"/>
              </w:rPr>
              <w:t>0</w:t>
            </w:r>
          </w:p>
        </w:tc>
        <w:tc>
          <w:tcPr>
            <w:tcW w:w="158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000000" w:fill="000066" w:val="clear"/>
            <w:vAlign w:val="center"/>
          </w:tcPr>
          <w:p>
            <w:pPr>
              <w:pStyle w:val="Normal"/>
              <w:jc w:val="center"/>
              <w:rPr>
                <w:b/>
                <w:b/>
                <w:bCs w:val="false"/>
                <w:color w:val="FFFFFF"/>
              </w:rPr>
            </w:pPr>
            <w:r>
              <w:rPr>
                <w:b/>
                <w:color w:val="FFFFFF"/>
              </w:rPr>
              <w:t>Training</w:t>
            </w:r>
          </w:p>
        </w:tc>
        <w:tc>
          <w:tcPr>
            <w:tcW w:w="168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jc w:val="center"/>
              <w:rPr>
                <w:b/>
                <w:b/>
                <w:bCs w:val="false"/>
                <w:color w:val="000000"/>
              </w:rPr>
            </w:pPr>
            <w:r>
              <w:rPr>
                <w:b/>
                <w:color w:val="000000"/>
              </w:rPr>
              <w:t>Simulated Incident</w:t>
              <w:br/>
            </w:r>
            <w:r>
              <w:rPr>
                <w:color w:val="000000"/>
              </w:rPr>
              <w:t>(Training &amp; Exercises)</w:t>
            </w:r>
          </w:p>
        </w:tc>
        <w:tc>
          <w:tcPr>
            <w:tcW w:w="6609"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jc w:val="left"/>
              <w:rPr>
                <w:color w:val="000000"/>
              </w:rPr>
            </w:pPr>
            <w:r>
              <w:rPr>
                <w:color w:val="000000"/>
              </w:rPr>
              <w:t>This category is used during exercises and approved testing of internal/external network defenses or responses.</w:t>
            </w:r>
          </w:p>
        </w:tc>
      </w:tr>
      <w:tr>
        <w:trPr>
          <w:trHeight w:val="1142" w:hRule="atLeast"/>
        </w:trPr>
        <w:tc>
          <w:tcPr>
            <w:tcW w:w="6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jc w:val="center"/>
              <w:rPr>
                <w:b/>
                <w:b/>
                <w:bCs w:val="false"/>
                <w:color w:val="000000"/>
              </w:rPr>
            </w:pPr>
            <w:r>
              <w:rPr>
                <w:b/>
                <w:color w:val="000000"/>
              </w:rPr>
              <w:t>1</w:t>
            </w:r>
          </w:p>
        </w:tc>
        <w:tc>
          <w:tcPr>
            <w:tcW w:w="1580" w:type="dxa"/>
            <w:vMerge w:val="restart"/>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000000" w:fill="262626" w:val="clear"/>
            <w:vAlign w:val="center"/>
          </w:tcPr>
          <w:p>
            <w:pPr>
              <w:pStyle w:val="Normal"/>
              <w:jc w:val="center"/>
              <w:rPr>
                <w:b/>
                <w:b/>
                <w:bCs w:val="false"/>
                <w:color w:val="FFFFFF"/>
              </w:rPr>
            </w:pPr>
            <w:r>
              <w:rPr>
                <w:b/>
                <w:color w:val="FFFFFF"/>
              </w:rPr>
              <w:t>Illegal Content</w:t>
              <w:br/>
              <w:t>or Activities</w:t>
            </w:r>
          </w:p>
        </w:tc>
        <w:tc>
          <w:tcPr>
            <w:tcW w:w="168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jc w:val="center"/>
              <w:rPr>
                <w:b/>
                <w:b/>
                <w:bCs w:val="false"/>
                <w:color w:val="000000"/>
              </w:rPr>
            </w:pPr>
            <w:r>
              <w:rPr>
                <w:b/>
                <w:color w:val="000000"/>
              </w:rPr>
              <w:t>Illegal Content</w:t>
            </w:r>
          </w:p>
        </w:tc>
        <w:tc>
          <w:tcPr>
            <w:tcW w:w="6609"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jc w:val="left"/>
              <w:rPr>
                <w:color w:val="000000"/>
              </w:rPr>
            </w:pPr>
            <w:r>
              <w:rPr>
                <w:color w:val="000000"/>
              </w:rPr>
              <w:t xml:space="preserve">This category is used for any data that is illegal to have in possession. </w:t>
              <w:br/>
              <w:br/>
              <w:t xml:space="preserve">This includes illegal content such as </w:t>
            </w:r>
            <w:r>
              <w:rPr>
                <w:color w:val="000000"/>
                <w:u w:val="single"/>
              </w:rPr>
              <w:t>child pornography</w:t>
            </w:r>
            <w:r>
              <w:rPr>
                <w:color w:val="000000"/>
              </w:rPr>
              <w:t xml:space="preserve"> or </w:t>
            </w:r>
            <w:r>
              <w:rPr>
                <w:color w:val="000000"/>
                <w:u w:val="single"/>
              </w:rPr>
              <w:t>classified information on unclassified system</w:t>
            </w:r>
            <w:r>
              <w:rPr>
                <w:color w:val="000000"/>
              </w:rPr>
              <w:t>s.</w:t>
            </w:r>
          </w:p>
        </w:tc>
      </w:tr>
      <w:tr>
        <w:trPr>
          <w:trHeight w:val="1340" w:hRule="atLeast"/>
        </w:trPr>
        <w:tc>
          <w:tcPr>
            <w:tcW w:w="6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jc w:val="center"/>
              <w:rPr>
                <w:b/>
                <w:b/>
                <w:bCs w:val="false"/>
                <w:color w:val="000000"/>
              </w:rPr>
            </w:pPr>
            <w:r>
              <w:rPr>
                <w:b/>
                <w:color w:val="000000"/>
              </w:rPr>
              <w:t>2</w:t>
            </w:r>
          </w:p>
        </w:tc>
        <w:tc>
          <w:tcPr>
            <w:tcW w:w="1580" w:type="dxa"/>
            <w:vMerge w:val="continue"/>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jc w:val="center"/>
              <w:rPr>
                <w:b/>
                <w:b/>
                <w:bCs w:val="false"/>
                <w:color w:val="FFFFFF"/>
              </w:rPr>
            </w:pPr>
            <w:r>
              <w:rPr>
                <w:b/>
                <w:bCs w:val="false"/>
                <w:color w:val="FFFFFF"/>
              </w:rPr>
            </w:r>
          </w:p>
        </w:tc>
        <w:tc>
          <w:tcPr>
            <w:tcW w:w="168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jc w:val="center"/>
              <w:rPr>
                <w:b/>
                <w:b/>
                <w:bCs w:val="false"/>
                <w:color w:val="000000"/>
              </w:rPr>
            </w:pPr>
            <w:r>
              <w:rPr>
                <w:b/>
                <w:color w:val="000000"/>
              </w:rPr>
              <w:t>Criminal Conduct</w:t>
            </w:r>
          </w:p>
        </w:tc>
        <w:tc>
          <w:tcPr>
            <w:tcW w:w="6609"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jc w:val="left"/>
              <w:rPr>
                <w:color w:val="000000"/>
              </w:rPr>
            </w:pPr>
            <w:r>
              <w:rPr>
                <w:color w:val="000000"/>
              </w:rPr>
              <w:t>This category is used for any incident that would be considered criminal conduct.</w:t>
              <w:br/>
              <w:br/>
              <w:t xml:space="preserve">This includes </w:t>
            </w:r>
            <w:r>
              <w:rPr>
                <w:color w:val="000000"/>
                <w:u w:val="single"/>
              </w:rPr>
              <w:t>embezzlement,</w:t>
            </w:r>
            <w:r>
              <w:rPr>
                <w:color w:val="000000"/>
              </w:rPr>
              <w:t xml:space="preserve"> </w:t>
            </w:r>
            <w:r>
              <w:rPr>
                <w:color w:val="000000"/>
                <w:u w:val="single"/>
              </w:rPr>
              <w:t>corporate espionage</w:t>
            </w:r>
            <w:r>
              <w:rPr>
                <w:color w:val="000000"/>
              </w:rPr>
              <w:t xml:space="preserve">, </w:t>
            </w:r>
            <w:r>
              <w:rPr>
                <w:color w:val="000000"/>
                <w:u w:val="single"/>
              </w:rPr>
              <w:t>terrorism/national security threats</w:t>
            </w:r>
            <w:r>
              <w:rPr>
                <w:color w:val="000000"/>
              </w:rPr>
              <w:t xml:space="preserve">, </w:t>
            </w:r>
            <w:r>
              <w:rPr>
                <w:color w:val="000000"/>
                <w:u w:val="single"/>
              </w:rPr>
              <w:t>fraud,</w:t>
            </w:r>
            <w:r>
              <w:rPr>
                <w:color w:val="000000"/>
              </w:rPr>
              <w:t xml:space="preserve"> </w:t>
            </w:r>
            <w:r>
              <w:rPr>
                <w:color w:val="000000"/>
                <w:u w:val="single"/>
              </w:rPr>
              <w:t>violence</w:t>
            </w:r>
            <w:r>
              <w:rPr>
                <w:color w:val="000000"/>
              </w:rPr>
              <w:t xml:space="preserve"> or other conduct that would constitute a </w:t>
            </w:r>
            <w:r>
              <w:rPr>
                <w:color w:val="000000"/>
                <w:u w:val="single"/>
              </w:rPr>
              <w:t>criminal felony or misdemeanor charge</w:t>
            </w:r>
            <w:r>
              <w:rPr>
                <w:color w:val="000000"/>
              </w:rPr>
              <w:t>.</w:t>
            </w:r>
          </w:p>
        </w:tc>
      </w:tr>
      <w:tr>
        <w:trPr>
          <w:trHeight w:val="1610" w:hRule="atLeast"/>
        </w:trPr>
        <w:tc>
          <w:tcPr>
            <w:tcW w:w="6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jc w:val="center"/>
              <w:rPr>
                <w:b/>
                <w:b/>
                <w:bCs w:val="false"/>
                <w:color w:val="000000"/>
              </w:rPr>
            </w:pPr>
            <w:r>
              <w:rPr>
                <w:b/>
                <w:color w:val="000000"/>
              </w:rPr>
              <w:t>3</w:t>
            </w:r>
          </w:p>
        </w:tc>
        <w:tc>
          <w:tcPr>
            <w:tcW w:w="158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000000" w:fill="FF0000" w:val="clear"/>
            <w:vAlign w:val="center"/>
          </w:tcPr>
          <w:p>
            <w:pPr>
              <w:pStyle w:val="Normal"/>
              <w:jc w:val="center"/>
              <w:rPr>
                <w:b/>
                <w:b/>
                <w:bCs w:val="false"/>
                <w:color w:val="FFFFFF"/>
              </w:rPr>
            </w:pPr>
            <w:r>
              <w:rPr>
                <w:b/>
                <w:color w:val="FFFFFF"/>
              </w:rPr>
              <w:t>Safety</w:t>
            </w:r>
          </w:p>
        </w:tc>
        <w:tc>
          <w:tcPr>
            <w:tcW w:w="168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jc w:val="center"/>
              <w:rPr>
                <w:b/>
                <w:b/>
                <w:bCs w:val="false"/>
                <w:color w:val="000000"/>
              </w:rPr>
            </w:pPr>
            <w:r>
              <w:rPr>
                <w:b/>
                <w:color w:val="000000"/>
              </w:rPr>
              <w:t>Technology</w:t>
              <w:br/>
              <w:t>Compromise</w:t>
            </w:r>
          </w:p>
        </w:tc>
        <w:tc>
          <w:tcPr>
            <w:tcW w:w="6609"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jc w:val="left"/>
              <w:rPr>
                <w:color w:val="000000"/>
              </w:rPr>
            </w:pPr>
            <w:r>
              <w:rPr>
                <w:color w:val="000000"/>
              </w:rPr>
              <w:t xml:space="preserve">This category is used for any incident that has </w:t>
            </w:r>
            <w:r>
              <w:rPr>
                <w:color w:val="000000"/>
                <w:u w:val="single"/>
              </w:rPr>
              <w:t>safety implications</w:t>
            </w:r>
            <w:r>
              <w:rPr>
                <w:color w:val="000000"/>
              </w:rPr>
              <w:t xml:space="preserve"> from the compromise of the technology to be used in a manner it was not designed for.</w:t>
              <w:br/>
              <w:br/>
              <w:t xml:space="preserve">This includes categories of technologies that includes </w:t>
            </w:r>
            <w:r>
              <w:rPr>
                <w:color w:val="000000"/>
                <w:u w:val="single"/>
              </w:rPr>
              <w:t>Operational Technology (OT)</w:t>
            </w:r>
            <w:r>
              <w:rPr>
                <w:color w:val="000000"/>
              </w:rPr>
              <w:t xml:space="preserve"> and </w:t>
            </w:r>
            <w:r>
              <w:rPr>
                <w:color w:val="000000"/>
                <w:u w:val="single"/>
              </w:rPr>
              <w:t>Internet of Things (IoT</w:t>
            </w:r>
            <w:r>
              <w:rPr>
                <w:color w:val="000000"/>
              </w:rPr>
              <w:t>).</w:t>
            </w:r>
          </w:p>
        </w:tc>
      </w:tr>
      <w:tr>
        <w:trPr>
          <w:trHeight w:val="1755" w:hRule="atLeast"/>
        </w:trPr>
        <w:tc>
          <w:tcPr>
            <w:tcW w:w="6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jc w:val="center"/>
              <w:rPr>
                <w:b/>
                <w:b/>
                <w:bCs w:val="false"/>
                <w:color w:val="000000"/>
              </w:rPr>
            </w:pPr>
            <w:r>
              <w:rPr>
                <w:b/>
                <w:color w:val="000000"/>
              </w:rPr>
              <w:t>4</w:t>
            </w:r>
          </w:p>
        </w:tc>
        <w:tc>
          <w:tcPr>
            <w:tcW w:w="158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000000" w:fill="70AD47" w:val="clear"/>
            <w:vAlign w:val="center"/>
          </w:tcPr>
          <w:p>
            <w:pPr>
              <w:pStyle w:val="Normal"/>
              <w:jc w:val="center"/>
              <w:rPr>
                <w:b/>
                <w:b/>
                <w:bCs w:val="false"/>
                <w:color w:val="FFFFFF"/>
              </w:rPr>
            </w:pPr>
            <w:r>
              <w:rPr>
                <w:b/>
                <w:color w:val="FFFFFF"/>
              </w:rPr>
              <w:t>Confidentiality</w:t>
            </w:r>
          </w:p>
        </w:tc>
        <w:tc>
          <w:tcPr>
            <w:tcW w:w="168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jc w:val="center"/>
              <w:rPr>
                <w:b/>
                <w:b/>
                <w:bCs w:val="false"/>
                <w:color w:val="000000"/>
              </w:rPr>
            </w:pPr>
            <w:r>
              <w:rPr>
                <w:b/>
                <w:color w:val="000000"/>
              </w:rPr>
              <w:t xml:space="preserve">Breach of </w:t>
              <w:br/>
              <w:t>Sensitive Data</w:t>
            </w:r>
          </w:p>
        </w:tc>
        <w:tc>
          <w:tcPr>
            <w:tcW w:w="6609"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jc w:val="left"/>
              <w:rPr>
                <w:color w:val="000000"/>
              </w:rPr>
            </w:pPr>
            <w:r>
              <w:rPr>
                <w:color w:val="000000"/>
              </w:rPr>
              <w:t xml:space="preserve">This category is used for any incident that has involves the </w:t>
            </w:r>
            <w:r>
              <w:rPr>
                <w:color w:val="000000"/>
                <w:u w:val="single"/>
              </w:rPr>
              <w:t>unauthorized disclosure or compromise of sensitive data</w:t>
            </w:r>
            <w:r>
              <w:rPr>
                <w:color w:val="000000"/>
              </w:rPr>
              <w:t>.</w:t>
              <w:br/>
              <w:br/>
              <w:t xml:space="preserve">This includes sensitive </w:t>
            </w:r>
            <w:r>
              <w:rPr>
                <w:color w:val="000000"/>
                <w:u w:val="single"/>
              </w:rPr>
              <w:t>Personal Data (PD)</w:t>
            </w:r>
            <w:r>
              <w:rPr>
                <w:color w:val="000000"/>
              </w:rPr>
              <w:t xml:space="preserve"> and </w:t>
            </w:r>
            <w:r>
              <w:rPr>
                <w:color w:val="000000"/>
                <w:u w:val="single"/>
              </w:rPr>
              <w:t>Intellectual Property (IP)</w:t>
            </w:r>
            <w:r>
              <w:rPr>
                <w:color w:val="000000"/>
              </w:rPr>
              <w:t>.</w:t>
            </w:r>
          </w:p>
        </w:tc>
      </w:tr>
      <w:tr>
        <w:trPr>
          <w:trHeight w:val="1340" w:hRule="atLeast"/>
        </w:trPr>
        <w:tc>
          <w:tcPr>
            <w:tcW w:w="6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jc w:val="center"/>
              <w:rPr>
                <w:b/>
                <w:b/>
                <w:bCs w:val="false"/>
                <w:color w:val="000000"/>
              </w:rPr>
            </w:pPr>
            <w:r>
              <w:rPr>
                <w:b/>
                <w:color w:val="000000"/>
              </w:rPr>
              <w:t>5</w:t>
            </w:r>
          </w:p>
        </w:tc>
        <w:tc>
          <w:tcPr>
            <w:tcW w:w="1580" w:type="dxa"/>
            <w:vMerge w:val="restart"/>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000000" w:fill="FFC000" w:val="clear"/>
            <w:vAlign w:val="center"/>
          </w:tcPr>
          <w:p>
            <w:pPr>
              <w:pStyle w:val="Normal"/>
              <w:jc w:val="center"/>
              <w:rPr>
                <w:b/>
                <w:b/>
                <w:bCs w:val="false"/>
              </w:rPr>
            </w:pPr>
            <w:r>
              <w:rPr>
                <w:b/>
              </w:rPr>
              <w:t>Nefarious</w:t>
              <w:br/>
              <w:t>Activity</w:t>
            </w:r>
          </w:p>
        </w:tc>
        <w:tc>
          <w:tcPr>
            <w:tcW w:w="168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jc w:val="center"/>
              <w:rPr>
                <w:b/>
                <w:b/>
                <w:bCs w:val="false"/>
                <w:color w:val="000000"/>
              </w:rPr>
            </w:pPr>
            <w:r>
              <w:rPr>
                <w:b/>
                <w:color w:val="000000"/>
              </w:rPr>
              <w:t>Malware</w:t>
            </w:r>
          </w:p>
        </w:tc>
        <w:tc>
          <w:tcPr>
            <w:tcW w:w="6609"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jc w:val="left"/>
              <w:rPr>
                <w:color w:val="000000"/>
              </w:rPr>
            </w:pPr>
            <w:r>
              <w:rPr>
                <w:color w:val="000000"/>
              </w:rPr>
              <w:t>This category is used for malware-related incidents.</w:t>
              <w:br/>
              <w:br/>
              <w:t>Any software code intentionally created or introduced into multiple systems for the distinct purpose of causing hard or loss to the computer system, its data or other resources (e.g., spyware, adware, viruses, Trojans, worms, etc.).</w:t>
            </w:r>
          </w:p>
        </w:tc>
      </w:tr>
      <w:tr>
        <w:trPr>
          <w:trHeight w:val="1808" w:hRule="atLeast"/>
        </w:trPr>
        <w:tc>
          <w:tcPr>
            <w:tcW w:w="6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jc w:val="center"/>
              <w:rPr>
                <w:b/>
                <w:b/>
                <w:bCs w:val="false"/>
                <w:color w:val="000000"/>
              </w:rPr>
            </w:pPr>
            <w:r>
              <w:rPr>
                <w:b/>
                <w:color w:val="000000"/>
              </w:rPr>
              <w:t>6</w:t>
            </w:r>
          </w:p>
        </w:tc>
        <w:tc>
          <w:tcPr>
            <w:tcW w:w="1580" w:type="dxa"/>
            <w:vMerge w:val="continue"/>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jc w:val="center"/>
              <w:rPr>
                <w:b/>
                <w:b/>
                <w:bCs w:val="false"/>
              </w:rPr>
            </w:pPr>
            <w:r>
              <w:rPr>
                <w:b/>
                <w:bCs w:val="false"/>
              </w:rPr>
            </w:r>
          </w:p>
        </w:tc>
        <w:tc>
          <w:tcPr>
            <w:tcW w:w="168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jc w:val="center"/>
              <w:rPr>
                <w:b/>
                <w:b/>
                <w:bCs w:val="false"/>
                <w:color w:val="000000"/>
              </w:rPr>
            </w:pPr>
            <w:r>
              <w:rPr>
                <w:b/>
                <w:color w:val="000000"/>
              </w:rPr>
              <w:t>Host / Application</w:t>
              <w:br/>
              <w:t>Compromise</w:t>
            </w:r>
          </w:p>
        </w:tc>
        <w:tc>
          <w:tcPr>
            <w:tcW w:w="6609"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jc w:val="left"/>
              <w:rPr>
                <w:color w:val="000000"/>
              </w:rPr>
            </w:pPr>
            <w:r>
              <w:rPr>
                <w:color w:val="000000"/>
              </w:rPr>
              <w:t xml:space="preserve">This is a </w:t>
            </w:r>
            <w:r>
              <w:rPr>
                <w:color w:val="000000"/>
                <w:u w:val="single"/>
              </w:rPr>
              <w:t>known or suspected compromise</w:t>
            </w:r>
            <w:r>
              <w:rPr>
                <w:color w:val="000000"/>
              </w:rPr>
              <w:t xml:space="preserve"> that is not directly related to malware. </w:t>
              <w:br/>
              <w:br/>
              <w:t xml:space="preserve">A successful event of this nature means the </w:t>
            </w:r>
            <w:r>
              <w:rPr>
                <w:color w:val="000000"/>
                <w:u w:val="single"/>
              </w:rPr>
              <w:t>attacker has total control over the host or application</w:t>
            </w:r>
            <w:r>
              <w:rPr>
                <w:color w:val="000000"/>
              </w:rPr>
              <w:t xml:space="preserve"> and access to any and all data stored on it or on systems that trust the compromised host or application.</w:t>
              <w:br/>
              <w:br/>
              <w:t>This may be from a privilege escalation attack.</w:t>
            </w:r>
          </w:p>
        </w:tc>
      </w:tr>
      <w:tr>
        <w:trPr>
          <w:trHeight w:val="1142" w:hRule="atLeast"/>
        </w:trPr>
        <w:tc>
          <w:tcPr>
            <w:tcW w:w="6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jc w:val="center"/>
              <w:rPr>
                <w:b/>
                <w:b/>
                <w:bCs w:val="false"/>
                <w:color w:val="000000"/>
              </w:rPr>
            </w:pPr>
            <w:r>
              <w:rPr>
                <w:b/>
                <w:color w:val="000000"/>
              </w:rPr>
              <w:t>7</w:t>
            </w:r>
          </w:p>
        </w:tc>
        <w:tc>
          <w:tcPr>
            <w:tcW w:w="1580" w:type="dxa"/>
            <w:vMerge w:val="continue"/>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jc w:val="center"/>
              <w:rPr>
                <w:b/>
                <w:b/>
                <w:bCs w:val="false"/>
              </w:rPr>
            </w:pPr>
            <w:r>
              <w:rPr>
                <w:b/>
                <w:bCs w:val="false"/>
              </w:rPr>
            </w:r>
          </w:p>
        </w:tc>
        <w:tc>
          <w:tcPr>
            <w:tcW w:w="168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jc w:val="center"/>
              <w:rPr>
                <w:b/>
                <w:b/>
                <w:bCs w:val="false"/>
                <w:color w:val="000000"/>
              </w:rPr>
            </w:pPr>
            <w:r>
              <w:rPr>
                <w:b/>
                <w:color w:val="000000"/>
              </w:rPr>
              <w:t>Denial of Service (DoS)</w:t>
            </w:r>
          </w:p>
        </w:tc>
        <w:tc>
          <w:tcPr>
            <w:tcW w:w="6609"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jc w:val="left"/>
              <w:rPr>
                <w:color w:val="000000"/>
              </w:rPr>
            </w:pPr>
            <w:r>
              <w:rPr>
                <w:color w:val="000000"/>
              </w:rPr>
              <w:t xml:space="preserve">This is a known or suspected </w:t>
            </w:r>
            <w:r>
              <w:rPr>
                <w:color w:val="000000"/>
                <w:u w:val="single"/>
              </w:rPr>
              <w:t>Denial of Service (DoS) attack</w:t>
            </w:r>
            <w:r>
              <w:rPr>
                <w:color w:val="000000"/>
              </w:rPr>
              <w:t>.</w:t>
              <w:br/>
              <w:br/>
              <w:t>A successful event of this nature means the attacker(s) successfully denied access to either the entire network, a portion of the network or to critical service(s) / website(s).</w:t>
            </w:r>
          </w:p>
        </w:tc>
      </w:tr>
      <w:tr>
        <w:trPr>
          <w:trHeight w:val="728" w:hRule="atLeast"/>
        </w:trPr>
        <w:tc>
          <w:tcPr>
            <w:tcW w:w="6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jc w:val="center"/>
              <w:rPr>
                <w:b/>
                <w:b/>
                <w:bCs w:val="false"/>
                <w:color w:val="000000"/>
              </w:rPr>
            </w:pPr>
            <w:r>
              <w:rPr>
                <w:b/>
                <w:color w:val="000000"/>
              </w:rPr>
              <w:t>8</w:t>
            </w:r>
          </w:p>
        </w:tc>
        <w:tc>
          <w:tcPr>
            <w:tcW w:w="158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000000" w:fill="0000FF" w:val="clear"/>
            <w:vAlign w:val="center"/>
          </w:tcPr>
          <w:p>
            <w:pPr>
              <w:pStyle w:val="Normal"/>
              <w:jc w:val="center"/>
              <w:rPr>
                <w:b/>
                <w:b/>
                <w:bCs w:val="false"/>
                <w:color w:val="FFFFFF"/>
              </w:rPr>
            </w:pPr>
            <w:r>
              <w:rPr>
                <w:b/>
                <w:color w:val="FFFFFF"/>
              </w:rPr>
              <w:t>Lost / Stolen</w:t>
              <w:br/>
              <w:t>Asset</w:t>
            </w:r>
          </w:p>
        </w:tc>
        <w:tc>
          <w:tcPr>
            <w:tcW w:w="168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jc w:val="center"/>
              <w:rPr>
                <w:b/>
                <w:b/>
                <w:bCs w:val="false"/>
                <w:color w:val="000000"/>
              </w:rPr>
            </w:pPr>
            <w:r>
              <w:rPr>
                <w:b/>
                <w:color w:val="000000"/>
              </w:rPr>
              <w:t>Lost / Stolen</w:t>
              <w:br/>
              <w:t>IT Asset</w:t>
            </w:r>
          </w:p>
        </w:tc>
        <w:tc>
          <w:tcPr>
            <w:tcW w:w="6609"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jc w:val="left"/>
              <w:rPr>
                <w:color w:val="000000"/>
              </w:rPr>
            </w:pPr>
            <w:r>
              <w:rPr>
                <w:color w:val="000000"/>
              </w:rPr>
              <w:t>This category is used to respond to any l</w:t>
            </w:r>
            <w:r>
              <w:rPr>
                <w:color w:val="000000"/>
                <w:u w:val="single"/>
              </w:rPr>
              <w:t xml:space="preserve">ost or stolen IT equipment </w:t>
            </w:r>
            <w:r>
              <w:rPr>
                <w:color w:val="000000"/>
              </w:rPr>
              <w:t>(e.g., laptops, tablets, computers, servers, media, tapes, etc.)</w:t>
            </w:r>
          </w:p>
        </w:tc>
      </w:tr>
      <w:tr>
        <w:trPr>
          <w:trHeight w:val="782" w:hRule="atLeast"/>
        </w:trPr>
        <w:tc>
          <w:tcPr>
            <w:tcW w:w="6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jc w:val="center"/>
              <w:rPr>
                <w:b/>
                <w:b/>
                <w:bCs w:val="false"/>
                <w:color w:val="000000"/>
              </w:rPr>
            </w:pPr>
            <w:r>
              <w:rPr>
                <w:b/>
                <w:color w:val="000000"/>
              </w:rPr>
              <w:t>9</w:t>
            </w:r>
          </w:p>
        </w:tc>
        <w:tc>
          <w:tcPr>
            <w:tcW w:w="158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000000" w:fill="CC0000" w:val="clear"/>
            <w:vAlign w:val="center"/>
          </w:tcPr>
          <w:p>
            <w:pPr>
              <w:pStyle w:val="Normal"/>
              <w:jc w:val="center"/>
              <w:rPr>
                <w:b/>
                <w:b/>
                <w:bCs w:val="false"/>
                <w:color w:val="FFFFFF"/>
              </w:rPr>
            </w:pPr>
            <w:r>
              <w:rPr>
                <w:b/>
                <w:color w:val="FFFFFF"/>
              </w:rPr>
              <w:t>Poor Security Practice</w:t>
            </w:r>
          </w:p>
        </w:tc>
        <w:tc>
          <w:tcPr>
            <w:tcW w:w="168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jc w:val="center"/>
              <w:rPr>
                <w:b/>
                <w:b/>
                <w:bCs w:val="false"/>
                <w:color w:val="000000"/>
              </w:rPr>
            </w:pPr>
            <w:r>
              <w:rPr>
                <w:b/>
                <w:color w:val="000000"/>
              </w:rPr>
              <w:t>Poor Security Practice</w:t>
            </w:r>
          </w:p>
        </w:tc>
        <w:tc>
          <w:tcPr>
            <w:tcW w:w="6609"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jc w:val="left"/>
              <w:rPr>
                <w:color w:val="000000"/>
              </w:rPr>
            </w:pPr>
            <w:r>
              <w:rPr>
                <w:color w:val="000000"/>
              </w:rPr>
              <w:t xml:space="preserve">This category is used for any suspected incident involving </w:t>
            </w:r>
            <w:r>
              <w:rPr>
                <w:color w:val="000000"/>
                <w:u w:val="single"/>
              </w:rPr>
              <w:t>misconfigurations</w:t>
            </w:r>
            <w:r>
              <w:rPr>
                <w:color w:val="000000"/>
              </w:rPr>
              <w:t xml:space="preserve">, </w:t>
            </w:r>
            <w:r>
              <w:rPr>
                <w:color w:val="000000"/>
                <w:u w:val="single"/>
              </w:rPr>
              <w:t>poor cybersecurity practice</w:t>
            </w:r>
            <w:r>
              <w:rPr>
                <w:color w:val="000000"/>
              </w:rPr>
              <w:t xml:space="preserve">s &amp; </w:t>
            </w:r>
            <w:r>
              <w:rPr>
                <w:color w:val="000000"/>
                <w:u w:val="single"/>
              </w:rPr>
              <w:t>policy violations.</w:t>
            </w:r>
          </w:p>
        </w:tc>
      </w:tr>
      <w:tr>
        <w:trPr>
          <w:trHeight w:val="1358" w:hRule="atLeast"/>
        </w:trPr>
        <w:tc>
          <w:tcPr>
            <w:tcW w:w="6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jc w:val="center"/>
              <w:rPr>
                <w:b/>
                <w:b/>
                <w:bCs w:val="false"/>
                <w:color w:val="000000"/>
              </w:rPr>
            </w:pPr>
            <w:r>
              <w:rPr>
                <w:b/>
                <w:color w:val="000000"/>
              </w:rPr>
              <w:t>10</w:t>
            </w:r>
          </w:p>
        </w:tc>
        <w:tc>
          <w:tcPr>
            <w:tcW w:w="158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000000" w:fill="777777" w:val="clear"/>
            <w:vAlign w:val="center"/>
          </w:tcPr>
          <w:p>
            <w:pPr>
              <w:pStyle w:val="Normal"/>
              <w:jc w:val="center"/>
              <w:rPr>
                <w:b/>
                <w:b/>
                <w:bCs w:val="false"/>
                <w:color w:val="FFFFFF"/>
              </w:rPr>
            </w:pPr>
            <w:r>
              <w:rPr>
                <w:b/>
                <w:color w:val="FFFFFF"/>
              </w:rPr>
              <w:t>Unknown / Other</w:t>
            </w:r>
          </w:p>
        </w:tc>
        <w:tc>
          <w:tcPr>
            <w:tcW w:w="168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jc w:val="center"/>
              <w:rPr>
                <w:b/>
                <w:b/>
                <w:bCs w:val="false"/>
                <w:color w:val="000000"/>
              </w:rPr>
            </w:pPr>
            <w:r>
              <w:rPr>
                <w:b/>
                <w:color w:val="000000"/>
              </w:rPr>
              <w:t>Unknown / Other</w:t>
            </w:r>
            <w:r>
              <w:rPr>
                <w:color w:val="000000"/>
              </w:rPr>
              <w:t xml:space="preserve"> (Under Investigation)</w:t>
            </w:r>
          </w:p>
        </w:tc>
        <w:tc>
          <w:tcPr>
            <w:tcW w:w="6609"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jc w:val="left"/>
              <w:rPr>
                <w:color w:val="000000"/>
              </w:rPr>
            </w:pPr>
            <w:r>
              <w:rPr>
                <w:color w:val="000000"/>
              </w:rPr>
              <w:t xml:space="preserve">This category is used if the </w:t>
            </w:r>
            <w:r>
              <w:rPr>
                <w:color w:val="000000"/>
                <w:u w:val="single"/>
              </w:rPr>
              <w:t>situation is unclear and categorization cannot be made</w:t>
            </w:r>
            <w:r>
              <w:rPr>
                <w:color w:val="000000"/>
              </w:rPr>
              <w:t>.</w:t>
              <w:br/>
              <w:br/>
              <w:t>This is meant to be a "placeholder" category until the threat or situation is investigated and a final determination has been made, so that the incident can be properly categorized.</w:t>
            </w:r>
          </w:p>
        </w:tc>
      </w:tr>
    </w:tbl>
    <w:p>
      <w:pPr>
        <w:pStyle w:val="Normal"/>
        <w:rPr>
          <w:rFonts w:cs="Calibri"/>
        </w:rPr>
      </w:pPr>
      <w:r>
        <w:rPr>
          <w:rFonts w:cs="Calibri"/>
        </w:rPr>
      </w:r>
    </w:p>
    <w:p>
      <w:pPr>
        <w:pStyle w:val="Normal"/>
        <w:rPr>
          <w:rFonts w:cs="Calibri"/>
        </w:rPr>
      </w:pPr>
      <w:r>
        <w:rPr>
          <w:rFonts w:cs="Calibri"/>
          <w:u w:val="single"/>
        </w:rPr>
        <w:t>Guidelines</w:t>
      </w:r>
      <w:r>
        <w:rPr>
          <w:rFonts w:cs="Calibri"/>
        </w:rPr>
        <w:t>: Classes of incidents include, for example, malfunctions due to design/implementation errors and omissions, targeted malicious attacks and untargeted malicious attacks. Appropriate incident response actions include, for example, graceful degradation, information system shutdown, fall back to manual mode/alternative technology whereby the system operates differently, employing deceptive measures, alternate information flows or operating in a mode that is reserved solely for when systems are under attack.</w:t>
      </w:r>
    </w:p>
    <w:p>
      <w:pPr>
        <w:pStyle w:val="Normal"/>
        <w:rPr/>
      </w:pPr>
      <w:r>
        <w:rPr/>
      </w:r>
    </w:p>
    <w:p>
      <w:pPr>
        <w:pStyle w:val="Heading3"/>
        <w:rPr/>
      </w:pPr>
      <w:bookmarkStart w:id="1164" w:name="_Toc23241813"/>
      <w:bookmarkStart w:id="1165" w:name="_Toc34920977"/>
      <w:r>
        <w:rPr/>
        <w:t>IRO-02(e): Incident Handling | Correlation with External Organizations</w:t>
      </w:r>
      <w:bookmarkEnd w:id="1164"/>
      <w:bookmarkEnd w:id="1165"/>
      <w:r>
        <w:rPr/>
        <w:t xml:space="preserve"> </w:t>
      </w:r>
    </w:p>
    <w:p>
      <w:pPr>
        <w:pStyle w:val="Normal"/>
        <w:rPr/>
      </w:pPr>
      <w:r>
        <w:rPr>
          <w:rFonts w:cs="Calibri"/>
          <w:u w:val="single"/>
        </w:rPr>
        <w:t>Control Objective</w:t>
      </w:r>
      <w:r>
        <w:rPr>
          <w:rFonts w:cs="Calibri"/>
        </w:rPr>
        <w:t xml:space="preserve">: </w:t>
      </w:r>
      <w:r>
        <w:rPr/>
        <w:t>The organization coordinates with organization-defined external organizations to correlate and share organization-defined incident information to achieve a cross-organization perspective on incident awareness and more effective incident responses.</w:t>
      </w:r>
      <w:r>
        <w:rPr>
          <w:rStyle w:val="FootnoteCharacters"/>
          <w:rFonts w:cs="Calibri"/>
        </w:rPr>
        <w:t xml:space="preserve"> </w:t>
      </w:r>
      <w:r>
        <w:rPr>
          <w:rStyle w:val="FootnoteAnchor"/>
          <w:rStyle w:val="FootnoteAnchor"/>
          <w:rFonts w:cs="Calibri"/>
        </w:rPr>
        <w:footnoteReference w:id="371"/>
      </w:r>
      <w:r>
        <w:rPr/>
        <w:t xml:space="preserve"> </w:t>
      </w:r>
    </w:p>
    <w:p>
      <w:pPr>
        <w:pStyle w:val="Normal"/>
        <w:rPr>
          <w:rFonts w:cs="Calibri"/>
        </w:rPr>
      </w:pPr>
      <w:r>
        <w:rPr>
          <w:rFonts w:cs="Calibri"/>
        </w:rPr>
      </w:r>
    </w:p>
    <w:p>
      <w:pPr>
        <w:pStyle w:val="Normal"/>
        <w:rPr/>
      </w:pPr>
      <w:r>
        <w:rPr>
          <w:rFonts w:cs="Calibri"/>
          <w:u w:val="single"/>
        </w:rPr>
        <w:t>Standard</w:t>
      </w:r>
      <w:r>
        <w:rPr>
          <w:rFonts w:cs="Calibri"/>
        </w:rPr>
        <w:t xml:space="preserve">: </w:t>
      </w:r>
      <w:r>
        <w:rPr/>
        <w:t>NFCC’s Integrated Incident Response Program (IIRP) is assigned the responsibility for:</w:t>
      </w:r>
    </w:p>
    <w:p>
      <w:pPr>
        <w:pStyle w:val="ListParagraph"/>
        <w:numPr>
          <w:ilvl w:val="0"/>
          <w:numId w:val="609"/>
        </w:numPr>
        <w:rPr/>
      </w:pPr>
      <w:r>
        <w:rPr/>
        <w:t>Identifying external organizations that require either coordination of incident response information sharing to achieve a cross-organization perspective on incidents that includes:</w:t>
      </w:r>
    </w:p>
    <w:p>
      <w:pPr>
        <w:pStyle w:val="ListParagraph"/>
        <w:numPr>
          <w:ilvl w:val="1"/>
          <w:numId w:val="609"/>
        </w:numPr>
        <w:rPr/>
      </w:pPr>
      <w:r>
        <w:rPr/>
        <w:t>Government regulators;</w:t>
      </w:r>
    </w:p>
    <w:p>
      <w:pPr>
        <w:pStyle w:val="ListParagraph"/>
        <w:numPr>
          <w:ilvl w:val="1"/>
          <w:numId w:val="609"/>
        </w:numPr>
        <w:rPr/>
      </w:pPr>
      <w:r>
        <w:rPr/>
        <w:t>Customers;</w:t>
      </w:r>
    </w:p>
    <w:p>
      <w:pPr>
        <w:pStyle w:val="ListParagraph"/>
        <w:numPr>
          <w:ilvl w:val="1"/>
          <w:numId w:val="609"/>
        </w:numPr>
        <w:rPr/>
      </w:pPr>
      <w:r>
        <w:rPr/>
        <w:t>Partners; and</w:t>
      </w:r>
    </w:p>
    <w:p>
      <w:pPr>
        <w:pStyle w:val="ListParagraph"/>
        <w:numPr>
          <w:ilvl w:val="1"/>
          <w:numId w:val="609"/>
        </w:numPr>
        <w:rPr/>
      </w:pPr>
      <w:r>
        <w:rPr/>
        <w:t>Service providers; and</w:t>
      </w:r>
    </w:p>
    <w:p>
      <w:pPr>
        <w:pStyle w:val="ListParagraph"/>
        <w:numPr>
          <w:ilvl w:val="0"/>
          <w:numId w:val="609"/>
        </w:numPr>
        <w:rPr/>
      </w:pPr>
      <w:r>
        <w:rPr/>
        <w:t xml:space="preserve">Assigning Integrated Security Incident Response Team (ISIRT) roles and responsibilities correlating and sharing pertinent incident information to achieve a cross-organization perspective on incident awareness and more effective incident responses. </w:t>
      </w:r>
    </w:p>
    <w:p>
      <w:pPr>
        <w:pStyle w:val="Normal"/>
        <w:rPr>
          <w:rFonts w:cs="Calibri"/>
        </w:rPr>
      </w:pPr>
      <w:r>
        <w:rPr>
          <w:rFonts w:cs="Calibri"/>
        </w:rPr>
      </w:r>
    </w:p>
    <w:p>
      <w:pPr>
        <w:pStyle w:val="Normal"/>
        <w:rPr/>
      </w:pPr>
      <w:r>
        <w:rPr>
          <w:rFonts w:cs="Calibri"/>
          <w:u w:val="single"/>
        </w:rPr>
        <w:t>Guidelines</w:t>
      </w:r>
      <w:r>
        <w:rPr>
          <w:rFonts w:cs="Calibri"/>
        </w:rPr>
        <w:t xml:space="preserve">: </w:t>
      </w:r>
      <w:r>
        <w:rPr/>
        <w:t>The coordination of incident information with external organizations including, for example, mission/business partners, customers and multitiered developers, can provide significant benefits. Cross-organizational coordination with respect to incident handling can serve as an important risk management capability. This capability allows organizations to leverage critical information from a variety of sources to effectively respond to information security-related incidents potentially affecting the organization’s operations, assets and individuals.</w:t>
      </w:r>
    </w:p>
    <w:p>
      <w:pPr>
        <w:pStyle w:val="Normal"/>
        <w:rPr/>
      </w:pPr>
      <w:r>
        <w:rPr/>
      </w:r>
    </w:p>
    <w:p>
      <w:pPr>
        <w:pStyle w:val="Normal"/>
        <w:rPr/>
      </w:pPr>
      <w:r>
        <w:rPr/>
      </w:r>
    </w:p>
    <w:p>
      <w:pPr>
        <w:pStyle w:val="Heading2"/>
        <w:rPr/>
      </w:pPr>
      <w:bookmarkStart w:id="1166" w:name="_Toc474075073"/>
      <w:bookmarkStart w:id="1167" w:name="_Toc474075665"/>
      <w:bookmarkStart w:id="1168" w:name="_Toc34920978"/>
      <w:r>
        <w:rPr/>
        <w:t>IRO-03: Indicators of Compromise (IOC)</w:t>
      </w:r>
      <w:bookmarkEnd w:id="1166"/>
      <w:bookmarkEnd w:id="1167"/>
      <w:bookmarkEnd w:id="1168"/>
      <w:r>
        <w:rPr/>
        <w:t xml:space="preserve"> </w:t>
      </w:r>
    </w:p>
    <w:p>
      <w:pPr>
        <w:pStyle w:val="Normal"/>
        <w:rPr/>
      </w:pPr>
      <w:r>
        <w:rPr>
          <w:u w:val="single"/>
        </w:rPr>
        <w:t>Control Objective</w:t>
      </w:r>
      <w:r>
        <w:rPr/>
        <w:t xml:space="preserve">: The organization develops Indicators of Compromise (IOC) to </w:t>
      </w:r>
      <w:r>
        <w:rPr>
          <w:rFonts w:cs="Calibri"/>
          <w:bCs w:val="false"/>
          <w:color w:val="000000"/>
        </w:rPr>
        <w:t>understand the potential impact of events.</w:t>
      </w:r>
      <w:r>
        <w:rPr>
          <w:rStyle w:val="FootnoteAnchor"/>
          <w:rStyle w:val="FootnoteAnchor"/>
        </w:rPr>
        <w:footnoteReference w:id="372"/>
      </w:r>
    </w:p>
    <w:p>
      <w:pPr>
        <w:pStyle w:val="Normal"/>
        <w:rPr/>
      </w:pPr>
      <w:r>
        <w:rPr/>
      </w:r>
    </w:p>
    <w:p>
      <w:pPr>
        <w:pStyle w:val="Normal"/>
        <w:rPr/>
      </w:pPr>
      <w:r>
        <w:rPr>
          <w:u w:val="single"/>
        </w:rPr>
        <w:t>Standard</w:t>
      </w:r>
      <w:r>
        <w:rPr/>
        <w:t>: NFCC incident response personnel must develop and update Indicators of Compromise (IOC) to ensure detection mechanisms and response personnel:</w:t>
      </w:r>
    </w:p>
    <w:p>
      <w:pPr>
        <w:pStyle w:val="ListParagraph"/>
        <w:numPr>
          <w:ilvl w:val="0"/>
          <w:numId w:val="380"/>
        </w:numPr>
        <w:rPr/>
      </w:pPr>
      <w:r>
        <w:rPr/>
        <w:t xml:space="preserve">Are aware of evolving threats; and </w:t>
      </w:r>
    </w:p>
    <w:p>
      <w:pPr>
        <w:pStyle w:val="ListParagraph"/>
        <w:numPr>
          <w:ilvl w:val="0"/>
          <w:numId w:val="380"/>
        </w:numPr>
        <w:rPr/>
      </w:pPr>
      <w:r>
        <w:rPr/>
        <w:t>Understand what reported issues could represent.</w:t>
      </w:r>
    </w:p>
    <w:p>
      <w:pPr>
        <w:pStyle w:val="Normal"/>
        <w:rPr/>
      </w:pPr>
      <w:r>
        <w:rPr/>
      </w:r>
    </w:p>
    <w:p>
      <w:pPr>
        <w:pStyle w:val="Normal"/>
        <w:rPr/>
      </w:pPr>
      <w:r>
        <w:rPr>
          <w:u w:val="single"/>
        </w:rPr>
        <w:t>Guidelines</w:t>
      </w:r>
      <w:r>
        <w:rPr/>
        <w:t xml:space="preserve">: </w:t>
      </w:r>
      <w:r>
        <w:rPr>
          <w:i/>
          <w:u w:val="single"/>
        </w:rPr>
        <w:t>Annex 10: Indicators of Compromise (IoC)</w:t>
      </w:r>
      <w:r>
        <w:rPr/>
        <w:t xml:space="preserve"> </w:t>
      </w:r>
      <w:r>
        <w:rPr>
          <w:rFonts w:cs="Calibri"/>
        </w:rPr>
        <w:t>covers potential scenarios that NFCC users may experience.</w:t>
      </w:r>
    </w:p>
    <w:p>
      <w:pPr>
        <w:pStyle w:val="Normal"/>
        <w:rPr/>
      </w:pPr>
      <w:r>
        <w:rPr/>
      </w:r>
    </w:p>
    <w:p>
      <w:pPr>
        <w:pStyle w:val="Normal"/>
        <w:rPr/>
      </w:pPr>
      <w:r>
        <w:rPr/>
      </w:r>
    </w:p>
    <w:p>
      <w:pPr>
        <w:pStyle w:val="Heading2"/>
        <w:rPr/>
      </w:pPr>
      <w:bookmarkStart w:id="1169" w:name="_Toc474075074"/>
      <w:bookmarkStart w:id="1170" w:name="_Toc474075666"/>
      <w:bookmarkStart w:id="1171" w:name="_Toc34920979"/>
      <w:r>
        <w:rPr/>
        <w:t>IRO-04: Incident Response Plan (IRP)</w:t>
      </w:r>
      <w:bookmarkEnd w:id="1169"/>
      <w:bookmarkEnd w:id="1170"/>
      <w:bookmarkEnd w:id="1171"/>
      <w:r>
        <w:rPr/>
        <w:t xml:space="preserve"> </w:t>
      </w:r>
    </w:p>
    <w:p>
      <w:pPr>
        <w:pStyle w:val="Normal"/>
        <w:rPr/>
      </w:pPr>
      <w:r>
        <w:rPr>
          <w:u w:val="single"/>
        </w:rPr>
        <w:t>Control Objective</w:t>
      </w:r>
      <w:r>
        <w:rPr/>
        <w:t>: The organization:</w:t>
      </w:r>
      <w:r>
        <w:rPr>
          <w:rStyle w:val="FootnoteCharacters"/>
          <w:rFonts w:cs="Calibri"/>
        </w:rPr>
        <w:t xml:space="preserve"> </w:t>
      </w:r>
      <w:r>
        <w:rPr>
          <w:rStyle w:val="FootnoteAnchor"/>
          <w:rStyle w:val="FootnoteAnchor"/>
          <w:rFonts w:cs="Calibri"/>
        </w:rPr>
        <w:footnoteReference w:id="373"/>
      </w:r>
    </w:p>
    <w:p>
      <w:pPr>
        <w:pStyle w:val="ListParagraph"/>
        <w:numPr>
          <w:ilvl w:val="0"/>
          <w:numId w:val="40"/>
        </w:numPr>
        <w:rPr/>
      </w:pPr>
      <w:r>
        <w:rPr/>
        <w:t>Develops an incident response plan that:</w:t>
      </w:r>
    </w:p>
    <w:p>
      <w:pPr>
        <w:pStyle w:val="ListParagraph"/>
        <w:numPr>
          <w:ilvl w:val="1"/>
          <w:numId w:val="40"/>
        </w:numPr>
        <w:rPr/>
      </w:pPr>
      <w:r>
        <w:rPr/>
        <w:t>Provides the organization with a roadmap for implementing its incident response capability;</w:t>
      </w:r>
    </w:p>
    <w:p>
      <w:pPr>
        <w:pStyle w:val="ListParagraph"/>
        <w:numPr>
          <w:ilvl w:val="1"/>
          <w:numId w:val="40"/>
        </w:numPr>
        <w:rPr/>
      </w:pPr>
      <w:r>
        <w:rPr/>
        <w:t>Describes the structure and organization of the incident response capability;</w:t>
      </w:r>
    </w:p>
    <w:p>
      <w:pPr>
        <w:pStyle w:val="ListParagraph"/>
        <w:numPr>
          <w:ilvl w:val="1"/>
          <w:numId w:val="40"/>
        </w:numPr>
        <w:rPr/>
      </w:pPr>
      <w:r>
        <w:rPr/>
        <w:t>Provides a high-level approach for how the incident response capability fits into the overall organization;</w:t>
      </w:r>
    </w:p>
    <w:p>
      <w:pPr>
        <w:pStyle w:val="ListParagraph"/>
        <w:numPr>
          <w:ilvl w:val="1"/>
          <w:numId w:val="40"/>
        </w:numPr>
        <w:rPr/>
      </w:pPr>
      <w:r>
        <w:rPr/>
        <w:t>Meets the unique requirements of the organization, which relate to mission, size, structure and functions;</w:t>
      </w:r>
    </w:p>
    <w:p>
      <w:pPr>
        <w:pStyle w:val="ListParagraph"/>
        <w:numPr>
          <w:ilvl w:val="1"/>
          <w:numId w:val="40"/>
        </w:numPr>
        <w:rPr/>
      </w:pPr>
      <w:r>
        <w:rPr/>
        <w:t>Defines reportable incidents;</w:t>
      </w:r>
    </w:p>
    <w:p>
      <w:pPr>
        <w:pStyle w:val="ListParagraph"/>
        <w:numPr>
          <w:ilvl w:val="1"/>
          <w:numId w:val="40"/>
        </w:numPr>
        <w:rPr/>
      </w:pPr>
      <w:r>
        <w:rPr/>
        <w:t>Provides metrics for measuring the incident response capability within the organization;</w:t>
      </w:r>
    </w:p>
    <w:p>
      <w:pPr>
        <w:pStyle w:val="ListParagraph"/>
        <w:numPr>
          <w:ilvl w:val="1"/>
          <w:numId w:val="40"/>
        </w:numPr>
        <w:rPr/>
      </w:pPr>
      <w:r>
        <w:rPr/>
        <w:t>Defines the resources and management support needed to effectively maintain and mature an incident response capability; and</w:t>
      </w:r>
    </w:p>
    <w:p>
      <w:pPr>
        <w:pStyle w:val="ListParagraph"/>
        <w:numPr>
          <w:ilvl w:val="1"/>
          <w:numId w:val="40"/>
        </w:numPr>
        <w:rPr/>
      </w:pPr>
      <w:r>
        <w:rPr/>
        <w:t>Is reviewed and approved by designated officials within the organization;</w:t>
      </w:r>
    </w:p>
    <w:p>
      <w:pPr>
        <w:pStyle w:val="ListParagraph"/>
        <w:numPr>
          <w:ilvl w:val="0"/>
          <w:numId w:val="40"/>
        </w:numPr>
        <w:rPr/>
      </w:pPr>
      <w:r>
        <w:rPr/>
        <w:t>Distributes copies of the incident response plan to incident response personnel (identified by name and / or by role) and organizational elements;</w:t>
      </w:r>
    </w:p>
    <w:p>
      <w:pPr>
        <w:pStyle w:val="ListParagraph"/>
        <w:numPr>
          <w:ilvl w:val="0"/>
          <w:numId w:val="40"/>
        </w:numPr>
        <w:rPr/>
      </w:pPr>
      <w:r>
        <w:rPr/>
        <w:t>Reviews the incident response plan on an</w:t>
      </w:r>
      <w:r>
        <w:rPr>
          <w:iCs/>
        </w:rPr>
        <w:t xml:space="preserve"> organization-defined frequency</w:t>
      </w:r>
      <w:r>
        <w:rPr/>
        <w:t>;</w:t>
      </w:r>
    </w:p>
    <w:p>
      <w:pPr>
        <w:pStyle w:val="ListParagraph"/>
        <w:numPr>
          <w:ilvl w:val="0"/>
          <w:numId w:val="40"/>
        </w:numPr>
        <w:rPr/>
      </w:pPr>
      <w:r>
        <w:rPr/>
        <w:t>Revises the incident response plan to address system / organizational changes or problems encountered during plan implementation, execution or testing; and</w:t>
      </w:r>
    </w:p>
    <w:p>
      <w:pPr>
        <w:pStyle w:val="ListParagraph"/>
        <w:numPr>
          <w:ilvl w:val="0"/>
          <w:numId w:val="40"/>
        </w:numPr>
        <w:rPr/>
      </w:pPr>
      <w:r>
        <w:rPr/>
        <w:t>Communicates incident response plan changes to incident response personnel (identified by name and / or by role) and organizational elements.</w:t>
      </w:r>
    </w:p>
    <w:p>
      <w:pPr>
        <w:pStyle w:val="Normal"/>
        <w:rPr/>
      </w:pPr>
      <w:r>
        <w:rPr/>
      </w:r>
    </w:p>
    <w:p>
      <w:pPr>
        <w:pStyle w:val="Normal"/>
        <w:rPr/>
      </w:pPr>
      <w:r>
        <w:rPr>
          <w:u w:val="single"/>
        </w:rPr>
        <w:t>Standard</w:t>
      </w:r>
      <w:r>
        <w:rPr/>
        <w:t>: NFCC management and IT staff are required to established processes and technical measures to triage security-related events and ensure timely and thorough incident management, as per established IT service management policies and procedures. This includes, but is not limited to:</w:t>
      </w:r>
    </w:p>
    <w:p>
      <w:pPr>
        <w:pStyle w:val="ListParagraph"/>
        <w:numPr>
          <w:ilvl w:val="0"/>
          <w:numId w:val="379"/>
        </w:numPr>
        <w:rPr/>
      </w:pPr>
      <w:r>
        <w:rPr/>
        <w:t>Be prepared to respond immediately to cybersecurity-related incidents;</w:t>
      </w:r>
    </w:p>
    <w:p>
      <w:pPr>
        <w:pStyle w:val="ListParagraph"/>
        <w:numPr>
          <w:ilvl w:val="0"/>
          <w:numId w:val="379"/>
        </w:numPr>
        <w:rPr/>
      </w:pPr>
      <w:r>
        <w:rPr/>
        <w:t xml:space="preserve">Create the Incident Response Plan (IRP) to be implemented in the event of a system breach. </w:t>
      </w:r>
    </w:p>
    <w:p>
      <w:pPr>
        <w:pStyle w:val="ListParagraph"/>
        <w:numPr>
          <w:ilvl w:val="0"/>
          <w:numId w:val="379"/>
        </w:numPr>
        <w:rPr/>
      </w:pPr>
      <w:r>
        <w:rPr/>
        <w:t>Test the IRP at least annually;</w:t>
      </w:r>
    </w:p>
    <w:p>
      <w:pPr>
        <w:pStyle w:val="ListParagraph"/>
        <w:numPr>
          <w:ilvl w:val="0"/>
          <w:numId w:val="379"/>
        </w:numPr>
        <w:rPr/>
      </w:pPr>
      <w:r>
        <w:rPr/>
        <w:t>Designate specific personnel to be available on a 24 / 7 basis to respond to alerts;</w:t>
      </w:r>
    </w:p>
    <w:p>
      <w:pPr>
        <w:pStyle w:val="ListParagraph"/>
        <w:numPr>
          <w:ilvl w:val="0"/>
          <w:numId w:val="379"/>
        </w:numPr>
        <w:rPr/>
      </w:pPr>
      <w:r>
        <w:rPr/>
        <w:t>Provide appropriate training to staff with security breach response responsibilities;</w:t>
      </w:r>
    </w:p>
    <w:p>
      <w:pPr>
        <w:pStyle w:val="ListParagraph"/>
        <w:numPr>
          <w:ilvl w:val="0"/>
          <w:numId w:val="379"/>
        </w:numPr>
        <w:rPr/>
      </w:pPr>
      <w:r>
        <w:rPr/>
        <w:t>Include alerts from intrusion detection, intrusion prevention and file integrity monitoring systems;</w:t>
      </w:r>
    </w:p>
    <w:p>
      <w:pPr>
        <w:pStyle w:val="ListParagraph"/>
        <w:numPr>
          <w:ilvl w:val="0"/>
          <w:numId w:val="379"/>
        </w:numPr>
        <w:rPr/>
      </w:pPr>
      <w:r>
        <w:rPr/>
        <w:t>Develop a process to modify and evolve the incident response plan according to lessons learned and to incorporate industry developments; and</w:t>
      </w:r>
    </w:p>
    <w:p>
      <w:pPr>
        <w:pStyle w:val="ListParagraph"/>
        <w:numPr>
          <w:ilvl w:val="0"/>
          <w:numId w:val="379"/>
        </w:numPr>
        <w:rPr/>
      </w:pPr>
      <w:r>
        <w:rPr/>
        <w:t>Ensure the plan addresses the following, at a minimum:</w:t>
      </w:r>
    </w:p>
    <w:p>
      <w:pPr>
        <w:pStyle w:val="ListParagraph"/>
        <w:numPr>
          <w:ilvl w:val="1"/>
          <w:numId w:val="379"/>
        </w:numPr>
        <w:rPr/>
      </w:pPr>
      <w:r>
        <w:rPr/>
        <w:t>Roles, responsibilities and communication and contact strategies in the event of a compromise;</w:t>
      </w:r>
    </w:p>
    <w:p>
      <w:pPr>
        <w:pStyle w:val="ListParagraph"/>
        <w:numPr>
          <w:ilvl w:val="1"/>
          <w:numId w:val="379"/>
        </w:numPr>
        <w:rPr/>
      </w:pPr>
      <w:r>
        <w:rPr/>
        <w:t>Specific incident response procedures;</w:t>
      </w:r>
    </w:p>
    <w:p>
      <w:pPr>
        <w:pStyle w:val="ListParagraph"/>
        <w:numPr>
          <w:ilvl w:val="1"/>
          <w:numId w:val="379"/>
        </w:numPr>
        <w:rPr/>
      </w:pPr>
      <w:r>
        <w:rPr/>
        <w:t>Business recovery and continuity procedures;</w:t>
      </w:r>
    </w:p>
    <w:p>
      <w:pPr>
        <w:pStyle w:val="ListParagraph"/>
        <w:numPr>
          <w:ilvl w:val="1"/>
          <w:numId w:val="379"/>
        </w:numPr>
        <w:rPr/>
      </w:pPr>
      <w:r>
        <w:rPr/>
        <w:t>Data backup processes;</w:t>
      </w:r>
    </w:p>
    <w:p>
      <w:pPr>
        <w:pStyle w:val="ListParagraph"/>
        <w:numPr>
          <w:ilvl w:val="1"/>
          <w:numId w:val="379"/>
        </w:numPr>
        <w:rPr/>
      </w:pPr>
      <w:r>
        <w:rPr/>
        <w:t>Analysis of legal requirements for reporting compromises;</w:t>
      </w:r>
    </w:p>
    <w:p>
      <w:pPr>
        <w:pStyle w:val="ListParagraph"/>
        <w:numPr>
          <w:ilvl w:val="1"/>
          <w:numId w:val="379"/>
        </w:numPr>
        <w:rPr/>
      </w:pPr>
      <w:r>
        <w:rPr/>
        <w:t>Coverage and responses of all critical system components; and</w:t>
      </w:r>
    </w:p>
    <w:p>
      <w:pPr>
        <w:pStyle w:val="ListParagraph"/>
        <w:numPr>
          <w:ilvl w:val="1"/>
          <w:numId w:val="379"/>
        </w:numPr>
        <w:rPr/>
      </w:pPr>
      <w:r>
        <w:rPr/>
        <w:t>Reference or inclusion of incident response procedures from legal or contractual sources, if applicable.</w:t>
      </w:r>
    </w:p>
    <w:p>
      <w:pPr>
        <w:pStyle w:val="Normal"/>
        <w:ind w:left="1080" w:hanging="0"/>
        <w:rPr/>
      </w:pPr>
      <w:r>
        <w:rPr/>
        <w:t xml:space="preserve"> </w:t>
      </w:r>
    </w:p>
    <w:p>
      <w:pPr>
        <w:pStyle w:val="Normal"/>
        <w:rPr>
          <w:u w:val="single"/>
        </w:rPr>
      </w:pPr>
      <w:r>
        <w:rPr>
          <w:u w:val="single"/>
        </w:rPr>
        <w:t>Guidelines</w:t>
      </w:r>
      <w:r>
        <w:rPr/>
        <w:t>: It is important that organizations develop and implement a coordinated approach to incident response. Organizational missions, business functions, strategies, goals and objectives for incident response help determine the structure of incident response capabilities. As part of a comprehensive incident response capability, organizations consider the coordination and sharing of information with external organizations, including, for example, external service providers and organizations involved in the supply chain for organizational systems.</w:t>
      </w:r>
    </w:p>
    <w:p>
      <w:pPr>
        <w:pStyle w:val="Normal"/>
        <w:rPr/>
      </w:pPr>
      <w:r>
        <w:rPr/>
      </w:r>
    </w:p>
    <w:p>
      <w:pPr>
        <w:pStyle w:val="Normal"/>
        <w:rPr/>
      </w:pPr>
      <w:r>
        <w:rPr/>
        <w:t>National Institute of Science &amp; Technology (NIST) guidance is the authoritative source for selection and implementation of this control based on the security categorization and risk environment of the data and / or system.</w:t>
      </w:r>
    </w:p>
    <w:p>
      <w:pPr>
        <w:pStyle w:val="Normal"/>
        <w:rPr/>
      </w:pPr>
      <w:r>
        <w:rPr/>
      </w:r>
    </w:p>
    <w:p>
      <w:pPr>
        <w:pStyle w:val="Heading3"/>
        <w:rPr/>
      </w:pPr>
      <w:bookmarkStart w:id="1172" w:name="_Toc34920980"/>
      <w:r>
        <w:rPr/>
        <w:t>IRO-04(a): Incident Response Plan (IRP) | Personal Data (PD) Processes</w:t>
      </w:r>
      <w:bookmarkEnd w:id="1172"/>
    </w:p>
    <w:p>
      <w:pPr>
        <w:pStyle w:val="Normal"/>
        <w:rPr/>
      </w:pPr>
      <w:r>
        <w:rPr>
          <w:u w:val="single"/>
        </w:rPr>
        <w:t>Control Objective</w:t>
      </w:r>
      <w:r>
        <w:rPr/>
        <w:t>: The organization includes incident response processes involving Personal Data (PD) in the Incident Response Plan (IRP):</w:t>
      </w:r>
      <w:r>
        <w:rPr>
          <w:rStyle w:val="FootnoteCharacters"/>
          <w:rFonts w:cs="Calibri"/>
        </w:rPr>
        <w:t xml:space="preserve"> </w:t>
      </w:r>
      <w:r>
        <w:rPr>
          <w:rStyle w:val="FootnoteAnchor"/>
          <w:rStyle w:val="FootnoteAnchor"/>
          <w:rFonts w:cs="Calibri"/>
        </w:rPr>
        <w:footnoteReference w:id="374"/>
      </w:r>
    </w:p>
    <w:p>
      <w:pPr>
        <w:pStyle w:val="ListParagraph"/>
        <w:numPr>
          <w:ilvl w:val="0"/>
          <w:numId w:val="536"/>
        </w:numPr>
        <w:rPr/>
      </w:pPr>
      <w:r>
        <w:rPr/>
        <w:t>A process to determine if notice to oversight organizations is appropriate and to provide that notice, if appropriate;</w:t>
      </w:r>
    </w:p>
    <w:p>
      <w:pPr>
        <w:pStyle w:val="ListParagraph"/>
        <w:numPr>
          <w:ilvl w:val="0"/>
          <w:numId w:val="536"/>
        </w:numPr>
        <w:rPr/>
      </w:pPr>
      <w:r>
        <w:rPr/>
        <w:t>An assessment process to determine the extent of the harm, embarrassment, inconvenience or unfairness to affected individuals; and</w:t>
      </w:r>
    </w:p>
    <w:p>
      <w:pPr>
        <w:pStyle w:val="ListParagraph"/>
        <w:numPr>
          <w:ilvl w:val="0"/>
          <w:numId w:val="536"/>
        </w:numPr>
        <w:rPr/>
      </w:pPr>
      <w:r>
        <w:rPr/>
        <w:t>A process to ensure prompt reporting by organizational users of any privacy incident to organization-defined roles.</w:t>
      </w:r>
    </w:p>
    <w:p>
      <w:pPr>
        <w:pStyle w:val="Normal"/>
        <w:rPr/>
      </w:pPr>
      <w:r>
        <w:rPr/>
      </w:r>
    </w:p>
    <w:p>
      <w:pPr>
        <w:pStyle w:val="Normal"/>
        <w:rPr/>
      </w:pPr>
      <w:r>
        <w:rPr>
          <w:u w:val="single"/>
        </w:rPr>
        <w:t>Standard</w:t>
      </w:r>
      <w:r>
        <w:rPr/>
        <w:t>: The Data Protection Officer (DPO) shall develop and implement a privacy-specific incident response redress process that at minimum addresses:</w:t>
      </w:r>
    </w:p>
    <w:p>
      <w:pPr>
        <w:pStyle w:val="ListParagraph"/>
        <w:numPr>
          <w:ilvl w:val="0"/>
          <w:numId w:val="449"/>
        </w:numPr>
        <w:rPr/>
      </w:pPr>
      <w:r>
        <w:rPr/>
        <w:t>A complete, accurate and timely record of detected or reported unauthorized disclosures of personal information, including breaches; and</w:t>
      </w:r>
    </w:p>
    <w:p>
      <w:pPr>
        <w:pStyle w:val="ListParagraph"/>
        <w:numPr>
          <w:ilvl w:val="0"/>
          <w:numId w:val="449"/>
        </w:numPr>
        <w:rPr/>
      </w:pPr>
      <w:r>
        <w:rPr/>
        <w:t>Notification of breaches and incidents to affected data subjects, regulators and others.</w:t>
      </w:r>
    </w:p>
    <w:p>
      <w:pPr>
        <w:pStyle w:val="Normal"/>
        <w:rPr/>
      </w:pPr>
      <w:r>
        <w:rPr/>
      </w:r>
    </w:p>
    <w:p>
      <w:pPr>
        <w:pStyle w:val="Normal"/>
        <w:rPr/>
      </w:pPr>
      <w:r>
        <w:rPr>
          <w:u w:val="single"/>
        </w:rPr>
        <w:t>Guidelines</w:t>
      </w:r>
      <w:r>
        <w:rPr/>
        <w:t xml:space="preserve">: An organizational Privacy Incident Response Plan generally includes: </w:t>
      </w:r>
    </w:p>
    <w:p>
      <w:pPr>
        <w:pStyle w:val="ListParagraph"/>
        <w:numPr>
          <w:ilvl w:val="0"/>
          <w:numId w:val="109"/>
        </w:numPr>
        <w:rPr/>
      </w:pPr>
      <w:r>
        <w:rPr/>
        <w:t xml:space="preserve">The establishment of a cross-functional Privacy Incident Response Team that reviews, approves and participates in the execution of the Privacy Incident Response Plan; </w:t>
      </w:r>
    </w:p>
    <w:p>
      <w:pPr>
        <w:pStyle w:val="ListParagraph"/>
        <w:numPr>
          <w:ilvl w:val="0"/>
          <w:numId w:val="109"/>
        </w:numPr>
        <w:rPr/>
      </w:pPr>
      <w:r>
        <w:rPr/>
        <w:t xml:space="preserve">A process to determine whether notice to affected individuals is required and, where appropriate, to provide that notice; </w:t>
      </w:r>
    </w:p>
    <w:p>
      <w:pPr>
        <w:pStyle w:val="ListParagraph"/>
        <w:numPr>
          <w:ilvl w:val="0"/>
          <w:numId w:val="109"/>
        </w:numPr>
        <w:rPr/>
      </w:pPr>
      <w:r>
        <w:rPr/>
        <w:t xml:space="preserve">A privacy risk assessment process to determine the extent of harm, embarrassment, inconvenience or unfairness to affected individuals and, where appropriate, to take steps to mitigate any such risks; and </w:t>
      </w:r>
    </w:p>
    <w:p>
      <w:pPr>
        <w:pStyle w:val="ListParagraph"/>
        <w:numPr>
          <w:ilvl w:val="0"/>
          <w:numId w:val="109"/>
        </w:numPr>
        <w:rPr>
          <w:u w:val="single"/>
        </w:rPr>
      </w:pPr>
      <w:r>
        <w:rPr/>
        <w:t>Internal procedures to ensure prompt reporting by employees and contractors of any privacy incident to cybersecurity officials.</w:t>
      </w:r>
    </w:p>
    <w:p>
      <w:pPr>
        <w:pStyle w:val="Normal"/>
        <w:rPr/>
      </w:pPr>
      <w:r>
        <w:rPr/>
      </w:r>
    </w:p>
    <w:p>
      <w:pPr>
        <w:pStyle w:val="Heading3"/>
        <w:rPr/>
      </w:pPr>
      <w:bookmarkStart w:id="1173" w:name="_Toc34920981"/>
      <w:r>
        <w:rPr/>
        <w:t>IRO-04(b): Incident Response Plan (IRP) | IRP Update</w:t>
      </w:r>
      <w:bookmarkEnd w:id="1173"/>
    </w:p>
    <w:p>
      <w:pPr>
        <w:pStyle w:val="Normal"/>
        <w:rPr/>
      </w:pPr>
      <w:r>
        <w:rPr>
          <w:u w:val="single"/>
        </w:rPr>
        <w:t>Control Objective</w:t>
      </w:r>
      <w:r>
        <w:rPr/>
        <w:t xml:space="preserve">: The organization regularly updates incident response strategies to keep current with business needs and technology changes. </w:t>
      </w:r>
      <w:r>
        <w:rPr>
          <w:rStyle w:val="FootnoteAnchor"/>
          <w:rStyle w:val="FootnoteAnchor"/>
        </w:rPr>
        <w:footnoteReference w:id="375"/>
      </w:r>
    </w:p>
    <w:p>
      <w:pPr>
        <w:pStyle w:val="Normal"/>
        <w:rPr/>
      </w:pPr>
      <w:r>
        <w:rPr/>
      </w:r>
    </w:p>
    <w:p>
      <w:pPr>
        <w:pStyle w:val="Normal"/>
        <w:rPr/>
      </w:pPr>
      <w:r>
        <w:rPr>
          <w:u w:val="single"/>
        </w:rPr>
        <w:t>Standard</w:t>
      </w:r>
      <w:r>
        <w:rPr/>
        <w:t>: Incident response personnel are required to:</w:t>
      </w:r>
    </w:p>
    <w:p>
      <w:pPr>
        <w:pStyle w:val="ListParagraph"/>
        <w:numPr>
          <w:ilvl w:val="0"/>
          <w:numId w:val="383"/>
        </w:numPr>
        <w:rPr/>
      </w:pPr>
      <w:r>
        <w:rPr/>
        <w:t>Review Incident Response Plans (IRPs) at least once a year;</w:t>
      </w:r>
    </w:p>
    <w:p>
      <w:pPr>
        <w:pStyle w:val="ListParagraph"/>
        <w:numPr>
          <w:ilvl w:val="0"/>
          <w:numId w:val="383"/>
        </w:numPr>
        <w:rPr/>
      </w:pPr>
      <w:r>
        <w:rPr/>
        <w:t xml:space="preserve">Review any test / exercise results; and </w:t>
      </w:r>
    </w:p>
    <w:p>
      <w:pPr>
        <w:pStyle w:val="ListParagraph"/>
        <w:numPr>
          <w:ilvl w:val="0"/>
          <w:numId w:val="383"/>
        </w:numPr>
        <w:rPr/>
      </w:pPr>
      <w:r>
        <w:rPr/>
        <w:t xml:space="preserve">Initiate corrective actions, as necessary. </w:t>
      </w:r>
    </w:p>
    <w:p>
      <w:pPr>
        <w:pStyle w:val="Normal"/>
        <w:rPr/>
      </w:pPr>
      <w:r>
        <w:rPr/>
      </w:r>
    </w:p>
    <w:p>
      <w:pPr>
        <w:pStyle w:val="Normal"/>
        <w:rPr/>
      </w:pPr>
      <w:r>
        <w:rPr>
          <w:u w:val="single"/>
        </w:rPr>
        <w:t>Guidelines</w:t>
      </w:r>
      <w:r>
        <w:rPr/>
        <w:t>: None</w:t>
      </w:r>
    </w:p>
    <w:p>
      <w:pPr>
        <w:pStyle w:val="Normal"/>
        <w:rPr/>
      </w:pPr>
      <w:r>
        <w:rPr/>
      </w:r>
    </w:p>
    <w:p>
      <w:pPr>
        <w:pStyle w:val="Normal"/>
        <w:tabs>
          <w:tab w:val="clear" w:pos="360"/>
          <w:tab w:val="clear" w:pos="720"/>
          <w:tab w:val="clear" w:pos="1080"/>
        </w:tabs>
        <w:jc w:val="left"/>
        <w:rPr>
          <w:rFonts w:eastAsia="Calibri" w:cs="Calibri"/>
          <w:b/>
          <w:b/>
          <w:bCs w:val="false"/>
          <w:smallCaps/>
          <w:color w:val="C00000"/>
          <w:sz w:val="24"/>
        </w:rPr>
      </w:pPr>
      <w:r>
        <w:rPr>
          <w:rFonts w:eastAsia="Calibri" w:cs="Calibri"/>
          <w:b/>
          <w:bCs w:val="false"/>
          <w:smallCaps/>
          <w:color w:val="C00000"/>
          <w:sz w:val="24"/>
        </w:rPr>
      </w:r>
    </w:p>
    <w:p>
      <w:pPr>
        <w:pStyle w:val="Heading2"/>
        <w:rPr/>
      </w:pPr>
      <w:bookmarkStart w:id="1174" w:name="_Toc34920982"/>
      <w:bookmarkStart w:id="1175" w:name="_Toc474075075"/>
      <w:bookmarkStart w:id="1176" w:name="_Toc474075667"/>
      <w:r>
        <w:rPr/>
        <w:t>IRO-05: Incident Response Training</w:t>
      </w:r>
      <w:bookmarkEnd w:id="1174"/>
      <w:bookmarkEnd w:id="1175"/>
      <w:bookmarkEnd w:id="1176"/>
      <w:r>
        <w:rPr/>
        <w:t xml:space="preserve"> </w:t>
      </w:r>
    </w:p>
    <w:p>
      <w:pPr>
        <w:pStyle w:val="Normal"/>
        <w:rPr/>
      </w:pPr>
      <w:r>
        <w:rPr>
          <w:u w:val="single"/>
        </w:rPr>
        <w:t>Control Objective</w:t>
      </w:r>
      <w:r>
        <w:rPr/>
        <w:t>: The organization:</w:t>
      </w:r>
      <w:r>
        <w:rPr>
          <w:rStyle w:val="FootnoteAnchor"/>
          <w:rStyle w:val="FootnoteAnchor"/>
          <w:rFonts w:cs="Calibri"/>
        </w:rPr>
        <w:footnoteReference w:id="376"/>
      </w:r>
    </w:p>
    <w:p>
      <w:pPr>
        <w:pStyle w:val="ListParagraph"/>
        <w:numPr>
          <w:ilvl w:val="0"/>
          <w:numId w:val="35"/>
        </w:numPr>
        <w:rPr/>
      </w:pPr>
      <w:r>
        <w:rPr/>
        <w:t>Trains personnel in their incident response roles and responsibilities; and</w:t>
      </w:r>
    </w:p>
    <w:p>
      <w:pPr>
        <w:pStyle w:val="ListParagraph"/>
        <w:numPr>
          <w:ilvl w:val="0"/>
          <w:numId w:val="35"/>
        </w:numPr>
        <w:rPr/>
      </w:pPr>
      <w:r>
        <w:rPr/>
        <w:t>Provides refresher training.</w:t>
      </w:r>
    </w:p>
    <w:p>
      <w:pPr>
        <w:pStyle w:val="Normal"/>
        <w:rPr/>
      </w:pPr>
      <w:r>
        <w:rPr/>
      </w:r>
    </w:p>
    <w:p>
      <w:pPr>
        <w:pStyle w:val="Normal"/>
        <w:rPr/>
      </w:pPr>
      <w:r>
        <w:rPr>
          <w:u w:val="single"/>
        </w:rPr>
        <w:t>Standard</w:t>
      </w:r>
      <w:r>
        <w:rPr/>
        <w:t>: NFCC management and IT staff are required to conduct periodic incident scenario sessions for personnel associated with the incident handling team to ensure that they understand current threats and risks, as well as their responsibilities in supporting the incident handling team.</w:t>
      </w:r>
    </w:p>
    <w:p>
      <w:pPr>
        <w:pStyle w:val="Normal"/>
        <w:rPr/>
      </w:pPr>
      <w:r>
        <w:rPr/>
      </w:r>
    </w:p>
    <w:p>
      <w:pPr>
        <w:pStyle w:val="Normal"/>
        <w:rPr/>
      </w:pPr>
      <w:r>
        <w:rPr>
          <w:u w:val="single"/>
        </w:rPr>
        <w:t>Guidelines</w:t>
      </w:r>
      <w:r>
        <w:rPr/>
        <w:t>: Training should incorporate simulated events into incident response training to facilitate effective response by personnel in crisis situations. Incident response training provided by organizations is linked to the assigned roles and responsibilities of organizational personnel to ensure the appropriate content and level of detail is included in such training. For example, regular users may only need to know who to call or how to recognize an incident on the system; system administrators may require additional training on how to handle / remediate incidents; and incident responders may receive more specific training on forensics, reporting, system recovery and restoration. Incident response training includes user training in the identification and reporting of suspicious activities, both from external and internal sources.</w:t>
      </w:r>
    </w:p>
    <w:p>
      <w:pPr>
        <w:pStyle w:val="Normal"/>
        <w:rPr/>
      </w:pPr>
      <w:r>
        <w:rPr/>
      </w:r>
    </w:p>
    <w:p>
      <w:pPr>
        <w:pStyle w:val="Heading3"/>
        <w:rPr/>
      </w:pPr>
      <w:bookmarkStart w:id="1177" w:name="_Toc34920983"/>
      <w:bookmarkStart w:id="1178" w:name="_Toc23241803"/>
      <w:r>
        <w:rPr/>
        <w:t xml:space="preserve">IRO-05(a): Incident Response Training | Simulated </w:t>
      </w:r>
      <w:bookmarkEnd w:id="1178"/>
      <w:r>
        <w:rPr/>
        <w:t>Incidents</w:t>
      </w:r>
      <w:bookmarkEnd w:id="1177"/>
      <w:r>
        <w:rPr/>
        <w:t xml:space="preserve"> </w:t>
      </w:r>
    </w:p>
    <w:p>
      <w:pPr>
        <w:pStyle w:val="Normal"/>
        <w:rPr/>
      </w:pPr>
      <w:r>
        <w:rPr>
          <w:rFonts w:cs="Calibri"/>
          <w:u w:val="single"/>
        </w:rPr>
        <w:t>Control Objective</w:t>
      </w:r>
      <w:r>
        <w:rPr>
          <w:rFonts w:cs="Calibri"/>
        </w:rPr>
        <w:t xml:space="preserve">: </w:t>
      </w:r>
      <w:r>
        <w:rPr/>
        <w:t>The organization incorporates simulated events into incident response training to facilitate effective response by personnel in crisis situations.</w:t>
      </w:r>
      <w:r>
        <w:rPr>
          <w:rStyle w:val="FootnoteCharacters"/>
          <w:rFonts w:cs="Calibri"/>
        </w:rPr>
        <w:t xml:space="preserve"> </w:t>
      </w:r>
      <w:r>
        <w:rPr>
          <w:rStyle w:val="FootnoteAnchor"/>
          <w:rStyle w:val="FootnoteAnchor"/>
          <w:rFonts w:cs="Calibri"/>
        </w:rPr>
        <w:footnoteReference w:id="377"/>
      </w:r>
    </w:p>
    <w:p>
      <w:pPr>
        <w:pStyle w:val="Normal"/>
        <w:rPr>
          <w:rFonts w:cs="Calibri"/>
        </w:rPr>
      </w:pPr>
      <w:r>
        <w:rPr>
          <w:rFonts w:cs="Calibri"/>
        </w:rPr>
      </w:r>
    </w:p>
    <w:p>
      <w:pPr>
        <w:pStyle w:val="Normal"/>
        <w:rPr>
          <w:rFonts w:cs="Calibri"/>
        </w:rPr>
      </w:pPr>
      <w:r>
        <w:rPr>
          <w:rFonts w:cs="Calibri"/>
          <w:u w:val="single"/>
        </w:rPr>
        <w:t>Standard</w:t>
      </w:r>
      <w:r>
        <w:rPr>
          <w:rFonts w:cs="Calibri"/>
        </w:rPr>
        <w:t>: NFCC’s Information Security Officer (ISO) is required to engage key stakeholders in planning and conducting simulated events to facilitate an effective response training opportunity for personnel in crisis situations.</w:t>
      </w:r>
    </w:p>
    <w:p>
      <w:pPr>
        <w:pStyle w:val="Normal"/>
        <w:rPr>
          <w:rFonts w:cs="Calibri"/>
        </w:rPr>
      </w:pPr>
      <w:r>
        <w:rPr>
          <w:rFonts w:cs="Calibri"/>
        </w:rPr>
      </w:r>
    </w:p>
    <w:p>
      <w:pPr>
        <w:pStyle w:val="Normal"/>
        <w:rPr>
          <w:rFonts w:cs="Calibri"/>
        </w:rPr>
      </w:pPr>
      <w:r>
        <w:rPr>
          <w:rFonts w:cs="Calibri"/>
          <w:u w:val="single"/>
        </w:rPr>
        <w:t>Guidelines</w:t>
      </w:r>
      <w:r>
        <w:rPr>
          <w:rFonts w:cs="Calibri"/>
        </w:rPr>
        <w:t>: None</w:t>
      </w:r>
    </w:p>
    <w:p>
      <w:pPr>
        <w:pStyle w:val="Normal"/>
        <w:rPr>
          <w:rFonts w:cs="Calibri"/>
          <w:u w:val="single"/>
        </w:rPr>
      </w:pPr>
      <w:r>
        <w:rPr>
          <w:rFonts w:cs="Calibri"/>
          <w:u w:val="single"/>
        </w:rPr>
      </w:r>
    </w:p>
    <w:p>
      <w:pPr>
        <w:pStyle w:val="Heading3"/>
        <w:rPr/>
      </w:pPr>
      <w:bookmarkStart w:id="1179" w:name="_Toc23241804"/>
      <w:bookmarkStart w:id="1180" w:name="_Toc34920984"/>
      <w:r>
        <w:rPr/>
        <w:t>IRO-05(b): Incident Response Training | Automated Incident Response Training Environments</w:t>
      </w:r>
      <w:bookmarkEnd w:id="1179"/>
      <w:bookmarkEnd w:id="1180"/>
      <w:r>
        <w:rPr/>
        <w:t xml:space="preserve"> </w:t>
      </w:r>
    </w:p>
    <w:p>
      <w:pPr>
        <w:pStyle w:val="Normal"/>
        <w:rPr/>
      </w:pPr>
      <w:r>
        <w:rPr>
          <w:rFonts w:cs="Calibri"/>
          <w:u w:val="single"/>
        </w:rPr>
        <w:t>Control Objective</w:t>
      </w:r>
      <w:r>
        <w:rPr>
          <w:rFonts w:cs="Calibri"/>
        </w:rPr>
        <w:t xml:space="preserve">: </w:t>
      </w:r>
      <w:r>
        <w:rPr/>
        <w:t>The organization employs automated mechanisms to provide a more thorough and realistic incident response training environment.</w:t>
      </w:r>
      <w:r>
        <w:rPr>
          <w:rStyle w:val="FootnoteCharacters"/>
          <w:rFonts w:cs="Calibri"/>
        </w:rPr>
        <w:t xml:space="preserve"> </w:t>
      </w:r>
      <w:r>
        <w:rPr>
          <w:rStyle w:val="FootnoteAnchor"/>
          <w:rStyle w:val="FootnoteAnchor"/>
          <w:rFonts w:cs="Calibri"/>
        </w:rPr>
        <w:footnoteReference w:id="378"/>
      </w:r>
    </w:p>
    <w:p>
      <w:pPr>
        <w:pStyle w:val="Normal"/>
        <w:rPr>
          <w:rFonts w:cs="Calibri"/>
        </w:rPr>
      </w:pPr>
      <w:r>
        <w:rPr>
          <w:rFonts w:cs="Calibri"/>
        </w:rPr>
      </w:r>
    </w:p>
    <w:p>
      <w:pPr>
        <w:pStyle w:val="Normal"/>
        <w:rPr/>
      </w:pPr>
      <w:r>
        <w:rPr>
          <w:rFonts w:cs="Calibri"/>
          <w:u w:val="single"/>
        </w:rPr>
        <w:t>Standard</w:t>
      </w:r>
      <w:r>
        <w:rPr>
          <w:rFonts w:cs="Calibri"/>
        </w:rPr>
        <w:t xml:space="preserve">: Where technically feasible and a business justification exists, NFCC shall employ automated mechanisms to </w:t>
      </w:r>
      <w:r>
        <w:rPr/>
        <w:t>provide a more thorough and realistic incident response training environment.</w:t>
      </w:r>
    </w:p>
    <w:p>
      <w:pPr>
        <w:pStyle w:val="Normal"/>
        <w:rPr>
          <w:rFonts w:cs="Calibri"/>
        </w:rPr>
      </w:pPr>
      <w:r>
        <w:rPr>
          <w:rFonts w:cs="Calibri"/>
        </w:rPr>
      </w:r>
    </w:p>
    <w:p>
      <w:pPr>
        <w:pStyle w:val="Normal"/>
        <w:rPr>
          <w:rFonts w:cs="Calibri"/>
        </w:rPr>
      </w:pPr>
      <w:r>
        <w:rPr>
          <w:rFonts w:cs="Calibri"/>
          <w:u w:val="single"/>
        </w:rPr>
        <w:t>Guidelines</w:t>
      </w:r>
      <w:r>
        <w:rPr>
          <w:rFonts w:cs="Calibri"/>
        </w:rPr>
        <w:t>: None</w:t>
      </w:r>
      <w:bookmarkStart w:id="1181" w:name="_Hlk27579782"/>
      <w:bookmarkEnd w:id="1181"/>
    </w:p>
    <w:p>
      <w:pPr>
        <w:pStyle w:val="Normal"/>
        <w:rPr>
          <w:rFonts w:cs="Calibri"/>
          <w:u w:val="single"/>
        </w:rPr>
      </w:pPr>
      <w:r>
        <w:rPr>
          <w:rFonts w:cs="Calibri"/>
          <w:u w:val="single"/>
        </w:rPr>
      </w:r>
    </w:p>
    <w:p>
      <w:pPr>
        <w:pStyle w:val="Normal"/>
        <w:rPr/>
      </w:pPr>
      <w:r>
        <w:rPr/>
      </w:r>
    </w:p>
    <w:p>
      <w:pPr>
        <w:pStyle w:val="Heading2"/>
        <w:rPr/>
      </w:pPr>
      <w:bookmarkStart w:id="1182" w:name="_Toc474075076"/>
      <w:bookmarkStart w:id="1183" w:name="_Toc474075668"/>
      <w:bookmarkStart w:id="1184" w:name="_Toc34920985"/>
      <w:r>
        <w:rPr/>
        <w:t>IRO-06: Incident Response Testing</w:t>
      </w:r>
      <w:bookmarkEnd w:id="1182"/>
      <w:bookmarkEnd w:id="1183"/>
      <w:bookmarkEnd w:id="1184"/>
    </w:p>
    <w:p>
      <w:pPr>
        <w:pStyle w:val="Normal"/>
        <w:rPr/>
      </w:pPr>
      <w:r>
        <w:rPr>
          <w:u w:val="single"/>
        </w:rPr>
        <w:t>Control Objective</w:t>
      </w:r>
      <w:r>
        <w:rPr/>
        <w:t>: The organization tests and / or exercises the incident response capability for systems using organization-defined tests and / or exercises to determine the incident response effectiveness and documents the results.</w:t>
      </w:r>
      <w:r>
        <w:rPr>
          <w:rStyle w:val="FootnoteAnchor"/>
          <w:rStyle w:val="FootnoteAnchor"/>
          <w:rFonts w:cs="Calibri"/>
        </w:rPr>
        <w:footnoteReference w:id="379"/>
      </w:r>
    </w:p>
    <w:p>
      <w:pPr>
        <w:pStyle w:val="Normal"/>
        <w:rPr/>
      </w:pPr>
      <w:r>
        <w:rPr/>
      </w:r>
    </w:p>
    <w:p>
      <w:pPr>
        <w:pStyle w:val="Normal"/>
        <w:rPr/>
      </w:pPr>
      <w:r>
        <w:rPr>
          <w:u w:val="single"/>
        </w:rPr>
        <w:t>Standard</w:t>
      </w:r>
      <w:r>
        <w:rPr/>
        <w:t>: NFCC management and IT staff are required to perform annual tests and / or exercises of its incident response capability to formally determine incident response effectiveness and make corrections, based on any deficiencies.</w:t>
      </w:r>
    </w:p>
    <w:p>
      <w:pPr>
        <w:pStyle w:val="Normal"/>
        <w:rPr/>
      </w:pPr>
      <w:r>
        <w:rPr/>
      </w:r>
    </w:p>
    <w:p>
      <w:pPr>
        <w:pStyle w:val="Normal"/>
        <w:rPr>
          <w:u w:val="single"/>
        </w:rPr>
      </w:pPr>
      <w:r>
        <w:rPr>
          <w:u w:val="single"/>
        </w:rPr>
        <w:t>Guidelines</w:t>
      </w:r>
      <w:r>
        <w:rPr/>
        <w:t>: Organizations test incident response capabilities to determine the overall effectiveness of the capabilities and to identify potential weaknesses or deficiencies. Incident response testing includes, for example, the use of checklists, walk-through or tabletop exercises, simulations (parallel / full interrupt) and comprehensive exercises. Incident response testing can also include a determination of the effects on organizational operations (e.g., reduction in mission capabilities), organizational assets and individuals due to incident response.</w:t>
      </w:r>
    </w:p>
    <w:p>
      <w:pPr>
        <w:pStyle w:val="Normal"/>
        <w:rPr/>
      </w:pPr>
      <w:r>
        <w:rPr/>
      </w:r>
    </w:p>
    <w:p>
      <w:pPr>
        <w:pStyle w:val="Heading3"/>
        <w:rPr/>
      </w:pPr>
      <w:bookmarkStart w:id="1185" w:name="_Toc474075077"/>
      <w:bookmarkStart w:id="1186" w:name="_Toc34920986"/>
      <w:r>
        <w:rPr/>
        <w:t>IRO-06(a): Incident Response Testing | Coordination with Related Plans</w:t>
      </w:r>
      <w:bookmarkEnd w:id="1185"/>
      <w:bookmarkEnd w:id="1186"/>
      <w:r>
        <w:rPr/>
        <w:t xml:space="preserve"> </w:t>
      </w:r>
    </w:p>
    <w:p>
      <w:pPr>
        <w:pStyle w:val="Normal"/>
        <w:rPr/>
      </w:pPr>
      <w:r>
        <w:rPr>
          <w:u w:val="single"/>
        </w:rPr>
        <w:t>Control Objective</w:t>
      </w:r>
      <w:r>
        <w:rPr/>
        <w:t>: The organization coordinates incident response testing with organizational elements responsible for related plans.</w:t>
      </w:r>
      <w:r>
        <w:rPr>
          <w:rStyle w:val="FootnoteAnchor"/>
          <w:rStyle w:val="FootnoteAnchor"/>
          <w:rFonts w:cs="Calibri"/>
        </w:rPr>
        <w:footnoteReference w:id="380"/>
      </w:r>
    </w:p>
    <w:p>
      <w:pPr>
        <w:pStyle w:val="Normal"/>
        <w:rPr/>
      </w:pPr>
      <w:r>
        <w:rPr/>
      </w:r>
    </w:p>
    <w:p>
      <w:pPr>
        <w:pStyle w:val="Normal"/>
        <w:rPr/>
      </w:pPr>
      <w:r>
        <w:rPr>
          <w:u w:val="single"/>
        </w:rPr>
        <w:t>Standard</w:t>
      </w:r>
      <w:r>
        <w:rPr/>
        <w:t>: Process owners must ensure coordinated incident response testing is conducted with appropriate personnel responsible for related plans.</w:t>
      </w:r>
    </w:p>
    <w:p>
      <w:pPr>
        <w:pStyle w:val="Normal"/>
        <w:rPr/>
      </w:pPr>
      <w:r>
        <w:rPr/>
      </w:r>
    </w:p>
    <w:p>
      <w:pPr>
        <w:pStyle w:val="Normal"/>
        <w:rPr/>
      </w:pPr>
      <w:r>
        <w:rPr>
          <w:rFonts w:cs="Calibri"/>
          <w:u w:val="single"/>
        </w:rPr>
        <w:t>Guidelines</w:t>
      </w:r>
      <w:r>
        <w:rPr>
          <w:rFonts w:cs="Calibri"/>
        </w:rPr>
        <w:t xml:space="preserve">: </w:t>
      </w:r>
      <w:r>
        <w:rPr/>
        <w:t>Organizational plans related to incident response testing include, for example, Business Continuity Plans, Contingency Plans, Disaster Recovery Plans, Continuity of Operations Plans, Crisis Communications Plans, Critical Infrastructure Plans and Occupant Emergency Plans.</w:t>
      </w:r>
    </w:p>
    <w:p>
      <w:pPr>
        <w:pStyle w:val="Normal"/>
        <w:rPr/>
      </w:pPr>
      <w:r>
        <w:rPr/>
      </w:r>
    </w:p>
    <w:p>
      <w:pPr>
        <w:pStyle w:val="Normal"/>
        <w:rPr/>
      </w:pPr>
      <w:r>
        <w:rPr/>
      </w:r>
    </w:p>
    <w:p>
      <w:pPr>
        <w:pStyle w:val="Heading2"/>
        <w:rPr/>
      </w:pPr>
      <w:bookmarkStart w:id="1187" w:name="_Toc34920987"/>
      <w:bookmarkStart w:id="1188" w:name="_Toc474075078"/>
      <w:bookmarkStart w:id="1189" w:name="_Toc474075669"/>
      <w:r>
        <w:rPr/>
        <w:t>IRO-07: Integrated Security Incident Response Team</w:t>
      </w:r>
      <w:bookmarkEnd w:id="1188"/>
      <w:bookmarkEnd w:id="1189"/>
      <w:r>
        <w:rPr/>
        <w:t xml:space="preserve"> (ISIRT)</w:t>
      </w:r>
      <w:bookmarkEnd w:id="1187"/>
    </w:p>
    <w:p>
      <w:pPr>
        <w:pStyle w:val="Normal"/>
        <w:rPr/>
      </w:pPr>
      <w:r>
        <w:rPr>
          <w:u w:val="single"/>
        </w:rPr>
        <w:t>Control Objective</w:t>
      </w:r>
      <w:r>
        <w:rPr/>
        <w:t>: The organization establishes an integrated team of subject matter experts to participated in coordinated incident response activities.</w:t>
      </w:r>
      <w:r>
        <w:rPr>
          <w:rStyle w:val="FootnoteCharacters"/>
          <w:rFonts w:cs="Calibri"/>
        </w:rPr>
        <w:t xml:space="preserve"> </w:t>
      </w:r>
      <w:r>
        <w:rPr>
          <w:rStyle w:val="FootnoteAnchor"/>
          <w:rStyle w:val="FootnoteAnchor"/>
          <w:rFonts w:cs="Calibri"/>
        </w:rPr>
        <w:footnoteReference w:id="381"/>
      </w:r>
    </w:p>
    <w:p>
      <w:pPr>
        <w:pStyle w:val="Normal"/>
        <w:rPr/>
      </w:pPr>
      <w:r>
        <w:rPr/>
      </w:r>
    </w:p>
    <w:p>
      <w:pPr>
        <w:pStyle w:val="Normal"/>
        <w:rPr/>
      </w:pPr>
      <w:r>
        <w:rPr>
          <w:u w:val="single"/>
        </w:rPr>
        <w:t>Standard</w:t>
      </w:r>
      <w:r>
        <w:rPr/>
        <w:t xml:space="preserve">: The Integrated Security Incident Response Team (ISIRT): </w:t>
      </w:r>
    </w:p>
    <w:p>
      <w:pPr>
        <w:pStyle w:val="ListParagraph"/>
        <w:numPr>
          <w:ilvl w:val="0"/>
          <w:numId w:val="378"/>
        </w:numPr>
        <w:rPr/>
      </w:pPr>
      <w:r>
        <w:rPr/>
        <w:t>Is NFCC’s integrated cybersecurity analysis team; and</w:t>
      </w:r>
    </w:p>
    <w:p>
      <w:pPr>
        <w:pStyle w:val="ListParagraph"/>
        <w:numPr>
          <w:ilvl w:val="0"/>
          <w:numId w:val="378"/>
        </w:numPr>
        <w:rPr/>
      </w:pPr>
      <w:r>
        <w:rPr/>
        <w:t>Designates incident response personnel to:</w:t>
      </w:r>
    </w:p>
    <w:p>
      <w:pPr>
        <w:pStyle w:val="ListParagraph"/>
        <w:numPr>
          <w:ilvl w:val="1"/>
          <w:numId w:val="378"/>
        </w:numPr>
        <w:rPr/>
      </w:pPr>
      <w:r>
        <w:rPr/>
        <w:t>Be available on a 24 / 7 basis to respond to potential incidents; and</w:t>
      </w:r>
    </w:p>
    <w:p>
      <w:pPr>
        <w:pStyle w:val="ListParagraph"/>
        <w:numPr>
          <w:ilvl w:val="1"/>
          <w:numId w:val="378"/>
        </w:numPr>
        <w:rPr/>
      </w:pPr>
      <w:r>
        <w:rPr/>
        <w:t xml:space="preserve">Assign personnel to establish and maintain direct, cooperative relationships with applicable external providers. </w:t>
      </w:r>
    </w:p>
    <w:p>
      <w:pPr>
        <w:pStyle w:val="Normal"/>
        <w:rPr/>
      </w:pPr>
      <w:r>
        <w:rPr/>
      </w:r>
    </w:p>
    <w:p>
      <w:pPr>
        <w:pStyle w:val="Normal"/>
        <w:rPr/>
      </w:pPr>
      <w:r>
        <w:rPr>
          <w:u w:val="single"/>
        </w:rPr>
        <w:t>Guidelines</w:t>
      </w:r>
      <w:r>
        <w:rPr/>
        <w:t xml:space="preserve">: Having an integrated team for incident response facilitates information sharing. Such capability allows organizational personnel, including developers, implementers and operators, to leverage the team knowledge of the threat in order to implement defensive measures that will enable organizations to deter intrusions more effectively. </w:t>
      </w:r>
    </w:p>
    <w:p>
      <w:pPr>
        <w:pStyle w:val="Normal"/>
        <w:rPr/>
      </w:pPr>
      <w:r>
        <w:rPr/>
      </w:r>
    </w:p>
    <w:p>
      <w:pPr>
        <w:pStyle w:val="Normal"/>
        <w:rPr/>
      </w:pPr>
      <w:r>
        <w:rPr/>
      </w:r>
    </w:p>
    <w:p>
      <w:pPr>
        <w:pStyle w:val="Heading2"/>
        <w:rPr/>
      </w:pPr>
      <w:bookmarkStart w:id="1190" w:name="_Toc474075079"/>
      <w:bookmarkStart w:id="1191" w:name="_Toc474075670"/>
      <w:bookmarkStart w:id="1192" w:name="_Toc34920988"/>
      <w:r>
        <w:rPr/>
        <w:t>IRO-08: Chain of Custody &amp; Forensics</w:t>
      </w:r>
      <w:bookmarkEnd w:id="1190"/>
      <w:bookmarkEnd w:id="1191"/>
      <w:bookmarkEnd w:id="1192"/>
      <w:r>
        <w:rPr/>
        <w:t xml:space="preserve"> </w:t>
      </w:r>
    </w:p>
    <w:p>
      <w:pPr>
        <w:pStyle w:val="Normal"/>
        <w:rPr/>
      </w:pPr>
      <w:r>
        <w:rPr>
          <w:u w:val="single"/>
        </w:rPr>
        <w:t>Control Objective</w:t>
      </w:r>
      <w:r>
        <w:rPr/>
        <w:t>: The organization should define and applies procedures for the identification, collection, acquisition and preservation of information, which can serve as evidence.</w:t>
      </w:r>
      <w:r>
        <w:rPr>
          <w:rStyle w:val="FootnoteAnchor"/>
          <w:rStyle w:val="FootnoteAnchor"/>
          <w:rFonts w:cs="Calibri"/>
        </w:rPr>
        <w:footnoteReference w:id="382"/>
      </w:r>
    </w:p>
    <w:p>
      <w:pPr>
        <w:pStyle w:val="Normal"/>
        <w:rPr/>
      </w:pPr>
      <w:r>
        <w:rPr/>
      </w:r>
    </w:p>
    <w:p>
      <w:pPr>
        <w:pStyle w:val="Normal"/>
        <w:rPr/>
      </w:pPr>
      <w:r>
        <w:rPr>
          <w:u w:val="single"/>
        </w:rPr>
        <w:t>Standard</w:t>
      </w:r>
      <w:r>
        <w:rPr/>
        <w:t xml:space="preserve">: NFCC incident responders must utilize proper forensic procedures, including chain of custody, to preserve evidence to support potential legal action subject to the relevant jurisdiction after a cybersecurity incident. </w:t>
      </w:r>
    </w:p>
    <w:p>
      <w:pPr>
        <w:pStyle w:val="Normal"/>
        <w:rPr/>
      </w:pPr>
      <w:r>
        <w:rPr/>
      </w:r>
    </w:p>
    <w:p>
      <w:pPr>
        <w:pStyle w:val="Normal"/>
        <w:rPr/>
      </w:pPr>
      <w:r>
        <w:rPr>
          <w:u w:val="single"/>
        </w:rPr>
        <w:t>Guidelines</w:t>
      </w:r>
      <w:r>
        <w:rPr/>
        <w:t>: The Federal Rules of Evidence are a set of rules that governs the introduction of evidence at civil and criminal trials in United States federal trial courts.</w:t>
      </w:r>
      <w:r>
        <w:rPr>
          <w:rStyle w:val="FootnoteAnchor"/>
          <w:rStyle w:val="FootnoteAnchor"/>
        </w:rPr>
        <w:footnoteReference w:id="383"/>
      </w:r>
    </w:p>
    <w:p>
      <w:pPr>
        <w:pStyle w:val="Normal"/>
        <w:rPr/>
      </w:pPr>
      <w:r>
        <w:rPr/>
      </w:r>
    </w:p>
    <w:p>
      <w:pPr>
        <w:pStyle w:val="Normal"/>
        <w:tabs>
          <w:tab w:val="clear" w:pos="360"/>
          <w:tab w:val="clear" w:pos="720"/>
          <w:tab w:val="clear" w:pos="1080"/>
        </w:tabs>
        <w:jc w:val="left"/>
        <w:rPr/>
      </w:pPr>
      <w:r>
        <w:rPr/>
      </w:r>
    </w:p>
    <w:p>
      <w:pPr>
        <w:pStyle w:val="Heading2"/>
        <w:rPr/>
      </w:pPr>
      <w:bookmarkStart w:id="1193" w:name="_Toc34920989"/>
      <w:bookmarkStart w:id="1194" w:name="_Toc474075080"/>
      <w:bookmarkStart w:id="1195" w:name="_Toc474075671"/>
      <w:r>
        <w:rPr/>
        <w:t xml:space="preserve">IRO-09: </w:t>
      </w:r>
      <w:bookmarkEnd w:id="1194"/>
      <w:bookmarkEnd w:id="1195"/>
      <w:r>
        <w:rPr/>
        <w:t>Situational Awareness For Incidents</w:t>
      </w:r>
      <w:bookmarkEnd w:id="1193"/>
    </w:p>
    <w:p>
      <w:pPr>
        <w:pStyle w:val="Normal"/>
        <w:rPr/>
      </w:pPr>
      <w:r>
        <w:rPr>
          <w:u w:val="single"/>
        </w:rPr>
        <w:t>Control Objective</w:t>
      </w:r>
      <w:r>
        <w:rPr/>
        <w:t>: The organization documents, monitors and reports cybersecurity and privacy incidents.</w:t>
      </w:r>
      <w:r>
        <w:rPr>
          <w:rStyle w:val="FootnoteCharacters"/>
          <w:rFonts w:cs="Calibri"/>
        </w:rPr>
        <w:t xml:space="preserve"> </w:t>
      </w:r>
      <w:r>
        <w:rPr>
          <w:rStyle w:val="FootnoteAnchor"/>
          <w:rStyle w:val="FootnoteAnchor"/>
          <w:rFonts w:cs="Calibri"/>
        </w:rPr>
        <w:footnoteReference w:id="384"/>
      </w:r>
    </w:p>
    <w:p>
      <w:pPr>
        <w:pStyle w:val="Normal"/>
        <w:rPr/>
      </w:pPr>
      <w:r>
        <w:rPr/>
      </w:r>
    </w:p>
    <w:p>
      <w:pPr>
        <w:pStyle w:val="Normal"/>
        <w:rPr/>
      </w:pPr>
      <w:r>
        <w:rPr>
          <w:u w:val="single"/>
        </w:rPr>
        <w:t>Standard</w:t>
      </w:r>
      <w:r>
        <w:rPr/>
        <w:t xml:space="preserve">: Mechanisms shall be put in place to monitor for cybersecurity incidents. This includes, but is not limited to monitoring: </w:t>
      </w:r>
    </w:p>
    <w:p>
      <w:pPr>
        <w:pStyle w:val="ListParagraph"/>
        <w:numPr>
          <w:ilvl w:val="0"/>
          <w:numId w:val="377"/>
        </w:numPr>
        <w:rPr/>
      </w:pPr>
      <w:r>
        <w:rPr/>
        <w:t>Aggregating and correlating event data multiple sources and sensors; and</w:t>
      </w:r>
    </w:p>
    <w:p>
      <w:pPr>
        <w:pStyle w:val="ListParagraph"/>
        <w:numPr>
          <w:ilvl w:val="0"/>
          <w:numId w:val="377"/>
        </w:numPr>
        <w:rPr/>
      </w:pPr>
      <w:r>
        <w:rPr/>
        <w:t>Helpdesk / service desk incidents.</w:t>
      </w:r>
    </w:p>
    <w:p>
      <w:pPr>
        <w:pStyle w:val="Normal"/>
        <w:rPr/>
      </w:pPr>
      <w:r>
        <w:rPr/>
      </w:r>
    </w:p>
    <w:p>
      <w:pPr>
        <w:pStyle w:val="Normal"/>
        <w:rPr>
          <w:u w:val="single"/>
        </w:rPr>
      </w:pPr>
      <w:r>
        <w:rPr>
          <w:u w:val="single"/>
        </w:rPr>
        <w:t>Guidelines</w:t>
      </w:r>
      <w:r>
        <w:rPr/>
        <w:t>: Documenting system security incidents includes, for example, maintaining records about each incident, the status of the incident and other pertinent information necessary for forensics, evaluating incident details, trends and handling. Incident information can be obtained from a variety of sources including, for example, incident reports, incident response teams, audit monitoring, network monitoring, physical access monitoring and user / administrator reports.</w:t>
      </w:r>
      <w:r>
        <w:rPr>
          <w:u w:val="single"/>
        </w:rPr>
        <w:t xml:space="preserve"> </w:t>
      </w:r>
    </w:p>
    <w:p>
      <w:pPr>
        <w:pStyle w:val="Normal"/>
        <w:rPr/>
      </w:pPr>
      <w:r>
        <w:rPr/>
      </w:r>
    </w:p>
    <w:p>
      <w:pPr>
        <w:pStyle w:val="Heading3"/>
        <w:rPr/>
      </w:pPr>
      <w:bookmarkStart w:id="1196" w:name="_Toc34920990"/>
      <w:bookmarkStart w:id="1197" w:name="_Toc474075082"/>
      <w:bookmarkStart w:id="1198" w:name="_Hlk505234735"/>
      <w:bookmarkEnd w:id="1198"/>
      <w:r>
        <w:rPr/>
        <w:t xml:space="preserve">IRO-09(a): Situational Awareness For Incidents| </w:t>
      </w:r>
      <w:bookmarkEnd w:id="1197"/>
      <w:r>
        <w:rPr/>
        <w:t>Automated Tracking, Data Collection &amp; Analysis</w:t>
      </w:r>
      <w:bookmarkEnd w:id="1196"/>
      <w:r>
        <w:rPr/>
        <w:t xml:space="preserve"> </w:t>
      </w:r>
    </w:p>
    <w:p>
      <w:pPr>
        <w:pStyle w:val="Normal"/>
        <w:rPr/>
      </w:pPr>
      <w:bookmarkStart w:id="1199" w:name="_Hlk5052347351"/>
      <w:bookmarkEnd w:id="1199"/>
      <w:r>
        <w:rPr>
          <w:u w:val="single"/>
        </w:rPr>
        <w:t>Control Objective</w:t>
      </w:r>
      <w:r>
        <w:rPr/>
        <w:t>: The organization employs automated mechanisms to assist in the tracking of security and privacy incidents and in the collection and analysis of incident information.</w:t>
      </w:r>
      <w:r>
        <w:rPr>
          <w:rStyle w:val="FootnoteCharacters"/>
          <w:rFonts w:cs="Calibri"/>
        </w:rPr>
        <w:t xml:space="preserve"> </w:t>
      </w:r>
      <w:r>
        <w:rPr>
          <w:rStyle w:val="FootnoteAnchor"/>
          <w:rStyle w:val="FootnoteAnchor"/>
          <w:rFonts w:cs="Calibri"/>
        </w:rPr>
        <w:footnoteReference w:id="385"/>
      </w:r>
    </w:p>
    <w:p>
      <w:pPr>
        <w:pStyle w:val="Normal"/>
        <w:rPr/>
      </w:pPr>
      <w:r>
        <w:rPr/>
      </w:r>
    </w:p>
    <w:p>
      <w:pPr>
        <w:pStyle w:val="Normal"/>
        <w:rPr/>
      </w:pPr>
      <w:r>
        <w:rPr>
          <w:u w:val="single"/>
        </w:rPr>
        <w:t>Standard</w:t>
      </w:r>
      <w:r>
        <w:rPr/>
        <w:t>: Where technically feasible, NFCC shall employ automated mechanisms to assist in the tracking of security and privacy incidents and in the collection and analysis of incident information.</w:t>
      </w:r>
    </w:p>
    <w:p>
      <w:pPr>
        <w:pStyle w:val="Normal"/>
        <w:rPr/>
      </w:pPr>
      <w:r>
        <w:rPr/>
      </w:r>
    </w:p>
    <w:p>
      <w:pPr>
        <w:pStyle w:val="Normal"/>
        <w:rPr/>
      </w:pPr>
      <w:r>
        <w:rPr>
          <w:u w:val="single"/>
        </w:rPr>
        <w:t>Guidelines</w:t>
      </w:r>
      <w:r>
        <w:rPr/>
        <w:t>: Automated mechanisms for tracking incidents and for collecting and analyzing incident information include, for example, Computer Incident Response Centers or other electronic databases of incidents and network monitoring devices.</w:t>
      </w:r>
      <w:bookmarkStart w:id="1200" w:name="_Hlk505234722"/>
      <w:bookmarkStart w:id="1201" w:name="_Hlk27579821"/>
      <w:bookmarkEnd w:id="1200"/>
      <w:bookmarkEnd w:id="1201"/>
    </w:p>
    <w:p>
      <w:pPr>
        <w:pStyle w:val="Normal"/>
        <w:rPr/>
      </w:pPr>
      <w:r>
        <w:rPr/>
      </w:r>
    </w:p>
    <w:p>
      <w:pPr>
        <w:pStyle w:val="Normal"/>
        <w:rPr/>
      </w:pPr>
      <w:r>
        <w:rPr/>
      </w:r>
    </w:p>
    <w:p>
      <w:pPr>
        <w:pStyle w:val="Heading2"/>
        <w:rPr/>
      </w:pPr>
      <w:bookmarkStart w:id="1202" w:name="_Toc34920991"/>
      <w:bookmarkStart w:id="1203" w:name="_Toc474075081"/>
      <w:bookmarkStart w:id="1204" w:name="_Toc474075672"/>
      <w:r>
        <w:rPr/>
        <w:t xml:space="preserve">IRO-10: </w:t>
      </w:r>
      <w:bookmarkEnd w:id="1203"/>
      <w:bookmarkEnd w:id="1204"/>
      <w:r>
        <w:rPr/>
        <w:t>Incident Stakeholder Reporting</w:t>
      </w:r>
      <w:bookmarkEnd w:id="1202"/>
    </w:p>
    <w:p>
      <w:pPr>
        <w:pStyle w:val="Normal"/>
        <w:rPr/>
      </w:pPr>
      <w:r>
        <w:rPr>
          <w:u w:val="single"/>
        </w:rPr>
        <w:t>Control Objective</w:t>
      </w:r>
      <w:r>
        <w:rPr/>
        <w:t>: The organization:</w:t>
      </w:r>
      <w:r>
        <w:rPr>
          <w:rStyle w:val="FootnoteAnchor"/>
          <w:rStyle w:val="FootnoteAnchor"/>
          <w:rFonts w:cs="Calibri"/>
        </w:rPr>
        <w:footnoteReference w:id="386"/>
      </w:r>
      <w:r>
        <w:rPr/>
        <w:t xml:space="preserve"> </w:t>
      </w:r>
    </w:p>
    <w:p>
      <w:pPr>
        <w:pStyle w:val="ListParagraph"/>
        <w:numPr>
          <w:ilvl w:val="0"/>
          <w:numId w:val="39"/>
        </w:numPr>
        <w:rPr/>
      </w:pPr>
      <w:r>
        <w:rPr/>
        <w:t xml:space="preserve">Requires personnel to report suspected security incidents to organizational incident response personnel within </w:t>
      </w:r>
      <w:r>
        <w:rPr>
          <w:iCs/>
        </w:rPr>
        <w:t>organization-defined time-periods</w:t>
      </w:r>
      <w:r>
        <w:rPr/>
        <w:t>; and</w:t>
      </w:r>
    </w:p>
    <w:p>
      <w:pPr>
        <w:pStyle w:val="ListParagraph"/>
        <w:numPr>
          <w:ilvl w:val="0"/>
          <w:numId w:val="39"/>
        </w:numPr>
        <w:rPr/>
      </w:pPr>
      <w:r>
        <w:rPr/>
        <w:t>Reports security incident information to designated authorities.</w:t>
      </w:r>
    </w:p>
    <w:p>
      <w:pPr>
        <w:pStyle w:val="Normal"/>
        <w:rPr/>
      </w:pPr>
      <w:r>
        <w:rPr/>
      </w:r>
    </w:p>
    <w:p>
      <w:pPr>
        <w:pStyle w:val="Normal"/>
        <w:rPr/>
      </w:pPr>
      <w:r>
        <w:rPr>
          <w:u w:val="single"/>
        </w:rPr>
        <w:t>Standard</w:t>
      </w:r>
      <w:r>
        <w:rPr/>
        <w:t>: For actual or suspected cybersecurity incidents:</w:t>
      </w:r>
    </w:p>
    <w:p>
      <w:pPr>
        <w:pStyle w:val="ListParagraph"/>
        <w:numPr>
          <w:ilvl w:val="0"/>
          <w:numId w:val="376"/>
        </w:numPr>
        <w:rPr/>
      </w:pPr>
      <w:r>
        <w:rPr/>
        <w:t>Users are responsible for reporting system weaknesses, deficiencies and / or vulnerabilities through appropriate management channels as quickly as possible;</w:t>
      </w:r>
    </w:p>
    <w:p>
      <w:pPr>
        <w:pStyle w:val="ListParagraph"/>
        <w:numPr>
          <w:ilvl w:val="0"/>
          <w:numId w:val="376"/>
        </w:numPr>
        <w:rPr/>
      </w:pPr>
      <w:r>
        <w:rPr/>
        <w:t>Information security events should be reported through appropriate management channels as quickly as possible; and</w:t>
      </w:r>
    </w:p>
    <w:p>
      <w:pPr>
        <w:pStyle w:val="ListParagraph"/>
        <w:numPr>
          <w:ilvl w:val="0"/>
          <w:numId w:val="376"/>
        </w:numPr>
        <w:rPr/>
      </w:pPr>
      <w:r>
        <w:rPr/>
        <w:t>If a breach occurs, breach notification procedures must occur without unreasonable delay, except:</w:t>
      </w:r>
    </w:p>
    <w:p>
      <w:pPr>
        <w:pStyle w:val="ListParagraph"/>
        <w:numPr>
          <w:ilvl w:val="1"/>
          <w:numId w:val="376"/>
        </w:numPr>
        <w:rPr/>
      </w:pPr>
      <w:r>
        <w:rPr/>
        <w:t xml:space="preserve">When a law enforcement agency has determined that notification will impede a criminal investigation; or </w:t>
      </w:r>
    </w:p>
    <w:p>
      <w:pPr>
        <w:pStyle w:val="ListParagraph"/>
        <w:numPr>
          <w:ilvl w:val="1"/>
          <w:numId w:val="376"/>
        </w:numPr>
        <w:rPr/>
      </w:pPr>
      <w:r>
        <w:rPr/>
        <w:t>In order to discover the complete scope of the breach and restore the integrity of the system.</w:t>
      </w:r>
    </w:p>
    <w:p>
      <w:pPr>
        <w:pStyle w:val="Normal"/>
        <w:rPr/>
      </w:pPr>
      <w:r>
        <w:rPr/>
      </w:r>
    </w:p>
    <w:p>
      <w:pPr>
        <w:pStyle w:val="Normal"/>
        <w:rPr/>
      </w:pPr>
      <w:r>
        <w:rPr>
          <w:u w:val="single"/>
        </w:rPr>
        <w:t>Guidelines</w:t>
      </w:r>
      <w:r>
        <w:rPr/>
        <w:t xml:space="preserve">: The intent of this control is to address both specific incident reporting requirements within an organization and the formal incident reporting requirements for regulatory agencies. The types of security incidents reported, the content and timeliness of the reports and the designated reporting authorities reflect applicable laws, policies, regulations, standards and guidance. </w:t>
      </w:r>
    </w:p>
    <w:p>
      <w:pPr>
        <w:pStyle w:val="Normal"/>
        <w:rPr/>
      </w:pPr>
      <w:r>
        <w:rPr/>
      </w:r>
    </w:p>
    <w:p>
      <w:pPr>
        <w:pStyle w:val="Normal"/>
        <w:rPr/>
      </w:pPr>
      <w:r>
        <w:rPr/>
        <w:t xml:space="preserve">Good faith acquisition of PD by an authorized user or authorized agent for NFCC purposes does not constitute a security breach, provided that the PD is not used or subject to further unauthorized disclosure. </w:t>
      </w:r>
    </w:p>
    <w:p>
      <w:pPr>
        <w:pStyle w:val="Normal"/>
        <w:rPr/>
      </w:pPr>
      <w:r>
        <w:rPr/>
      </w:r>
    </w:p>
    <w:p>
      <w:pPr>
        <w:pStyle w:val="Heading3"/>
        <w:rPr/>
      </w:pPr>
      <w:bookmarkStart w:id="1205" w:name="_Toc34920992"/>
      <w:r>
        <w:rPr/>
        <w:t>IRO-10(a): Incident Stakeholder Reporting | Automated Reporting</w:t>
      </w:r>
      <w:bookmarkEnd w:id="1205"/>
    </w:p>
    <w:p>
      <w:pPr>
        <w:pStyle w:val="Normal"/>
        <w:rPr/>
      </w:pPr>
      <w:r>
        <w:rPr>
          <w:u w:val="single"/>
        </w:rPr>
        <w:t>Control Objective</w:t>
      </w:r>
      <w:r>
        <w:rPr/>
        <w:t>: The organization employs automated mechanisms to assist in the reporting of security and privacy incidents.</w:t>
      </w:r>
    </w:p>
    <w:p>
      <w:pPr>
        <w:pStyle w:val="Normal"/>
        <w:rPr/>
      </w:pPr>
      <w:r>
        <w:rPr/>
      </w:r>
    </w:p>
    <w:p>
      <w:pPr>
        <w:pStyle w:val="Normal"/>
        <w:rPr/>
      </w:pPr>
      <w:r>
        <w:rPr>
          <w:u w:val="single"/>
        </w:rPr>
        <w:t>Standard</w:t>
      </w:r>
      <w:r>
        <w:rPr/>
        <w:t>: Where technically feasible, NFCC shall employ automated mechanisms to assist in the reporting of security incidents.</w:t>
      </w:r>
    </w:p>
    <w:p>
      <w:pPr>
        <w:pStyle w:val="Normal"/>
        <w:rPr/>
      </w:pPr>
      <w:r>
        <w:rPr/>
      </w:r>
    </w:p>
    <w:p>
      <w:pPr>
        <w:pStyle w:val="Normal"/>
        <w:rPr/>
      </w:pPr>
      <w:r>
        <w:rPr>
          <w:u w:val="single"/>
        </w:rPr>
        <w:t>Guidelines</w:t>
      </w:r>
      <w:r>
        <w:rPr/>
        <w:t>: None</w:t>
      </w:r>
    </w:p>
    <w:p>
      <w:pPr>
        <w:pStyle w:val="Normal"/>
        <w:rPr/>
      </w:pPr>
      <w:r>
        <w:rPr/>
      </w:r>
    </w:p>
    <w:p>
      <w:pPr>
        <w:pStyle w:val="Heading3"/>
        <w:rPr/>
      </w:pPr>
      <w:bookmarkStart w:id="1206" w:name="_Toc474075083"/>
      <w:bookmarkStart w:id="1207" w:name="_Toc34920993"/>
      <w:r>
        <w:rPr/>
        <w:t>IRO-10(b): Incident Stakeholder Reporting | Cyber Incident Reporting for Covered Defense Information (CDI)</w:t>
      </w:r>
      <w:bookmarkEnd w:id="1206"/>
      <w:bookmarkEnd w:id="1207"/>
    </w:p>
    <w:p>
      <w:pPr>
        <w:pStyle w:val="Normal"/>
        <w:rPr/>
      </w:pPr>
      <w:r>
        <w:rPr>
          <w:u w:val="single"/>
        </w:rPr>
        <w:t>Control Objective</w:t>
      </w:r>
      <w:r>
        <w:rPr/>
        <w:t>: The organization reports Covered Defense Information (CDI) security incidents in a timely manner.</w:t>
      </w:r>
      <w:r>
        <w:rPr>
          <w:rStyle w:val="FootnoteCharacters"/>
          <w:rFonts w:cs="Calibri"/>
        </w:rPr>
        <w:t xml:space="preserve"> </w:t>
      </w:r>
    </w:p>
    <w:p>
      <w:pPr>
        <w:pStyle w:val="Normal"/>
        <w:rPr/>
      </w:pPr>
      <w:r>
        <w:rPr/>
      </w:r>
    </w:p>
    <w:p>
      <w:pPr>
        <w:pStyle w:val="Normal"/>
        <w:rPr/>
      </w:pPr>
      <w:r>
        <w:rPr>
          <w:u w:val="single"/>
        </w:rPr>
        <w:t>Standard</w:t>
      </w:r>
      <w:r>
        <w:rPr/>
        <w:t>: If applicable, upon discovery of a cyber incident that affects a Covered Contractor Information System (CCIS) or the Covered Defense Information (CDI) residing therein or that affects NFCC's ability to perform the requirements of the contract that are designated as operationally critical support, NFCC shall:</w:t>
      </w:r>
    </w:p>
    <w:p>
      <w:pPr>
        <w:pStyle w:val="ListParagraph"/>
        <w:numPr>
          <w:ilvl w:val="0"/>
          <w:numId w:val="381"/>
        </w:numPr>
        <w:rPr/>
      </w:pPr>
      <w:r>
        <w:rPr/>
        <w:t xml:space="preserve">Conduct a review of evidence of compromise of CDI, including, but not limited to, identifying compromised computers, servers, specific data and user accounts. </w:t>
      </w:r>
    </w:p>
    <w:p>
      <w:pPr>
        <w:pStyle w:val="ListParagraph"/>
        <w:numPr>
          <w:ilvl w:val="1"/>
          <w:numId w:val="381"/>
        </w:numPr>
        <w:rPr/>
      </w:pPr>
      <w:r>
        <w:rPr/>
        <w:t>This review shall also include analyzing CCIS(s) that were part of the cyber incident, as well as other systems on NFCC’s network(s), that may have been accessed as a result of the incident in order to identify compromised covered defense information or that affect NFCC’s ability to provide operationally critical support; and</w:t>
      </w:r>
    </w:p>
    <w:p>
      <w:pPr>
        <w:pStyle w:val="ListParagraph"/>
        <w:numPr>
          <w:ilvl w:val="1"/>
          <w:numId w:val="381"/>
        </w:numPr>
        <w:rPr/>
      </w:pPr>
      <w:r>
        <w:rPr/>
        <w:t xml:space="preserve">Rapidly report cyber incidents to DoD at </w:t>
      </w:r>
      <w:hyperlink r:id="rId5">
        <w:r>
          <w:rPr>
            <w:rStyle w:val="InternetLink"/>
            <w:rFonts w:cs="Calibri"/>
            <w:bCs w:val="false"/>
          </w:rPr>
          <w:t>http://dibnet.dod.mil</w:t>
        </w:r>
      </w:hyperlink>
      <w:r>
        <w:rPr/>
        <w:t>.</w:t>
      </w:r>
    </w:p>
    <w:p>
      <w:pPr>
        <w:pStyle w:val="ListParagraph"/>
        <w:numPr>
          <w:ilvl w:val="0"/>
          <w:numId w:val="381"/>
        </w:numPr>
        <w:rPr/>
      </w:pPr>
      <w:r>
        <w:rPr/>
        <w:t xml:space="preserve">The cyber incident report shall be treated as information created by or for Department of Defense (DoD) and shall include, at a minimum, the required elements at </w:t>
      </w:r>
      <w:hyperlink r:id="rId6">
        <w:r>
          <w:rPr>
            <w:rStyle w:val="InternetLink"/>
            <w:rFonts w:cs="Calibri"/>
            <w:bCs w:val="false"/>
          </w:rPr>
          <w:t>http://dibnet.dod.mil</w:t>
        </w:r>
      </w:hyperlink>
      <w:r>
        <w:rPr/>
        <w:t>;</w:t>
      </w:r>
    </w:p>
    <w:p>
      <w:pPr>
        <w:pStyle w:val="ListParagraph"/>
        <w:numPr>
          <w:ilvl w:val="0"/>
          <w:numId w:val="381"/>
        </w:numPr>
        <w:rPr/>
      </w:pPr>
      <w:r>
        <w:rPr/>
        <w:t>If applicable, submit identified and contained malicious software in accordance with instructions provided by the DoD Contracting Officer;</w:t>
      </w:r>
    </w:p>
    <w:p>
      <w:pPr>
        <w:pStyle w:val="ListParagraph"/>
        <w:numPr>
          <w:ilvl w:val="0"/>
          <w:numId w:val="381"/>
        </w:numPr>
        <w:rPr/>
      </w:pPr>
      <w:r>
        <w:rPr/>
        <w:t>Preserve and protect images of all known affected systems and all relevant monitoring / packet capture data for at least ninety (90) days from the submission of the cyber incident report to allow DoD to request the media or decline interest; and</w:t>
      </w:r>
    </w:p>
    <w:p>
      <w:pPr>
        <w:pStyle w:val="ListParagraph"/>
        <w:numPr>
          <w:ilvl w:val="0"/>
          <w:numId w:val="381"/>
        </w:numPr>
        <w:rPr/>
      </w:pPr>
      <w:r>
        <w:rPr/>
        <w:t>Upon request by DoD, provide DoD with:</w:t>
      </w:r>
    </w:p>
    <w:p>
      <w:pPr>
        <w:pStyle w:val="ListParagraph"/>
        <w:numPr>
          <w:ilvl w:val="1"/>
          <w:numId w:val="381"/>
        </w:numPr>
        <w:rPr/>
      </w:pPr>
      <w:r>
        <w:rPr/>
        <w:t>Access to additional information or equipment that is necessary to conduct a forensic analysis; and</w:t>
      </w:r>
    </w:p>
    <w:p>
      <w:pPr>
        <w:pStyle w:val="ListParagraph"/>
        <w:numPr>
          <w:ilvl w:val="1"/>
          <w:numId w:val="381"/>
        </w:numPr>
        <w:rPr/>
      </w:pPr>
      <w:r>
        <w:rPr/>
        <w:t>All of the damage assessment information gathered.</w:t>
      </w:r>
    </w:p>
    <w:p>
      <w:pPr>
        <w:pStyle w:val="Normal"/>
        <w:rPr/>
      </w:pPr>
      <w:r>
        <w:rPr/>
      </w:r>
    </w:p>
    <w:p>
      <w:pPr>
        <w:pStyle w:val="Normal"/>
        <w:rPr/>
      </w:pPr>
      <w:r>
        <w:rPr>
          <w:u w:val="single"/>
        </w:rPr>
        <w:t>Guidelines</w:t>
      </w:r>
      <w:r>
        <w:rPr/>
        <w:t>: None</w:t>
      </w:r>
    </w:p>
    <w:p>
      <w:pPr>
        <w:pStyle w:val="Normal"/>
        <w:rPr/>
      </w:pPr>
      <w:r>
        <w:rPr/>
      </w:r>
    </w:p>
    <w:p>
      <w:pPr>
        <w:pStyle w:val="Heading3"/>
        <w:rPr/>
      </w:pPr>
      <w:bookmarkStart w:id="1208" w:name="_Toc34920994"/>
      <w:r>
        <w:rPr/>
        <w:t>IRO-10(c): Incident Stakeholder Reporting | Vulnerabilities Related To Incidents</w:t>
      </w:r>
      <w:bookmarkEnd w:id="1208"/>
    </w:p>
    <w:p>
      <w:pPr>
        <w:pStyle w:val="Normal"/>
        <w:rPr/>
      </w:pPr>
      <w:r>
        <w:rPr>
          <w:u w:val="single"/>
        </w:rPr>
        <w:t>Control Objective</w:t>
      </w:r>
      <w:r>
        <w:rPr/>
        <w:t>: The organization report system vulnerabilities associated with reported security and privacy incidents to organization-defined personnel or roles.</w:t>
      </w:r>
    </w:p>
    <w:p>
      <w:pPr>
        <w:pStyle w:val="Normal"/>
        <w:rPr/>
      </w:pPr>
      <w:r>
        <w:rPr/>
      </w:r>
    </w:p>
    <w:p>
      <w:pPr>
        <w:pStyle w:val="Normal"/>
        <w:rPr/>
      </w:pPr>
      <w:r>
        <w:rPr>
          <w:u w:val="single"/>
        </w:rPr>
        <w:t>Standard</w:t>
      </w:r>
      <w:r>
        <w:rPr/>
        <w:t xml:space="preserve">: NFCC incident response personnel are responsible for reporting </w:t>
      </w:r>
      <w:r>
        <w:rPr>
          <w:bCs w:val="false"/>
        </w:rPr>
        <w:t xml:space="preserve">vulnerabilities associated with reported security and privacy incidents </w:t>
      </w:r>
      <w:r>
        <w:rPr/>
        <w:t xml:space="preserve">in accordance with NFCC’s established Incident Response Plans (IRPs). </w:t>
      </w:r>
    </w:p>
    <w:p>
      <w:pPr>
        <w:pStyle w:val="Normal"/>
        <w:rPr/>
      </w:pPr>
      <w:r>
        <w:rPr/>
      </w:r>
    </w:p>
    <w:p>
      <w:pPr>
        <w:pStyle w:val="Normal"/>
        <w:rPr/>
      </w:pPr>
      <w:r>
        <w:rPr>
          <w:u w:val="single"/>
        </w:rPr>
        <w:t>Guidelines</w:t>
      </w:r>
      <w:r>
        <w:rPr/>
        <w:t>: None</w:t>
      </w:r>
    </w:p>
    <w:p>
      <w:pPr>
        <w:pStyle w:val="Normal"/>
        <w:rPr/>
      </w:pPr>
      <w:r>
        <w:rPr/>
      </w:r>
    </w:p>
    <w:p>
      <w:pPr>
        <w:pStyle w:val="Heading3"/>
        <w:rPr/>
      </w:pPr>
      <w:bookmarkStart w:id="1209" w:name="_Toc34920995"/>
      <w:r>
        <w:rPr/>
        <w:t>IRO-10(d): Incident Stakeholder Reporting | Supply Chain Coordination</w:t>
      </w:r>
      <w:bookmarkEnd w:id="1209"/>
    </w:p>
    <w:p>
      <w:pPr>
        <w:pStyle w:val="Normal"/>
        <w:rPr/>
      </w:pPr>
      <w:r>
        <w:rPr>
          <w:u w:val="single"/>
        </w:rPr>
        <w:t>Control Objective</w:t>
      </w:r>
      <w:r>
        <w:rPr/>
        <w:t>: The organization provides security and privacy incident information to the provider of the product or service and other organizations involved in the supply chain for systems or system components related to the incident.</w:t>
      </w:r>
    </w:p>
    <w:p>
      <w:pPr>
        <w:pStyle w:val="Normal"/>
        <w:rPr/>
      </w:pPr>
      <w:r>
        <w:rPr/>
      </w:r>
    </w:p>
    <w:p>
      <w:pPr>
        <w:pStyle w:val="Normal"/>
        <w:rPr/>
      </w:pPr>
      <w:r>
        <w:rPr>
          <w:u w:val="single"/>
        </w:rPr>
        <w:t>Standard</w:t>
      </w:r>
      <w:r>
        <w:rPr/>
        <w:t>: If applicable, upon discovery of a cyber incident that affects a Covered Contractor System (CCIS) or the Covered Defense Information (CDI) residing therein, or that affects NFCC's ability to perform the requirements of the contract that are designated as operationally critical support, NFCC shall:</w:t>
      </w:r>
    </w:p>
    <w:p>
      <w:pPr>
        <w:pStyle w:val="ListParagraph"/>
        <w:numPr>
          <w:ilvl w:val="0"/>
          <w:numId w:val="577"/>
        </w:numPr>
        <w:tabs>
          <w:tab w:val="clear" w:pos="360"/>
          <w:tab w:val="clear" w:pos="720"/>
          <w:tab w:val="clear" w:pos="1080"/>
        </w:tabs>
        <w:rPr/>
      </w:pPr>
      <w:r>
        <w:rPr/>
        <w:t xml:space="preserve">Conduct a review of evidence of compromise of CDI, including, but not limited to, identifying compromised computers, servers, specific data and user accounts. </w:t>
      </w:r>
    </w:p>
    <w:p>
      <w:pPr>
        <w:pStyle w:val="ListParagraph"/>
        <w:numPr>
          <w:ilvl w:val="1"/>
          <w:numId w:val="577"/>
        </w:numPr>
        <w:tabs>
          <w:tab w:val="clear" w:pos="360"/>
          <w:tab w:val="clear" w:pos="720"/>
          <w:tab w:val="clear" w:pos="1080"/>
        </w:tabs>
        <w:rPr/>
      </w:pPr>
      <w:r>
        <w:rPr/>
        <w:t>This review shall also include analyzing CCIS(s) that were part of the cyber incident, as well as other systems on NFCC’s network(s), that may have been accessed as a result of the incident in order to identify compromised covered defense information, or that affect NFCC’s ability to provide operationally critical support; and</w:t>
      </w:r>
    </w:p>
    <w:p>
      <w:pPr>
        <w:pStyle w:val="ListParagraph"/>
        <w:numPr>
          <w:ilvl w:val="1"/>
          <w:numId w:val="577"/>
        </w:numPr>
        <w:tabs>
          <w:tab w:val="clear" w:pos="360"/>
          <w:tab w:val="clear" w:pos="720"/>
          <w:tab w:val="clear" w:pos="1080"/>
        </w:tabs>
        <w:rPr/>
      </w:pPr>
      <w:r>
        <w:rPr/>
        <w:t xml:space="preserve">Rapidly report cyber incidents to DoD at </w:t>
      </w:r>
      <w:hyperlink r:id="rId7">
        <w:r>
          <w:rPr>
            <w:rStyle w:val="InternetLink"/>
            <w:rFonts w:cs="Calibri"/>
            <w:bCs w:val="false"/>
          </w:rPr>
          <w:t>http</w:t>
        </w:r>
        <w:r>
          <w:rPr>
            <w:rStyle w:val="InternetLink"/>
            <w:rFonts w:cs="Calibri"/>
            <w:bCs w:val="false"/>
            <w:u w:val="none"/>
          </w:rPr>
          <w:t>:</w:t>
        </w:r>
        <w:r>
          <w:rPr>
            <w:rStyle w:val="InternetLink"/>
            <w:rFonts w:cs="Calibri"/>
            <w:bCs w:val="false"/>
          </w:rPr>
          <w:t>//dibnet.dod.mil</w:t>
        </w:r>
      </w:hyperlink>
      <w:r>
        <w:rPr/>
        <w:t>.</w:t>
      </w:r>
    </w:p>
    <w:p>
      <w:pPr>
        <w:pStyle w:val="ListParagraph"/>
        <w:numPr>
          <w:ilvl w:val="0"/>
          <w:numId w:val="577"/>
        </w:numPr>
        <w:tabs>
          <w:tab w:val="clear" w:pos="360"/>
          <w:tab w:val="clear" w:pos="720"/>
          <w:tab w:val="clear" w:pos="1080"/>
        </w:tabs>
        <w:rPr/>
      </w:pPr>
      <w:r>
        <w:rPr/>
        <w:t xml:space="preserve">The cyber incident report shall be treated as information created by or for Department of Defense (DoD) and shall include, at a minimum, the required elements at </w:t>
      </w:r>
      <w:hyperlink r:id="rId8">
        <w:r>
          <w:rPr>
            <w:rStyle w:val="InternetLink"/>
            <w:rFonts w:cs="Calibri"/>
            <w:bCs w:val="false"/>
          </w:rPr>
          <w:t>http</w:t>
        </w:r>
        <w:r>
          <w:rPr>
            <w:rStyle w:val="InternetLink"/>
            <w:rFonts w:cs="Calibri"/>
            <w:bCs w:val="false"/>
            <w:u w:val="none"/>
          </w:rPr>
          <w:t>:</w:t>
        </w:r>
        <w:r>
          <w:rPr>
            <w:rStyle w:val="InternetLink"/>
            <w:rFonts w:cs="Calibri"/>
            <w:bCs w:val="false"/>
          </w:rPr>
          <w:t>//dibnet.dod.mil</w:t>
        </w:r>
      </w:hyperlink>
      <w:r>
        <w:rPr/>
        <w:t>;</w:t>
      </w:r>
    </w:p>
    <w:p>
      <w:pPr>
        <w:pStyle w:val="ListParagraph"/>
        <w:numPr>
          <w:ilvl w:val="0"/>
          <w:numId w:val="577"/>
        </w:numPr>
        <w:tabs>
          <w:tab w:val="clear" w:pos="360"/>
          <w:tab w:val="clear" w:pos="720"/>
          <w:tab w:val="clear" w:pos="1080"/>
        </w:tabs>
        <w:rPr/>
      </w:pPr>
      <w:r>
        <w:rPr/>
        <w:t>If applicable, submit identified and contained malicious software in accordance with instructions provided by the DoD Contracting Officer;</w:t>
      </w:r>
    </w:p>
    <w:p>
      <w:pPr>
        <w:pStyle w:val="ListParagraph"/>
        <w:numPr>
          <w:ilvl w:val="0"/>
          <w:numId w:val="577"/>
        </w:numPr>
        <w:tabs>
          <w:tab w:val="clear" w:pos="360"/>
          <w:tab w:val="clear" w:pos="720"/>
          <w:tab w:val="clear" w:pos="1080"/>
        </w:tabs>
        <w:rPr/>
      </w:pPr>
      <w:r>
        <w:rPr/>
        <w:t>Preserve and protect images of all known affected systems and all relevant monitoring/packet capture data for at least ninety (90) days from the submission of the cyber incident report to allow DoD to request the media or decline interest; and</w:t>
      </w:r>
    </w:p>
    <w:p>
      <w:pPr>
        <w:pStyle w:val="ListParagraph"/>
        <w:numPr>
          <w:ilvl w:val="0"/>
          <w:numId w:val="577"/>
        </w:numPr>
        <w:tabs>
          <w:tab w:val="clear" w:pos="360"/>
          <w:tab w:val="clear" w:pos="720"/>
          <w:tab w:val="clear" w:pos="1080"/>
        </w:tabs>
        <w:rPr/>
      </w:pPr>
      <w:r>
        <w:rPr/>
        <w:t>Upon request by DoD, provide DoD with:</w:t>
      </w:r>
    </w:p>
    <w:p>
      <w:pPr>
        <w:pStyle w:val="ListParagraph"/>
        <w:numPr>
          <w:ilvl w:val="1"/>
          <w:numId w:val="577"/>
        </w:numPr>
        <w:tabs>
          <w:tab w:val="clear" w:pos="360"/>
          <w:tab w:val="clear" w:pos="720"/>
          <w:tab w:val="clear" w:pos="1080"/>
        </w:tabs>
        <w:rPr/>
      </w:pPr>
      <w:r>
        <w:rPr/>
        <w:t>Access to additional information or equipment that is necessary to conduct a forensic analysis; and</w:t>
      </w:r>
    </w:p>
    <w:p>
      <w:pPr>
        <w:pStyle w:val="ListParagraph"/>
        <w:numPr>
          <w:ilvl w:val="1"/>
          <w:numId w:val="577"/>
        </w:numPr>
        <w:tabs>
          <w:tab w:val="clear" w:pos="360"/>
          <w:tab w:val="clear" w:pos="720"/>
          <w:tab w:val="clear" w:pos="1080"/>
        </w:tabs>
        <w:rPr/>
      </w:pPr>
      <w:r>
        <w:rPr/>
        <w:t>All of the damage assessment information gathered.</w:t>
      </w:r>
    </w:p>
    <w:p>
      <w:pPr>
        <w:pStyle w:val="Normal"/>
        <w:rPr/>
      </w:pPr>
      <w:r>
        <w:rPr/>
      </w:r>
    </w:p>
    <w:p>
      <w:pPr>
        <w:pStyle w:val="Normal"/>
        <w:rPr/>
      </w:pPr>
      <w:r>
        <w:rPr>
          <w:u w:val="single"/>
        </w:rPr>
        <w:t>Guidelines</w:t>
      </w:r>
      <w:r>
        <w:rPr/>
        <w:t>: Organizations involved in supply chain activities include, for example, system/product developers, integrators, manufacturers, packagers, assemblers, distributors, vendors and resellers. Supply chain incidents include, for example, compromises/breaches involving system components, information technology products, development processes or personnel and distribution processes or warehousing facilities. Organizations determine the appropriate information to share considering the value gained from support by external organizations with the potential for harm due to controlled unclassified information being released to outside organizations of perhaps questionable trustworthiness.</w:t>
      </w:r>
    </w:p>
    <w:p>
      <w:pPr>
        <w:pStyle w:val="Normal"/>
        <w:rPr/>
      </w:pPr>
      <w:r>
        <w:rPr/>
      </w:r>
    </w:p>
    <w:p>
      <w:pPr>
        <w:pStyle w:val="Normal"/>
        <w:rPr/>
      </w:pPr>
      <w:r>
        <w:rPr/>
      </w:r>
    </w:p>
    <w:p>
      <w:pPr>
        <w:pStyle w:val="Heading2"/>
        <w:rPr/>
      </w:pPr>
      <w:bookmarkStart w:id="1210" w:name="_Toc474075084"/>
      <w:bookmarkStart w:id="1211" w:name="_Toc474075673"/>
      <w:bookmarkStart w:id="1212" w:name="_Toc34920996"/>
      <w:r>
        <w:rPr/>
        <w:t>IRO-11: Incident Reporting Assistance</w:t>
      </w:r>
      <w:bookmarkEnd w:id="1210"/>
      <w:bookmarkEnd w:id="1211"/>
      <w:bookmarkEnd w:id="1212"/>
      <w:r>
        <w:rPr/>
        <w:t xml:space="preserve"> </w:t>
      </w:r>
    </w:p>
    <w:p>
      <w:pPr>
        <w:pStyle w:val="Normal"/>
        <w:rPr/>
      </w:pPr>
      <w:r>
        <w:rPr>
          <w:u w:val="single"/>
        </w:rPr>
        <w:t>Control Objective</w:t>
      </w:r>
      <w:r>
        <w:rPr/>
        <w:t>: The organization provides an incident response support resource that offers advice and assistance to users of systems for the handling and reporting of security incidents.</w:t>
      </w:r>
      <w:r>
        <w:rPr>
          <w:rStyle w:val="FootnoteAnchor"/>
          <w:rStyle w:val="FootnoteAnchor"/>
          <w:rFonts w:cs="Calibri"/>
        </w:rPr>
        <w:footnoteReference w:id="387"/>
      </w:r>
    </w:p>
    <w:p>
      <w:pPr>
        <w:pStyle w:val="Normal"/>
        <w:rPr/>
      </w:pPr>
      <w:r>
        <w:rPr/>
      </w:r>
    </w:p>
    <w:p>
      <w:pPr>
        <w:pStyle w:val="Normal"/>
        <w:rPr/>
      </w:pPr>
      <w:r>
        <w:rPr>
          <w:u w:val="single"/>
        </w:rPr>
        <w:t>Standard</w:t>
      </w:r>
      <w:r>
        <w:rPr/>
        <w:t>: NFCC management and IT staff are required to:</w:t>
      </w:r>
    </w:p>
    <w:p>
      <w:pPr>
        <w:pStyle w:val="ListParagraph"/>
        <w:numPr>
          <w:ilvl w:val="0"/>
          <w:numId w:val="210"/>
        </w:numPr>
        <w:rPr/>
      </w:pPr>
      <w:r>
        <w:rPr/>
        <w:t>Establish a direct, cooperative relationship between its incident response capability and external providers; and</w:t>
      </w:r>
    </w:p>
    <w:p>
      <w:pPr>
        <w:pStyle w:val="ListParagraph"/>
        <w:numPr>
          <w:ilvl w:val="0"/>
          <w:numId w:val="210"/>
        </w:numPr>
        <w:rPr/>
      </w:pPr>
      <w:r>
        <w:rPr/>
        <w:t>Identify organizational incident response team members to work with external providers.</w:t>
      </w:r>
    </w:p>
    <w:p>
      <w:pPr>
        <w:pStyle w:val="Normal"/>
        <w:rPr/>
      </w:pPr>
      <w:r>
        <w:rPr/>
      </w:r>
    </w:p>
    <w:p>
      <w:pPr>
        <w:pStyle w:val="Normal"/>
        <w:rPr/>
      </w:pPr>
      <w:r>
        <w:rPr>
          <w:u w:val="single"/>
        </w:rPr>
        <w:t>Guidelines</w:t>
      </w:r>
      <w:r>
        <w:rPr/>
        <w:t xml:space="preserve">: Incident response support resources provided by organizations include, for example, help desks, CIRTs and access to forensics services, when required. </w:t>
      </w:r>
    </w:p>
    <w:p>
      <w:pPr>
        <w:pStyle w:val="Normal"/>
        <w:rPr/>
      </w:pPr>
      <w:r>
        <w:rPr/>
      </w:r>
    </w:p>
    <w:p>
      <w:pPr>
        <w:pStyle w:val="Normal"/>
        <w:rPr/>
      </w:pPr>
      <w:r>
        <w:rPr/>
        <w:t xml:space="preserve">For third-party reporting assistance, it may be beneficial to maintain an e-mail address of securityincidents@yourorganization.com or have a web page https://security.yourorganization.com specifically for the external intake of potential cybersecurity incidents. </w:t>
      </w:r>
    </w:p>
    <w:p>
      <w:pPr>
        <w:pStyle w:val="Normal"/>
        <w:rPr>
          <w:u w:val="single"/>
        </w:rPr>
      </w:pPr>
      <w:r>
        <w:rPr>
          <w:u w:val="single"/>
        </w:rPr>
      </w:r>
    </w:p>
    <w:p>
      <w:pPr>
        <w:pStyle w:val="Heading3"/>
        <w:rPr/>
      </w:pPr>
      <w:bookmarkStart w:id="1213" w:name="_Toc474075085"/>
      <w:bookmarkStart w:id="1214" w:name="_Toc34920997"/>
      <w:r>
        <w:rPr/>
        <w:t>IRO-11(a): Incident Reporting Assistance | Automation Support of Availability of Information / Support</w:t>
      </w:r>
      <w:bookmarkEnd w:id="1213"/>
      <w:bookmarkEnd w:id="1214"/>
      <w:r>
        <w:rPr/>
        <w:t xml:space="preserve"> </w:t>
      </w:r>
    </w:p>
    <w:p>
      <w:pPr>
        <w:pStyle w:val="Normal"/>
        <w:rPr/>
      </w:pPr>
      <w:r>
        <w:rPr>
          <w:u w:val="single"/>
        </w:rPr>
        <w:t>Control Objective</w:t>
      </w:r>
      <w:r>
        <w:rPr/>
        <w:t>: The organization employs automated mechanisms to increase the availability of incident response-related information and support.</w:t>
      </w:r>
      <w:r>
        <w:rPr>
          <w:rStyle w:val="FootnoteAnchor"/>
          <w:rStyle w:val="FootnoteAnchor"/>
          <w:rFonts w:cs="Calibri"/>
        </w:rPr>
        <w:footnoteReference w:id="388"/>
      </w:r>
    </w:p>
    <w:p>
      <w:pPr>
        <w:pStyle w:val="Normal"/>
        <w:rPr/>
      </w:pPr>
      <w:r>
        <w:rPr/>
      </w:r>
    </w:p>
    <w:p>
      <w:pPr>
        <w:pStyle w:val="Normal"/>
        <w:rPr/>
      </w:pPr>
      <w:r>
        <w:rPr>
          <w:u w:val="single"/>
        </w:rPr>
        <w:t>Standard</w:t>
      </w:r>
      <w:r>
        <w:rPr/>
        <w:t>: Where technically feasible, NFCC shall employ automated mechanisms to increase the availability of incident response-related information and support.</w:t>
      </w:r>
    </w:p>
    <w:p>
      <w:pPr>
        <w:pStyle w:val="Normal"/>
        <w:rPr/>
      </w:pPr>
      <w:r>
        <w:rPr/>
      </w:r>
    </w:p>
    <w:p>
      <w:pPr>
        <w:pStyle w:val="Normal"/>
        <w:rPr/>
      </w:pPr>
      <w:r>
        <w:rPr>
          <w:rFonts w:cs="Calibri"/>
          <w:u w:val="single"/>
        </w:rPr>
        <w:t>Guidelines</w:t>
      </w:r>
      <w:r>
        <w:rPr>
          <w:rFonts w:cs="Calibri"/>
        </w:rPr>
        <w:t xml:space="preserve">: </w:t>
      </w:r>
      <w:r>
        <w:rPr/>
        <w:t>Automated mechanisms can provide a push and / or pull capability for users to obtain incident response assistance. For example, individuals might have access to a website to query the assistance capability or conversely, the assistance capability may have the ability to proactively send information to users (general distribution or targeted) as part of increasing understanding of current response capabilities and support.</w:t>
      </w:r>
    </w:p>
    <w:p>
      <w:pPr>
        <w:pStyle w:val="Normal"/>
        <w:rPr/>
      </w:pPr>
      <w:r>
        <w:rPr/>
      </w:r>
    </w:p>
    <w:p>
      <w:pPr>
        <w:pStyle w:val="Heading3"/>
        <w:rPr/>
      </w:pPr>
      <w:bookmarkStart w:id="1215" w:name="_Toc34920998"/>
      <w:r>
        <w:rPr/>
        <w:t>IRO-11(b): Incident Reporting Assistance | Coordination With External Providers</w:t>
      </w:r>
      <w:bookmarkEnd w:id="1215"/>
    </w:p>
    <w:p>
      <w:pPr>
        <w:pStyle w:val="Normal"/>
        <w:rPr/>
      </w:pPr>
      <w:r>
        <w:rPr>
          <w:u w:val="single"/>
        </w:rPr>
        <w:t>Control Objective</w:t>
      </w:r>
      <w:r>
        <w:rPr/>
        <w:t>: The organization:</w:t>
      </w:r>
    </w:p>
    <w:p>
      <w:pPr>
        <w:pStyle w:val="ListParagraph"/>
        <w:numPr>
          <w:ilvl w:val="0"/>
          <w:numId w:val="537"/>
        </w:numPr>
        <w:rPr/>
      </w:pPr>
      <w:r>
        <w:rPr/>
        <w:t>Establishes a direct, cooperative relationship between its incident response capability and external providers of system protection capability; and</w:t>
      </w:r>
    </w:p>
    <w:p>
      <w:pPr>
        <w:pStyle w:val="ListParagraph"/>
        <w:numPr>
          <w:ilvl w:val="0"/>
          <w:numId w:val="537"/>
        </w:numPr>
        <w:rPr/>
      </w:pPr>
      <w:r>
        <w:rPr/>
        <w:t>Identifies organizational incident response team members to the external providers.</w:t>
      </w:r>
    </w:p>
    <w:p>
      <w:pPr>
        <w:pStyle w:val="Normal"/>
        <w:rPr/>
      </w:pPr>
      <w:r>
        <w:rPr/>
      </w:r>
    </w:p>
    <w:p>
      <w:pPr>
        <w:pStyle w:val="Normal"/>
        <w:rPr/>
      </w:pPr>
      <w:r>
        <w:rPr>
          <w:u w:val="single"/>
        </w:rPr>
        <w:t>Standard</w:t>
      </w:r>
      <w:r>
        <w:rPr/>
        <w:t xml:space="preserve">: The Integrated Security Incident Response Team (ISIRT): </w:t>
      </w:r>
    </w:p>
    <w:p>
      <w:pPr>
        <w:pStyle w:val="ListParagraph"/>
        <w:numPr>
          <w:ilvl w:val="0"/>
          <w:numId w:val="578"/>
        </w:numPr>
        <w:tabs>
          <w:tab w:val="clear" w:pos="360"/>
          <w:tab w:val="clear" w:pos="720"/>
          <w:tab w:val="clear" w:pos="1080"/>
        </w:tabs>
        <w:rPr/>
      </w:pPr>
      <w:r>
        <w:rPr/>
        <w:t>Is NFCC’s integrated digital security analysis team; and</w:t>
      </w:r>
    </w:p>
    <w:p>
      <w:pPr>
        <w:pStyle w:val="ListParagraph"/>
        <w:numPr>
          <w:ilvl w:val="0"/>
          <w:numId w:val="578"/>
        </w:numPr>
        <w:tabs>
          <w:tab w:val="clear" w:pos="360"/>
          <w:tab w:val="clear" w:pos="720"/>
          <w:tab w:val="clear" w:pos="1080"/>
        </w:tabs>
        <w:rPr/>
      </w:pPr>
      <w:r>
        <w:rPr/>
        <w:t>Designates incident response personnel to:</w:t>
      </w:r>
    </w:p>
    <w:p>
      <w:pPr>
        <w:pStyle w:val="ListParagraph"/>
        <w:numPr>
          <w:ilvl w:val="1"/>
          <w:numId w:val="578"/>
        </w:numPr>
        <w:tabs>
          <w:tab w:val="clear" w:pos="360"/>
          <w:tab w:val="clear" w:pos="720"/>
          <w:tab w:val="clear" w:pos="1080"/>
        </w:tabs>
        <w:rPr/>
      </w:pPr>
      <w:r>
        <w:rPr/>
        <w:t>Be available on a 24/7 basis to respond to potential incidents; and</w:t>
      </w:r>
    </w:p>
    <w:p>
      <w:pPr>
        <w:pStyle w:val="ListParagraph"/>
        <w:numPr>
          <w:ilvl w:val="1"/>
          <w:numId w:val="578"/>
        </w:numPr>
        <w:tabs>
          <w:tab w:val="clear" w:pos="360"/>
          <w:tab w:val="clear" w:pos="720"/>
          <w:tab w:val="clear" w:pos="1080"/>
        </w:tabs>
        <w:rPr/>
      </w:pPr>
      <w:r>
        <w:rPr/>
        <w:t xml:space="preserve">Assign personnel to establish and maintain direct, cooperative relationships with applicable external providers. </w:t>
      </w:r>
    </w:p>
    <w:p>
      <w:pPr>
        <w:pStyle w:val="Normal"/>
        <w:rPr/>
      </w:pPr>
      <w:r>
        <w:rPr/>
      </w:r>
    </w:p>
    <w:p>
      <w:pPr>
        <w:pStyle w:val="Normal"/>
        <w:rPr/>
      </w:pPr>
      <w:r>
        <w:rPr>
          <w:u w:val="single"/>
        </w:rPr>
        <w:t>Guidelines</w:t>
      </w:r>
      <w:r>
        <w:rPr/>
        <w:t>: External providers of system protection capability include, for example, the Computer Network Defense program within the U.S. Department of Defense. External providers help to protect, monitor, analyze, detect and respond to unauthorized activity within organizational systems and networks.</w:t>
      </w:r>
    </w:p>
    <w:p>
      <w:pPr>
        <w:pStyle w:val="Normal"/>
        <w:rPr/>
      </w:pPr>
      <w:r>
        <w:rPr/>
      </w:r>
    </w:p>
    <w:p>
      <w:pPr>
        <w:pStyle w:val="Normal"/>
        <w:rPr/>
      </w:pPr>
      <w:r>
        <w:rPr/>
      </w:r>
    </w:p>
    <w:p>
      <w:pPr>
        <w:pStyle w:val="Heading2"/>
        <w:rPr/>
      </w:pPr>
      <w:bookmarkStart w:id="1216" w:name="_Toc474075086"/>
      <w:bookmarkStart w:id="1217" w:name="_Toc474075674"/>
      <w:bookmarkStart w:id="1218" w:name="_Toc34920999"/>
      <w:r>
        <w:rPr/>
        <w:t>IRO-12: Information Spillage Response</w:t>
      </w:r>
      <w:bookmarkEnd w:id="1216"/>
      <w:bookmarkEnd w:id="1217"/>
      <w:bookmarkEnd w:id="1218"/>
    </w:p>
    <w:p>
      <w:pPr>
        <w:pStyle w:val="Normal"/>
        <w:rPr/>
      </w:pPr>
      <w:r>
        <w:rPr>
          <w:u w:val="single"/>
        </w:rPr>
        <w:t>Control Objective</w:t>
      </w:r>
      <w:r>
        <w:rPr/>
        <w:t>: The organization responds to information spills by:</w:t>
      </w:r>
      <w:r>
        <w:rPr>
          <w:rStyle w:val="FootnoteAnchor"/>
          <w:rStyle w:val="FootnoteAnchor"/>
          <w:rFonts w:cs="Calibri"/>
        </w:rPr>
        <w:footnoteReference w:id="389"/>
      </w:r>
    </w:p>
    <w:p>
      <w:pPr>
        <w:pStyle w:val="ListParagraph"/>
        <w:numPr>
          <w:ilvl w:val="0"/>
          <w:numId w:val="41"/>
        </w:numPr>
        <w:rPr/>
      </w:pPr>
      <w:r>
        <w:rPr/>
        <w:t>Identifying the specific information causing system contamination;</w:t>
      </w:r>
    </w:p>
    <w:p>
      <w:pPr>
        <w:pStyle w:val="ListParagraph"/>
        <w:numPr>
          <w:ilvl w:val="0"/>
          <w:numId w:val="41"/>
        </w:numPr>
        <w:rPr/>
      </w:pPr>
      <w:r>
        <w:rPr/>
        <w:t>Alerting organization-defined personnel of the information spill using a secure method of communication;</w:t>
      </w:r>
    </w:p>
    <w:p>
      <w:pPr>
        <w:pStyle w:val="ListParagraph"/>
        <w:numPr>
          <w:ilvl w:val="0"/>
          <w:numId w:val="41"/>
        </w:numPr>
        <w:rPr/>
      </w:pPr>
      <w:r>
        <w:rPr/>
        <w:t>Isolating the contaminated system;</w:t>
      </w:r>
    </w:p>
    <w:p>
      <w:pPr>
        <w:pStyle w:val="ListParagraph"/>
        <w:numPr>
          <w:ilvl w:val="0"/>
          <w:numId w:val="41"/>
        </w:numPr>
        <w:rPr/>
      </w:pPr>
      <w:r>
        <w:rPr/>
        <w:t>Eradicating the information from the contaminated system; and</w:t>
      </w:r>
    </w:p>
    <w:p>
      <w:pPr>
        <w:pStyle w:val="ListParagraph"/>
        <w:numPr>
          <w:ilvl w:val="0"/>
          <w:numId w:val="41"/>
        </w:numPr>
        <w:rPr/>
      </w:pPr>
      <w:r>
        <w:rPr/>
        <w:t>Identifying other systems that may have been subsequently contaminated.</w:t>
      </w:r>
    </w:p>
    <w:p>
      <w:pPr>
        <w:pStyle w:val="Normal"/>
        <w:rPr/>
      </w:pPr>
      <w:r>
        <w:rPr/>
      </w:r>
    </w:p>
    <w:p>
      <w:pPr>
        <w:pStyle w:val="Normal"/>
        <w:rPr>
          <w:color w:val="C00000"/>
        </w:rPr>
      </w:pPr>
      <w:r>
        <w:rPr>
          <w:u w:val="single"/>
        </w:rPr>
        <w:t>Standard</w:t>
      </w:r>
      <w:r>
        <w:rPr/>
        <w:t>: NFCC is required to respond to information spillage in accordance with its Incident Response Plan (IRP).</w:t>
      </w:r>
    </w:p>
    <w:p>
      <w:pPr>
        <w:pStyle w:val="Normal"/>
        <w:rPr/>
      </w:pPr>
      <w:r>
        <w:rPr/>
      </w:r>
    </w:p>
    <w:p>
      <w:pPr>
        <w:pStyle w:val="Normal"/>
        <w:rPr/>
      </w:pPr>
      <w:r>
        <w:rPr>
          <w:u w:val="single"/>
        </w:rPr>
        <w:t>Guidelines</w:t>
      </w:r>
      <w:r>
        <w:rPr/>
        <w:t>: Information spillage refers to instances where sensitive information (e.g., classified information, export controlled information) is inadvertently placed on systems that are not authorized to process such information. Such information spills often occur when information that is initially thought to be of lower sensitivity is transmitted to a system and then is subsequently determined to be of higher sensitivity. At that point, corrective action is required. The nature of the organizational response is generally based upon the degree of sensitivity of the spilled information (e.g., security category or classification level), the security capabilities of the system, the specific nature of contaminated storage media and the access authorizations (e.g., security clearances) of individuals with authorized access to the contaminated system.</w:t>
      </w:r>
    </w:p>
    <w:p>
      <w:pPr>
        <w:pStyle w:val="Normal"/>
        <w:rPr/>
      </w:pPr>
      <w:r>
        <w:rPr/>
      </w:r>
    </w:p>
    <w:p>
      <w:pPr>
        <w:pStyle w:val="Heading3"/>
        <w:rPr/>
      </w:pPr>
      <w:bookmarkStart w:id="1219" w:name="_Toc474075087"/>
      <w:bookmarkStart w:id="1220" w:name="_Toc34921000"/>
      <w:r>
        <w:rPr/>
        <w:t>IRO-12(a): Information Spillage Response | Responsible Personnel</w:t>
      </w:r>
      <w:bookmarkEnd w:id="1219"/>
      <w:bookmarkEnd w:id="1220"/>
      <w:r>
        <w:rPr/>
        <w:t xml:space="preserve"> </w:t>
      </w:r>
    </w:p>
    <w:p>
      <w:pPr>
        <w:pStyle w:val="Normal"/>
        <w:rPr/>
      </w:pPr>
      <w:r>
        <w:rPr>
          <w:u w:val="single"/>
        </w:rPr>
        <w:t>Control Objective</w:t>
      </w:r>
      <w:r>
        <w:rPr/>
        <w:t>: The organization assigns personnel or roles with responsibility for responding to information spills.</w:t>
      </w:r>
      <w:r>
        <w:rPr>
          <w:rStyle w:val="FootnoteAnchor"/>
          <w:rStyle w:val="FootnoteAnchor"/>
          <w:rFonts w:cs="Calibri"/>
        </w:rPr>
        <w:footnoteReference w:id="390"/>
      </w:r>
    </w:p>
    <w:p>
      <w:pPr>
        <w:pStyle w:val="Normal"/>
        <w:rPr/>
      </w:pPr>
      <w:r>
        <w:rPr/>
      </w:r>
    </w:p>
    <w:p>
      <w:pPr>
        <w:pStyle w:val="Normal"/>
        <w:rPr/>
      </w:pPr>
      <w:r>
        <w:rPr>
          <w:u w:val="single"/>
        </w:rPr>
        <w:t>Standard</w:t>
      </w:r>
      <w:r>
        <w:rPr/>
        <w:t>: NFCC shall assign personnel or roles with responsibility for responding to information spills.</w:t>
      </w:r>
    </w:p>
    <w:p>
      <w:pPr>
        <w:pStyle w:val="Normal"/>
        <w:rPr/>
      </w:pPr>
      <w:r>
        <w:rPr/>
      </w:r>
    </w:p>
    <w:p>
      <w:pPr>
        <w:pStyle w:val="Normal"/>
        <w:rPr/>
      </w:pPr>
      <w:r>
        <w:rPr>
          <w:u w:val="single"/>
        </w:rPr>
        <w:t>Guidelines</w:t>
      </w:r>
      <w:r>
        <w:rPr/>
        <w:t>: None</w:t>
      </w:r>
    </w:p>
    <w:p>
      <w:pPr>
        <w:pStyle w:val="Normal"/>
        <w:rPr/>
      </w:pPr>
      <w:r>
        <w:rPr/>
      </w:r>
    </w:p>
    <w:p>
      <w:pPr>
        <w:pStyle w:val="Heading3"/>
        <w:rPr/>
      </w:pPr>
      <w:bookmarkStart w:id="1221" w:name="_Toc474075088"/>
      <w:bookmarkStart w:id="1222" w:name="_Toc34921001"/>
      <w:r>
        <w:rPr/>
        <w:t>IRO-12(b): Information Spillage Response | Training</w:t>
      </w:r>
      <w:bookmarkEnd w:id="1221"/>
      <w:bookmarkEnd w:id="1222"/>
      <w:r>
        <w:rPr/>
        <w:t xml:space="preserve"> </w:t>
      </w:r>
    </w:p>
    <w:p>
      <w:pPr>
        <w:pStyle w:val="Normal"/>
        <w:rPr/>
      </w:pPr>
      <w:r>
        <w:rPr>
          <w:u w:val="single"/>
        </w:rPr>
        <w:t>Control Objective</w:t>
      </w:r>
      <w:r>
        <w:rPr/>
        <w:t>: The organization provides information spillage response training at an organization-defined frequency.</w:t>
      </w:r>
      <w:r>
        <w:rPr>
          <w:rStyle w:val="FootnoteAnchor"/>
          <w:rStyle w:val="FootnoteAnchor"/>
          <w:rFonts w:cs="Calibri"/>
        </w:rPr>
        <w:footnoteReference w:id="391"/>
      </w:r>
    </w:p>
    <w:p>
      <w:pPr>
        <w:pStyle w:val="Normal"/>
        <w:rPr/>
      </w:pPr>
      <w:r>
        <w:rPr/>
      </w:r>
    </w:p>
    <w:p>
      <w:pPr>
        <w:pStyle w:val="Normal"/>
        <w:rPr/>
      </w:pPr>
      <w:r>
        <w:rPr>
          <w:u w:val="single"/>
        </w:rPr>
        <w:t>Standard</w:t>
      </w:r>
      <w:r>
        <w:rPr/>
        <w:t>: In accordance with incident response training, NFCC shall provide information spillage response training at least annually.</w:t>
      </w:r>
    </w:p>
    <w:p>
      <w:pPr>
        <w:pStyle w:val="Normal"/>
        <w:rPr/>
      </w:pPr>
      <w:r>
        <w:rPr/>
      </w:r>
    </w:p>
    <w:p>
      <w:pPr>
        <w:pStyle w:val="Normal"/>
        <w:rPr/>
      </w:pPr>
      <w:r>
        <w:rPr>
          <w:u w:val="single"/>
        </w:rPr>
        <w:t>Guidelines</w:t>
      </w:r>
      <w:r>
        <w:rPr/>
        <w:t>: None</w:t>
      </w:r>
    </w:p>
    <w:p>
      <w:pPr>
        <w:pStyle w:val="Normal"/>
        <w:rPr/>
      </w:pPr>
      <w:r>
        <w:rPr/>
      </w:r>
    </w:p>
    <w:p>
      <w:pPr>
        <w:pStyle w:val="Heading3"/>
        <w:rPr/>
      </w:pPr>
      <w:bookmarkStart w:id="1223" w:name="_Toc474075089"/>
      <w:bookmarkStart w:id="1224" w:name="_Toc34921002"/>
      <w:r>
        <w:rPr/>
        <w:t>IRO-12(c): Information Spillage Response | Post-Spill Operations</w:t>
      </w:r>
      <w:bookmarkEnd w:id="1223"/>
      <w:bookmarkEnd w:id="1224"/>
      <w:r>
        <w:rPr/>
        <w:t xml:space="preserve"> </w:t>
      </w:r>
    </w:p>
    <w:p>
      <w:pPr>
        <w:pStyle w:val="Normal"/>
        <w:rPr/>
      </w:pPr>
      <w:r>
        <w:rPr>
          <w:u w:val="single"/>
        </w:rPr>
        <w:t>Control Objective</w:t>
      </w:r>
      <w:r>
        <w:rPr/>
        <w:t>: The organization implements procedures to ensure that organizational personnel impacted by information spills can continue to carry out assigned tasks while contaminated systems are undergoing corrective actions.</w:t>
      </w:r>
      <w:r>
        <w:rPr>
          <w:rStyle w:val="FootnoteAnchor"/>
          <w:rStyle w:val="FootnoteAnchor"/>
          <w:rFonts w:cs="Calibri"/>
        </w:rPr>
        <w:footnoteReference w:id="392"/>
      </w:r>
    </w:p>
    <w:p>
      <w:pPr>
        <w:pStyle w:val="Normal"/>
        <w:rPr/>
      </w:pPr>
      <w:r>
        <w:rPr/>
      </w:r>
    </w:p>
    <w:p>
      <w:pPr>
        <w:pStyle w:val="Normal"/>
        <w:rPr/>
      </w:pPr>
      <w:r>
        <w:rPr>
          <w:u w:val="single"/>
        </w:rPr>
        <w:t>Standard</w:t>
      </w:r>
      <w:r>
        <w:rPr/>
        <w:t>: NFCC shall publish and implement procedures to ensure that personnel impacted by information spills can continue to carry out assigned tasks while contaminated systems are undergoing corrective actions.</w:t>
      </w:r>
    </w:p>
    <w:p>
      <w:pPr>
        <w:pStyle w:val="Normal"/>
        <w:rPr/>
      </w:pPr>
      <w:r>
        <w:rPr/>
      </w:r>
    </w:p>
    <w:p>
      <w:pPr>
        <w:pStyle w:val="Normal"/>
        <w:rPr/>
      </w:pPr>
      <w:r>
        <w:rPr>
          <w:rFonts w:cs="Calibri"/>
          <w:u w:val="single"/>
        </w:rPr>
        <w:t>Guidelines</w:t>
      </w:r>
      <w:r>
        <w:rPr>
          <w:rFonts w:cs="Calibri"/>
        </w:rPr>
        <w:t xml:space="preserve">: </w:t>
      </w:r>
      <w:r>
        <w:rPr/>
        <w:t>Correction actions for systems contaminated due to information spillages may be very time-consuming. During those periods, personnel may not have access to the contaminated systems, which may potentially affect their ability to conduct organizational business.</w:t>
      </w:r>
    </w:p>
    <w:p>
      <w:pPr>
        <w:pStyle w:val="Normal"/>
        <w:rPr/>
      </w:pPr>
      <w:r>
        <w:rPr/>
      </w:r>
    </w:p>
    <w:p>
      <w:pPr>
        <w:pStyle w:val="Heading3"/>
        <w:rPr/>
      </w:pPr>
      <w:bookmarkStart w:id="1225" w:name="_Toc474075090"/>
      <w:bookmarkStart w:id="1226" w:name="_Toc34921003"/>
      <w:r>
        <w:rPr/>
        <w:t>IRO-12(d): Information Spillage Response | Exposure to Unauthorized Personnel</w:t>
      </w:r>
      <w:bookmarkEnd w:id="1225"/>
      <w:bookmarkEnd w:id="1226"/>
      <w:r>
        <w:rPr/>
        <w:t xml:space="preserve"> </w:t>
      </w:r>
    </w:p>
    <w:p>
      <w:pPr>
        <w:pStyle w:val="Normal"/>
        <w:rPr/>
      </w:pPr>
      <w:r>
        <w:rPr>
          <w:u w:val="single"/>
        </w:rPr>
        <w:t>Control Objective</w:t>
      </w:r>
      <w:r>
        <w:rPr/>
        <w:t>: The organization employs security safeguards for personnel exposed to information not within assigned access authorizations.</w:t>
      </w:r>
      <w:r>
        <w:rPr>
          <w:rStyle w:val="FootnoteAnchor"/>
          <w:rStyle w:val="FootnoteAnchor"/>
          <w:rFonts w:cs="Calibri"/>
        </w:rPr>
        <w:footnoteReference w:id="393"/>
      </w:r>
    </w:p>
    <w:p>
      <w:pPr>
        <w:pStyle w:val="Normal"/>
        <w:rPr/>
      </w:pPr>
      <w:r>
        <w:rPr/>
      </w:r>
    </w:p>
    <w:p>
      <w:pPr>
        <w:pStyle w:val="Normal"/>
        <w:rPr/>
      </w:pPr>
      <w:r>
        <w:rPr>
          <w:u w:val="single"/>
        </w:rPr>
        <w:t>Standard</w:t>
      </w:r>
      <w:r>
        <w:rPr/>
        <w:t>: NFCC shall employ security safeguards for personnel exposed to information not within assigned access authorizations.</w:t>
      </w:r>
    </w:p>
    <w:p>
      <w:pPr>
        <w:pStyle w:val="Normal"/>
        <w:rPr/>
      </w:pPr>
      <w:r>
        <w:rPr/>
      </w:r>
    </w:p>
    <w:p>
      <w:pPr>
        <w:pStyle w:val="Normal"/>
        <w:rPr/>
      </w:pPr>
      <w:r>
        <w:rPr>
          <w:rFonts w:cs="Calibri"/>
          <w:u w:val="single"/>
        </w:rPr>
        <w:t>Guidelines</w:t>
      </w:r>
      <w:r>
        <w:rPr>
          <w:rFonts w:cs="Calibri"/>
        </w:rPr>
        <w:t xml:space="preserve">: </w:t>
      </w:r>
      <w:r>
        <w:rPr/>
        <w:t>Security safeguards include, for example, making personnel exposed to spilled information aware of the federal laws, directives, policies and / or regulations regarding the information and the restrictions imposed based on exposure to such information.</w:t>
      </w:r>
    </w:p>
    <w:p>
      <w:pPr>
        <w:pStyle w:val="Normal"/>
        <w:rPr/>
      </w:pPr>
      <w:r>
        <w:rPr/>
      </w:r>
    </w:p>
    <w:p>
      <w:pPr>
        <w:pStyle w:val="Normal"/>
        <w:rPr/>
      </w:pPr>
      <w:r>
        <w:rPr/>
      </w:r>
    </w:p>
    <w:p>
      <w:pPr>
        <w:pStyle w:val="Heading2"/>
        <w:rPr/>
      </w:pPr>
      <w:bookmarkStart w:id="1227" w:name="_Toc474075091"/>
      <w:bookmarkStart w:id="1228" w:name="_Toc474075675"/>
      <w:bookmarkStart w:id="1229" w:name="_Toc34921004"/>
      <w:r>
        <w:rPr/>
        <w:t>IRO-13: Root Cause Analysis (RCA) &amp; Lessons Learned</w:t>
      </w:r>
      <w:bookmarkEnd w:id="1227"/>
      <w:bookmarkEnd w:id="1228"/>
      <w:bookmarkEnd w:id="1229"/>
      <w:r>
        <w:rPr/>
        <w:t xml:space="preserve"> </w:t>
      </w:r>
    </w:p>
    <w:p>
      <w:pPr>
        <w:pStyle w:val="Normal"/>
        <w:rPr/>
      </w:pPr>
      <w:r>
        <w:rPr>
          <w:u w:val="single"/>
        </w:rPr>
        <w:t>Control Objective</w:t>
      </w:r>
      <w:r>
        <w:rPr/>
        <w:t>: The organization incorporates lessons learned from analyzing and resolving cybersecurity and privacy incidents to reduce the likelihood or impact of future incidents.</w:t>
      </w:r>
      <w:r>
        <w:rPr>
          <w:rStyle w:val="FootnoteAnchor"/>
          <w:rStyle w:val="FootnoteAnchor"/>
          <w:rFonts w:cs="Calibri"/>
        </w:rPr>
        <w:footnoteReference w:id="394"/>
      </w:r>
    </w:p>
    <w:p>
      <w:pPr>
        <w:pStyle w:val="Normal"/>
        <w:rPr/>
      </w:pPr>
      <w:r>
        <w:rPr/>
      </w:r>
    </w:p>
    <w:p>
      <w:pPr>
        <w:pStyle w:val="Normal"/>
        <w:rPr/>
      </w:pPr>
      <w:r>
        <w:rPr>
          <w:u w:val="single"/>
        </w:rPr>
        <w:t>Standard</w:t>
      </w:r>
      <w:r>
        <w:rPr/>
        <w:t>: Incident response personnel are required to:</w:t>
      </w:r>
    </w:p>
    <w:p>
      <w:pPr>
        <w:pStyle w:val="ListParagraph"/>
        <w:numPr>
          <w:ilvl w:val="0"/>
          <w:numId w:val="382"/>
        </w:numPr>
        <w:rPr/>
      </w:pPr>
      <w:r>
        <w:rPr/>
        <w:t>Perform a Root Cause Analysis (RCA) following events that trigger usage of the Integrated Security Incident Response Team (ISIRT); and</w:t>
      </w:r>
    </w:p>
    <w:p>
      <w:pPr>
        <w:pStyle w:val="ListParagraph"/>
        <w:numPr>
          <w:ilvl w:val="0"/>
          <w:numId w:val="382"/>
        </w:numPr>
        <w:rPr/>
      </w:pPr>
      <w:r>
        <w:rPr/>
        <w:t>Incorporate lessons learned in updates to Incident Response Plans (IRPs).</w:t>
      </w:r>
    </w:p>
    <w:p>
      <w:pPr>
        <w:pStyle w:val="Normal"/>
        <w:rPr/>
      </w:pPr>
      <w:r>
        <w:rPr/>
      </w:r>
    </w:p>
    <w:p>
      <w:pPr>
        <w:pStyle w:val="Normal"/>
        <w:rPr/>
      </w:pPr>
      <w:r>
        <w:rPr>
          <w:u w:val="single"/>
        </w:rPr>
        <w:t>Guidelines</w:t>
      </w:r>
      <w:r>
        <w:rPr/>
        <w:t>: None</w:t>
      </w:r>
    </w:p>
    <w:p>
      <w:pPr>
        <w:pStyle w:val="Normal"/>
        <w:rPr/>
      </w:pPr>
      <w:r>
        <w:rPr/>
      </w:r>
    </w:p>
    <w:p>
      <w:pPr>
        <w:pStyle w:val="Normal"/>
        <w:rPr/>
      </w:pPr>
      <w:r>
        <w:rPr/>
      </w:r>
    </w:p>
    <w:p>
      <w:pPr>
        <w:pStyle w:val="Heading2"/>
        <w:rPr/>
      </w:pPr>
      <w:bookmarkStart w:id="1230" w:name="_Toc474075092"/>
      <w:bookmarkStart w:id="1231" w:name="_Toc474075676"/>
      <w:bookmarkStart w:id="1232" w:name="_Toc34921005"/>
      <w:r>
        <w:rPr/>
        <w:t>IRO-14: Regulatory &amp; Law Enforcement Contacts</w:t>
      </w:r>
      <w:bookmarkEnd w:id="1230"/>
      <w:bookmarkEnd w:id="1231"/>
      <w:bookmarkEnd w:id="1232"/>
      <w:r>
        <w:rPr/>
        <w:t xml:space="preserve"> </w:t>
      </w:r>
    </w:p>
    <w:p>
      <w:pPr>
        <w:pStyle w:val="Normal"/>
        <w:rPr/>
      </w:pPr>
      <w:r>
        <w:rPr>
          <w:u w:val="single"/>
        </w:rPr>
        <w:t>Control Objective</w:t>
      </w:r>
      <w:r>
        <w:rPr/>
        <w:t>: The organization maintains contacts with applicable regulatory and law enforcement agencies.</w:t>
      </w:r>
      <w:r>
        <w:rPr>
          <w:rStyle w:val="FootnoteAnchor"/>
          <w:rStyle w:val="FootnoteAnchor"/>
        </w:rPr>
        <w:footnoteReference w:id="395"/>
      </w:r>
    </w:p>
    <w:p>
      <w:pPr>
        <w:pStyle w:val="Normal"/>
        <w:rPr/>
      </w:pPr>
      <w:r>
        <w:rPr/>
      </w:r>
    </w:p>
    <w:p>
      <w:pPr>
        <w:pStyle w:val="Normal"/>
        <w:rPr/>
      </w:pPr>
      <w:r>
        <w:rPr>
          <w:u w:val="single"/>
        </w:rPr>
        <w:t>Standard</w:t>
      </w:r>
      <w:r>
        <w:rPr/>
        <w:t>: NFCC’s Integrated Security Incident Response Team (ISIRT) personnel are required to maintain appropriate points of contact for applicable regulation authorities, national and local law enforcement and other legal jurisdictional authorities.</w:t>
      </w:r>
    </w:p>
    <w:p>
      <w:pPr>
        <w:pStyle w:val="Normal"/>
        <w:rPr/>
      </w:pPr>
      <w:r>
        <w:rPr/>
      </w:r>
    </w:p>
    <w:p>
      <w:pPr>
        <w:pStyle w:val="Normal"/>
        <w:rPr/>
      </w:pPr>
      <w:r>
        <w:rPr>
          <w:u w:val="single"/>
        </w:rPr>
        <w:t>Guidelines</w:t>
      </w:r>
      <w:r>
        <w:rPr/>
        <w:t>: Due to personnel changes, contact list should be regularly updated (e.g., change in impacted-scope and / or a change in any compliance obligation) to ensure direct compliance liaisons have been established and to be prepared for a forensic investigation requiring rapid engagement with law enforcement.</w:t>
      </w:r>
    </w:p>
    <w:p>
      <w:pPr>
        <w:pStyle w:val="Normal"/>
        <w:rPr/>
      </w:pPr>
      <w:r>
        <w:rPr/>
      </w:r>
    </w:p>
    <w:p>
      <w:pPr>
        <w:pStyle w:val="Normal"/>
        <w:rPr/>
      </w:pPr>
      <w:r>
        <w:rPr/>
      </w:r>
    </w:p>
    <w:p>
      <w:pPr>
        <w:pStyle w:val="Heading2"/>
        <w:rPr/>
      </w:pPr>
      <w:bookmarkStart w:id="1233" w:name="_Toc34921006"/>
      <w:bookmarkStart w:id="1234" w:name="_Toc474075093"/>
      <w:bookmarkStart w:id="1235" w:name="_Toc474075677"/>
      <w:r>
        <w:rPr/>
        <w:t xml:space="preserve">IRO-15: </w:t>
      </w:r>
      <w:bookmarkEnd w:id="1234"/>
      <w:bookmarkEnd w:id="1235"/>
      <w:r>
        <w:rPr/>
        <w:t>Detonation Chambers  (Sandboxes)</w:t>
      </w:r>
      <w:bookmarkEnd w:id="1233"/>
    </w:p>
    <w:p>
      <w:pPr>
        <w:pStyle w:val="Normal"/>
        <w:rPr/>
      </w:pPr>
      <w:r>
        <w:rPr>
          <w:u w:val="single"/>
        </w:rPr>
        <w:t>Control Objective</w:t>
      </w:r>
      <w:r>
        <w:rPr/>
        <w:t>: The organization employs a detonation chamber capability for incident response operations.</w:t>
      </w:r>
    </w:p>
    <w:p>
      <w:pPr>
        <w:pStyle w:val="Normal"/>
        <w:rPr/>
      </w:pPr>
      <w:r>
        <w:rPr/>
      </w:r>
    </w:p>
    <w:p>
      <w:pPr>
        <w:pStyle w:val="Normal"/>
        <w:rPr/>
      </w:pPr>
      <w:r>
        <w:rPr>
          <w:rFonts w:cs="Calibri"/>
          <w:u w:val="single"/>
        </w:rPr>
        <w:t>Standard</w:t>
      </w:r>
      <w:r>
        <w:rPr>
          <w:rFonts w:cs="Calibri"/>
        </w:rPr>
        <w:t xml:space="preserve">: The </w:t>
      </w:r>
      <w:r>
        <w:rPr/>
        <w:t>Chief Information Security Officer (CISO) and his / her designated representatives are authorized to establish a segmented lab environment that provides a safe environment to execute potentially hostile commands or executables.</w:t>
      </w:r>
    </w:p>
    <w:p>
      <w:pPr>
        <w:pStyle w:val="Normal"/>
        <w:rPr/>
      </w:pPr>
      <w:r>
        <w:rPr/>
      </w:r>
    </w:p>
    <w:p>
      <w:pPr>
        <w:pStyle w:val="Normal"/>
        <w:rPr/>
      </w:pPr>
      <w:r>
        <w:rPr>
          <w:u w:val="single"/>
        </w:rPr>
        <w:t>Guidelines</w:t>
      </w:r>
      <w:r>
        <w:rPr/>
        <w:t xml:space="preserve">: Detonation chambers, also known as dynamic execution environments, allow organizations to open email attachments, execute untrusted or suspicious applications and execute Universal Resource Locator (URL) requests in the safety of an isolated environment or virtualized sandbox. These protected and isolated execution environments provide a means of determining whether the associated attachments / applications contain malicious code. </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rFonts w:eastAsia="Calibri" w:cs="Calibri"/>
          <w:sz w:val="24"/>
        </w:rPr>
      </w:pPr>
      <w:r>
        <w:rPr>
          <w:rFonts w:eastAsia="Calibri" w:cs="Calibri"/>
          <w:sz w:val="24"/>
        </w:rPr>
      </w:r>
      <w:r>
        <w:br w:type="page"/>
      </w:r>
    </w:p>
    <w:p>
      <w:pPr>
        <w:pStyle w:val="Heading1"/>
        <w:rPr/>
      </w:pPr>
      <w:bookmarkStart w:id="1236" w:name="_Toc34921007"/>
      <w:bookmarkStart w:id="1237" w:name="_Toc474075094"/>
      <w:bookmarkStart w:id="1238" w:name="_Toc474075678"/>
      <w:r>
        <w:rPr/>
        <w:t>Information Assurance (IAO)</w:t>
      </w:r>
      <w:bookmarkEnd w:id="1237"/>
      <w:bookmarkEnd w:id="1238"/>
      <w:r>
        <w:rPr/>
        <w:t xml:space="preserve"> Policy &amp; Standards</w:t>
      </w:r>
      <w:bookmarkEnd w:id="1236"/>
    </w:p>
    <w:p>
      <w:pPr>
        <w:pStyle w:val="Normal"/>
        <w:rPr/>
      </w:pPr>
      <w:r>
        <w:rPr/>
        <w:br/>
      </w:r>
      <w:r>
        <w:rPr>
          <w:u w:val="single"/>
        </w:rPr>
        <w:t>Management Intent</w:t>
      </w:r>
      <w:r>
        <w:rPr/>
        <w:t xml:space="preserve">: The purpose of the Information Assurance (IA) policy is to ensure reasonable assurance is used in the development, implementation, assessment, authorization and monitoring of the security program. </w:t>
      </w:r>
    </w:p>
    <w:p>
      <w:pPr>
        <w:pStyle w:val="Normal"/>
        <w:rPr/>
      </w:pPr>
      <w:r>
        <w:rPr/>
      </w:r>
    </w:p>
    <w:p>
      <w:pPr>
        <w:pStyle w:val="Normal"/>
        <w:shd w:val="clear" w:color="auto" w:fill="DDD9C3" w:themeFill="background2" w:themeFillShade="e6"/>
        <w:rPr/>
      </w:pPr>
      <w:r>
        <w:rPr>
          <w:u w:val="single"/>
        </w:rPr>
        <w:t>Policy</w:t>
      </w:r>
      <w:r>
        <w:rPr/>
        <w:t xml:space="preserve">: NFCC shall carry out due care and due diligence activities throughout an asset’s lifecycle by conducting periodic assessments of NFCC assets to evaluate the effectiveness of applicable security controls. </w:t>
      </w:r>
    </w:p>
    <w:p>
      <w:pPr>
        <w:pStyle w:val="Normal"/>
        <w:rPr>
          <w:u w:val="single"/>
        </w:rPr>
      </w:pPr>
      <w:r>
        <w:rPr>
          <w:u w:val="single"/>
        </w:rPr>
      </w:r>
    </w:p>
    <w:p>
      <w:pPr>
        <w:pStyle w:val="Normal"/>
        <w:rPr/>
      </w:pPr>
      <w:r>
        <w:rPr>
          <w:u w:val="single"/>
        </w:rPr>
        <w:t>Supporting Documentation</w:t>
      </w:r>
      <w:r>
        <w:rPr/>
        <w:t xml:space="preserve">: This policy is supported by the following control objectives, standards and guidelines. </w:t>
      </w:r>
    </w:p>
    <w:p>
      <w:pPr>
        <w:pStyle w:val="Normal"/>
        <w:rPr/>
      </w:pPr>
      <w:r>
        <w:rPr/>
      </w:r>
    </w:p>
    <w:p>
      <w:pPr>
        <w:pStyle w:val="Normal"/>
        <w:rPr/>
      </w:pPr>
      <w:r>
        <w:rPr/>
      </w:r>
    </w:p>
    <w:p>
      <w:pPr>
        <w:pStyle w:val="Heading2"/>
        <w:rPr/>
      </w:pPr>
      <w:bookmarkStart w:id="1239" w:name="_Toc474075095"/>
      <w:bookmarkStart w:id="1240" w:name="_Toc474075679"/>
      <w:bookmarkStart w:id="1241" w:name="_Toc34921008"/>
      <w:bookmarkStart w:id="1242" w:name="_Toc346202631"/>
      <w:r>
        <w:rPr/>
        <w:t xml:space="preserve">IAO-01: </w:t>
      </w:r>
      <w:bookmarkEnd w:id="1242"/>
      <w:r>
        <w:rPr/>
        <w:t>Information Assurance (IA) Operations</w:t>
      </w:r>
      <w:bookmarkEnd w:id="1239"/>
      <w:bookmarkEnd w:id="1240"/>
      <w:bookmarkEnd w:id="1241"/>
    </w:p>
    <w:p>
      <w:pPr>
        <w:pStyle w:val="Normal"/>
        <w:rPr/>
      </w:pPr>
      <w:r>
        <w:rPr>
          <w:u w:val="single"/>
        </w:rPr>
        <w:t>Control Objective</w:t>
      </w:r>
      <w:r>
        <w:rPr/>
        <w:t>: The organization develops, implements and governs processes and documentation to facilitate the implementation of an enterprise-wide information assurance policy, as well as associated standards, controls and procedures.</w:t>
      </w:r>
      <w:r>
        <w:rPr>
          <w:rStyle w:val="FootnoteCharacters"/>
          <w:rFonts w:cs="Calibri"/>
        </w:rPr>
        <w:t xml:space="preserve"> </w:t>
      </w:r>
      <w:r>
        <w:rPr>
          <w:rStyle w:val="FootnoteAnchor"/>
          <w:rStyle w:val="FootnoteAnchor"/>
          <w:rFonts w:cs="Calibri"/>
        </w:rPr>
        <w:footnoteReference w:id="396"/>
      </w:r>
    </w:p>
    <w:p>
      <w:pPr>
        <w:pStyle w:val="Normal"/>
        <w:rPr/>
      </w:pPr>
      <w:r>
        <w:rPr/>
      </w:r>
    </w:p>
    <w:p>
      <w:pPr>
        <w:pStyle w:val="Normal"/>
        <w:rPr>
          <w:rFonts w:cs="Arial"/>
          <w:sz w:val="18"/>
          <w:szCs w:val="18"/>
        </w:rPr>
      </w:pPr>
      <w:r>
        <w:rPr>
          <w:u w:val="single"/>
        </w:rPr>
        <w:t>Standard</w:t>
      </w:r>
      <w:r>
        <w:rPr/>
        <w:t>: NFCC is required to document cybersecurity assessment controls that, at a minimum, include</w:t>
      </w:r>
      <w:r>
        <w:rPr>
          <w:rFonts w:cs="Arial"/>
          <w:sz w:val="18"/>
          <w:szCs w:val="18"/>
        </w:rPr>
        <w:t>:</w:t>
      </w:r>
    </w:p>
    <w:p>
      <w:pPr>
        <w:pStyle w:val="ListParagraph"/>
        <w:numPr>
          <w:ilvl w:val="0"/>
          <w:numId w:val="384"/>
        </w:numPr>
        <w:rPr/>
      </w:pPr>
      <w:r>
        <w:rPr/>
        <w:t>A formal, documented cybersecurity assessment program; and</w:t>
      </w:r>
    </w:p>
    <w:p>
      <w:pPr>
        <w:pStyle w:val="ListParagraph"/>
        <w:numPr>
          <w:ilvl w:val="0"/>
          <w:numId w:val="384"/>
        </w:numPr>
        <w:rPr/>
      </w:pPr>
      <w:r>
        <w:rPr/>
        <w:t>Processes to facilitate the implementation of cybersecurity assessments.</w:t>
      </w:r>
    </w:p>
    <w:p>
      <w:pPr>
        <w:pStyle w:val="Normal"/>
        <w:rPr/>
      </w:pPr>
      <w:r>
        <w:rPr/>
      </w:r>
    </w:p>
    <w:p>
      <w:pPr>
        <w:pStyle w:val="Normal"/>
        <w:rPr/>
      </w:pPr>
      <w:r>
        <w:rPr>
          <w:u w:val="single"/>
        </w:rPr>
        <w:t>Guidelines</w:t>
      </w:r>
      <w:r>
        <w:rPr/>
        <w:t>: The organizational risk management strategy is a key factor in establishing information assurance processes.</w:t>
      </w:r>
    </w:p>
    <w:p>
      <w:pPr>
        <w:pStyle w:val="Normal"/>
        <w:rPr/>
      </w:pPr>
      <w:r>
        <w:rPr/>
      </w:r>
    </w:p>
    <w:p>
      <w:pPr>
        <w:pStyle w:val="Normal"/>
        <w:rPr/>
      </w:pPr>
      <w:r>
        <w:rPr/>
      </w:r>
    </w:p>
    <w:p>
      <w:pPr>
        <w:pStyle w:val="Heading2"/>
        <w:rPr/>
      </w:pPr>
      <w:bookmarkStart w:id="1243" w:name="_Toc346202632"/>
      <w:bookmarkStart w:id="1244" w:name="_Toc474075096"/>
      <w:bookmarkStart w:id="1245" w:name="_Toc474075680"/>
      <w:bookmarkStart w:id="1246" w:name="_Toc34921009"/>
      <w:r>
        <w:rPr/>
        <w:t>IAO-02: Security Assessments</w:t>
      </w:r>
      <w:bookmarkEnd w:id="1243"/>
      <w:bookmarkEnd w:id="1244"/>
      <w:bookmarkEnd w:id="1245"/>
      <w:bookmarkEnd w:id="1246"/>
      <w:r>
        <w:rPr/>
        <w:t xml:space="preserve"> </w:t>
      </w:r>
    </w:p>
    <w:p>
      <w:pPr>
        <w:pStyle w:val="Normal"/>
        <w:rPr/>
      </w:pPr>
      <w:r>
        <w:rPr>
          <w:u w:val="single"/>
        </w:rPr>
        <w:t>Control Objective</w:t>
      </w:r>
      <w:r>
        <w:rPr/>
        <w:t>: The organization:</w:t>
      </w:r>
      <w:r>
        <w:rPr>
          <w:rStyle w:val="FootnoteAnchor"/>
          <w:rStyle w:val="FootnoteAnchor"/>
          <w:rFonts w:cs="Calibri"/>
        </w:rPr>
        <w:footnoteReference w:id="397"/>
      </w:r>
      <w:r>
        <w:rPr/>
        <w:t xml:space="preserve"> </w:t>
      </w:r>
    </w:p>
    <w:p>
      <w:pPr>
        <w:pStyle w:val="ListParagraph"/>
        <w:numPr>
          <w:ilvl w:val="0"/>
          <w:numId w:val="113"/>
        </w:numPr>
        <w:rPr/>
      </w:pPr>
      <w:r>
        <w:rPr/>
        <w:t>Assesses the security controls in systems to determine the extent to which the controls are implemented correctly, operating as intended and producing the desired outcome with respect to meeting the security requirements for the system;</w:t>
      </w:r>
    </w:p>
    <w:p>
      <w:pPr>
        <w:pStyle w:val="ListParagraph"/>
        <w:numPr>
          <w:ilvl w:val="0"/>
          <w:numId w:val="113"/>
        </w:numPr>
        <w:rPr/>
      </w:pPr>
      <w:r>
        <w:rPr/>
        <w:t>Produces a security assessment report that documents the results of the assessment; and</w:t>
      </w:r>
    </w:p>
    <w:p>
      <w:pPr>
        <w:pStyle w:val="ListParagraph"/>
        <w:numPr>
          <w:ilvl w:val="0"/>
          <w:numId w:val="113"/>
        </w:numPr>
        <w:rPr/>
      </w:pPr>
      <w:r>
        <w:rPr/>
        <w:t>Provides the results of the security control assessment, in writing, to the senior cybersecurity official or officially designated representative.</w:t>
      </w:r>
    </w:p>
    <w:p>
      <w:pPr>
        <w:pStyle w:val="Normal"/>
        <w:rPr/>
      </w:pPr>
      <w:r>
        <w:rPr/>
      </w:r>
    </w:p>
    <w:p>
      <w:pPr>
        <w:pStyle w:val="Normal"/>
        <w:rPr/>
      </w:pPr>
      <w:r>
        <w:rPr>
          <w:u w:val="single"/>
        </w:rPr>
        <w:t>Standard</w:t>
      </w:r>
      <w:r>
        <w:rPr/>
        <w:t xml:space="preserve">: Security assessments must be performed on an ongoing basis, since they are integral to identifying weaknesses, as well as validating that remediation actions were effective at eliminating or reducing vulnerabilities. This includes, but is not limited to: </w:t>
      </w:r>
    </w:p>
    <w:p>
      <w:pPr>
        <w:pStyle w:val="ListParagraph"/>
        <w:numPr>
          <w:ilvl w:val="0"/>
          <w:numId w:val="385"/>
        </w:numPr>
        <w:rPr/>
      </w:pPr>
      <w:r>
        <w:rPr/>
        <w:t>A formal cybersecurity risk analysis must be performed on all significant development and / or acquisitions, prior to systems being placed into production;</w:t>
      </w:r>
    </w:p>
    <w:p>
      <w:pPr>
        <w:pStyle w:val="ListParagraph"/>
        <w:numPr>
          <w:ilvl w:val="0"/>
          <w:numId w:val="385"/>
        </w:numPr>
        <w:rPr>
          <w:rFonts w:cs="Calibri"/>
        </w:rPr>
      </w:pPr>
      <w:r>
        <w:rPr/>
        <w:t>Security controls on new systems and applications must be appropriately tested for functionality prior to being placed in production; and</w:t>
      </w:r>
    </w:p>
    <w:p>
      <w:pPr>
        <w:pStyle w:val="ListParagraph"/>
        <w:numPr>
          <w:ilvl w:val="0"/>
          <w:numId w:val="385"/>
        </w:numPr>
        <w:rPr/>
      </w:pPr>
      <w:r>
        <w:rPr/>
        <w:t xml:space="preserve">Data/process owners and asset custodians are required to perform a gap analysis, at least once per year, to determine any deviations from their systems’ current state of compliance and that which is required. </w:t>
      </w:r>
    </w:p>
    <w:p>
      <w:pPr>
        <w:pStyle w:val="Normal"/>
        <w:rPr/>
      </w:pPr>
      <w:r>
        <w:rPr/>
      </w:r>
    </w:p>
    <w:p>
      <w:pPr>
        <w:pStyle w:val="Normal"/>
        <w:rPr/>
      </w:pPr>
      <w:r>
        <w:rPr>
          <w:u w:val="single"/>
        </w:rPr>
        <w:t>Guidelines</w:t>
      </w:r>
      <w:r>
        <w:rPr/>
        <w:t>: Control evaluators should have sufficient independence to provide confidence that the assessment results produced are sound and can be used to make a credible, risk-based decision. Security authorization processes for systems and environments of operation require the implementation of an organization-wide risk management process, a Risk Management Framework (RMF) and associated security standards and guidelines. Security authorization processes are integrated with organizational continuous monitoring processes to facilitate ongoing understanding and acceptance of risk to organizational operations and assets, individuals and other organizations.</w:t>
      </w:r>
    </w:p>
    <w:p>
      <w:pPr>
        <w:pStyle w:val="Normal"/>
        <w:rPr/>
      </w:pPr>
      <w:r>
        <w:rPr/>
      </w:r>
    </w:p>
    <w:p>
      <w:pPr>
        <w:pStyle w:val="Heading3"/>
        <w:rPr/>
      </w:pPr>
      <w:bookmarkStart w:id="1247" w:name="_Toc474075097"/>
      <w:bookmarkStart w:id="1248" w:name="_Toc34921010"/>
      <w:r>
        <w:rPr/>
        <w:t>IAO-02(a): Security Assessments | Independent Assessors</w:t>
      </w:r>
      <w:bookmarkEnd w:id="1247"/>
      <w:bookmarkEnd w:id="1248"/>
    </w:p>
    <w:p>
      <w:pPr>
        <w:pStyle w:val="Normal"/>
        <w:rPr/>
      </w:pPr>
      <w:r>
        <w:rPr>
          <w:u w:val="single"/>
        </w:rPr>
        <w:t>Control Objective</w:t>
      </w:r>
      <w:r>
        <w:rPr/>
        <w:t>: The organization employs assessors or assessment teams with independence to conduct cybersecurity and privacy control assessments.</w:t>
      </w:r>
      <w:r>
        <w:rPr>
          <w:rStyle w:val="FootnoteAnchor"/>
          <w:rStyle w:val="FootnoteAnchor"/>
          <w:rFonts w:cs="Calibri"/>
        </w:rPr>
        <w:footnoteReference w:id="398"/>
      </w:r>
    </w:p>
    <w:p>
      <w:pPr>
        <w:pStyle w:val="Normal"/>
        <w:rPr/>
      </w:pPr>
      <w:r>
        <w:rPr/>
      </w:r>
    </w:p>
    <w:p>
      <w:pPr>
        <w:pStyle w:val="Normal"/>
        <w:rPr>
          <w:rFonts w:cs="Calibri"/>
        </w:rPr>
      </w:pPr>
      <w:r>
        <w:rPr>
          <w:rFonts w:cs="Calibri"/>
          <w:u w:val="single"/>
        </w:rPr>
        <w:t>Standard</w:t>
      </w:r>
      <w:r>
        <w:rPr>
          <w:rFonts w:cs="Calibri"/>
        </w:rPr>
        <w:t xml:space="preserve">: </w:t>
      </w:r>
      <w:r>
        <w:rPr/>
        <w:t>Whenever feasible, NFCC shall utilize independent assessors for security assessment functions.</w:t>
      </w:r>
    </w:p>
    <w:p>
      <w:pPr>
        <w:pStyle w:val="Normal"/>
        <w:rPr/>
      </w:pPr>
      <w:r>
        <w:rPr/>
      </w:r>
    </w:p>
    <w:p>
      <w:pPr>
        <w:pStyle w:val="Normal"/>
        <w:rPr/>
      </w:pPr>
      <w:r>
        <w:rPr>
          <w:u w:val="single"/>
        </w:rPr>
        <w:t>Guidelines</w:t>
      </w:r>
      <w:r>
        <w:rPr/>
        <w:t xml:space="preserve">: Independent assessors or assessment teams are individuals or groups who conduct impartial assessments of organizational systems. Impartiality implies that assessors are free from any perceived or actual conflicts of interest with regard to the development, operation or management of the organizational systems under assessment or to the determination of security control effectiveness. </w:t>
      </w:r>
    </w:p>
    <w:p>
      <w:pPr>
        <w:pStyle w:val="Normal"/>
        <w:rPr/>
      </w:pPr>
      <w:r>
        <w:rPr/>
      </w:r>
    </w:p>
    <w:p>
      <w:pPr>
        <w:pStyle w:val="Heading3"/>
        <w:rPr/>
      </w:pPr>
      <w:bookmarkStart w:id="1249" w:name="_Toc474075098"/>
      <w:bookmarkStart w:id="1250" w:name="_Toc34921011"/>
      <w:r>
        <w:rPr/>
        <w:t>IAO-02(b): Security Assessments | Specialized Assessments</w:t>
      </w:r>
      <w:bookmarkEnd w:id="1249"/>
      <w:bookmarkEnd w:id="1250"/>
      <w:r>
        <w:rPr/>
        <w:t xml:space="preserve"> </w:t>
      </w:r>
    </w:p>
    <w:p>
      <w:pPr>
        <w:pStyle w:val="Normal"/>
        <w:rPr/>
      </w:pPr>
      <w:r>
        <w:rPr>
          <w:u w:val="single"/>
        </w:rPr>
        <w:t>Control Objective</w:t>
      </w:r>
      <w:r>
        <w:rPr/>
        <w:t>: The organization includes as part of security control assessments, specialized assessments for:</w:t>
      </w:r>
      <w:r>
        <w:rPr>
          <w:rStyle w:val="FootnoteAnchor"/>
          <w:rStyle w:val="FootnoteAnchor"/>
          <w:rFonts w:cs="Calibri"/>
        </w:rPr>
        <w:footnoteReference w:id="399"/>
      </w:r>
    </w:p>
    <w:p>
      <w:pPr>
        <w:pStyle w:val="ListParagraph"/>
        <w:numPr>
          <w:ilvl w:val="0"/>
          <w:numId w:val="538"/>
        </w:numPr>
        <w:rPr/>
      </w:pPr>
      <w:r>
        <w:rPr/>
        <w:t>Statutory, regulatory and contractual compliance obligations;</w:t>
      </w:r>
    </w:p>
    <w:p>
      <w:pPr>
        <w:pStyle w:val="ListParagraph"/>
        <w:numPr>
          <w:ilvl w:val="0"/>
          <w:numId w:val="538"/>
        </w:numPr>
        <w:rPr/>
      </w:pPr>
      <w:r>
        <w:rPr/>
        <w:t xml:space="preserve">Monitoring capabilities; </w:t>
      </w:r>
    </w:p>
    <w:p>
      <w:pPr>
        <w:pStyle w:val="ListParagraph"/>
        <w:numPr>
          <w:ilvl w:val="0"/>
          <w:numId w:val="538"/>
        </w:numPr>
        <w:rPr/>
      </w:pPr>
      <w:r>
        <w:rPr/>
        <w:t>Mobile devices;</w:t>
      </w:r>
    </w:p>
    <w:p>
      <w:pPr>
        <w:pStyle w:val="ListParagraph"/>
        <w:numPr>
          <w:ilvl w:val="0"/>
          <w:numId w:val="538"/>
        </w:numPr>
        <w:rPr/>
      </w:pPr>
      <w:r>
        <w:rPr/>
        <w:t>Databases;</w:t>
      </w:r>
    </w:p>
    <w:p>
      <w:pPr>
        <w:pStyle w:val="ListParagraph"/>
        <w:numPr>
          <w:ilvl w:val="0"/>
          <w:numId w:val="538"/>
        </w:numPr>
        <w:rPr/>
      </w:pPr>
      <w:r>
        <w:rPr/>
        <w:t>Application security;</w:t>
      </w:r>
    </w:p>
    <w:p>
      <w:pPr>
        <w:pStyle w:val="ListParagraph"/>
        <w:numPr>
          <w:ilvl w:val="0"/>
          <w:numId w:val="538"/>
        </w:numPr>
        <w:rPr/>
      </w:pPr>
      <w:r>
        <w:rPr/>
        <w:t>Embedded technologies (e.g., IoT, OT, etc.);</w:t>
      </w:r>
    </w:p>
    <w:p>
      <w:pPr>
        <w:pStyle w:val="ListParagraph"/>
        <w:numPr>
          <w:ilvl w:val="0"/>
          <w:numId w:val="538"/>
        </w:numPr>
        <w:rPr/>
      </w:pPr>
      <w:r>
        <w:rPr/>
        <w:t xml:space="preserve">Vulnerability management; </w:t>
      </w:r>
    </w:p>
    <w:p>
      <w:pPr>
        <w:pStyle w:val="ListParagraph"/>
        <w:numPr>
          <w:ilvl w:val="0"/>
          <w:numId w:val="538"/>
        </w:numPr>
        <w:rPr/>
      </w:pPr>
      <w:r>
        <w:rPr/>
        <w:t xml:space="preserve">Malicious code; </w:t>
      </w:r>
    </w:p>
    <w:p>
      <w:pPr>
        <w:pStyle w:val="ListParagraph"/>
        <w:numPr>
          <w:ilvl w:val="0"/>
          <w:numId w:val="538"/>
        </w:numPr>
        <w:rPr/>
      </w:pPr>
      <w:r>
        <w:rPr/>
        <w:t>Insider threats; and</w:t>
      </w:r>
    </w:p>
    <w:p>
      <w:pPr>
        <w:pStyle w:val="ListParagraph"/>
        <w:numPr>
          <w:ilvl w:val="0"/>
          <w:numId w:val="538"/>
        </w:numPr>
        <w:rPr/>
      </w:pPr>
      <w:r>
        <w:rPr/>
        <w:t>Performance / load testing.</w:t>
      </w:r>
    </w:p>
    <w:p>
      <w:pPr>
        <w:pStyle w:val="ListParagraph"/>
        <w:rPr/>
      </w:pPr>
      <w:r>
        <w:rPr/>
      </w:r>
    </w:p>
    <w:p>
      <w:pPr>
        <w:pStyle w:val="Normal"/>
        <w:rPr/>
      </w:pPr>
      <w:r>
        <w:rPr>
          <w:rFonts w:cs="Calibri"/>
          <w:u w:val="single"/>
        </w:rPr>
        <w:t>Standard</w:t>
      </w:r>
      <w:r>
        <w:rPr>
          <w:rFonts w:cs="Calibri"/>
        </w:rPr>
        <w:t xml:space="preserve">: Where technically feasible and justified by a valid business case, </w:t>
      </w:r>
      <w:r>
        <w:rPr/>
        <w:t xml:space="preserve">NFCC shall utilize specialized assessments to address unique areas of risk. </w:t>
      </w:r>
    </w:p>
    <w:p>
      <w:pPr>
        <w:pStyle w:val="Normal"/>
        <w:rPr/>
      </w:pPr>
      <w:r>
        <w:rPr/>
      </w:r>
    </w:p>
    <w:p>
      <w:pPr>
        <w:pStyle w:val="Normal"/>
        <w:rPr/>
      </w:pPr>
      <w:r>
        <w:rPr>
          <w:u w:val="single"/>
        </w:rPr>
        <w:t>Guidelines</w:t>
      </w:r>
      <w:r>
        <w:rPr/>
        <w:t>: Organizations can employ system monitoring, insider threat assessments, malicious user testing and other forms of testing (e.g., verification and validation) to improve readiness by exercising organizational capabilities and indicating current performance levels as a means of focusing actions to improve security. Organizations can incorporate vulnerabilities uncovered during assessments into vulnerability remediation processes.</w:t>
      </w:r>
    </w:p>
    <w:p>
      <w:pPr>
        <w:pStyle w:val="Normal"/>
        <w:rPr/>
      </w:pPr>
      <w:r>
        <w:rPr/>
      </w:r>
    </w:p>
    <w:p>
      <w:pPr>
        <w:pStyle w:val="Heading3"/>
        <w:rPr/>
      </w:pPr>
      <w:bookmarkStart w:id="1251" w:name="_Toc34921012"/>
      <w:bookmarkStart w:id="1252" w:name="_Toc474075099"/>
      <w:r>
        <w:rPr/>
        <w:t xml:space="preserve">IAO-02(c): Security Assessments | </w:t>
      </w:r>
      <w:bookmarkEnd w:id="1252"/>
      <w:r>
        <w:rPr/>
        <w:t>Third-Party Assessments</w:t>
      </w:r>
      <w:bookmarkEnd w:id="1251"/>
    </w:p>
    <w:p>
      <w:pPr>
        <w:pStyle w:val="Normal"/>
        <w:rPr/>
      </w:pPr>
      <w:r>
        <w:rPr>
          <w:u w:val="single"/>
        </w:rPr>
        <w:t>Control Objective</w:t>
      </w:r>
      <w:r>
        <w:rPr/>
        <w:t>: The organization accepts the results of external assessments by impartial, external organizations.</w:t>
      </w:r>
      <w:r>
        <w:rPr>
          <w:rStyle w:val="FootnoteAnchor"/>
          <w:rStyle w:val="FootnoteAnchor"/>
          <w:rFonts w:cs="Calibri"/>
        </w:rPr>
        <w:footnoteReference w:id="400"/>
      </w:r>
    </w:p>
    <w:p>
      <w:pPr>
        <w:pStyle w:val="Normal"/>
        <w:rPr/>
      </w:pPr>
      <w:r>
        <w:rPr/>
      </w:r>
    </w:p>
    <w:p>
      <w:pPr>
        <w:pStyle w:val="Normal"/>
        <w:rPr>
          <w:rFonts w:cs="Calibri"/>
        </w:rPr>
      </w:pPr>
      <w:r>
        <w:rPr>
          <w:rFonts w:cs="Calibri"/>
          <w:u w:val="single"/>
        </w:rPr>
        <w:t>Standard</w:t>
      </w:r>
      <w:r>
        <w:rPr>
          <w:rFonts w:cs="Calibri"/>
        </w:rPr>
        <w:t xml:space="preserve">: </w:t>
      </w:r>
      <w:r>
        <w:rPr/>
        <w:t>NFCC shall accept the findings of assessments, when performed by impartial, external organizations with subject matter expertise in the area being assessed.</w:t>
      </w:r>
    </w:p>
    <w:p>
      <w:pPr>
        <w:pStyle w:val="Normal"/>
        <w:rPr/>
      </w:pPr>
      <w:r>
        <w:rPr/>
      </w:r>
    </w:p>
    <w:p>
      <w:pPr>
        <w:pStyle w:val="Normal"/>
        <w:rPr>
          <w:u w:val="single"/>
        </w:rPr>
      </w:pPr>
      <w:r>
        <w:rPr>
          <w:u w:val="single"/>
        </w:rPr>
        <w:t>Guidelines</w:t>
      </w:r>
      <w:r>
        <w:rPr/>
        <w:t>: Organizations may often rely on assessments of specific systems by other (external) organizations. Utilizing such existing assessments (e.g., reusing existing assessment evidence) can significantly decrease the time and resources required for organizational assessments by limiting a number of independent assessment activities that organizations need to perform. The factors that organizations may consider in determining whether to accept assessment results from external organizations can vary. Determinations for accepting assessment results can be based on, for example, past assessment experiences one organization has had with another organization, the reputation that organizations have with regard to assessments, the level of detail of supporting assessment documentation provided or mandates imposed upon organizations by federal legislation, policies or directives.</w:t>
      </w:r>
    </w:p>
    <w:p>
      <w:pPr>
        <w:pStyle w:val="Normal"/>
        <w:rPr/>
      </w:pPr>
      <w:r>
        <w:rPr/>
      </w:r>
    </w:p>
    <w:p>
      <w:pPr>
        <w:pStyle w:val="Normal"/>
        <w:tabs>
          <w:tab w:val="clear" w:pos="360"/>
          <w:tab w:val="clear" w:pos="720"/>
          <w:tab w:val="clear" w:pos="1080"/>
        </w:tabs>
        <w:jc w:val="left"/>
        <w:rPr/>
      </w:pPr>
      <w:r>
        <w:rPr/>
      </w:r>
      <w:bookmarkStart w:id="1253" w:name="_Toc346202633"/>
      <w:bookmarkStart w:id="1254" w:name="_Toc346202633"/>
      <w:bookmarkEnd w:id="1254"/>
    </w:p>
    <w:p>
      <w:pPr>
        <w:pStyle w:val="Heading2"/>
        <w:rPr/>
      </w:pPr>
      <w:bookmarkStart w:id="1255" w:name="_Toc34921013"/>
      <w:bookmarkStart w:id="1256" w:name="_Toc474075100"/>
      <w:bookmarkStart w:id="1257" w:name="_Toc474075681"/>
      <w:r>
        <w:rPr/>
        <w:t>IAO-03: System Security Plans (SSP)</w:t>
      </w:r>
      <w:bookmarkEnd w:id="1255"/>
      <w:bookmarkEnd w:id="1256"/>
      <w:bookmarkEnd w:id="1257"/>
    </w:p>
    <w:p>
      <w:pPr>
        <w:pStyle w:val="Normal"/>
        <w:rPr/>
      </w:pPr>
      <w:r>
        <w:rPr>
          <w:u w:val="single"/>
        </w:rPr>
        <w:t>Control Objective</w:t>
      </w:r>
      <w:r>
        <w:rPr/>
        <w:t>: The organization uses System Security Plans (SSPs) or similar mechanisms, to identify and maintain key architectural information on each critical system that, at a minimum, includes:</w:t>
      </w:r>
      <w:r>
        <w:rPr>
          <w:rStyle w:val="FootnoteAnchor"/>
          <w:rStyle w:val="FootnoteAnchor"/>
          <w:rFonts w:cs="Calibri"/>
          <w:bCs w:val="false"/>
        </w:rPr>
        <w:footnoteReference w:id="401"/>
      </w:r>
    </w:p>
    <w:p>
      <w:pPr>
        <w:pStyle w:val="ListParagraph"/>
        <w:numPr>
          <w:ilvl w:val="0"/>
          <w:numId w:val="117"/>
        </w:numPr>
        <w:rPr/>
      </w:pPr>
      <w:r>
        <w:rPr/>
        <w:t>External interfaces, the information being exchanged across the interfaces and the protection mechanisms associated with each interface;</w:t>
      </w:r>
    </w:p>
    <w:p>
      <w:pPr>
        <w:pStyle w:val="ListParagraph"/>
        <w:numPr>
          <w:ilvl w:val="0"/>
          <w:numId w:val="117"/>
        </w:numPr>
        <w:rPr/>
      </w:pPr>
      <w:r>
        <w:rPr/>
        <w:t>User roles and the access privileges assigned to each role;</w:t>
      </w:r>
    </w:p>
    <w:p>
      <w:pPr>
        <w:pStyle w:val="ListParagraph"/>
        <w:numPr>
          <w:ilvl w:val="0"/>
          <w:numId w:val="117"/>
        </w:numPr>
        <w:rPr/>
      </w:pPr>
      <w:r>
        <w:rPr/>
        <w:t>Unique security requirements;</w:t>
      </w:r>
    </w:p>
    <w:p>
      <w:pPr>
        <w:pStyle w:val="ListParagraph"/>
        <w:numPr>
          <w:ilvl w:val="0"/>
          <w:numId w:val="117"/>
        </w:numPr>
        <w:rPr/>
      </w:pPr>
      <w:r>
        <w:rPr/>
        <w:t>Types of information processed, stored or transmitted by systems and any specific protection needs in accordance with applicable local, state and Federal laws; and</w:t>
      </w:r>
    </w:p>
    <w:p>
      <w:pPr>
        <w:pStyle w:val="ListParagraph"/>
        <w:numPr>
          <w:ilvl w:val="0"/>
          <w:numId w:val="117"/>
        </w:numPr>
        <w:rPr>
          <w:i/>
          <w:i/>
          <w:iCs/>
        </w:rPr>
      </w:pPr>
      <w:r>
        <w:rPr/>
        <w:t>Restoration priority of information or system services.</w:t>
      </w:r>
    </w:p>
    <w:p>
      <w:pPr>
        <w:pStyle w:val="Normal"/>
        <w:rPr/>
      </w:pPr>
      <w:r>
        <w:rPr/>
      </w:r>
    </w:p>
    <w:p>
      <w:pPr>
        <w:pStyle w:val="Normal"/>
        <w:rPr/>
      </w:pPr>
      <w:r>
        <w:rPr>
          <w:u w:val="single"/>
        </w:rPr>
        <w:t>Standard</w:t>
      </w:r>
      <w:r>
        <w:rPr/>
        <w:t>: Data/process owners and asset custodians are required to document key architectural information on each critical system that, at a minimum, includes:</w:t>
      </w:r>
      <w:r>
        <w:rPr>
          <w:rStyle w:val="FootnoteCharacters"/>
          <w:rFonts w:cs="Calibri"/>
          <w:bCs w:val="false"/>
        </w:rPr>
        <w:t xml:space="preserve"> </w:t>
      </w:r>
    </w:p>
    <w:p>
      <w:pPr>
        <w:pStyle w:val="ListParagraph"/>
        <w:numPr>
          <w:ilvl w:val="0"/>
          <w:numId w:val="386"/>
        </w:numPr>
        <w:rPr/>
      </w:pPr>
      <w:r>
        <w:rPr/>
        <w:t>External interfaces, the information being exchanged across the interfaces and the protection mechanisms associated with each interface;</w:t>
      </w:r>
    </w:p>
    <w:p>
      <w:pPr>
        <w:pStyle w:val="ListParagraph"/>
        <w:numPr>
          <w:ilvl w:val="0"/>
          <w:numId w:val="386"/>
        </w:numPr>
        <w:rPr/>
      </w:pPr>
      <w:r>
        <w:rPr/>
        <w:t>User roles and the access privileges assigned to each role;</w:t>
      </w:r>
    </w:p>
    <w:p>
      <w:pPr>
        <w:pStyle w:val="ListParagraph"/>
        <w:numPr>
          <w:ilvl w:val="0"/>
          <w:numId w:val="386"/>
        </w:numPr>
        <w:rPr/>
      </w:pPr>
      <w:r>
        <w:rPr/>
        <w:t>Unique security requirements;</w:t>
      </w:r>
    </w:p>
    <w:p>
      <w:pPr>
        <w:pStyle w:val="ListParagraph"/>
        <w:numPr>
          <w:ilvl w:val="0"/>
          <w:numId w:val="386"/>
        </w:numPr>
        <w:rPr/>
      </w:pPr>
      <w:r>
        <w:rPr/>
        <w:t>Types of information processed, stored or transmitted by systems and any specific protection needs in accordance with applicable local, state and Federal laws; and</w:t>
      </w:r>
    </w:p>
    <w:p>
      <w:pPr>
        <w:pStyle w:val="ListParagraph"/>
        <w:numPr>
          <w:ilvl w:val="0"/>
          <w:numId w:val="386"/>
        </w:numPr>
        <w:rPr>
          <w:iCs/>
        </w:rPr>
      </w:pPr>
      <w:r>
        <w:rPr/>
        <w:t>Restoration priority of information or system services.</w:t>
      </w:r>
    </w:p>
    <w:p>
      <w:pPr>
        <w:pStyle w:val="Normal"/>
        <w:rPr/>
      </w:pPr>
      <w:r>
        <w:rPr/>
      </w:r>
    </w:p>
    <w:p>
      <w:pPr>
        <w:pStyle w:val="Normal"/>
        <w:rPr/>
      </w:pPr>
      <w:r>
        <w:rPr>
          <w:u w:val="single"/>
        </w:rPr>
        <w:t>Guidelines</w:t>
      </w:r>
      <w:r>
        <w:rPr/>
        <w:t xml:space="preserve">: Security plans relate security requirements to a set of security controls and control enhancements. Security plans also define the intent of the security controls and control enhancements with regard to meeting those security requirements but do not provide descriptions of the specific design or implementation of the controls / enhancements. Security plans contain sufficient information (including the specification of parameter values for assignment / selection statements in security controls and control enhancements either explicitly or by reference) to enable a design and implementation that is unambiguously compliant with the intent of the plans and subsequent determinations of risk to organizational operations and assets, individuals and other organizations if the plan is implemented as intended. </w:t>
      </w:r>
    </w:p>
    <w:p>
      <w:pPr>
        <w:pStyle w:val="Normal"/>
        <w:rPr/>
      </w:pPr>
      <w:r>
        <w:rPr/>
      </w:r>
    </w:p>
    <w:p>
      <w:pPr>
        <w:pStyle w:val="Normal"/>
        <w:rPr/>
      </w:pPr>
      <w:r>
        <w:rPr/>
        <w:t>Effective security plans make extensive use of references to policies, standards, procedures and additional documents (e.g., design and implementation specifications) where more detailed information is contained. This reduces the documentation requirements associated with security programs and maintains security-related information in other management and operational areas related to enterprise architecture and Secure Development Life Cycle activities. For example, security plans typically do not contain detailed contingency / incident response plan information but instead provide explicitly or by reference, sufficient information in order to define what needs to be accomplished by those plans.</w:t>
      </w:r>
    </w:p>
    <w:p>
      <w:pPr>
        <w:pStyle w:val="Normal"/>
        <w:rPr/>
      </w:pPr>
      <w:r>
        <w:rPr/>
      </w:r>
    </w:p>
    <w:p>
      <w:pPr>
        <w:pStyle w:val="Heading3"/>
        <w:rPr/>
      </w:pPr>
      <w:bookmarkStart w:id="1258" w:name="_Toc474075101"/>
      <w:bookmarkStart w:id="1259" w:name="_Toc34921014"/>
      <w:r>
        <w:rPr/>
        <w:t>IAO-03(a): System Security Plan (SSP) | Plan / Coordinate with Other Organizational Entities</w:t>
      </w:r>
      <w:bookmarkEnd w:id="1258"/>
      <w:bookmarkEnd w:id="1259"/>
      <w:r>
        <w:rPr/>
        <w:t xml:space="preserve"> </w:t>
      </w:r>
    </w:p>
    <w:p>
      <w:pPr>
        <w:pStyle w:val="Normal"/>
        <w:rPr/>
      </w:pPr>
      <w:r>
        <w:rPr>
          <w:u w:val="single"/>
        </w:rPr>
        <w:t>Control Objective</w:t>
      </w:r>
      <w:r>
        <w:rPr/>
        <w:t>: The organization plans and coordinates control testing activities with affected stakeholders before conducting such activities in order to reduce the potential impact on operations.</w:t>
      </w:r>
      <w:r>
        <w:rPr>
          <w:rStyle w:val="FootnoteAnchor"/>
          <w:rStyle w:val="FootnoteAnchor"/>
          <w:rFonts w:cs="Calibri"/>
        </w:rPr>
        <w:footnoteReference w:id="402"/>
      </w:r>
    </w:p>
    <w:p>
      <w:pPr>
        <w:pStyle w:val="Normal"/>
        <w:rPr/>
      </w:pPr>
      <w:r>
        <w:rPr/>
      </w:r>
    </w:p>
    <w:p>
      <w:pPr>
        <w:pStyle w:val="Normal"/>
        <w:rPr/>
      </w:pPr>
      <w:r>
        <w:rPr>
          <w:u w:val="single"/>
        </w:rPr>
        <w:t>Standard</w:t>
      </w:r>
      <w:r>
        <w:rPr/>
        <w:t>: Asset and process owners must plan and coordinate security-related activities affecting the system potentially affected parties before conducting such activities in order to reduce the impact on other business operations.</w:t>
      </w:r>
    </w:p>
    <w:p>
      <w:pPr>
        <w:pStyle w:val="Normal"/>
        <w:rPr/>
      </w:pPr>
      <w:r>
        <w:rPr/>
      </w:r>
    </w:p>
    <w:p>
      <w:pPr>
        <w:pStyle w:val="Normal"/>
        <w:rPr>
          <w:u w:val="single"/>
        </w:rPr>
      </w:pPr>
      <w:r>
        <w:rPr>
          <w:u w:val="single"/>
        </w:rPr>
        <w:t>Guidelines</w:t>
      </w:r>
      <w:r>
        <w:rPr/>
        <w:t>: Security-related activities include, for example, security assessments, audits, hardware and software maintenance, patch management and contingency plan testing. Advance planning and coordination include emergency and nonemergency (e.g., planned or non-urgent unplanned) situations. The process defined by organizations to plan and coordinate security-related activities can be included in security plans for systems or other documents, as appropriate.</w:t>
      </w:r>
    </w:p>
    <w:p>
      <w:pPr>
        <w:pStyle w:val="Normal"/>
        <w:rPr/>
      </w:pPr>
      <w:r>
        <w:rPr/>
      </w:r>
    </w:p>
    <w:p>
      <w:pPr>
        <w:pStyle w:val="Heading3"/>
        <w:rPr/>
      </w:pPr>
      <w:bookmarkStart w:id="1260" w:name="_Toc474075102"/>
      <w:bookmarkStart w:id="1261" w:name="_Toc34921015"/>
      <w:r>
        <w:rPr/>
        <w:t>IAO-03(b): System Security Plan (SSP) | Adequate Security for Covered Defense Information (CDI)</w:t>
      </w:r>
      <w:bookmarkEnd w:id="1260"/>
      <w:bookmarkEnd w:id="1261"/>
      <w:r>
        <w:rPr/>
        <w:t xml:space="preserve"> </w:t>
      </w:r>
    </w:p>
    <w:p>
      <w:pPr>
        <w:pStyle w:val="Normal"/>
        <w:rPr/>
      </w:pPr>
      <w:r>
        <w:rPr>
          <w:u w:val="single"/>
        </w:rPr>
        <w:t>Control Objective</w:t>
      </w:r>
      <w:r>
        <w:rPr/>
        <w:t>: The organization protects all unclassified information that is collected, developed, received, transmitted, used or stored by or on behalf of the organization in support of the performance of a U.S. Department of Defense (DoD) contract.</w:t>
      </w:r>
      <w:r>
        <w:rPr>
          <w:rStyle w:val="FootnoteCharacters"/>
          <w:rFonts w:cs="Calibri"/>
        </w:rPr>
        <w:t xml:space="preserve"> </w:t>
      </w:r>
    </w:p>
    <w:p>
      <w:pPr>
        <w:pStyle w:val="Normal"/>
        <w:rPr/>
      </w:pPr>
      <w:r>
        <w:rPr/>
      </w:r>
    </w:p>
    <w:p>
      <w:pPr>
        <w:pStyle w:val="Normal"/>
        <w:rPr/>
      </w:pPr>
      <w:r>
        <w:rPr>
          <w:u w:val="single"/>
        </w:rPr>
        <w:t>Standard</w:t>
      </w:r>
      <w:r>
        <w:rPr/>
        <w:t xml:space="preserve">: Where applicable, NFCC shall provide adequate security for all Covered Defense Information (CDI) on all covered contractor systems that support the performance of work under any DoD contract. In terms of CDI, “adequate security” means that NFCC shall: </w:t>
      </w:r>
    </w:p>
    <w:p>
      <w:pPr>
        <w:pStyle w:val="ListParagraph"/>
        <w:numPr>
          <w:ilvl w:val="0"/>
          <w:numId w:val="387"/>
        </w:numPr>
        <w:rPr/>
      </w:pPr>
      <w:r>
        <w:rPr/>
        <w:t>Implement systems security protections on all Covered Contractor Information Systems (CCIS) including, at a minimum:</w:t>
      </w:r>
    </w:p>
    <w:p>
      <w:pPr>
        <w:pStyle w:val="ListParagraph"/>
        <w:numPr>
          <w:ilvl w:val="0"/>
          <w:numId w:val="387"/>
        </w:numPr>
        <w:rPr/>
      </w:pPr>
      <w:r>
        <w:rPr/>
        <w:t>For CCIS that are part of an Information Technology (IT) service or system operated on behalf of the Government—</w:t>
      </w:r>
    </w:p>
    <w:p>
      <w:pPr>
        <w:pStyle w:val="ListParagraph"/>
        <w:numPr>
          <w:ilvl w:val="1"/>
          <w:numId w:val="387"/>
        </w:numPr>
        <w:rPr/>
      </w:pPr>
      <w:r>
        <w:rPr/>
        <w:t>Cloud computing services are subject to the security requirements specified in the clause 252.239-7010, Cloud Computing Services; and</w:t>
      </w:r>
    </w:p>
    <w:p>
      <w:pPr>
        <w:pStyle w:val="ListParagraph"/>
        <w:numPr>
          <w:ilvl w:val="1"/>
          <w:numId w:val="387"/>
        </w:numPr>
        <w:rPr/>
      </w:pPr>
      <w:r>
        <w:rPr/>
        <w:t>Any other such IT service or system (e.g., other than cloud computing) are subject to the security requirements specified elsewhere in the DoD contract; or</w:t>
      </w:r>
    </w:p>
    <w:p>
      <w:pPr>
        <w:pStyle w:val="ListParagraph"/>
        <w:numPr>
          <w:ilvl w:val="0"/>
          <w:numId w:val="387"/>
        </w:numPr>
        <w:rPr/>
      </w:pPr>
      <w:r>
        <w:rPr/>
        <w:t>For CCIS that are not part of an IT service or system operated on behalf of the Government and therefore are not subject to the security requirement specified DFARS 252.204-7012:</w:t>
      </w:r>
    </w:p>
    <w:p>
      <w:pPr>
        <w:pStyle w:val="ListParagraph"/>
        <w:numPr>
          <w:ilvl w:val="1"/>
          <w:numId w:val="387"/>
        </w:numPr>
        <w:rPr/>
      </w:pPr>
      <w:r>
        <w:rPr/>
        <w:t>The security requirements in National Institute of Standards and Technology (NIST) Special Publication (SP) 800-171, “Protecting Controlled Unclassified Information in Nonfederal Information Systems and Organizations,” that is in effect at the time the solicitation is issued or as authorized by the Contracting Officer, as soon as practical, but not later than December 31, 2017; or</w:t>
      </w:r>
    </w:p>
    <w:p>
      <w:pPr>
        <w:pStyle w:val="ListParagraph"/>
        <w:numPr>
          <w:ilvl w:val="1"/>
          <w:numId w:val="387"/>
        </w:numPr>
        <w:rPr/>
      </w:pPr>
      <w:r>
        <w:rPr/>
        <w:t>Alternative, but equally effective, security measures used to compensate for the inability to satisfy a particular requirement and achieve equivalent protection accepted in writing by an authorized representative of the DoD; and</w:t>
      </w:r>
    </w:p>
    <w:p>
      <w:pPr>
        <w:pStyle w:val="ListParagraph"/>
        <w:numPr>
          <w:ilvl w:val="0"/>
          <w:numId w:val="387"/>
        </w:numPr>
        <w:rPr/>
      </w:pPr>
      <w:r>
        <w:rPr/>
        <w:t>Apply other systems security measures when NFCC reasonably determines that systems security measures, in addition to those identified in DFARS 252.204-7012, may be required to provide adequate security in a dynamic environment based on an assessed risk or vulnerability.</w:t>
      </w:r>
    </w:p>
    <w:p>
      <w:pPr>
        <w:pStyle w:val="Normal"/>
        <w:rPr/>
      </w:pPr>
      <w:r>
        <w:rPr/>
      </w:r>
    </w:p>
    <w:p>
      <w:pPr>
        <w:pStyle w:val="Normal"/>
        <w:rPr/>
      </w:pPr>
      <w:r>
        <w:rPr>
          <w:u w:val="single"/>
        </w:rPr>
        <w:t>Guidelines</w:t>
      </w:r>
      <w:r>
        <w:rPr/>
        <w:t>: None</w:t>
      </w:r>
    </w:p>
    <w:p>
      <w:pPr>
        <w:pStyle w:val="Normal"/>
        <w:rPr/>
      </w:pPr>
      <w:r>
        <w:rPr/>
      </w:r>
    </w:p>
    <w:p>
      <w:pPr>
        <w:pStyle w:val="Normal"/>
        <w:rPr/>
      </w:pPr>
      <w:r>
        <w:rPr/>
      </w:r>
    </w:p>
    <w:p>
      <w:pPr>
        <w:pStyle w:val="Heading2"/>
        <w:rPr/>
      </w:pPr>
      <w:bookmarkStart w:id="1262" w:name="_Toc474075104"/>
      <w:bookmarkStart w:id="1263" w:name="_Toc474075683"/>
      <w:bookmarkStart w:id="1264" w:name="_Toc34921016"/>
      <w:bookmarkStart w:id="1265" w:name="_Toc3462026331"/>
      <w:bookmarkEnd w:id="1265"/>
      <w:r>
        <w:rPr/>
        <w:t>IAO-04: Threat Analysis &amp; Flaw Remediation During Development</w:t>
      </w:r>
      <w:bookmarkEnd w:id="1262"/>
      <w:bookmarkEnd w:id="1263"/>
      <w:bookmarkEnd w:id="1264"/>
    </w:p>
    <w:p>
      <w:pPr>
        <w:pStyle w:val="Normal"/>
        <w:rPr/>
      </w:pPr>
      <w:r>
        <w:rPr>
          <w:u w:val="single"/>
        </w:rPr>
        <w:t>Control Objective</w:t>
      </w:r>
      <w:r>
        <w:rPr/>
        <w:t>: The organization requires that system developers and integrators create and execute a Security Test and Evaluation (ST&amp;E) plan to identify and remediate flaws during development.</w:t>
      </w:r>
      <w:r>
        <w:rPr>
          <w:rStyle w:val="FootnoteCharacters"/>
          <w:rFonts w:cs="Calibri"/>
          <w:bCs w:val="false"/>
        </w:rPr>
        <w:t xml:space="preserve"> </w:t>
      </w:r>
    </w:p>
    <w:p>
      <w:pPr>
        <w:pStyle w:val="Normal"/>
        <w:rPr/>
      </w:pPr>
      <w:r>
        <w:rPr/>
      </w:r>
    </w:p>
    <w:p>
      <w:pPr>
        <w:pStyle w:val="Normal"/>
        <w:rPr/>
      </w:pPr>
      <w:r>
        <w:rPr>
          <w:u w:val="single"/>
        </w:rPr>
        <w:t>Standard</w:t>
      </w:r>
      <w:r>
        <w:rPr/>
        <w:t>: Data/process owners and asset custodians are required to:</w:t>
      </w:r>
      <w:r>
        <w:rPr>
          <w:rStyle w:val="FootnoteCharacters"/>
          <w:rFonts w:cs="Calibri"/>
          <w:bCs w:val="false"/>
        </w:rPr>
        <w:t xml:space="preserve"> </w:t>
      </w:r>
    </w:p>
    <w:p>
      <w:pPr>
        <w:pStyle w:val="ListParagraph"/>
        <w:numPr>
          <w:ilvl w:val="0"/>
          <w:numId w:val="388"/>
        </w:numPr>
        <w:rPr/>
      </w:pPr>
      <w:r>
        <w:rPr/>
        <w:t>Address new threats and vulnerabilities on an ongoing basis and ensures these applications are protected against known attacks by either of the following methods:</w:t>
      </w:r>
    </w:p>
    <w:p>
      <w:pPr>
        <w:pStyle w:val="ListParagraph"/>
        <w:numPr>
          <w:ilvl w:val="1"/>
          <w:numId w:val="388"/>
        </w:numPr>
        <w:rPr/>
      </w:pPr>
      <w:r>
        <w:rPr/>
        <w:t>Reviewing applications via manual or automated application vulnerability security assessment tools or methods, at least annually and after any changes; or</w:t>
      </w:r>
    </w:p>
    <w:p>
      <w:pPr>
        <w:pStyle w:val="ListParagraph"/>
        <w:numPr>
          <w:ilvl w:val="1"/>
          <w:numId w:val="388"/>
        </w:numPr>
        <w:rPr/>
      </w:pPr>
      <w:r>
        <w:rPr/>
        <w:t>Installing an application firewall.</w:t>
      </w:r>
    </w:p>
    <w:p>
      <w:pPr>
        <w:pStyle w:val="ListParagraph"/>
        <w:numPr>
          <w:ilvl w:val="0"/>
          <w:numId w:val="388"/>
        </w:numPr>
        <w:rPr/>
      </w:pPr>
      <w:r>
        <w:rPr/>
        <w:t>Verify that public-facing web applications are reviewed (using either manual or automated vulnerability security assessment tools or methods), as follows:</w:t>
      </w:r>
    </w:p>
    <w:p>
      <w:pPr>
        <w:pStyle w:val="ListParagraph"/>
        <w:numPr>
          <w:ilvl w:val="1"/>
          <w:numId w:val="388"/>
        </w:numPr>
        <w:rPr/>
      </w:pPr>
      <w:r>
        <w:rPr/>
        <w:t>At least annually;</w:t>
      </w:r>
    </w:p>
    <w:p>
      <w:pPr>
        <w:pStyle w:val="ListParagraph"/>
        <w:numPr>
          <w:ilvl w:val="1"/>
          <w:numId w:val="388"/>
        </w:numPr>
        <w:rPr/>
      </w:pPr>
      <w:r>
        <w:rPr/>
        <w:t>After any changes;</w:t>
      </w:r>
    </w:p>
    <w:p>
      <w:pPr>
        <w:pStyle w:val="ListParagraph"/>
        <w:numPr>
          <w:ilvl w:val="1"/>
          <w:numId w:val="388"/>
        </w:numPr>
        <w:rPr/>
      </w:pPr>
      <w:r>
        <w:rPr/>
        <w:t>By an organization that specializes in application security;</w:t>
      </w:r>
    </w:p>
    <w:p>
      <w:pPr>
        <w:pStyle w:val="ListParagraph"/>
        <w:numPr>
          <w:ilvl w:val="1"/>
          <w:numId w:val="388"/>
        </w:numPr>
        <w:rPr/>
      </w:pPr>
      <w:r>
        <w:rPr/>
        <w:t>That all vulnerabilities are corrected; and</w:t>
      </w:r>
    </w:p>
    <w:p>
      <w:pPr>
        <w:pStyle w:val="ListParagraph"/>
        <w:numPr>
          <w:ilvl w:val="1"/>
          <w:numId w:val="388"/>
        </w:numPr>
        <w:rPr/>
      </w:pPr>
      <w:r>
        <w:rPr/>
        <w:t>That the application is re-evaluated after the corrections.</w:t>
      </w:r>
    </w:p>
    <w:p>
      <w:pPr>
        <w:pStyle w:val="Normal"/>
        <w:rPr/>
      </w:pPr>
      <w:r>
        <w:rPr/>
      </w:r>
    </w:p>
    <w:p>
      <w:pPr>
        <w:pStyle w:val="Normal"/>
        <w:rPr/>
      </w:pPr>
      <w:r>
        <w:rPr>
          <w:u w:val="single"/>
        </w:rPr>
        <w:t>Guidelines</w:t>
      </w:r>
      <w:r>
        <w:rPr/>
        <w:t xml:space="preserve">: Applications may deviate significantly from the functional and design specifications created during the requirements and design phases of the Secure Development Life Cycle. Therefore, threat and vulnerability analyses of information technology products and systems prior to delivery are critical to the effective operation of those products and systems. Threat and vulnerability analyses at this phase of the life cycle help ensure that design or implementation changes have been accounted for and that any new vulnerabilities created as a result of those changes have been reviewed and mitigated. </w:t>
      </w:r>
    </w:p>
    <w:p>
      <w:pPr>
        <w:pStyle w:val="Normal"/>
        <w:rPr/>
      </w:pPr>
      <w:r>
        <w:rPr/>
      </w:r>
    </w:p>
    <w:p>
      <w:pPr>
        <w:pStyle w:val="Normal"/>
        <w:rPr/>
      </w:pPr>
      <w:r>
        <w:rPr/>
      </w:r>
    </w:p>
    <w:p>
      <w:pPr>
        <w:pStyle w:val="Heading2"/>
        <w:rPr/>
      </w:pPr>
      <w:bookmarkStart w:id="1266" w:name="_Toc474075105"/>
      <w:bookmarkStart w:id="1267" w:name="_Toc474075684"/>
      <w:bookmarkStart w:id="1268" w:name="_Toc34921017"/>
      <w:bookmarkStart w:id="1269" w:name="_Toc346202635"/>
      <w:r>
        <w:rPr/>
        <w:t>IAO-05: Plan of Action &amp; Milestones (POA&amp;M)</w:t>
      </w:r>
      <w:bookmarkEnd w:id="1266"/>
      <w:bookmarkEnd w:id="1267"/>
      <w:bookmarkEnd w:id="1268"/>
      <w:bookmarkEnd w:id="1269"/>
    </w:p>
    <w:p>
      <w:pPr>
        <w:pStyle w:val="Normal"/>
        <w:rPr/>
      </w:pPr>
      <w:r>
        <w:rPr>
          <w:u w:val="single"/>
        </w:rPr>
        <w:t>Control Objective</w:t>
      </w:r>
      <w:r>
        <w:rPr/>
        <w:t>: The organization:</w:t>
      </w:r>
      <w:r>
        <w:rPr>
          <w:rStyle w:val="FootnoteAnchor"/>
          <w:rStyle w:val="FootnoteAnchor"/>
          <w:rFonts w:cs="Calibri"/>
        </w:rPr>
        <w:footnoteReference w:id="403"/>
      </w:r>
    </w:p>
    <w:p>
      <w:pPr>
        <w:pStyle w:val="ListParagraph"/>
        <w:numPr>
          <w:ilvl w:val="0"/>
          <w:numId w:val="114"/>
        </w:numPr>
        <w:rPr/>
      </w:pPr>
      <w:r>
        <w:rPr/>
        <w:t>Develops a Plan of Action and Milestones (POA&amp;M) for systems to document planned remedial actions to correct weaknesses or deficiencies noted during the assessment of the security controls and to reduce or eliminate known vulnerabilities in the system; and</w:t>
      </w:r>
    </w:p>
    <w:p>
      <w:pPr>
        <w:pStyle w:val="ListParagraph"/>
        <w:numPr>
          <w:ilvl w:val="0"/>
          <w:numId w:val="114"/>
        </w:numPr>
        <w:rPr/>
      </w:pPr>
      <w:r>
        <w:rPr/>
        <w:t>Updates existing POA&amp;M based on the findings from security controls assessments, security impact analyses and continuous monitoring activities.</w:t>
      </w:r>
    </w:p>
    <w:p>
      <w:pPr>
        <w:pStyle w:val="Normal"/>
        <w:rPr/>
      </w:pPr>
      <w:r>
        <w:rPr/>
      </w:r>
    </w:p>
    <w:p>
      <w:pPr>
        <w:pStyle w:val="Normal"/>
        <w:rPr/>
      </w:pPr>
      <w:r>
        <w:rPr>
          <w:u w:val="single"/>
        </w:rPr>
        <w:t>Standard</w:t>
      </w:r>
      <w:r>
        <w:rPr/>
        <w:t>: In a Plan of Action &amp; Milestones (POA&amp;M) or some other NFCC-approved method, asset custodians and data / process owners are required to document:</w:t>
      </w:r>
    </w:p>
    <w:p>
      <w:pPr>
        <w:pStyle w:val="ListParagraph"/>
        <w:numPr>
          <w:ilvl w:val="0"/>
          <w:numId w:val="389"/>
        </w:numPr>
        <w:rPr/>
      </w:pPr>
      <w:r>
        <w:rPr/>
        <w:t>All known vulnerabilities associated with the system(s);</w:t>
      </w:r>
    </w:p>
    <w:p>
      <w:pPr>
        <w:pStyle w:val="ListParagraph"/>
        <w:numPr>
          <w:ilvl w:val="0"/>
          <w:numId w:val="389"/>
        </w:numPr>
        <w:rPr/>
      </w:pPr>
      <w:r>
        <w:rPr/>
        <w:t>Planned remedial actions to correct the identified weaknesses or deficiencies; and</w:t>
      </w:r>
    </w:p>
    <w:p>
      <w:pPr>
        <w:pStyle w:val="ListParagraph"/>
        <w:numPr>
          <w:ilvl w:val="0"/>
          <w:numId w:val="389"/>
        </w:numPr>
        <w:rPr/>
      </w:pPr>
      <w:r>
        <w:rPr/>
        <w:t>Timeline to complete the remediation steps.</w:t>
      </w:r>
    </w:p>
    <w:p>
      <w:pPr>
        <w:pStyle w:val="Normal"/>
        <w:rPr/>
      </w:pPr>
      <w:r>
        <w:rPr/>
      </w:r>
    </w:p>
    <w:p>
      <w:pPr>
        <w:pStyle w:val="Normal"/>
        <w:rPr/>
      </w:pPr>
      <w:r>
        <w:rPr>
          <w:u w:val="single"/>
        </w:rPr>
        <w:t>Guidelines</w:t>
      </w:r>
      <w:r>
        <w:rPr/>
        <w:t>: The POA&amp;M should be kept up to date to reflect changes to the system or remedial actions taken to correct deficiencies.</w:t>
      </w:r>
    </w:p>
    <w:p>
      <w:pPr>
        <w:pStyle w:val="Normal"/>
        <w:rPr/>
      </w:pPr>
      <w:r>
        <w:rPr/>
      </w:r>
    </w:p>
    <w:p>
      <w:pPr>
        <w:pStyle w:val="Normal"/>
        <w:rPr/>
      </w:pPr>
      <w:r>
        <w:rPr/>
      </w:r>
    </w:p>
    <w:p>
      <w:pPr>
        <w:pStyle w:val="Normal"/>
        <w:rPr/>
      </w:pPr>
      <w:r>
        <w:rPr/>
      </w:r>
    </w:p>
    <w:p>
      <w:pPr>
        <w:pStyle w:val="Normal"/>
        <w:rPr/>
      </w:pPr>
      <w:r>
        <w:rPr/>
      </w:r>
    </w:p>
    <w:p>
      <w:pPr>
        <w:pStyle w:val="Heading2"/>
        <w:rPr/>
      </w:pPr>
      <w:bookmarkStart w:id="1270" w:name="_Toc346202634"/>
      <w:bookmarkStart w:id="1271" w:name="_Toc474075106"/>
      <w:bookmarkStart w:id="1272" w:name="_Toc474075685"/>
      <w:bookmarkStart w:id="1273" w:name="_Toc34921018"/>
      <w:r>
        <w:rPr/>
        <w:t>IAO-06: Technical Verification</w:t>
      </w:r>
      <w:bookmarkEnd w:id="1270"/>
      <w:bookmarkEnd w:id="1271"/>
      <w:bookmarkEnd w:id="1272"/>
      <w:bookmarkEnd w:id="1273"/>
    </w:p>
    <w:p>
      <w:pPr>
        <w:pStyle w:val="Normal"/>
        <w:rPr/>
      </w:pPr>
      <w:r>
        <w:rPr>
          <w:u w:val="single"/>
        </w:rPr>
        <w:t>Control Objective</w:t>
      </w:r>
      <w:r>
        <w:rPr/>
        <w:t>: The organization evaluates the effectiveness of security controls during formal assessments and testing.</w:t>
      </w:r>
      <w:r>
        <w:rPr>
          <w:rStyle w:val="FootnoteAnchor"/>
          <w:rStyle w:val="FootnoteAnchor"/>
        </w:rPr>
        <w:footnoteReference w:id="404"/>
      </w:r>
    </w:p>
    <w:p>
      <w:pPr>
        <w:pStyle w:val="Normal"/>
        <w:rPr/>
      </w:pPr>
      <w:r>
        <w:rPr/>
      </w:r>
    </w:p>
    <w:p>
      <w:pPr>
        <w:pStyle w:val="Normal"/>
        <w:rPr/>
      </w:pPr>
      <w:r>
        <w:rPr>
          <w:u w:val="single"/>
        </w:rPr>
        <w:t>Standard</w:t>
      </w:r>
      <w:r>
        <w:rPr/>
        <w:t>: Asset custodians are required to verify security-related controls (e.g., antivirus software) to ensure assets are protected,</w:t>
      </w:r>
    </w:p>
    <w:p>
      <w:pPr>
        <w:pStyle w:val="Normal"/>
        <w:rPr/>
      </w:pPr>
      <w:r>
        <w:rPr/>
        <w:t>which includes:</w:t>
      </w:r>
    </w:p>
    <w:p>
      <w:pPr>
        <w:pStyle w:val="ListParagraph"/>
        <w:numPr>
          <w:ilvl w:val="0"/>
          <w:numId w:val="390"/>
        </w:numPr>
        <w:rPr/>
      </w:pPr>
      <w:r>
        <w:rPr/>
        <w:t>Description of business requirements for each interface connection;</w:t>
      </w:r>
    </w:p>
    <w:p>
      <w:pPr>
        <w:pStyle w:val="ListParagraph"/>
        <w:numPr>
          <w:ilvl w:val="0"/>
          <w:numId w:val="390"/>
        </w:numPr>
        <w:rPr/>
      </w:pPr>
      <w:r>
        <w:rPr/>
        <w:t>The data classification of the information communicated through the interface(s); and</w:t>
      </w:r>
    </w:p>
    <w:p>
      <w:pPr>
        <w:pStyle w:val="ListParagraph"/>
        <w:numPr>
          <w:ilvl w:val="0"/>
          <w:numId w:val="390"/>
        </w:numPr>
        <w:rPr/>
      </w:pPr>
      <w:r>
        <w:rPr/>
        <w:t>Required security controls.</w:t>
      </w:r>
    </w:p>
    <w:p>
      <w:pPr>
        <w:pStyle w:val="Normal"/>
        <w:rPr/>
      </w:pPr>
      <w:r>
        <w:rPr/>
      </w:r>
    </w:p>
    <w:p>
      <w:pPr>
        <w:pStyle w:val="Normal"/>
        <w:rPr/>
      </w:pPr>
      <w:r>
        <w:rPr>
          <w:u w:val="single"/>
        </w:rPr>
        <w:t>Guidelines</w:t>
      </w:r>
      <w:r>
        <w:rPr/>
        <w:t>: In order to ensure data remains secure, it is important for NFCC to fully understand how its network communicates and validate that only authorized traffic is allowed. Additionally, the system connections should be monitored on an ongoing basis to verify enforcement of security requirements.</w:t>
      </w:r>
    </w:p>
    <w:p>
      <w:pPr>
        <w:pStyle w:val="Normal"/>
        <w:rPr/>
      </w:pPr>
      <w:r>
        <w:rPr/>
      </w:r>
    </w:p>
    <w:p>
      <w:pPr>
        <w:pStyle w:val="Normal"/>
        <w:rPr/>
      </w:pPr>
      <w:r>
        <w:rPr/>
      </w:r>
    </w:p>
    <w:p>
      <w:pPr>
        <w:pStyle w:val="Heading2"/>
        <w:rPr/>
      </w:pPr>
      <w:bookmarkStart w:id="1274" w:name="_Toc474075107"/>
      <w:bookmarkStart w:id="1275" w:name="_Toc474075686"/>
      <w:bookmarkStart w:id="1276" w:name="_Toc34921019"/>
      <w:bookmarkStart w:id="1277" w:name="_Toc346202636"/>
      <w:r>
        <w:rPr/>
        <w:t>IAO-07: Security Authorization</w:t>
      </w:r>
      <w:bookmarkEnd w:id="1274"/>
      <w:bookmarkEnd w:id="1275"/>
      <w:bookmarkEnd w:id="1276"/>
      <w:bookmarkEnd w:id="1277"/>
      <w:r>
        <w:rPr/>
        <w:t xml:space="preserve"> </w:t>
      </w:r>
    </w:p>
    <w:p>
      <w:pPr>
        <w:pStyle w:val="Normal"/>
        <w:rPr/>
      </w:pPr>
      <w:r>
        <w:rPr>
          <w:u w:val="single"/>
        </w:rPr>
        <w:t>Control Objective</w:t>
      </w:r>
      <w:r>
        <w:rPr/>
        <w:t>: The organization:</w:t>
      </w:r>
      <w:r>
        <w:rPr>
          <w:rStyle w:val="FootnoteAnchor"/>
          <w:rStyle w:val="FootnoteAnchor"/>
          <w:rFonts w:cs="Calibri"/>
        </w:rPr>
        <w:footnoteReference w:id="405"/>
      </w:r>
    </w:p>
    <w:p>
      <w:pPr>
        <w:pStyle w:val="ListParagraph"/>
        <w:numPr>
          <w:ilvl w:val="0"/>
          <w:numId w:val="115"/>
        </w:numPr>
        <w:rPr/>
      </w:pPr>
      <w:r>
        <w:rPr/>
        <w:t>Assigns a senior-level manager to the role of authorizing official for systems;</w:t>
      </w:r>
    </w:p>
    <w:p>
      <w:pPr>
        <w:pStyle w:val="ListParagraph"/>
        <w:numPr>
          <w:ilvl w:val="0"/>
          <w:numId w:val="115"/>
        </w:numPr>
        <w:rPr/>
      </w:pPr>
      <w:r>
        <w:rPr/>
        <w:t>Ensures that the authorizing official authorizes systems for processing before commencing operations; and</w:t>
      </w:r>
    </w:p>
    <w:p>
      <w:pPr>
        <w:pStyle w:val="ListParagraph"/>
        <w:numPr>
          <w:ilvl w:val="0"/>
          <w:numId w:val="115"/>
        </w:numPr>
        <w:rPr/>
      </w:pPr>
      <w:r>
        <w:rPr/>
        <w:t>Updates the security authorization.</w:t>
      </w:r>
    </w:p>
    <w:p>
      <w:pPr>
        <w:pStyle w:val="Normal"/>
        <w:rPr/>
      </w:pPr>
      <w:r>
        <w:rPr/>
        <w:t xml:space="preserve"> </w:t>
      </w:r>
    </w:p>
    <w:p>
      <w:pPr>
        <w:pStyle w:val="Normal"/>
        <w:rPr/>
      </w:pPr>
      <w:r>
        <w:rPr>
          <w:u w:val="single"/>
        </w:rPr>
        <w:t>Standard</w:t>
      </w:r>
      <w:r>
        <w:rPr/>
        <w:t>: NFCC requires all new technology platforms to be approved prior to the introduction of new systems in production environments. Unauthorized systems:</w:t>
      </w:r>
    </w:p>
    <w:p>
      <w:pPr>
        <w:pStyle w:val="ListParagraph"/>
        <w:numPr>
          <w:ilvl w:val="0"/>
          <w:numId w:val="391"/>
        </w:numPr>
        <w:rPr/>
      </w:pPr>
      <w:r>
        <w:rPr/>
        <w:t xml:space="preserve">Are prohibited from operating in a production environment; and </w:t>
      </w:r>
    </w:p>
    <w:p>
      <w:pPr>
        <w:pStyle w:val="ListParagraph"/>
        <w:numPr>
          <w:ilvl w:val="0"/>
          <w:numId w:val="391"/>
        </w:numPr>
        <w:rPr/>
      </w:pPr>
      <w:r>
        <w:rPr/>
        <w:t>May be disconnected from the network and / or powered off.</w:t>
      </w:r>
    </w:p>
    <w:p>
      <w:pPr>
        <w:pStyle w:val="Normal"/>
        <w:rPr/>
      </w:pPr>
      <w:r>
        <w:rPr/>
      </w:r>
    </w:p>
    <w:p>
      <w:pPr>
        <w:pStyle w:val="Normal"/>
        <w:rPr/>
      </w:pPr>
      <w:r>
        <w:rPr>
          <w:u w:val="single"/>
        </w:rPr>
        <w:t>Guidelines</w:t>
      </w:r>
      <w:r>
        <w:rPr/>
        <w:t>: Security authorizations are official management decisions, conveyed through authorization decision documents, by management (e.g., authorizing officials) to authorize operation of systems and to explicitly accept the risk to organizational operations and assets, individuals and other organizations based on the implementation of agreed-upon security controls. New technology platforms include, but are not limited to:</w:t>
      </w:r>
    </w:p>
    <w:p>
      <w:pPr>
        <w:pStyle w:val="ListParagraph"/>
        <w:numPr>
          <w:ilvl w:val="0"/>
          <w:numId w:val="116"/>
        </w:numPr>
        <w:rPr/>
      </w:pPr>
      <w:r>
        <w:rPr/>
        <w:t>Operating systems</w:t>
      </w:r>
    </w:p>
    <w:p>
      <w:pPr>
        <w:pStyle w:val="ListParagraph"/>
        <w:numPr>
          <w:ilvl w:val="0"/>
          <w:numId w:val="116"/>
        </w:numPr>
        <w:rPr/>
      </w:pPr>
      <w:r>
        <w:rPr/>
        <w:t>Productivity suites</w:t>
      </w:r>
    </w:p>
    <w:p>
      <w:pPr>
        <w:pStyle w:val="ListParagraph"/>
        <w:numPr>
          <w:ilvl w:val="0"/>
          <w:numId w:val="116"/>
        </w:numPr>
        <w:rPr/>
      </w:pPr>
      <w:r>
        <w:rPr/>
        <w:t>Firewalls</w:t>
      </w:r>
    </w:p>
    <w:p>
      <w:pPr>
        <w:pStyle w:val="Normal"/>
        <w:rPr/>
      </w:pPr>
      <w:r>
        <w:rPr/>
      </w:r>
    </w:p>
    <w:p>
      <w:pPr>
        <w:pStyle w:val="Normal"/>
        <w:rPr/>
      </w:pPr>
      <w:r>
        <w:rPr/>
      </w:r>
    </w:p>
    <w:p>
      <w:pPr>
        <w:pStyle w:val="Normal"/>
        <w:rPr/>
      </w:pPr>
      <w:r>
        <w:rPr/>
      </w:r>
    </w:p>
    <w:p>
      <w:pPr>
        <w:pStyle w:val="Normal"/>
        <w:tabs>
          <w:tab w:val="clear" w:pos="360"/>
          <w:tab w:val="clear" w:pos="720"/>
          <w:tab w:val="clear" w:pos="1080"/>
        </w:tabs>
        <w:jc w:val="left"/>
        <w:rPr>
          <w:rFonts w:eastAsia="Calibri" w:cs="Calibri"/>
          <w:b/>
          <w:b/>
          <w:bCs w:val="false"/>
          <w:smallCaps/>
          <w:sz w:val="24"/>
        </w:rPr>
      </w:pPr>
      <w:r>
        <w:rPr>
          <w:rFonts w:eastAsia="Calibri" w:cs="Calibri"/>
          <w:b/>
          <w:bCs w:val="false"/>
          <w:smallCaps/>
          <w:sz w:val="24"/>
        </w:rPr>
      </w:r>
    </w:p>
    <w:p>
      <w:pPr>
        <w:pStyle w:val="Normal"/>
        <w:tabs>
          <w:tab w:val="clear" w:pos="360"/>
          <w:tab w:val="clear" w:pos="720"/>
          <w:tab w:val="clear" w:pos="1080"/>
        </w:tabs>
        <w:jc w:val="left"/>
        <w:rPr/>
      </w:pPr>
      <w:r>
        <w:rPr/>
      </w:r>
      <w:r>
        <w:br w:type="page"/>
      </w:r>
    </w:p>
    <w:p>
      <w:pPr>
        <w:pStyle w:val="Heading1"/>
        <w:rPr/>
      </w:pPr>
      <w:bookmarkStart w:id="1278" w:name="_Toc34921020"/>
      <w:bookmarkStart w:id="1279" w:name="_Toc474075108"/>
      <w:bookmarkStart w:id="1280" w:name="_Toc474075687"/>
      <w:r>
        <w:rPr/>
        <w:t>Maintenance (MNT)</w:t>
      </w:r>
      <w:bookmarkEnd w:id="1279"/>
      <w:bookmarkEnd w:id="1280"/>
      <w:r>
        <w:rPr/>
        <w:t xml:space="preserve"> Policy &amp; Standards</w:t>
      </w:r>
      <w:bookmarkEnd w:id="1278"/>
    </w:p>
    <w:p>
      <w:pPr>
        <w:pStyle w:val="Normal"/>
        <w:rPr/>
      </w:pPr>
      <w:r>
        <w:rPr/>
      </w:r>
    </w:p>
    <w:p>
      <w:pPr>
        <w:pStyle w:val="Normal"/>
        <w:rPr/>
      </w:pPr>
      <w:r>
        <w:rPr>
          <w:u w:val="single"/>
        </w:rPr>
        <w:t>Management Intent</w:t>
      </w:r>
      <w:r>
        <w:rPr/>
        <w:t xml:space="preserve">: The purpose of the Maintenance (MNT) policy is to ensure that due diligence is performed by properly maintaining NFCC technology assets across the enterprise. </w:t>
      </w:r>
    </w:p>
    <w:p>
      <w:pPr>
        <w:pStyle w:val="Normal"/>
        <w:rPr/>
      </w:pPr>
      <w:r>
        <w:rPr/>
      </w:r>
    </w:p>
    <w:p>
      <w:pPr>
        <w:pStyle w:val="Normal"/>
        <w:shd w:val="clear" w:color="auto" w:fill="DDD9C3" w:themeFill="background2" w:themeFillShade="e6"/>
        <w:rPr/>
      </w:pPr>
      <w:r>
        <w:rPr>
          <w:u w:val="single"/>
        </w:rPr>
        <w:t>Policy</w:t>
      </w:r>
      <w:r>
        <w:rPr/>
        <w:t>: In order to minimize risk from evolving threats, the periodic and ongoing maintenance and upgrades of NFCC assets shall be performed and governed accordingly, including technology assets owned or maintained by trusted third-parties.</w:t>
      </w:r>
    </w:p>
    <w:p>
      <w:pPr>
        <w:pStyle w:val="Normal"/>
        <w:rPr/>
      </w:pPr>
      <w:r>
        <w:rPr/>
      </w:r>
    </w:p>
    <w:p>
      <w:pPr>
        <w:pStyle w:val="Normal"/>
        <w:rPr/>
      </w:pPr>
      <w:r>
        <w:rPr>
          <w:u w:val="single"/>
        </w:rPr>
        <w:t>Supporting Documentation</w:t>
      </w:r>
      <w:r>
        <w:rPr/>
        <w:t xml:space="preserve">: This policy is supported by the following control objectives, standards and guidelines. </w:t>
      </w:r>
    </w:p>
    <w:p>
      <w:pPr>
        <w:pStyle w:val="Normal"/>
        <w:rPr/>
      </w:pPr>
      <w:r>
        <w:rPr/>
      </w:r>
    </w:p>
    <w:p>
      <w:pPr>
        <w:pStyle w:val="Normal"/>
        <w:rPr/>
      </w:pPr>
      <w:r>
        <w:rPr/>
      </w:r>
    </w:p>
    <w:p>
      <w:pPr>
        <w:pStyle w:val="Heading2"/>
        <w:rPr/>
      </w:pPr>
      <w:bookmarkStart w:id="1281" w:name="_Toc474075109"/>
      <w:bookmarkStart w:id="1282" w:name="_Toc474075688"/>
      <w:bookmarkStart w:id="1283" w:name="_Toc34921021"/>
      <w:r>
        <w:rPr/>
        <w:t>MNT-01: Maintenance Operations</w:t>
      </w:r>
      <w:bookmarkEnd w:id="1281"/>
      <w:bookmarkEnd w:id="1282"/>
      <w:bookmarkEnd w:id="1283"/>
      <w:r>
        <w:rPr/>
        <w:t xml:space="preserve"> </w:t>
      </w:r>
    </w:p>
    <w:p>
      <w:pPr>
        <w:pStyle w:val="Normal"/>
        <w:rPr/>
      </w:pPr>
      <w:r>
        <w:rPr>
          <w:rFonts w:cs="Calibri"/>
          <w:u w:val="single"/>
        </w:rPr>
        <w:t>Control Objective</w:t>
      </w:r>
      <w:r>
        <w:rPr>
          <w:rFonts w:cs="Calibri"/>
        </w:rPr>
        <w:t xml:space="preserve">: </w:t>
      </w:r>
      <w:r>
        <w:rPr/>
        <w:t>The organization develops, implements and governs processes and documentation to facilitate the implementation of an enterprise-wide maintenance policy, as well as associated standards, controls and procedures.</w:t>
      </w:r>
      <w:r>
        <w:rPr>
          <w:rStyle w:val="FootnoteAnchor"/>
          <w:rStyle w:val="FootnoteAnchor"/>
        </w:rPr>
        <w:footnoteReference w:id="406"/>
      </w:r>
      <w:r>
        <w:rPr/>
        <w:t xml:space="preserve"> </w:t>
      </w:r>
    </w:p>
    <w:p>
      <w:pPr>
        <w:pStyle w:val="Normal"/>
        <w:rPr/>
      </w:pPr>
      <w:r>
        <w:rPr/>
      </w:r>
    </w:p>
    <w:p>
      <w:pPr>
        <w:pStyle w:val="Normal"/>
        <w:rPr/>
      </w:pPr>
      <w:r>
        <w:rPr>
          <w:u w:val="single"/>
        </w:rPr>
        <w:t>Standard</w:t>
      </w:r>
      <w:r>
        <w:rPr/>
        <w:t xml:space="preserve">: NFCC requires asset custodians, in conjunction with data / process owners, to create, document and implement maintenance procedures to conduct maintenance operations for its technology assets. </w:t>
      </w:r>
    </w:p>
    <w:p>
      <w:pPr>
        <w:pStyle w:val="Normal"/>
        <w:rPr/>
      </w:pPr>
      <w:r>
        <w:rPr/>
        <w:t xml:space="preserve"> </w:t>
      </w:r>
    </w:p>
    <w:p>
      <w:pPr>
        <w:pStyle w:val="Normal"/>
        <w:rPr/>
      </w:pPr>
      <w:r>
        <w:rPr>
          <w:u w:val="single"/>
        </w:rPr>
        <w:t>Guidelines</w:t>
      </w:r>
      <w:r>
        <w:rPr/>
        <w:t>: Equipment should be correctly maintained to ensure its continued availability and integrity.</w:t>
      </w:r>
    </w:p>
    <w:p>
      <w:pPr>
        <w:pStyle w:val="Normal"/>
        <w:rPr/>
      </w:pPr>
      <w:r>
        <w:rPr/>
      </w:r>
    </w:p>
    <w:p>
      <w:pPr>
        <w:pStyle w:val="Normal"/>
        <w:rPr/>
      </w:pPr>
      <w:r>
        <w:rPr/>
      </w:r>
    </w:p>
    <w:p>
      <w:pPr>
        <w:pStyle w:val="Heading2"/>
        <w:rPr/>
      </w:pPr>
      <w:bookmarkStart w:id="1284" w:name="_Toc474075110"/>
      <w:bookmarkStart w:id="1285" w:name="_Toc474075689"/>
      <w:bookmarkStart w:id="1286" w:name="_Toc34921022"/>
      <w:r>
        <w:rPr/>
        <w:t>MNT-02: Controlled Maintenance</w:t>
      </w:r>
      <w:bookmarkEnd w:id="1284"/>
      <w:bookmarkEnd w:id="1285"/>
      <w:bookmarkEnd w:id="1286"/>
      <w:r>
        <w:rPr/>
        <w:t xml:space="preserve"> </w:t>
      </w:r>
    </w:p>
    <w:p>
      <w:pPr>
        <w:pStyle w:val="Normal"/>
        <w:rPr/>
      </w:pPr>
      <w:r>
        <w:rPr>
          <w:u w:val="single"/>
        </w:rPr>
        <w:t>Control Objective</w:t>
      </w:r>
      <w:r>
        <w:rPr/>
        <w:t>: The organization:</w:t>
      </w:r>
      <w:r>
        <w:rPr>
          <w:rStyle w:val="FootnoteAnchor"/>
          <w:rStyle w:val="FootnoteAnchor"/>
          <w:rFonts w:cs="Calibri"/>
        </w:rPr>
        <w:footnoteReference w:id="407"/>
      </w:r>
    </w:p>
    <w:p>
      <w:pPr>
        <w:pStyle w:val="ListParagraph"/>
        <w:numPr>
          <w:ilvl w:val="0"/>
          <w:numId w:val="42"/>
        </w:numPr>
        <w:rPr/>
      </w:pPr>
      <w:r>
        <w:rPr/>
        <w:t>Schedules, performs, documents and reviews records of maintenance and repairs on system components in accordance with manufacturer or vendor specifications and / or organizational requirements;</w:t>
      </w:r>
    </w:p>
    <w:p>
      <w:pPr>
        <w:pStyle w:val="ListParagraph"/>
        <w:numPr>
          <w:ilvl w:val="0"/>
          <w:numId w:val="42"/>
        </w:numPr>
        <w:rPr/>
      </w:pPr>
      <w:r>
        <w:rPr/>
        <w:t>Controls all maintenance activities, whether performed on site or remotely and whether the equipment is serviced on site or removed to another location;</w:t>
      </w:r>
    </w:p>
    <w:p>
      <w:pPr>
        <w:pStyle w:val="ListParagraph"/>
        <w:numPr>
          <w:ilvl w:val="0"/>
          <w:numId w:val="42"/>
        </w:numPr>
        <w:rPr/>
      </w:pPr>
      <w:r>
        <w:rPr/>
        <w:t>Requires explicit management approval for the removal of the system or system components from organizational facilities for off-site maintenance or repairs;</w:t>
      </w:r>
    </w:p>
    <w:p>
      <w:pPr>
        <w:pStyle w:val="ListParagraph"/>
        <w:numPr>
          <w:ilvl w:val="0"/>
          <w:numId w:val="42"/>
        </w:numPr>
        <w:rPr/>
      </w:pPr>
      <w:r>
        <w:rPr/>
        <w:t>Sanitizes equipment to remove all information from associated media prior to removal from organizational facilities for off-site maintenance or repairs; and</w:t>
      </w:r>
    </w:p>
    <w:p>
      <w:pPr>
        <w:pStyle w:val="ListParagraph"/>
        <w:numPr>
          <w:ilvl w:val="0"/>
          <w:numId w:val="42"/>
        </w:numPr>
        <w:rPr/>
      </w:pPr>
      <w:r>
        <w:rPr/>
        <w:t>Checks all potentially impacted security controls to verify that the controls are still functioning properly following maintenance or repair actions.</w:t>
      </w:r>
    </w:p>
    <w:p>
      <w:pPr>
        <w:pStyle w:val="Normal"/>
        <w:rPr/>
      </w:pPr>
      <w:r>
        <w:rPr/>
      </w:r>
    </w:p>
    <w:p>
      <w:pPr>
        <w:pStyle w:val="Normal"/>
        <w:rPr/>
      </w:pPr>
      <w:r>
        <w:rPr>
          <w:u w:val="single"/>
        </w:rPr>
        <w:t>Standard</w:t>
      </w:r>
      <w:r>
        <w:rPr/>
        <w:t>: Asset custodians are required to:</w:t>
      </w:r>
    </w:p>
    <w:p>
      <w:pPr>
        <w:pStyle w:val="ListParagraph"/>
        <w:numPr>
          <w:ilvl w:val="0"/>
          <w:numId w:val="392"/>
        </w:numPr>
        <w:rPr/>
      </w:pPr>
      <w:r>
        <w:rPr/>
        <w:t>Schedule, perform, document and review records of maintenance and repairs on systems in accordance with manufacturer or vendor specifications and company requirements;</w:t>
      </w:r>
    </w:p>
    <w:p>
      <w:pPr>
        <w:pStyle w:val="ListParagraph"/>
        <w:numPr>
          <w:ilvl w:val="0"/>
          <w:numId w:val="392"/>
        </w:numPr>
        <w:rPr/>
      </w:pPr>
      <w:r>
        <w:rPr/>
        <w:t>Control all maintenance activities, whether performed on site or remotely and whether the equipment is serviced on site or removed to another location;</w:t>
      </w:r>
    </w:p>
    <w:p>
      <w:pPr>
        <w:pStyle w:val="ListParagraph"/>
        <w:numPr>
          <w:ilvl w:val="0"/>
          <w:numId w:val="392"/>
        </w:numPr>
        <w:rPr/>
      </w:pPr>
      <w:r>
        <w:rPr/>
        <w:t>Keep maintenance records for systems that include:</w:t>
      </w:r>
    </w:p>
    <w:p>
      <w:pPr>
        <w:pStyle w:val="ListParagraph"/>
        <w:numPr>
          <w:ilvl w:val="1"/>
          <w:numId w:val="392"/>
        </w:numPr>
        <w:rPr/>
      </w:pPr>
      <w:r>
        <w:rPr/>
        <w:t>Date and time of maintenance;</w:t>
      </w:r>
    </w:p>
    <w:p>
      <w:pPr>
        <w:pStyle w:val="ListParagraph"/>
        <w:numPr>
          <w:ilvl w:val="1"/>
          <w:numId w:val="392"/>
        </w:numPr>
        <w:rPr/>
      </w:pPr>
      <w:r>
        <w:rPr/>
        <w:t>Name of the individual performing the maintenance;</w:t>
      </w:r>
    </w:p>
    <w:p>
      <w:pPr>
        <w:pStyle w:val="ListParagraph"/>
        <w:numPr>
          <w:ilvl w:val="1"/>
          <w:numId w:val="392"/>
        </w:numPr>
        <w:rPr/>
      </w:pPr>
      <w:r>
        <w:rPr/>
        <w:t>Name of escort, if necessary;</w:t>
      </w:r>
    </w:p>
    <w:p>
      <w:pPr>
        <w:pStyle w:val="ListParagraph"/>
        <w:numPr>
          <w:ilvl w:val="1"/>
          <w:numId w:val="392"/>
        </w:numPr>
        <w:rPr/>
      </w:pPr>
      <w:r>
        <w:rPr/>
        <w:t>A description of the maintenance performed; and</w:t>
      </w:r>
    </w:p>
    <w:p>
      <w:pPr>
        <w:pStyle w:val="ListParagraph"/>
        <w:numPr>
          <w:ilvl w:val="1"/>
          <w:numId w:val="392"/>
        </w:numPr>
        <w:rPr/>
      </w:pPr>
      <w:r>
        <w:rPr/>
        <w:t>A list of equipment removed or replaced (including identification numbers, if applicable);</w:t>
      </w:r>
    </w:p>
    <w:p>
      <w:pPr>
        <w:pStyle w:val="ListParagraph"/>
        <w:numPr>
          <w:ilvl w:val="0"/>
          <w:numId w:val="392"/>
        </w:numPr>
        <w:rPr/>
      </w:pPr>
      <w:r>
        <w:rPr/>
        <w:t>Require explicit management approval for the removal of the systems or system components from company facilities for off-site maintenance or repairs;</w:t>
      </w:r>
    </w:p>
    <w:p>
      <w:pPr>
        <w:pStyle w:val="ListParagraph"/>
        <w:numPr>
          <w:ilvl w:val="0"/>
          <w:numId w:val="392"/>
        </w:numPr>
        <w:rPr/>
      </w:pPr>
      <w:r>
        <w:rPr/>
        <w:t>Sanitize equipment to remove all information from associated media prior to removal from company facilities for off-site maintenance or repairs; and</w:t>
      </w:r>
    </w:p>
    <w:p>
      <w:pPr>
        <w:pStyle w:val="ListParagraph"/>
        <w:numPr>
          <w:ilvl w:val="0"/>
          <w:numId w:val="392"/>
        </w:numPr>
        <w:rPr/>
      </w:pPr>
      <w:r>
        <w:rPr/>
        <w:t>Check all potentially impacted security controls to verify that the controls are still functioning properly following maintenance or repair actions.</w:t>
      </w:r>
    </w:p>
    <w:p>
      <w:pPr>
        <w:pStyle w:val="Normal"/>
        <w:rPr/>
      </w:pPr>
      <w:r>
        <w:rPr/>
      </w:r>
    </w:p>
    <w:p>
      <w:pPr>
        <w:pStyle w:val="Normal"/>
        <w:rPr/>
      </w:pPr>
      <w:r>
        <w:rPr>
          <w:u w:val="single"/>
        </w:rPr>
        <w:t>Guidelines</w:t>
      </w:r>
      <w:r>
        <w:rPr/>
        <w:t xml:space="preserve">: This standard addresses the cybersecurity aspects of the system maintenance program and applies to all types of maintenance to any system component (including applications) conducted by any local or non-local entity (e.g., in contract, warranty, in-house, software maintenance agreement). System maintenance also includes those components not directly associated with information processing and / or data / information retention such as scanners, copiers and printers. </w:t>
      </w:r>
    </w:p>
    <w:p>
      <w:pPr>
        <w:pStyle w:val="Normal"/>
        <w:rPr/>
      </w:pPr>
      <w:r>
        <w:rPr/>
      </w:r>
    </w:p>
    <w:p>
      <w:pPr>
        <w:pStyle w:val="Heading3"/>
        <w:rPr/>
      </w:pPr>
      <w:bookmarkStart w:id="1287" w:name="_Toc34921023"/>
      <w:r>
        <w:rPr/>
        <w:t>MNT-02(a): Controlled Maintenance | Automated Maintenance Activities</w:t>
      </w:r>
      <w:bookmarkEnd w:id="1287"/>
      <w:r>
        <w:rPr/>
        <w:t xml:space="preserve"> </w:t>
      </w:r>
    </w:p>
    <w:p>
      <w:pPr>
        <w:pStyle w:val="Normal"/>
        <w:rPr/>
      </w:pPr>
      <w:r>
        <w:rPr>
          <w:rFonts w:cs="Calibri"/>
          <w:u w:val="single"/>
        </w:rPr>
        <w:t>Control Objective</w:t>
      </w:r>
      <w:r>
        <w:rPr>
          <w:rFonts w:cs="Calibri"/>
        </w:rPr>
        <w:t xml:space="preserve">: </w:t>
      </w:r>
      <w:r>
        <w:rPr/>
        <w:t>The organization:</w:t>
      </w:r>
      <w:r>
        <w:rPr>
          <w:rStyle w:val="FootnoteCharacters"/>
        </w:rPr>
        <w:t xml:space="preserve"> </w:t>
      </w:r>
      <w:r>
        <w:rPr>
          <w:rStyle w:val="FootnoteAnchor"/>
          <w:rStyle w:val="FootnoteAnchor"/>
        </w:rPr>
        <w:footnoteReference w:id="408"/>
      </w:r>
      <w:r>
        <w:rPr/>
        <w:t xml:space="preserve"> </w:t>
      </w:r>
    </w:p>
    <w:p>
      <w:pPr>
        <w:pStyle w:val="ListParagraph"/>
        <w:numPr>
          <w:ilvl w:val="0"/>
          <w:numId w:val="635"/>
        </w:numPr>
        <w:rPr/>
      </w:pPr>
      <w:r>
        <w:rPr/>
        <w:t xml:space="preserve">Employs automated mechanisms to schedule, conduct and document maintenance and repairs; and </w:t>
      </w:r>
    </w:p>
    <w:p>
      <w:pPr>
        <w:pStyle w:val="ListParagraph"/>
        <w:numPr>
          <w:ilvl w:val="0"/>
          <w:numId w:val="635"/>
        </w:numPr>
        <w:rPr/>
      </w:pPr>
      <w:r>
        <w:rPr/>
        <w:t xml:space="preserve">Produces up-to date, accurate and complete records of all maintenance and repair actions requested, scheduled, in process and completed. </w:t>
      </w:r>
    </w:p>
    <w:p>
      <w:pPr>
        <w:pStyle w:val="Normal"/>
        <w:rPr>
          <w:rFonts w:cs="Calibri"/>
        </w:rPr>
      </w:pPr>
      <w:r>
        <w:rPr>
          <w:rFonts w:cs="Calibri"/>
        </w:rPr>
      </w:r>
    </w:p>
    <w:p>
      <w:pPr>
        <w:pStyle w:val="Normal"/>
        <w:rPr>
          <w:rFonts w:cs="Calibri"/>
          <w:bCs w:val="false"/>
        </w:rPr>
      </w:pPr>
      <w:r>
        <w:rPr>
          <w:rFonts w:cs="Calibri"/>
          <w:u w:val="single"/>
        </w:rPr>
        <w:t>Standard</w:t>
      </w:r>
      <w:r>
        <w:rPr>
          <w:rFonts w:cs="Calibri"/>
        </w:rPr>
        <w:t>: Where technically feasible, data/process owners and asset custodians are required to ensure assets are configured to utilize automated mechanisms to perform both preventative and reactive maintenance.</w:t>
      </w:r>
    </w:p>
    <w:p>
      <w:pPr>
        <w:pStyle w:val="Normal"/>
        <w:rPr>
          <w:rFonts w:cs="Calibri"/>
        </w:rPr>
      </w:pPr>
      <w:r>
        <w:rPr>
          <w:rFonts w:cs="Calibri"/>
        </w:rPr>
      </w:r>
    </w:p>
    <w:p>
      <w:pPr>
        <w:pStyle w:val="Normal"/>
        <w:rPr>
          <w:rFonts w:cs="Calibri"/>
          <w:bCs w:val="false"/>
        </w:rPr>
      </w:pPr>
      <w:r>
        <w:rPr>
          <w:rFonts w:cs="Calibri"/>
          <w:bCs w:val="false"/>
          <w:u w:val="single"/>
        </w:rPr>
        <w:t>Guidelines</w:t>
      </w:r>
      <w:r>
        <w:rPr>
          <w:rFonts w:cs="Calibri"/>
          <w:bCs w:val="false"/>
        </w:rPr>
        <w:t>: None</w:t>
      </w:r>
      <w:bookmarkStart w:id="1288" w:name="_Hlk27579883"/>
      <w:bookmarkEnd w:id="1288"/>
    </w:p>
    <w:p>
      <w:pPr>
        <w:pStyle w:val="Normal"/>
        <w:rPr/>
      </w:pPr>
      <w:r>
        <w:rPr/>
      </w:r>
    </w:p>
    <w:p>
      <w:pPr>
        <w:pStyle w:val="Normal"/>
        <w:rPr/>
      </w:pPr>
      <w:r>
        <w:rPr/>
      </w:r>
    </w:p>
    <w:p>
      <w:pPr>
        <w:pStyle w:val="Heading2"/>
        <w:rPr/>
      </w:pPr>
      <w:bookmarkStart w:id="1289" w:name="_Toc398527196"/>
      <w:bookmarkStart w:id="1290" w:name="_Toc474075111"/>
      <w:bookmarkStart w:id="1291" w:name="_Toc474075690"/>
      <w:bookmarkStart w:id="1292" w:name="_Toc34921024"/>
      <w:r>
        <w:rPr/>
        <w:t>MNT-03: Timely Maintenance</w:t>
      </w:r>
      <w:bookmarkEnd w:id="1289"/>
      <w:bookmarkEnd w:id="1290"/>
      <w:bookmarkEnd w:id="1291"/>
      <w:bookmarkEnd w:id="1292"/>
    </w:p>
    <w:p>
      <w:pPr>
        <w:pStyle w:val="Normal"/>
        <w:rPr/>
      </w:pPr>
      <w:r>
        <w:rPr>
          <w:u w:val="single"/>
        </w:rPr>
        <w:t>Control Objective</w:t>
      </w:r>
      <w:r>
        <w:rPr/>
        <w:t>: The organization obtains maintenance support and / or spare parts for systems and / or key information technology components within an organization-defined time period.</w:t>
      </w:r>
      <w:r>
        <w:rPr>
          <w:rStyle w:val="FootnoteAnchor"/>
          <w:rStyle w:val="FootnoteAnchor"/>
        </w:rPr>
        <w:footnoteReference w:id="409"/>
      </w:r>
    </w:p>
    <w:p>
      <w:pPr>
        <w:pStyle w:val="Normal"/>
        <w:rPr/>
      </w:pPr>
      <w:r>
        <w:rPr/>
      </w:r>
    </w:p>
    <w:p>
      <w:pPr>
        <w:pStyle w:val="Normal"/>
        <w:rPr/>
      </w:pPr>
      <w:r>
        <w:rPr>
          <w:u w:val="single"/>
        </w:rPr>
        <w:t>Standard</w:t>
      </w:r>
      <w:r>
        <w:rPr/>
        <w:t>: Data/process owners and asset custodians are required to:</w:t>
      </w:r>
    </w:p>
    <w:p>
      <w:pPr>
        <w:pStyle w:val="ListParagraph"/>
        <w:numPr>
          <w:ilvl w:val="0"/>
          <w:numId w:val="393"/>
        </w:numPr>
        <w:rPr/>
      </w:pPr>
      <w:r>
        <w:rPr/>
        <w:t xml:space="preserve">Obtain maintenance support and spare parts for critical </w:t>
      </w:r>
      <w:r>
        <w:rPr>
          <w:iCs/>
        </w:rPr>
        <w:t>systems and key information technology components</w:t>
      </w:r>
      <w:r>
        <w:rPr/>
        <w:t xml:space="preserve"> within </w:t>
      </w:r>
      <w:r>
        <w:rPr>
          <w:iCs/>
        </w:rPr>
        <w:t>defined Service Level Agreements (SLAs); and</w:t>
      </w:r>
    </w:p>
    <w:p>
      <w:pPr>
        <w:pStyle w:val="ListParagraph"/>
        <w:numPr>
          <w:ilvl w:val="0"/>
          <w:numId w:val="393"/>
        </w:numPr>
        <w:rPr/>
      </w:pPr>
      <w:r>
        <w:rPr>
          <w:iCs/>
        </w:rPr>
        <w:t>Conduct maintenance in a timely manner to minimize downtime and business disruption.</w:t>
      </w:r>
    </w:p>
    <w:p>
      <w:pPr>
        <w:pStyle w:val="Normal"/>
        <w:rPr/>
      </w:pPr>
      <w:r>
        <w:rPr/>
      </w:r>
    </w:p>
    <w:p>
      <w:pPr>
        <w:pStyle w:val="Normal"/>
        <w:rPr/>
      </w:pPr>
      <w:r>
        <w:rPr>
          <w:u w:val="single"/>
        </w:rPr>
        <w:t>Guidelines</w:t>
      </w:r>
      <w:r>
        <w:rPr/>
        <w:t>: Organizations specify the system components that result in increased risk to organizational operations and assets, individuals or other organizations when the security functionality provided by those components is not operational. Security-critical components include, for example, firewalls, guards, gateways, routers, intrusion detection and prevention systems, audit repositories, authentication servers and intrusion prevention systems.</w:t>
      </w:r>
    </w:p>
    <w:p>
      <w:pPr>
        <w:pStyle w:val="Normal"/>
        <w:tabs>
          <w:tab w:val="left" w:pos="360" w:leader="none"/>
          <w:tab w:val="left" w:pos="720" w:leader="none"/>
          <w:tab w:val="left" w:pos="1080" w:leader="none"/>
          <w:tab w:val="left" w:pos="2040" w:leader="none"/>
        </w:tabs>
        <w:rPr/>
      </w:pPr>
      <w:r>
        <w:rPr/>
      </w:r>
    </w:p>
    <w:p>
      <w:pPr>
        <w:pStyle w:val="Heading3"/>
        <w:rPr/>
      </w:pPr>
      <w:bookmarkStart w:id="1293" w:name="_Toc23242122"/>
      <w:bookmarkStart w:id="1294" w:name="_Toc34921025"/>
      <w:r>
        <w:rPr/>
        <w:t>MNT-03(a): Timely Maintenance | Preventative Maintenance</w:t>
      </w:r>
      <w:bookmarkEnd w:id="1293"/>
      <w:bookmarkEnd w:id="1294"/>
      <w:r>
        <w:rPr/>
        <w:t xml:space="preserve">  </w:t>
      </w:r>
    </w:p>
    <w:p>
      <w:pPr>
        <w:pStyle w:val="Normal"/>
        <w:rPr>
          <w:rFonts w:cs="Calibri"/>
        </w:rPr>
      </w:pPr>
      <w:r>
        <w:rPr>
          <w:rFonts w:cs="Calibri"/>
          <w:u w:val="single"/>
        </w:rPr>
        <w:t>Control Objective</w:t>
      </w:r>
      <w:r>
        <w:rPr>
          <w:rFonts w:cs="Calibri"/>
        </w:rPr>
        <w:t>:</w:t>
      </w:r>
      <w:r>
        <w:rPr>
          <w:rFonts w:cs="Calibri"/>
          <w:bCs w:val="false"/>
        </w:rPr>
        <w:t xml:space="preserve"> </w:t>
      </w:r>
      <w:r>
        <w:rPr>
          <w:rFonts w:cs="Calibri"/>
        </w:rPr>
        <w:t>The organization performs preventive maintenance on organization-defined information system components at organization-defined time intervals.</w:t>
      </w:r>
      <w:r>
        <w:rPr>
          <w:rStyle w:val="FootnoteCharacters"/>
        </w:rPr>
        <w:t xml:space="preserve"> </w:t>
      </w:r>
      <w:r>
        <w:rPr>
          <w:rStyle w:val="FootnoteAnchor"/>
          <w:rStyle w:val="FootnoteAnchor"/>
        </w:rPr>
        <w:footnoteReference w:id="410"/>
      </w:r>
    </w:p>
    <w:p>
      <w:pPr>
        <w:pStyle w:val="Normal"/>
        <w:rPr>
          <w:rFonts w:cs="Calibri"/>
        </w:rPr>
      </w:pPr>
      <w:r>
        <w:rPr>
          <w:rFonts w:cs="Calibri"/>
        </w:rPr>
      </w:r>
    </w:p>
    <w:p>
      <w:pPr>
        <w:pStyle w:val="Normal"/>
        <w:rPr>
          <w:rFonts w:cs="Calibri"/>
        </w:rPr>
      </w:pPr>
      <w:r>
        <w:rPr>
          <w:rFonts w:cs="Calibri"/>
          <w:u w:val="single"/>
        </w:rPr>
        <w:t>Standard</w:t>
      </w:r>
      <w:r>
        <w:rPr>
          <w:rFonts w:cs="Calibri"/>
        </w:rPr>
        <w:t>: NFCC requires data/process owners and asset custodians to:</w:t>
      </w:r>
    </w:p>
    <w:p>
      <w:pPr>
        <w:pStyle w:val="ListParagraph"/>
        <w:numPr>
          <w:ilvl w:val="0"/>
          <w:numId w:val="638"/>
        </w:numPr>
        <w:rPr>
          <w:rFonts w:cs="Calibri"/>
        </w:rPr>
      </w:pPr>
      <w:r>
        <w:rPr>
          <w:rFonts w:cs="Calibri"/>
        </w:rPr>
        <w:t>Develop a maintenance plan that identifies necessary preventative maintenance actions; and</w:t>
      </w:r>
    </w:p>
    <w:p>
      <w:pPr>
        <w:pStyle w:val="ListParagraph"/>
        <w:numPr>
          <w:ilvl w:val="0"/>
          <w:numId w:val="638"/>
        </w:numPr>
        <w:rPr>
          <w:rFonts w:cs="Calibri"/>
        </w:rPr>
      </w:pPr>
      <w:r>
        <w:rPr>
          <w:rFonts w:cs="Calibri"/>
        </w:rPr>
        <w:t>Define the appropriate intervals to conduct preventative maintenance actions.</w:t>
      </w:r>
    </w:p>
    <w:p>
      <w:pPr>
        <w:pStyle w:val="Normal"/>
        <w:rPr>
          <w:rFonts w:cs="Calibri"/>
        </w:rPr>
      </w:pPr>
      <w:r>
        <w:rPr>
          <w:rFonts w:cs="Calibri"/>
        </w:rPr>
      </w:r>
    </w:p>
    <w:p>
      <w:pPr>
        <w:pStyle w:val="Normal"/>
        <w:rPr>
          <w:rFonts w:cs="Calibri"/>
        </w:rPr>
      </w:pPr>
      <w:r>
        <w:rPr>
          <w:rFonts w:cs="Calibri"/>
          <w:u w:val="single"/>
        </w:rPr>
        <w:t>Guidelines</w:t>
      </w:r>
      <w:r>
        <w:rPr>
          <w:rFonts w:cs="Calibri"/>
        </w:rPr>
        <w:t>: Preventive maintenance includes proactive care and servicing of organizational information systems components for the purpose of maintaining equipment and facilities in satisfactory operating condition. Such maintenance provides for the systematic inspection, tests, measurements, adjustments, parts replacement, detection and correction of incipient failures either before they occur or before they develop into major defects. The primary goal of preventive maintenance is to avoid/mitigate the consequences of equipment failures. Preventive maintenance is designed to preserve and restore equipment reliability by replacing worn components before they actually fail. Methods of determining what preventive (or other) failure management policies to apply include, for example, original equipment manufacturer (OEM) recommendations, statistical failure records, requirements of codes, legislation or regulations within a jurisdiction, expert opinion, maintenance that has already been conducted on similar equipment or measured values and performance indications.</w:t>
      </w:r>
    </w:p>
    <w:p>
      <w:pPr>
        <w:pStyle w:val="Normal"/>
        <w:rPr>
          <w:rFonts w:cs="Calibri"/>
        </w:rPr>
      </w:pPr>
      <w:r>
        <w:rPr>
          <w:rFonts w:cs="Calibri"/>
        </w:rPr>
      </w:r>
    </w:p>
    <w:p>
      <w:pPr>
        <w:pStyle w:val="Heading3"/>
        <w:rPr/>
      </w:pPr>
      <w:bookmarkStart w:id="1295" w:name="_Toc23242123"/>
      <w:bookmarkStart w:id="1296" w:name="_Toc34921026"/>
      <w:r>
        <w:rPr/>
        <w:t>MNT-03(b): Timely Maintenance | Predictive Maintenance</w:t>
      </w:r>
      <w:bookmarkEnd w:id="1295"/>
      <w:bookmarkEnd w:id="1296"/>
      <w:r>
        <w:rPr/>
        <w:t xml:space="preserve"> </w:t>
      </w:r>
    </w:p>
    <w:p>
      <w:pPr>
        <w:pStyle w:val="Normal"/>
        <w:rPr>
          <w:rFonts w:cs="Calibri"/>
        </w:rPr>
      </w:pPr>
      <w:r>
        <w:rPr>
          <w:rFonts w:cs="Calibri"/>
          <w:u w:val="single"/>
        </w:rPr>
        <w:t>Control Objective</w:t>
      </w:r>
      <w:r>
        <w:rPr>
          <w:rFonts w:cs="Calibri"/>
        </w:rPr>
        <w:t>:</w:t>
      </w:r>
      <w:r>
        <w:rPr>
          <w:rFonts w:cs="Calibri"/>
          <w:bCs w:val="false"/>
        </w:rPr>
        <w:t xml:space="preserve"> </w:t>
      </w:r>
      <w:r>
        <w:rPr>
          <w:rFonts w:cs="Calibri"/>
        </w:rPr>
        <w:t>The organization performs predictive maintenance on organization-defined information system components at organization-defined time intervals.</w:t>
      </w:r>
      <w:r>
        <w:rPr>
          <w:rStyle w:val="FootnoteCharacters"/>
        </w:rPr>
        <w:t xml:space="preserve"> </w:t>
      </w:r>
      <w:r>
        <w:rPr>
          <w:rStyle w:val="FootnoteAnchor"/>
          <w:rStyle w:val="FootnoteAnchor"/>
        </w:rPr>
        <w:footnoteReference w:id="411"/>
      </w:r>
    </w:p>
    <w:p>
      <w:pPr>
        <w:pStyle w:val="Normal"/>
        <w:rPr>
          <w:rFonts w:cs="Calibri"/>
        </w:rPr>
      </w:pPr>
      <w:r>
        <w:rPr>
          <w:rFonts w:cs="Calibri"/>
        </w:rPr>
      </w:r>
    </w:p>
    <w:p>
      <w:pPr>
        <w:pStyle w:val="Normal"/>
        <w:rPr>
          <w:rFonts w:cs="Calibri"/>
        </w:rPr>
      </w:pPr>
      <w:r>
        <w:rPr>
          <w:rFonts w:cs="Calibri"/>
          <w:u w:val="single"/>
        </w:rPr>
        <w:t>Standard</w:t>
      </w:r>
      <w:r>
        <w:rPr>
          <w:rFonts w:cs="Calibri"/>
        </w:rPr>
        <w:t>: NFCC requires data/process owners and asset custodians to:</w:t>
      </w:r>
    </w:p>
    <w:p>
      <w:pPr>
        <w:pStyle w:val="ListParagraph"/>
        <w:numPr>
          <w:ilvl w:val="0"/>
          <w:numId w:val="639"/>
        </w:numPr>
        <w:rPr>
          <w:rFonts w:cs="Calibri"/>
        </w:rPr>
      </w:pPr>
      <w:r>
        <w:rPr>
          <w:rFonts w:cs="Calibri"/>
        </w:rPr>
        <w:t>Develop a maintenance plan that identifies predictive preventative maintenance indicators; and</w:t>
      </w:r>
    </w:p>
    <w:p>
      <w:pPr>
        <w:pStyle w:val="ListParagraph"/>
        <w:numPr>
          <w:ilvl w:val="0"/>
          <w:numId w:val="639"/>
        </w:numPr>
        <w:rPr>
          <w:rFonts w:cs="Calibri"/>
        </w:rPr>
      </w:pPr>
      <w:r>
        <w:rPr>
          <w:rFonts w:cs="Calibri"/>
        </w:rPr>
        <w:t>Define the appropriate indicators to conduct predictive maintenance actions.</w:t>
      </w:r>
    </w:p>
    <w:p>
      <w:pPr>
        <w:pStyle w:val="Normal"/>
        <w:rPr>
          <w:rFonts w:cs="Calibri"/>
        </w:rPr>
      </w:pPr>
      <w:r>
        <w:rPr>
          <w:rFonts w:cs="Calibri"/>
        </w:rPr>
      </w:r>
    </w:p>
    <w:p>
      <w:pPr>
        <w:pStyle w:val="Normal"/>
        <w:rPr>
          <w:rFonts w:cs="Calibri"/>
        </w:rPr>
      </w:pPr>
      <w:r>
        <w:rPr>
          <w:rFonts w:cs="Calibri"/>
          <w:u w:val="single"/>
        </w:rPr>
        <w:t>Guidelines</w:t>
      </w:r>
      <w:r>
        <w:rPr>
          <w:rFonts w:cs="Calibri"/>
        </w:rPr>
        <w:t>: Predictive maintenance or condition-based maintenance, attempts to evaluate the condition of equipment by performing periodic or continuous (online) equipment condition monitoring. The goal of predictive maintenance is to perform maintenance at a scheduled point in time when the maintenance activity is most cost-effective and before the equipment loses performance within a threshold. The predictive component of predictive maintenance stems from the goal of predicting the future trend of the equipment's condition. This approach uses principles of statistical process control to determine at what point in the future maintenance activities will be appropriate. Most predictive maintenance inspections are performed while equipment is in service, thereby minimizing disruption of normal system operations. Predictive maintenance can result in substantial cost savings and higher system reliability. Predictive maintenance tends to include measurement of the item. To evaluate equipment condition, predictive maintenance utilizes nondestructive testing technologies such as infrared, acoustic (partial discharge and airborne ultrasonic), corona detection, vibration analysis, sound level measurements, oil analysis and other specific online tests.</w:t>
      </w:r>
    </w:p>
    <w:p>
      <w:pPr>
        <w:pStyle w:val="Normal"/>
        <w:rPr>
          <w:rFonts w:cs="Calibri"/>
        </w:rPr>
      </w:pPr>
      <w:r>
        <w:rPr>
          <w:rFonts w:cs="Calibri"/>
        </w:rPr>
      </w:r>
    </w:p>
    <w:p>
      <w:pPr>
        <w:pStyle w:val="Normal"/>
        <w:rPr>
          <w:rFonts w:cs="Calibri"/>
        </w:rPr>
      </w:pPr>
      <w:r>
        <w:rPr>
          <w:rFonts w:cs="Calibri"/>
        </w:rPr>
      </w:r>
    </w:p>
    <w:p>
      <w:pPr>
        <w:pStyle w:val="Heading3"/>
        <w:rPr/>
      </w:pPr>
      <w:bookmarkStart w:id="1297" w:name="_Toc23242124"/>
      <w:bookmarkStart w:id="1298" w:name="_Toc34921027"/>
      <w:r>
        <w:rPr/>
        <w:t>MNT-03(c): Timely Maintenance | Automated Support for Predictive Maintenance</w:t>
      </w:r>
      <w:bookmarkEnd w:id="1297"/>
      <w:bookmarkEnd w:id="1298"/>
      <w:r>
        <w:rPr/>
        <w:t xml:space="preserve">  </w:t>
      </w:r>
    </w:p>
    <w:p>
      <w:pPr>
        <w:pStyle w:val="Normal"/>
        <w:rPr>
          <w:rFonts w:cs="Calibri"/>
        </w:rPr>
      </w:pPr>
      <w:r>
        <w:rPr>
          <w:rFonts w:cs="Calibri"/>
          <w:u w:val="single"/>
        </w:rPr>
        <w:t>Control Objective</w:t>
      </w:r>
      <w:r>
        <w:rPr>
          <w:rFonts w:cs="Calibri"/>
        </w:rPr>
        <w:t>:</w:t>
      </w:r>
      <w:r>
        <w:rPr>
          <w:rFonts w:cs="Calibri"/>
          <w:bCs w:val="false"/>
        </w:rPr>
        <w:t xml:space="preserve"> </w:t>
      </w:r>
      <w:r>
        <w:rPr>
          <w:rFonts w:cs="Calibri"/>
        </w:rPr>
        <w:t>The organization employs automated mechanisms to transfer predictive maintenance data to a computerized maintenance management system.</w:t>
      </w:r>
      <w:r>
        <w:rPr>
          <w:rStyle w:val="FootnoteCharacters"/>
        </w:rPr>
        <w:t xml:space="preserve"> </w:t>
      </w:r>
      <w:r>
        <w:rPr>
          <w:rStyle w:val="FootnoteAnchor"/>
          <w:rStyle w:val="FootnoteAnchor"/>
        </w:rPr>
        <w:footnoteReference w:id="412"/>
      </w:r>
    </w:p>
    <w:p>
      <w:pPr>
        <w:pStyle w:val="Normal"/>
        <w:rPr>
          <w:rFonts w:cs="Calibri"/>
        </w:rPr>
      </w:pPr>
      <w:r>
        <w:rPr>
          <w:rFonts w:cs="Calibri"/>
        </w:rPr>
      </w:r>
    </w:p>
    <w:p>
      <w:pPr>
        <w:pStyle w:val="Normal"/>
        <w:rPr>
          <w:rFonts w:cs="Calibri"/>
        </w:rPr>
      </w:pPr>
      <w:r>
        <w:rPr>
          <w:rFonts w:cs="Calibri"/>
          <w:u w:val="single"/>
        </w:rPr>
        <w:t>Standard</w:t>
      </w:r>
      <w:r>
        <w:rPr>
          <w:rFonts w:cs="Calibri"/>
        </w:rPr>
        <w:t>: Where technically feasible, NFCC employs automated mechanisms to transfer predictive maintenance data to a computerized maintenance management system.</w:t>
      </w:r>
    </w:p>
    <w:p>
      <w:pPr>
        <w:pStyle w:val="Normal"/>
        <w:rPr>
          <w:rFonts w:cs="Calibri"/>
        </w:rPr>
      </w:pPr>
      <w:r>
        <w:rPr>
          <w:rFonts w:cs="Calibri"/>
        </w:rPr>
      </w:r>
    </w:p>
    <w:p>
      <w:pPr>
        <w:pStyle w:val="Normal"/>
        <w:rPr>
          <w:rFonts w:cs="Calibri"/>
        </w:rPr>
      </w:pPr>
      <w:r>
        <w:rPr>
          <w:rFonts w:cs="Calibri"/>
          <w:u w:val="single"/>
        </w:rPr>
        <w:t>Guidelines</w:t>
      </w:r>
      <w:r>
        <w:rPr>
          <w:rFonts w:cs="Calibri"/>
        </w:rPr>
        <w:t>: A computerized maintenance management system maintains a computer database of information about the maintenance operations of organizations and automates processing equipment condition data in order to trigger maintenance planning, execution and reporting.</w:t>
      </w:r>
      <w:bookmarkStart w:id="1299" w:name="_Hlk27579904"/>
      <w:bookmarkEnd w:id="1299"/>
    </w:p>
    <w:p>
      <w:pPr>
        <w:pStyle w:val="Normal"/>
        <w:tabs>
          <w:tab w:val="left" w:pos="360" w:leader="none"/>
          <w:tab w:val="left" w:pos="720" w:leader="none"/>
          <w:tab w:val="left" w:pos="1080" w:leader="none"/>
          <w:tab w:val="left" w:pos="2040" w:leader="none"/>
        </w:tabs>
        <w:rPr/>
      </w:pPr>
      <w:r>
        <w:rPr/>
        <w:tab/>
      </w:r>
    </w:p>
    <w:p>
      <w:pPr>
        <w:pStyle w:val="Normal"/>
        <w:rPr/>
      </w:pPr>
      <w:r>
        <w:rPr/>
      </w:r>
    </w:p>
    <w:p>
      <w:pPr>
        <w:pStyle w:val="Heading2"/>
        <w:rPr/>
      </w:pPr>
      <w:bookmarkStart w:id="1300" w:name="_Toc474075112"/>
      <w:bookmarkStart w:id="1301" w:name="_Toc474075691"/>
      <w:bookmarkStart w:id="1302" w:name="_Toc34921028"/>
      <w:r>
        <w:rPr/>
        <w:t>MNT-04: Maintenance Tools</w:t>
      </w:r>
      <w:bookmarkEnd w:id="1300"/>
      <w:bookmarkEnd w:id="1301"/>
      <w:bookmarkEnd w:id="1302"/>
    </w:p>
    <w:p>
      <w:pPr>
        <w:pStyle w:val="Normal"/>
        <w:rPr/>
      </w:pPr>
      <w:r>
        <w:rPr>
          <w:u w:val="single"/>
        </w:rPr>
        <w:t>Control Objective</w:t>
      </w:r>
      <w:r>
        <w:rPr/>
        <w:t>: The organization controls and monitors the use of system maintenance tools.</w:t>
      </w:r>
      <w:r>
        <w:rPr>
          <w:rStyle w:val="FootnoteAnchor"/>
          <w:rStyle w:val="FootnoteAnchor"/>
          <w:rFonts w:cs="Calibri"/>
        </w:rPr>
        <w:footnoteReference w:id="413"/>
      </w:r>
    </w:p>
    <w:p>
      <w:pPr>
        <w:pStyle w:val="Normal"/>
        <w:rPr/>
      </w:pPr>
      <w:r>
        <w:rPr/>
      </w:r>
    </w:p>
    <w:p>
      <w:pPr>
        <w:pStyle w:val="Normal"/>
        <w:rPr/>
      </w:pPr>
      <w:r>
        <w:rPr>
          <w:u w:val="single"/>
        </w:rPr>
        <w:t>Standard</w:t>
      </w:r>
      <w:r>
        <w:rPr/>
        <w:t>: Asset custodians are required to inspect all maintenance tools carried into NFCC facilities by maintenance personnel for obvious improper modifications or indications that proper maintenance is not being performed.</w:t>
      </w:r>
    </w:p>
    <w:p>
      <w:pPr>
        <w:pStyle w:val="Normal"/>
        <w:rPr/>
      </w:pPr>
      <w:r>
        <w:rPr/>
      </w:r>
    </w:p>
    <w:p>
      <w:pPr>
        <w:pStyle w:val="Normal"/>
        <w:rPr/>
      </w:pPr>
      <w:r>
        <w:rPr>
          <w:u w:val="single"/>
        </w:rPr>
        <w:t>Guidelines</w:t>
      </w:r>
      <w:r>
        <w:rPr/>
        <w:t>: This standard addresses security-related issues associated with maintenance tools used specifically for diagnostic and repair actions on organizational systems. Maintenance tools can include hardware, software and firmware items. Maintenance tools can include, for example, hardware / software diagnostic test equipment and hardware / software packet sniffers.</w:t>
      </w:r>
    </w:p>
    <w:p>
      <w:pPr>
        <w:pStyle w:val="Normal"/>
        <w:rPr/>
      </w:pPr>
      <w:r>
        <w:rPr/>
      </w:r>
    </w:p>
    <w:p>
      <w:pPr>
        <w:pStyle w:val="Heading3"/>
        <w:rPr/>
      </w:pPr>
      <w:bookmarkStart w:id="1303" w:name="_Toc474075113"/>
      <w:bookmarkStart w:id="1304" w:name="_Toc34921029"/>
      <w:r>
        <w:rPr/>
        <w:t>MNT-04(a): Maintenance Tools | Inspect Tools</w:t>
      </w:r>
      <w:bookmarkEnd w:id="1303"/>
      <w:bookmarkEnd w:id="1304"/>
      <w:r>
        <w:rPr/>
        <w:t xml:space="preserve"> </w:t>
      </w:r>
    </w:p>
    <w:p>
      <w:pPr>
        <w:pStyle w:val="Normal"/>
        <w:rPr/>
      </w:pPr>
      <w:r>
        <w:rPr>
          <w:u w:val="single"/>
        </w:rPr>
        <w:t>Control Objective</w:t>
      </w:r>
      <w:r>
        <w:rPr/>
        <w:t>: The organization inspects maintenance tools carried into a facility by maintenance personnel for improper or unauthorized modifications.</w:t>
      </w:r>
      <w:r>
        <w:rPr>
          <w:rStyle w:val="FootnoteAnchor"/>
          <w:rStyle w:val="FootnoteAnchor"/>
          <w:rFonts w:cs="Calibri"/>
        </w:rPr>
        <w:footnoteReference w:id="414"/>
      </w:r>
    </w:p>
    <w:p>
      <w:pPr>
        <w:pStyle w:val="Normal"/>
        <w:rPr/>
      </w:pPr>
      <w:r>
        <w:rPr/>
      </w:r>
    </w:p>
    <w:p>
      <w:pPr>
        <w:pStyle w:val="Normal"/>
        <w:rPr/>
      </w:pPr>
      <w:r>
        <w:rPr>
          <w:u w:val="single"/>
        </w:rPr>
        <w:t>Standard</w:t>
      </w:r>
      <w:r>
        <w:rPr/>
        <w:t>: Where technically feasible, asset custodians must inspect the maintenance tools carried into a facility by maintenance personnel for improper or unauthorized modifications.</w:t>
      </w:r>
    </w:p>
    <w:p>
      <w:pPr>
        <w:pStyle w:val="Normal"/>
        <w:rPr/>
      </w:pPr>
      <w:r>
        <w:rPr/>
      </w:r>
    </w:p>
    <w:p>
      <w:pPr>
        <w:pStyle w:val="Normal"/>
        <w:rPr/>
      </w:pPr>
      <w:r>
        <w:rPr>
          <w:u w:val="single"/>
        </w:rPr>
        <w:t>Guidelines</w:t>
      </w:r>
      <w:r>
        <w:rPr/>
        <w:t>: If, upon inspection of maintenance tools, organizations determine that the tools have been modified in an improper / unauthorized manner or contain malicious code, the incident is handled consistent with organizational policies and procedures for incident handling.</w:t>
      </w:r>
    </w:p>
    <w:p>
      <w:pPr>
        <w:pStyle w:val="Normal"/>
        <w:rPr/>
      </w:pPr>
      <w:r>
        <w:rPr/>
      </w:r>
    </w:p>
    <w:p>
      <w:pPr>
        <w:pStyle w:val="Heading3"/>
        <w:rPr/>
      </w:pPr>
      <w:bookmarkStart w:id="1305" w:name="_Toc474075114"/>
      <w:bookmarkStart w:id="1306" w:name="_Toc34921030"/>
      <w:r>
        <w:rPr/>
        <w:t>MNT-04(b): Maintenance Tools | Inspect Media</w:t>
      </w:r>
      <w:bookmarkEnd w:id="1305"/>
      <w:bookmarkEnd w:id="1306"/>
      <w:r>
        <w:rPr/>
        <w:t xml:space="preserve"> </w:t>
      </w:r>
    </w:p>
    <w:p>
      <w:pPr>
        <w:pStyle w:val="Normal"/>
        <w:rPr/>
      </w:pPr>
      <w:r>
        <w:rPr>
          <w:u w:val="single"/>
        </w:rPr>
        <w:t>Control Objective</w:t>
      </w:r>
      <w:r>
        <w:rPr/>
        <w:t>: The organization checks media containing diagnostic and test programs for malicious code before the media are used.</w:t>
      </w:r>
      <w:r>
        <w:rPr>
          <w:rStyle w:val="FootnoteAnchor"/>
          <w:rStyle w:val="FootnoteAnchor"/>
          <w:rFonts w:cs="Calibri"/>
        </w:rPr>
        <w:footnoteReference w:id="415"/>
      </w:r>
    </w:p>
    <w:p>
      <w:pPr>
        <w:pStyle w:val="Normal"/>
        <w:rPr/>
      </w:pPr>
      <w:r>
        <w:rPr/>
      </w:r>
    </w:p>
    <w:p>
      <w:pPr>
        <w:pStyle w:val="Normal"/>
        <w:rPr/>
      </w:pPr>
      <w:r>
        <w:rPr>
          <w:u w:val="single"/>
        </w:rPr>
        <w:t>Standard</w:t>
      </w:r>
      <w:r>
        <w:rPr/>
        <w:t>: Where technically feasible, asset custodians must check media containing diagnostic and test programs for malicious code before the media are used in an system.</w:t>
      </w:r>
    </w:p>
    <w:p>
      <w:pPr>
        <w:pStyle w:val="Normal"/>
        <w:rPr/>
      </w:pPr>
      <w:r>
        <w:rPr/>
      </w:r>
    </w:p>
    <w:p>
      <w:pPr>
        <w:pStyle w:val="Normal"/>
        <w:rPr/>
      </w:pPr>
      <w:r>
        <w:rPr>
          <w:u w:val="single"/>
        </w:rPr>
        <w:t>Guidelines</w:t>
      </w:r>
      <w:r>
        <w:rPr/>
        <w:t>: If, upon inspection of media containing maintenance diagnostic and test programs, organizations determine that the media contain malicious code, the incident is handled consistent with organizational incident handling policies and procedures.</w:t>
      </w:r>
    </w:p>
    <w:p>
      <w:pPr>
        <w:pStyle w:val="Normal"/>
        <w:rPr/>
      </w:pPr>
      <w:r>
        <w:rPr/>
      </w:r>
    </w:p>
    <w:p>
      <w:pPr>
        <w:pStyle w:val="Heading3"/>
        <w:rPr/>
      </w:pPr>
      <w:bookmarkStart w:id="1307" w:name="_Toc474075115"/>
      <w:bookmarkStart w:id="1308" w:name="_Toc34921031"/>
      <w:r>
        <w:rPr/>
        <w:t>MNT-04(c): Maintenance Tools | Prevent Unauthorized Removal</w:t>
      </w:r>
      <w:bookmarkEnd w:id="1307"/>
      <w:bookmarkEnd w:id="1308"/>
      <w:r>
        <w:rPr/>
        <w:t xml:space="preserve"> </w:t>
      </w:r>
    </w:p>
    <w:p>
      <w:pPr>
        <w:pStyle w:val="Normal"/>
        <w:rPr/>
      </w:pPr>
      <w:r>
        <w:rPr>
          <w:u w:val="single"/>
        </w:rPr>
        <w:t>Control Objective</w:t>
      </w:r>
      <w:r>
        <w:rPr/>
        <w:t>: The organization prevents the unauthorized removal of maintenance equipment containing organizational information by:</w:t>
      </w:r>
      <w:r>
        <w:rPr>
          <w:rStyle w:val="FootnoteAnchor"/>
          <w:rStyle w:val="FootnoteAnchor"/>
          <w:rFonts w:cs="Calibri"/>
        </w:rPr>
        <w:footnoteReference w:id="416"/>
      </w:r>
    </w:p>
    <w:p>
      <w:pPr>
        <w:pStyle w:val="ListParagraph"/>
        <w:numPr>
          <w:ilvl w:val="0"/>
          <w:numId w:val="175"/>
        </w:numPr>
        <w:rPr/>
      </w:pPr>
      <w:r>
        <w:rPr/>
        <w:t>Verifying that there is no organizational information contained on the equipment;</w:t>
      </w:r>
    </w:p>
    <w:p>
      <w:pPr>
        <w:pStyle w:val="ListParagraph"/>
        <w:numPr>
          <w:ilvl w:val="0"/>
          <w:numId w:val="175"/>
        </w:numPr>
        <w:rPr/>
      </w:pPr>
      <w:r>
        <w:rPr/>
        <w:t>Sanitizing or destroying the equipment;</w:t>
      </w:r>
    </w:p>
    <w:p>
      <w:pPr>
        <w:pStyle w:val="ListParagraph"/>
        <w:numPr>
          <w:ilvl w:val="0"/>
          <w:numId w:val="175"/>
        </w:numPr>
        <w:rPr/>
      </w:pPr>
      <w:r>
        <w:rPr/>
        <w:t>Retaining the equipment within the facility; or</w:t>
      </w:r>
    </w:p>
    <w:p>
      <w:pPr>
        <w:pStyle w:val="ListParagraph"/>
        <w:numPr>
          <w:ilvl w:val="0"/>
          <w:numId w:val="175"/>
        </w:numPr>
        <w:rPr/>
      </w:pPr>
      <w:r>
        <w:rPr/>
        <w:t>Obtaining an exemption from organization-defined personnel or roles explicitly authorizing the removal of the equipment from the facility.</w:t>
      </w:r>
    </w:p>
    <w:p>
      <w:pPr>
        <w:pStyle w:val="Normal"/>
        <w:rPr/>
      </w:pPr>
      <w:r>
        <w:rPr/>
      </w:r>
    </w:p>
    <w:p>
      <w:pPr>
        <w:pStyle w:val="Normal"/>
        <w:rPr/>
      </w:pPr>
      <w:r>
        <w:rPr>
          <w:u w:val="single"/>
        </w:rPr>
        <w:t>Standard</w:t>
      </w:r>
      <w:r>
        <w:rPr/>
        <w:t>: Data/process owners and asset custodians are required to:</w:t>
      </w:r>
    </w:p>
    <w:p>
      <w:pPr>
        <w:pStyle w:val="ListParagraph"/>
        <w:numPr>
          <w:ilvl w:val="0"/>
          <w:numId w:val="394"/>
        </w:numPr>
        <w:rPr/>
      </w:pPr>
      <w:r>
        <w:rPr/>
        <w:t>Verify that there is no NFCC information contained in the equipment;</w:t>
      </w:r>
    </w:p>
    <w:p>
      <w:pPr>
        <w:pStyle w:val="ListParagraph"/>
        <w:numPr>
          <w:ilvl w:val="0"/>
          <w:numId w:val="394"/>
        </w:numPr>
        <w:rPr/>
      </w:pPr>
      <w:r>
        <w:rPr/>
        <w:t>Sanitize or destroy the equipment; or</w:t>
      </w:r>
    </w:p>
    <w:p>
      <w:pPr>
        <w:pStyle w:val="ListParagraph"/>
        <w:numPr>
          <w:ilvl w:val="0"/>
          <w:numId w:val="394"/>
        </w:numPr>
        <w:rPr/>
      </w:pPr>
      <w:r>
        <w:rPr/>
        <w:t>Retain the equipment within the facility.</w:t>
      </w:r>
    </w:p>
    <w:p>
      <w:pPr>
        <w:pStyle w:val="Normal"/>
        <w:rPr/>
      </w:pPr>
      <w:r>
        <w:rPr/>
      </w:r>
    </w:p>
    <w:p>
      <w:pPr>
        <w:pStyle w:val="Normal"/>
        <w:rPr/>
      </w:pPr>
      <w:r>
        <w:rPr>
          <w:u w:val="single"/>
        </w:rPr>
        <w:t>Guidelines</w:t>
      </w:r>
      <w:r>
        <w:rPr/>
        <w:t>: Organizational information includes all information specifically owned by organizations and information provided to organizations in which organizations serve as information stewards.</w:t>
      </w:r>
    </w:p>
    <w:p>
      <w:pPr>
        <w:pStyle w:val="Normal"/>
        <w:rPr/>
      </w:pPr>
      <w:r>
        <w:rPr/>
      </w:r>
    </w:p>
    <w:p>
      <w:pPr>
        <w:pStyle w:val="Heading3"/>
        <w:rPr/>
      </w:pPr>
      <w:bookmarkStart w:id="1309" w:name="_Toc34921032"/>
      <w:r>
        <w:rPr/>
        <w:t>MNT-04(d): Maintenance Tools | Restrict Tool Use</w:t>
      </w:r>
      <w:bookmarkEnd w:id="1309"/>
      <w:r>
        <w:rPr/>
        <w:t xml:space="preserve"> </w:t>
      </w:r>
    </w:p>
    <w:p>
      <w:pPr>
        <w:pStyle w:val="Normal"/>
        <w:rPr>
          <w:rFonts w:cs="Calibri"/>
        </w:rPr>
      </w:pPr>
      <w:r>
        <w:rPr>
          <w:rFonts w:cs="Calibri"/>
          <w:u w:val="single"/>
        </w:rPr>
        <w:t>Control Objective</w:t>
      </w:r>
      <w:r>
        <w:rPr>
          <w:rFonts w:cs="Calibri"/>
        </w:rPr>
        <w:t>:</w:t>
      </w:r>
      <w:r>
        <w:rPr>
          <w:rFonts w:cs="Calibri"/>
          <w:bCs w:val="false"/>
        </w:rPr>
        <w:t xml:space="preserve"> </w:t>
      </w:r>
      <w:r>
        <w:rPr>
          <w:rFonts w:cs="Calibri"/>
        </w:rPr>
        <w:t>The information system restricts the use of maintenance tools to authorized personnel only.</w:t>
      </w:r>
      <w:r>
        <w:rPr>
          <w:rStyle w:val="FootnoteCharacters"/>
          <w:rFonts w:cs="Calibri"/>
        </w:rPr>
        <w:t xml:space="preserve"> </w:t>
      </w:r>
      <w:r>
        <w:rPr>
          <w:rStyle w:val="FootnoteAnchor"/>
          <w:rStyle w:val="FootnoteAnchor"/>
          <w:rFonts w:cs="Calibri"/>
        </w:rPr>
        <w:footnoteReference w:id="417"/>
      </w:r>
    </w:p>
    <w:p>
      <w:pPr>
        <w:pStyle w:val="Normal"/>
        <w:rPr>
          <w:rFonts w:cs="Calibri"/>
        </w:rPr>
      </w:pPr>
      <w:r>
        <w:rPr>
          <w:rFonts w:cs="Calibri"/>
        </w:rPr>
      </w:r>
    </w:p>
    <w:p>
      <w:pPr>
        <w:pStyle w:val="Normal"/>
        <w:rPr>
          <w:rFonts w:cs="Calibri"/>
        </w:rPr>
      </w:pPr>
      <w:r>
        <w:rPr>
          <w:rFonts w:cs="Calibri"/>
          <w:u w:val="single"/>
        </w:rPr>
        <w:t>Standard</w:t>
      </w:r>
      <w:r>
        <w:rPr>
          <w:rFonts w:cs="Calibri"/>
        </w:rPr>
        <w:t>: Data/process owners and asset custodians are required to restrict the use of maintenance tools to authorized maintenance personnel.</w:t>
      </w:r>
    </w:p>
    <w:p>
      <w:pPr>
        <w:pStyle w:val="Normal"/>
        <w:rPr>
          <w:rFonts w:cs="Calibri"/>
        </w:rPr>
      </w:pPr>
      <w:r>
        <w:rPr>
          <w:rFonts w:cs="Calibri"/>
        </w:rPr>
      </w:r>
    </w:p>
    <w:p>
      <w:pPr>
        <w:pStyle w:val="Normal"/>
        <w:rPr>
          <w:rFonts w:cs="Calibri"/>
        </w:rPr>
      </w:pPr>
      <w:r>
        <w:rPr>
          <w:rFonts w:cs="Calibri"/>
          <w:u w:val="single"/>
        </w:rPr>
        <w:t>Guidelines</w:t>
      </w:r>
      <w:r>
        <w:rPr>
          <w:rFonts w:cs="Calibri"/>
        </w:rPr>
        <w:t>: This control enhancement applies to information systems that are used to carry out maintenance functions.</w:t>
      </w:r>
      <w:bookmarkStart w:id="1310" w:name="_Hlk27579929"/>
      <w:bookmarkEnd w:id="1310"/>
    </w:p>
    <w:p>
      <w:pPr>
        <w:pStyle w:val="Normal"/>
        <w:rPr/>
      </w:pPr>
      <w:r>
        <w:rPr/>
      </w:r>
    </w:p>
    <w:p>
      <w:pPr>
        <w:pStyle w:val="Normal"/>
        <w:rPr/>
      </w:pPr>
      <w:r>
        <w:rPr/>
      </w:r>
    </w:p>
    <w:p>
      <w:pPr>
        <w:pStyle w:val="Heading2"/>
        <w:rPr/>
      </w:pPr>
      <w:bookmarkStart w:id="1311" w:name="_Toc474075116"/>
      <w:bookmarkStart w:id="1312" w:name="_Toc474075692"/>
      <w:bookmarkStart w:id="1313" w:name="_Toc34921033"/>
      <w:r>
        <w:rPr/>
        <w:t>MNT-05: Non-Local Maintenance</w:t>
      </w:r>
      <w:bookmarkEnd w:id="1311"/>
      <w:bookmarkEnd w:id="1312"/>
      <w:bookmarkEnd w:id="1313"/>
      <w:r>
        <w:rPr/>
        <w:t xml:space="preserve"> </w:t>
      </w:r>
    </w:p>
    <w:p>
      <w:pPr>
        <w:pStyle w:val="Normal"/>
        <w:rPr/>
      </w:pPr>
      <w:r>
        <w:rPr>
          <w:u w:val="single"/>
        </w:rPr>
        <w:t>Control Objective</w:t>
      </w:r>
      <w:r>
        <w:rPr/>
        <w:t>: The organization:</w:t>
      </w:r>
      <w:r>
        <w:rPr>
          <w:rStyle w:val="FootnoteAnchor"/>
          <w:rStyle w:val="FootnoteAnchor"/>
          <w:rFonts w:cs="Calibri"/>
        </w:rPr>
        <w:footnoteReference w:id="418"/>
      </w:r>
      <w:r>
        <w:rPr/>
        <w:t xml:space="preserve"> </w:t>
      </w:r>
    </w:p>
    <w:p>
      <w:pPr>
        <w:pStyle w:val="ListParagraph"/>
        <w:numPr>
          <w:ilvl w:val="0"/>
          <w:numId w:val="43"/>
        </w:numPr>
        <w:rPr/>
      </w:pPr>
      <w:r>
        <w:rPr/>
        <w:t>Authorizes, monitors and controls non-local maintenance and diagnostic activities;</w:t>
      </w:r>
    </w:p>
    <w:p>
      <w:pPr>
        <w:pStyle w:val="ListParagraph"/>
        <w:numPr>
          <w:ilvl w:val="0"/>
          <w:numId w:val="43"/>
        </w:numPr>
        <w:rPr/>
      </w:pPr>
      <w:r>
        <w:rPr/>
        <w:t>Allows the use of non-local maintenance and diagnostic tools only as consistent with organizational policy and documented in the security plan for the system;</w:t>
      </w:r>
    </w:p>
    <w:p>
      <w:pPr>
        <w:pStyle w:val="ListParagraph"/>
        <w:numPr>
          <w:ilvl w:val="0"/>
          <w:numId w:val="43"/>
        </w:numPr>
        <w:rPr/>
      </w:pPr>
      <w:r>
        <w:rPr/>
        <w:t>Employs strong identification and authentication techniques in the establishment of non-local maintenance and diagnostic sessions;</w:t>
      </w:r>
    </w:p>
    <w:p>
      <w:pPr>
        <w:pStyle w:val="ListParagraph"/>
        <w:numPr>
          <w:ilvl w:val="0"/>
          <w:numId w:val="43"/>
        </w:numPr>
        <w:rPr/>
      </w:pPr>
      <w:r>
        <w:rPr/>
        <w:t>Maintains records of non-local maintenance and diagnostic activities; and</w:t>
      </w:r>
    </w:p>
    <w:p>
      <w:pPr>
        <w:pStyle w:val="ListParagraph"/>
        <w:numPr>
          <w:ilvl w:val="0"/>
          <w:numId w:val="43"/>
        </w:numPr>
        <w:rPr/>
      </w:pPr>
      <w:r>
        <w:rPr/>
        <w:t>Terminates all sessions and network connections when non-local maintenance is completed.</w:t>
      </w:r>
    </w:p>
    <w:p>
      <w:pPr>
        <w:pStyle w:val="Normal"/>
        <w:rPr/>
      </w:pPr>
      <w:r>
        <w:rPr/>
      </w:r>
    </w:p>
    <w:p>
      <w:pPr>
        <w:pStyle w:val="Normal"/>
        <w:rPr/>
      </w:pPr>
      <w:r>
        <w:rPr>
          <w:u w:val="single"/>
        </w:rPr>
        <w:t>Standard</w:t>
      </w:r>
      <w:r>
        <w:rPr/>
        <w:t>: Data/process owners and asset custodians are required to:</w:t>
      </w:r>
    </w:p>
    <w:p>
      <w:pPr>
        <w:pStyle w:val="ListParagraph"/>
        <w:numPr>
          <w:ilvl w:val="0"/>
          <w:numId w:val="395"/>
        </w:numPr>
        <w:rPr/>
      </w:pPr>
      <w:r>
        <w:rPr/>
        <w:t>Authorize, monitor and control non-local maintenance and diagnostic activities;</w:t>
      </w:r>
    </w:p>
    <w:p>
      <w:pPr>
        <w:pStyle w:val="ListParagraph"/>
        <w:numPr>
          <w:ilvl w:val="0"/>
          <w:numId w:val="395"/>
        </w:numPr>
        <w:rPr/>
      </w:pPr>
      <w:r>
        <w:rPr/>
        <w:t>Allow the use of non-local maintenance and diagnostic tools only in accordance with policy and standards;</w:t>
      </w:r>
    </w:p>
    <w:p>
      <w:pPr>
        <w:pStyle w:val="ListParagraph"/>
        <w:numPr>
          <w:ilvl w:val="0"/>
          <w:numId w:val="395"/>
        </w:numPr>
        <w:rPr/>
      </w:pPr>
      <w:r>
        <w:rPr/>
        <w:t>Employ strong identification and authentication techniques in the establishment of non-local maintenance and diagnostic sessions;</w:t>
      </w:r>
    </w:p>
    <w:p>
      <w:pPr>
        <w:pStyle w:val="ListParagraph"/>
        <w:numPr>
          <w:ilvl w:val="0"/>
          <w:numId w:val="395"/>
        </w:numPr>
        <w:rPr/>
      </w:pPr>
      <w:r>
        <w:rPr/>
        <w:t>Maintain records of non-local maintenance and diagnostic activities; and</w:t>
      </w:r>
    </w:p>
    <w:p>
      <w:pPr>
        <w:pStyle w:val="ListParagraph"/>
        <w:numPr>
          <w:ilvl w:val="0"/>
          <w:numId w:val="395"/>
        </w:numPr>
        <w:rPr/>
      </w:pPr>
      <w:r>
        <w:rPr/>
        <w:t>Terminate all sessions and network connections when non-local maintenance is completed.</w:t>
      </w:r>
    </w:p>
    <w:p>
      <w:pPr>
        <w:pStyle w:val="Normal"/>
        <w:rPr/>
      </w:pPr>
      <w:r>
        <w:rPr/>
      </w:r>
    </w:p>
    <w:p>
      <w:pPr>
        <w:pStyle w:val="Normal"/>
        <w:rPr>
          <w:u w:val="single"/>
        </w:rPr>
      </w:pPr>
      <w:r>
        <w:rPr>
          <w:u w:val="single"/>
        </w:rPr>
        <w:t>Guidelines</w:t>
      </w:r>
      <w:r>
        <w:rPr/>
        <w:t xml:space="preserve">: Non-local maintenance and diagnostic activities are those activities conducted by individuals communicating through a network; either an external network (e.g., the Internet) or an internal network. Local maintenance and diagnostic activities are those activities carried out by individuals physically present at the system or system component and not communicating across a network connection. Typically, strong authentication requires authenticators that are resistant to replay attacks and employ multifactor authentication. Strong authenticators include, for example, PKI where certificates are stored on a token protected by a password, passphrase or biometric. </w:t>
      </w:r>
    </w:p>
    <w:p>
      <w:pPr>
        <w:pStyle w:val="Normal"/>
        <w:rPr/>
      </w:pPr>
      <w:r>
        <w:rPr/>
      </w:r>
    </w:p>
    <w:p>
      <w:pPr>
        <w:pStyle w:val="Heading3"/>
        <w:rPr/>
      </w:pPr>
      <w:bookmarkStart w:id="1314" w:name="_Toc474075117"/>
      <w:bookmarkStart w:id="1315" w:name="_Toc34921034"/>
      <w:r>
        <w:rPr/>
        <w:t>MNT-05(a): Non-Local Maintenance | Auditing</w:t>
      </w:r>
      <w:bookmarkEnd w:id="1314"/>
      <w:bookmarkEnd w:id="1315"/>
    </w:p>
    <w:p>
      <w:pPr>
        <w:pStyle w:val="Normal"/>
        <w:rPr/>
      </w:pPr>
      <w:r>
        <w:rPr>
          <w:u w:val="single"/>
        </w:rPr>
        <w:t>Control Objective</w:t>
      </w:r>
      <w:r>
        <w:rPr/>
        <w:t>: The organization audits non-local maintenance and diagnostic sessions and designated organizational personnel review the maintenance records of the sessions.</w:t>
      </w:r>
      <w:r>
        <w:rPr>
          <w:rStyle w:val="FootnoteAnchor"/>
          <w:rStyle w:val="FootnoteAnchor"/>
        </w:rPr>
        <w:footnoteReference w:id="419"/>
      </w:r>
    </w:p>
    <w:p>
      <w:pPr>
        <w:pStyle w:val="Normal"/>
        <w:rPr/>
      </w:pPr>
      <w:r>
        <w:rPr/>
      </w:r>
    </w:p>
    <w:p>
      <w:pPr>
        <w:pStyle w:val="Normal"/>
        <w:rPr/>
      </w:pPr>
      <w:r>
        <w:rPr>
          <w:u w:val="single"/>
        </w:rPr>
        <w:t>Standard</w:t>
      </w:r>
      <w:r>
        <w:rPr/>
        <w:t>: Data/process owners and asset custodians are required to routinely perform audits of non-local maintenance and diagnostic sessions to observe for indications of unauthorized activity.</w:t>
      </w:r>
    </w:p>
    <w:p>
      <w:pPr>
        <w:pStyle w:val="Normal"/>
        <w:rPr/>
      </w:pPr>
      <w:r>
        <w:rPr/>
      </w:r>
    </w:p>
    <w:p>
      <w:pPr>
        <w:pStyle w:val="Normal"/>
        <w:rPr/>
      </w:pPr>
      <w:r>
        <w:rPr>
          <w:u w:val="single"/>
        </w:rPr>
        <w:t>Guidelines</w:t>
      </w:r>
      <w:r>
        <w:rPr/>
        <w:t>: None</w:t>
      </w:r>
    </w:p>
    <w:p>
      <w:pPr>
        <w:pStyle w:val="Normal"/>
        <w:rPr/>
      </w:pPr>
      <w:r>
        <w:rPr/>
      </w:r>
    </w:p>
    <w:p>
      <w:pPr>
        <w:pStyle w:val="Heading3"/>
        <w:rPr/>
      </w:pPr>
      <w:bookmarkStart w:id="1316" w:name="_Toc34921035"/>
      <w:bookmarkStart w:id="1317" w:name="_Toc474075118"/>
      <w:r>
        <w:rPr/>
        <w:t xml:space="preserve">MNT-05(b): Non-Local Maintenance | </w:t>
      </w:r>
      <w:bookmarkEnd w:id="1317"/>
      <w:r>
        <w:rPr/>
        <w:t>Notification of Non-Local Maintenance</w:t>
      </w:r>
      <w:bookmarkEnd w:id="1316"/>
    </w:p>
    <w:p>
      <w:pPr>
        <w:pStyle w:val="Normal"/>
        <w:rPr/>
      </w:pPr>
      <w:r>
        <w:rPr>
          <w:u w:val="single"/>
        </w:rPr>
        <w:t>Control Objective</w:t>
      </w:r>
      <w:r>
        <w:rPr/>
        <w:t>: The organization requires maintenance personnel to notify organization-defined personnel when non-local maintenance is planned (e.g., date / time).</w:t>
      </w:r>
      <w:r>
        <w:rPr>
          <w:rStyle w:val="FootnoteAnchor"/>
          <w:rStyle w:val="FootnoteAnchor"/>
          <w:rFonts w:cs="Calibri"/>
          <w:bCs w:val="false"/>
        </w:rPr>
        <w:footnoteReference w:id="420"/>
      </w:r>
    </w:p>
    <w:p>
      <w:pPr>
        <w:pStyle w:val="Normal"/>
        <w:rPr/>
      </w:pPr>
      <w:r>
        <w:rPr/>
      </w:r>
    </w:p>
    <w:p>
      <w:pPr>
        <w:pStyle w:val="Normal"/>
        <w:rPr/>
      </w:pPr>
      <w:r>
        <w:rPr>
          <w:u w:val="single"/>
        </w:rPr>
        <w:t>Standard</w:t>
      </w:r>
      <w:r>
        <w:rPr/>
        <w:t>: NFCC requires:</w:t>
      </w:r>
    </w:p>
    <w:p>
      <w:pPr>
        <w:pStyle w:val="ListParagraph"/>
        <w:numPr>
          <w:ilvl w:val="0"/>
          <w:numId w:val="396"/>
        </w:numPr>
        <w:rPr/>
      </w:pPr>
      <w:r>
        <w:rPr/>
        <w:t>Maintenance personnel to provide prior notification when non-local maintenance is planned (e.g., date &amp; time); and</w:t>
      </w:r>
    </w:p>
    <w:p>
      <w:pPr>
        <w:pStyle w:val="ListParagraph"/>
        <w:numPr>
          <w:ilvl w:val="0"/>
          <w:numId w:val="396"/>
        </w:numPr>
        <w:rPr/>
      </w:pPr>
      <w:r>
        <w:rPr/>
        <w:t>A designated employee with specific system knowledge to approve the non-local maintenance.</w:t>
      </w:r>
    </w:p>
    <w:p>
      <w:pPr>
        <w:pStyle w:val="Normal"/>
        <w:rPr/>
      </w:pPr>
      <w:r>
        <w:rPr/>
      </w:r>
    </w:p>
    <w:p>
      <w:pPr>
        <w:pStyle w:val="Normal"/>
        <w:rPr/>
      </w:pPr>
      <w:r>
        <w:rPr>
          <w:u w:val="single"/>
        </w:rPr>
        <w:t>Guidelines</w:t>
      </w:r>
      <w:r>
        <w:rPr/>
        <w:t>: Notification may be performed by maintenance personnel. Approval of non-local maintenance sessions is accomplished by organizational personnel with sufficient cybersecurity and system knowledge to determine the appropriateness of the proposed maintenance.</w:t>
      </w:r>
    </w:p>
    <w:p>
      <w:pPr>
        <w:pStyle w:val="Normal"/>
        <w:rPr/>
      </w:pPr>
      <w:r>
        <w:rPr/>
      </w:r>
    </w:p>
    <w:p>
      <w:pPr>
        <w:pStyle w:val="Heading3"/>
        <w:rPr/>
      </w:pPr>
      <w:bookmarkStart w:id="1318" w:name="_Toc474075119"/>
      <w:bookmarkStart w:id="1319" w:name="_Toc34921036"/>
      <w:r>
        <w:rPr/>
        <w:t>MNT-05(c): Non-Local Maintenance | Cryptographic Protection</w:t>
      </w:r>
      <w:bookmarkEnd w:id="1318"/>
      <w:bookmarkEnd w:id="1319"/>
    </w:p>
    <w:p>
      <w:pPr>
        <w:pStyle w:val="Normal"/>
        <w:rPr/>
      </w:pPr>
      <w:r>
        <w:rPr>
          <w:u w:val="single"/>
        </w:rPr>
        <w:t>Control Objective</w:t>
      </w:r>
      <w:r>
        <w:rPr/>
        <w:t>: The organization employs cryptographic mechanisms to protect the integrity and confidentiality of non-local maintenance and diagnostic communications.</w:t>
      </w:r>
      <w:r>
        <w:rPr>
          <w:rStyle w:val="FootnoteAnchor"/>
          <w:rStyle w:val="FootnoteAnchor"/>
          <w:rFonts w:cs="Calibri"/>
          <w:bCs w:val="false"/>
        </w:rPr>
        <w:footnoteReference w:id="421"/>
      </w:r>
    </w:p>
    <w:p>
      <w:pPr>
        <w:pStyle w:val="Normal"/>
        <w:rPr/>
      </w:pPr>
      <w:r>
        <w:rPr/>
      </w:r>
    </w:p>
    <w:p>
      <w:pPr>
        <w:pStyle w:val="Normal"/>
        <w:rPr/>
      </w:pPr>
      <w:r>
        <w:rPr>
          <w:u w:val="single"/>
        </w:rPr>
        <w:t>Standard</w:t>
      </w:r>
      <w:r>
        <w:rPr/>
        <w:t>: Asset custodians are required to use technologies that incorporate strong encryption for non-console administrative access.</w:t>
      </w:r>
    </w:p>
    <w:p>
      <w:pPr>
        <w:pStyle w:val="Normal"/>
        <w:rPr/>
      </w:pPr>
      <w:r>
        <w:rPr/>
      </w:r>
    </w:p>
    <w:p>
      <w:pPr>
        <w:pStyle w:val="Normal"/>
        <w:rPr/>
      </w:pPr>
      <w:r>
        <w:rPr>
          <w:u w:val="single"/>
        </w:rPr>
        <w:t>Guidelines</w:t>
      </w:r>
      <w:r>
        <w:rPr/>
        <w:t>: NFCC should use technologies such as SSH, VPN or TLS for web-based management and other non-console administrative access to protect the integrity and confidentiality of non-local maintenance and diagnostic communications.</w:t>
      </w:r>
    </w:p>
    <w:p>
      <w:pPr>
        <w:pStyle w:val="Normal"/>
        <w:rPr/>
      </w:pPr>
      <w:r>
        <w:rPr/>
      </w:r>
    </w:p>
    <w:p>
      <w:pPr>
        <w:pStyle w:val="Normal"/>
        <w:rPr/>
      </w:pPr>
      <w:r>
        <w:rPr/>
        <w:t>Protocols such as telnet, VNC, RDP or others that do not actively support strong encryption should only be used if they are performed over a secondary encryption channel, such as SSL, TLS or IPSEC.</w:t>
      </w:r>
    </w:p>
    <w:p>
      <w:pPr>
        <w:pStyle w:val="Normal"/>
        <w:rPr/>
      </w:pPr>
      <w:r>
        <w:rPr/>
      </w:r>
    </w:p>
    <w:p>
      <w:pPr>
        <w:pStyle w:val="Heading3"/>
        <w:rPr/>
      </w:pPr>
      <w:bookmarkStart w:id="1320" w:name="_Toc474075120"/>
      <w:bookmarkStart w:id="1321" w:name="_Toc34921037"/>
      <w:r>
        <w:rPr/>
        <w:t>MNT-05(d): Non-Local Maintenance | Remote Disconnect Verification</w:t>
      </w:r>
      <w:bookmarkEnd w:id="1320"/>
      <w:bookmarkEnd w:id="1321"/>
    </w:p>
    <w:p>
      <w:pPr>
        <w:pStyle w:val="Normal"/>
        <w:rPr/>
      </w:pPr>
      <w:r>
        <w:rPr>
          <w:u w:val="single"/>
        </w:rPr>
        <w:t>Control Objective</w:t>
      </w:r>
      <w:r>
        <w:rPr/>
        <w:t>: The organization employs remote disconnect verification at the termination of non-local maintenance and diagnostic sessions.</w:t>
      </w:r>
    </w:p>
    <w:p>
      <w:pPr>
        <w:pStyle w:val="Normal"/>
        <w:rPr/>
      </w:pPr>
      <w:r>
        <w:rPr/>
      </w:r>
    </w:p>
    <w:p>
      <w:pPr>
        <w:pStyle w:val="Normal"/>
        <w:rPr/>
      </w:pPr>
      <w:r>
        <w:rPr>
          <w:u w:val="single"/>
        </w:rPr>
        <w:t>Standard</w:t>
      </w:r>
      <w:r>
        <w:rPr/>
        <w:t>: Data/process owners and asset custodians are responsible for determining a method to verify remote disconnect upon at the termination of non-local maintenance.</w:t>
      </w:r>
    </w:p>
    <w:p>
      <w:pPr>
        <w:pStyle w:val="Normal"/>
        <w:rPr/>
      </w:pPr>
      <w:r>
        <w:rPr/>
      </w:r>
    </w:p>
    <w:p>
      <w:pPr>
        <w:pStyle w:val="Normal"/>
        <w:rPr/>
      </w:pPr>
      <w:r>
        <w:rPr>
          <w:u w:val="single"/>
        </w:rPr>
        <w:t>Guidelines</w:t>
      </w:r>
      <w:r>
        <w:rPr/>
        <w:t>: None</w:t>
      </w:r>
    </w:p>
    <w:p>
      <w:pPr>
        <w:pStyle w:val="Normal"/>
        <w:rPr/>
      </w:pPr>
      <w:r>
        <w:rPr/>
      </w:r>
    </w:p>
    <w:p>
      <w:pPr>
        <w:pStyle w:val="Heading3"/>
        <w:rPr/>
      </w:pPr>
      <w:bookmarkStart w:id="1322" w:name="_Toc474075121"/>
      <w:bookmarkStart w:id="1323" w:name="_Toc34921038"/>
      <w:r>
        <w:rPr/>
        <w:t>MNT-05(e): Non-Local Maintenance | Pre-Approval of Non-Local Maintenance</w:t>
      </w:r>
      <w:bookmarkEnd w:id="1322"/>
      <w:bookmarkEnd w:id="1323"/>
    </w:p>
    <w:p>
      <w:pPr>
        <w:pStyle w:val="Normal"/>
        <w:rPr/>
      </w:pPr>
      <w:r>
        <w:rPr>
          <w:u w:val="single"/>
        </w:rPr>
        <w:t>Control Objective</w:t>
      </w:r>
      <w:r>
        <w:rPr/>
        <w:t>: The organization requires maintenance personnel to obtain pre-approval of non-local maintenance sessions.</w:t>
      </w:r>
      <w:r>
        <w:rPr>
          <w:rStyle w:val="FootnoteAnchor"/>
          <w:rStyle w:val="FootnoteAnchor"/>
        </w:rPr>
        <w:footnoteReference w:id="422"/>
      </w:r>
    </w:p>
    <w:p>
      <w:pPr>
        <w:pStyle w:val="Normal"/>
        <w:rPr/>
      </w:pPr>
      <w:r>
        <w:rPr/>
      </w:r>
    </w:p>
    <w:p>
      <w:pPr>
        <w:pStyle w:val="Normal"/>
        <w:rPr/>
      </w:pPr>
      <w:r>
        <w:rPr>
          <w:u w:val="single"/>
        </w:rPr>
        <w:t>Standard</w:t>
      </w:r>
      <w:r>
        <w:rPr/>
        <w:t>: NFCC requires:</w:t>
      </w:r>
    </w:p>
    <w:p>
      <w:pPr>
        <w:pStyle w:val="ListParagraph"/>
        <w:numPr>
          <w:ilvl w:val="0"/>
          <w:numId w:val="397"/>
        </w:numPr>
        <w:rPr/>
      </w:pPr>
      <w:r>
        <w:rPr/>
        <w:t>Maintenance personnel to provide prior notification when non-local maintenance is planned (e.g., date / time); and</w:t>
      </w:r>
    </w:p>
    <w:p>
      <w:pPr>
        <w:pStyle w:val="ListParagraph"/>
        <w:numPr>
          <w:ilvl w:val="0"/>
          <w:numId w:val="397"/>
        </w:numPr>
        <w:rPr/>
      </w:pPr>
      <w:r>
        <w:rPr/>
        <w:t>A designated employee with specific system knowledge to approve the non-local maintenance.</w:t>
      </w:r>
    </w:p>
    <w:p>
      <w:pPr>
        <w:pStyle w:val="Normal"/>
        <w:rPr/>
      </w:pPr>
      <w:r>
        <w:rPr/>
      </w:r>
    </w:p>
    <w:p>
      <w:pPr>
        <w:pStyle w:val="Normal"/>
        <w:rPr/>
      </w:pPr>
      <w:r>
        <w:rPr>
          <w:u w:val="single"/>
        </w:rPr>
        <w:t>Guidelines</w:t>
      </w:r>
      <w:r>
        <w:rPr/>
        <w:t>: Notification may be performed by maintenance personnel. Approval of non-local maintenance sessions is accomplished by organizational personnel with sufficient cybersecurity and system knowledge to determine the appropriateness of the proposed maintenance.</w:t>
      </w:r>
    </w:p>
    <w:p>
      <w:pPr>
        <w:pStyle w:val="Normal"/>
        <w:rPr/>
      </w:pPr>
      <w:r>
        <w:rPr/>
      </w:r>
    </w:p>
    <w:p>
      <w:pPr>
        <w:pStyle w:val="Heading3"/>
        <w:rPr/>
      </w:pPr>
      <w:bookmarkStart w:id="1324" w:name="_Toc34921039"/>
      <w:r>
        <w:rPr/>
        <w:t>MNT-05(f): Non-Local Maintenance | Comparable Security &amp; Sanitization</w:t>
      </w:r>
      <w:bookmarkEnd w:id="1324"/>
      <w:r>
        <w:rPr/>
        <w:t xml:space="preserve"> </w:t>
      </w:r>
    </w:p>
    <w:p>
      <w:pPr>
        <w:pStyle w:val="Normal"/>
        <w:rPr/>
      </w:pPr>
      <w:r>
        <w:rPr>
          <w:rFonts w:cs="Calibri"/>
          <w:u w:val="single"/>
        </w:rPr>
        <w:t>Control Objective</w:t>
      </w:r>
      <w:r>
        <w:rPr>
          <w:rFonts w:cs="Calibri"/>
        </w:rPr>
        <w:t xml:space="preserve">: </w:t>
      </w:r>
      <w:r>
        <w:rPr/>
        <w:t xml:space="preserve">The organization: </w:t>
      </w:r>
    </w:p>
    <w:p>
      <w:pPr>
        <w:pStyle w:val="ListParagraph"/>
        <w:numPr>
          <w:ilvl w:val="0"/>
          <w:numId w:val="636"/>
        </w:numPr>
        <w:rPr/>
      </w:pPr>
      <w:r>
        <w:rPr/>
        <w:t xml:space="preserve">Requires that non-local maintenance and diagnostic services be performed from an information system that implements a security capability comparable to the capability implemented on the system being serviced; or </w:t>
      </w:r>
    </w:p>
    <w:p>
      <w:pPr>
        <w:pStyle w:val="ListParagraph"/>
        <w:numPr>
          <w:ilvl w:val="0"/>
          <w:numId w:val="636"/>
        </w:numPr>
        <w:rPr/>
      </w:pPr>
      <w:r>
        <w:rPr/>
        <w:t xml:space="preserve">Removes the component to be serviced from the information system prior to non-local maintenance or diagnostic services, sanitizes the component (with regard to organizational information) before removal from organizational facilities and after the service is performed, inspects and sanitizes the component (with regard to potentially malicious software) before reconnecting the component to the information system. </w:t>
      </w:r>
    </w:p>
    <w:p>
      <w:pPr>
        <w:pStyle w:val="Normal"/>
        <w:rPr>
          <w:rFonts w:cs="Calibri"/>
        </w:rPr>
      </w:pPr>
      <w:r>
        <w:rPr>
          <w:rFonts w:cs="Calibri"/>
        </w:rPr>
      </w:r>
    </w:p>
    <w:p>
      <w:pPr>
        <w:pStyle w:val="Normal"/>
        <w:rPr>
          <w:rFonts w:cs="Calibri"/>
        </w:rPr>
      </w:pPr>
      <w:r>
        <w:rPr>
          <w:rFonts w:cs="Calibri"/>
          <w:bCs w:val="false"/>
          <w:u w:val="single"/>
        </w:rPr>
        <w:t>Standard</w:t>
      </w:r>
      <w:r>
        <w:rPr>
          <w:rFonts w:cs="Calibri"/>
          <w:bCs w:val="false"/>
        </w:rPr>
        <w:t>:</w:t>
      </w:r>
      <w:r>
        <w:rPr>
          <w:rFonts w:cs="Calibri"/>
        </w:rPr>
        <w:t xml:space="preserve"> For non-local maintenance of technology assets, NFCC requires data/process owners and asset custodians to:</w:t>
      </w:r>
    </w:p>
    <w:p>
      <w:pPr>
        <w:pStyle w:val="ListParagraph"/>
        <w:numPr>
          <w:ilvl w:val="0"/>
          <w:numId w:val="637"/>
        </w:numPr>
        <w:rPr/>
      </w:pPr>
      <w:r>
        <w:rPr/>
        <w:t xml:space="preserve">Ensure non-local maintenance and diagnostic services are performed from secure systems that implement a security capability comparable to the capability implemented on the system being serviced; or </w:t>
      </w:r>
    </w:p>
    <w:p>
      <w:pPr>
        <w:pStyle w:val="ListParagraph"/>
        <w:numPr>
          <w:ilvl w:val="0"/>
          <w:numId w:val="637"/>
        </w:numPr>
        <w:rPr/>
      </w:pPr>
      <w:r>
        <w:rPr/>
        <w:t>Remove the component to be serviced from the information system prior to non-local maintenance or diagnostic services:</w:t>
      </w:r>
    </w:p>
    <w:p>
      <w:pPr>
        <w:pStyle w:val="ListParagraph"/>
        <w:numPr>
          <w:ilvl w:val="1"/>
          <w:numId w:val="637"/>
        </w:numPr>
        <w:rPr/>
      </w:pPr>
      <w:r>
        <w:rPr/>
        <w:t>Sanitizes the component (with regard to organizational information) before removal from organizational facilities; and</w:t>
      </w:r>
    </w:p>
    <w:p>
      <w:pPr>
        <w:pStyle w:val="ListParagraph"/>
        <w:numPr>
          <w:ilvl w:val="1"/>
          <w:numId w:val="637"/>
        </w:numPr>
        <w:rPr/>
      </w:pPr>
      <w:r>
        <w:rPr/>
        <w:t xml:space="preserve">After the service is performed, inspect and sanitize the component (with regard to potentially malicious software) before reconnecting the component to the information system. </w:t>
      </w:r>
    </w:p>
    <w:p>
      <w:pPr>
        <w:pStyle w:val="Normal"/>
        <w:rPr>
          <w:rFonts w:cs="Calibri"/>
        </w:rPr>
      </w:pPr>
      <w:r>
        <w:rPr>
          <w:rFonts w:cs="Calibri"/>
        </w:rPr>
      </w:r>
    </w:p>
    <w:p>
      <w:pPr>
        <w:pStyle w:val="Normal"/>
        <w:rPr>
          <w:rFonts w:cs="Calibri"/>
        </w:rPr>
      </w:pPr>
      <w:r>
        <w:rPr>
          <w:rFonts w:cs="Calibri"/>
          <w:u w:val="single"/>
        </w:rPr>
        <w:t>Guidelines</w:t>
      </w:r>
      <w:r>
        <w:rPr>
          <w:rFonts w:cs="Calibri"/>
        </w:rPr>
        <w:t xml:space="preserve">: </w:t>
      </w:r>
      <w:r>
        <w:rPr/>
        <w:t>Comparable security capability on information systems, diagnostic tools and equipment providing maintenance services implies that the implemented security controls on those systems, tools and equipment are at least as comprehensive as the controls on the information system being serviced.</w:t>
      </w:r>
      <w:bookmarkStart w:id="1325" w:name="_Hlk27579944"/>
      <w:bookmarkEnd w:id="1325"/>
    </w:p>
    <w:p>
      <w:pPr>
        <w:pStyle w:val="Normal"/>
        <w:rPr/>
      </w:pPr>
      <w:r>
        <w:rPr/>
      </w:r>
    </w:p>
    <w:p>
      <w:pPr>
        <w:pStyle w:val="Normal"/>
        <w:rPr/>
      </w:pPr>
      <w:r>
        <w:rPr/>
      </w:r>
    </w:p>
    <w:p>
      <w:pPr>
        <w:pStyle w:val="Heading2"/>
        <w:rPr/>
      </w:pPr>
      <w:bookmarkStart w:id="1326" w:name="_Toc474075122"/>
      <w:bookmarkStart w:id="1327" w:name="_Toc474075693"/>
      <w:bookmarkStart w:id="1328" w:name="_Toc34921040"/>
      <w:r>
        <w:rPr/>
        <w:t>MNT-06: Maintenance Personnel</w:t>
      </w:r>
      <w:bookmarkEnd w:id="1326"/>
      <w:bookmarkEnd w:id="1327"/>
      <w:bookmarkEnd w:id="1328"/>
    </w:p>
    <w:p>
      <w:pPr>
        <w:pStyle w:val="Normal"/>
        <w:rPr/>
      </w:pPr>
      <w:r>
        <w:rPr>
          <w:u w:val="single"/>
        </w:rPr>
        <w:t>Control Objective</w:t>
      </w:r>
      <w:r>
        <w:rPr/>
        <w:t>: The organization:</w:t>
      </w:r>
      <w:r>
        <w:rPr>
          <w:rStyle w:val="FootnoteAnchor"/>
          <w:rStyle w:val="FootnoteAnchor"/>
          <w:rFonts w:cs="Calibri"/>
        </w:rPr>
        <w:footnoteReference w:id="423"/>
      </w:r>
      <w:r>
        <w:rPr/>
        <w:t xml:space="preserve"> </w:t>
      </w:r>
    </w:p>
    <w:p>
      <w:pPr>
        <w:pStyle w:val="ListParagraph"/>
        <w:numPr>
          <w:ilvl w:val="0"/>
          <w:numId w:val="44"/>
        </w:numPr>
        <w:rPr/>
      </w:pPr>
      <w:r>
        <w:rPr/>
        <w:t>Establishes a process for maintenance personnel authorization and maintains a current list of authorized maintenance organizations or personnel; and</w:t>
      </w:r>
    </w:p>
    <w:p>
      <w:pPr>
        <w:pStyle w:val="ListParagraph"/>
        <w:numPr>
          <w:ilvl w:val="0"/>
          <w:numId w:val="44"/>
        </w:numPr>
        <w:rPr/>
      </w:pPr>
      <w:r>
        <w:rPr/>
        <w:t>Ensures that personnel performing maintenance on the system have required access authorizations or designates organizational personnel with required access authorizations and technical competence deemed necessary to supervise system maintenance when maintenance personnel do not possess the required access authorizations.</w:t>
      </w:r>
    </w:p>
    <w:p>
      <w:pPr>
        <w:pStyle w:val="Normal"/>
        <w:rPr/>
      </w:pPr>
      <w:r>
        <w:rPr/>
      </w:r>
    </w:p>
    <w:p>
      <w:pPr>
        <w:pStyle w:val="Normal"/>
        <w:rPr/>
      </w:pPr>
      <w:r>
        <w:rPr>
          <w:u w:val="single"/>
        </w:rPr>
        <w:t>Standard</w:t>
      </w:r>
      <w:r>
        <w:rPr/>
        <w:t>: Data/process owners and asset custodians are required to:</w:t>
      </w:r>
    </w:p>
    <w:p>
      <w:pPr>
        <w:pStyle w:val="ListParagraph"/>
        <w:numPr>
          <w:ilvl w:val="0"/>
          <w:numId w:val="398"/>
        </w:numPr>
        <w:rPr/>
      </w:pPr>
      <w:r>
        <w:rPr/>
        <w:t>Establish a process for maintenance personnel authorization and maintain a current list of authorized maintenance organizations or personnel; and</w:t>
      </w:r>
    </w:p>
    <w:p>
      <w:pPr>
        <w:pStyle w:val="ListParagraph"/>
        <w:numPr>
          <w:ilvl w:val="0"/>
          <w:numId w:val="398"/>
        </w:numPr>
        <w:rPr/>
      </w:pPr>
      <w:r>
        <w:rPr/>
        <w:t>Ensure that personnel performing maintenance have required access authorizations or designate specific personnel with required access authorizations and technical competence necessary to supervise the maintenance when maintenance personnel do not possess the required access authorizations.</w:t>
      </w:r>
    </w:p>
    <w:p>
      <w:pPr>
        <w:pStyle w:val="Normal"/>
        <w:rPr/>
      </w:pPr>
      <w:r>
        <w:rPr/>
      </w:r>
    </w:p>
    <w:p>
      <w:pPr>
        <w:pStyle w:val="Normal"/>
        <w:rPr/>
      </w:pPr>
      <w:r>
        <w:rPr>
          <w:u w:val="single"/>
        </w:rPr>
        <w:t>Guidelines</w:t>
      </w:r>
      <w:r>
        <w:rPr/>
        <w:t xml:space="preserve">: This applies to individuals performing hardware or software maintenance on organizational systems and to individuals whose maintenance duties place them within the physical protection perimeter of the systems. Individuals who might be located within the physical protection perimeter include, for example, physical plant maintenance personnel and janitorial staff. Technical competence of supervising individuals relates to the maintenance performed on the systems while having required access authorizations refers to maintenance on and near the systems. Individuals not previously identified as authorized maintenance personnel, such as information technology manufacturers, vendors and consultants, may require privileged access to organizational systems, for example, when required to conduct maintenance activities with little or no notice. Based on organizational assessments of risk, organizations may issue temporary credentials to these individuals. Temporary credentials may be for one-time use or for very limited time periods. </w:t>
      </w:r>
    </w:p>
    <w:p>
      <w:pPr>
        <w:pStyle w:val="Normal"/>
        <w:rPr/>
      </w:pPr>
      <w:r>
        <w:rPr/>
      </w:r>
    </w:p>
    <w:p>
      <w:pPr>
        <w:pStyle w:val="Heading3"/>
        <w:rPr/>
      </w:pPr>
      <w:bookmarkStart w:id="1329" w:name="_Toc34921041"/>
      <w:bookmarkStart w:id="1330" w:name="_Toc474075123"/>
      <w:r>
        <w:rPr/>
        <w:t xml:space="preserve">MNT-06(a): Maintenance Personnel | </w:t>
      </w:r>
      <w:bookmarkEnd w:id="1330"/>
      <w:r>
        <w:rPr/>
        <w:t>Maintenance Personnel Without Appropriate Access</w:t>
      </w:r>
      <w:bookmarkEnd w:id="1329"/>
    </w:p>
    <w:p>
      <w:pPr>
        <w:pStyle w:val="Normal"/>
        <w:rPr/>
      </w:pPr>
      <w:r>
        <w:rPr>
          <w:u w:val="single"/>
        </w:rPr>
        <w:t>Control Objective</w:t>
      </w:r>
      <w:r>
        <w:rPr/>
        <w:t>: The organization:</w:t>
      </w:r>
      <w:r>
        <w:rPr>
          <w:rStyle w:val="FootnoteAnchor"/>
          <w:rStyle w:val="FootnoteAnchor"/>
          <w:rFonts w:cs="Calibri"/>
        </w:rPr>
        <w:footnoteReference w:id="424"/>
      </w:r>
    </w:p>
    <w:p>
      <w:pPr>
        <w:pStyle w:val="ListParagraph"/>
        <w:numPr>
          <w:ilvl w:val="0"/>
          <w:numId w:val="399"/>
        </w:numPr>
        <w:rPr/>
      </w:pPr>
      <w:r>
        <w:rPr/>
        <w:t>Implements procedures for maintenance personnel who lack appropriate security clearances or are not U.S. citizens, that include the following requirements:</w:t>
      </w:r>
    </w:p>
    <w:p>
      <w:pPr>
        <w:pStyle w:val="ListParagraph"/>
        <w:numPr>
          <w:ilvl w:val="1"/>
          <w:numId w:val="399"/>
        </w:numPr>
        <w:rPr/>
      </w:pPr>
      <w:r>
        <w:rPr/>
        <w:t>Maintenance personnel who do not have needed access authorizations, clearances or formal access approvals are escorted and supervised during the performance of maintenance and diagnostic activities on the system by approved organizational personnel who are fully cleared, have appropriate access authorizations and are technically qualified;</w:t>
      </w:r>
    </w:p>
    <w:p>
      <w:pPr>
        <w:pStyle w:val="ListParagraph"/>
        <w:numPr>
          <w:ilvl w:val="1"/>
          <w:numId w:val="399"/>
        </w:numPr>
        <w:rPr/>
      </w:pPr>
      <w:r>
        <w:rPr/>
        <w:t>Prior to initiating maintenance or diagnostic activities by personnel who do not have needed access authorizations, clearances or formal access approvals, all volatile information storage components within the system are sanitized and all nonvolatile storage media are removed or physically disconnected from the system and secured; and</w:t>
      </w:r>
    </w:p>
    <w:p>
      <w:pPr>
        <w:pStyle w:val="ListParagraph"/>
        <w:numPr>
          <w:ilvl w:val="0"/>
          <w:numId w:val="399"/>
        </w:numPr>
        <w:rPr/>
      </w:pPr>
      <w:r>
        <w:rPr/>
        <w:t>Develops and implements alternate security safeguards in the event an system component cannot be sanitized, removed or disconnected from the system.</w:t>
      </w:r>
    </w:p>
    <w:p>
      <w:pPr>
        <w:pStyle w:val="Normal"/>
        <w:rPr/>
      </w:pPr>
      <w:r>
        <w:rPr/>
      </w:r>
    </w:p>
    <w:p>
      <w:pPr>
        <w:pStyle w:val="Normal"/>
        <w:rPr/>
      </w:pPr>
      <w:r>
        <w:rPr>
          <w:u w:val="single"/>
        </w:rPr>
        <w:t>Standard</w:t>
      </w:r>
      <w:r>
        <w:rPr/>
        <w:t>: Where technically feasible and justified by a valid business case, NFCC shall implement procedures to manage maintenance personnel that lack appropriate security clearances or are not U.S. citizens.</w:t>
      </w:r>
    </w:p>
    <w:p>
      <w:pPr>
        <w:pStyle w:val="Normal"/>
        <w:rPr/>
      </w:pPr>
      <w:r>
        <w:rPr/>
      </w:r>
    </w:p>
    <w:p>
      <w:pPr>
        <w:pStyle w:val="Normal"/>
        <w:rPr/>
      </w:pPr>
      <w:r>
        <w:rPr>
          <w:u w:val="single"/>
        </w:rPr>
        <w:t>Guidelines</w:t>
      </w:r>
      <w:r>
        <w:rPr/>
        <w:t>: This standard denies individuals who lack appropriate security clearances (e.g., individuals who do not possess security clearances or possess security clearances at a lower level than required) or who are not U.S. citizens, visual and electronic access to any classified information, Controlled Unclassified Information (CUI) or any other sensitive information contained in organizational systems. Procedures for the use of maintenance personnel can be documented in security plans for the systems.</w:t>
      </w:r>
    </w:p>
    <w:p>
      <w:pPr>
        <w:pStyle w:val="Normal"/>
        <w:rPr/>
      </w:pPr>
      <w:r>
        <w:rPr/>
      </w:r>
    </w:p>
    <w:p>
      <w:pPr>
        <w:pStyle w:val="Heading3"/>
        <w:rPr/>
      </w:pPr>
      <w:bookmarkStart w:id="1331" w:name="_Toc34921042"/>
      <w:r>
        <w:rPr/>
        <w:t>MNT-06(b): Maintenance Personnel | Non-System Related Maintenance</w:t>
      </w:r>
      <w:bookmarkEnd w:id="1331"/>
      <w:r>
        <w:rPr/>
        <w:t xml:space="preserve"> </w:t>
      </w:r>
    </w:p>
    <w:p>
      <w:pPr>
        <w:pStyle w:val="Normal"/>
        <w:rPr>
          <w:rFonts w:cs="Calibri"/>
        </w:rPr>
      </w:pPr>
      <w:r>
        <w:rPr>
          <w:rFonts w:cs="Calibri"/>
          <w:u w:val="single"/>
        </w:rPr>
        <w:t>Control Objective</w:t>
      </w:r>
      <w:r>
        <w:rPr>
          <w:rFonts w:cs="Calibri"/>
        </w:rPr>
        <w:t>:</w:t>
      </w:r>
      <w:r>
        <w:rPr>
          <w:rFonts w:cs="Calibri"/>
          <w:bCs w:val="false"/>
        </w:rPr>
        <w:t xml:space="preserve"> </w:t>
      </w:r>
      <w:r>
        <w:rPr>
          <w:rFonts w:cs="Calibri"/>
        </w:rPr>
        <w:t>The organization ensures that non-escorted personnel performing maintenance activities not directly associated with the information system but in the physical proximity of the system, have required access authorizations.</w:t>
      </w:r>
      <w:r>
        <w:rPr>
          <w:rStyle w:val="FootnoteCharacters"/>
          <w:rFonts w:cs="Calibri"/>
        </w:rPr>
        <w:t xml:space="preserve"> </w:t>
      </w:r>
      <w:r>
        <w:rPr>
          <w:rStyle w:val="FootnoteAnchor"/>
          <w:rStyle w:val="FootnoteAnchor"/>
          <w:rFonts w:cs="Calibri"/>
        </w:rPr>
        <w:footnoteReference w:id="425"/>
      </w:r>
    </w:p>
    <w:p>
      <w:pPr>
        <w:pStyle w:val="Normal"/>
        <w:rPr>
          <w:rFonts w:cs="Calibri"/>
        </w:rPr>
      </w:pPr>
      <w:r>
        <w:rPr>
          <w:rFonts w:cs="Calibri"/>
        </w:rPr>
      </w:r>
    </w:p>
    <w:p>
      <w:pPr>
        <w:pStyle w:val="Normal"/>
        <w:rPr>
          <w:rFonts w:cs="Calibri"/>
        </w:rPr>
      </w:pPr>
      <w:r>
        <w:rPr>
          <w:rFonts w:cs="Calibri"/>
          <w:u w:val="single"/>
        </w:rPr>
        <w:t>Standard</w:t>
      </w:r>
      <w:r>
        <w:rPr>
          <w:rFonts w:cs="Calibri"/>
        </w:rPr>
        <w:t>: NFCC requires non-escorted personnel performing maintenance activities not directly associated with the information system, but in the physical proximity of the system, have required access authorizations.</w:t>
      </w:r>
    </w:p>
    <w:p>
      <w:pPr>
        <w:pStyle w:val="Normal"/>
        <w:rPr>
          <w:rFonts w:cs="Calibri"/>
        </w:rPr>
      </w:pPr>
      <w:r>
        <w:rPr>
          <w:rFonts w:cs="Calibri"/>
        </w:rPr>
      </w:r>
    </w:p>
    <w:p>
      <w:pPr>
        <w:pStyle w:val="Normal"/>
        <w:rPr>
          <w:rFonts w:cs="Calibri"/>
        </w:rPr>
      </w:pPr>
      <w:r>
        <w:rPr>
          <w:rFonts w:cs="Calibri"/>
          <w:u w:val="single"/>
        </w:rPr>
        <w:t>Guidelines</w:t>
      </w:r>
      <w:r>
        <w:rPr>
          <w:rFonts w:cs="Calibri"/>
        </w:rPr>
        <w:t>: Personnel performing maintenance activities in other capacities not directly related to the information system include, for example, physical plant personnel and janitorial personnel.</w:t>
      </w:r>
      <w:bookmarkStart w:id="1332" w:name="_Hlk27579965"/>
      <w:bookmarkEnd w:id="1332"/>
    </w:p>
    <w:p>
      <w:pPr>
        <w:pStyle w:val="Normal"/>
        <w:rPr/>
      </w:pPr>
      <w:r>
        <w:rPr/>
      </w:r>
    </w:p>
    <w:p>
      <w:pPr>
        <w:pStyle w:val="Normal"/>
        <w:rPr/>
      </w:pPr>
      <w:r>
        <w:rPr/>
      </w:r>
    </w:p>
    <w:p>
      <w:pPr>
        <w:pStyle w:val="Normal"/>
        <w:rPr>
          <w:rFonts w:eastAsia="Calibri" w:cs="Calibri"/>
          <w:sz w:val="24"/>
        </w:rPr>
      </w:pPr>
      <w:r>
        <w:rPr>
          <w:rFonts w:eastAsia="Calibri" w:cs="Calibri"/>
          <w:sz w:val="24"/>
        </w:rPr>
      </w:r>
      <w:r>
        <w:br w:type="page"/>
      </w:r>
    </w:p>
    <w:p>
      <w:pPr>
        <w:pStyle w:val="Heading1"/>
        <w:rPr/>
      </w:pPr>
      <w:bookmarkStart w:id="1333" w:name="_Toc34921043"/>
      <w:bookmarkStart w:id="1334" w:name="_Toc474075126"/>
      <w:bookmarkStart w:id="1335" w:name="_Toc474075696"/>
      <w:r>
        <w:rPr/>
        <w:t>Mobile Device Management (MDM)</w:t>
      </w:r>
      <w:bookmarkEnd w:id="1334"/>
      <w:bookmarkEnd w:id="1335"/>
      <w:r>
        <w:rPr/>
        <w:t xml:space="preserve"> Policy &amp; Standards</w:t>
      </w:r>
      <w:bookmarkEnd w:id="1333"/>
    </w:p>
    <w:p>
      <w:pPr>
        <w:pStyle w:val="Normal"/>
        <w:rPr/>
      </w:pPr>
      <w:r>
        <w:rPr/>
      </w:r>
    </w:p>
    <w:p>
      <w:pPr>
        <w:pStyle w:val="Normal"/>
        <w:rPr/>
      </w:pPr>
      <w:r>
        <w:rPr>
          <w:u w:val="single"/>
        </w:rPr>
        <w:t>Management Intent</w:t>
      </w:r>
      <w:r>
        <w:rPr/>
        <w:t xml:space="preserve">: The purpose of the Mobile Device Management (MDM) policy is to identify </w:t>
      </w:r>
      <w:r>
        <w:rPr>
          <w:rFonts w:eastAsia="Calibri"/>
        </w:rPr>
        <w:t>security measures that should be adopted to manage the risks introduced by using mobile devices, regardless if the device is owned by NFCC, its users or trusted third-parties.</w:t>
        <w:tab/>
      </w:r>
    </w:p>
    <w:p>
      <w:pPr>
        <w:pStyle w:val="Normal"/>
        <w:rPr/>
      </w:pPr>
      <w:r>
        <w:rPr/>
      </w:r>
    </w:p>
    <w:p>
      <w:pPr>
        <w:pStyle w:val="Normal"/>
        <w:shd w:val="clear" w:color="auto" w:fill="DDD9C3" w:themeFill="background2" w:themeFillShade="e6"/>
        <w:rPr/>
      </w:pPr>
      <w:r>
        <w:rPr>
          <w:u w:val="single"/>
        </w:rPr>
        <w:t>Policy</w:t>
      </w:r>
      <w:r>
        <w:rPr/>
        <w:t xml:space="preserve">: As mobile devices pose an evolving risk to NFCC, security controls governing the use of such assets and the methods of connectivity shall be commensurate with assessed risks. </w:t>
      </w:r>
    </w:p>
    <w:p>
      <w:pPr>
        <w:pStyle w:val="Normal"/>
        <w:rPr>
          <w:u w:val="single"/>
        </w:rPr>
      </w:pPr>
      <w:r>
        <w:rPr>
          <w:u w:val="single"/>
        </w:rPr>
      </w:r>
    </w:p>
    <w:p>
      <w:pPr>
        <w:pStyle w:val="Normal"/>
        <w:rPr/>
      </w:pPr>
      <w:r>
        <w:rPr>
          <w:u w:val="single"/>
        </w:rPr>
        <w:t>Supporting Documentation</w:t>
      </w:r>
      <w:r>
        <w:rPr/>
        <w:t xml:space="preserve">: This policy is supported by the following control objectives, standards and guidelines. </w:t>
      </w:r>
    </w:p>
    <w:p>
      <w:pPr>
        <w:pStyle w:val="Normal"/>
        <w:rPr/>
      </w:pPr>
      <w:r>
        <w:rPr/>
      </w:r>
    </w:p>
    <w:p>
      <w:pPr>
        <w:pStyle w:val="Normal"/>
        <w:rPr/>
      </w:pPr>
      <w:r>
        <w:rPr/>
      </w:r>
    </w:p>
    <w:p>
      <w:pPr>
        <w:pStyle w:val="Heading2"/>
        <w:rPr/>
      </w:pPr>
      <w:bookmarkStart w:id="1336" w:name="_Toc474075127"/>
      <w:bookmarkStart w:id="1337" w:name="_Toc474075697"/>
      <w:bookmarkStart w:id="1338" w:name="_Toc34921044"/>
      <w:r>
        <w:rPr/>
        <w:t>MDM-01: Centralized Management Of Mobile Devices</w:t>
      </w:r>
      <w:bookmarkEnd w:id="1336"/>
      <w:bookmarkEnd w:id="1337"/>
      <w:bookmarkEnd w:id="1338"/>
      <w:r>
        <w:rPr/>
        <w:t xml:space="preserve"> </w:t>
      </w:r>
    </w:p>
    <w:p>
      <w:pPr>
        <w:pStyle w:val="Normal"/>
        <w:rPr/>
      </w:pPr>
      <w:r>
        <w:rPr>
          <w:u w:val="single"/>
        </w:rPr>
        <w:t>Control Objective</w:t>
      </w:r>
      <w:r>
        <w:rPr/>
        <w:t>: The organization develops, implements and governs processes and documentation to facilitate the implementation of an enterprise-wide mobile device management policy, as well as associated standards, controls and procedures.</w:t>
      </w:r>
    </w:p>
    <w:p>
      <w:pPr>
        <w:pStyle w:val="Normal"/>
        <w:rPr/>
      </w:pPr>
      <w:r>
        <w:rPr/>
      </w:r>
    </w:p>
    <w:p>
      <w:pPr>
        <w:pStyle w:val="Normal"/>
        <w:rPr/>
      </w:pPr>
      <w:r>
        <w:rPr>
          <w:u w:val="single"/>
        </w:rPr>
        <w:t>Standard</w:t>
      </w:r>
      <w:r>
        <w:rPr/>
        <w:t>: Where technically feasible, NFCC requires:</w:t>
      </w:r>
    </w:p>
    <w:p>
      <w:pPr>
        <w:pStyle w:val="ListParagraph"/>
        <w:numPr>
          <w:ilvl w:val="0"/>
          <w:numId w:val="400"/>
        </w:numPr>
        <w:rPr/>
      </w:pPr>
      <w:r>
        <w:rPr/>
        <w:t xml:space="preserve">A centrally-managed by a mobile device management solution; </w:t>
      </w:r>
    </w:p>
    <w:p>
      <w:pPr>
        <w:pStyle w:val="ListParagraph"/>
        <w:numPr>
          <w:ilvl w:val="0"/>
          <w:numId w:val="400"/>
        </w:numPr>
        <w:rPr/>
      </w:pPr>
      <w:r>
        <w:rPr/>
        <w:t xml:space="preserve">Passwords are enabled in accordance with NFCC’s existing password standards; </w:t>
      </w:r>
    </w:p>
    <w:p>
      <w:pPr>
        <w:pStyle w:val="ListParagraph"/>
        <w:numPr>
          <w:ilvl w:val="0"/>
          <w:numId w:val="400"/>
        </w:numPr>
        <w:rPr/>
      </w:pPr>
      <w:r>
        <w:rPr/>
        <w:t xml:space="preserve">Maintain an inventory of all authorized mobile devices used to store and access NFCC data; </w:t>
      </w:r>
    </w:p>
    <w:p>
      <w:pPr>
        <w:pStyle w:val="ListParagraph"/>
        <w:numPr>
          <w:ilvl w:val="0"/>
          <w:numId w:val="400"/>
        </w:numPr>
        <w:rPr/>
      </w:pPr>
      <w:r>
        <w:rPr/>
        <w:t>Define approved application stores for mobile devices accessing or storing sensitive data; and</w:t>
      </w:r>
    </w:p>
    <w:p>
      <w:pPr>
        <w:pStyle w:val="ListParagraph"/>
        <w:numPr>
          <w:ilvl w:val="0"/>
          <w:numId w:val="400"/>
        </w:numPr>
        <w:rPr/>
      </w:pPr>
      <w:r>
        <w:rPr/>
        <w:t xml:space="preserve">Alert security personnel when mobile devices are rooted or jailbroken. </w:t>
      </w:r>
    </w:p>
    <w:p>
      <w:pPr>
        <w:pStyle w:val="Normal"/>
        <w:rPr/>
      </w:pPr>
      <w:r>
        <w:rPr/>
      </w:r>
    </w:p>
    <w:p>
      <w:pPr>
        <w:pStyle w:val="Normal"/>
        <w:rPr/>
      </w:pPr>
      <w:r>
        <w:rPr>
          <w:u w:val="single"/>
        </w:rPr>
        <w:t>Guidelines</w:t>
      </w:r>
      <w:r>
        <w:rPr/>
        <w:t xml:space="preserve">: This standard applies to mobile devices that are organization-controlled and excludes portable storage media. </w:t>
      </w:r>
    </w:p>
    <w:p>
      <w:pPr>
        <w:pStyle w:val="Normal"/>
        <w:rPr>
          <w:u w:val="single"/>
        </w:rPr>
      </w:pPr>
      <w:r>
        <w:rPr>
          <w:u w:val="single"/>
        </w:rPr>
      </w:r>
    </w:p>
    <w:p>
      <w:pPr>
        <w:pStyle w:val="Normal"/>
        <w:rPr/>
      </w:pPr>
      <w:r>
        <w:rPr/>
      </w:r>
    </w:p>
    <w:p>
      <w:pPr>
        <w:pStyle w:val="Heading2"/>
        <w:rPr/>
      </w:pPr>
      <w:bookmarkStart w:id="1339" w:name="_Toc474075128"/>
      <w:bookmarkStart w:id="1340" w:name="_Toc474075698"/>
      <w:bookmarkStart w:id="1341" w:name="_Toc34921045"/>
      <w:r>
        <w:rPr/>
        <w:t>MDM-02: Access Control For Mobile Devices</w:t>
      </w:r>
      <w:bookmarkEnd w:id="1339"/>
      <w:bookmarkEnd w:id="1340"/>
      <w:bookmarkEnd w:id="1341"/>
    </w:p>
    <w:p>
      <w:pPr>
        <w:pStyle w:val="Normal"/>
        <w:rPr/>
      </w:pPr>
      <w:r>
        <w:rPr>
          <w:u w:val="single"/>
        </w:rPr>
        <w:t>Control Objective</w:t>
      </w:r>
      <w:r>
        <w:rPr/>
        <w:t>: The organization:</w:t>
      </w:r>
      <w:r>
        <w:rPr>
          <w:rStyle w:val="FootnoteAnchor"/>
          <w:rStyle w:val="FootnoteAnchor"/>
          <w:rFonts w:cs="Calibri"/>
        </w:rPr>
        <w:footnoteReference w:id="426"/>
      </w:r>
      <w:r>
        <w:rPr/>
        <w:t xml:space="preserve"> </w:t>
      </w:r>
      <w:r>
        <w:fldChar w:fldCharType="begin"/>
      </w:r>
      <w:r>
        <w:rPr/>
        <w:instrText> XE "Mobile Devices: : " </w:instrText>
      </w:r>
      <w:r>
        <w:rPr/>
        <w:fldChar w:fldCharType="separate"/>
      </w:r>
      <w:r>
        <w:rPr/>
      </w:r>
      <w:r>
        <w:rPr/>
        <w:fldChar w:fldCharType="end"/>
      </w:r>
    </w:p>
    <w:p>
      <w:pPr>
        <w:pStyle w:val="ListParagraph"/>
        <w:numPr>
          <w:ilvl w:val="0"/>
          <w:numId w:val="539"/>
        </w:numPr>
        <w:rPr/>
      </w:pPr>
      <w:r>
        <w:rPr/>
        <w:t>Establishes usage restrictions and implementation guidance for organization-controlled mobile devices;</w:t>
      </w:r>
    </w:p>
    <w:p>
      <w:pPr>
        <w:pStyle w:val="ListParagraph"/>
        <w:numPr>
          <w:ilvl w:val="0"/>
          <w:numId w:val="539"/>
        </w:numPr>
        <w:rPr/>
      </w:pPr>
      <w:r>
        <w:rPr/>
        <w:t>Authorizes the connection of mobile devices meeting organizational usage restrictions and implementation guidance to organizational systems;</w:t>
      </w:r>
    </w:p>
    <w:p>
      <w:pPr>
        <w:pStyle w:val="ListParagraph"/>
        <w:numPr>
          <w:ilvl w:val="0"/>
          <w:numId w:val="539"/>
        </w:numPr>
        <w:rPr/>
      </w:pPr>
      <w:r>
        <w:rPr/>
        <w:t>Monitors for unauthorized connections of mobile devices to organizational systems;</w:t>
      </w:r>
    </w:p>
    <w:p>
      <w:pPr>
        <w:pStyle w:val="ListParagraph"/>
        <w:numPr>
          <w:ilvl w:val="0"/>
          <w:numId w:val="539"/>
        </w:numPr>
        <w:rPr/>
      </w:pPr>
      <w:r>
        <w:rPr/>
        <w:t>Enforces requirements for the connection of mobile devices to organizational systems; and</w:t>
      </w:r>
    </w:p>
    <w:p>
      <w:pPr>
        <w:pStyle w:val="ListParagraph"/>
        <w:numPr>
          <w:ilvl w:val="0"/>
          <w:numId w:val="539"/>
        </w:numPr>
        <w:rPr/>
      </w:pPr>
      <w:r>
        <w:rPr/>
        <w:t>Disables system functionality that provides the capability for automatic execution of code on mobile devices without user direction.</w:t>
      </w:r>
    </w:p>
    <w:p>
      <w:pPr>
        <w:pStyle w:val="Normal"/>
        <w:rPr/>
      </w:pPr>
      <w:r>
        <w:rPr/>
      </w:r>
    </w:p>
    <w:p>
      <w:pPr>
        <w:pStyle w:val="Normal"/>
        <w:rPr/>
      </w:pPr>
      <w:r>
        <w:rPr>
          <w:u w:val="single"/>
        </w:rPr>
        <w:t>Standard</w:t>
      </w:r>
      <w:r>
        <w:rPr/>
        <w:t xml:space="preserve">: For NFCC-owned mobile devices, the following is required: </w:t>
      </w:r>
    </w:p>
    <w:p>
      <w:pPr>
        <w:pStyle w:val="ListParagraph"/>
        <w:numPr>
          <w:ilvl w:val="0"/>
          <w:numId w:val="401"/>
        </w:numPr>
        <w:rPr/>
      </w:pPr>
      <w:r>
        <w:rPr>
          <w:u w:val="single"/>
        </w:rPr>
        <w:t>Loss / Theft</w:t>
      </w:r>
      <w:r>
        <w:rPr/>
        <w:t>. Immediately notify NFCC management if a mobile device is lost or stolen and the user must alert management to the circumstance of the loss and the data contained on the mobile device;</w:t>
      </w:r>
    </w:p>
    <w:p>
      <w:pPr>
        <w:pStyle w:val="ListParagraph"/>
        <w:numPr>
          <w:ilvl w:val="0"/>
          <w:numId w:val="401"/>
        </w:numPr>
        <w:rPr/>
      </w:pPr>
      <w:r>
        <w:rPr>
          <w:u w:val="single"/>
        </w:rPr>
        <w:t>Conduct.</w:t>
      </w:r>
      <w:r>
        <w:rPr/>
        <w:t xml:space="preserve"> Users must conduct themselves in accordance with NFCC’s Acceptable Use parameters (</w:t>
      </w:r>
      <w:r>
        <w:rPr>
          <w:i/>
          <w:u w:val="single"/>
        </w:rPr>
        <w:t>Annex 5: Rules of Behavior (Acceptable &amp; Unacceptable Use)</w:t>
      </w:r>
      <w:r>
        <w:rPr/>
        <w:t xml:space="preserve">); </w:t>
      </w:r>
    </w:p>
    <w:p>
      <w:pPr>
        <w:pStyle w:val="ListParagraph"/>
        <w:numPr>
          <w:ilvl w:val="0"/>
          <w:numId w:val="401"/>
        </w:numPr>
        <w:rPr/>
      </w:pPr>
      <w:r>
        <w:rPr>
          <w:u w:val="single"/>
        </w:rPr>
        <w:t>Passwords.</w:t>
      </w:r>
      <w:r>
        <w:rPr/>
        <w:t xml:space="preserve"> A password or PIN with a minimum of four (4) characters must be used to log onto the device;</w:t>
      </w:r>
    </w:p>
    <w:p>
      <w:pPr>
        <w:pStyle w:val="ListParagraph"/>
        <w:numPr>
          <w:ilvl w:val="0"/>
          <w:numId w:val="401"/>
        </w:numPr>
        <w:rPr/>
      </w:pPr>
      <w:r>
        <w:rPr>
          <w:u w:val="single"/>
        </w:rPr>
        <w:t>Lockout</w:t>
      </w:r>
      <w:r>
        <w:rPr/>
        <w:t>. The mobile device must be set to delete all data or lock internally after ten (10) unsuccessful attempts to enter a password or PIN;</w:t>
      </w:r>
    </w:p>
    <w:p>
      <w:pPr>
        <w:pStyle w:val="ListParagraph"/>
        <w:numPr>
          <w:ilvl w:val="0"/>
          <w:numId w:val="401"/>
        </w:numPr>
        <w:rPr/>
      </w:pPr>
      <w:r>
        <w:rPr>
          <w:u w:val="single"/>
        </w:rPr>
        <w:t>Encryption.</w:t>
      </w:r>
      <w:r>
        <w:rPr/>
        <w:t xml:space="preserve"> The data on the mobile device must be encrypted;</w:t>
      </w:r>
    </w:p>
    <w:p>
      <w:pPr>
        <w:pStyle w:val="ListParagraph"/>
        <w:numPr>
          <w:ilvl w:val="0"/>
          <w:numId w:val="401"/>
        </w:numPr>
        <w:rPr/>
      </w:pPr>
      <w:r>
        <w:rPr>
          <w:u w:val="single"/>
        </w:rPr>
        <w:t>Message Storage Limits</w:t>
      </w:r>
      <w:r>
        <w:rPr/>
        <w:t>. Users may not store more than two hundred (200) messages or fourteen (14) days of messages on a mobile device;</w:t>
      </w:r>
    </w:p>
    <w:p>
      <w:pPr>
        <w:pStyle w:val="ListParagraph"/>
        <w:numPr>
          <w:ilvl w:val="0"/>
          <w:numId w:val="401"/>
        </w:numPr>
        <w:rPr/>
      </w:pPr>
      <w:r>
        <w:rPr>
          <w:u w:val="single"/>
        </w:rPr>
        <w:t>Data Backups.</w:t>
      </w:r>
      <w:r>
        <w:rPr/>
        <w:t xml:space="preserve"> If the user backs up the data from the mobile device to another device that is not encrypted (e.g., backing up a tablet using an unencrypted computer) then the backup data must be encrypted;</w:t>
      </w:r>
    </w:p>
    <w:p>
      <w:pPr>
        <w:pStyle w:val="ListParagraph"/>
        <w:numPr>
          <w:ilvl w:val="0"/>
          <w:numId w:val="401"/>
        </w:numPr>
        <w:rPr/>
      </w:pPr>
      <w:r>
        <w:rPr>
          <w:u w:val="single"/>
        </w:rPr>
        <w:t>Software Protections.</w:t>
      </w:r>
      <w:r>
        <w:rPr/>
        <w:t xml:space="preserve"> Applications that create, store, access, send or receive ePHI must meet NFCC security standards and custom developed applications used on mobile devices must undergo a security design review;</w:t>
      </w:r>
    </w:p>
    <w:p>
      <w:pPr>
        <w:pStyle w:val="ListParagraph"/>
        <w:numPr>
          <w:ilvl w:val="0"/>
          <w:numId w:val="401"/>
        </w:numPr>
        <w:rPr/>
      </w:pPr>
      <w:r>
        <w:rPr>
          <w:u w:val="single"/>
        </w:rPr>
        <w:t>Antimalware.</w:t>
      </w:r>
      <w:r>
        <w:rPr/>
        <w:t xml:space="preserve"> Antimalware software must be installed on mobile devices that are capable of running such software:</w:t>
      </w:r>
    </w:p>
    <w:p>
      <w:pPr>
        <w:pStyle w:val="ListParagraph"/>
        <w:numPr>
          <w:ilvl w:val="1"/>
          <w:numId w:val="401"/>
        </w:numPr>
        <w:rPr/>
      </w:pPr>
      <w:r>
        <w:rPr>
          <w:u w:val="single"/>
        </w:rPr>
        <w:t>Android</w:t>
      </w:r>
      <w:r>
        <w:rPr/>
        <w:t>: Android devices are required to have antimalware software installed;</w:t>
      </w:r>
    </w:p>
    <w:p>
      <w:pPr>
        <w:pStyle w:val="ListParagraph"/>
        <w:numPr>
          <w:ilvl w:val="1"/>
          <w:numId w:val="401"/>
        </w:numPr>
        <w:rPr/>
      </w:pPr>
      <w:r>
        <w:rPr>
          <w:u w:val="single"/>
        </w:rPr>
        <w:t>Windows</w:t>
      </w:r>
      <w:r>
        <w:rPr/>
        <w:t>: Windows devices are required to have antimalware software installed;</w:t>
      </w:r>
    </w:p>
    <w:p>
      <w:pPr>
        <w:pStyle w:val="ListParagraph"/>
        <w:numPr>
          <w:ilvl w:val="1"/>
          <w:numId w:val="401"/>
        </w:numPr>
        <w:rPr/>
      </w:pPr>
      <w:r>
        <w:rPr>
          <w:u w:val="single"/>
        </w:rPr>
        <w:t>Apple</w:t>
      </w:r>
      <w:r>
        <w:rPr/>
        <w:t>: The Apple iOS is not currently capable of running antimalware software, since no such software exists, based on the design of iOS;</w:t>
      </w:r>
    </w:p>
    <w:p>
      <w:pPr>
        <w:pStyle w:val="ListParagraph"/>
        <w:numPr>
          <w:ilvl w:val="0"/>
          <w:numId w:val="401"/>
        </w:numPr>
        <w:rPr/>
      </w:pPr>
      <w:r>
        <w:rPr>
          <w:u w:val="single"/>
        </w:rPr>
        <w:t>Updates.</w:t>
      </w:r>
      <w:r>
        <w:rPr/>
        <w:t xml:space="preserve"> Mobile devices and installed applications must be kept updated with the latest vendor software releases:</w:t>
      </w:r>
    </w:p>
    <w:p>
      <w:pPr>
        <w:pStyle w:val="ListParagraph"/>
        <w:numPr>
          <w:ilvl w:val="1"/>
          <w:numId w:val="401"/>
        </w:numPr>
        <w:rPr/>
      </w:pPr>
      <w:r>
        <w:rPr>
          <w:u w:val="single"/>
        </w:rPr>
        <w:t>Operating Systems</w:t>
      </w:r>
      <w:r>
        <w:rPr/>
        <w:t>: The most recent operating system available for the mobile data device must be used;</w:t>
      </w:r>
    </w:p>
    <w:p>
      <w:pPr>
        <w:pStyle w:val="ListParagraph"/>
        <w:numPr>
          <w:ilvl w:val="1"/>
          <w:numId w:val="401"/>
        </w:numPr>
        <w:rPr/>
      </w:pPr>
      <w:r>
        <w:rPr>
          <w:u w:val="single"/>
        </w:rPr>
        <w:t>Applications</w:t>
      </w:r>
      <w:r>
        <w:rPr/>
        <w:t>: Available security updates for any applications must be applied in a regular and timely manner unless instructed otherwise by NFCC IT staff;</w:t>
      </w:r>
    </w:p>
    <w:p>
      <w:pPr>
        <w:pStyle w:val="ListParagraph"/>
        <w:numPr>
          <w:ilvl w:val="0"/>
          <w:numId w:val="401"/>
        </w:numPr>
        <w:rPr/>
      </w:pPr>
      <w:r>
        <w:rPr>
          <w:u w:val="single"/>
        </w:rPr>
        <w:t>Rooting</w:t>
      </w:r>
      <w:r>
        <w:rPr/>
        <w:t>: Users must not circumvent the security of mobile devices by removing limitations designed to protect the device (e.g., “jailbreaking”) and users must not tamper with the mobile device by using unauthorized software, hardware or other methods; and</w:t>
      </w:r>
    </w:p>
    <w:p>
      <w:pPr>
        <w:pStyle w:val="ListParagraph"/>
        <w:numPr>
          <w:ilvl w:val="0"/>
          <w:numId w:val="401"/>
        </w:numPr>
        <w:rPr/>
      </w:pPr>
      <w:r>
        <w:rPr>
          <w:u w:val="single"/>
        </w:rPr>
        <w:t>Wireless</w:t>
      </w:r>
      <w:r>
        <w:rPr/>
        <w:t xml:space="preserve">: Users are required to utilize good judgment when connecting the mobile device to other devices and networks: </w:t>
      </w:r>
    </w:p>
    <w:p>
      <w:pPr>
        <w:pStyle w:val="ListParagraph"/>
        <w:numPr>
          <w:ilvl w:val="1"/>
          <w:numId w:val="401"/>
        </w:numPr>
        <w:rPr/>
      </w:pPr>
      <w:r>
        <w:rPr>
          <w:u w:val="single"/>
        </w:rPr>
        <w:t>Bluetooth</w:t>
      </w:r>
      <w:r>
        <w:rPr/>
        <w:t>: Passwords or PINs must be used to secure Bluetooth connections with devices and block unknown devices;</w:t>
      </w:r>
    </w:p>
    <w:p>
      <w:pPr>
        <w:pStyle w:val="ListParagraph"/>
        <w:numPr>
          <w:ilvl w:val="1"/>
          <w:numId w:val="401"/>
        </w:numPr>
        <w:rPr/>
      </w:pPr>
      <w:r>
        <w:rPr>
          <w:u w:val="single"/>
        </w:rPr>
        <w:t>WiFi</w:t>
      </w:r>
      <w:r>
        <w:rPr/>
        <w:t>: Users may use only secure (e.g., WPA2) WiFi networks known to be trustworthy; and</w:t>
      </w:r>
    </w:p>
    <w:p>
      <w:pPr>
        <w:pStyle w:val="ListParagraph"/>
        <w:numPr>
          <w:ilvl w:val="1"/>
          <w:numId w:val="401"/>
        </w:numPr>
        <w:rPr/>
      </w:pPr>
      <w:r>
        <w:rPr>
          <w:u w:val="single"/>
        </w:rPr>
        <w:t>Cellular</w:t>
      </w:r>
      <w:r>
        <w:rPr/>
        <w:t>: NFCC is not responsible for overages or data plans for cellular usage.</w:t>
      </w:r>
    </w:p>
    <w:p>
      <w:pPr>
        <w:pStyle w:val="Normal"/>
        <w:rPr/>
      </w:pPr>
      <w:r>
        <w:rPr/>
      </w:r>
    </w:p>
    <w:p>
      <w:pPr>
        <w:pStyle w:val="Normal"/>
        <w:rPr/>
      </w:pPr>
      <w:r>
        <w:rPr>
          <w:u w:val="single"/>
        </w:rPr>
        <w:t>Guidelines</w:t>
      </w:r>
      <w:r>
        <w:rPr/>
        <w:t xml:space="preserve">: Mobile devices include, but are not limited to: </w:t>
      </w:r>
    </w:p>
    <w:p>
      <w:pPr>
        <w:pStyle w:val="ListParagraph"/>
        <w:numPr>
          <w:ilvl w:val="0"/>
          <w:numId w:val="87"/>
        </w:numPr>
        <w:rPr/>
      </w:pPr>
      <w:r>
        <w:rPr/>
        <w:t>Laptop computers;</w:t>
      </w:r>
    </w:p>
    <w:p>
      <w:pPr>
        <w:pStyle w:val="ListParagraph"/>
        <w:numPr>
          <w:ilvl w:val="0"/>
          <w:numId w:val="87"/>
        </w:numPr>
        <w:rPr/>
      </w:pPr>
      <w:r>
        <w:rPr/>
        <w:t>Palmtop computers;</w:t>
      </w:r>
    </w:p>
    <w:p>
      <w:pPr>
        <w:pStyle w:val="ListParagraph"/>
        <w:numPr>
          <w:ilvl w:val="0"/>
          <w:numId w:val="87"/>
        </w:numPr>
        <w:rPr/>
      </w:pPr>
      <w:r>
        <w:rPr/>
        <w:t>Smartphones;</w:t>
      </w:r>
    </w:p>
    <w:p>
      <w:pPr>
        <w:pStyle w:val="ListParagraph"/>
        <w:numPr>
          <w:ilvl w:val="0"/>
          <w:numId w:val="87"/>
        </w:numPr>
        <w:rPr/>
      </w:pPr>
      <w:r>
        <w:rPr/>
        <w:t>Personal Digital Assistants (PDAs);</w:t>
      </w:r>
    </w:p>
    <w:p>
      <w:pPr>
        <w:pStyle w:val="ListParagraph"/>
        <w:numPr>
          <w:ilvl w:val="0"/>
          <w:numId w:val="87"/>
        </w:numPr>
        <w:rPr/>
      </w:pPr>
      <w:r>
        <w:rPr/>
        <w:t>FireWire devices;</w:t>
      </w:r>
    </w:p>
    <w:p>
      <w:pPr>
        <w:pStyle w:val="ListParagraph"/>
        <w:numPr>
          <w:ilvl w:val="0"/>
          <w:numId w:val="87"/>
        </w:numPr>
        <w:rPr/>
      </w:pPr>
      <w:r>
        <w:rPr/>
        <w:t>Universal Serial Bus (USB) devices;</w:t>
      </w:r>
    </w:p>
    <w:p>
      <w:pPr>
        <w:pStyle w:val="ListParagraph"/>
        <w:numPr>
          <w:ilvl w:val="0"/>
          <w:numId w:val="87"/>
        </w:numPr>
        <w:rPr/>
      </w:pPr>
      <w:r>
        <w:rPr/>
        <w:t>CDs &amp; DVDs;</w:t>
      </w:r>
    </w:p>
    <w:p>
      <w:pPr>
        <w:pStyle w:val="ListParagraph"/>
        <w:numPr>
          <w:ilvl w:val="0"/>
          <w:numId w:val="87"/>
        </w:numPr>
        <w:rPr/>
      </w:pPr>
      <w:r>
        <w:rPr/>
        <w:t>Flash drives;</w:t>
      </w:r>
    </w:p>
    <w:p>
      <w:pPr>
        <w:pStyle w:val="ListParagraph"/>
        <w:numPr>
          <w:ilvl w:val="0"/>
          <w:numId w:val="87"/>
        </w:numPr>
        <w:rPr/>
      </w:pPr>
      <w:r>
        <w:rPr/>
        <w:t>Modems;</w:t>
      </w:r>
    </w:p>
    <w:p>
      <w:pPr>
        <w:pStyle w:val="ListParagraph"/>
        <w:numPr>
          <w:ilvl w:val="0"/>
          <w:numId w:val="87"/>
        </w:numPr>
        <w:rPr/>
      </w:pPr>
      <w:r>
        <w:rPr/>
        <w:t>Handheld wireless devices;</w:t>
      </w:r>
    </w:p>
    <w:p>
      <w:pPr>
        <w:pStyle w:val="ListParagraph"/>
        <w:numPr>
          <w:ilvl w:val="0"/>
          <w:numId w:val="87"/>
        </w:numPr>
        <w:rPr/>
      </w:pPr>
      <w:r>
        <w:rPr/>
        <w:t>Wireless networking cards;</w:t>
      </w:r>
    </w:p>
    <w:p>
      <w:pPr>
        <w:pStyle w:val="ListParagraph"/>
        <w:numPr>
          <w:ilvl w:val="0"/>
          <w:numId w:val="87"/>
        </w:numPr>
        <w:rPr/>
      </w:pPr>
      <w:r>
        <w:rPr/>
        <w:t>Portable music players; and</w:t>
      </w:r>
    </w:p>
    <w:p>
      <w:pPr>
        <w:pStyle w:val="ListParagraph"/>
        <w:numPr>
          <w:ilvl w:val="0"/>
          <w:numId w:val="87"/>
        </w:numPr>
        <w:rPr/>
      </w:pPr>
      <w:r>
        <w:rPr/>
        <w:t xml:space="preserve">Any other existing or future mobile computing or storage device is defined as Personal Electronic Device (mobile device). </w:t>
      </w:r>
    </w:p>
    <w:p>
      <w:pPr>
        <w:pStyle w:val="Normal"/>
        <w:rPr/>
      </w:pPr>
      <w:r>
        <w:rPr/>
      </w:r>
    </w:p>
    <w:p>
      <w:pPr>
        <w:pStyle w:val="Normal"/>
        <w:rPr/>
      </w:pPr>
      <w:r>
        <w:rPr/>
      </w:r>
    </w:p>
    <w:p>
      <w:pPr>
        <w:pStyle w:val="Heading2"/>
        <w:rPr>
          <w:color w:val="FF0000"/>
        </w:rPr>
      </w:pPr>
      <w:bookmarkStart w:id="1342" w:name="_Toc474075129"/>
      <w:bookmarkStart w:id="1343" w:name="_Toc474075699"/>
      <w:bookmarkStart w:id="1344" w:name="_Toc34921046"/>
      <w:r>
        <w:rPr/>
        <w:t>MDM-03: Full Device &amp; Container-Based Encryption</w:t>
      </w:r>
      <w:bookmarkEnd w:id="1342"/>
      <w:bookmarkEnd w:id="1343"/>
      <w:bookmarkEnd w:id="1344"/>
      <w:r>
        <w:rPr/>
        <w:t xml:space="preserve"> </w:t>
      </w:r>
    </w:p>
    <w:p>
      <w:pPr>
        <w:pStyle w:val="Normal"/>
        <w:rPr/>
      </w:pPr>
      <w:r>
        <w:rPr>
          <w:u w:val="single"/>
        </w:rPr>
        <w:t>Control Objective</w:t>
      </w:r>
      <w:r>
        <w:rPr/>
        <w:t>: The organization employs full-device or container encryption to protect the confidentiality and integrity of information on organization-defined mobile devices.</w:t>
      </w:r>
      <w:r>
        <w:rPr>
          <w:rStyle w:val="FootnoteAnchor"/>
          <w:rStyle w:val="FootnoteAnchor"/>
          <w:rFonts w:cs="Calibri"/>
          <w:bCs w:val="false"/>
        </w:rPr>
        <w:footnoteReference w:id="427"/>
      </w:r>
    </w:p>
    <w:p>
      <w:pPr>
        <w:pStyle w:val="Normal"/>
        <w:rPr/>
      </w:pPr>
      <w:r>
        <w:rPr/>
      </w:r>
    </w:p>
    <w:p>
      <w:pPr>
        <w:pStyle w:val="Normal"/>
        <w:rPr/>
      </w:pPr>
      <w:r>
        <w:rPr>
          <w:u w:val="single"/>
        </w:rPr>
        <w:t>Standard</w:t>
      </w:r>
      <w:r>
        <w:rPr/>
        <w:t xml:space="preserve">: Through a mobile device management system, NFCC requires the use of encryption either for the entire device or for data identified as sensitive on all mobile devices. </w:t>
      </w:r>
    </w:p>
    <w:p>
      <w:pPr>
        <w:pStyle w:val="Normal"/>
        <w:rPr/>
      </w:pPr>
      <w:r>
        <w:rPr/>
      </w:r>
    </w:p>
    <w:p>
      <w:pPr>
        <w:pStyle w:val="Normal"/>
        <w:rPr/>
      </w:pPr>
      <w:r>
        <w:rPr>
          <w:u w:val="single"/>
        </w:rPr>
        <w:t>Guidelines</w:t>
      </w:r>
      <w:r>
        <w:rPr/>
        <w:t>: Container-based encryption provides a more fine-grained approach to the encryption of data / information on mobile devices, including, for example, encrypting selected data structures such as files, records or fields.</w:t>
      </w:r>
    </w:p>
    <w:p>
      <w:pPr>
        <w:pStyle w:val="Normal"/>
        <w:rPr/>
      </w:pPr>
      <w:r>
        <w:rPr/>
      </w:r>
    </w:p>
    <w:p>
      <w:pPr>
        <w:pStyle w:val="Normal"/>
        <w:tabs>
          <w:tab w:val="clear" w:pos="360"/>
          <w:tab w:val="clear" w:pos="720"/>
          <w:tab w:val="clear" w:pos="1080"/>
        </w:tabs>
        <w:jc w:val="left"/>
        <w:rPr/>
      </w:pPr>
      <w:r>
        <w:rPr/>
      </w:r>
    </w:p>
    <w:p>
      <w:pPr>
        <w:pStyle w:val="Heading2"/>
        <w:rPr>
          <w:color w:val="FF0000"/>
        </w:rPr>
      </w:pPr>
      <w:bookmarkStart w:id="1345" w:name="_Toc34921047"/>
      <w:bookmarkStart w:id="1346" w:name="_Toc474075130"/>
      <w:bookmarkStart w:id="1347" w:name="_Toc474075700"/>
      <w:r>
        <w:rPr/>
        <w:t>MDM-04: Tamper Protection &amp; Detection</w:t>
      </w:r>
      <w:bookmarkEnd w:id="1345"/>
      <w:bookmarkEnd w:id="1346"/>
      <w:bookmarkEnd w:id="1347"/>
    </w:p>
    <w:p>
      <w:pPr>
        <w:pStyle w:val="Normal"/>
        <w:rPr/>
      </w:pPr>
      <w:r>
        <w:rPr>
          <w:u w:val="single"/>
        </w:rPr>
        <w:t>Control Objective</w:t>
      </w:r>
      <w:r>
        <w:rPr/>
        <w:t>: The organization inspects mobile devices upon return from locations of concern to detect tampering.</w:t>
      </w:r>
      <w:r>
        <w:rPr>
          <w:rStyle w:val="FootnoteAnchor"/>
          <w:rStyle w:val="FootnoteAnchor"/>
        </w:rPr>
        <w:footnoteReference w:id="428"/>
      </w:r>
    </w:p>
    <w:p>
      <w:pPr>
        <w:pStyle w:val="Normal"/>
        <w:rPr/>
      </w:pPr>
      <w:r>
        <w:rPr/>
      </w:r>
    </w:p>
    <w:p>
      <w:pPr>
        <w:pStyle w:val="Normal"/>
        <w:rPr/>
      </w:pPr>
      <w:r>
        <w:rPr>
          <w:u w:val="single"/>
        </w:rPr>
        <w:t>Standard</w:t>
      </w:r>
      <w:r>
        <w:rPr/>
        <w:t>: Users are required to:</w:t>
      </w:r>
    </w:p>
    <w:p>
      <w:pPr>
        <w:pStyle w:val="ListParagraph"/>
        <w:numPr>
          <w:ilvl w:val="0"/>
          <w:numId w:val="402"/>
        </w:numPr>
        <w:rPr/>
      </w:pPr>
      <w:r>
        <w:rPr/>
        <w:t>Physically examine their mobile devices upon return from travel to locations of concern for signs of physical or logical tampering; and</w:t>
      </w:r>
    </w:p>
    <w:p>
      <w:pPr>
        <w:pStyle w:val="ListParagraph"/>
        <w:numPr>
          <w:ilvl w:val="0"/>
          <w:numId w:val="402"/>
        </w:numPr>
        <w:rPr/>
      </w:pPr>
      <w:r>
        <w:rPr/>
        <w:t>Immediately report any possible tampering to NFCC.</w:t>
      </w:r>
    </w:p>
    <w:p>
      <w:pPr>
        <w:pStyle w:val="Normal"/>
        <w:rPr/>
      </w:pPr>
      <w:r>
        <w:rPr/>
      </w:r>
    </w:p>
    <w:p>
      <w:pPr>
        <w:pStyle w:val="Normal"/>
        <w:rPr/>
      </w:pPr>
      <w:r>
        <w:rPr>
          <w:u w:val="single"/>
        </w:rPr>
        <w:t>Guidelines</w:t>
      </w:r>
      <w:r>
        <w:rPr/>
        <w:t>: This standard addresses both physical and logical tampering to counter state-sponsored intelligence operations that target Western companies. Specially configured mobile devices may be needed and these include, for example, computers with sanitized hard drives, limited applications and additional hardening (e.g., more stringent configuration settings). Additional, specific safeguards may be required for the device after travel is completed and before the device is allowed to connect to NFCC’s internal network.</w:t>
      </w:r>
    </w:p>
    <w:p>
      <w:pPr>
        <w:pStyle w:val="Normal"/>
        <w:rPr/>
      </w:pPr>
      <w:r>
        <w:rPr/>
      </w:r>
    </w:p>
    <w:p>
      <w:pPr>
        <w:pStyle w:val="Normal"/>
        <w:rPr/>
      </w:pPr>
      <w:r>
        <w:rPr/>
      </w:r>
    </w:p>
    <w:p>
      <w:pPr>
        <w:pStyle w:val="Heading2"/>
        <w:rPr/>
      </w:pPr>
      <w:bookmarkStart w:id="1348" w:name="_Toc474075131"/>
      <w:bookmarkStart w:id="1349" w:name="_Toc474075701"/>
      <w:bookmarkStart w:id="1350" w:name="_Toc34921048"/>
      <w:r>
        <w:rPr/>
        <w:t>MDM-05: Remote Purging</w:t>
      </w:r>
      <w:bookmarkEnd w:id="1348"/>
      <w:bookmarkEnd w:id="1349"/>
      <w:bookmarkEnd w:id="1350"/>
    </w:p>
    <w:p>
      <w:pPr>
        <w:pStyle w:val="Normal"/>
        <w:rPr/>
      </w:pPr>
      <w:r>
        <w:rPr>
          <w:u w:val="single"/>
        </w:rPr>
        <w:t>Control Objective</w:t>
      </w:r>
      <w:r>
        <w:rPr/>
        <w:t>: The organization provides the capability to remotely purge information from mobile devices.</w:t>
      </w:r>
      <w:r>
        <w:rPr>
          <w:rStyle w:val="FootnoteAnchor"/>
          <w:rStyle w:val="FootnoteAnchor"/>
        </w:rPr>
        <w:footnoteReference w:id="429"/>
      </w:r>
      <w:r>
        <w:rPr/>
        <w:t xml:space="preserve"> </w:t>
      </w:r>
    </w:p>
    <w:p>
      <w:pPr>
        <w:pStyle w:val="Normal"/>
        <w:rPr/>
      </w:pPr>
      <w:r>
        <w:rPr/>
      </w:r>
    </w:p>
    <w:p>
      <w:pPr>
        <w:pStyle w:val="Normal"/>
        <w:rPr>
          <w:rFonts w:eastAsia="Calibri"/>
        </w:rPr>
      </w:pPr>
      <w:r>
        <w:rPr>
          <w:rFonts w:cs="Calibri"/>
          <w:u w:val="single"/>
        </w:rPr>
        <w:t>Standard</w:t>
      </w:r>
      <w:r>
        <w:rPr>
          <w:rFonts w:cs="Calibri"/>
        </w:rPr>
        <w:t xml:space="preserve">: Where technically feasible, NFCC requires mobile devices </w:t>
      </w:r>
      <w:r>
        <w:rPr>
          <w:rFonts w:eastAsia="Calibri"/>
        </w:rPr>
        <w:t>must be able to be remotely wiped when the mobile device is reported as lost or stolen.</w:t>
      </w:r>
    </w:p>
    <w:p>
      <w:pPr>
        <w:pStyle w:val="Normal"/>
        <w:rPr/>
      </w:pPr>
      <w:r>
        <w:rPr/>
      </w:r>
    </w:p>
    <w:p>
      <w:pPr>
        <w:pStyle w:val="Normal"/>
        <w:rPr/>
      </w:pPr>
      <w:r>
        <w:rPr>
          <w:u w:val="single"/>
        </w:rPr>
        <w:t>Guidelines</w:t>
      </w:r>
      <w:r>
        <w:rPr/>
        <w:t>: This standard protects information on mobile devices if the devices are obtained by unauthorized individuals. The remote kill / remote erase command must be executed upon notification of the missing status of the mobile device. Once an initial search is complete for the mobile device and it is reasonable to assume the device is either lost or stolen, it is imperative to immediately notify NFCC’s Service Desk so that a remote kill command can be issued to the device.</w:t>
      </w:r>
    </w:p>
    <w:p>
      <w:pPr>
        <w:pStyle w:val="Normal"/>
        <w:rPr/>
      </w:pPr>
      <w:r>
        <w:rPr/>
      </w:r>
    </w:p>
    <w:p>
      <w:pPr>
        <w:pStyle w:val="Normal"/>
        <w:rPr/>
      </w:pPr>
      <w:r>
        <w:rPr/>
        <w:t>Assets associated with information and information processing facilities should be identified. An inventory of these assets should be drawn up and maintained.</w:t>
      </w:r>
    </w:p>
    <w:p>
      <w:pPr>
        <w:pStyle w:val="Normal"/>
        <w:rPr/>
      </w:pPr>
      <w:r>
        <w:rPr/>
      </w:r>
    </w:p>
    <w:p>
      <w:pPr>
        <w:pStyle w:val="Normal"/>
        <w:rPr/>
      </w:pPr>
      <w:r>
        <w:rPr/>
      </w:r>
    </w:p>
    <w:p>
      <w:pPr>
        <w:pStyle w:val="Heading2"/>
        <w:rPr/>
      </w:pPr>
      <w:bookmarkStart w:id="1351" w:name="_Toc474075132"/>
      <w:bookmarkStart w:id="1352" w:name="_Toc474075702"/>
      <w:bookmarkStart w:id="1353" w:name="_Toc34921049"/>
      <w:r>
        <w:rPr/>
        <w:t>MDM-06: Personally-Owned Mobile Devices</w:t>
      </w:r>
      <w:bookmarkEnd w:id="1351"/>
      <w:bookmarkEnd w:id="1352"/>
      <w:bookmarkEnd w:id="1353"/>
      <w:r>
        <w:rPr/>
        <w:t xml:space="preserve"> </w:t>
      </w:r>
    </w:p>
    <w:p>
      <w:pPr>
        <w:pStyle w:val="Normal"/>
        <w:rPr/>
      </w:pPr>
      <w:r>
        <w:rPr>
          <w:u w:val="single"/>
        </w:rPr>
        <w:t>Control Objective</w:t>
      </w:r>
      <w:r>
        <w:rPr/>
        <w:t>: The organization restricts the connection of personally-owned, mobile devices to organizational systems.</w:t>
      </w:r>
    </w:p>
    <w:p>
      <w:pPr>
        <w:pStyle w:val="Normal"/>
        <w:rPr/>
      </w:pPr>
      <w:r>
        <w:rPr/>
      </w:r>
    </w:p>
    <w:p>
      <w:pPr>
        <w:pStyle w:val="Normal"/>
        <w:rPr/>
      </w:pPr>
      <w:r>
        <w:rPr>
          <w:u w:val="single"/>
        </w:rPr>
        <w:t>Standard</w:t>
      </w:r>
      <w:r>
        <w:rPr/>
        <w:t xml:space="preserve">: NFCC assumes that all mobile devices are untrusted unless NFCC has properly secured the mobile device. When approved by NFCC management, users are allowed to use personally-owned mobile devices, only if the following conditions are met: </w:t>
      </w:r>
    </w:p>
    <w:p>
      <w:pPr>
        <w:pStyle w:val="ListParagraph"/>
        <w:numPr>
          <w:ilvl w:val="0"/>
          <w:numId w:val="403"/>
        </w:numPr>
        <w:rPr/>
      </w:pPr>
      <w:r>
        <w:rPr>
          <w:rFonts w:cs="Calibri"/>
          <w:u w:val="single"/>
        </w:rPr>
        <w:t>Conduct</w:t>
      </w:r>
      <w:r>
        <w:rPr>
          <w:rFonts w:cs="Calibri"/>
        </w:rPr>
        <w:t xml:space="preserve">: Users must conduct themselves in accordance with NFCC’s Acceptable Use </w:t>
      </w:r>
      <w:r>
        <w:rPr/>
        <w:t>parameters (</w:t>
      </w:r>
      <w:r>
        <w:rPr>
          <w:i/>
          <w:u w:val="single"/>
        </w:rPr>
        <w:t>Annex 5: Rules of Behavior (Acceptable &amp; Unacceptable Use)</w:t>
      </w:r>
      <w:r>
        <w:rPr/>
        <w:t xml:space="preserve">); </w:t>
      </w:r>
    </w:p>
    <w:p>
      <w:pPr>
        <w:pStyle w:val="ListParagraph"/>
        <w:numPr>
          <w:ilvl w:val="0"/>
          <w:numId w:val="403"/>
        </w:numPr>
        <w:rPr/>
      </w:pPr>
      <w:r>
        <w:rPr>
          <w:u w:val="single"/>
        </w:rPr>
        <w:t>Passwords</w:t>
      </w:r>
      <w:r>
        <w:rPr/>
        <w:t>: A password or PIN with a minimum of four (4) characters must be used to log onto the device;</w:t>
      </w:r>
    </w:p>
    <w:p>
      <w:pPr>
        <w:pStyle w:val="ListParagraph"/>
        <w:numPr>
          <w:ilvl w:val="0"/>
          <w:numId w:val="403"/>
        </w:numPr>
        <w:rPr/>
      </w:pPr>
      <w:r>
        <w:rPr>
          <w:u w:val="single"/>
        </w:rPr>
        <w:t>Lockout</w:t>
      </w:r>
      <w:r>
        <w:rPr/>
        <w:t>. The mobile device must be set to delete all data or lock internally after ten (10) unsuccessful attempts to enter a password or PIN;</w:t>
      </w:r>
    </w:p>
    <w:p>
      <w:pPr>
        <w:pStyle w:val="ListParagraph"/>
        <w:numPr>
          <w:ilvl w:val="0"/>
          <w:numId w:val="403"/>
        </w:numPr>
        <w:rPr/>
      </w:pPr>
      <w:r>
        <w:rPr>
          <w:u w:val="single"/>
        </w:rPr>
        <w:t>Encryption</w:t>
      </w:r>
      <w:r>
        <w:rPr/>
        <w:t>: The data on the mobile device must be encrypted;</w:t>
      </w:r>
    </w:p>
    <w:p>
      <w:pPr>
        <w:pStyle w:val="ListParagraph"/>
        <w:numPr>
          <w:ilvl w:val="0"/>
          <w:numId w:val="403"/>
        </w:numPr>
        <w:rPr/>
      </w:pPr>
      <w:r>
        <w:rPr>
          <w:u w:val="single"/>
        </w:rPr>
        <w:t>Message Storage Limits</w:t>
      </w:r>
      <w:r>
        <w:rPr/>
        <w:t>. Users may not store more than two hundred (200) messages or fourteen (14) days of messages on a mobile device;</w:t>
      </w:r>
    </w:p>
    <w:p>
      <w:pPr>
        <w:pStyle w:val="ListParagraph"/>
        <w:numPr>
          <w:ilvl w:val="0"/>
          <w:numId w:val="403"/>
        </w:numPr>
        <w:rPr/>
      </w:pPr>
      <w:r>
        <w:rPr>
          <w:u w:val="single"/>
        </w:rPr>
        <w:t>Data Backups</w:t>
      </w:r>
      <w:r>
        <w:rPr/>
        <w:t>: If the user backs up the data from the mobile device to another device that is not encrypted (e.g., backing up a tablet using an unencrypted computer) then the backup data must be encrypted;</w:t>
      </w:r>
    </w:p>
    <w:p>
      <w:pPr>
        <w:pStyle w:val="ListParagraph"/>
        <w:numPr>
          <w:ilvl w:val="0"/>
          <w:numId w:val="403"/>
        </w:numPr>
        <w:rPr/>
      </w:pPr>
      <w:r>
        <w:rPr>
          <w:u w:val="single"/>
        </w:rPr>
        <w:t>Software Protections</w:t>
      </w:r>
      <w:r>
        <w:rPr/>
        <w:t>: Applications that create, store, access, send or receive ePHI must meet NFCC security standards and custom developed applications used on mobile devices must undergo a security design review;</w:t>
      </w:r>
    </w:p>
    <w:p>
      <w:pPr>
        <w:pStyle w:val="ListParagraph"/>
        <w:numPr>
          <w:ilvl w:val="0"/>
          <w:numId w:val="403"/>
        </w:numPr>
        <w:rPr/>
      </w:pPr>
      <w:r>
        <w:rPr>
          <w:u w:val="single"/>
        </w:rPr>
        <w:t>Antimalware</w:t>
      </w:r>
      <w:r>
        <w:rPr/>
        <w:t>: Antimalware software must be installed on mobile devices that are capable of running such software:</w:t>
      </w:r>
    </w:p>
    <w:p>
      <w:pPr>
        <w:pStyle w:val="ListParagraph"/>
        <w:numPr>
          <w:ilvl w:val="1"/>
          <w:numId w:val="403"/>
        </w:numPr>
        <w:rPr/>
      </w:pPr>
      <w:r>
        <w:rPr>
          <w:u w:val="single"/>
        </w:rPr>
        <w:t>Android</w:t>
      </w:r>
      <w:r>
        <w:rPr/>
        <w:t>: Android devices are required to have antimalware software installed;</w:t>
      </w:r>
    </w:p>
    <w:p>
      <w:pPr>
        <w:pStyle w:val="ListParagraph"/>
        <w:numPr>
          <w:ilvl w:val="1"/>
          <w:numId w:val="403"/>
        </w:numPr>
        <w:rPr/>
      </w:pPr>
      <w:r>
        <w:rPr>
          <w:u w:val="single"/>
        </w:rPr>
        <w:t>Windows</w:t>
      </w:r>
      <w:r>
        <w:rPr/>
        <w:t>: Windows devices are required to have antimalware software installed;</w:t>
      </w:r>
    </w:p>
    <w:p>
      <w:pPr>
        <w:pStyle w:val="ListParagraph"/>
        <w:numPr>
          <w:ilvl w:val="1"/>
          <w:numId w:val="403"/>
        </w:numPr>
        <w:rPr/>
      </w:pPr>
      <w:r>
        <w:rPr>
          <w:u w:val="single"/>
        </w:rPr>
        <w:t>Apple</w:t>
      </w:r>
      <w:r>
        <w:rPr/>
        <w:t>: The Apple iOS is not currently capable of running antimalware software, since no such software exists, based on the design of iOS;</w:t>
      </w:r>
    </w:p>
    <w:p>
      <w:pPr>
        <w:pStyle w:val="ListParagraph"/>
        <w:numPr>
          <w:ilvl w:val="0"/>
          <w:numId w:val="403"/>
        </w:numPr>
        <w:rPr/>
      </w:pPr>
      <w:r>
        <w:rPr>
          <w:u w:val="single"/>
        </w:rPr>
        <w:t>Updates</w:t>
      </w:r>
      <w:r>
        <w:rPr/>
        <w:t>: Mobile devices and installed applications must be kept updated with the latest vendor software releases;</w:t>
      </w:r>
    </w:p>
    <w:p>
      <w:pPr>
        <w:pStyle w:val="ListParagraph"/>
        <w:numPr>
          <w:ilvl w:val="1"/>
          <w:numId w:val="403"/>
        </w:numPr>
        <w:rPr/>
      </w:pPr>
      <w:r>
        <w:rPr>
          <w:u w:val="single"/>
        </w:rPr>
        <w:t>Operating Systems</w:t>
      </w:r>
      <w:r>
        <w:rPr/>
        <w:t>: The most recent operating system available for the mobile data device must be used;</w:t>
      </w:r>
    </w:p>
    <w:p>
      <w:pPr>
        <w:pStyle w:val="ListParagraph"/>
        <w:numPr>
          <w:ilvl w:val="1"/>
          <w:numId w:val="403"/>
        </w:numPr>
        <w:rPr/>
      </w:pPr>
      <w:r>
        <w:rPr>
          <w:u w:val="single"/>
        </w:rPr>
        <w:t>Applications</w:t>
      </w:r>
      <w:r>
        <w:rPr/>
        <w:t>: Available security updates for any applications must be applied in a regular and timely manner unless instructed otherwise by NFCC IT staff;</w:t>
      </w:r>
    </w:p>
    <w:p>
      <w:pPr>
        <w:pStyle w:val="ListParagraph"/>
        <w:numPr>
          <w:ilvl w:val="0"/>
          <w:numId w:val="403"/>
        </w:numPr>
        <w:rPr/>
      </w:pPr>
      <w:r>
        <w:rPr>
          <w:u w:val="single"/>
        </w:rPr>
        <w:t>Rooting</w:t>
      </w:r>
      <w:r>
        <w:rPr/>
        <w:t>: Users must not circumvent the security of mobile devices by removing limitations designed to protect the device (e.g., “jailbreaking”) and users must not tamper with the mobile device by using unauthorized software, hardware or other methods;</w:t>
      </w:r>
    </w:p>
    <w:p>
      <w:pPr>
        <w:pStyle w:val="ListParagraph"/>
        <w:numPr>
          <w:ilvl w:val="0"/>
          <w:numId w:val="403"/>
        </w:numPr>
        <w:rPr/>
      </w:pPr>
      <w:r>
        <w:rPr>
          <w:u w:val="single"/>
        </w:rPr>
        <w:t>Wireless</w:t>
      </w:r>
      <w:r>
        <w:rPr/>
        <w:t xml:space="preserve">: Users are required to utilize good judgment when connecting the mobile device to other devices and networks: </w:t>
      </w:r>
    </w:p>
    <w:p>
      <w:pPr>
        <w:pStyle w:val="ListParagraph"/>
        <w:numPr>
          <w:ilvl w:val="1"/>
          <w:numId w:val="403"/>
        </w:numPr>
        <w:rPr/>
      </w:pPr>
      <w:r>
        <w:rPr>
          <w:u w:val="single"/>
        </w:rPr>
        <w:t>Bluetooth</w:t>
      </w:r>
      <w:r>
        <w:rPr/>
        <w:t>: Passwords or PINs must be used to secure Bluetooth connections with devices and block unknown devices;</w:t>
      </w:r>
    </w:p>
    <w:p>
      <w:pPr>
        <w:pStyle w:val="ListParagraph"/>
        <w:numPr>
          <w:ilvl w:val="1"/>
          <w:numId w:val="403"/>
        </w:numPr>
        <w:rPr/>
      </w:pPr>
      <w:r>
        <w:rPr>
          <w:u w:val="single"/>
        </w:rPr>
        <w:t>WiFi</w:t>
      </w:r>
      <w:r>
        <w:rPr/>
        <w:t>: Users may use only secure (e.g., WPA2) WiFi networks known to be trustworthy;</w:t>
      </w:r>
    </w:p>
    <w:p>
      <w:pPr>
        <w:pStyle w:val="ListParagraph"/>
        <w:numPr>
          <w:ilvl w:val="1"/>
          <w:numId w:val="403"/>
        </w:numPr>
        <w:rPr/>
      </w:pPr>
      <w:r>
        <w:rPr>
          <w:u w:val="single"/>
        </w:rPr>
        <w:t>Cellular</w:t>
      </w:r>
      <w:r>
        <w:rPr/>
        <w:t>: NFCC is not responsible for overages or data plans for cellular usage; and</w:t>
      </w:r>
    </w:p>
    <w:p>
      <w:pPr>
        <w:pStyle w:val="ListParagraph"/>
        <w:numPr>
          <w:ilvl w:val="0"/>
          <w:numId w:val="403"/>
        </w:numPr>
        <w:rPr/>
      </w:pPr>
      <w:r>
        <w:rPr/>
        <w:t>Storing NFCC data outside of NFCC-approved, encrypted containers on the mobile device is prohibited.</w:t>
      </w:r>
    </w:p>
    <w:p>
      <w:pPr>
        <w:pStyle w:val="Normal"/>
        <w:rPr/>
      </w:pPr>
      <w:r>
        <w:rPr/>
      </w:r>
    </w:p>
    <w:p>
      <w:pPr>
        <w:pStyle w:val="Normal"/>
        <w:rPr/>
      </w:pPr>
      <w:r>
        <w:rPr>
          <w:u w:val="single"/>
        </w:rPr>
        <w:t>Guidelines</w:t>
      </w:r>
      <w:r>
        <w:rPr/>
        <w:t>: Mobile devices, particularly those that are personally owned are not necessarily trustworthy. These mobile devices lack the root of trust features (e.g., Trusted Platform Modules (TPMs)) that are increasingly built into laptops and other types of hosts. There is also frequent “jailbreaking” and “rooting” of mobile devices, which means that the built-in restrictions on security and the operating system have been bypassed.</w:t>
      </w:r>
    </w:p>
    <w:p>
      <w:pPr>
        <w:pStyle w:val="Normal"/>
        <w:rPr/>
      </w:pPr>
      <w:r>
        <w:rPr/>
      </w:r>
    </w:p>
    <w:p>
      <w:pPr>
        <w:pStyle w:val="Normal"/>
        <w:rPr/>
      </w:pPr>
      <w:r>
        <w:rPr/>
      </w:r>
    </w:p>
    <w:p>
      <w:pPr>
        <w:pStyle w:val="Heading2"/>
        <w:rPr/>
      </w:pPr>
      <w:bookmarkStart w:id="1354" w:name="_Toc474075133"/>
      <w:bookmarkStart w:id="1355" w:name="_Toc474075703"/>
      <w:bookmarkStart w:id="1356" w:name="_Toc34921050"/>
      <w:r>
        <w:rPr/>
        <w:t>MDM-07: Organization-Owned Mobile Devices</w:t>
      </w:r>
      <w:bookmarkEnd w:id="1354"/>
      <w:bookmarkEnd w:id="1355"/>
      <w:bookmarkEnd w:id="1356"/>
      <w:r>
        <w:rPr/>
        <w:t xml:space="preserve"> </w:t>
      </w:r>
    </w:p>
    <w:p>
      <w:pPr>
        <w:pStyle w:val="Normal"/>
        <w:rPr/>
      </w:pPr>
      <w:r>
        <w:rPr>
          <w:u w:val="single"/>
        </w:rPr>
        <w:t>Control Objective</w:t>
      </w:r>
      <w:r>
        <w:rPr/>
        <w:t>: The organization prohibits the installation of non-approved applications or approved applications not obtained through a pre-identified application store.</w:t>
      </w:r>
    </w:p>
    <w:p>
      <w:pPr>
        <w:pStyle w:val="Normal"/>
        <w:rPr/>
      </w:pPr>
      <w:r>
        <w:rPr/>
      </w:r>
    </w:p>
    <w:p>
      <w:pPr>
        <w:pStyle w:val="Normal"/>
        <w:rPr/>
      </w:pPr>
      <w:r>
        <w:rPr>
          <w:u w:val="single"/>
        </w:rPr>
        <w:t>Standard</w:t>
      </w:r>
      <w:r>
        <w:rPr/>
        <w:t>: For NFCC-owned mobile devices, users are prohibited from:</w:t>
      </w:r>
    </w:p>
    <w:p>
      <w:pPr>
        <w:pStyle w:val="ListParagraph"/>
        <w:numPr>
          <w:ilvl w:val="0"/>
          <w:numId w:val="404"/>
        </w:numPr>
        <w:rPr/>
      </w:pPr>
      <w:r>
        <w:rPr/>
        <w:t>Circumventing built-in security controls on mobile devices (e.g., jailbreaking or rooting); and</w:t>
      </w:r>
    </w:p>
    <w:p>
      <w:pPr>
        <w:pStyle w:val="ListParagraph"/>
        <w:numPr>
          <w:ilvl w:val="0"/>
          <w:numId w:val="404"/>
        </w:numPr>
        <w:rPr/>
      </w:pPr>
      <w:r>
        <w:rPr/>
        <w:t xml:space="preserve">Using non-approved applications or approved applications not obtained through a pre-identified application store, unless permitted by NFCC management. </w:t>
      </w:r>
    </w:p>
    <w:p>
      <w:pPr>
        <w:pStyle w:val="Normal"/>
        <w:rPr/>
      </w:pPr>
      <w:r>
        <w:rPr/>
      </w:r>
    </w:p>
    <w:p>
      <w:pPr>
        <w:pStyle w:val="Normal"/>
        <w:rPr/>
      </w:pPr>
      <w:r>
        <w:rPr>
          <w:u w:val="single"/>
        </w:rPr>
        <w:t>Guidelines</w:t>
      </w:r>
      <w:r>
        <w:rPr/>
        <w:t>: None</w:t>
      </w:r>
    </w:p>
    <w:p>
      <w:pPr>
        <w:pStyle w:val="Normal"/>
        <w:rPr/>
      </w:pPr>
      <w:r>
        <w:rPr/>
      </w:r>
    </w:p>
    <w:p>
      <w:pPr>
        <w:pStyle w:val="Normal"/>
        <w:rPr/>
      </w:pPr>
      <w:r>
        <w:rPr/>
        <w:t xml:space="preserve"> </w:t>
      </w:r>
    </w:p>
    <w:p>
      <w:pPr>
        <w:pStyle w:val="Heading2"/>
        <w:rPr/>
      </w:pPr>
      <w:bookmarkStart w:id="1357" w:name="_Toc34921051"/>
      <w:bookmarkStart w:id="1358" w:name="_Toc474074833"/>
      <w:bookmarkStart w:id="1359" w:name="_Toc474075553"/>
      <w:r>
        <w:rPr/>
        <w:t xml:space="preserve">MDM-08: </w:t>
      </w:r>
      <w:bookmarkEnd w:id="1358"/>
      <w:bookmarkEnd w:id="1359"/>
      <w:r>
        <w:rPr/>
        <w:t>Mobile Device Data Retention Limitations</w:t>
      </w:r>
      <w:bookmarkEnd w:id="1357"/>
    </w:p>
    <w:p>
      <w:pPr>
        <w:pStyle w:val="Normal"/>
        <w:rPr/>
      </w:pPr>
      <w:r>
        <w:rPr>
          <w:u w:val="single"/>
        </w:rPr>
        <w:t>Control Objective</w:t>
      </w:r>
      <w:r>
        <w:rPr/>
        <w:t>: The organization configures settings to limit data retention for mobile devices.</w:t>
      </w:r>
    </w:p>
    <w:p>
      <w:pPr>
        <w:pStyle w:val="Normal"/>
        <w:rPr/>
      </w:pPr>
      <w:r>
        <w:rPr/>
      </w:r>
    </w:p>
    <w:p>
      <w:pPr>
        <w:pStyle w:val="Normal"/>
        <w:rPr/>
      </w:pPr>
      <w:r>
        <w:rPr>
          <w:u w:val="single"/>
        </w:rPr>
        <w:t>Standard</w:t>
      </w:r>
      <w:r>
        <w:rPr/>
        <w:t>: Where possible, data retention on mobile devices will be limited to the smallest usable dataset and timeframe.</w:t>
      </w:r>
    </w:p>
    <w:p>
      <w:pPr>
        <w:pStyle w:val="Normal"/>
        <w:rPr/>
      </w:pPr>
      <w:r>
        <w:rPr/>
      </w:r>
    </w:p>
    <w:p>
      <w:pPr>
        <w:pStyle w:val="Normal"/>
        <w:rPr/>
      </w:pPr>
      <w:r>
        <w:rPr>
          <w:u w:val="single"/>
        </w:rPr>
        <w:t>Guidelines</w:t>
      </w:r>
      <w:r>
        <w:rPr/>
        <w:t>: None</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rFonts w:eastAsia="Calibri" w:cs="Calibri"/>
          <w:sz w:val="24"/>
        </w:rPr>
      </w:pPr>
      <w:r>
        <w:rPr>
          <w:rFonts w:eastAsia="Calibri" w:cs="Calibri"/>
          <w:sz w:val="24"/>
        </w:rPr>
      </w:r>
      <w:r>
        <w:br w:type="page"/>
      </w:r>
    </w:p>
    <w:p>
      <w:pPr>
        <w:pStyle w:val="Heading1"/>
        <w:rPr/>
      </w:pPr>
      <w:bookmarkStart w:id="1360" w:name="_Toc34921052"/>
      <w:bookmarkStart w:id="1361" w:name="_Toc474075134"/>
      <w:bookmarkStart w:id="1362" w:name="_Toc474075704"/>
      <w:r>
        <w:rPr/>
        <w:t>Network Security (NET)</w:t>
      </w:r>
      <w:bookmarkEnd w:id="1361"/>
      <w:bookmarkEnd w:id="1362"/>
      <w:r>
        <w:rPr/>
        <w:t xml:space="preserve"> Policy &amp; Standards</w:t>
      </w:r>
      <w:bookmarkEnd w:id="1360"/>
    </w:p>
    <w:p>
      <w:pPr>
        <w:pStyle w:val="Normal"/>
        <w:rPr/>
      </w:pPr>
      <w:r>
        <w:rPr/>
      </w:r>
    </w:p>
    <w:p>
      <w:pPr>
        <w:pStyle w:val="Normal"/>
        <w:rPr/>
      </w:pPr>
      <w:r>
        <w:rPr>
          <w:u w:val="single"/>
        </w:rPr>
        <w:t>Management Intent</w:t>
      </w:r>
      <w:r>
        <w:rPr/>
        <w:t xml:space="preserve">: The purpose of the Network Security (NET) policy is to ensure sufficient security controls are in place to protect the confidentiality and integrity of NFCC’s communications, as well as to provide situational awareness of activity on NFCC’s networks. </w:t>
      </w:r>
    </w:p>
    <w:p>
      <w:pPr>
        <w:pStyle w:val="Normal"/>
        <w:rPr/>
      </w:pPr>
      <w:r>
        <w:rPr/>
      </w:r>
    </w:p>
    <w:p>
      <w:pPr>
        <w:pStyle w:val="Normal"/>
        <w:shd w:val="clear" w:color="auto" w:fill="DDD9C3" w:themeFill="background2" w:themeFillShade="e6"/>
        <w:rPr/>
      </w:pPr>
      <w:r>
        <w:rPr>
          <w:u w:val="single"/>
        </w:rPr>
        <w:t>Policy</w:t>
      </w:r>
      <w:r>
        <w:rPr/>
        <w:t>: NFCC shall implement the concept of “least functionality” for its network infrastructure and proactively govern security mechanisms to keep its networks secure from evolving threats, while providing situational awareness of network activities so that proactive measures can be implemented to address evolving threats.</w:t>
      </w:r>
      <w:r>
        <w:rPr>
          <w:rStyle w:val="FootnoteCharacters"/>
        </w:rPr>
        <w:t xml:space="preserve"> </w:t>
      </w:r>
    </w:p>
    <w:p>
      <w:pPr>
        <w:pStyle w:val="Normal"/>
        <w:rPr>
          <w:u w:val="single"/>
        </w:rPr>
      </w:pPr>
      <w:r>
        <w:rPr>
          <w:u w:val="single"/>
        </w:rPr>
      </w:r>
    </w:p>
    <w:p>
      <w:pPr>
        <w:pStyle w:val="Normal"/>
        <w:rPr/>
      </w:pPr>
      <w:r>
        <w:rPr>
          <w:u w:val="single"/>
        </w:rPr>
        <w:t>Supporting Documentation</w:t>
      </w:r>
      <w:r>
        <w:rPr/>
        <w:t xml:space="preserve">: This policy is supported by the following control objectives, standards and guidelines. </w:t>
      </w:r>
    </w:p>
    <w:p>
      <w:pPr>
        <w:pStyle w:val="Normal"/>
        <w:rPr/>
      </w:pPr>
      <w:r>
        <w:rPr/>
      </w:r>
    </w:p>
    <w:p>
      <w:pPr>
        <w:pStyle w:val="Normal"/>
        <w:rPr/>
      </w:pPr>
      <w:r>
        <w:rPr/>
      </w:r>
    </w:p>
    <w:p>
      <w:pPr>
        <w:pStyle w:val="Heading2"/>
        <w:rPr/>
      </w:pPr>
      <w:bookmarkStart w:id="1363" w:name="_Toc474075135"/>
      <w:bookmarkStart w:id="1364" w:name="_Toc474075705"/>
      <w:bookmarkStart w:id="1365" w:name="_Toc34921053"/>
      <w:r>
        <w:rPr/>
        <w:t>NET-01: Network Security Management</w:t>
      </w:r>
      <w:bookmarkEnd w:id="1363"/>
      <w:bookmarkEnd w:id="1364"/>
      <w:bookmarkEnd w:id="1365"/>
      <w:r>
        <w:rPr/>
        <w:t xml:space="preserve"> </w:t>
      </w:r>
    </w:p>
    <w:p>
      <w:pPr>
        <w:pStyle w:val="Normal"/>
        <w:rPr/>
      </w:pPr>
      <w:r>
        <w:rPr>
          <w:u w:val="single"/>
        </w:rPr>
        <w:t>Control Objective</w:t>
      </w:r>
      <w:r>
        <w:rPr/>
        <w:t>: The organization develops, implements and governs processes and documentation to facilitate the implementation of an enterprise-wide network security management policy, as well as associated standards, controls and procedures.</w:t>
      </w:r>
      <w:r>
        <w:rPr>
          <w:rStyle w:val="FootnoteAnchor"/>
          <w:rStyle w:val="FootnoteAnchor"/>
          <w:rFonts w:cs="Calibri"/>
        </w:rPr>
        <w:footnoteReference w:id="430"/>
      </w:r>
    </w:p>
    <w:p>
      <w:pPr>
        <w:pStyle w:val="Normal"/>
        <w:rPr/>
      </w:pPr>
      <w:r>
        <w:rPr/>
      </w:r>
    </w:p>
    <w:p>
      <w:pPr>
        <w:pStyle w:val="Normal"/>
        <w:rPr/>
      </w:pPr>
      <w:r>
        <w:rPr>
          <w:u w:val="single"/>
        </w:rPr>
        <w:t>Standard</w:t>
      </w:r>
      <w:r>
        <w:rPr/>
        <w:t>: NFCC requires that communications and networks are protected. Security mechanisms of all network services must be identified and included in:</w:t>
      </w:r>
    </w:p>
    <w:p>
      <w:pPr>
        <w:pStyle w:val="ListParagraph"/>
        <w:numPr>
          <w:ilvl w:val="0"/>
          <w:numId w:val="405"/>
        </w:numPr>
        <w:rPr/>
      </w:pPr>
      <w:r>
        <w:rPr/>
        <w:t>Technical requirements; and</w:t>
      </w:r>
    </w:p>
    <w:p>
      <w:pPr>
        <w:pStyle w:val="ListParagraph"/>
        <w:numPr>
          <w:ilvl w:val="0"/>
          <w:numId w:val="405"/>
        </w:numPr>
        <w:rPr/>
      </w:pPr>
      <w:r>
        <w:rPr/>
        <w:t>Network services agreements, whether these services are provided in-house or outsourced to trusted third-parties.</w:t>
      </w:r>
    </w:p>
    <w:p>
      <w:pPr>
        <w:pStyle w:val="Normal"/>
        <w:rPr/>
      </w:pPr>
      <w:r>
        <w:rPr/>
      </w:r>
    </w:p>
    <w:p>
      <w:pPr>
        <w:pStyle w:val="Normal"/>
        <w:rPr/>
      </w:pPr>
      <w:r>
        <w:rPr>
          <w:u w:val="single"/>
        </w:rPr>
        <w:t>Guidelines</w:t>
      </w:r>
      <w:r>
        <w:rPr/>
        <w:t>: The objective is to ensure the protection of information in networks and its supporting information processing facilities. Networks should be managed and controlled to protect information in systems and applications.</w:t>
      </w:r>
    </w:p>
    <w:p>
      <w:pPr>
        <w:pStyle w:val="Normal"/>
        <w:rPr/>
      </w:pPr>
      <w:r>
        <w:rPr/>
      </w:r>
    </w:p>
    <w:p>
      <w:pPr>
        <w:pStyle w:val="Normal"/>
        <w:rPr/>
      </w:pPr>
      <w:r>
        <w:rPr/>
      </w:r>
    </w:p>
    <w:p>
      <w:pPr>
        <w:pStyle w:val="Heading2"/>
        <w:rPr/>
      </w:pPr>
      <w:bookmarkStart w:id="1366" w:name="_Toc474075136"/>
      <w:bookmarkStart w:id="1367" w:name="_Toc474075706"/>
      <w:bookmarkStart w:id="1368" w:name="_Toc34921054"/>
      <w:r>
        <w:rPr/>
        <w:t>NET-02: Layered Defenses</w:t>
      </w:r>
      <w:bookmarkEnd w:id="1366"/>
      <w:bookmarkEnd w:id="1367"/>
      <w:bookmarkEnd w:id="1368"/>
      <w:r>
        <w:rPr/>
        <w:t xml:space="preserve"> </w:t>
      </w:r>
    </w:p>
    <w:p>
      <w:pPr>
        <w:pStyle w:val="Normal"/>
        <w:rPr>
          <w:u w:val="single"/>
        </w:rPr>
      </w:pPr>
      <w:r>
        <w:rPr>
          <w:u w:val="single"/>
        </w:rPr>
        <w:t>Control Objective</w:t>
      </w:r>
      <w:r>
        <w:rPr/>
        <w:t xml:space="preserve">: The organization implements security functions as a layered structure minimizing interactions between layers of the design and avoiding any dependence by lower layers on the functionality or correctness of higher layers. </w:t>
      </w:r>
      <w:r>
        <w:rPr>
          <w:rStyle w:val="FootnoteAnchor"/>
          <w:rStyle w:val="FootnoteAnchor"/>
          <w:rFonts w:cs="Calibri"/>
          <w:bCs w:val="false"/>
        </w:rPr>
        <w:footnoteReference w:id="431"/>
      </w:r>
    </w:p>
    <w:p>
      <w:pPr>
        <w:pStyle w:val="Normal"/>
        <w:rPr/>
      </w:pPr>
      <w:r>
        <w:rPr/>
      </w:r>
    </w:p>
    <w:p>
      <w:pPr>
        <w:pStyle w:val="Normal"/>
        <w:rPr/>
      </w:pPr>
      <w:r>
        <w:rPr>
          <w:u w:val="single"/>
        </w:rPr>
        <w:t>Standard</w:t>
      </w:r>
      <w:r>
        <w:rPr/>
        <w:t>: NFCC is required to use a Defense-in-Depth (DiD) architecture to protect the Confidentiality, Integrity, Availability and Safety (CIAS) of systems and data, placing systems that contain sensitive data in an internal network zone, segregated from the DMZ and other untrusted networks.</w:t>
      </w:r>
      <w:r>
        <w:rPr>
          <w:rStyle w:val="FootnoteCharacters"/>
          <w:rFonts w:cs="Calibri"/>
          <w:bCs w:val="false"/>
        </w:rPr>
        <w:t xml:space="preserve"> </w:t>
      </w:r>
    </w:p>
    <w:p>
      <w:pPr>
        <w:pStyle w:val="Normal"/>
        <w:rPr/>
      </w:pPr>
      <w:r>
        <w:rPr/>
      </w:r>
    </w:p>
    <w:p>
      <w:pPr>
        <w:pStyle w:val="Normal"/>
        <w:rPr>
          <w:u w:val="single"/>
        </w:rPr>
      </w:pPr>
      <w:r>
        <w:rPr>
          <w:u w:val="single"/>
        </w:rPr>
        <w:t>Guidelines</w:t>
      </w:r>
      <w:r>
        <w:rPr/>
        <w:t>: The implementation of layered structures with minimized interactions among security functions and non-looping layers (e.g., lower-layer functions do not depend on higher-layer functions) further enables the isolation of security functions and management of complexity.</w:t>
      </w:r>
    </w:p>
    <w:p>
      <w:pPr>
        <w:pStyle w:val="Normal"/>
        <w:rPr/>
      </w:pPr>
      <w:r>
        <w:rPr/>
      </w:r>
    </w:p>
    <w:p>
      <w:pPr>
        <w:pStyle w:val="Heading3"/>
        <w:rPr/>
      </w:pPr>
      <w:bookmarkStart w:id="1369" w:name="_Toc474075137"/>
      <w:bookmarkStart w:id="1370" w:name="_Toc34921055"/>
      <w:r>
        <w:rPr/>
        <w:t>NET-02(a): Layered Defenses | Denial of Service (DoS) Protection</w:t>
      </w:r>
      <w:bookmarkEnd w:id="1369"/>
      <w:bookmarkEnd w:id="1370"/>
    </w:p>
    <w:p>
      <w:pPr>
        <w:pStyle w:val="Normal"/>
        <w:rPr/>
      </w:pPr>
      <w:r>
        <w:rPr>
          <w:u w:val="single"/>
        </w:rPr>
        <w:t>Control Objective</w:t>
      </w:r>
      <w:r>
        <w:rPr/>
        <w:t>: Systems protect against or limit the effects of Denial of Service (DoS) attacks.</w:t>
      </w:r>
      <w:r>
        <w:rPr>
          <w:rStyle w:val="FootnoteAnchor"/>
          <w:rStyle w:val="FootnoteAnchor"/>
          <w:rFonts w:cs="Calibri"/>
        </w:rPr>
        <w:footnoteReference w:id="432"/>
      </w:r>
    </w:p>
    <w:p>
      <w:pPr>
        <w:pStyle w:val="Normal"/>
        <w:rPr/>
      </w:pPr>
      <w:r>
        <w:rPr/>
      </w:r>
    </w:p>
    <w:p>
      <w:pPr>
        <w:pStyle w:val="Normal"/>
        <w:rPr/>
      </w:pPr>
      <w:r>
        <w:rPr>
          <w:u w:val="single"/>
        </w:rPr>
        <w:t>Standard</w:t>
      </w:r>
      <w:r>
        <w:rPr/>
        <w:t xml:space="preserve">: Technology architects, asset custodians and data / process owners are required to configure the architecture of the network and systems to ensure the capability exists to limit the effects of denial of service attacks. </w:t>
      </w:r>
    </w:p>
    <w:p>
      <w:pPr>
        <w:pStyle w:val="Normal"/>
        <w:rPr/>
      </w:pPr>
      <w:r>
        <w:rPr/>
      </w:r>
    </w:p>
    <w:p>
      <w:pPr>
        <w:pStyle w:val="Normal"/>
        <w:rPr/>
      </w:pPr>
      <w:r>
        <w:rPr>
          <w:u w:val="single"/>
        </w:rPr>
        <w:t>Guidelines</w:t>
      </w:r>
      <w:r>
        <w:rPr/>
        <w:t xml:space="preserve">: A variety of technologies exist to limit or in some cases, eliminate the effects of denial of service attacks. For example, boundary protection devices can filter certain types of packets to protect system components on internal organizational networks from being directly affected by denial of service attacks. Employing increased capacity and bandwidth combined with service redundancy may also reduce the susceptibility to denial of service attacks. </w:t>
      </w:r>
    </w:p>
    <w:p>
      <w:pPr>
        <w:pStyle w:val="Normal"/>
        <w:rPr/>
      </w:pPr>
      <w:r>
        <w:rPr/>
      </w:r>
    </w:p>
    <w:p>
      <w:pPr>
        <w:pStyle w:val="Heading3"/>
        <w:rPr/>
      </w:pPr>
      <w:bookmarkStart w:id="1371" w:name="_Toc474075139"/>
      <w:bookmarkStart w:id="1372" w:name="_Toc34921056"/>
      <w:r>
        <w:rPr/>
        <w:t>NET-02(b): Layered Defenses | Guest Networks</w:t>
      </w:r>
      <w:bookmarkEnd w:id="1371"/>
      <w:bookmarkEnd w:id="1372"/>
      <w:r>
        <w:rPr/>
        <w:t xml:space="preserve"> </w:t>
      </w:r>
    </w:p>
    <w:p>
      <w:pPr>
        <w:pStyle w:val="Normal"/>
        <w:rPr/>
      </w:pPr>
      <w:r>
        <w:rPr>
          <w:u w:val="single"/>
        </w:rPr>
        <w:t>Control Objective</w:t>
      </w:r>
      <w:r>
        <w:rPr/>
        <w:t>: The organization segments guest networks apart from the organization’s internal networks.</w:t>
      </w:r>
      <w:r>
        <w:rPr>
          <w:rStyle w:val="FootnoteCharacters"/>
          <w:rFonts w:cs="Calibri"/>
          <w:bCs w:val="false"/>
        </w:rPr>
        <w:t xml:space="preserve"> </w:t>
      </w:r>
    </w:p>
    <w:p>
      <w:pPr>
        <w:pStyle w:val="Normal"/>
        <w:rPr/>
      </w:pPr>
      <w:r>
        <w:rPr/>
      </w:r>
    </w:p>
    <w:p>
      <w:pPr>
        <w:pStyle w:val="Normal"/>
        <w:rPr/>
      </w:pPr>
      <w:r>
        <w:rPr>
          <w:u w:val="single"/>
        </w:rPr>
        <w:t>Standard</w:t>
      </w:r>
      <w:r>
        <w:rPr/>
        <w:t>: Guest access is required to:</w:t>
      </w:r>
    </w:p>
    <w:p>
      <w:pPr>
        <w:pStyle w:val="ListParagraph"/>
        <w:numPr>
          <w:ilvl w:val="0"/>
          <w:numId w:val="160"/>
        </w:numPr>
        <w:rPr/>
      </w:pPr>
      <w:r>
        <w:rPr/>
        <w:t>Be limited to a separate network that is logically separated;</w:t>
      </w:r>
    </w:p>
    <w:p>
      <w:pPr>
        <w:pStyle w:val="ListParagraph"/>
        <w:numPr>
          <w:ilvl w:val="0"/>
          <w:numId w:val="160"/>
        </w:numPr>
        <w:rPr/>
      </w:pPr>
      <w:r>
        <w:rPr/>
        <w:t xml:space="preserve">Permit only authorized traffic between the guest environment and internal networks; and </w:t>
      </w:r>
    </w:p>
    <w:p>
      <w:pPr>
        <w:pStyle w:val="ListParagraph"/>
        <w:numPr>
          <w:ilvl w:val="0"/>
          <w:numId w:val="160"/>
        </w:numPr>
        <w:rPr/>
      </w:pPr>
      <w:r>
        <w:rPr/>
        <w:t>Prevent direct access to NFCC’s internal network(s).</w:t>
      </w:r>
    </w:p>
    <w:p>
      <w:pPr>
        <w:pStyle w:val="Normal"/>
        <w:rPr/>
      </w:pPr>
      <w:r>
        <w:rPr/>
      </w:r>
    </w:p>
    <w:p>
      <w:pPr>
        <w:pStyle w:val="Normal"/>
        <w:rPr/>
      </w:pPr>
      <w:r>
        <w:rPr>
          <w:u w:val="single"/>
        </w:rPr>
        <w:t>Guidelines</w:t>
      </w:r>
      <w:r>
        <w:rPr/>
        <w:t>: Separate Virtual Local Area Networks (VLANs) for BYOD systems or other untrusted devices should be created. Enterprise access from this VLAN should be treated as untrusted and filtered and audited accordingly.</w:t>
      </w:r>
    </w:p>
    <w:p>
      <w:pPr>
        <w:pStyle w:val="Normal"/>
        <w:rPr/>
      </w:pPr>
      <w:r>
        <w:rPr/>
      </w:r>
    </w:p>
    <w:p>
      <w:pPr>
        <w:pStyle w:val="Normal"/>
        <w:tabs>
          <w:tab w:val="clear" w:pos="360"/>
          <w:tab w:val="clear" w:pos="720"/>
          <w:tab w:val="clear" w:pos="1080"/>
        </w:tabs>
        <w:jc w:val="left"/>
        <w:rPr/>
      </w:pPr>
      <w:r>
        <w:rPr/>
      </w:r>
    </w:p>
    <w:p>
      <w:pPr>
        <w:pStyle w:val="Heading2"/>
        <w:rPr/>
      </w:pPr>
      <w:bookmarkStart w:id="1373" w:name="_Toc34921057"/>
      <w:bookmarkStart w:id="1374" w:name="_Toc474075140"/>
      <w:bookmarkStart w:id="1375" w:name="_Toc474075707"/>
      <w:r>
        <w:rPr/>
        <w:t>NET-03: Boundary Protection</w:t>
      </w:r>
      <w:bookmarkEnd w:id="1373"/>
      <w:bookmarkEnd w:id="1374"/>
      <w:bookmarkEnd w:id="1375"/>
      <w:r>
        <w:rPr/>
        <w:t xml:space="preserve"> </w:t>
      </w:r>
    </w:p>
    <w:p>
      <w:pPr>
        <w:pStyle w:val="Normal"/>
        <w:rPr/>
      </w:pPr>
      <w:r>
        <w:rPr>
          <w:u w:val="single"/>
        </w:rPr>
        <w:t>Control Objective</w:t>
      </w:r>
      <w:r>
        <w:rPr/>
        <w:t xml:space="preserve">: The organization employs boundary protection mechanisms to: </w:t>
      </w:r>
      <w:r>
        <w:rPr>
          <w:rStyle w:val="FootnoteAnchor"/>
          <w:rStyle w:val="FootnoteAnchor"/>
          <w:rFonts w:cs="Calibri"/>
        </w:rPr>
        <w:footnoteReference w:id="433"/>
      </w:r>
    </w:p>
    <w:p>
      <w:pPr>
        <w:pStyle w:val="ListParagraph"/>
        <w:numPr>
          <w:ilvl w:val="0"/>
          <w:numId w:val="540"/>
        </w:numPr>
        <w:rPr/>
      </w:pPr>
      <w:r>
        <w:rPr/>
        <w:t>Monitor and control communications at the external boundary of the system and at key internal boundaries within the system;</w:t>
      </w:r>
    </w:p>
    <w:p>
      <w:pPr>
        <w:pStyle w:val="ListParagraph"/>
        <w:numPr>
          <w:ilvl w:val="0"/>
          <w:numId w:val="540"/>
        </w:numPr>
        <w:rPr/>
      </w:pPr>
      <w:r>
        <w:rPr/>
        <w:t>Implement subnetworks for publicly accessible system components that are logically separated from internal organizational networks; and</w:t>
      </w:r>
    </w:p>
    <w:p>
      <w:pPr>
        <w:pStyle w:val="ListParagraph"/>
        <w:numPr>
          <w:ilvl w:val="0"/>
          <w:numId w:val="540"/>
        </w:numPr>
        <w:rPr/>
      </w:pPr>
      <w:r>
        <w:rPr/>
        <w:t>Connect to external networks or systems only through managed interfaces consisting of boundary protection devices arranged in accordance with an organizational security architecture.</w:t>
      </w:r>
    </w:p>
    <w:p>
      <w:pPr>
        <w:pStyle w:val="Normal"/>
        <w:rPr/>
      </w:pPr>
      <w:r>
        <w:rPr/>
      </w:r>
    </w:p>
    <w:p>
      <w:pPr>
        <w:pStyle w:val="Normal"/>
        <w:rPr/>
      </w:pPr>
      <w:r>
        <w:rPr>
          <w:u w:val="single"/>
        </w:rPr>
        <w:t>Standard</w:t>
      </w:r>
      <w:r>
        <w:rPr/>
        <w:t>: Network administrators are required to:</w:t>
      </w:r>
    </w:p>
    <w:p>
      <w:pPr>
        <w:pStyle w:val="ListParagraph"/>
        <w:numPr>
          <w:ilvl w:val="0"/>
          <w:numId w:val="406"/>
        </w:numPr>
        <w:rPr/>
      </w:pPr>
      <w:r>
        <w:rPr/>
        <w:t>Implement a firewall at each Internet connection and between any Demilitarized Zone (DMZ) and the internal network zone;</w:t>
      </w:r>
    </w:p>
    <w:p>
      <w:pPr>
        <w:pStyle w:val="ListParagraph"/>
        <w:numPr>
          <w:ilvl w:val="0"/>
          <w:numId w:val="406"/>
        </w:numPr>
        <w:rPr/>
      </w:pPr>
      <w:r>
        <w:rPr/>
        <w:t>Verify that the current network diagrams are consistent with the firewall configuration standards;</w:t>
      </w:r>
    </w:p>
    <w:p>
      <w:pPr>
        <w:pStyle w:val="ListParagraph"/>
        <w:numPr>
          <w:ilvl w:val="0"/>
          <w:numId w:val="406"/>
        </w:numPr>
        <w:rPr/>
      </w:pPr>
      <w:r>
        <w:rPr/>
        <w:t xml:space="preserve">Prohibit direct public access between the Internet and any sensitive system in the internal network zone; </w:t>
      </w:r>
    </w:p>
    <w:p>
      <w:pPr>
        <w:pStyle w:val="ListParagraph"/>
        <w:numPr>
          <w:ilvl w:val="0"/>
          <w:numId w:val="406"/>
        </w:numPr>
        <w:rPr/>
      </w:pPr>
      <w:r>
        <w:rPr/>
        <w:t>Restrict inbound and outbound traffic to that which is necessary for authorized business purposes;</w:t>
      </w:r>
    </w:p>
    <w:p>
      <w:pPr>
        <w:pStyle w:val="ListParagraph"/>
        <w:numPr>
          <w:ilvl w:val="0"/>
          <w:numId w:val="406"/>
        </w:numPr>
        <w:rPr/>
      </w:pPr>
      <w:r>
        <w:rPr/>
        <w:t>Limit the number of access points to the system to allow for more comprehensive monitoring of inbound and outbound communications and network traffic;</w:t>
      </w:r>
    </w:p>
    <w:p>
      <w:pPr>
        <w:pStyle w:val="ListParagraph"/>
        <w:numPr>
          <w:ilvl w:val="0"/>
          <w:numId w:val="406"/>
        </w:numPr>
        <w:rPr/>
      </w:pPr>
      <w:r>
        <w:rPr/>
        <w:t>Ensure traffic flow policies are established and reviewed for each managed interface;</w:t>
      </w:r>
    </w:p>
    <w:p>
      <w:pPr>
        <w:pStyle w:val="ListParagraph"/>
        <w:numPr>
          <w:ilvl w:val="0"/>
          <w:numId w:val="406"/>
        </w:numPr>
        <w:rPr/>
      </w:pPr>
      <w:r>
        <w:rPr/>
        <w:t>Ensure the exceptions to Access Control Lists (ACLs) are documented and reviewed;</w:t>
      </w:r>
    </w:p>
    <w:p>
      <w:pPr>
        <w:pStyle w:val="ListParagraph"/>
        <w:numPr>
          <w:ilvl w:val="0"/>
          <w:numId w:val="406"/>
        </w:numPr>
        <w:rPr/>
      </w:pPr>
      <w:r>
        <w:rPr/>
        <w:t xml:space="preserve">Ensure systems prevent remote devices that have established a non-remote connection (e.g., VPN) with the system from communicating outside that path and with resources external to the network; </w:t>
      </w:r>
    </w:p>
    <w:p>
      <w:pPr>
        <w:pStyle w:val="ListParagraph"/>
        <w:numPr>
          <w:ilvl w:val="0"/>
          <w:numId w:val="406"/>
        </w:numPr>
        <w:rPr/>
      </w:pPr>
      <w:r>
        <w:rPr/>
        <w:t>Ensure systems prevent the unauthorized release of information outside the system boundary or any unauthorized communication through the system boundary when there is an operational failure of the boundary protection mechanisms;</w:t>
      </w:r>
    </w:p>
    <w:p>
      <w:pPr>
        <w:pStyle w:val="ListParagraph"/>
        <w:numPr>
          <w:ilvl w:val="0"/>
          <w:numId w:val="406"/>
        </w:numPr>
        <w:rPr>
          <w:u w:val="single"/>
        </w:rPr>
      </w:pPr>
      <w:r>
        <w:rPr/>
        <w:t>Ensure private IP addresses and routing information are not disclosed to unauthorized parties; and</w:t>
      </w:r>
    </w:p>
    <w:p>
      <w:pPr>
        <w:pStyle w:val="ListParagraph"/>
        <w:numPr>
          <w:ilvl w:val="0"/>
          <w:numId w:val="406"/>
        </w:numPr>
        <w:rPr/>
      </w:pPr>
      <w:r>
        <w:rPr/>
        <w:t>Implement a firewall between any wireless networks and the internal network zone:</w:t>
      </w:r>
    </w:p>
    <w:p>
      <w:pPr>
        <w:pStyle w:val="ListParagraph"/>
        <w:numPr>
          <w:ilvl w:val="1"/>
          <w:numId w:val="406"/>
        </w:numPr>
        <w:rPr/>
      </w:pPr>
      <w:r>
        <w:rPr/>
        <w:t>Verify that there are perimeter firewalls installed between any wireless networks and systems that store sensitive data;</w:t>
      </w:r>
    </w:p>
    <w:p>
      <w:pPr>
        <w:pStyle w:val="ListParagraph"/>
        <w:numPr>
          <w:ilvl w:val="1"/>
          <w:numId w:val="406"/>
        </w:numPr>
        <w:rPr/>
      </w:pPr>
      <w:r>
        <w:rPr/>
        <w:t>Configure these firewalls to deny or control (if such traffic is necessary for business purposes) any traffic from the wireless environment into the internal network zone; and</w:t>
      </w:r>
    </w:p>
    <w:p>
      <w:pPr>
        <w:pStyle w:val="ListParagraph"/>
        <w:numPr>
          <w:ilvl w:val="1"/>
          <w:numId w:val="406"/>
        </w:numPr>
        <w:rPr/>
      </w:pPr>
      <w:r>
        <w:rPr/>
        <w:t xml:space="preserve">Verify that these firewalls deny or control (if such traffic is necessary for business purposes) any traffic from the wireless environment into the sensitive data environment. </w:t>
      </w:r>
    </w:p>
    <w:p>
      <w:pPr>
        <w:pStyle w:val="Normal"/>
        <w:rPr/>
      </w:pPr>
      <w:r>
        <w:rPr/>
      </w:r>
    </w:p>
    <w:p>
      <w:pPr>
        <w:pStyle w:val="Normal"/>
        <w:rPr/>
      </w:pPr>
      <w:r>
        <w:rPr>
          <w:u w:val="single"/>
        </w:rPr>
        <w:t>Guidelines</w:t>
      </w:r>
      <w:r>
        <w:rPr/>
        <w:t xml:space="preserve">: Any unauthorized services or traffic should be blocked and an alert generated. Boundary protection mechanisms include, for example, routers, gateways and firewalls separating system components into physically separate networks or sub-networks, cross-domain devices separating sub-networks and encrypting information flows among system components using distinct encryption keys. NFCC can isolate system components performing different business functions. Such isolation limits unauthorized information flows among system components and also provides the opportunity to deploy greater levels of protection for selected components. Separating system components with boundary protection mechanisms provide the capability for increased protection of individual components and to more effectively control information flows between those components. This type of enhanced protection limits the potential harm from cyber-attacks and errors. The degree of separation provided varies depending upon the mechanisms chosen. </w:t>
      </w:r>
    </w:p>
    <w:p>
      <w:pPr>
        <w:pStyle w:val="Normal"/>
        <w:rPr/>
      </w:pPr>
      <w:r>
        <w:rPr/>
      </w:r>
    </w:p>
    <w:p>
      <w:pPr>
        <w:pStyle w:val="Normal"/>
        <w:rPr/>
      </w:pPr>
      <w:r>
        <w:rPr/>
        <w:t xml:space="preserve">Organizations typically do not have control over external networks (e.g., the Internet). Approved boundary protection devices (e.g., routers, firewalls) mediate communications (e.g., information flows) between unclassified national security systems and external networks. </w:t>
      </w:r>
    </w:p>
    <w:p>
      <w:pPr>
        <w:pStyle w:val="Normal"/>
        <w:rPr/>
      </w:pPr>
      <w:r>
        <w:rPr/>
      </w:r>
    </w:p>
    <w:p>
      <w:pPr>
        <w:pStyle w:val="Heading3"/>
        <w:rPr/>
      </w:pPr>
      <w:bookmarkStart w:id="1376" w:name="_Toc474075141"/>
      <w:bookmarkStart w:id="1377" w:name="_Toc34921058"/>
      <w:r>
        <w:rPr/>
        <w:t>NET-03(a): Boundary Protection | Access Points</w:t>
      </w:r>
      <w:bookmarkEnd w:id="1376"/>
      <w:bookmarkEnd w:id="1377"/>
      <w:r>
        <w:rPr/>
        <w:t xml:space="preserve"> </w:t>
      </w:r>
    </w:p>
    <w:p>
      <w:pPr>
        <w:pStyle w:val="Normal"/>
        <w:rPr/>
      </w:pPr>
      <w:r>
        <w:rPr>
          <w:u w:val="single"/>
        </w:rPr>
        <w:t>Control Objective</w:t>
      </w:r>
      <w:r>
        <w:rPr/>
        <w:t>: The organization limits the number of external network connections to the network.</w:t>
      </w:r>
      <w:r>
        <w:rPr>
          <w:rStyle w:val="FootnoteAnchor"/>
          <w:rStyle w:val="FootnoteAnchor"/>
          <w:rFonts w:cs="Calibri"/>
          <w:bCs w:val="false"/>
        </w:rPr>
        <w:footnoteReference w:id="434"/>
      </w:r>
    </w:p>
    <w:p>
      <w:pPr>
        <w:pStyle w:val="Normal"/>
        <w:rPr/>
      </w:pPr>
      <w:r>
        <w:rPr/>
      </w:r>
    </w:p>
    <w:p>
      <w:pPr>
        <w:pStyle w:val="Normal"/>
        <w:rPr/>
      </w:pPr>
      <w:r>
        <w:rPr>
          <w:u w:val="single"/>
        </w:rPr>
        <w:t>Standard</w:t>
      </w:r>
      <w:r>
        <w:rPr/>
        <w:t>: Where technically feasible, network administrators must limit the number of external access points to the network.</w:t>
      </w:r>
    </w:p>
    <w:p>
      <w:pPr>
        <w:pStyle w:val="Normal"/>
        <w:rPr/>
      </w:pPr>
      <w:r>
        <w:rPr/>
      </w:r>
    </w:p>
    <w:p>
      <w:pPr>
        <w:pStyle w:val="Normal"/>
        <w:rPr/>
      </w:pPr>
      <w:r>
        <w:rPr>
          <w:u w:val="single"/>
        </w:rPr>
        <w:t>Guidelines</w:t>
      </w:r>
      <w:r>
        <w:rPr/>
        <w:t>: Limiting the number of external network connections facilitates more comprehensive monitoring of inbound and outbound communications traffic. The Trusted Internet Connection (TIC) initiative is an example of limiting the number of external network connections.</w:t>
      </w:r>
    </w:p>
    <w:p>
      <w:pPr>
        <w:pStyle w:val="Normal"/>
        <w:rPr>
          <w:rFonts w:eastAsia="Calibri"/>
        </w:rPr>
      </w:pPr>
      <w:r>
        <w:rPr>
          <w:rFonts w:eastAsia="Calibri"/>
        </w:rPr>
      </w:r>
    </w:p>
    <w:p>
      <w:pPr>
        <w:pStyle w:val="Heading3"/>
        <w:rPr/>
      </w:pPr>
      <w:bookmarkStart w:id="1378" w:name="_Toc474075142"/>
      <w:bookmarkStart w:id="1379" w:name="_Toc34921059"/>
      <w:r>
        <w:rPr/>
        <w:t>NET-03(b): Boundary Protection | External Telecommunications Services</w:t>
      </w:r>
      <w:bookmarkEnd w:id="1378"/>
      <w:bookmarkEnd w:id="1379"/>
      <w:r>
        <w:rPr/>
        <w:t xml:space="preserve"> </w:t>
      </w:r>
    </w:p>
    <w:p>
      <w:pPr>
        <w:pStyle w:val="Normal"/>
        <w:rPr/>
      </w:pPr>
      <w:r>
        <w:rPr>
          <w:u w:val="single"/>
        </w:rPr>
        <w:t>Control Objective</w:t>
      </w:r>
      <w:r>
        <w:rPr/>
        <w:t>: The organization implements a managed interface for each external telecommunication service that:</w:t>
      </w:r>
      <w:r>
        <w:rPr>
          <w:rStyle w:val="FootnoteAnchor"/>
          <w:rStyle w:val="FootnoteAnchor"/>
          <w:rFonts w:cs="Calibri"/>
          <w:bCs w:val="false"/>
        </w:rPr>
        <w:footnoteReference w:id="435"/>
      </w:r>
    </w:p>
    <w:p>
      <w:pPr>
        <w:pStyle w:val="ListParagraph"/>
        <w:numPr>
          <w:ilvl w:val="0"/>
          <w:numId w:val="542"/>
        </w:numPr>
        <w:rPr/>
      </w:pPr>
      <w:r>
        <w:rPr/>
        <w:t>Establishes a traffic flow policy for each managed interface;</w:t>
      </w:r>
    </w:p>
    <w:p>
      <w:pPr>
        <w:pStyle w:val="ListParagraph"/>
        <w:numPr>
          <w:ilvl w:val="0"/>
          <w:numId w:val="542"/>
        </w:numPr>
        <w:rPr/>
      </w:pPr>
      <w:r>
        <w:rPr/>
        <w:t>Protects the confidentiality and integrity of the information being transmitted across each interface;</w:t>
      </w:r>
    </w:p>
    <w:p>
      <w:pPr>
        <w:pStyle w:val="ListParagraph"/>
        <w:numPr>
          <w:ilvl w:val="0"/>
          <w:numId w:val="542"/>
        </w:numPr>
        <w:rPr/>
      </w:pPr>
      <w:r>
        <w:rPr/>
        <w:t>Documents each exception to the traffic flow policy with a supporting mission / business need and duration of that need; and</w:t>
      </w:r>
    </w:p>
    <w:p>
      <w:pPr>
        <w:pStyle w:val="ListParagraph"/>
        <w:numPr>
          <w:ilvl w:val="0"/>
          <w:numId w:val="542"/>
        </w:numPr>
        <w:rPr/>
      </w:pPr>
      <w:r>
        <w:rPr/>
        <w:t>Reviews exceptions to the traffic flow policy and removes exceptions that are no longer supported by an explicit mission / business need.</w:t>
      </w:r>
    </w:p>
    <w:p>
      <w:pPr>
        <w:pStyle w:val="Normal"/>
        <w:rPr/>
      </w:pPr>
      <w:r>
        <w:rPr/>
      </w:r>
    </w:p>
    <w:p>
      <w:pPr>
        <w:pStyle w:val="Normal"/>
        <w:rPr/>
      </w:pPr>
      <w:r>
        <w:rPr>
          <w:u w:val="single"/>
        </w:rPr>
        <w:t>Standard</w:t>
      </w:r>
      <w:r>
        <w:rPr/>
        <w:t xml:space="preserve">: NFCC must: </w:t>
      </w:r>
    </w:p>
    <w:p>
      <w:pPr>
        <w:pStyle w:val="ListParagraph"/>
        <w:numPr>
          <w:ilvl w:val="0"/>
          <w:numId w:val="407"/>
        </w:numPr>
        <w:rPr/>
      </w:pPr>
      <w:r>
        <w:rPr/>
        <w:t>Implement a managed interface for each external telecommunication service;</w:t>
      </w:r>
    </w:p>
    <w:p>
      <w:pPr>
        <w:pStyle w:val="ListParagraph"/>
        <w:numPr>
          <w:ilvl w:val="0"/>
          <w:numId w:val="407"/>
        </w:numPr>
        <w:rPr/>
      </w:pPr>
      <w:r>
        <w:rPr/>
        <w:t>Establish a traffic flow policy for each managed interface;</w:t>
      </w:r>
    </w:p>
    <w:p>
      <w:pPr>
        <w:pStyle w:val="ListParagraph"/>
        <w:numPr>
          <w:ilvl w:val="0"/>
          <w:numId w:val="407"/>
        </w:numPr>
        <w:rPr/>
      </w:pPr>
      <w:r>
        <w:rPr/>
        <w:t>Protect the confidentiality and integrity of the information being transmitted across each interface;</w:t>
      </w:r>
    </w:p>
    <w:p>
      <w:pPr>
        <w:pStyle w:val="ListParagraph"/>
        <w:numPr>
          <w:ilvl w:val="0"/>
          <w:numId w:val="407"/>
        </w:numPr>
        <w:rPr/>
      </w:pPr>
      <w:r>
        <w:rPr/>
        <w:t>Document each exception to the traffic flow policy with a supporting mission / business need and duration of that need; and</w:t>
      </w:r>
    </w:p>
    <w:p>
      <w:pPr>
        <w:pStyle w:val="ListParagraph"/>
        <w:numPr>
          <w:ilvl w:val="0"/>
          <w:numId w:val="407"/>
        </w:numPr>
        <w:rPr/>
      </w:pPr>
      <w:r>
        <w:rPr/>
        <w:t>Review exceptions to the traffic flow policy and remove exceptions that are no longer supported by an explicit mission / business need.</w:t>
      </w:r>
    </w:p>
    <w:p>
      <w:pPr>
        <w:pStyle w:val="Normal"/>
        <w:rPr/>
      </w:pPr>
      <w:r>
        <w:rPr/>
      </w:r>
    </w:p>
    <w:p>
      <w:pPr>
        <w:pStyle w:val="Normal"/>
        <w:rPr/>
      </w:pPr>
      <w:r>
        <w:rPr>
          <w:u w:val="single"/>
        </w:rPr>
        <w:t>Guidelines</w:t>
      </w:r>
      <w:r>
        <w:rPr/>
        <w:t>: None</w:t>
      </w:r>
    </w:p>
    <w:p>
      <w:pPr>
        <w:pStyle w:val="Normal"/>
        <w:rPr>
          <w:rFonts w:eastAsia="Calibri"/>
        </w:rPr>
      </w:pPr>
      <w:r>
        <w:rPr>
          <w:rFonts w:eastAsia="Calibri"/>
        </w:rPr>
      </w:r>
    </w:p>
    <w:p>
      <w:pPr>
        <w:pStyle w:val="Heading3"/>
        <w:rPr/>
      </w:pPr>
      <w:bookmarkStart w:id="1380" w:name="_Toc34921060"/>
      <w:bookmarkStart w:id="1381" w:name="_Toc474075144"/>
      <w:r>
        <w:rPr/>
        <w:t xml:space="preserve">NET-03(c): Boundary Protection | </w:t>
      </w:r>
      <w:bookmarkEnd w:id="1381"/>
      <w:r>
        <w:rPr/>
        <w:t>Prevent Discovery of Internal Information</w:t>
      </w:r>
      <w:bookmarkEnd w:id="1380"/>
      <w:r>
        <w:rPr/>
        <w:t xml:space="preserve"> </w:t>
      </w:r>
    </w:p>
    <w:p>
      <w:pPr>
        <w:pStyle w:val="Normal"/>
        <w:rPr/>
      </w:pPr>
      <w:r>
        <w:rPr>
          <w:u w:val="single"/>
        </w:rPr>
        <w:t>Control Objective</w:t>
      </w:r>
      <w:r>
        <w:rPr/>
        <w:t>: The organization implements configurations to prevent the disclosure of internal information.</w:t>
      </w:r>
      <w:r>
        <w:rPr>
          <w:rStyle w:val="FootnoteCharacters"/>
          <w:rFonts w:cs="Calibri"/>
          <w:bCs w:val="false"/>
        </w:rPr>
        <w:t xml:space="preserve"> </w:t>
      </w:r>
      <w:r>
        <w:rPr>
          <w:rStyle w:val="FootnoteAnchor"/>
          <w:rStyle w:val="FootnoteAnchor"/>
          <w:rFonts w:cs="Calibri"/>
          <w:bCs w:val="false"/>
        </w:rPr>
        <w:footnoteReference w:id="436"/>
      </w:r>
    </w:p>
    <w:p>
      <w:pPr>
        <w:pStyle w:val="Normal"/>
        <w:rPr/>
      </w:pPr>
      <w:r>
        <w:rPr/>
      </w:r>
    </w:p>
    <w:p>
      <w:pPr>
        <w:pStyle w:val="Normal"/>
        <w:rPr/>
      </w:pPr>
      <w:r>
        <w:rPr>
          <w:u w:val="single"/>
        </w:rPr>
        <w:t>Standard</w:t>
      </w:r>
      <w:r>
        <w:rPr/>
        <w:t xml:space="preserve">: Data/process owners and asset custodians are required to configure systems to prevent the disclosure of private IP addresses and routing information to unauthorized parties. Methods to obscure IP addressing may include, but are not limited to: </w:t>
      </w:r>
    </w:p>
    <w:p>
      <w:pPr>
        <w:pStyle w:val="ListParagraph"/>
        <w:numPr>
          <w:ilvl w:val="0"/>
          <w:numId w:val="408"/>
        </w:numPr>
        <w:rPr/>
      </w:pPr>
      <w:r>
        <w:rPr/>
        <w:t xml:space="preserve">Network Address Translation (NAT); </w:t>
      </w:r>
    </w:p>
    <w:p>
      <w:pPr>
        <w:pStyle w:val="ListParagraph"/>
        <w:numPr>
          <w:ilvl w:val="0"/>
          <w:numId w:val="408"/>
        </w:numPr>
        <w:rPr/>
      </w:pPr>
      <w:r>
        <w:rPr/>
        <w:t>Placing systems behind proxy servers / firewalls or content caches;</w:t>
      </w:r>
    </w:p>
    <w:p>
      <w:pPr>
        <w:pStyle w:val="ListParagraph"/>
        <w:numPr>
          <w:ilvl w:val="0"/>
          <w:numId w:val="408"/>
        </w:numPr>
        <w:rPr/>
      </w:pPr>
      <w:r>
        <w:rPr/>
        <w:t>Removing or filtering route advertisements for private networks that employ registered addressing; or</w:t>
      </w:r>
    </w:p>
    <w:p>
      <w:pPr>
        <w:pStyle w:val="ListParagraph"/>
        <w:numPr>
          <w:ilvl w:val="0"/>
          <w:numId w:val="408"/>
        </w:numPr>
        <w:rPr/>
      </w:pPr>
      <w:r>
        <w:rPr/>
        <w:t xml:space="preserve">Using internal use of RFC1918 address space instead of registered addresses. </w:t>
      </w:r>
    </w:p>
    <w:p>
      <w:pPr>
        <w:pStyle w:val="Normal"/>
        <w:rPr/>
      </w:pPr>
      <w:r>
        <w:rPr/>
      </w:r>
    </w:p>
    <w:p>
      <w:pPr>
        <w:pStyle w:val="Normal"/>
        <w:rPr/>
      </w:pPr>
      <w:r>
        <w:rPr>
          <w:u w:val="single"/>
        </w:rPr>
        <w:t>Guidelines</w:t>
      </w:r>
      <w:r>
        <w:rPr/>
        <w:t>: None</w:t>
      </w:r>
    </w:p>
    <w:p>
      <w:pPr>
        <w:pStyle w:val="Normal"/>
        <w:rPr/>
      </w:pPr>
      <w:r>
        <w:rPr/>
      </w:r>
    </w:p>
    <w:p>
      <w:pPr>
        <w:pStyle w:val="Heading3"/>
        <w:rPr/>
      </w:pPr>
      <w:bookmarkStart w:id="1382" w:name="_Toc474075145"/>
      <w:bookmarkStart w:id="1383" w:name="_Toc34921061"/>
      <w:r>
        <w:rPr/>
        <w:t>NET-03(d): Boundary Protection | Personal Data (PD)</w:t>
      </w:r>
      <w:bookmarkEnd w:id="1382"/>
      <w:bookmarkEnd w:id="1383"/>
      <w:r>
        <w:rPr/>
        <w:t xml:space="preserve"> </w:t>
      </w:r>
    </w:p>
    <w:p>
      <w:pPr>
        <w:pStyle w:val="Normal"/>
        <w:rPr/>
      </w:pPr>
      <w:r>
        <w:rPr>
          <w:u w:val="single"/>
        </w:rPr>
        <w:t>Control Objective</w:t>
      </w:r>
      <w:r>
        <w:rPr/>
        <w:t>: For systems that process, store or transmit Personal Data (PD), the organization:</w:t>
      </w:r>
    </w:p>
    <w:p>
      <w:pPr>
        <w:pStyle w:val="ListParagraph"/>
        <w:numPr>
          <w:ilvl w:val="0"/>
          <w:numId w:val="541"/>
        </w:numPr>
        <w:rPr/>
      </w:pPr>
      <w:r>
        <w:rPr/>
        <w:t>Applies organization-defined processing rules to data elements of PD;</w:t>
      </w:r>
    </w:p>
    <w:p>
      <w:pPr>
        <w:pStyle w:val="ListParagraph"/>
        <w:numPr>
          <w:ilvl w:val="0"/>
          <w:numId w:val="541"/>
        </w:numPr>
        <w:rPr/>
      </w:pPr>
      <w:r>
        <w:rPr/>
        <w:t>Monitors for permitted processing at the external boundary of the system and at key internal boundaries within the system;</w:t>
      </w:r>
    </w:p>
    <w:p>
      <w:pPr>
        <w:pStyle w:val="ListParagraph"/>
        <w:numPr>
          <w:ilvl w:val="0"/>
          <w:numId w:val="541"/>
        </w:numPr>
        <w:rPr/>
      </w:pPr>
      <w:r>
        <w:rPr/>
        <w:t>Documents each processing exception; and</w:t>
      </w:r>
    </w:p>
    <w:p>
      <w:pPr>
        <w:pStyle w:val="ListParagraph"/>
        <w:numPr>
          <w:ilvl w:val="0"/>
          <w:numId w:val="541"/>
        </w:numPr>
        <w:rPr/>
      </w:pPr>
      <w:r>
        <w:rPr/>
        <w:t>Reviews and removes exceptions that are no longer supported.</w:t>
      </w:r>
    </w:p>
    <w:p>
      <w:pPr>
        <w:pStyle w:val="Normal"/>
        <w:rPr/>
      </w:pPr>
      <w:r>
        <w:rPr/>
      </w:r>
    </w:p>
    <w:p>
      <w:pPr>
        <w:pStyle w:val="Normal"/>
        <w:rPr>
          <w:bCs w:val="false"/>
        </w:rPr>
      </w:pPr>
      <w:r>
        <w:rPr>
          <w:u w:val="single"/>
        </w:rPr>
        <w:t>Standard</w:t>
      </w:r>
      <w:r>
        <w:rPr/>
        <w:t xml:space="preserve">: </w:t>
      </w:r>
      <w:r>
        <w:rPr>
          <w:bCs w:val="false"/>
        </w:rPr>
        <w:t>For systems that process, store, or transmit Personal Data (PD), asset custodians and data/process owners are required to:</w:t>
      </w:r>
    </w:p>
    <w:p>
      <w:pPr>
        <w:pStyle w:val="ListParagraph"/>
        <w:numPr>
          <w:ilvl w:val="0"/>
          <w:numId w:val="579"/>
        </w:numPr>
        <w:tabs>
          <w:tab w:val="clear" w:pos="360"/>
          <w:tab w:val="clear" w:pos="720"/>
          <w:tab w:val="clear" w:pos="1080"/>
        </w:tabs>
        <w:rPr>
          <w:bCs w:val="false"/>
        </w:rPr>
      </w:pPr>
      <w:r>
        <w:rPr>
          <w:bCs w:val="false"/>
        </w:rPr>
        <w:t>Applies organization-defined processing rules] to data elements of PD;</w:t>
      </w:r>
    </w:p>
    <w:p>
      <w:pPr>
        <w:pStyle w:val="ListParagraph"/>
        <w:numPr>
          <w:ilvl w:val="0"/>
          <w:numId w:val="579"/>
        </w:numPr>
        <w:tabs>
          <w:tab w:val="clear" w:pos="360"/>
          <w:tab w:val="clear" w:pos="720"/>
          <w:tab w:val="clear" w:pos="1080"/>
        </w:tabs>
        <w:rPr>
          <w:bCs w:val="false"/>
        </w:rPr>
      </w:pPr>
      <w:r>
        <w:rPr>
          <w:bCs w:val="false"/>
        </w:rPr>
        <w:t>Monitors for permitted processing at the external boundary of the system and at key internal boundaries within the system;</w:t>
      </w:r>
    </w:p>
    <w:p>
      <w:pPr>
        <w:pStyle w:val="ListParagraph"/>
        <w:numPr>
          <w:ilvl w:val="0"/>
          <w:numId w:val="579"/>
        </w:numPr>
        <w:tabs>
          <w:tab w:val="clear" w:pos="360"/>
          <w:tab w:val="clear" w:pos="720"/>
          <w:tab w:val="clear" w:pos="1080"/>
        </w:tabs>
        <w:rPr>
          <w:bCs w:val="false"/>
        </w:rPr>
      </w:pPr>
      <w:r>
        <w:rPr>
          <w:bCs w:val="false"/>
        </w:rPr>
        <w:t>Documents each processing exception; and</w:t>
      </w:r>
    </w:p>
    <w:p>
      <w:pPr>
        <w:pStyle w:val="ListParagraph"/>
        <w:numPr>
          <w:ilvl w:val="0"/>
          <w:numId w:val="579"/>
        </w:numPr>
        <w:tabs>
          <w:tab w:val="clear" w:pos="360"/>
          <w:tab w:val="clear" w:pos="720"/>
          <w:tab w:val="clear" w:pos="1080"/>
        </w:tabs>
        <w:rPr>
          <w:bCs w:val="false"/>
        </w:rPr>
      </w:pPr>
      <w:r>
        <w:rPr>
          <w:bCs w:val="false"/>
        </w:rPr>
        <w:t>Reviews and removes exceptions that are no longer supported.</w:t>
      </w:r>
    </w:p>
    <w:p>
      <w:pPr>
        <w:pStyle w:val="Normal"/>
        <w:rPr/>
      </w:pPr>
      <w:r>
        <w:rPr/>
      </w:r>
    </w:p>
    <w:p>
      <w:pPr>
        <w:pStyle w:val="Normal"/>
        <w:rPr>
          <w:bCs w:val="false"/>
        </w:rPr>
      </w:pPr>
      <w:r>
        <w:rPr>
          <w:u w:val="single"/>
        </w:rPr>
        <w:t>Guidelines</w:t>
      </w:r>
      <w:r>
        <w:rPr/>
        <w:t xml:space="preserve">: </w:t>
      </w:r>
      <w:r>
        <w:rPr>
          <w:bCs w:val="false"/>
        </w:rPr>
        <w:t>Managing the transmission of Personal Data (PD) and how such information is used is an important aspect of safeguarding an individual’s privacy. Processing rules that determine how or when Personal Data (PD) may be used or transmitted ensures that such information is used or transmitted only in accordance with established privacy requirements.</w:t>
      </w:r>
    </w:p>
    <w:p>
      <w:pPr>
        <w:pStyle w:val="Normal"/>
        <w:rPr/>
      </w:pPr>
      <w:r>
        <w:rPr/>
      </w:r>
    </w:p>
    <w:p>
      <w:pPr>
        <w:pStyle w:val="Heading3"/>
        <w:rPr/>
      </w:pPr>
      <w:bookmarkStart w:id="1384" w:name="_Toc23242140"/>
      <w:bookmarkStart w:id="1385" w:name="_Toc34921062"/>
      <w:r>
        <w:rPr/>
        <w:t>NET-03(e): Boundary Protection | Prevent Unauthorized Exfiltration</w:t>
      </w:r>
      <w:bookmarkEnd w:id="1384"/>
      <w:bookmarkEnd w:id="1385"/>
      <w:r>
        <w:rPr/>
        <w:t xml:space="preserve"> </w:t>
      </w:r>
    </w:p>
    <w:p>
      <w:pPr>
        <w:pStyle w:val="Normal"/>
        <w:rPr/>
      </w:pPr>
      <w:r>
        <w:rPr>
          <w:rFonts w:cs="Calibri"/>
          <w:u w:val="single"/>
        </w:rPr>
        <w:t>Control Objective</w:t>
      </w:r>
      <w:r>
        <w:rPr>
          <w:rFonts w:cs="Calibri"/>
        </w:rPr>
        <w:t>:</w:t>
      </w:r>
      <w:r>
        <w:rPr>
          <w:rFonts w:cs="Calibri"/>
          <w:bCs w:val="false"/>
        </w:rPr>
        <w:t xml:space="preserve"> </w:t>
      </w:r>
      <w:r>
        <w:rPr/>
        <w:t>The organization prevents the unauthorized exfiltration of information across managed interfaces.</w:t>
      </w:r>
      <w:r>
        <w:rPr>
          <w:rStyle w:val="FootnoteCharacters"/>
          <w:rFonts w:cs="Calibri"/>
          <w:bCs w:val="false"/>
        </w:rPr>
        <w:t xml:space="preserve"> </w:t>
      </w:r>
      <w:r>
        <w:rPr>
          <w:rStyle w:val="FootnoteAnchor"/>
          <w:rStyle w:val="FootnoteAnchor"/>
          <w:rFonts w:cs="Calibri"/>
          <w:bCs w:val="false"/>
        </w:rPr>
        <w:footnoteReference w:id="437"/>
      </w:r>
      <w:r>
        <w:rPr/>
        <w:t xml:space="preserve"> </w:t>
      </w:r>
    </w:p>
    <w:p>
      <w:pPr>
        <w:pStyle w:val="Normal"/>
        <w:rPr/>
      </w:pPr>
      <w:r>
        <w:rPr/>
      </w:r>
    </w:p>
    <w:p>
      <w:pPr>
        <w:pStyle w:val="Normal"/>
        <w:rPr/>
      </w:pPr>
      <w:r>
        <w:rPr>
          <w:rFonts w:cs="Calibri"/>
          <w:bCs w:val="false"/>
          <w:u w:val="single"/>
        </w:rPr>
        <w:t>Standard</w:t>
      </w:r>
      <w:r>
        <w:rPr>
          <w:rFonts w:cs="Calibri"/>
          <w:bCs w:val="false"/>
        </w:rPr>
        <w:t xml:space="preserve">: Where technically feasible, NFCC’s boundary defenses must be configured to </w:t>
      </w:r>
      <w:r>
        <w:rPr/>
        <w:t>prevent the unauthorized exfiltration of information across managed interfaces through:</w:t>
      </w:r>
    </w:p>
    <w:p>
      <w:pPr>
        <w:pStyle w:val="ListParagraph"/>
        <w:numPr>
          <w:ilvl w:val="0"/>
          <w:numId w:val="640"/>
        </w:numPr>
        <w:rPr/>
      </w:pPr>
      <w:r>
        <w:rPr/>
        <w:t xml:space="preserve">Strict adherence to protocol formats; </w:t>
      </w:r>
    </w:p>
    <w:p>
      <w:pPr>
        <w:pStyle w:val="ListParagraph"/>
        <w:numPr>
          <w:ilvl w:val="0"/>
          <w:numId w:val="640"/>
        </w:numPr>
        <w:rPr/>
      </w:pPr>
      <w:r>
        <w:rPr/>
        <w:t xml:space="preserve">Monitoring for beaconing from information systems; </w:t>
      </w:r>
    </w:p>
    <w:p>
      <w:pPr>
        <w:pStyle w:val="ListParagraph"/>
        <w:numPr>
          <w:ilvl w:val="0"/>
          <w:numId w:val="640"/>
        </w:numPr>
        <w:rPr/>
      </w:pPr>
      <w:r>
        <w:rPr/>
        <w:t xml:space="preserve">Monitoring for steganography; </w:t>
      </w:r>
    </w:p>
    <w:p>
      <w:pPr>
        <w:pStyle w:val="ListParagraph"/>
        <w:numPr>
          <w:ilvl w:val="0"/>
          <w:numId w:val="640"/>
        </w:numPr>
        <w:rPr/>
      </w:pPr>
      <w:r>
        <w:rPr/>
        <w:t xml:space="preserve">Disconnecting external network interfaces except when explicitly needed; </w:t>
      </w:r>
    </w:p>
    <w:p>
      <w:pPr>
        <w:pStyle w:val="ListParagraph"/>
        <w:numPr>
          <w:ilvl w:val="0"/>
          <w:numId w:val="640"/>
        </w:numPr>
        <w:rPr/>
      </w:pPr>
      <w:r>
        <w:rPr/>
        <w:t xml:space="preserve">Disassembling and reassembling packet headers; and </w:t>
      </w:r>
    </w:p>
    <w:p>
      <w:pPr>
        <w:pStyle w:val="ListParagraph"/>
        <w:numPr>
          <w:ilvl w:val="0"/>
          <w:numId w:val="640"/>
        </w:numPr>
        <w:rPr>
          <w:rFonts w:cs="Calibri"/>
        </w:rPr>
      </w:pPr>
      <w:r>
        <w:rPr/>
        <w:t>Employing traffic profile analysis to detect deviations from the volume/types of traffic expected within organizations or call backs to command and control centers.</w:t>
      </w:r>
    </w:p>
    <w:p>
      <w:pPr>
        <w:pStyle w:val="Normal"/>
        <w:rPr>
          <w:rFonts w:cs="Calibri"/>
        </w:rPr>
      </w:pPr>
      <w:r>
        <w:rPr>
          <w:rFonts w:cs="Calibri"/>
        </w:rPr>
      </w:r>
    </w:p>
    <w:p>
      <w:pPr>
        <w:pStyle w:val="Normal"/>
        <w:rPr/>
      </w:pPr>
      <w:r>
        <w:rPr>
          <w:rFonts w:cs="Calibri"/>
          <w:u w:val="single"/>
        </w:rPr>
        <w:t>Guidelines</w:t>
      </w:r>
      <w:r>
        <w:rPr>
          <w:rFonts w:cs="Calibri"/>
        </w:rPr>
        <w:t>:</w:t>
      </w:r>
      <w:r>
        <w:rPr/>
        <w:t xml:space="preserve"> Devices enforcing strict adherence to protocol formats include, for example, deep packet inspection firewalls and XML gateways. These devices verify adherence to protocol formats and specification at the application layer and serve to identify vulnerabilities that cannot be detected by devices operating at the network or transport layers. This control enhancement is closely associated with cross-domain solutions and system guards enforcing information flow requirements. </w:t>
      </w:r>
    </w:p>
    <w:p>
      <w:pPr>
        <w:pStyle w:val="Normal"/>
        <w:rPr/>
      </w:pPr>
      <w:r>
        <w:rPr/>
      </w:r>
    </w:p>
    <w:p>
      <w:pPr>
        <w:pStyle w:val="Heading3"/>
        <w:rPr/>
      </w:pPr>
      <w:bookmarkStart w:id="1386" w:name="_Toc23242146"/>
      <w:bookmarkStart w:id="1387" w:name="_Toc34921063"/>
      <w:r>
        <w:rPr/>
        <w:t>NET-03(f): Boundary Protection | Dynamic Isolation &amp; Segregation (Sandboxing)</w:t>
      </w:r>
      <w:bookmarkEnd w:id="1386"/>
      <w:bookmarkEnd w:id="1387"/>
      <w:r>
        <w:rPr/>
        <w:t xml:space="preserve"> </w:t>
      </w:r>
    </w:p>
    <w:p>
      <w:pPr>
        <w:pStyle w:val="Normal"/>
        <w:rPr/>
      </w:pPr>
      <w:r>
        <w:rPr>
          <w:rFonts w:cs="Calibri"/>
          <w:u w:val="single"/>
        </w:rPr>
        <w:t>Control Objective</w:t>
      </w:r>
      <w:r>
        <w:rPr>
          <w:rFonts w:cs="Calibri"/>
        </w:rPr>
        <w:t xml:space="preserve">: </w:t>
      </w:r>
      <w:r>
        <w:rPr/>
        <w:t xml:space="preserve">The information system provides the capability to dynamically isolate/segregate organization-defined information system components from other components of the system. </w:t>
      </w:r>
      <w:r>
        <w:rPr>
          <w:rStyle w:val="FootnoteAnchor"/>
          <w:rStyle w:val="FootnoteAnchor"/>
          <w:rFonts w:cs="Calibri"/>
          <w:bCs w:val="false"/>
        </w:rPr>
        <w:footnoteReference w:id="438"/>
      </w:r>
    </w:p>
    <w:p>
      <w:pPr>
        <w:pStyle w:val="Normal"/>
        <w:rPr>
          <w:rFonts w:cs="Calibri"/>
        </w:rPr>
      </w:pPr>
      <w:r>
        <w:rPr>
          <w:rFonts w:cs="Calibri"/>
        </w:rPr>
      </w:r>
    </w:p>
    <w:p>
      <w:pPr>
        <w:pStyle w:val="Normal"/>
        <w:rPr>
          <w:rFonts w:cs="Calibri"/>
        </w:rPr>
      </w:pPr>
      <w:r>
        <w:rPr>
          <w:rFonts w:cs="Calibri"/>
          <w:bCs w:val="false"/>
          <w:u w:val="single"/>
        </w:rPr>
        <w:t>Standard</w:t>
      </w:r>
      <w:r>
        <w:rPr>
          <w:rFonts w:cs="Calibri"/>
          <w:bCs w:val="false"/>
        </w:rPr>
        <w:t>:</w:t>
      </w:r>
      <w:r>
        <w:rPr>
          <w:rFonts w:cs="Calibri"/>
        </w:rPr>
        <w:t xml:space="preserve"> Where technically feasible, NFCC requires systems to implement component isolation to “sandbox” untrusted components during runtime, where the component is isolated in a fault-contained environment but it can still collaborate with the application. </w:t>
      </w:r>
    </w:p>
    <w:p>
      <w:pPr>
        <w:pStyle w:val="Normal"/>
        <w:rPr>
          <w:rFonts w:cs="Calibri"/>
        </w:rPr>
      </w:pPr>
      <w:r>
        <w:rPr>
          <w:rFonts w:cs="Calibri"/>
        </w:rPr>
      </w:r>
    </w:p>
    <w:p>
      <w:pPr>
        <w:pStyle w:val="Normal"/>
        <w:rPr>
          <w:rFonts w:cs="Calibri"/>
        </w:rPr>
      </w:pPr>
      <w:r>
        <w:rPr>
          <w:rFonts w:cs="Calibri"/>
          <w:u w:val="single"/>
        </w:rPr>
        <w:t>Guidelines</w:t>
      </w:r>
      <w:r>
        <w:rPr>
          <w:rFonts w:cs="Calibri"/>
        </w:rPr>
        <w:t xml:space="preserve">: </w:t>
      </w:r>
      <w:r>
        <w:rPr/>
        <w:t>The capability to dynamically isolate or segregate certain internal components of organizational information systems is useful when it is necessary to partition or separate certain components of dubious origin from those components possessing greater trustworthiness. Component isolation reduces the attack surface of organizational information systems. Isolation of selected information system components is also a means of limiting the damage from successful cyber attacks when those attacks occur.</w:t>
      </w:r>
    </w:p>
    <w:p>
      <w:pPr>
        <w:pStyle w:val="Normal"/>
        <w:rPr/>
      </w:pPr>
      <w:r>
        <w:rPr/>
      </w:r>
    </w:p>
    <w:p>
      <w:pPr>
        <w:pStyle w:val="Heading3"/>
        <w:rPr/>
      </w:pPr>
      <w:bookmarkStart w:id="1388" w:name="_Toc23242147"/>
      <w:bookmarkStart w:id="1389" w:name="_Toc34921064"/>
      <w:r>
        <w:rPr/>
        <w:t>NET-03(g): Boundary Protection | Isolation of Information System Components (DMZ)</w:t>
      </w:r>
      <w:bookmarkEnd w:id="1388"/>
      <w:bookmarkEnd w:id="1389"/>
      <w:r>
        <w:rPr/>
        <w:t xml:space="preserve"> </w:t>
      </w:r>
    </w:p>
    <w:p>
      <w:pPr>
        <w:pStyle w:val="Normal"/>
        <w:rPr/>
      </w:pPr>
      <w:r>
        <w:rPr>
          <w:rFonts w:cs="Calibri"/>
          <w:u w:val="single"/>
        </w:rPr>
        <w:t>Control Objective</w:t>
      </w:r>
      <w:r>
        <w:rPr>
          <w:rFonts w:cs="Calibri"/>
        </w:rPr>
        <w:t xml:space="preserve">: </w:t>
      </w:r>
      <w:r>
        <w:rPr/>
        <w:t xml:space="preserve">The organization employs boundary protection mechanisms to separate organization-defined information system components supporting organization-defined missions and/or business functions. </w:t>
      </w:r>
      <w:r>
        <w:rPr>
          <w:rStyle w:val="FootnoteAnchor"/>
          <w:rStyle w:val="FootnoteAnchor"/>
          <w:rFonts w:cs="Calibri"/>
          <w:bCs w:val="false"/>
        </w:rPr>
        <w:footnoteReference w:id="439"/>
      </w:r>
      <w:r>
        <w:rPr/>
        <w:t xml:space="preserve"> </w:t>
      </w:r>
    </w:p>
    <w:p>
      <w:pPr>
        <w:pStyle w:val="Normal"/>
        <w:rPr>
          <w:rFonts w:cs="Calibri"/>
        </w:rPr>
      </w:pPr>
      <w:r>
        <w:rPr>
          <w:rFonts w:cs="Calibri"/>
        </w:rPr>
      </w:r>
    </w:p>
    <w:p>
      <w:pPr>
        <w:pStyle w:val="Normal"/>
        <w:rPr>
          <w:rFonts w:cs="Calibri"/>
        </w:rPr>
      </w:pPr>
      <w:r>
        <w:rPr>
          <w:rFonts w:cs="Calibri"/>
          <w:bCs w:val="false"/>
          <w:u w:val="single"/>
        </w:rPr>
        <w:t>Standard</w:t>
      </w:r>
      <w:r>
        <w:rPr>
          <w:rFonts w:cs="Calibri"/>
          <w:bCs w:val="false"/>
        </w:rPr>
        <w:t xml:space="preserve">: </w:t>
      </w:r>
      <w:r>
        <w:rPr>
          <w:rFonts w:cs="Calibri"/>
        </w:rPr>
        <w:t>NFCC’s IT department is required to implement and maintain isolated, logically-separated network environments in accordance with industry-recognized secure practices for:</w:t>
      </w:r>
    </w:p>
    <w:p>
      <w:pPr>
        <w:pStyle w:val="ListParagraph"/>
        <w:numPr>
          <w:ilvl w:val="0"/>
          <w:numId w:val="641"/>
        </w:numPr>
        <w:rPr>
          <w:rFonts w:cs="Calibri"/>
        </w:rPr>
      </w:pPr>
      <w:r>
        <w:rPr>
          <w:rFonts w:cs="Calibri"/>
        </w:rPr>
        <w:t>Internet-facing Demilitarized Zones (DMZs) DMZs; and</w:t>
      </w:r>
    </w:p>
    <w:p>
      <w:pPr>
        <w:pStyle w:val="ListParagraph"/>
        <w:numPr>
          <w:ilvl w:val="0"/>
          <w:numId w:val="641"/>
        </w:numPr>
        <w:rPr>
          <w:rFonts w:cs="Calibri"/>
        </w:rPr>
      </w:pPr>
      <w:r>
        <w:rPr>
          <w:rFonts w:cs="Calibri"/>
        </w:rPr>
        <w:t>Guest networks.</w:t>
      </w:r>
    </w:p>
    <w:p>
      <w:pPr>
        <w:pStyle w:val="Normal"/>
        <w:rPr>
          <w:rFonts w:cs="Calibri"/>
        </w:rPr>
      </w:pPr>
      <w:r>
        <w:rPr>
          <w:rFonts w:cs="Calibri"/>
        </w:rPr>
      </w:r>
    </w:p>
    <w:p>
      <w:pPr>
        <w:pStyle w:val="Normal"/>
        <w:rPr>
          <w:rFonts w:cs="Calibri"/>
        </w:rPr>
      </w:pPr>
      <w:r>
        <w:rPr>
          <w:rFonts w:cs="Calibri"/>
          <w:u w:val="single"/>
        </w:rPr>
        <w:t>Guidelines</w:t>
      </w:r>
      <w:r>
        <w:rPr>
          <w:rFonts w:cs="Calibri"/>
        </w:rPr>
        <w:t xml:space="preserve">: </w:t>
      </w:r>
      <w:r>
        <w:rPr/>
        <w:t>Organizations can isolate information system components performing different missions and/or business functions. Such isolation limits unauthorized information flows among system components and also provides the opportunity to deploy greater levels of protection for selected components. Separating system components with boundary protection mechanisms provides the capability for increased protection of individual components and to more effectively control information flows between those components. This type of enhanced protection limits the potential harm from cyber attacks and errors. The degree of separation provided varies depending upon the mechanisms chosen. Boundary protection mechanisms include, for example, routers, gateways and firewalls separating system components into physically separate networks or subnetworks, cross-domain devices separating subnetworks, virtualization techniques and encrypting information flows among system components using distinct encryption keys.</w:t>
      </w:r>
    </w:p>
    <w:p>
      <w:pPr>
        <w:pStyle w:val="Normal"/>
        <w:rPr>
          <w:rFonts w:cs="Calibri"/>
          <w:b/>
          <w:b/>
          <w:bCs w:val="false"/>
          <w:smallCaps/>
          <w:color w:val="1F497D" w:themeColor="text2"/>
        </w:rPr>
      </w:pPr>
      <w:r>
        <w:rPr>
          <w:rFonts w:cs="Calibri"/>
          <w:b/>
          <w:bCs w:val="false"/>
          <w:smallCaps/>
          <w:color w:val="1F497D" w:themeColor="text2"/>
        </w:rPr>
      </w:r>
    </w:p>
    <w:p>
      <w:pPr>
        <w:pStyle w:val="Heading3"/>
        <w:rPr/>
      </w:pPr>
      <w:bookmarkStart w:id="1390" w:name="_Toc23242148"/>
      <w:bookmarkStart w:id="1391" w:name="_Toc34921065"/>
      <w:r>
        <w:rPr/>
        <w:t>NET-03(h): Boundary Protection | Separate Subnets for Connecting To Different Security Domains</w:t>
      </w:r>
      <w:bookmarkEnd w:id="1390"/>
      <w:bookmarkEnd w:id="1391"/>
      <w:r>
        <w:rPr/>
        <w:t xml:space="preserve"> </w:t>
      </w:r>
    </w:p>
    <w:p>
      <w:pPr>
        <w:pStyle w:val="Normal"/>
        <w:rPr>
          <w:rFonts w:cs="Calibri"/>
          <w:bCs w:val="false"/>
        </w:rPr>
      </w:pPr>
      <w:r>
        <w:rPr>
          <w:rFonts w:cs="Calibri"/>
          <w:u w:val="single"/>
        </w:rPr>
        <w:t>Control Objective</w:t>
      </w:r>
      <w:r>
        <w:rPr>
          <w:rFonts w:cs="Calibri"/>
        </w:rPr>
        <w:t>:</w:t>
      </w:r>
      <w:r>
        <w:rPr>
          <w:rFonts w:cs="Calibri"/>
          <w:bCs w:val="false"/>
        </w:rPr>
        <w:t xml:space="preserve"> The information system implements separate network addresses (e.g., different subnets) to connect to systems in different security domains.</w:t>
      </w:r>
      <w:r>
        <w:rPr>
          <w:rStyle w:val="FootnoteAnchor"/>
          <w:rStyle w:val="FootnoteAnchor"/>
          <w:rFonts w:cs="Calibri"/>
          <w:bCs w:val="false"/>
        </w:rPr>
        <w:footnoteReference w:id="440"/>
      </w:r>
    </w:p>
    <w:p>
      <w:pPr>
        <w:pStyle w:val="Normal"/>
        <w:rPr>
          <w:rFonts w:cs="Calibri"/>
          <w:bCs w:val="false"/>
        </w:rPr>
      </w:pPr>
      <w:r>
        <w:rPr>
          <w:rFonts w:cs="Calibri"/>
          <w:bCs w:val="false"/>
        </w:rPr>
      </w:r>
    </w:p>
    <w:p>
      <w:pPr>
        <w:pStyle w:val="Normal"/>
        <w:rPr>
          <w:rFonts w:cs="Calibri"/>
          <w:bCs w:val="false"/>
        </w:rPr>
      </w:pPr>
      <w:r>
        <w:rPr>
          <w:rFonts w:cs="Calibri"/>
          <w:bCs w:val="false"/>
          <w:u w:val="single"/>
        </w:rPr>
        <w:t>Standard</w:t>
      </w:r>
      <w:r>
        <w:rPr>
          <w:rFonts w:cs="Calibri"/>
          <w:bCs w:val="false"/>
        </w:rPr>
        <w:t>: NFCC requires systems in different security domains to implement separate network addresses (e.g., unique subnets).</w:t>
      </w:r>
    </w:p>
    <w:p>
      <w:pPr>
        <w:pStyle w:val="Normal"/>
        <w:rPr>
          <w:rFonts w:cs="Calibri"/>
          <w:bCs w:val="false"/>
        </w:rPr>
      </w:pPr>
      <w:r>
        <w:rPr>
          <w:rFonts w:cs="Calibri"/>
          <w:bCs w:val="false"/>
        </w:rPr>
        <w:t xml:space="preserve"> </w:t>
      </w:r>
    </w:p>
    <w:p>
      <w:pPr>
        <w:pStyle w:val="Normal"/>
        <w:rPr/>
      </w:pPr>
      <w:r>
        <w:rPr>
          <w:rFonts w:cs="Calibri"/>
          <w:bCs w:val="false"/>
          <w:u w:val="single"/>
        </w:rPr>
        <w:t>Guidelines</w:t>
      </w:r>
      <w:r>
        <w:rPr>
          <w:rFonts w:cs="Calibri"/>
          <w:bCs w:val="false"/>
        </w:rPr>
        <w:t>: Decomposition of information systems into subnets helps to provide the appropriate level of protection for network connections to different security domains containing information with different security categories or classification levels.</w:t>
      </w:r>
      <w:bookmarkStart w:id="1392" w:name="_Hlk27580001"/>
      <w:bookmarkEnd w:id="1392"/>
    </w:p>
    <w:p>
      <w:pPr>
        <w:pStyle w:val="Normal"/>
        <w:rPr/>
      </w:pPr>
      <w:r>
        <w:rPr/>
      </w:r>
    </w:p>
    <w:p>
      <w:pPr>
        <w:pStyle w:val="Heading2"/>
        <w:rPr/>
      </w:pPr>
      <w:bookmarkStart w:id="1393" w:name="_Toc474075146"/>
      <w:bookmarkStart w:id="1394" w:name="_Toc474075708"/>
      <w:bookmarkStart w:id="1395" w:name="_Toc34921066"/>
      <w:r>
        <w:rPr/>
        <w:t>NET-04: Data Flow Enforcement – Access Control Lists (ACLs)</w:t>
      </w:r>
      <w:bookmarkEnd w:id="1393"/>
      <w:bookmarkEnd w:id="1394"/>
      <w:bookmarkEnd w:id="1395"/>
    </w:p>
    <w:p>
      <w:pPr>
        <w:pStyle w:val="Normal"/>
        <w:rPr/>
      </w:pPr>
      <w:r>
        <w:rPr>
          <w:u w:val="single"/>
        </w:rPr>
        <w:t>Control Objective</w:t>
      </w:r>
      <w:r>
        <w:rPr/>
        <w:t>: The organization builds firewall and router configurations that follow industry-recognized leading practices to restrict connections between untrusted networks and internal systems.</w:t>
      </w:r>
      <w:r>
        <w:rPr>
          <w:rStyle w:val="FootnoteCharacters"/>
          <w:rFonts w:cs="Calibri"/>
        </w:rPr>
        <w:t xml:space="preserve"> </w:t>
      </w:r>
      <w:r>
        <w:rPr>
          <w:rStyle w:val="FootnoteAnchor"/>
          <w:rStyle w:val="FootnoteAnchor"/>
          <w:rFonts w:cs="Calibri"/>
        </w:rPr>
        <w:footnoteReference w:id="441"/>
      </w:r>
    </w:p>
    <w:p>
      <w:pPr>
        <w:pStyle w:val="Normal"/>
        <w:rPr/>
      </w:pPr>
      <w:r>
        <w:rPr/>
      </w:r>
    </w:p>
    <w:p>
      <w:pPr>
        <w:pStyle w:val="Normal"/>
        <w:rPr/>
      </w:pPr>
      <w:r>
        <w:rPr>
          <w:u w:val="single"/>
        </w:rPr>
        <w:t>Standard</w:t>
      </w:r>
      <w:r>
        <w:rPr/>
        <w:t>: Network administrators are required to deploy and configure firewalls and routers in order to restrict connections between untrusted networks and any system components within the network by the following means:</w:t>
      </w:r>
      <w:r>
        <w:rPr>
          <w:rStyle w:val="FootnoteCharacters"/>
          <w:rFonts w:cs="Calibri"/>
        </w:rPr>
        <w:t xml:space="preserve"> </w:t>
      </w:r>
    </w:p>
    <w:p>
      <w:pPr>
        <w:pStyle w:val="ListParagraph"/>
        <w:numPr>
          <w:ilvl w:val="0"/>
          <w:numId w:val="409"/>
        </w:numPr>
        <w:rPr/>
      </w:pPr>
      <w:r>
        <w:rPr/>
        <w:t>Implement Access Control Lists (ACLs) and other applicable filters to restrict the inbound and outbound traffic to only that which is necessary, as defined by a business justification;</w:t>
      </w:r>
      <w:r>
        <w:rPr>
          <w:rStyle w:val="FootnoteCharacters"/>
          <w:rFonts w:cs="Calibri"/>
        </w:rPr>
        <w:t xml:space="preserve"> </w:t>
      </w:r>
    </w:p>
    <w:p>
      <w:pPr>
        <w:pStyle w:val="ListParagraph"/>
        <w:numPr>
          <w:ilvl w:val="0"/>
          <w:numId w:val="409"/>
        </w:numPr>
        <w:rPr/>
      </w:pPr>
      <w:r>
        <w:rPr/>
        <w:t>Assign privileges to individuals based on job classification and function (RBAC);</w:t>
      </w:r>
      <w:r>
        <w:rPr>
          <w:rStyle w:val="FootnoteCharacters"/>
          <w:rFonts w:cs="Calibri"/>
        </w:rPr>
        <w:t xml:space="preserve"> </w:t>
      </w:r>
    </w:p>
    <w:p>
      <w:pPr>
        <w:pStyle w:val="ListParagraph"/>
        <w:numPr>
          <w:ilvl w:val="0"/>
          <w:numId w:val="409"/>
        </w:numPr>
        <w:rPr/>
      </w:pPr>
      <w:r>
        <w:rPr/>
        <w:t>Utilize “deny-all” setting by default and only allow by exception;</w:t>
      </w:r>
      <w:r>
        <w:rPr>
          <w:rStyle w:val="FootnoteCharacters"/>
          <w:rFonts w:cs="Calibri"/>
        </w:rPr>
        <w:t xml:space="preserve"> </w:t>
      </w:r>
    </w:p>
    <w:p>
      <w:pPr>
        <w:pStyle w:val="ListParagraph"/>
        <w:numPr>
          <w:ilvl w:val="0"/>
          <w:numId w:val="409"/>
        </w:numPr>
        <w:rPr/>
      </w:pPr>
      <w:r>
        <w:rPr/>
        <w:t>Secure and synchronize router and firewall configuration files;</w:t>
      </w:r>
      <w:r>
        <w:rPr>
          <w:rStyle w:val="FootnoteCharacters"/>
          <w:rFonts w:cs="Calibri"/>
        </w:rPr>
        <w:t xml:space="preserve"> </w:t>
      </w:r>
    </w:p>
    <w:p>
      <w:pPr>
        <w:pStyle w:val="ListParagraph"/>
        <w:numPr>
          <w:ilvl w:val="0"/>
          <w:numId w:val="409"/>
        </w:numPr>
        <w:rPr/>
      </w:pPr>
      <w:r>
        <w:rPr/>
        <w:t>Position perimeter firewalls between wireless networks and internal networks;</w:t>
      </w:r>
    </w:p>
    <w:p>
      <w:pPr>
        <w:pStyle w:val="ListParagraph"/>
        <w:numPr>
          <w:ilvl w:val="0"/>
          <w:numId w:val="409"/>
        </w:numPr>
        <w:rPr/>
      </w:pPr>
      <w:r>
        <w:rPr/>
        <w:t xml:space="preserve">Document business justification for the use if all services, protocols and ports allowed; </w:t>
      </w:r>
    </w:p>
    <w:p>
      <w:pPr>
        <w:pStyle w:val="ListParagraph"/>
        <w:numPr>
          <w:ilvl w:val="0"/>
          <w:numId w:val="409"/>
        </w:numPr>
        <w:rPr/>
      </w:pPr>
      <w:r>
        <w:rPr/>
        <w:t>Use Demilitarized Zones (DMZ) to limit inbound traffic to only system components that provide authorized publicly accessible services, protocols and ports;</w:t>
      </w:r>
      <w:r>
        <w:rPr>
          <w:rStyle w:val="FootnoteCharacters"/>
          <w:rFonts w:cs="Calibri"/>
        </w:rPr>
        <w:t xml:space="preserve"> </w:t>
      </w:r>
    </w:p>
    <w:p>
      <w:pPr>
        <w:pStyle w:val="ListParagraph"/>
        <w:numPr>
          <w:ilvl w:val="0"/>
          <w:numId w:val="409"/>
        </w:numPr>
        <w:rPr/>
      </w:pPr>
      <w:r>
        <w:rPr/>
        <w:t>Inbound Internet traffic shall be limited to IP addresses within the DMZ;</w:t>
      </w:r>
      <w:r>
        <w:rPr>
          <w:rStyle w:val="FootnoteCharacters"/>
          <w:rFonts w:cs="Calibri"/>
        </w:rPr>
        <w:t xml:space="preserve"> </w:t>
      </w:r>
    </w:p>
    <w:p>
      <w:pPr>
        <w:pStyle w:val="ListParagraph"/>
        <w:numPr>
          <w:ilvl w:val="0"/>
          <w:numId w:val="409"/>
        </w:numPr>
        <w:rPr/>
      </w:pPr>
      <w:r>
        <w:rPr/>
        <w:t>Implement anti-spoofing measures to detect and block forged source IP addresses from entering the network;</w:t>
      </w:r>
      <w:r>
        <w:rPr>
          <w:rStyle w:val="FootnoteCharacters"/>
          <w:rFonts w:cs="Calibri"/>
        </w:rPr>
        <w:t xml:space="preserve"> </w:t>
      </w:r>
    </w:p>
    <w:p>
      <w:pPr>
        <w:pStyle w:val="ListParagraph"/>
        <w:numPr>
          <w:ilvl w:val="0"/>
          <w:numId w:val="409"/>
        </w:numPr>
        <w:rPr/>
      </w:pPr>
      <w:r>
        <w:rPr/>
        <w:t>Prohibit unauthorized outbound traffic to the Internet;</w:t>
      </w:r>
      <w:r>
        <w:rPr>
          <w:rStyle w:val="FootnoteCharacters"/>
          <w:rFonts w:cs="Calibri"/>
        </w:rPr>
        <w:t xml:space="preserve"> </w:t>
      </w:r>
    </w:p>
    <w:p>
      <w:pPr>
        <w:pStyle w:val="ListParagraph"/>
        <w:numPr>
          <w:ilvl w:val="0"/>
          <w:numId w:val="409"/>
        </w:numPr>
        <w:rPr/>
      </w:pPr>
      <w:r>
        <w:rPr/>
        <w:t>Implement stateful inspection (dynamic packet filtering);</w:t>
      </w:r>
      <w:r>
        <w:rPr>
          <w:rStyle w:val="FootnoteCharacters"/>
          <w:rFonts w:cs="Calibri"/>
        </w:rPr>
        <w:t xml:space="preserve"> </w:t>
      </w:r>
    </w:p>
    <w:p>
      <w:pPr>
        <w:pStyle w:val="ListParagraph"/>
        <w:numPr>
          <w:ilvl w:val="0"/>
          <w:numId w:val="409"/>
        </w:numPr>
        <w:rPr/>
      </w:pPr>
      <w:r>
        <w:rPr/>
        <w:t>Segment internal trusted networks from other untrusted networks;</w:t>
      </w:r>
      <w:r>
        <w:rPr>
          <w:rStyle w:val="FootnoteCharacters"/>
          <w:rFonts w:cs="Calibri"/>
        </w:rPr>
        <w:t xml:space="preserve"> </w:t>
      </w:r>
      <w:r>
        <w:rPr/>
        <w:t>and</w:t>
      </w:r>
    </w:p>
    <w:p>
      <w:pPr>
        <w:pStyle w:val="ListParagraph"/>
        <w:numPr>
          <w:ilvl w:val="0"/>
          <w:numId w:val="409"/>
        </w:numPr>
        <w:rPr/>
      </w:pPr>
      <w:r>
        <w:rPr/>
        <w:t>Prohibit private IP addresses and routing information from being disclosed to unauthorized parties.</w:t>
      </w:r>
      <w:r>
        <w:rPr>
          <w:rStyle w:val="FootnoteCharacters"/>
          <w:rFonts w:cs="Calibri"/>
        </w:rPr>
        <w:t xml:space="preserve"> </w:t>
      </w:r>
    </w:p>
    <w:p>
      <w:pPr>
        <w:pStyle w:val="ListParagraph"/>
        <w:numPr>
          <w:ilvl w:val="0"/>
          <w:numId w:val="409"/>
        </w:numPr>
        <w:rPr/>
      </w:pPr>
      <w:r>
        <w:rPr/>
        <w:t>Establish and maintain a formal process for approving and testing all network connections and changes to both firewall and router configurations;</w:t>
      </w:r>
      <w:r>
        <w:rPr>
          <w:rStyle w:val="FootnoteCharacters"/>
          <w:rFonts w:cs="Calibri"/>
        </w:rPr>
        <w:t xml:space="preserve"> </w:t>
      </w:r>
    </w:p>
    <w:p>
      <w:pPr>
        <w:pStyle w:val="ListParagraph"/>
        <w:numPr>
          <w:ilvl w:val="0"/>
          <w:numId w:val="409"/>
        </w:numPr>
        <w:rPr/>
      </w:pPr>
      <w:r>
        <w:rPr/>
        <w:t>Establish and maintain detailed network diagrams. Network diagrams must:</w:t>
      </w:r>
      <w:r>
        <w:rPr>
          <w:rStyle w:val="FootnoteCharacters"/>
          <w:rFonts w:cs="Calibri"/>
        </w:rPr>
        <w:t xml:space="preserve"> </w:t>
      </w:r>
    </w:p>
    <w:p>
      <w:pPr>
        <w:pStyle w:val="ListParagraph"/>
        <w:numPr>
          <w:ilvl w:val="1"/>
          <w:numId w:val="409"/>
        </w:numPr>
        <w:rPr/>
      </w:pPr>
      <w:r>
        <w:rPr/>
        <w:t>Document all connections to sensitive data, including any wireless networks;</w:t>
      </w:r>
    </w:p>
    <w:p>
      <w:pPr>
        <w:pStyle w:val="ListParagraph"/>
        <w:numPr>
          <w:ilvl w:val="1"/>
          <w:numId w:val="409"/>
        </w:numPr>
        <w:rPr/>
      </w:pPr>
      <w:r>
        <w:rPr/>
        <w:t>Be reviewed annually; and</w:t>
      </w:r>
    </w:p>
    <w:p>
      <w:pPr>
        <w:pStyle w:val="ListParagraph"/>
        <w:numPr>
          <w:ilvl w:val="1"/>
          <w:numId w:val="409"/>
        </w:numPr>
        <w:rPr/>
      </w:pPr>
      <w:r>
        <w:rPr/>
        <w:t xml:space="preserve">Be updated as the network changes to reflect the current architecture in place; </w:t>
      </w:r>
    </w:p>
    <w:p>
      <w:pPr>
        <w:pStyle w:val="ListParagraph"/>
        <w:numPr>
          <w:ilvl w:val="0"/>
          <w:numId w:val="409"/>
        </w:numPr>
        <w:rPr/>
      </w:pPr>
      <w:r>
        <w:rPr/>
        <w:t>Establish and maintain detailed data flow diagrams that show all sensitive data flows across systems and networks;</w:t>
      </w:r>
    </w:p>
    <w:p>
      <w:pPr>
        <w:pStyle w:val="ListParagraph"/>
        <w:numPr>
          <w:ilvl w:val="0"/>
          <w:numId w:val="409"/>
        </w:numPr>
        <w:rPr/>
      </w:pPr>
      <w:r>
        <w:rPr/>
        <w:t>Establish a process to review configurations at least once every six (6) months and cover the following:</w:t>
      </w:r>
      <w:r>
        <w:rPr>
          <w:rStyle w:val="FootnoteCharacters"/>
          <w:rFonts w:cs="Calibri"/>
        </w:rPr>
        <w:t xml:space="preserve"> </w:t>
      </w:r>
    </w:p>
    <w:p>
      <w:pPr>
        <w:pStyle w:val="ListParagraph"/>
        <w:numPr>
          <w:ilvl w:val="1"/>
          <w:numId w:val="409"/>
        </w:numPr>
        <w:rPr/>
      </w:pPr>
      <w:r>
        <w:rPr/>
        <w:t>Validation of Access Control Lists (ACLs); and</w:t>
      </w:r>
    </w:p>
    <w:p>
      <w:pPr>
        <w:pStyle w:val="ListParagraph"/>
        <w:numPr>
          <w:ilvl w:val="1"/>
          <w:numId w:val="409"/>
        </w:numPr>
        <w:rPr/>
      </w:pPr>
      <w:r>
        <w:rPr/>
        <w:t>Vulnerability management (e.g., validating software and firmware is current).</w:t>
      </w:r>
    </w:p>
    <w:p>
      <w:pPr>
        <w:pStyle w:val="Normal"/>
        <w:rPr/>
      </w:pPr>
      <w:r>
        <w:rPr/>
      </w:r>
    </w:p>
    <w:p>
      <w:pPr>
        <w:pStyle w:val="Normal"/>
        <w:rPr>
          <w:b/>
          <w:b/>
        </w:rPr>
      </w:pPr>
      <w:r>
        <w:rPr>
          <w:u w:val="single"/>
        </w:rPr>
        <w:t>Guidelines</w:t>
      </w:r>
      <w:r>
        <w:rPr/>
        <w:t>: Not all firewalls and routers have the functionality for the running configuration to be different that the configuration loaded at startup. However, if the functionality exists, the startup configuration must be synchronized with the correct running configuration so that a reboot of the device will not degrade network security.</w:t>
      </w:r>
    </w:p>
    <w:p>
      <w:pPr>
        <w:pStyle w:val="Normal"/>
        <w:rPr/>
      </w:pPr>
      <w:r>
        <w:rPr/>
      </w:r>
    </w:p>
    <w:p>
      <w:pPr>
        <w:pStyle w:val="Normal"/>
        <w:rPr/>
      </w:pPr>
      <w:r>
        <w:rPr/>
        <w:t>Examples of insecure services, protocols or ports include but are not limited to:</w:t>
      </w:r>
    </w:p>
    <w:p>
      <w:pPr>
        <w:pStyle w:val="ListParagraph"/>
        <w:numPr>
          <w:ilvl w:val="0"/>
          <w:numId w:val="201"/>
        </w:numPr>
        <w:rPr/>
      </w:pPr>
      <w:r>
        <w:rPr/>
        <w:t>File Transfer Protocol (FTP)</w:t>
      </w:r>
    </w:p>
    <w:p>
      <w:pPr>
        <w:pStyle w:val="ListParagraph"/>
        <w:numPr>
          <w:ilvl w:val="0"/>
          <w:numId w:val="201"/>
        </w:numPr>
        <w:rPr/>
      </w:pPr>
      <w:r>
        <w:rPr/>
        <w:t>Hypertext Transfer Protocol (HTTP)</w:t>
      </w:r>
    </w:p>
    <w:p>
      <w:pPr>
        <w:pStyle w:val="ListParagraph"/>
        <w:numPr>
          <w:ilvl w:val="0"/>
          <w:numId w:val="201"/>
        </w:numPr>
        <w:rPr/>
      </w:pPr>
      <w:r>
        <w:rPr/>
        <w:t>Telnet</w:t>
      </w:r>
    </w:p>
    <w:p>
      <w:pPr>
        <w:pStyle w:val="ListParagraph"/>
        <w:numPr>
          <w:ilvl w:val="0"/>
          <w:numId w:val="201"/>
        </w:numPr>
        <w:rPr>
          <w:b/>
          <w:b/>
        </w:rPr>
      </w:pPr>
      <w:r>
        <w:rPr/>
        <w:t>Post Office Protocol (POP3)</w:t>
      </w:r>
    </w:p>
    <w:p>
      <w:pPr>
        <w:pStyle w:val="ListParagraph"/>
        <w:numPr>
          <w:ilvl w:val="0"/>
          <w:numId w:val="201"/>
        </w:numPr>
        <w:rPr>
          <w:b/>
          <w:b/>
        </w:rPr>
      </w:pPr>
      <w:r>
        <w:rPr/>
        <w:t>Internet Message Access Protocol (IMAP)</w:t>
      </w:r>
    </w:p>
    <w:p>
      <w:pPr>
        <w:pStyle w:val="Normal"/>
        <w:rPr/>
      </w:pPr>
      <w:r>
        <w:rPr/>
      </w:r>
    </w:p>
    <w:p>
      <w:pPr>
        <w:pStyle w:val="Heading3"/>
        <w:rPr/>
      </w:pPr>
      <w:bookmarkStart w:id="1396" w:name="_Toc474075147"/>
      <w:bookmarkStart w:id="1397" w:name="_Toc34921067"/>
      <w:r>
        <w:rPr/>
        <w:t>NET-04(a): Data Flow Enforcement | Deny Traffic by Default &amp; Allow Traffic by Exception</w:t>
      </w:r>
      <w:bookmarkEnd w:id="1396"/>
      <w:bookmarkEnd w:id="1397"/>
    </w:p>
    <w:p>
      <w:pPr>
        <w:pStyle w:val="Normal"/>
        <w:rPr/>
      </w:pPr>
      <w:r>
        <w:rPr>
          <w:u w:val="single"/>
        </w:rPr>
        <w:t>Control Objective</w:t>
      </w:r>
      <w:r>
        <w:rPr/>
        <w:t>: The organization uses managed access points to deny network traffic by default and allows network traffic by exception (e.g., deny all, permit by exception).</w:t>
      </w:r>
      <w:r>
        <w:rPr>
          <w:rStyle w:val="FootnoteCharacters"/>
          <w:rFonts w:cs="Calibri"/>
          <w:bCs w:val="false"/>
        </w:rPr>
        <w:t xml:space="preserve"> </w:t>
      </w:r>
      <w:r>
        <w:rPr>
          <w:rStyle w:val="FootnoteAnchor"/>
          <w:rStyle w:val="FootnoteAnchor"/>
          <w:rFonts w:cs="Calibri"/>
          <w:bCs w:val="false"/>
        </w:rPr>
        <w:footnoteReference w:id="442"/>
      </w:r>
    </w:p>
    <w:p>
      <w:pPr>
        <w:pStyle w:val="Normal"/>
        <w:rPr/>
      </w:pPr>
      <w:r>
        <w:rPr/>
      </w:r>
    </w:p>
    <w:p>
      <w:pPr>
        <w:pStyle w:val="Normal"/>
        <w:rPr/>
      </w:pPr>
      <w:r>
        <w:rPr>
          <w:u w:val="single"/>
        </w:rPr>
        <w:t>Standard</w:t>
      </w:r>
      <w:r>
        <w:rPr/>
        <w:t>: An explicit “deny all” or an implicit deny after allow statement is required to ensure that all unnecessary inbound and outbound traffic is denied by default.</w:t>
      </w:r>
    </w:p>
    <w:p>
      <w:pPr>
        <w:pStyle w:val="Normal"/>
        <w:rPr/>
      </w:pPr>
      <w:r>
        <w:rPr/>
      </w:r>
    </w:p>
    <w:p>
      <w:pPr>
        <w:pStyle w:val="Normal"/>
        <w:rPr/>
      </w:pPr>
      <w:r>
        <w:rPr>
          <w:u w:val="single"/>
        </w:rPr>
        <w:t>Guidelines</w:t>
      </w:r>
      <w:r>
        <w:rPr/>
        <w:t xml:space="preserve">: NFCC does not have control over external networks (e.g., the Internet). Approved boundary protection devices (e.g., routers, firewalls) mediate communications (e.g., information flows) between internal systems and external networks. </w:t>
      </w:r>
    </w:p>
    <w:p>
      <w:pPr>
        <w:pStyle w:val="Normal"/>
        <w:rPr/>
      </w:pPr>
      <w:r>
        <w:rPr/>
      </w:r>
    </w:p>
    <w:p>
      <w:pPr>
        <w:pStyle w:val="Normal"/>
        <w:rPr/>
      </w:pPr>
      <w:r>
        <w:rPr/>
        <w:t>Methods to obscure IP addressing may include, but are not limited to:</w:t>
      </w:r>
    </w:p>
    <w:p>
      <w:pPr>
        <w:pStyle w:val="ListParagraph"/>
        <w:numPr>
          <w:ilvl w:val="0"/>
          <w:numId w:val="202"/>
        </w:numPr>
        <w:rPr/>
      </w:pPr>
      <w:r>
        <w:rPr/>
        <w:t>Network Address Translation (NAT)</w:t>
      </w:r>
    </w:p>
    <w:p>
      <w:pPr>
        <w:pStyle w:val="ListParagraph"/>
        <w:numPr>
          <w:ilvl w:val="0"/>
          <w:numId w:val="202"/>
        </w:numPr>
        <w:rPr/>
      </w:pPr>
      <w:r>
        <w:rPr/>
        <w:t xml:space="preserve">Placing servers containing sensitive data behind proxy servers / firewalls, </w:t>
      </w:r>
    </w:p>
    <w:p>
      <w:pPr>
        <w:pStyle w:val="ListParagraph"/>
        <w:numPr>
          <w:ilvl w:val="0"/>
          <w:numId w:val="202"/>
        </w:numPr>
        <w:rPr/>
      </w:pPr>
      <w:r>
        <w:rPr/>
        <w:t>Removal or filtering of route advertisements for private networks that employ registered addressing, or</w:t>
      </w:r>
    </w:p>
    <w:p>
      <w:pPr>
        <w:pStyle w:val="ListParagraph"/>
        <w:numPr>
          <w:ilvl w:val="0"/>
          <w:numId w:val="202"/>
        </w:numPr>
        <w:rPr/>
      </w:pPr>
      <w:r>
        <w:rPr/>
        <w:t>Internal use of RFC1918 address space instead of registered addresses.</w:t>
      </w:r>
    </w:p>
    <w:p>
      <w:pPr>
        <w:pStyle w:val="Normal"/>
        <w:rPr/>
      </w:pPr>
      <w:r>
        <w:rPr/>
      </w:r>
    </w:p>
    <w:p>
      <w:pPr>
        <w:pStyle w:val="Heading3"/>
        <w:rPr/>
      </w:pPr>
      <w:bookmarkStart w:id="1398" w:name="_Toc474075148"/>
      <w:bookmarkStart w:id="1399" w:name="_Toc34921068"/>
      <w:r>
        <w:rPr/>
        <w:t>NET-04(b): Data Flow Enforcement | Object Security Attributes</w:t>
      </w:r>
      <w:bookmarkEnd w:id="1398"/>
      <w:bookmarkEnd w:id="1399"/>
      <w:r>
        <w:rPr/>
        <w:t xml:space="preserve"> </w:t>
      </w:r>
    </w:p>
    <w:p>
      <w:pPr>
        <w:pStyle w:val="Normal"/>
        <w:rPr/>
      </w:pPr>
      <w:r>
        <w:rPr>
          <w:u w:val="single"/>
        </w:rPr>
        <w:t>Control Objective</w:t>
      </w:r>
      <w:r>
        <w:rPr/>
        <w:t>: Systems use security attributes associated with information, source and destination objects to enforce defined information flow control policies as a basis for flow control decisions.</w:t>
      </w:r>
      <w:r>
        <w:rPr>
          <w:rStyle w:val="FootnoteAnchor"/>
          <w:rStyle w:val="FootnoteAnchor"/>
        </w:rPr>
        <w:footnoteReference w:id="443"/>
      </w:r>
    </w:p>
    <w:p>
      <w:pPr>
        <w:pStyle w:val="Normal"/>
        <w:rPr/>
      </w:pPr>
      <w:r>
        <w:rPr/>
      </w:r>
    </w:p>
    <w:p>
      <w:pPr>
        <w:pStyle w:val="Normal"/>
        <w:rPr/>
      </w:pPr>
      <w:r>
        <w:rPr>
          <w:u w:val="single"/>
        </w:rPr>
        <w:t>Standard</w:t>
      </w:r>
      <w:r>
        <w:rPr/>
        <w:t>: Data / process owners and asset custodians are required to use security attributes associated with information, source and destination objects to enforce defined information flow control policies as a basis for flow control decisions.</w:t>
      </w:r>
    </w:p>
    <w:p>
      <w:pPr>
        <w:pStyle w:val="Normal"/>
        <w:rPr/>
      </w:pPr>
      <w:r>
        <w:rPr/>
      </w:r>
    </w:p>
    <w:p>
      <w:pPr>
        <w:pStyle w:val="Normal"/>
        <w:rPr/>
      </w:pPr>
      <w:r>
        <w:rPr>
          <w:u w:val="single"/>
        </w:rPr>
        <w:t>Guidelines</w:t>
      </w:r>
      <w:r>
        <w:rPr/>
        <w:t>: Information flow enforcement mechanisms compare security attributes associated with information (data content and data structure) and source / destination objects and respond appropriately (e.g., block, quarantine, alert administrator) when the mechanisms encounter information flows not explicitly allowed by information flow policies. For example, an information object labeled Secret would be allowed to flow to a destination object labeled Secret, but an information object labeled Top Secret would not be allowed to flow to a destination object labeled Secret. Security attributes can also include, for example, source and destination addresses employed in traffic filter firewalls. Flow enforcement using explicit security attributes can be used, for example, to control the release of certain types of information.</w:t>
      </w:r>
    </w:p>
    <w:p>
      <w:pPr>
        <w:pStyle w:val="Normal"/>
        <w:rPr/>
      </w:pPr>
      <w:r>
        <w:rPr/>
      </w:r>
    </w:p>
    <w:p>
      <w:pPr>
        <w:pStyle w:val="Heading3"/>
        <w:rPr/>
      </w:pPr>
      <w:bookmarkStart w:id="1400" w:name="_Toc474075149"/>
      <w:bookmarkStart w:id="1401" w:name="_Toc34921069"/>
      <w:r>
        <w:rPr/>
        <w:t>NET-04(c): Data Flow Enforcement | Content Check For Encrypted Data</w:t>
      </w:r>
      <w:bookmarkEnd w:id="1400"/>
      <w:bookmarkEnd w:id="1401"/>
    </w:p>
    <w:p>
      <w:pPr>
        <w:pStyle w:val="Normal"/>
        <w:rPr/>
      </w:pPr>
      <w:r>
        <w:rPr>
          <w:u w:val="single"/>
        </w:rPr>
        <w:t>Control Objective</w:t>
      </w:r>
      <w:r>
        <w:rPr/>
        <w:t>: Systems prevent encrypted data from bypassing content-checking mechanisms.</w:t>
      </w:r>
      <w:r>
        <w:rPr>
          <w:rStyle w:val="FootnoteAnchor"/>
          <w:rStyle w:val="FootnoteAnchor"/>
        </w:rPr>
        <w:footnoteReference w:id="444"/>
      </w:r>
    </w:p>
    <w:p>
      <w:pPr>
        <w:pStyle w:val="Normal"/>
        <w:rPr/>
      </w:pPr>
      <w:r>
        <w:rPr/>
      </w:r>
    </w:p>
    <w:p>
      <w:pPr>
        <w:pStyle w:val="Normal"/>
        <w:rPr/>
      </w:pPr>
      <w:r>
        <w:rPr>
          <w:u w:val="single"/>
        </w:rPr>
        <w:t>Standard</w:t>
      </w:r>
      <w:r>
        <w:rPr/>
        <w:t>: When necessary for business purposes, NFCC’s cybersecurity personnel are authorized to implement steps to block encrypted data that cannot be analyzed by content-checking mechanisms.</w:t>
      </w:r>
    </w:p>
    <w:p>
      <w:pPr>
        <w:pStyle w:val="Normal"/>
        <w:rPr/>
      </w:pPr>
      <w:r>
        <w:rPr/>
      </w:r>
    </w:p>
    <w:p>
      <w:pPr>
        <w:pStyle w:val="Normal"/>
        <w:rPr/>
      </w:pPr>
      <w:r>
        <w:rPr>
          <w:u w:val="single"/>
        </w:rPr>
        <w:t>Guidelines</w:t>
      </w:r>
      <w:r>
        <w:rPr/>
        <w:t>: None</w:t>
      </w:r>
    </w:p>
    <w:p>
      <w:pPr>
        <w:pStyle w:val="Normal"/>
        <w:rPr/>
      </w:pPr>
      <w:r>
        <w:rPr/>
      </w:r>
    </w:p>
    <w:p>
      <w:pPr>
        <w:pStyle w:val="Heading3"/>
        <w:rPr/>
      </w:pPr>
      <w:bookmarkStart w:id="1402" w:name="_Toc474075150"/>
      <w:bookmarkStart w:id="1403" w:name="_Toc34921070"/>
      <w:r>
        <w:rPr/>
        <w:t>NET-04(d): Data Flow Enforcement | Embedded Data Types</w:t>
      </w:r>
      <w:bookmarkEnd w:id="1402"/>
      <w:bookmarkEnd w:id="1403"/>
    </w:p>
    <w:p>
      <w:pPr>
        <w:pStyle w:val="Normal"/>
        <w:rPr/>
      </w:pPr>
      <w:r>
        <w:rPr>
          <w:u w:val="single"/>
        </w:rPr>
        <w:t>Control Objective</w:t>
      </w:r>
      <w:r>
        <w:rPr/>
        <w:t>: Systems enforce limitations on embedding data types within other data types.</w:t>
      </w:r>
      <w:r>
        <w:rPr>
          <w:rStyle w:val="FootnoteAnchor"/>
          <w:rStyle w:val="FootnoteAnchor"/>
        </w:rPr>
        <w:footnoteReference w:id="445"/>
      </w:r>
    </w:p>
    <w:p>
      <w:pPr>
        <w:pStyle w:val="Normal"/>
        <w:rPr/>
      </w:pPr>
      <w:r>
        <w:rPr/>
      </w:r>
    </w:p>
    <w:p>
      <w:pPr>
        <w:pStyle w:val="Normal"/>
        <w:rPr/>
      </w:pPr>
      <w:r>
        <w:rPr>
          <w:u w:val="single"/>
        </w:rPr>
        <w:t>Standard</w:t>
      </w:r>
      <w:r>
        <w:rPr/>
        <w:t>: When necessary for business purposes, NFCC’s cybersecurity personnel are authorized to block embedded data types.</w:t>
      </w:r>
    </w:p>
    <w:p>
      <w:pPr>
        <w:pStyle w:val="Normal"/>
        <w:rPr/>
      </w:pPr>
      <w:r>
        <w:rPr/>
      </w:r>
    </w:p>
    <w:p>
      <w:pPr>
        <w:pStyle w:val="Normal"/>
        <w:rPr/>
      </w:pPr>
      <w:r>
        <w:rPr>
          <w:u w:val="single"/>
        </w:rPr>
        <w:t>Guidelines</w:t>
      </w:r>
      <w:r>
        <w:rPr/>
        <w:t>: Embedding data types within other data types may result in reduced flow control effectiveness. Data type embedding includes, for example, inserting executable files as objects within word processing files or inserting references or descriptive information into a media file.</w:t>
      </w:r>
    </w:p>
    <w:p>
      <w:pPr>
        <w:pStyle w:val="Normal"/>
        <w:rPr/>
      </w:pPr>
      <w:r>
        <w:rPr/>
      </w:r>
    </w:p>
    <w:p>
      <w:pPr>
        <w:pStyle w:val="Heading3"/>
        <w:rPr/>
      </w:pPr>
      <w:bookmarkStart w:id="1404" w:name="_Toc474075151"/>
      <w:bookmarkStart w:id="1405" w:name="_Toc34921071"/>
      <w:r>
        <w:rPr/>
        <w:t>NET-04(e): Data Flow Enforcement | Metadata</w:t>
      </w:r>
      <w:bookmarkEnd w:id="1404"/>
      <w:bookmarkEnd w:id="1405"/>
      <w:r>
        <w:rPr/>
        <w:t xml:space="preserve"> </w:t>
      </w:r>
    </w:p>
    <w:p>
      <w:pPr>
        <w:pStyle w:val="Normal"/>
        <w:rPr/>
      </w:pPr>
      <w:r>
        <w:rPr>
          <w:u w:val="single"/>
        </w:rPr>
        <w:t>Control Objective</w:t>
      </w:r>
      <w:r>
        <w:rPr/>
        <w:t>: Systems enforce information flow control based on metadata.</w:t>
      </w:r>
      <w:r>
        <w:rPr>
          <w:rStyle w:val="FootnoteAnchor"/>
          <w:rStyle w:val="FootnoteAnchor"/>
        </w:rPr>
        <w:footnoteReference w:id="446"/>
      </w:r>
    </w:p>
    <w:p>
      <w:pPr>
        <w:pStyle w:val="Normal"/>
        <w:rPr/>
      </w:pPr>
      <w:r>
        <w:rPr/>
      </w:r>
    </w:p>
    <w:p>
      <w:pPr>
        <w:pStyle w:val="Normal"/>
        <w:rPr/>
      </w:pPr>
      <w:r>
        <w:rPr>
          <w:u w:val="single"/>
        </w:rPr>
        <w:t>Standard</w:t>
      </w:r>
      <w:r>
        <w:rPr/>
        <w:t xml:space="preserve">: When necessary for business purposes, NFCC’s cybersecurity personnel are authorized to implement steps to block data based on metadata tags as part of NFCC’s Data Loss Prevention (DLP) program. </w:t>
      </w:r>
    </w:p>
    <w:p>
      <w:pPr>
        <w:pStyle w:val="Normal"/>
        <w:rPr/>
      </w:pPr>
      <w:r>
        <w:rPr/>
      </w:r>
    </w:p>
    <w:p>
      <w:pPr>
        <w:pStyle w:val="Normal"/>
        <w:rPr>
          <w:u w:val="single"/>
        </w:rPr>
      </w:pPr>
      <w:r>
        <w:rPr>
          <w:u w:val="single"/>
        </w:rPr>
        <w:t>Guidelines</w:t>
      </w:r>
      <w:r>
        <w:rPr/>
        <w:t>: Metadata is information used to describe the characteristics of data. Metadata can include structural metadata describing data structures (e.g., data format, syntax and semantics) or descriptive metadata describing data contents (e.g., age, location, telephone number). Enforcing allowed information flows based on metadata enables simpler and more effective flow control. Organizations consider the trustworthiness of metadata with regard to data integrity (e.g., protecting against unauthorized changes to metadata tags) and the binding of metadata to the data payload (e.g., ensuring sufficiently strong binding techniques with appropriate levels of assurance).</w:t>
      </w:r>
    </w:p>
    <w:p>
      <w:pPr>
        <w:pStyle w:val="Normal"/>
        <w:rPr/>
      </w:pPr>
      <w:r>
        <w:rPr/>
      </w:r>
    </w:p>
    <w:p>
      <w:pPr>
        <w:pStyle w:val="Heading3"/>
        <w:rPr>
          <w:color w:val="FF0000"/>
        </w:rPr>
      </w:pPr>
      <w:bookmarkStart w:id="1406" w:name="_Toc474075152"/>
      <w:bookmarkStart w:id="1407" w:name="_Toc34921072"/>
      <w:r>
        <w:rPr/>
        <w:t>NET-04(f): Data Flow Enforcement | Human Reviews</w:t>
      </w:r>
      <w:bookmarkEnd w:id="1406"/>
      <w:bookmarkEnd w:id="1407"/>
    </w:p>
    <w:p>
      <w:pPr>
        <w:pStyle w:val="Normal"/>
        <w:rPr/>
      </w:pPr>
      <w:r>
        <w:rPr>
          <w:u w:val="single"/>
        </w:rPr>
        <w:t>Control Objective</w:t>
      </w:r>
      <w:r>
        <w:rPr/>
        <w:t>: The organization conducts human reviews for Access Control Lists (ACLs) and similar rulesets on a routine basis.</w:t>
      </w:r>
      <w:r>
        <w:rPr>
          <w:rStyle w:val="FootnoteAnchor"/>
          <w:rStyle w:val="FootnoteAnchor"/>
          <w:rFonts w:cs="Calibri"/>
          <w:bCs w:val="false"/>
        </w:rPr>
        <w:footnoteReference w:id="447"/>
      </w:r>
    </w:p>
    <w:p>
      <w:pPr>
        <w:pStyle w:val="Normal"/>
        <w:rPr/>
      </w:pPr>
      <w:r>
        <w:rPr/>
      </w:r>
    </w:p>
    <w:p>
      <w:pPr>
        <w:pStyle w:val="Normal"/>
        <w:rPr/>
      </w:pPr>
      <w:r>
        <w:rPr>
          <w:u w:val="single"/>
        </w:rPr>
        <w:t>Standard</w:t>
      </w:r>
      <w:r>
        <w:rPr/>
        <w:t>: NFCC management is assigned the responsibility for implementing a review of firewall and router rule sets at least once every six (6) months to ensure least privileges and industry-recognized leading practices are being followed.</w:t>
      </w:r>
    </w:p>
    <w:p>
      <w:pPr>
        <w:pStyle w:val="Normal"/>
        <w:rPr/>
      </w:pPr>
      <w:r>
        <w:rPr/>
      </w:r>
    </w:p>
    <w:p>
      <w:pPr>
        <w:pStyle w:val="Normal"/>
        <w:rPr/>
      </w:pPr>
      <w:r>
        <w:rPr>
          <w:u w:val="single"/>
        </w:rPr>
        <w:t>Guidelines</w:t>
      </w:r>
      <w:r>
        <w:rPr/>
        <w:t>: Human reviews regarding information flow enforcement decisions are necessary when systems are not capable of making such flow control decisions or when organizations deem human reviews necessary. Business units are responsible for defining policy filters for all cases where automated flow control decisions are not possible or deemed to be not sufficient.</w:t>
      </w:r>
    </w:p>
    <w:p>
      <w:pPr>
        <w:pStyle w:val="Normal"/>
        <w:rPr/>
      </w:pPr>
      <w:r>
        <w:rPr/>
      </w:r>
    </w:p>
    <w:p>
      <w:pPr>
        <w:pStyle w:val="Heading3"/>
        <w:rPr/>
      </w:pPr>
      <w:bookmarkStart w:id="1408" w:name="_Toc34921073"/>
      <w:r>
        <w:rPr/>
        <w:t>NET-04(g): Data Flow Enforcement | Security Policy Filters</w:t>
      </w:r>
      <w:bookmarkEnd w:id="1408"/>
      <w:r>
        <w:rPr/>
        <w:t xml:space="preserve"> </w:t>
      </w:r>
    </w:p>
    <w:p>
      <w:pPr>
        <w:pStyle w:val="Normal"/>
        <w:rPr/>
      </w:pPr>
      <w:r>
        <w:rPr>
          <w:rFonts w:cs="Calibri"/>
          <w:u w:val="single"/>
        </w:rPr>
        <w:t>Control Objective</w:t>
      </w:r>
      <w:r>
        <w:rPr>
          <w:rFonts w:cs="Calibri"/>
        </w:rPr>
        <w:t xml:space="preserve">: </w:t>
      </w:r>
      <w:r>
        <w:rPr/>
        <w:t>The information system enforces information flow control using organization-defined security policy filters as a basis for flow control decisions for organization-defined information flows.</w:t>
      </w:r>
      <w:r>
        <w:rPr>
          <w:rStyle w:val="FootnoteAnchor"/>
          <w:rStyle w:val="FootnoteAnchor"/>
          <w:rFonts w:cs="Calibri"/>
          <w:bCs w:val="false"/>
        </w:rPr>
        <w:footnoteReference w:id="448"/>
      </w:r>
    </w:p>
    <w:p>
      <w:pPr>
        <w:pStyle w:val="Normal"/>
        <w:rPr>
          <w:rFonts w:cs="Calibri"/>
        </w:rPr>
      </w:pPr>
      <w:r>
        <w:rPr>
          <w:rFonts w:cs="Calibri"/>
        </w:rPr>
      </w:r>
    </w:p>
    <w:p>
      <w:pPr>
        <w:pStyle w:val="Normal"/>
        <w:rPr>
          <w:rFonts w:cs="Calibri"/>
        </w:rPr>
      </w:pPr>
      <w:r>
        <w:rPr>
          <w:rFonts w:cs="Calibri"/>
          <w:u w:val="single"/>
        </w:rPr>
        <w:t>Standard</w:t>
      </w:r>
      <w:r>
        <w:rPr>
          <w:rFonts w:cs="Calibri"/>
        </w:rPr>
        <w:t>: NFCC’s security filtering shall consist of:</w:t>
      </w:r>
    </w:p>
    <w:p>
      <w:pPr>
        <w:pStyle w:val="ListParagraph"/>
        <w:numPr>
          <w:ilvl w:val="0"/>
          <w:numId w:val="619"/>
        </w:numPr>
        <w:rPr>
          <w:rFonts w:cs="Calibri"/>
        </w:rPr>
      </w:pPr>
      <w:r>
        <w:rPr>
          <w:rFonts w:cs="Calibri"/>
        </w:rPr>
        <w:t>Endpoint and network-based technologies that filters</w:t>
      </w:r>
      <w:r>
        <w:rPr/>
        <w:t xml:space="preserve"> specific words (e.g., dirty/clean word filters), enumerated values or data value ranges and hidden content; and</w:t>
      </w:r>
    </w:p>
    <w:p>
      <w:pPr>
        <w:pStyle w:val="ListParagraph"/>
        <w:numPr>
          <w:ilvl w:val="0"/>
          <w:numId w:val="619"/>
        </w:numPr>
        <w:rPr>
          <w:rFonts w:cs="Calibri"/>
        </w:rPr>
      </w:pPr>
      <w:r>
        <w:rPr>
          <w:rFonts w:cs="Calibri"/>
        </w:rPr>
        <w:t>Data Loss Prevention (DLP) technologies to control:</w:t>
      </w:r>
    </w:p>
    <w:p>
      <w:pPr>
        <w:pStyle w:val="ListParagraph"/>
        <w:numPr>
          <w:ilvl w:val="1"/>
          <w:numId w:val="619"/>
        </w:numPr>
        <w:rPr>
          <w:rFonts w:cs="Calibri"/>
        </w:rPr>
      </w:pPr>
      <w:r>
        <w:rPr/>
        <w:t>Structured data; and</w:t>
      </w:r>
    </w:p>
    <w:p>
      <w:pPr>
        <w:pStyle w:val="ListParagraph"/>
        <w:numPr>
          <w:ilvl w:val="1"/>
          <w:numId w:val="619"/>
        </w:numPr>
        <w:rPr>
          <w:rFonts w:cs="Calibri"/>
        </w:rPr>
      </w:pPr>
      <w:r>
        <w:rPr/>
        <w:t xml:space="preserve">Unstructured data.   </w:t>
      </w:r>
    </w:p>
    <w:p>
      <w:pPr>
        <w:pStyle w:val="Normal"/>
        <w:rPr>
          <w:rFonts w:cs="Calibri"/>
        </w:rPr>
      </w:pPr>
      <w:r>
        <w:rPr>
          <w:rFonts w:cs="Calibri"/>
        </w:rPr>
      </w:r>
    </w:p>
    <w:p>
      <w:pPr>
        <w:pStyle w:val="Normal"/>
        <w:rPr/>
      </w:pPr>
      <w:r>
        <w:rPr>
          <w:rFonts w:cs="Calibri"/>
          <w:u w:val="single"/>
        </w:rPr>
        <w:t>Guidelines</w:t>
      </w:r>
      <w:r>
        <w:rPr>
          <w:rFonts w:cs="Calibri"/>
        </w:rPr>
        <w:t xml:space="preserve">: </w:t>
      </w:r>
      <w:r>
        <w:rPr/>
        <w:t>Organization-defined security policy filters can address data structures and content. For example, security policy filters for data structures can check for maximum file lengths, maximum field sizes and data/file types (for structured and unstructured data). Security policy filters for data content can check for specific words (e.g., dirty/clean word filters), enumerated values or data value ranges and hidden content. Structured data permits the interpretation of data content by applications. Unstructured data typically refers to digital information without a particular data structure or with a data structure that does not facilitate the development of rule sets to address the particular sensitivity of the information conveyed by the data or the associated flow enforcement decisions. Unstructured data consists of:</w:t>
      </w:r>
    </w:p>
    <w:p>
      <w:pPr>
        <w:pStyle w:val="ListParagraph"/>
        <w:numPr>
          <w:ilvl w:val="0"/>
          <w:numId w:val="620"/>
        </w:numPr>
        <w:rPr/>
      </w:pPr>
      <w:r>
        <w:rPr/>
        <w:t xml:space="preserve">Bitmap objects that are inherently non language-based (i.e., image, video or audio files); and </w:t>
      </w:r>
    </w:p>
    <w:p>
      <w:pPr>
        <w:pStyle w:val="ListParagraph"/>
        <w:numPr>
          <w:ilvl w:val="0"/>
          <w:numId w:val="620"/>
        </w:numPr>
        <w:rPr/>
      </w:pPr>
      <w:r>
        <w:rPr/>
        <w:t xml:space="preserve">Textual objects that are based on written or printed languages (e.g., commercial off-the-shelf word processing documents, spreadsheets or emails). </w:t>
      </w:r>
    </w:p>
    <w:p>
      <w:pPr>
        <w:pStyle w:val="Normal"/>
        <w:rPr/>
      </w:pPr>
      <w:r>
        <w:rPr/>
      </w:r>
    </w:p>
    <w:p>
      <w:pPr>
        <w:pStyle w:val="Normal"/>
        <w:rPr>
          <w:rFonts w:cs="Calibri"/>
        </w:rPr>
      </w:pPr>
      <w:r>
        <w:rPr/>
        <w:t>Organizations can implement more than one security policy filter to meet information flow control objectives (e.g., employing clean word lists in conjunction with dirty word lists may help to reduce false positives).</w:t>
      </w:r>
    </w:p>
    <w:p>
      <w:pPr>
        <w:pStyle w:val="Normal"/>
        <w:rPr/>
      </w:pPr>
      <w:r>
        <w:rPr/>
      </w:r>
    </w:p>
    <w:p>
      <w:pPr>
        <w:pStyle w:val="Heading3"/>
        <w:rPr/>
      </w:pPr>
      <w:bookmarkStart w:id="1409" w:name="_Toc34921074"/>
      <w:r>
        <w:rPr/>
        <w:t>NET-04(h): Data Flow Enforcement | Data Type Identifiers</w:t>
      </w:r>
      <w:bookmarkEnd w:id="1409"/>
      <w:r>
        <w:rPr/>
        <w:t xml:space="preserve"> </w:t>
      </w:r>
    </w:p>
    <w:p>
      <w:pPr>
        <w:pStyle w:val="Normal"/>
        <w:rPr>
          <w:rFonts w:cs="Calibri"/>
        </w:rPr>
      </w:pPr>
      <w:r>
        <w:rPr>
          <w:rFonts w:cs="Calibri"/>
          <w:u w:val="single"/>
        </w:rPr>
        <w:t>Control Objective</w:t>
      </w:r>
      <w:r>
        <w:rPr>
          <w:rFonts w:cs="Calibri"/>
        </w:rPr>
        <w:t>: The information system, when transferring information between different security domains, uses organization-defined data type identifiers to validate data essential for information flow decisions.</w:t>
      </w:r>
      <w:r>
        <w:rPr>
          <w:rStyle w:val="FootnoteCharacters"/>
          <w:rFonts w:cs="Calibri"/>
          <w:bCs w:val="false"/>
        </w:rPr>
        <w:t xml:space="preserve"> </w:t>
      </w:r>
      <w:r>
        <w:rPr>
          <w:rStyle w:val="FootnoteAnchor"/>
          <w:rStyle w:val="FootnoteAnchor"/>
          <w:rFonts w:cs="Calibri"/>
          <w:bCs w:val="false"/>
        </w:rPr>
        <w:footnoteReference w:id="449"/>
      </w:r>
    </w:p>
    <w:p>
      <w:pPr>
        <w:pStyle w:val="Normal"/>
        <w:rPr>
          <w:rFonts w:cs="Calibri"/>
        </w:rPr>
      </w:pPr>
      <w:r>
        <w:rPr>
          <w:rFonts w:cs="Calibri"/>
        </w:rPr>
      </w:r>
    </w:p>
    <w:p>
      <w:pPr>
        <w:pStyle w:val="Normal"/>
        <w:rPr>
          <w:rFonts w:cs="Calibri"/>
        </w:rPr>
      </w:pPr>
      <w:r>
        <w:rPr>
          <w:rFonts w:cs="Calibri"/>
          <w:u w:val="single"/>
        </w:rPr>
        <w:t>Standard</w:t>
      </w:r>
      <w:r>
        <w:rPr>
          <w:rFonts w:cs="Calibri"/>
        </w:rPr>
        <w:t xml:space="preserve">: Where technically feasible and justified by a valid business case, critical systems will be configured to restrict the transfer of sensitive data by allowing data only if compliant with data type format specifications. Acceptable data type identifiers include: </w:t>
      </w:r>
    </w:p>
    <w:p>
      <w:pPr>
        <w:pStyle w:val="ListParagraph"/>
        <w:numPr>
          <w:ilvl w:val="0"/>
          <w:numId w:val="621"/>
        </w:numPr>
        <w:rPr>
          <w:rFonts w:cs="Calibri"/>
        </w:rPr>
      </w:pPr>
      <w:r>
        <w:rPr>
          <w:rFonts w:cs="Calibri"/>
        </w:rPr>
        <w:t>Filenames;</w:t>
      </w:r>
    </w:p>
    <w:p>
      <w:pPr>
        <w:pStyle w:val="ListParagraph"/>
        <w:numPr>
          <w:ilvl w:val="0"/>
          <w:numId w:val="621"/>
        </w:numPr>
        <w:rPr>
          <w:rFonts w:cs="Calibri"/>
        </w:rPr>
      </w:pPr>
      <w:r>
        <w:rPr>
          <w:rFonts w:cs="Calibri"/>
        </w:rPr>
        <w:t>File types; and</w:t>
      </w:r>
    </w:p>
    <w:p>
      <w:pPr>
        <w:pStyle w:val="ListParagraph"/>
        <w:numPr>
          <w:ilvl w:val="0"/>
          <w:numId w:val="621"/>
        </w:numPr>
        <w:rPr>
          <w:rFonts w:cs="Calibri"/>
        </w:rPr>
      </w:pPr>
      <w:r>
        <w:rPr>
          <w:rFonts w:cs="Calibri"/>
        </w:rPr>
        <w:t xml:space="preserve">File signatures/tokens; and </w:t>
      </w:r>
    </w:p>
    <w:p>
      <w:pPr>
        <w:pStyle w:val="ListParagraph"/>
        <w:numPr>
          <w:ilvl w:val="0"/>
          <w:numId w:val="621"/>
        </w:numPr>
        <w:rPr>
          <w:rFonts w:cs="Calibri"/>
        </w:rPr>
      </w:pPr>
      <w:r>
        <w:rPr>
          <w:rFonts w:cs="Calibri"/>
        </w:rPr>
        <w:t xml:space="preserve">Multiple internal file signatures/tokens. </w:t>
      </w:r>
    </w:p>
    <w:p>
      <w:pPr>
        <w:pStyle w:val="Normal"/>
        <w:rPr>
          <w:rFonts w:cs="Calibri"/>
        </w:rPr>
      </w:pPr>
      <w:r>
        <w:rPr>
          <w:rFonts w:cs="Calibri"/>
        </w:rPr>
      </w:r>
    </w:p>
    <w:p>
      <w:pPr>
        <w:pStyle w:val="Normal"/>
        <w:rPr>
          <w:rFonts w:cs="Calibri"/>
        </w:rPr>
      </w:pPr>
      <w:r>
        <w:rPr>
          <w:rFonts w:cs="Calibri"/>
          <w:u w:val="single"/>
        </w:rPr>
        <w:t>Guidelines</w:t>
      </w:r>
      <w:r>
        <w:rPr>
          <w:rFonts w:cs="Calibri"/>
        </w:rPr>
        <w:t>: Data type identifiers include, for example, filenames, file types, file signatures/tokens and multiple internal file signatures/tokens. Information systems may allow transfer of data only if compliant with data type format specifications.</w:t>
      </w:r>
    </w:p>
    <w:p>
      <w:pPr>
        <w:pStyle w:val="Normal"/>
        <w:rPr/>
      </w:pPr>
      <w:r>
        <w:rPr/>
      </w:r>
    </w:p>
    <w:p>
      <w:pPr>
        <w:pStyle w:val="Heading3"/>
        <w:rPr/>
      </w:pPr>
      <w:bookmarkStart w:id="1410" w:name="_Toc34921075"/>
      <w:r>
        <w:rPr/>
        <w:t>NET-04(i): Data Flow Enforcement | Decomposition Into Policy-Relevant Subcomponents</w:t>
      </w:r>
      <w:bookmarkEnd w:id="1410"/>
      <w:r>
        <w:rPr/>
        <w:t xml:space="preserve"> </w:t>
      </w:r>
    </w:p>
    <w:p>
      <w:pPr>
        <w:pStyle w:val="Normal"/>
        <w:rPr>
          <w:rFonts w:cs="Calibri"/>
        </w:rPr>
      </w:pPr>
      <w:r>
        <w:rPr>
          <w:rFonts w:cs="Calibri"/>
          <w:u w:val="single"/>
        </w:rPr>
        <w:t>Control Objective</w:t>
      </w:r>
      <w:r>
        <w:rPr>
          <w:rFonts w:cs="Calibri"/>
        </w:rPr>
        <w:t>: The information system, when transferring information between different security domains, decomposes information into organization-defined policy-relevant subcomponents for submission to policy enforcement mechanisms.</w:t>
      </w:r>
      <w:r>
        <w:rPr>
          <w:rStyle w:val="FootnoteCharacters"/>
          <w:rFonts w:cs="Calibri"/>
          <w:bCs w:val="false"/>
        </w:rPr>
        <w:t xml:space="preserve"> </w:t>
      </w:r>
      <w:r>
        <w:rPr>
          <w:rStyle w:val="FootnoteAnchor"/>
          <w:rStyle w:val="FootnoteAnchor"/>
          <w:rFonts w:cs="Calibri"/>
          <w:bCs w:val="false"/>
        </w:rPr>
        <w:footnoteReference w:id="450"/>
      </w:r>
    </w:p>
    <w:p>
      <w:pPr>
        <w:pStyle w:val="Normal"/>
        <w:rPr>
          <w:rFonts w:cs="Calibri"/>
        </w:rPr>
      </w:pPr>
      <w:r>
        <w:rPr>
          <w:rFonts w:cs="Calibri"/>
        </w:rPr>
      </w:r>
    </w:p>
    <w:p>
      <w:pPr>
        <w:pStyle w:val="Normal"/>
        <w:rPr>
          <w:rFonts w:cs="Calibri"/>
        </w:rPr>
      </w:pPr>
      <w:r>
        <w:rPr>
          <w:rFonts w:cs="Calibri"/>
          <w:u w:val="single"/>
        </w:rPr>
        <w:t>Standard</w:t>
      </w:r>
      <w:r>
        <w:rPr>
          <w:rFonts w:cs="Calibri"/>
        </w:rPr>
        <w:t>: Where technically feasible and justified by a valid business case, critical systems will be configured to restrict the transfer of sensitive data between different security domains through policy enforcement mechanisms that facilitate decisions based on:</w:t>
      </w:r>
    </w:p>
    <w:p>
      <w:pPr>
        <w:pStyle w:val="ListParagraph"/>
        <w:numPr>
          <w:ilvl w:val="0"/>
          <w:numId w:val="622"/>
        </w:numPr>
        <w:rPr>
          <w:rFonts w:cs="Calibri"/>
        </w:rPr>
      </w:pPr>
      <w:r>
        <w:rPr>
          <w:rFonts w:cs="Calibri"/>
        </w:rPr>
        <w:t>Source;</w:t>
      </w:r>
    </w:p>
    <w:p>
      <w:pPr>
        <w:pStyle w:val="ListParagraph"/>
        <w:numPr>
          <w:ilvl w:val="0"/>
          <w:numId w:val="622"/>
        </w:numPr>
        <w:rPr>
          <w:rFonts w:cs="Calibri"/>
        </w:rPr>
      </w:pPr>
      <w:r>
        <w:rPr>
          <w:rFonts w:cs="Calibri"/>
        </w:rPr>
        <w:t>Destination;</w:t>
      </w:r>
    </w:p>
    <w:p>
      <w:pPr>
        <w:pStyle w:val="ListParagraph"/>
        <w:numPr>
          <w:ilvl w:val="0"/>
          <w:numId w:val="622"/>
        </w:numPr>
        <w:rPr>
          <w:rFonts w:cs="Calibri"/>
        </w:rPr>
      </w:pPr>
      <w:r>
        <w:rPr>
          <w:rFonts w:cs="Calibri"/>
        </w:rPr>
        <w:t>Certificates;</w:t>
      </w:r>
    </w:p>
    <w:p>
      <w:pPr>
        <w:pStyle w:val="ListParagraph"/>
        <w:numPr>
          <w:ilvl w:val="0"/>
          <w:numId w:val="622"/>
        </w:numPr>
        <w:rPr>
          <w:rFonts w:cs="Calibri"/>
        </w:rPr>
      </w:pPr>
      <w:r>
        <w:rPr>
          <w:rFonts w:cs="Calibri"/>
        </w:rPr>
        <w:t xml:space="preserve">Data classification; </w:t>
      </w:r>
    </w:p>
    <w:p>
      <w:pPr>
        <w:pStyle w:val="ListParagraph"/>
        <w:numPr>
          <w:ilvl w:val="0"/>
          <w:numId w:val="622"/>
        </w:numPr>
        <w:rPr>
          <w:rFonts w:cs="Calibri"/>
        </w:rPr>
      </w:pPr>
      <w:r>
        <w:rPr>
          <w:rFonts w:cs="Calibri"/>
        </w:rPr>
        <w:t xml:space="preserve">Attachments; and </w:t>
      </w:r>
    </w:p>
    <w:p>
      <w:pPr>
        <w:pStyle w:val="ListParagraph"/>
        <w:numPr>
          <w:ilvl w:val="0"/>
          <w:numId w:val="622"/>
        </w:numPr>
        <w:rPr>
          <w:rFonts w:cs="Calibri"/>
        </w:rPr>
      </w:pPr>
      <w:r>
        <w:rPr>
          <w:rFonts w:cs="Calibri"/>
        </w:rPr>
        <w:t>Other security-related component differentiators.</w:t>
      </w:r>
    </w:p>
    <w:p>
      <w:pPr>
        <w:pStyle w:val="Normal"/>
        <w:rPr>
          <w:rFonts w:cs="Calibri"/>
        </w:rPr>
      </w:pPr>
      <w:r>
        <w:rPr>
          <w:rFonts w:cs="Calibri"/>
        </w:rPr>
      </w:r>
    </w:p>
    <w:p>
      <w:pPr>
        <w:pStyle w:val="Normal"/>
        <w:rPr>
          <w:rFonts w:cs="Calibri"/>
        </w:rPr>
      </w:pPr>
      <w:r>
        <w:rPr>
          <w:rFonts w:cs="Calibri"/>
          <w:u w:val="single"/>
        </w:rPr>
        <w:t>Guidelines</w:t>
      </w:r>
      <w:r>
        <w:rPr>
          <w:rFonts w:cs="Calibri"/>
        </w:rPr>
        <w:t>: Policy enforcement mechanisms apply filtering, inspection, and/or sanitization rules to the policy-relevant subcomponents of information to facilitate flow enforcement prior to transferring such information to different security domains. Parsing transfer files facilitates policy decisions on source, destination, certificates, classification, attachments and other security-related component differentiators.</w:t>
      </w:r>
    </w:p>
    <w:p>
      <w:pPr>
        <w:pStyle w:val="Normal"/>
        <w:rPr/>
      </w:pPr>
      <w:r>
        <w:rPr/>
      </w:r>
    </w:p>
    <w:p>
      <w:pPr>
        <w:pStyle w:val="Heading3"/>
        <w:rPr/>
      </w:pPr>
      <w:bookmarkStart w:id="1411" w:name="_Toc34921076"/>
      <w:r>
        <w:rPr/>
        <w:t>NET-04(j): Data Flow Enforcement | Detection of Unsanctioned Information</w:t>
      </w:r>
      <w:bookmarkEnd w:id="1411"/>
      <w:r>
        <w:rPr/>
        <w:t xml:space="preserve"> </w:t>
      </w:r>
    </w:p>
    <w:p>
      <w:pPr>
        <w:pStyle w:val="Normal"/>
        <w:rPr>
          <w:rFonts w:cs="Calibri"/>
        </w:rPr>
      </w:pPr>
      <w:r>
        <w:rPr>
          <w:rFonts w:cs="Calibri"/>
          <w:u w:val="single"/>
        </w:rPr>
        <w:t>Control Objective</w:t>
      </w:r>
      <w:r>
        <w:rPr>
          <w:rFonts w:cs="Calibri"/>
        </w:rPr>
        <w:t>: The information system, when transferring information between different security domains, implements organization-defined security policy filters requiring fully enumerated formats that restrict data structure and content.</w:t>
      </w:r>
      <w:r>
        <w:rPr>
          <w:rStyle w:val="FootnoteCharacters"/>
          <w:rFonts w:cs="Calibri"/>
          <w:bCs w:val="false"/>
        </w:rPr>
        <w:t xml:space="preserve"> </w:t>
      </w:r>
      <w:r>
        <w:rPr>
          <w:rStyle w:val="FootnoteAnchor"/>
          <w:rStyle w:val="FootnoteAnchor"/>
          <w:rFonts w:cs="Calibri"/>
          <w:bCs w:val="false"/>
        </w:rPr>
        <w:footnoteReference w:id="451"/>
      </w:r>
    </w:p>
    <w:p>
      <w:pPr>
        <w:pStyle w:val="Normal"/>
        <w:rPr>
          <w:rFonts w:cs="Calibri"/>
        </w:rPr>
      </w:pPr>
      <w:r>
        <w:rPr>
          <w:rFonts w:cs="Calibri"/>
        </w:rPr>
      </w:r>
    </w:p>
    <w:p>
      <w:pPr>
        <w:pStyle w:val="Normal"/>
        <w:rPr>
          <w:rFonts w:cs="Calibri"/>
        </w:rPr>
      </w:pPr>
      <w:r>
        <w:rPr>
          <w:rFonts w:cs="Calibri"/>
          <w:u w:val="single"/>
        </w:rPr>
        <w:t>Standard</w:t>
      </w:r>
      <w:r>
        <w:rPr>
          <w:rFonts w:cs="Calibri"/>
        </w:rPr>
        <w:t xml:space="preserve">: Where technically feasible and justified by a valid business case, critical systems will be configured to restrict the transfer of sensitive data between different security domains requiring fully enumerated formats that restrict data structure and content that restricts file sizes and field lengths based on: </w:t>
      </w:r>
    </w:p>
    <w:p>
      <w:pPr>
        <w:pStyle w:val="ListParagraph"/>
        <w:numPr>
          <w:ilvl w:val="0"/>
          <w:numId w:val="624"/>
        </w:numPr>
        <w:rPr>
          <w:rFonts w:cs="Calibri"/>
        </w:rPr>
      </w:pPr>
      <w:r>
        <w:rPr>
          <w:rFonts w:cs="Calibri"/>
        </w:rPr>
        <w:t xml:space="preserve">Encoding formats for character sets (e.g., Universal Character Set Transformation Formats (UCSTF), American Standard Code for Information Interchange (ASCII), etc.); </w:t>
      </w:r>
    </w:p>
    <w:p>
      <w:pPr>
        <w:pStyle w:val="ListParagraph"/>
        <w:numPr>
          <w:ilvl w:val="0"/>
          <w:numId w:val="624"/>
        </w:numPr>
        <w:rPr>
          <w:rFonts w:cs="Calibri"/>
        </w:rPr>
      </w:pPr>
      <w:r>
        <w:rPr>
          <w:rFonts w:cs="Calibri"/>
        </w:rPr>
        <w:t xml:space="preserve">Restricting character data fields to only contain alpha-numeric characters; </w:t>
      </w:r>
    </w:p>
    <w:p>
      <w:pPr>
        <w:pStyle w:val="ListParagraph"/>
        <w:numPr>
          <w:ilvl w:val="0"/>
          <w:numId w:val="624"/>
        </w:numPr>
        <w:rPr>
          <w:rFonts w:cs="Calibri"/>
        </w:rPr>
      </w:pPr>
      <w:r>
        <w:rPr>
          <w:rFonts w:cs="Calibri"/>
        </w:rPr>
        <w:t xml:space="preserve">Prohibiting special characters; and </w:t>
      </w:r>
    </w:p>
    <w:p>
      <w:pPr>
        <w:pStyle w:val="ListParagraph"/>
        <w:numPr>
          <w:ilvl w:val="0"/>
          <w:numId w:val="624"/>
        </w:numPr>
        <w:rPr>
          <w:rFonts w:cs="Calibri"/>
        </w:rPr>
      </w:pPr>
      <w:r>
        <w:rPr>
          <w:rFonts w:cs="Calibri"/>
        </w:rPr>
        <w:t>Validating schema structures.</w:t>
      </w:r>
    </w:p>
    <w:p>
      <w:pPr>
        <w:pStyle w:val="Normal"/>
        <w:rPr>
          <w:rFonts w:cs="Calibri"/>
        </w:rPr>
      </w:pPr>
      <w:r>
        <w:rPr>
          <w:rFonts w:cs="Calibri"/>
        </w:rPr>
      </w:r>
    </w:p>
    <w:p>
      <w:pPr>
        <w:pStyle w:val="Normal"/>
        <w:rPr>
          <w:rFonts w:cs="Calibri"/>
        </w:rPr>
      </w:pPr>
      <w:r>
        <w:rPr>
          <w:rFonts w:cs="Calibri"/>
          <w:u w:val="single"/>
        </w:rPr>
        <w:t>Guidelines</w:t>
      </w:r>
      <w:r>
        <w:rPr>
          <w:rFonts w:cs="Calibri"/>
        </w:rPr>
        <w:t>: Data structure and content restrictions reduce the range of potential malicious and/or unsanctioned content in cross-domain transactions. Security policy filters that restrict data structures include, for example, restricting file sizes and field lengths. Data content policy filters include, for example:</w:t>
      </w:r>
    </w:p>
    <w:p>
      <w:pPr>
        <w:pStyle w:val="ListParagraph"/>
        <w:numPr>
          <w:ilvl w:val="0"/>
          <w:numId w:val="623"/>
        </w:numPr>
        <w:rPr>
          <w:rFonts w:cs="Calibri"/>
        </w:rPr>
      </w:pPr>
      <w:r>
        <w:rPr>
          <w:rFonts w:cs="Calibri"/>
        </w:rPr>
        <w:t xml:space="preserve">Encoding formats for character sets (e.g., Universal Character Set Transformation Formats, American Standard Code for Information Interchange); </w:t>
      </w:r>
    </w:p>
    <w:p>
      <w:pPr>
        <w:pStyle w:val="ListParagraph"/>
        <w:numPr>
          <w:ilvl w:val="0"/>
          <w:numId w:val="623"/>
        </w:numPr>
        <w:rPr>
          <w:rFonts w:cs="Calibri"/>
        </w:rPr>
      </w:pPr>
      <w:r>
        <w:rPr>
          <w:rFonts w:cs="Calibri"/>
        </w:rPr>
        <w:t xml:space="preserve">Restricting character data fields to only contain alpha-numeric characters; </w:t>
      </w:r>
    </w:p>
    <w:p>
      <w:pPr>
        <w:pStyle w:val="ListParagraph"/>
        <w:numPr>
          <w:ilvl w:val="0"/>
          <w:numId w:val="623"/>
        </w:numPr>
        <w:rPr>
          <w:rFonts w:cs="Calibri"/>
        </w:rPr>
      </w:pPr>
      <w:r>
        <w:rPr>
          <w:rFonts w:cs="Calibri"/>
        </w:rPr>
        <w:t xml:space="preserve">Prohibiting special characters; and </w:t>
      </w:r>
    </w:p>
    <w:p>
      <w:pPr>
        <w:pStyle w:val="ListParagraph"/>
        <w:numPr>
          <w:ilvl w:val="0"/>
          <w:numId w:val="623"/>
        </w:numPr>
        <w:rPr>
          <w:rFonts w:cs="Calibri"/>
        </w:rPr>
      </w:pPr>
      <w:r>
        <w:rPr>
          <w:rFonts w:cs="Calibri"/>
        </w:rPr>
        <w:t>Validating schema structures.</w:t>
      </w:r>
    </w:p>
    <w:p>
      <w:pPr>
        <w:pStyle w:val="Normal"/>
        <w:rPr/>
      </w:pPr>
      <w:r>
        <w:rPr/>
      </w:r>
    </w:p>
    <w:p>
      <w:pPr>
        <w:pStyle w:val="Heading3"/>
        <w:rPr/>
      </w:pPr>
      <w:bookmarkStart w:id="1412" w:name="_Toc34921077"/>
      <w:r>
        <w:rPr/>
        <w:t>NET-04(k): Data Flow Enforcement | Approved Solutions</w:t>
      </w:r>
      <w:bookmarkEnd w:id="1412"/>
      <w:r>
        <w:rPr/>
        <w:t xml:space="preserve"> </w:t>
      </w:r>
    </w:p>
    <w:p>
      <w:pPr>
        <w:pStyle w:val="Normal"/>
        <w:rPr>
          <w:rFonts w:cs="Calibri"/>
        </w:rPr>
      </w:pPr>
      <w:r>
        <w:rPr>
          <w:rFonts w:cs="Calibri"/>
          <w:u w:val="single"/>
        </w:rPr>
        <w:t>Control Objective</w:t>
      </w:r>
      <w:r>
        <w:rPr>
          <w:rFonts w:cs="Calibri"/>
        </w:rPr>
        <w:t>: The information system, when transferring information between different security domains, examines the information for the presence of organization-defined unsanctioned information and prohibits the transfer of such information in accordance with the organization-defined security policy.</w:t>
      </w:r>
      <w:r>
        <w:rPr>
          <w:rStyle w:val="FootnoteCharacters"/>
          <w:rFonts w:cs="Calibri"/>
          <w:bCs w:val="false"/>
        </w:rPr>
        <w:t xml:space="preserve"> </w:t>
      </w:r>
      <w:r>
        <w:rPr>
          <w:rStyle w:val="FootnoteAnchor"/>
          <w:rStyle w:val="FootnoteAnchor"/>
          <w:rFonts w:cs="Calibri"/>
          <w:bCs w:val="false"/>
        </w:rPr>
        <w:footnoteReference w:id="452"/>
      </w:r>
    </w:p>
    <w:p>
      <w:pPr>
        <w:pStyle w:val="Normal"/>
        <w:rPr>
          <w:rFonts w:cs="Calibri"/>
        </w:rPr>
      </w:pPr>
      <w:r>
        <w:rPr>
          <w:rFonts w:cs="Calibri"/>
        </w:rPr>
      </w:r>
    </w:p>
    <w:p>
      <w:pPr>
        <w:pStyle w:val="Normal"/>
        <w:rPr>
          <w:rFonts w:cs="Calibri"/>
        </w:rPr>
      </w:pPr>
      <w:r>
        <w:rPr>
          <w:rFonts w:cs="Calibri"/>
          <w:u w:val="single"/>
        </w:rPr>
        <w:t>Standard</w:t>
      </w:r>
      <w:r>
        <w:rPr>
          <w:rFonts w:cs="Calibri"/>
        </w:rPr>
        <w:t>: Where technically feasible and justified by a valid business case, critical systems will be configured to restrict the transfer of sensitive data between different security domains based on the presence of unsanctioned information that prohibits the transfer of such information:</w:t>
      </w:r>
    </w:p>
    <w:p>
      <w:pPr>
        <w:pStyle w:val="ListParagraph"/>
        <w:numPr>
          <w:ilvl w:val="0"/>
          <w:numId w:val="625"/>
        </w:numPr>
        <w:rPr>
          <w:rFonts w:cs="Calibri"/>
        </w:rPr>
      </w:pPr>
      <w:r>
        <w:rPr>
          <w:rFonts w:cs="Calibri"/>
        </w:rPr>
        <w:t>Malicious codes; and/or</w:t>
      </w:r>
    </w:p>
    <w:p>
      <w:pPr>
        <w:pStyle w:val="ListParagraph"/>
        <w:numPr>
          <w:ilvl w:val="0"/>
          <w:numId w:val="625"/>
        </w:numPr>
        <w:rPr>
          <w:rFonts w:cs="Calibri"/>
        </w:rPr>
      </w:pPr>
      <w:r>
        <w:rPr>
          <w:rFonts w:cs="Calibri"/>
        </w:rPr>
        <w:t>Prohibited words/language.</w:t>
      </w:r>
    </w:p>
    <w:p>
      <w:pPr>
        <w:pStyle w:val="Normal"/>
        <w:rPr>
          <w:rFonts w:cs="Calibri"/>
        </w:rPr>
      </w:pPr>
      <w:r>
        <w:rPr>
          <w:rFonts w:cs="Calibri"/>
        </w:rPr>
      </w:r>
    </w:p>
    <w:p>
      <w:pPr>
        <w:pStyle w:val="Normal"/>
        <w:rPr>
          <w:rFonts w:cs="Calibri"/>
        </w:rPr>
      </w:pPr>
      <w:r>
        <w:rPr>
          <w:rFonts w:cs="Calibri"/>
          <w:u w:val="single"/>
        </w:rPr>
        <w:t>Guidelines</w:t>
      </w:r>
      <w:r>
        <w:rPr>
          <w:rFonts w:cs="Calibri"/>
        </w:rPr>
        <w:t>: Detection of unsanctioned information includes, for example, checking all information to be transferred for malicious code and dirty words.</w:t>
      </w:r>
      <w:bookmarkStart w:id="1413" w:name="_Hlk27580038"/>
      <w:bookmarkEnd w:id="1413"/>
    </w:p>
    <w:p>
      <w:pPr>
        <w:pStyle w:val="Normal"/>
        <w:rPr/>
      </w:pPr>
      <w:r>
        <w:rPr/>
      </w:r>
    </w:p>
    <w:p>
      <w:pPr>
        <w:pStyle w:val="Normal"/>
        <w:rPr/>
      </w:pPr>
      <w:r>
        <w:rPr/>
      </w:r>
    </w:p>
    <w:p>
      <w:pPr>
        <w:pStyle w:val="Heading2"/>
        <w:rPr/>
      </w:pPr>
      <w:bookmarkStart w:id="1414" w:name="_Toc474075154"/>
      <w:bookmarkStart w:id="1415" w:name="_Toc474075709"/>
      <w:bookmarkStart w:id="1416" w:name="_Toc34921078"/>
      <w:r>
        <w:rPr/>
        <w:t>NET-05: System Interconnections</w:t>
      </w:r>
      <w:bookmarkEnd w:id="1414"/>
      <w:bookmarkEnd w:id="1415"/>
      <w:bookmarkEnd w:id="1416"/>
    </w:p>
    <w:p>
      <w:pPr>
        <w:pStyle w:val="Normal"/>
        <w:rPr/>
      </w:pPr>
      <w:r>
        <w:rPr>
          <w:u w:val="single"/>
        </w:rPr>
        <w:t>Control Objective</w:t>
      </w:r>
      <w:r>
        <w:rPr/>
        <w:t>: The organization:</w:t>
      </w:r>
      <w:r>
        <w:rPr>
          <w:rStyle w:val="FootnoteAnchor"/>
          <w:rStyle w:val="FootnoteAnchor"/>
          <w:rFonts w:cs="Calibri"/>
        </w:rPr>
        <w:footnoteReference w:id="453"/>
      </w:r>
    </w:p>
    <w:p>
      <w:pPr>
        <w:pStyle w:val="ListParagraph"/>
        <w:numPr>
          <w:ilvl w:val="0"/>
          <w:numId w:val="543"/>
        </w:numPr>
        <w:rPr/>
      </w:pPr>
      <w:r>
        <w:rPr/>
        <w:t>Authorizes connections from a system to other systems using Interconnection Security Agreements (ISAs);</w:t>
      </w:r>
    </w:p>
    <w:p>
      <w:pPr>
        <w:pStyle w:val="ListParagraph"/>
        <w:numPr>
          <w:ilvl w:val="0"/>
          <w:numId w:val="543"/>
        </w:numPr>
        <w:rPr/>
      </w:pPr>
      <w:r>
        <w:rPr/>
        <w:t>Documents, for each interconnection, the interface characteristics, security and privacy requirements and the nature of the information communicated; and</w:t>
      </w:r>
    </w:p>
    <w:p>
      <w:pPr>
        <w:pStyle w:val="ListParagraph"/>
        <w:numPr>
          <w:ilvl w:val="0"/>
          <w:numId w:val="543"/>
        </w:numPr>
        <w:rPr/>
      </w:pPr>
      <w:r>
        <w:rPr/>
        <w:t>Reviews and updates ISAs.</w:t>
      </w:r>
    </w:p>
    <w:p>
      <w:pPr>
        <w:pStyle w:val="Normal"/>
        <w:rPr/>
      </w:pPr>
      <w:r>
        <w:rPr/>
      </w:r>
    </w:p>
    <w:p>
      <w:pPr>
        <w:pStyle w:val="Normal"/>
        <w:rPr/>
      </w:pPr>
      <w:r>
        <w:rPr>
          <w:u w:val="single"/>
        </w:rPr>
        <w:t>Standard</w:t>
      </w:r>
      <w:r>
        <w:rPr/>
        <w:t>: Only devices that are owned or managed by NFCC and meet baseline hardening standards are allowed to connect directly to NFCC’s internal network(s).</w:t>
      </w:r>
    </w:p>
    <w:p>
      <w:pPr>
        <w:pStyle w:val="Normal"/>
        <w:rPr/>
      </w:pPr>
      <w:r>
        <w:rPr/>
      </w:r>
    </w:p>
    <w:p>
      <w:pPr>
        <w:pStyle w:val="Normal"/>
        <w:rPr>
          <w:rFonts w:eastAsia="Calibri"/>
        </w:rPr>
      </w:pPr>
      <w:r>
        <w:rPr>
          <w:rFonts w:cs="Calibri"/>
          <w:u w:val="single"/>
        </w:rPr>
        <w:t>Guidelines</w:t>
      </w:r>
      <w:r>
        <w:rPr>
          <w:rFonts w:cs="Calibri"/>
        </w:rPr>
        <w:t xml:space="preserve">: </w:t>
      </w:r>
      <w:r>
        <w:rPr>
          <w:rFonts w:eastAsia="Calibri"/>
        </w:rPr>
        <w:t>Third-Party remote access is allowed only through approved site-to-site VPN connections or through remote desktop-based connections.</w:t>
      </w:r>
    </w:p>
    <w:p>
      <w:pPr>
        <w:pStyle w:val="Normal"/>
        <w:rPr/>
      </w:pPr>
      <w:r>
        <w:rPr/>
      </w:r>
    </w:p>
    <w:p>
      <w:pPr>
        <w:pStyle w:val="Heading3"/>
        <w:rPr/>
      </w:pPr>
      <w:bookmarkStart w:id="1417" w:name="_Toc474075156"/>
      <w:bookmarkStart w:id="1418" w:name="_Toc499096139"/>
      <w:bookmarkStart w:id="1419" w:name="_Toc34921079"/>
      <w:r>
        <w:rPr/>
        <w:t>NET-05(a): System Interconnections | External System Connections</w:t>
      </w:r>
      <w:bookmarkEnd w:id="1417"/>
      <w:bookmarkEnd w:id="1418"/>
      <w:bookmarkEnd w:id="1419"/>
      <w:r>
        <w:rPr/>
        <w:t xml:space="preserve"> </w:t>
      </w:r>
    </w:p>
    <w:p>
      <w:pPr>
        <w:pStyle w:val="Normal"/>
        <w:rPr/>
      </w:pPr>
      <w:r>
        <w:rPr>
          <w:u w:val="single"/>
        </w:rPr>
        <w:t>Control Objective</w:t>
      </w:r>
      <w:r>
        <w:rPr/>
        <w:t>: The organization prohibits the direct connection of a sensitive system to an external network without the use of an organization-defined boundary protection device.</w:t>
      </w:r>
      <w:r>
        <w:rPr>
          <w:rStyle w:val="FootnoteCharacters"/>
          <w:rFonts w:cs="Calibri"/>
          <w:bCs w:val="false"/>
        </w:rPr>
        <w:t xml:space="preserve"> </w:t>
      </w:r>
      <w:r>
        <w:rPr>
          <w:rStyle w:val="FootnoteAnchor"/>
          <w:rStyle w:val="FootnoteAnchor"/>
          <w:rFonts w:cs="Calibri"/>
          <w:bCs w:val="false"/>
        </w:rPr>
        <w:footnoteReference w:id="454"/>
      </w:r>
    </w:p>
    <w:p>
      <w:pPr>
        <w:pStyle w:val="Normal"/>
        <w:rPr/>
      </w:pPr>
      <w:r>
        <w:rPr/>
      </w:r>
    </w:p>
    <w:p>
      <w:pPr>
        <w:pStyle w:val="Normal"/>
        <w:rPr/>
      </w:pPr>
      <w:r>
        <w:rPr>
          <w:u w:val="single"/>
        </w:rPr>
        <w:t>Standard</w:t>
      </w:r>
      <w:r>
        <w:rPr/>
        <w:t>: Asset custodians are required to establish and manage firewall and router configuration standards to prohibit direct public access between the Internet and any system component on internal networks that includes, but is not limited to:</w:t>
      </w:r>
      <w:r>
        <w:rPr>
          <w:rStyle w:val="FootnoteCharacters"/>
          <w:rFonts w:cs="Calibri"/>
        </w:rPr>
        <w:t xml:space="preserve"> </w:t>
      </w:r>
    </w:p>
    <w:p>
      <w:pPr>
        <w:pStyle w:val="ListParagraph"/>
        <w:numPr>
          <w:ilvl w:val="0"/>
          <w:numId w:val="410"/>
        </w:numPr>
        <w:rPr/>
      </w:pPr>
      <w:r>
        <w:rPr/>
        <w:t>Demilitarized Zones (DMZ) are required to be implemented to limit inbound traffic to only system components that provide authorized publicly accessible services, protocols and ports;</w:t>
      </w:r>
      <w:r>
        <w:rPr>
          <w:rStyle w:val="FootnoteCharacters"/>
          <w:rFonts w:cs="Calibri"/>
        </w:rPr>
        <w:t xml:space="preserve"> </w:t>
      </w:r>
    </w:p>
    <w:p>
      <w:pPr>
        <w:pStyle w:val="ListParagraph"/>
        <w:numPr>
          <w:ilvl w:val="0"/>
          <w:numId w:val="410"/>
        </w:numPr>
        <w:rPr/>
      </w:pPr>
      <w:r>
        <w:rPr/>
        <w:t>Inbound Internet traffic shall be limited to IP addresses within the DMZ;</w:t>
      </w:r>
      <w:r>
        <w:rPr>
          <w:rStyle w:val="FootnoteCharacters"/>
          <w:rFonts w:cs="Calibri"/>
        </w:rPr>
        <w:t xml:space="preserve"> </w:t>
      </w:r>
    </w:p>
    <w:p>
      <w:pPr>
        <w:pStyle w:val="ListParagraph"/>
        <w:numPr>
          <w:ilvl w:val="0"/>
          <w:numId w:val="410"/>
        </w:numPr>
        <w:rPr/>
      </w:pPr>
      <w:r>
        <w:rPr/>
        <w:t>Implement anti-spoofing measures to detect and block forged source IP addresses from entering the network;</w:t>
      </w:r>
      <w:r>
        <w:rPr>
          <w:rStyle w:val="FootnoteCharacters"/>
          <w:rFonts w:cs="Calibri"/>
        </w:rPr>
        <w:t xml:space="preserve"> </w:t>
      </w:r>
    </w:p>
    <w:p>
      <w:pPr>
        <w:pStyle w:val="ListParagraph"/>
        <w:numPr>
          <w:ilvl w:val="0"/>
          <w:numId w:val="410"/>
        </w:numPr>
        <w:rPr/>
      </w:pPr>
      <w:r>
        <w:rPr/>
        <w:t>Unauthorized outbound traffic from the CDE to the Internet are prohibited;</w:t>
      </w:r>
      <w:r>
        <w:rPr>
          <w:rStyle w:val="FootnoteCharacters"/>
          <w:rFonts w:cs="Calibri"/>
        </w:rPr>
        <w:t xml:space="preserve"> </w:t>
      </w:r>
    </w:p>
    <w:p>
      <w:pPr>
        <w:pStyle w:val="ListParagraph"/>
        <w:numPr>
          <w:ilvl w:val="0"/>
          <w:numId w:val="410"/>
        </w:numPr>
        <w:rPr/>
      </w:pPr>
      <w:r>
        <w:rPr/>
        <w:t>Stateful inspection (dynamic packet filtering) must be implemented;</w:t>
      </w:r>
      <w:r>
        <w:rPr>
          <w:rStyle w:val="FootnoteCharacters"/>
          <w:rFonts w:cs="Calibri"/>
        </w:rPr>
        <w:t xml:space="preserve"> </w:t>
      </w:r>
    </w:p>
    <w:p>
      <w:pPr>
        <w:pStyle w:val="ListParagraph"/>
        <w:numPr>
          <w:ilvl w:val="0"/>
          <w:numId w:val="410"/>
        </w:numPr>
        <w:rPr/>
      </w:pPr>
      <w:r>
        <w:rPr/>
        <w:t>System components that store sensitive data must be placed within an internal network zone, segregated from the DMZ and other untrusted networks;</w:t>
      </w:r>
      <w:r>
        <w:rPr>
          <w:rStyle w:val="FootnoteCharacters"/>
          <w:rFonts w:cs="Calibri"/>
        </w:rPr>
        <w:t xml:space="preserve"> </w:t>
      </w:r>
      <w:r>
        <w:rPr/>
        <w:t>and</w:t>
      </w:r>
    </w:p>
    <w:p>
      <w:pPr>
        <w:pStyle w:val="ListParagraph"/>
        <w:numPr>
          <w:ilvl w:val="0"/>
          <w:numId w:val="410"/>
        </w:numPr>
        <w:rPr/>
      </w:pPr>
      <w:r>
        <w:rPr/>
        <w:t>Private IP addresses and routing information are prohibited from being disclosed to unauthorized parties.</w:t>
      </w:r>
      <w:r>
        <w:rPr>
          <w:rStyle w:val="FootnoteCharacters"/>
          <w:rFonts w:cs="Calibri"/>
        </w:rPr>
        <w:t xml:space="preserve"> </w:t>
      </w:r>
    </w:p>
    <w:p>
      <w:pPr>
        <w:pStyle w:val="Normal"/>
        <w:rPr/>
      </w:pPr>
      <w:r>
        <w:rPr/>
      </w:r>
    </w:p>
    <w:p>
      <w:pPr>
        <w:pStyle w:val="Normal"/>
        <w:rPr/>
      </w:pPr>
      <w:r>
        <w:rPr>
          <w:u w:val="single"/>
        </w:rPr>
        <w:t>Guidelines</w:t>
      </w:r>
      <w:r>
        <w:rPr/>
        <w:t xml:space="preserve">: NFCC does not have control over external networks (e.g., the Internet). Approved boundary protection devices (e.g., routers, firewalls) mediate communications (e.g., information flows) between internal systems and external networks. </w:t>
      </w:r>
    </w:p>
    <w:p>
      <w:pPr>
        <w:pStyle w:val="Normal"/>
        <w:rPr/>
      </w:pPr>
      <w:r>
        <w:rPr/>
      </w:r>
    </w:p>
    <w:p>
      <w:pPr>
        <w:pStyle w:val="Normal"/>
        <w:rPr/>
      </w:pPr>
      <w:r>
        <w:rPr/>
        <w:t>Methods to obscure IP addressing may include, but are not limited to:</w:t>
      </w:r>
    </w:p>
    <w:p>
      <w:pPr>
        <w:pStyle w:val="ListParagraph"/>
        <w:numPr>
          <w:ilvl w:val="0"/>
          <w:numId w:val="202"/>
        </w:numPr>
        <w:rPr/>
      </w:pPr>
      <w:r>
        <w:rPr/>
        <w:t>Network Address Translation (NAT)</w:t>
      </w:r>
    </w:p>
    <w:p>
      <w:pPr>
        <w:pStyle w:val="ListParagraph"/>
        <w:numPr>
          <w:ilvl w:val="0"/>
          <w:numId w:val="202"/>
        </w:numPr>
        <w:rPr/>
      </w:pPr>
      <w:r>
        <w:rPr/>
        <w:t xml:space="preserve">Placing servers containing sensitive data behind proxy servers / firewalls, </w:t>
      </w:r>
    </w:p>
    <w:p>
      <w:pPr>
        <w:pStyle w:val="ListParagraph"/>
        <w:numPr>
          <w:ilvl w:val="0"/>
          <w:numId w:val="202"/>
        </w:numPr>
        <w:rPr/>
      </w:pPr>
      <w:r>
        <w:rPr/>
        <w:t>Removal or filtering of route advertisements for private networks that employ registered addressing, or</w:t>
      </w:r>
    </w:p>
    <w:p>
      <w:pPr>
        <w:pStyle w:val="ListParagraph"/>
        <w:numPr>
          <w:ilvl w:val="0"/>
          <w:numId w:val="202"/>
        </w:numPr>
        <w:rPr/>
      </w:pPr>
      <w:r>
        <w:rPr/>
        <w:t>Internal use of RFC1918 address space instead of registered addresses.</w:t>
      </w:r>
    </w:p>
    <w:p>
      <w:pPr>
        <w:pStyle w:val="Normal"/>
        <w:rPr/>
      </w:pPr>
      <w:r>
        <w:rPr/>
      </w:r>
    </w:p>
    <w:p>
      <w:pPr>
        <w:pStyle w:val="Heading3"/>
        <w:rPr/>
      </w:pPr>
      <w:bookmarkStart w:id="1420" w:name="_Toc474075157"/>
      <w:bookmarkStart w:id="1421" w:name="_Toc34921080"/>
      <w:r>
        <w:rPr/>
        <w:t>NET-05(b): System Interconnections | Internal System Connections</w:t>
      </w:r>
      <w:bookmarkEnd w:id="1420"/>
      <w:bookmarkEnd w:id="1421"/>
      <w:r>
        <w:rPr/>
        <w:t xml:space="preserve"> </w:t>
      </w:r>
    </w:p>
    <w:p>
      <w:pPr>
        <w:pStyle w:val="Normal"/>
        <w:rPr/>
      </w:pPr>
      <w:r>
        <w:rPr>
          <w:u w:val="single"/>
        </w:rPr>
        <w:t>Control Objective</w:t>
      </w:r>
      <w:r>
        <w:rPr/>
        <w:t>: The organization:</w:t>
      </w:r>
      <w:r>
        <w:rPr>
          <w:rStyle w:val="FootnoteAnchor"/>
          <w:rStyle w:val="FootnoteAnchor"/>
          <w:rFonts w:cs="Calibri"/>
        </w:rPr>
        <w:footnoteReference w:id="455"/>
      </w:r>
    </w:p>
    <w:p>
      <w:pPr>
        <w:pStyle w:val="ListParagraph"/>
        <w:numPr>
          <w:ilvl w:val="0"/>
          <w:numId w:val="137"/>
        </w:numPr>
        <w:rPr/>
      </w:pPr>
      <w:r>
        <w:rPr/>
        <w:t>Authorizes internal connections of critical systems; and</w:t>
      </w:r>
    </w:p>
    <w:p>
      <w:pPr>
        <w:pStyle w:val="ListParagraph"/>
        <w:numPr>
          <w:ilvl w:val="0"/>
          <w:numId w:val="137"/>
        </w:numPr>
        <w:rPr/>
      </w:pPr>
      <w:r>
        <w:rPr/>
        <w:t>Documents, for each internal connection, the interface characteristics, security requirements and the nature of the information communicated.</w:t>
      </w:r>
    </w:p>
    <w:p>
      <w:pPr>
        <w:pStyle w:val="Normal"/>
        <w:rPr/>
      </w:pPr>
      <w:r>
        <w:rPr/>
      </w:r>
    </w:p>
    <w:p>
      <w:pPr>
        <w:pStyle w:val="Normal"/>
        <w:rPr/>
      </w:pPr>
      <w:r>
        <w:rPr>
          <w:u w:val="single"/>
        </w:rPr>
        <w:t>Standard</w:t>
      </w:r>
      <w:r>
        <w:rPr/>
        <w:t>: For critical systems, all internal connections must be documented and authorized.</w:t>
      </w:r>
    </w:p>
    <w:p>
      <w:pPr>
        <w:pStyle w:val="Normal"/>
        <w:rPr/>
      </w:pPr>
      <w:r>
        <w:rPr/>
      </w:r>
    </w:p>
    <w:p>
      <w:pPr>
        <w:pStyle w:val="Normal"/>
        <w:rPr/>
      </w:pPr>
      <w:r>
        <w:rPr>
          <w:u w:val="single"/>
        </w:rPr>
        <w:t>Guidelines</w:t>
      </w:r>
      <w:r>
        <w:rPr/>
        <w:t>: This applies to both internal (intra) and external (extra) connections including, for example, system connections with mobile devices, notebook / desktop computers, printers, copiers, facsimile machines, scanners, sensors and servers. Instead of authorizing each individual internal connection, organizations can authorize internal connections for a class of components with common characteristics and / or configurations, for example, all digital printers, scanners and copiers with a specified processing, storage and transmission capability or all smartphones with a specific baseline configuration.</w:t>
      </w:r>
    </w:p>
    <w:p>
      <w:pPr>
        <w:pStyle w:val="Normal"/>
        <w:rPr/>
      </w:pPr>
      <w:r>
        <w:rPr/>
      </w:r>
    </w:p>
    <w:p>
      <w:pPr>
        <w:pStyle w:val="Normal"/>
        <w:rPr/>
      </w:pPr>
      <w:r>
        <w:rPr/>
      </w:r>
    </w:p>
    <w:p>
      <w:pPr>
        <w:pStyle w:val="Heading2"/>
        <w:rPr/>
      </w:pPr>
      <w:bookmarkStart w:id="1422" w:name="_Toc34921081"/>
      <w:r>
        <w:rPr/>
        <w:t>NET-06: Network Segmentation</w:t>
      </w:r>
      <w:bookmarkEnd w:id="1422"/>
    </w:p>
    <w:p>
      <w:pPr>
        <w:pStyle w:val="Normal"/>
        <w:rPr/>
      </w:pPr>
      <w:r>
        <w:rPr>
          <w:u w:val="single"/>
        </w:rPr>
        <w:t>Control Objective</w:t>
      </w:r>
      <w:r>
        <w:rPr/>
        <w:t>: The organization separates information flows logically or physically using mechanisms and / or techniques to accomplish separations by types of information.</w:t>
      </w:r>
      <w:r>
        <w:rPr>
          <w:rStyle w:val="FootnoteAnchor"/>
          <w:rStyle w:val="FootnoteAnchor"/>
          <w:rFonts w:cs="Calibri"/>
          <w:bCs w:val="false"/>
        </w:rPr>
        <w:footnoteReference w:id="456"/>
      </w:r>
    </w:p>
    <w:p>
      <w:pPr>
        <w:pStyle w:val="Normal"/>
        <w:rPr/>
      </w:pPr>
      <w:r>
        <w:rPr/>
      </w:r>
    </w:p>
    <w:p>
      <w:pPr>
        <w:pStyle w:val="Normal"/>
        <w:rPr/>
      </w:pPr>
      <w:r>
        <w:rPr>
          <w:u w:val="single"/>
        </w:rPr>
        <w:t>Standard</w:t>
      </w:r>
      <w:r>
        <w:rPr/>
        <w:t>: Where technically feasible and justified by a valid business case, NFCC shall separate information flows logically or physically using mechanisms and / or techniques to accomplish separations by types of information.</w:t>
      </w:r>
    </w:p>
    <w:p>
      <w:pPr>
        <w:pStyle w:val="Normal"/>
        <w:rPr/>
      </w:pPr>
      <w:r>
        <w:rPr/>
      </w:r>
    </w:p>
    <w:p>
      <w:pPr>
        <w:pStyle w:val="Normal"/>
        <w:rPr>
          <w:u w:val="single"/>
        </w:rPr>
      </w:pPr>
      <w:r>
        <w:rPr>
          <w:u w:val="single"/>
        </w:rPr>
        <w:t>Guidelines</w:t>
      </w:r>
      <w:r>
        <w:rPr/>
        <w:t>: Enforcing the separation of information flows by type can enhance protection by ensuring that information is not commingled while in transit and by enabling flow control by transmission paths perhaps not otherwise achievable. Types of separable information include, for example, inbound and outbound communications traffic, service requests and responses and information of differing security categories.</w:t>
      </w:r>
    </w:p>
    <w:p>
      <w:pPr>
        <w:pStyle w:val="Normal"/>
        <w:rPr/>
      </w:pPr>
      <w:r>
        <w:rPr/>
      </w:r>
    </w:p>
    <w:p>
      <w:pPr>
        <w:pStyle w:val="Heading3"/>
        <w:rPr/>
      </w:pPr>
      <w:bookmarkStart w:id="1423" w:name="_Toc474075160"/>
      <w:bookmarkStart w:id="1424" w:name="_Toc34921082"/>
      <w:r>
        <w:rPr/>
        <w:t>NET-06(a): Security Function Isolation | Security Management Subnets</w:t>
      </w:r>
      <w:bookmarkEnd w:id="1423"/>
      <w:bookmarkEnd w:id="1424"/>
      <w:r>
        <w:rPr/>
        <w:t xml:space="preserve"> </w:t>
      </w:r>
    </w:p>
    <w:p>
      <w:pPr>
        <w:pStyle w:val="Normal"/>
        <w:rPr/>
      </w:pPr>
      <w:r>
        <w:rPr>
          <w:u w:val="single"/>
        </w:rPr>
        <w:t>Control Objective</w:t>
      </w:r>
      <w:r>
        <w:rPr/>
        <w:t>: The organization isolates security tools and support components from other internal system components by implementing separate subnetworks with managed interfaces to other components of the system.</w:t>
      </w:r>
      <w:r>
        <w:rPr>
          <w:rStyle w:val="FootnoteAnchor"/>
          <w:rStyle w:val="FootnoteAnchor"/>
          <w:rFonts w:cs="Calibri"/>
          <w:bCs w:val="false"/>
        </w:rPr>
        <w:footnoteReference w:id="457"/>
      </w:r>
      <w:r>
        <w:rPr/>
        <w:t xml:space="preserve"> </w:t>
      </w:r>
    </w:p>
    <w:p>
      <w:pPr>
        <w:pStyle w:val="Normal"/>
        <w:rPr/>
      </w:pPr>
      <w:r>
        <w:rPr/>
      </w:r>
    </w:p>
    <w:p>
      <w:pPr>
        <w:pStyle w:val="Normal"/>
        <w:rPr>
          <w:b/>
          <w:b/>
        </w:rPr>
      </w:pPr>
      <w:r>
        <w:rPr>
          <w:u w:val="single"/>
        </w:rPr>
        <w:t>Standard</w:t>
      </w:r>
      <w:r>
        <w:rPr/>
        <w:t>: Where technically feasible, NFCC shall isolate cybersecurity tools, mechanisms and support components from other internal system components by implementing physically separate subnetworks.</w:t>
      </w:r>
    </w:p>
    <w:p>
      <w:pPr>
        <w:pStyle w:val="Normal"/>
        <w:rPr/>
      </w:pPr>
      <w:r>
        <w:rPr/>
      </w:r>
    </w:p>
    <w:p>
      <w:pPr>
        <w:pStyle w:val="Normal"/>
        <w:rPr/>
      </w:pPr>
      <w:r>
        <w:rPr>
          <w:u w:val="single"/>
        </w:rPr>
        <w:t>Guidelines</w:t>
      </w:r>
      <w:r>
        <w:rPr/>
        <w:t>: Physically separate subnetworks with managed interfaces are useful, for example, in isolating computer network defenses from critical operational processing networks to prevent adversaries from discovering the analysis and forensics techniques of organizations.</w:t>
      </w:r>
    </w:p>
    <w:p>
      <w:pPr>
        <w:pStyle w:val="Normal"/>
        <w:tabs>
          <w:tab w:val="clear" w:pos="360"/>
          <w:tab w:val="clear" w:pos="720"/>
          <w:tab w:val="clear" w:pos="1080"/>
        </w:tabs>
        <w:jc w:val="left"/>
        <w:rPr>
          <w:rFonts w:eastAsia="Calibri" w:cs="Calibri"/>
          <w:b/>
          <w:b/>
          <w:bCs w:val="false"/>
          <w:iCs/>
          <w:color w:val="1F497D" w:themeColor="text2"/>
        </w:rPr>
      </w:pPr>
      <w:r>
        <w:rPr>
          <w:rFonts w:eastAsia="Calibri" w:cs="Calibri"/>
          <w:b/>
          <w:bCs w:val="false"/>
          <w:iCs/>
          <w:color w:val="1F497D" w:themeColor="text2"/>
        </w:rPr>
      </w:r>
    </w:p>
    <w:p>
      <w:pPr>
        <w:pStyle w:val="Heading3"/>
        <w:rPr/>
      </w:pPr>
      <w:bookmarkStart w:id="1425" w:name="_Toc474075161"/>
      <w:bookmarkStart w:id="1426" w:name="_Toc34921083"/>
      <w:r>
        <w:rPr/>
        <w:t>NET-06(b): Security Function Isolation | Virtual Local Area Network (VLAN) Separation</w:t>
      </w:r>
      <w:bookmarkEnd w:id="1425"/>
      <w:bookmarkEnd w:id="1426"/>
      <w:r>
        <w:rPr/>
        <w:t xml:space="preserve"> </w:t>
      </w:r>
    </w:p>
    <w:p>
      <w:pPr>
        <w:pStyle w:val="Normal"/>
        <w:rPr/>
      </w:pPr>
      <w:r>
        <w:rPr>
          <w:u w:val="single"/>
        </w:rPr>
        <w:t>Control Objective</w:t>
      </w:r>
      <w:r>
        <w:rPr/>
        <w:t>: The organization enables Virtual Local Area Networks (VLANs) for segmented networks to limit the ability of devices on a network to directly communicate with other devices on the subnet and limit an attacker's ability to laterally move to compromise neighboring systems.</w:t>
      </w:r>
    </w:p>
    <w:p>
      <w:pPr>
        <w:pStyle w:val="Normal"/>
        <w:rPr/>
      </w:pPr>
      <w:r>
        <w:rPr/>
      </w:r>
    </w:p>
    <w:p>
      <w:pPr>
        <w:pStyle w:val="Normal"/>
        <w:rPr/>
      </w:pPr>
      <w:r>
        <w:rPr>
          <w:u w:val="single"/>
        </w:rPr>
        <w:t>Standard</w:t>
      </w:r>
      <w:r>
        <w:rPr/>
        <w:t>: Where technically feasible:</w:t>
      </w:r>
    </w:p>
    <w:p>
      <w:pPr>
        <w:pStyle w:val="ListParagraph"/>
        <w:numPr>
          <w:ilvl w:val="0"/>
          <w:numId w:val="413"/>
        </w:numPr>
        <w:rPr/>
      </w:pPr>
      <w:r>
        <w:rPr/>
        <w:t>The network(s) will be segmented based on the label or classification level of the information stored on the systems within the network segment; and</w:t>
      </w:r>
    </w:p>
    <w:p>
      <w:pPr>
        <w:pStyle w:val="ListParagraph"/>
        <w:numPr>
          <w:ilvl w:val="0"/>
          <w:numId w:val="413"/>
        </w:numPr>
        <w:rPr/>
      </w:pPr>
      <w:r>
        <w:rPr/>
        <w:t>All network switches will enable Virtual Local Area Networks (VLANs) for segmented networks to limit the ability of devices on a network to directly communicate with other devices on the subnet and limit an attacker’s ability to laterally move to compromise neighboring systems.</w:t>
      </w:r>
    </w:p>
    <w:p>
      <w:pPr>
        <w:pStyle w:val="Normal"/>
        <w:rPr/>
      </w:pPr>
      <w:r>
        <w:rPr/>
      </w:r>
    </w:p>
    <w:p>
      <w:pPr>
        <w:pStyle w:val="Normal"/>
        <w:rPr/>
      </w:pPr>
      <w:r>
        <w:rPr>
          <w:u w:val="single"/>
        </w:rPr>
        <w:t>Guidelines</w:t>
      </w:r>
      <w:r>
        <w:rPr/>
        <w:t>: Data / process owners should locate all sensitive information on separated VLANs with firewall filtering to ensure that only authorized individuals are able to communicate only with systems necessary to fulfill their specific responsibilities.</w:t>
      </w:r>
    </w:p>
    <w:p>
      <w:pPr>
        <w:pStyle w:val="Normal"/>
        <w:rPr/>
      </w:pPr>
      <w:r>
        <w:rPr/>
      </w:r>
    </w:p>
    <w:p>
      <w:pPr>
        <w:pStyle w:val="Normal"/>
        <w:rPr/>
      </w:pPr>
      <w:r>
        <w:rPr/>
      </w:r>
    </w:p>
    <w:p>
      <w:pPr>
        <w:pStyle w:val="Heading2"/>
        <w:rPr/>
      </w:pPr>
      <w:bookmarkStart w:id="1427" w:name="_Toc474075162"/>
      <w:bookmarkStart w:id="1428" w:name="_Toc474075711"/>
      <w:bookmarkStart w:id="1429" w:name="_Toc34921084"/>
      <w:r>
        <w:rPr/>
        <w:t>NET-07: Network Disconnect</w:t>
      </w:r>
      <w:bookmarkEnd w:id="1427"/>
      <w:bookmarkEnd w:id="1428"/>
      <w:bookmarkEnd w:id="1429"/>
    </w:p>
    <w:p>
      <w:pPr>
        <w:pStyle w:val="Normal"/>
        <w:rPr/>
      </w:pPr>
      <w:r>
        <w:rPr>
          <w:u w:val="single"/>
        </w:rPr>
        <w:t>Control Objective</w:t>
      </w:r>
      <w:r>
        <w:rPr/>
        <w:t>: Systems terminate remote sessions at the end of the session or after an</w:t>
      </w:r>
      <w:r>
        <w:rPr>
          <w:iCs/>
        </w:rPr>
        <w:t xml:space="preserve"> organization-defined time period</w:t>
      </w:r>
      <w:r>
        <w:rPr/>
        <w:t xml:space="preserve"> of inactivity.</w:t>
      </w:r>
      <w:r>
        <w:rPr>
          <w:rStyle w:val="FootnoteAnchor"/>
          <w:rStyle w:val="FootnoteAnchor"/>
          <w:rFonts w:cs="Calibri"/>
        </w:rPr>
        <w:footnoteReference w:id="458"/>
      </w:r>
    </w:p>
    <w:p>
      <w:pPr>
        <w:pStyle w:val="Normal"/>
        <w:rPr/>
      </w:pPr>
      <w:r>
        <w:rPr/>
      </w:r>
    </w:p>
    <w:p>
      <w:pPr>
        <w:pStyle w:val="Normal"/>
        <w:rPr/>
      </w:pPr>
      <w:r>
        <w:rPr>
          <w:u w:val="single"/>
        </w:rPr>
        <w:t>Standard</w:t>
      </w:r>
      <w:r>
        <w:rPr/>
        <w:t>: Data/process owners and asset custodians are required to configure systems to terminate sessions and require users to re-authenticate to re-activate a terminal or session if a session has been idle for more than fifteen (15) minutes.</w:t>
      </w:r>
    </w:p>
    <w:p>
      <w:pPr>
        <w:pStyle w:val="Normal"/>
        <w:rPr/>
      </w:pPr>
      <w:r>
        <w:rPr/>
      </w:r>
    </w:p>
    <w:p>
      <w:pPr>
        <w:pStyle w:val="Normal"/>
        <w:rPr/>
      </w:pPr>
      <w:r>
        <w:rPr>
          <w:u w:val="single"/>
        </w:rPr>
        <w:t>Guidelines</w:t>
      </w:r>
      <w:r>
        <w:rPr/>
        <w:t xml:space="preserve">: This applies to both internal and external networks and local and remote connections. </w:t>
      </w:r>
    </w:p>
    <w:p>
      <w:pPr>
        <w:pStyle w:val="Normal"/>
        <w:rPr/>
      </w:pPr>
      <w:r>
        <w:rPr/>
      </w:r>
    </w:p>
    <w:p>
      <w:pPr>
        <w:pStyle w:val="Normal"/>
        <w:rPr/>
      </w:pPr>
      <w:r>
        <w:rPr/>
      </w:r>
    </w:p>
    <w:p>
      <w:pPr>
        <w:pStyle w:val="Heading2"/>
        <w:rPr/>
      </w:pPr>
      <w:bookmarkStart w:id="1430" w:name="_Toc474075163"/>
      <w:bookmarkStart w:id="1431" w:name="_Toc474075712"/>
      <w:bookmarkStart w:id="1432" w:name="_Toc34921085"/>
      <w:r>
        <w:rPr/>
        <w:t>NET-08: Network Intrusion Detection &amp; Prevention Systems (NIDS / NIPS)</w:t>
      </w:r>
      <w:bookmarkEnd w:id="1430"/>
      <w:bookmarkEnd w:id="1431"/>
      <w:bookmarkEnd w:id="1432"/>
    </w:p>
    <w:p>
      <w:pPr>
        <w:pStyle w:val="Normal"/>
        <w:rPr/>
      </w:pPr>
      <w:r>
        <w:rPr>
          <w:u w:val="single"/>
        </w:rPr>
        <w:t>Control Objective</w:t>
      </w:r>
      <w:r>
        <w:rPr/>
        <w:t>: The organization utilizes network-based intrusion detection and / or intrusion prevention (NIDS / NIPS) technologies to detect and / or prevent intrusions into the network.</w:t>
      </w:r>
      <w:r>
        <w:rPr>
          <w:rStyle w:val="FootnoteCharacters"/>
          <w:rFonts w:cs="Calibri"/>
        </w:rPr>
        <w:t xml:space="preserve"> </w:t>
      </w:r>
    </w:p>
    <w:p>
      <w:pPr>
        <w:pStyle w:val="Normal"/>
        <w:rPr/>
      </w:pPr>
      <w:r>
        <w:rPr/>
      </w:r>
    </w:p>
    <w:p>
      <w:pPr>
        <w:pStyle w:val="Normal"/>
        <w:rPr/>
      </w:pPr>
      <w:r>
        <w:rPr>
          <w:u w:val="single"/>
        </w:rPr>
        <w:t>Standard</w:t>
      </w:r>
      <w:r>
        <w:rPr/>
        <w:t>: NFCC requires the use of Network Intrusion Detection Systems (NIDS) and / or Intrusion Prevention Systems (NIPS) to:</w:t>
      </w:r>
      <w:r>
        <w:rPr>
          <w:rStyle w:val="FootnoteCharacters"/>
          <w:rFonts w:cs="Calibri"/>
        </w:rPr>
        <w:t xml:space="preserve"> </w:t>
      </w:r>
    </w:p>
    <w:p>
      <w:pPr>
        <w:pStyle w:val="ListParagraph"/>
        <w:numPr>
          <w:ilvl w:val="0"/>
          <w:numId w:val="414"/>
        </w:numPr>
        <w:rPr/>
      </w:pPr>
      <w:r>
        <w:rPr/>
        <w:t>Prevent intrusions into the network;</w:t>
      </w:r>
    </w:p>
    <w:p>
      <w:pPr>
        <w:pStyle w:val="ListParagraph"/>
        <w:numPr>
          <w:ilvl w:val="0"/>
          <w:numId w:val="414"/>
        </w:numPr>
        <w:rPr/>
      </w:pPr>
      <w:r>
        <w:rPr/>
        <w:t xml:space="preserve">Monitor all traffic at the perimeter of the network, as well as at critical points in the network; </w:t>
      </w:r>
    </w:p>
    <w:p>
      <w:pPr>
        <w:pStyle w:val="ListParagraph"/>
        <w:numPr>
          <w:ilvl w:val="0"/>
          <w:numId w:val="414"/>
        </w:numPr>
        <w:rPr/>
      </w:pPr>
      <w:r>
        <w:rPr/>
        <w:t>Alert personnel to suspected compromises within the network; and</w:t>
      </w:r>
    </w:p>
    <w:p>
      <w:pPr>
        <w:pStyle w:val="ListParagraph"/>
        <w:numPr>
          <w:ilvl w:val="0"/>
          <w:numId w:val="414"/>
        </w:numPr>
        <w:rPr/>
      </w:pPr>
      <w:r>
        <w:rPr/>
        <w:t>Keep all intrusion-detection and prevention engines, baselines and signatures up-to-date.</w:t>
      </w:r>
    </w:p>
    <w:p>
      <w:pPr>
        <w:pStyle w:val="ListParagraph"/>
        <w:rPr/>
      </w:pPr>
      <w:r>
        <w:rPr/>
      </w:r>
    </w:p>
    <w:p>
      <w:pPr>
        <w:pStyle w:val="Normal"/>
        <w:rPr>
          <w:b/>
          <w:b/>
        </w:rPr>
      </w:pPr>
      <w:r>
        <w:rPr>
          <w:u w:val="single"/>
        </w:rPr>
        <w:t>Guidelines</w:t>
      </w:r>
      <w:r>
        <w:rPr/>
        <w:t>: Intrusion detection and / or intrusion prevention techniques (such as IDS / IPS) compare the traffic coming into the network with known “signatures” and / or behaviors of thousands of compromise types (hacker tools, Trojans and other malware) and send alerts and / or stop the attempt as it happens. Without a proactive approach to unauthorized activity detection, attacks on (or misuse of) computer resources could go unnoticed in real time. Security alerts generated by these techniques should be monitored so that the attempted intrusions can be stopped.</w:t>
      </w:r>
    </w:p>
    <w:p>
      <w:pPr>
        <w:pStyle w:val="Normal"/>
        <w:rPr/>
      </w:pPr>
      <w:r>
        <w:rPr/>
      </w:r>
    </w:p>
    <w:p>
      <w:pPr>
        <w:pStyle w:val="Normal"/>
        <w:rPr/>
      </w:pPr>
      <w:r>
        <w:rPr/>
        <w:t>Network-based IPS devices should be deployed to complement IDS by blocking known bad signatures or the behavior of potential attacks. As attacks become automated, methods such as IDS typically delay the amount of time it takes for someone to react to attack. A properly configured network-based IPS can provide automation to block bad traffic. When evaluating network-based IPS products, include those using techniques other than signature-based detection (such as virtual machine or sandbox-based approaches) for consideration.</w:t>
      </w:r>
    </w:p>
    <w:p>
      <w:pPr>
        <w:pStyle w:val="Normal"/>
        <w:rPr/>
      </w:pPr>
      <w:r>
        <w:rPr/>
      </w:r>
    </w:p>
    <w:p>
      <w:pPr>
        <w:pStyle w:val="Heading3"/>
        <w:rPr/>
      </w:pPr>
      <w:bookmarkStart w:id="1433" w:name="_Toc474075164"/>
      <w:bookmarkStart w:id="1434" w:name="_Toc34921086"/>
      <w:r>
        <w:rPr/>
        <w:t>NET-08(a): Network Intrusion Detection &amp; Prevention Systems (NIDS / NIPS) | DMZ Networks</w:t>
      </w:r>
      <w:bookmarkEnd w:id="1433"/>
      <w:bookmarkEnd w:id="1434"/>
      <w:r>
        <w:rPr/>
        <w:t xml:space="preserve"> </w:t>
      </w:r>
    </w:p>
    <w:p>
      <w:pPr>
        <w:pStyle w:val="Normal"/>
        <w:rPr/>
      </w:pPr>
      <w:r>
        <w:rPr>
          <w:u w:val="single"/>
        </w:rPr>
        <w:t>Control Objective</w:t>
      </w:r>
      <w:r>
        <w:rPr/>
        <w:t>: The organization deploys network-based Intrusion Detection / Prevention Systems (NIDS / NIPS) sensors to monitor De-Militarized Zone (DMZ) network segments.</w:t>
      </w:r>
      <w:r>
        <w:rPr>
          <w:rStyle w:val="FootnoteCharacters"/>
          <w:rFonts w:cs="Calibri"/>
        </w:rPr>
        <w:t xml:space="preserve"> </w:t>
      </w:r>
    </w:p>
    <w:p>
      <w:pPr>
        <w:pStyle w:val="Normal"/>
        <w:rPr/>
      </w:pPr>
      <w:r>
        <w:rPr/>
      </w:r>
    </w:p>
    <w:p>
      <w:pPr>
        <w:pStyle w:val="Normal"/>
        <w:rPr/>
      </w:pPr>
      <w:r>
        <w:rPr>
          <w:u w:val="single"/>
        </w:rPr>
        <w:t>Standard</w:t>
      </w:r>
      <w:r>
        <w:rPr/>
        <w:t xml:space="preserve">: Network administrators are required to deploy Network-based Intrusion Detection / Prevention Systems (NIDS / NIPS) on Internet and extranet DMZ network segments and networks that look for unusual attack mechanisms and detect compromise of these systems. </w:t>
      </w:r>
    </w:p>
    <w:p>
      <w:pPr>
        <w:pStyle w:val="Normal"/>
        <w:rPr/>
      </w:pPr>
      <w:r>
        <w:rPr/>
      </w:r>
    </w:p>
    <w:p>
      <w:pPr>
        <w:pStyle w:val="Normal"/>
        <w:rPr/>
      </w:pPr>
      <w:r>
        <w:rPr>
          <w:u w:val="single"/>
        </w:rPr>
        <w:t>Guidelines</w:t>
      </w:r>
      <w:r>
        <w:rPr/>
        <w:t>: Network-based IDS / IPS sensors may detect attacks through the use of signatures, network behavior analysis or other mechanisms to analyze traffic.</w:t>
      </w:r>
    </w:p>
    <w:p>
      <w:pPr>
        <w:pStyle w:val="Normal"/>
        <w:rPr/>
      </w:pPr>
      <w:r>
        <w:rPr/>
      </w:r>
    </w:p>
    <w:p>
      <w:pPr>
        <w:pStyle w:val="Heading3"/>
        <w:rPr/>
      </w:pPr>
      <w:bookmarkStart w:id="1435" w:name="_Toc474075165"/>
      <w:bookmarkStart w:id="1436" w:name="_Toc34921087"/>
      <w:r>
        <w:rPr/>
        <w:t>NET-08(b): Network Intrusion Detection &amp; Prevention Systems (NIDS / NIPS) | Wireless Intrusion Detection / Prevention Systems (WIDS / WIPS)</w:t>
      </w:r>
      <w:bookmarkEnd w:id="1435"/>
      <w:bookmarkEnd w:id="1436"/>
      <w:r>
        <w:rPr/>
        <w:t xml:space="preserve"> </w:t>
      </w:r>
    </w:p>
    <w:p>
      <w:pPr>
        <w:pStyle w:val="Normal"/>
        <w:rPr/>
      </w:pPr>
      <w:r>
        <w:rPr>
          <w:u w:val="single"/>
        </w:rPr>
        <w:t>Control Objective</w:t>
      </w:r>
      <w:r>
        <w:rPr/>
        <w:t>: The organization deploys network-based Intrusion Detection / Prevention Systems (NIDS / NIPS) sensors to monitor wireless network segments.</w:t>
      </w:r>
      <w:r>
        <w:rPr>
          <w:rStyle w:val="FootnoteCharacters"/>
          <w:rFonts w:cs="Calibri"/>
        </w:rPr>
        <w:t xml:space="preserve"> </w:t>
      </w:r>
    </w:p>
    <w:p>
      <w:pPr>
        <w:pStyle w:val="Normal"/>
        <w:rPr/>
      </w:pPr>
      <w:r>
        <w:rPr/>
      </w:r>
    </w:p>
    <w:p>
      <w:pPr>
        <w:pStyle w:val="Normal"/>
        <w:rPr/>
      </w:pPr>
      <w:r>
        <w:rPr>
          <w:u w:val="single"/>
        </w:rPr>
        <w:t>Standard</w:t>
      </w:r>
      <w:r>
        <w:rPr/>
        <w:t>: Network administrators are required to deploy network-based Intrusion Detection / Prevention Systems (NIDS / NIPS) sensors on wireless network segments to identify:</w:t>
      </w:r>
    </w:p>
    <w:p>
      <w:pPr>
        <w:pStyle w:val="ListParagraph"/>
        <w:numPr>
          <w:ilvl w:val="0"/>
          <w:numId w:val="415"/>
        </w:numPr>
        <w:rPr/>
      </w:pPr>
      <w:r>
        <w:rPr/>
        <w:t>Rogue wireless devices; and</w:t>
      </w:r>
    </w:p>
    <w:p>
      <w:pPr>
        <w:pStyle w:val="ListParagraph"/>
        <w:numPr>
          <w:ilvl w:val="0"/>
          <w:numId w:val="415"/>
        </w:numPr>
        <w:rPr/>
      </w:pPr>
      <w:r>
        <w:rPr/>
        <w:t xml:space="preserve">Attacks coming from the wireless network(s). </w:t>
      </w:r>
    </w:p>
    <w:p>
      <w:pPr>
        <w:pStyle w:val="Normal"/>
        <w:rPr/>
      </w:pPr>
      <w:r>
        <w:rPr/>
      </w:r>
    </w:p>
    <w:p>
      <w:pPr>
        <w:pStyle w:val="Normal"/>
        <w:rPr/>
      </w:pPr>
      <w:r>
        <w:rPr>
          <w:u w:val="single"/>
        </w:rPr>
        <w:t>Guidelines</w:t>
      </w:r>
      <w:r>
        <w:rPr/>
        <w:t>: All wireless traffic should be monitored as traffic passes into the wired network.</w:t>
      </w:r>
    </w:p>
    <w:p>
      <w:pPr>
        <w:pStyle w:val="Normal"/>
        <w:rPr/>
      </w:pPr>
      <w:r>
        <w:rPr/>
      </w:r>
    </w:p>
    <w:p>
      <w:pPr>
        <w:pStyle w:val="Normal"/>
        <w:rPr/>
      </w:pPr>
      <w:r>
        <w:rPr/>
      </w:r>
    </w:p>
    <w:p>
      <w:pPr>
        <w:pStyle w:val="Heading2"/>
        <w:rPr/>
      </w:pPr>
      <w:bookmarkStart w:id="1437" w:name="_Toc474075166"/>
      <w:bookmarkStart w:id="1438" w:name="_Toc474075713"/>
      <w:bookmarkStart w:id="1439" w:name="_Toc34921088"/>
      <w:r>
        <w:rPr/>
        <w:t>NET-09: Session Authenticity</w:t>
      </w:r>
      <w:bookmarkEnd w:id="1437"/>
      <w:bookmarkEnd w:id="1438"/>
      <w:bookmarkEnd w:id="1439"/>
      <w:r>
        <w:rPr/>
        <w:t xml:space="preserve"> </w:t>
      </w:r>
    </w:p>
    <w:p>
      <w:pPr>
        <w:pStyle w:val="Normal"/>
        <w:rPr/>
      </w:pPr>
      <w:r>
        <w:rPr>
          <w:u w:val="single"/>
        </w:rPr>
        <w:t>Control Objective</w:t>
      </w:r>
      <w:r>
        <w:rPr/>
        <w:t>: Systems provide mechanisms to protect the authenticity of communications sessions.</w:t>
      </w:r>
      <w:r>
        <w:rPr>
          <w:rStyle w:val="FootnoteAnchor"/>
          <w:rStyle w:val="FootnoteAnchor"/>
          <w:rFonts w:cs="Calibri"/>
        </w:rPr>
        <w:footnoteReference w:id="459"/>
      </w:r>
    </w:p>
    <w:p>
      <w:pPr>
        <w:pStyle w:val="Normal"/>
        <w:rPr/>
      </w:pPr>
      <w:r>
        <w:rPr/>
      </w:r>
    </w:p>
    <w:p>
      <w:pPr>
        <w:pStyle w:val="Normal"/>
        <w:rPr/>
      </w:pPr>
      <w:r>
        <w:rPr>
          <w:u w:val="single"/>
        </w:rPr>
        <w:t>Standard</w:t>
      </w:r>
      <w:r>
        <w:rPr/>
        <w:t>: Where technically feasible and justified by a valid business case, NFCC is required to implement authenticity protection mechanisms to protect the integrity of session communications.</w:t>
      </w:r>
    </w:p>
    <w:p>
      <w:pPr>
        <w:pStyle w:val="Normal"/>
        <w:rPr/>
      </w:pPr>
      <w:r>
        <w:rPr/>
      </w:r>
    </w:p>
    <w:p>
      <w:pPr>
        <w:pStyle w:val="Normal"/>
        <w:rPr/>
      </w:pPr>
      <w:r>
        <w:rPr>
          <w:u w:val="single"/>
        </w:rPr>
        <w:t>Guidelines</w:t>
      </w:r>
      <w:r>
        <w:rPr/>
        <w:t>: This standard addresses communications protection at the session, versus packet level (e.g., sessions in service-oriented architectures providing web-based services) and establishes grounds for confidence at both ends of communications sessions in ongoing identities of other parties and in the validity of information transmitted. Authenticity protection includes, for example, protecting against man-in-the-middle attacks / session hijacking and the insertion of false information into sessions.</w:t>
      </w:r>
    </w:p>
    <w:p>
      <w:pPr>
        <w:pStyle w:val="Normal"/>
        <w:rPr/>
      </w:pPr>
      <w:r>
        <w:rPr/>
      </w:r>
    </w:p>
    <w:p>
      <w:pPr>
        <w:pStyle w:val="Heading3"/>
        <w:rPr/>
      </w:pPr>
      <w:bookmarkStart w:id="1440" w:name="_Toc23242177"/>
      <w:bookmarkStart w:id="1441" w:name="_Toc34921089"/>
      <w:r>
        <w:rPr/>
        <w:t>NET-09(a): Session Authenticity | Invalidate Session Identifiers at Logout</w:t>
      </w:r>
      <w:bookmarkEnd w:id="1440"/>
      <w:bookmarkEnd w:id="1441"/>
      <w:r>
        <w:rPr/>
        <w:t xml:space="preserve"> </w:t>
      </w:r>
    </w:p>
    <w:p>
      <w:pPr>
        <w:pStyle w:val="Normal"/>
        <w:rPr/>
      </w:pPr>
      <w:r>
        <w:rPr>
          <w:rFonts w:cs="Calibri"/>
          <w:u w:val="single"/>
        </w:rPr>
        <w:t>Control Objective</w:t>
      </w:r>
      <w:r>
        <w:rPr>
          <w:rFonts w:cs="Calibri"/>
        </w:rPr>
        <w:t xml:space="preserve">: </w:t>
      </w:r>
      <w:r>
        <w:rPr/>
        <w:t>The information system invalidates session identifiers upon user logout or other session termination.</w:t>
      </w:r>
      <w:r>
        <w:rPr>
          <w:rStyle w:val="FootnoteAnchor"/>
          <w:rStyle w:val="FootnoteAnchor"/>
          <w:rFonts w:cs="Calibri"/>
        </w:rPr>
        <w:footnoteReference w:id="460"/>
      </w:r>
    </w:p>
    <w:p>
      <w:pPr>
        <w:pStyle w:val="Normal"/>
        <w:rPr>
          <w:rFonts w:cs="Calibri"/>
        </w:rPr>
      </w:pPr>
      <w:r>
        <w:rPr>
          <w:rFonts w:cs="Calibri"/>
        </w:rPr>
      </w:r>
    </w:p>
    <w:p>
      <w:pPr>
        <w:pStyle w:val="Normal"/>
        <w:rPr/>
      </w:pPr>
      <w:r>
        <w:rPr>
          <w:rFonts w:cs="Calibri"/>
          <w:bCs w:val="false"/>
          <w:u w:val="single"/>
        </w:rPr>
        <w:t>Standard</w:t>
      </w:r>
      <w:r>
        <w:rPr>
          <w:rFonts w:cs="Calibri"/>
          <w:bCs w:val="false"/>
        </w:rPr>
        <w:t>:</w:t>
      </w:r>
      <w:r>
        <w:rPr>
          <w:rFonts w:cs="Calibri"/>
        </w:rPr>
        <w:t xml:space="preserve"> Where technically feasible,</w:t>
      </w:r>
      <w:r>
        <w:rPr/>
        <w:t xml:space="preserve"> information systems must be configured to invalidate session identifiers upon user logout or other session termination. </w:t>
      </w:r>
    </w:p>
    <w:p>
      <w:pPr>
        <w:pStyle w:val="Normal"/>
        <w:rPr>
          <w:rFonts w:cs="Calibri"/>
        </w:rPr>
      </w:pPr>
      <w:r>
        <w:rPr>
          <w:rFonts w:cs="Calibri"/>
        </w:rPr>
      </w:r>
    </w:p>
    <w:p>
      <w:pPr>
        <w:pStyle w:val="Normal"/>
        <w:rPr>
          <w:rFonts w:cs="Calibri"/>
        </w:rPr>
      </w:pPr>
      <w:r>
        <w:rPr>
          <w:rFonts w:cs="Calibri"/>
          <w:u w:val="single"/>
        </w:rPr>
        <w:t>Guidelines</w:t>
      </w:r>
      <w:r>
        <w:rPr>
          <w:rFonts w:cs="Calibri"/>
        </w:rPr>
        <w:t xml:space="preserve">: </w:t>
      </w:r>
      <w:r>
        <w:rPr/>
        <w:t>This control enhancement curtails the ability of adversaries from capturing and continuing to employ previously valid session IDs.</w:t>
      </w:r>
      <w:bookmarkStart w:id="1442" w:name="_Hlk27580080"/>
      <w:bookmarkEnd w:id="1442"/>
    </w:p>
    <w:p>
      <w:pPr>
        <w:pStyle w:val="Normal"/>
        <w:rPr/>
      </w:pPr>
      <w:r>
        <w:rPr/>
      </w:r>
    </w:p>
    <w:p>
      <w:pPr>
        <w:pStyle w:val="Normal"/>
        <w:rPr/>
      </w:pPr>
      <w:r>
        <w:rPr/>
      </w:r>
    </w:p>
    <w:p>
      <w:pPr>
        <w:pStyle w:val="Heading2"/>
        <w:rPr/>
      </w:pPr>
      <w:bookmarkStart w:id="1443" w:name="_Toc474075167"/>
      <w:bookmarkStart w:id="1444" w:name="_Toc474075714"/>
      <w:bookmarkStart w:id="1445" w:name="_Toc34921090"/>
      <w:r>
        <w:rPr/>
        <w:t>NET-10: Domain Name Service (DNS) Resolution</w:t>
      </w:r>
      <w:bookmarkEnd w:id="1443"/>
      <w:bookmarkEnd w:id="1444"/>
      <w:bookmarkEnd w:id="1445"/>
      <w:r>
        <w:rPr/>
        <w:t xml:space="preserve"> </w:t>
      </w:r>
    </w:p>
    <w:p>
      <w:pPr>
        <w:pStyle w:val="Normal"/>
        <w:rPr/>
      </w:pPr>
      <w:r>
        <w:rPr>
          <w:u w:val="single"/>
        </w:rPr>
        <w:t>Control Objective</w:t>
      </w:r>
      <w:r>
        <w:rPr/>
        <w:t>: Domain Name Service (DNS) resolution is designed, implemented and managed to ensure the security of name / address resolution.</w:t>
      </w:r>
      <w:r>
        <w:rPr>
          <w:rStyle w:val="FootnoteAnchor"/>
          <w:rStyle w:val="FootnoteAnchor"/>
          <w:rFonts w:cs="Calibri"/>
        </w:rPr>
        <w:footnoteReference w:id="461"/>
      </w:r>
    </w:p>
    <w:p>
      <w:pPr>
        <w:pStyle w:val="Normal"/>
        <w:rPr/>
      </w:pPr>
      <w:r>
        <w:rPr/>
      </w:r>
    </w:p>
    <w:p>
      <w:pPr>
        <w:pStyle w:val="Normal"/>
        <w:rPr/>
      </w:pPr>
      <w:r>
        <w:rPr>
          <w:u w:val="single"/>
        </w:rPr>
        <w:t>Standard</w:t>
      </w:r>
      <w:r>
        <w:rPr/>
        <w:t>: NFCC is required to</w:t>
      </w:r>
    </w:p>
    <w:p>
      <w:pPr>
        <w:pStyle w:val="ListParagraph"/>
        <w:numPr>
          <w:ilvl w:val="0"/>
          <w:numId w:val="416"/>
        </w:numPr>
        <w:rPr/>
      </w:pPr>
      <w:r>
        <w:rPr/>
        <w:t>Use trusted sources for authoritative DNS queries to prevent DNS spoofing attacks; and</w:t>
      </w:r>
    </w:p>
    <w:p>
      <w:pPr>
        <w:pStyle w:val="ListParagraph"/>
        <w:numPr>
          <w:ilvl w:val="0"/>
          <w:numId w:val="416"/>
        </w:numPr>
        <w:rPr/>
      </w:pPr>
      <w:r>
        <w:rPr/>
        <w:t>Enable DNS query logging to detect hostname lookup for known malicious Command &amp; Control (C2) domains.</w:t>
      </w:r>
    </w:p>
    <w:p>
      <w:pPr>
        <w:pStyle w:val="Normal"/>
        <w:rPr/>
      </w:pPr>
      <w:r>
        <w:rPr/>
      </w:r>
    </w:p>
    <w:p>
      <w:pPr>
        <w:pStyle w:val="Normal"/>
        <w:rPr/>
      </w:pPr>
      <w:r>
        <w:rPr>
          <w:u w:val="single"/>
        </w:rPr>
        <w:t>Guidelines</w:t>
      </w:r>
      <w:r>
        <w:rPr/>
        <w:t xml:space="preserve">: Recommended settings for primary and alternate DNS sources include those provided NFCC’s the Internet Service Provider (ISP) or a trusted service provider. This control enables external clients including, for example, remote Internet clients, to obtain origin authentication and integrity verification assurances for the host / service name to network address resolution information obtained through the service. Systems that provide name and address resolution services include, for example, domain name system (DNS) servers. </w:t>
      </w:r>
    </w:p>
    <w:p>
      <w:pPr>
        <w:pStyle w:val="Normal"/>
        <w:rPr/>
      </w:pPr>
      <w:r>
        <w:rPr/>
      </w:r>
    </w:p>
    <w:p>
      <w:pPr>
        <w:pStyle w:val="Normal"/>
        <w:rPr/>
      </w:pPr>
      <w:r>
        <w:rPr/>
        <w:t>Both IPv4 and IPv6 DNS should be addressed:</w:t>
      </w:r>
    </w:p>
    <w:p>
      <w:pPr>
        <w:pStyle w:val="ListParagraph"/>
        <w:numPr>
          <w:ilvl w:val="0"/>
          <w:numId w:val="106"/>
        </w:numPr>
        <w:rPr/>
      </w:pPr>
      <w:r>
        <w:rPr/>
        <w:t>IPv4: The Google Public DNS IP addresses (IPv4) are as follows:</w:t>
      </w:r>
      <w:r>
        <w:rPr>
          <w:rStyle w:val="FootnoteAnchor"/>
          <w:rStyle w:val="FootnoteAnchor"/>
          <w:rFonts w:cs="Calibri"/>
        </w:rPr>
        <w:footnoteReference w:id="462"/>
      </w:r>
    </w:p>
    <w:p>
      <w:pPr>
        <w:pStyle w:val="ListParagraph"/>
        <w:numPr>
          <w:ilvl w:val="1"/>
          <w:numId w:val="106"/>
        </w:numPr>
        <w:rPr/>
      </w:pPr>
      <w:r>
        <w:rPr/>
        <w:t>8.8.8.8</w:t>
      </w:r>
    </w:p>
    <w:p>
      <w:pPr>
        <w:pStyle w:val="ListParagraph"/>
        <w:numPr>
          <w:ilvl w:val="1"/>
          <w:numId w:val="106"/>
        </w:numPr>
        <w:rPr/>
      </w:pPr>
      <w:r>
        <w:rPr/>
        <w:t>8.8.4.4</w:t>
      </w:r>
    </w:p>
    <w:p>
      <w:pPr>
        <w:pStyle w:val="ListParagraph"/>
        <w:numPr>
          <w:ilvl w:val="0"/>
          <w:numId w:val="106"/>
        </w:numPr>
        <w:rPr/>
      </w:pPr>
      <w:r>
        <w:rPr/>
        <w:t>IPV6: The Google Public DNS IPv6 addresses are as follows:</w:t>
      </w:r>
    </w:p>
    <w:p>
      <w:pPr>
        <w:pStyle w:val="ListParagraph"/>
        <w:numPr>
          <w:ilvl w:val="1"/>
          <w:numId w:val="106"/>
        </w:numPr>
        <w:rPr/>
      </w:pPr>
      <w:r>
        <w:rPr/>
        <w:t>2001:4860:4860::8888</w:t>
      </w:r>
    </w:p>
    <w:p>
      <w:pPr>
        <w:pStyle w:val="ListParagraph"/>
        <w:numPr>
          <w:ilvl w:val="1"/>
          <w:numId w:val="106"/>
        </w:numPr>
        <w:rPr/>
      </w:pPr>
      <w:r>
        <w:rPr/>
        <w:t>2001:4860:4860::8844</w:t>
      </w:r>
    </w:p>
    <w:p>
      <w:pPr>
        <w:pStyle w:val="Normal"/>
        <w:rPr/>
      </w:pPr>
      <w:r>
        <w:rPr/>
      </w:r>
    </w:p>
    <w:p>
      <w:pPr>
        <w:pStyle w:val="Heading3"/>
        <w:rPr/>
      </w:pPr>
      <w:bookmarkStart w:id="1446" w:name="_Toc474075168"/>
      <w:bookmarkStart w:id="1447" w:name="_Toc34921091"/>
      <w:r>
        <w:rPr/>
        <w:t>NET-10(a): Domain Name Service (DNS) Resolution | Architecture &amp; Provisioning For Name / Address Resolution Service</w:t>
      </w:r>
      <w:bookmarkEnd w:id="1446"/>
      <w:bookmarkEnd w:id="1447"/>
    </w:p>
    <w:p>
      <w:pPr>
        <w:pStyle w:val="Normal"/>
        <w:rPr/>
      </w:pPr>
      <w:r>
        <w:rPr>
          <w:u w:val="single"/>
        </w:rPr>
        <w:t>Control Objective</w:t>
      </w:r>
      <w:r>
        <w:rPr/>
        <w:t>: Systems that collectively provide name / address resolution service for the organization are fault-tolerant and implement internal / external role separation.</w:t>
      </w:r>
      <w:r>
        <w:rPr>
          <w:rStyle w:val="FootnoteAnchor"/>
          <w:rStyle w:val="FootnoteAnchor"/>
          <w:rFonts w:cs="Calibri"/>
        </w:rPr>
        <w:footnoteReference w:id="463"/>
      </w:r>
    </w:p>
    <w:p>
      <w:pPr>
        <w:pStyle w:val="Normal"/>
        <w:rPr/>
      </w:pPr>
      <w:r>
        <w:rPr/>
      </w:r>
    </w:p>
    <w:p>
      <w:pPr>
        <w:pStyle w:val="Normal"/>
        <w:rPr/>
      </w:pPr>
      <w:r>
        <w:rPr>
          <w:u w:val="single"/>
        </w:rPr>
        <w:t>Standard</w:t>
      </w:r>
      <w:r>
        <w:rPr/>
        <w:t>: Asset custodians responsible for Domain Name System (DNS) are required to:</w:t>
      </w:r>
    </w:p>
    <w:p>
      <w:pPr>
        <w:pStyle w:val="ListParagraph"/>
        <w:numPr>
          <w:ilvl w:val="0"/>
          <w:numId w:val="417"/>
        </w:numPr>
        <w:rPr/>
      </w:pPr>
      <w:r>
        <w:rPr/>
        <w:t>Ensure DNS Servers providing name / address resolution service are fault tolerant and implement internal / external role separation;</w:t>
      </w:r>
    </w:p>
    <w:p>
      <w:pPr>
        <w:pStyle w:val="ListParagraph"/>
        <w:numPr>
          <w:ilvl w:val="0"/>
          <w:numId w:val="417"/>
        </w:numPr>
        <w:rPr/>
      </w:pPr>
      <w:r>
        <w:rPr/>
        <w:t>Ensure primary and secondary authoritative DNS servers are on separate subnets at separate locations;</w:t>
      </w:r>
    </w:p>
    <w:p>
      <w:pPr>
        <w:pStyle w:val="ListParagraph"/>
        <w:numPr>
          <w:ilvl w:val="0"/>
          <w:numId w:val="417"/>
        </w:numPr>
        <w:rPr/>
      </w:pPr>
      <w:r>
        <w:rPr/>
        <w:t>Ensure DNS servers with an internal role only process name / address resolution requests from internal clients; and</w:t>
      </w:r>
    </w:p>
    <w:p>
      <w:pPr>
        <w:pStyle w:val="ListParagraph"/>
        <w:numPr>
          <w:ilvl w:val="0"/>
          <w:numId w:val="417"/>
        </w:numPr>
        <w:rPr/>
      </w:pPr>
      <w:r>
        <w:rPr/>
        <w:t>Ensure DNS servers with an external role only process name / address resolution requests from external clients.</w:t>
      </w:r>
    </w:p>
    <w:p>
      <w:pPr>
        <w:pStyle w:val="Normal"/>
        <w:rPr/>
      </w:pPr>
      <w:r>
        <w:rPr/>
      </w:r>
    </w:p>
    <w:p>
      <w:pPr>
        <w:pStyle w:val="Normal"/>
        <w:rPr/>
      </w:pPr>
      <w:r>
        <w:rPr>
          <w:u w:val="single"/>
        </w:rPr>
        <w:t>Guidelines</w:t>
      </w:r>
      <w:r>
        <w:rPr/>
        <w:t xml:space="preserve">: Systems that provide name and address resolution services include, for example, domain name system (DNS) servers. To eliminate single points of failure and to enhance redundancy, organizations employ at least two authoritative domain name system servers, one configured as the primary server and the other configured as the secondary server. Additionally, organizations typically deploy the servers in two geographically-separated network subnetworks (e.g., not located in the same physical facility). For role separation, DNS servers with internal roles only process name and address resolution requests from within organizations (e.g., from internal clients). DNS servers with external roles only process name and address resolution information requests from clients external to organizations (e.g., on external networks including the Internet). Organizations specify clients that can access authoritative DNS servers in particular roles (e.g., by address ranges, explicit lists). </w:t>
      </w:r>
    </w:p>
    <w:p>
      <w:pPr>
        <w:pStyle w:val="Normal"/>
        <w:rPr/>
      </w:pPr>
      <w:r>
        <w:rPr/>
      </w:r>
    </w:p>
    <w:p>
      <w:pPr>
        <w:pStyle w:val="Heading3"/>
        <w:rPr/>
      </w:pPr>
      <w:bookmarkStart w:id="1448" w:name="_Toc474075169"/>
      <w:bookmarkStart w:id="1449" w:name="_Toc34921092"/>
      <w:r>
        <w:rPr/>
        <w:t>NET-10(b): Domain Name Service (DNS) Resolution | Secure Name / Address Resolution Service (Recursive or Caching Resolver)</w:t>
      </w:r>
      <w:bookmarkEnd w:id="1448"/>
      <w:bookmarkEnd w:id="1449"/>
    </w:p>
    <w:p>
      <w:pPr>
        <w:pStyle w:val="Normal"/>
        <w:rPr/>
      </w:pPr>
      <w:r>
        <w:rPr>
          <w:u w:val="single"/>
        </w:rPr>
        <w:t>Control Objective</w:t>
      </w:r>
      <w:r>
        <w:rPr/>
        <w:t>: Systems perform data origin authentication and data integrity verification on the name / address resolution responses the system receives from authoritative sources when requested by client systems.</w:t>
      </w:r>
      <w:r>
        <w:rPr>
          <w:rStyle w:val="FootnoteAnchor"/>
          <w:rStyle w:val="FootnoteAnchor"/>
          <w:rFonts w:cs="Calibri"/>
        </w:rPr>
        <w:footnoteReference w:id="464"/>
      </w:r>
    </w:p>
    <w:p>
      <w:pPr>
        <w:pStyle w:val="Normal"/>
        <w:rPr/>
      </w:pPr>
      <w:r>
        <w:rPr/>
      </w:r>
    </w:p>
    <w:p>
      <w:pPr>
        <w:pStyle w:val="Normal"/>
        <w:rPr/>
      </w:pPr>
      <w:r>
        <w:rPr>
          <w:u w:val="single"/>
        </w:rPr>
        <w:t>Standard</w:t>
      </w:r>
      <w:r>
        <w:rPr/>
        <w:t xml:space="preserve">: Asset custodians are required to configure internal DNS queries to use recursive or cached name resolution. </w:t>
      </w:r>
    </w:p>
    <w:p>
      <w:pPr>
        <w:pStyle w:val="Normal"/>
        <w:rPr/>
      </w:pPr>
      <w:r>
        <w:rPr/>
      </w:r>
    </w:p>
    <w:p>
      <w:pPr>
        <w:pStyle w:val="Normal"/>
        <w:rPr/>
      </w:pPr>
      <w:r>
        <w:rPr>
          <w:u w:val="single"/>
        </w:rPr>
        <w:t>Guidelines</w:t>
      </w:r>
      <w:r>
        <w:rPr/>
        <w:t xml:space="preserve">: Each client of name resolution services either performs this validation on its own or has authenticated channels to trusted validation providers. Systems that provide name and address resolution services for local clients include, for example, recursive resolving or caching domain name system (DNS) servers. </w:t>
      </w:r>
    </w:p>
    <w:p>
      <w:pPr>
        <w:pStyle w:val="Normal"/>
        <w:rPr/>
      </w:pPr>
      <w:r>
        <w:rPr/>
      </w:r>
    </w:p>
    <w:p>
      <w:pPr>
        <w:pStyle w:val="Normal"/>
        <w:rPr/>
      </w:pPr>
      <w:r>
        <w:rPr/>
      </w:r>
    </w:p>
    <w:p>
      <w:pPr>
        <w:pStyle w:val="Heading2"/>
        <w:rPr/>
      </w:pPr>
      <w:bookmarkStart w:id="1450" w:name="_Toc474075170"/>
      <w:bookmarkStart w:id="1451" w:name="_Toc474075715"/>
      <w:bookmarkStart w:id="1452" w:name="_Toc34921093"/>
      <w:r>
        <w:rPr/>
        <w:t>NET-11: Out-of-Band Channels</w:t>
      </w:r>
      <w:bookmarkEnd w:id="1450"/>
      <w:bookmarkEnd w:id="1451"/>
      <w:bookmarkEnd w:id="1452"/>
      <w:r>
        <w:rPr/>
        <w:t xml:space="preserve"> </w:t>
      </w:r>
    </w:p>
    <w:p>
      <w:pPr>
        <w:pStyle w:val="Normal"/>
        <w:rPr/>
      </w:pPr>
      <w:r>
        <w:rPr>
          <w:u w:val="single"/>
        </w:rPr>
        <w:t>Control Objective</w:t>
      </w:r>
      <w:r>
        <w:rPr/>
        <w:t>: The organization employs organization-defined out-of-band channels for the physical delivery or electronic transmission of information, system components or devices to authorized individuals.</w:t>
      </w:r>
      <w:r>
        <w:rPr>
          <w:rStyle w:val="FootnoteAnchor"/>
          <w:rStyle w:val="FootnoteAnchor"/>
        </w:rPr>
        <w:footnoteReference w:id="465"/>
      </w:r>
    </w:p>
    <w:p>
      <w:pPr>
        <w:pStyle w:val="Normal"/>
        <w:rPr/>
      </w:pPr>
      <w:r>
        <w:rPr/>
      </w:r>
    </w:p>
    <w:p>
      <w:pPr>
        <w:pStyle w:val="Normal"/>
        <w:rPr/>
      </w:pPr>
      <w:r>
        <w:rPr>
          <w:u w:val="single"/>
        </w:rPr>
        <w:t>Standard</w:t>
      </w:r>
      <w:r>
        <w:rPr/>
        <w:t>: Data/process owners and asset custodians are required to employ security safeguards to ensure that only authorized individuals receive information, system components or devices through out-of-band channel delivery.</w:t>
      </w:r>
    </w:p>
    <w:p>
      <w:pPr>
        <w:pStyle w:val="Normal"/>
        <w:rPr/>
      </w:pPr>
      <w:r>
        <w:rPr/>
      </w:r>
    </w:p>
    <w:p>
      <w:pPr>
        <w:pStyle w:val="Normal"/>
        <w:rPr/>
      </w:pPr>
      <w:r>
        <w:rPr>
          <w:u w:val="single"/>
        </w:rPr>
        <w:t>Guidelines</w:t>
      </w:r>
      <w:r>
        <w:rPr/>
        <w:t>: Out-of-band channels include, for example, local (non-network) accesses to systems, network paths physically separate from network paths used for operational traffic or non-electronic paths such as FedEx, UPS or the US Postal Service.</w:t>
      </w:r>
    </w:p>
    <w:p>
      <w:pPr>
        <w:pStyle w:val="Normal"/>
        <w:rPr/>
      </w:pPr>
      <w:r>
        <w:rPr/>
      </w:r>
    </w:p>
    <w:p>
      <w:pPr>
        <w:pStyle w:val="Normal"/>
        <w:rPr/>
      </w:pPr>
      <w:r>
        <w:rPr/>
      </w:r>
    </w:p>
    <w:p>
      <w:pPr>
        <w:pStyle w:val="Heading2"/>
        <w:rPr/>
      </w:pPr>
      <w:bookmarkStart w:id="1453" w:name="_Toc474075171"/>
      <w:bookmarkStart w:id="1454" w:name="_Toc474075716"/>
      <w:bookmarkStart w:id="1455" w:name="_Toc34921094"/>
      <w:r>
        <w:rPr/>
        <w:t>NET-12: Safeguarding Data Over Open Networks</w:t>
      </w:r>
      <w:bookmarkEnd w:id="1453"/>
      <w:bookmarkEnd w:id="1454"/>
      <w:bookmarkEnd w:id="1455"/>
      <w:r>
        <w:rPr/>
        <w:t xml:space="preserve"> </w:t>
      </w:r>
    </w:p>
    <w:p>
      <w:pPr>
        <w:pStyle w:val="Normal"/>
        <w:rPr/>
      </w:pPr>
      <w:r>
        <w:rPr>
          <w:u w:val="single"/>
        </w:rPr>
        <w:t>Control Objective</w:t>
      </w:r>
      <w:r>
        <w:rPr/>
        <w:t>: The organization uses strong cryptography and security protocols to safeguard sensitive data during transmission over open, public networks.</w:t>
      </w:r>
      <w:r>
        <w:rPr>
          <w:rStyle w:val="FootnoteCharacters"/>
          <w:rFonts w:cs="Calibri"/>
        </w:rPr>
        <w:t xml:space="preserve"> </w:t>
      </w:r>
      <w:r>
        <w:rPr>
          <w:rStyle w:val="FootnoteAnchor"/>
          <w:rStyle w:val="FootnoteAnchor"/>
          <w:rFonts w:cs="Calibri"/>
        </w:rPr>
        <w:footnoteReference w:id="466"/>
      </w:r>
    </w:p>
    <w:p>
      <w:pPr>
        <w:pStyle w:val="Normal"/>
        <w:rPr/>
      </w:pPr>
      <w:r>
        <w:rPr/>
      </w:r>
    </w:p>
    <w:p>
      <w:pPr>
        <w:pStyle w:val="Normal"/>
        <w:rPr/>
      </w:pPr>
      <w:r>
        <w:rPr>
          <w:u w:val="single"/>
        </w:rPr>
        <w:t>Standard</w:t>
      </w:r>
      <w:r>
        <w:rPr/>
        <w:t>: Data that traverses public networks shall be appropriately classified and protected from fraudulent activity, unauthorized disclosure or modification in such a manner to prevent contract dispute and compromise of data. To safeguard sensitive data during transmission, asset custodians are required to ensure the following:</w:t>
      </w:r>
      <w:r>
        <w:rPr>
          <w:rStyle w:val="FootnoteCharacters"/>
          <w:rFonts w:cs="Calibri"/>
        </w:rPr>
        <w:t xml:space="preserve"> </w:t>
      </w:r>
    </w:p>
    <w:p>
      <w:pPr>
        <w:pStyle w:val="ListParagraph"/>
        <w:numPr>
          <w:ilvl w:val="0"/>
          <w:numId w:val="418"/>
        </w:numPr>
        <w:rPr/>
      </w:pPr>
      <w:r>
        <w:rPr/>
        <w:t>Only trusted keys and certificates are accepted;</w:t>
      </w:r>
    </w:p>
    <w:p>
      <w:pPr>
        <w:pStyle w:val="ListParagraph"/>
        <w:numPr>
          <w:ilvl w:val="0"/>
          <w:numId w:val="418"/>
        </w:numPr>
        <w:rPr/>
      </w:pPr>
      <w:r>
        <w:rPr/>
        <w:t>Strong cryptography and security protocols are used to safeguard sensitive data during transmission over open, public networks. Examples of technologies that support this requirement include, but are not limited to:</w:t>
      </w:r>
    </w:p>
    <w:p>
      <w:pPr>
        <w:pStyle w:val="ListParagraph"/>
        <w:numPr>
          <w:ilvl w:val="1"/>
          <w:numId w:val="418"/>
        </w:numPr>
        <w:rPr/>
      </w:pPr>
      <w:r>
        <w:rPr/>
        <w:t>Transportation Security Layer (TLS);</w:t>
      </w:r>
    </w:p>
    <w:p>
      <w:pPr>
        <w:pStyle w:val="ListParagraph"/>
        <w:numPr>
          <w:ilvl w:val="1"/>
          <w:numId w:val="418"/>
        </w:numPr>
        <w:rPr/>
      </w:pPr>
      <w:r>
        <w:rPr/>
        <w:t>IP Security (IPSEC);</w:t>
      </w:r>
    </w:p>
    <w:p>
      <w:pPr>
        <w:pStyle w:val="ListParagraph"/>
        <w:numPr>
          <w:ilvl w:val="1"/>
          <w:numId w:val="418"/>
        </w:numPr>
        <w:rPr/>
      </w:pPr>
      <w:r>
        <w:rPr/>
        <w:t>Secure Shell (SSH); and</w:t>
      </w:r>
    </w:p>
    <w:p>
      <w:pPr>
        <w:pStyle w:val="ListParagraph"/>
        <w:numPr>
          <w:ilvl w:val="1"/>
          <w:numId w:val="418"/>
        </w:numPr>
        <w:rPr/>
      </w:pPr>
      <w:r>
        <w:rPr/>
        <w:t>Secure File Transfer Protocol (SFTP) / File Transfer Protocol - Secure (FTP-S); and</w:t>
      </w:r>
    </w:p>
    <w:p>
      <w:pPr>
        <w:pStyle w:val="ListParagraph"/>
        <w:numPr>
          <w:ilvl w:val="0"/>
          <w:numId w:val="418"/>
        </w:numPr>
        <w:rPr/>
      </w:pPr>
      <w:r>
        <w:rPr/>
        <w:t>Wireless networks transmitting sensitive data or connected to sensitive networks, use industry-recognized leading practices (e.g., IEEE 802.11i) to implement strong encryption for authentication and transmission.</w:t>
      </w:r>
      <w:r>
        <w:rPr>
          <w:rStyle w:val="FootnoteCharacters"/>
          <w:rFonts w:cs="Calibri"/>
        </w:rPr>
        <w:t xml:space="preserve"> </w:t>
      </w:r>
    </w:p>
    <w:p>
      <w:pPr>
        <w:pStyle w:val="Normal"/>
        <w:rPr/>
      </w:pPr>
      <w:r>
        <w:rPr/>
      </w:r>
    </w:p>
    <w:p>
      <w:pPr>
        <w:pStyle w:val="Normal"/>
        <w:rPr/>
      </w:pPr>
      <w:r>
        <w:rPr>
          <w:u w:val="single"/>
        </w:rPr>
        <w:t>Guidelines</w:t>
      </w:r>
      <w:r>
        <w:rPr/>
        <w:t>: All communication of sensitive information over less-trusted networks should be encrypted. Whenever information flows over a network with a lower trust level, the information should be encrypted. Examples of open, public networks that are in scope of the PCI DSS include but are not limited to:</w:t>
      </w:r>
    </w:p>
    <w:p>
      <w:pPr>
        <w:pStyle w:val="ListParagraph"/>
        <w:numPr>
          <w:ilvl w:val="0"/>
          <w:numId w:val="203"/>
        </w:numPr>
        <w:rPr/>
      </w:pPr>
      <w:r>
        <w:rPr/>
        <w:t>The Internet;</w:t>
      </w:r>
    </w:p>
    <w:p>
      <w:pPr>
        <w:pStyle w:val="ListParagraph"/>
        <w:numPr>
          <w:ilvl w:val="0"/>
          <w:numId w:val="203"/>
        </w:numPr>
        <w:rPr/>
      </w:pPr>
      <w:r>
        <w:rPr/>
        <w:t>Wireless technologies;</w:t>
      </w:r>
    </w:p>
    <w:p>
      <w:pPr>
        <w:pStyle w:val="ListParagraph"/>
        <w:numPr>
          <w:ilvl w:val="0"/>
          <w:numId w:val="203"/>
        </w:numPr>
        <w:rPr/>
      </w:pPr>
      <w:r>
        <w:rPr/>
        <w:t>Global System for Mobile communications (GSM); and</w:t>
      </w:r>
    </w:p>
    <w:p>
      <w:pPr>
        <w:pStyle w:val="ListParagraph"/>
        <w:numPr>
          <w:ilvl w:val="0"/>
          <w:numId w:val="203"/>
        </w:numPr>
        <w:rPr/>
      </w:pPr>
      <w:r>
        <w:rPr/>
        <w:t>General Packet Radio Service (GPRS).</w:t>
      </w:r>
    </w:p>
    <w:p>
      <w:pPr>
        <w:pStyle w:val="Normal"/>
        <w:rPr/>
      </w:pPr>
      <w:r>
        <w:rPr/>
      </w:r>
    </w:p>
    <w:p>
      <w:pPr>
        <w:pStyle w:val="Heading3"/>
        <w:rPr/>
      </w:pPr>
      <w:bookmarkStart w:id="1456" w:name="_Toc474075172"/>
      <w:bookmarkStart w:id="1457" w:name="_Toc34921095"/>
      <w:r>
        <w:rPr/>
        <w:t>NET-12(a): Safeguarding Date Over Open Networks | Wireless Link Protection</w:t>
      </w:r>
      <w:bookmarkEnd w:id="1456"/>
      <w:bookmarkEnd w:id="1457"/>
      <w:r>
        <w:rPr/>
        <w:t xml:space="preserve"> </w:t>
      </w:r>
    </w:p>
    <w:p>
      <w:pPr>
        <w:pStyle w:val="Normal"/>
        <w:rPr/>
      </w:pPr>
      <w:r>
        <w:rPr>
          <w:u w:val="single"/>
        </w:rPr>
        <w:t>Control Objective</w:t>
      </w:r>
      <w:r>
        <w:rPr/>
        <w:t>: The organization:</w:t>
      </w:r>
      <w:r>
        <w:rPr>
          <w:rStyle w:val="FootnoteCharacters"/>
          <w:rFonts w:cs="Calibri"/>
          <w:bCs w:val="false"/>
        </w:rPr>
        <w:t xml:space="preserve"> </w:t>
      </w:r>
      <w:r>
        <w:rPr>
          <w:rStyle w:val="FootnoteAnchor"/>
          <w:rStyle w:val="FootnoteAnchor"/>
          <w:rFonts w:cs="Calibri"/>
          <w:bCs w:val="false"/>
        </w:rPr>
        <w:footnoteReference w:id="467"/>
      </w:r>
    </w:p>
    <w:p>
      <w:pPr>
        <w:pStyle w:val="ListParagraph"/>
        <w:numPr>
          <w:ilvl w:val="0"/>
          <w:numId w:val="155"/>
        </w:numPr>
        <w:rPr/>
      </w:pPr>
      <w:r>
        <w:rPr/>
        <w:t>Protects external and internal wireless links from signal parameter attacks;</w:t>
      </w:r>
    </w:p>
    <w:p>
      <w:pPr>
        <w:pStyle w:val="ListParagraph"/>
        <w:numPr>
          <w:ilvl w:val="0"/>
          <w:numId w:val="155"/>
        </w:numPr>
        <w:rPr/>
      </w:pPr>
      <w:r>
        <w:rPr/>
        <w:t>Monitors for unauthorized wireless connections, including scanning for unauthorized wireless access points; and</w:t>
      </w:r>
    </w:p>
    <w:p>
      <w:pPr>
        <w:pStyle w:val="ListParagraph"/>
        <w:numPr>
          <w:ilvl w:val="0"/>
          <w:numId w:val="155"/>
        </w:numPr>
        <w:rPr/>
      </w:pPr>
      <w:r>
        <w:rPr/>
        <w:t>Takes appropriate action if an unauthorized connection is discovered.</w:t>
      </w:r>
    </w:p>
    <w:p>
      <w:pPr>
        <w:pStyle w:val="Normal"/>
        <w:rPr/>
      </w:pPr>
      <w:r>
        <w:rPr/>
      </w:r>
    </w:p>
    <w:p>
      <w:pPr>
        <w:pStyle w:val="Normal"/>
        <w:rPr/>
      </w:pPr>
      <w:r>
        <w:rPr>
          <w:u w:val="single"/>
        </w:rPr>
        <w:t>Standard</w:t>
      </w:r>
      <w:r>
        <w:rPr/>
        <w:t>: The responsible parties for NFCC’s technology infrastructure are required to:</w:t>
      </w:r>
    </w:p>
    <w:p>
      <w:pPr>
        <w:pStyle w:val="ListParagraph"/>
        <w:numPr>
          <w:ilvl w:val="0"/>
          <w:numId w:val="419"/>
        </w:numPr>
        <w:rPr/>
      </w:pPr>
      <w:r>
        <w:rPr/>
        <w:t>Test for the presence of wireless access points and detect unauthorized wireless access points on a quarterly basis:</w:t>
      </w:r>
    </w:p>
    <w:p>
      <w:pPr>
        <w:pStyle w:val="ListParagraph"/>
        <w:numPr>
          <w:ilvl w:val="1"/>
          <w:numId w:val="419"/>
        </w:numPr>
        <w:rPr/>
      </w:pPr>
      <w:r>
        <w:rPr/>
        <w:t xml:space="preserve"> </w:t>
      </w:r>
      <w:r>
        <w:rPr/>
        <w:t>Methods that may be used in the process include but are not limited to wireless network scans, physical / logical inspections of system components and infrastructure, network access control (NAC) or wireless IDS / IPS; and</w:t>
      </w:r>
    </w:p>
    <w:p>
      <w:pPr>
        <w:pStyle w:val="ListParagraph"/>
        <w:numPr>
          <w:ilvl w:val="1"/>
          <w:numId w:val="419"/>
        </w:numPr>
        <w:rPr/>
      </w:pPr>
      <w:r>
        <w:rPr/>
        <w:t xml:space="preserve"> </w:t>
      </w:r>
      <w:r>
        <w:rPr/>
        <w:t>Whichever methods are used, they must be sufficient to detect and identify any unauthorized devices;</w:t>
      </w:r>
    </w:p>
    <w:p>
      <w:pPr>
        <w:pStyle w:val="ListParagraph"/>
        <w:numPr>
          <w:ilvl w:val="0"/>
          <w:numId w:val="419"/>
        </w:numPr>
        <w:rPr/>
      </w:pPr>
      <w:r>
        <w:rPr/>
        <w:t>Verify that the methodology is adequate to detect and identify any unauthorized wireless access points, including at least the following:</w:t>
      </w:r>
    </w:p>
    <w:p>
      <w:pPr>
        <w:pStyle w:val="ListParagraph"/>
        <w:numPr>
          <w:ilvl w:val="1"/>
          <w:numId w:val="419"/>
        </w:numPr>
        <w:rPr/>
      </w:pPr>
      <w:r>
        <w:rPr/>
        <w:t xml:space="preserve"> </w:t>
      </w:r>
      <w:r>
        <w:rPr/>
        <w:t>WLAN cards inserted into system components;</w:t>
      </w:r>
    </w:p>
    <w:p>
      <w:pPr>
        <w:pStyle w:val="ListParagraph"/>
        <w:numPr>
          <w:ilvl w:val="1"/>
          <w:numId w:val="419"/>
        </w:numPr>
        <w:rPr/>
      </w:pPr>
      <w:r>
        <w:rPr/>
        <w:t xml:space="preserve"> </w:t>
      </w:r>
      <w:r>
        <w:rPr/>
        <w:t>Portable wireless devices connected to system components (e.g., PCMCIA card, USB, etc.); and</w:t>
      </w:r>
    </w:p>
    <w:p>
      <w:pPr>
        <w:pStyle w:val="ListParagraph"/>
        <w:numPr>
          <w:ilvl w:val="1"/>
          <w:numId w:val="419"/>
        </w:numPr>
        <w:rPr/>
      </w:pPr>
      <w:r>
        <w:rPr/>
        <w:t xml:space="preserve"> </w:t>
      </w:r>
      <w:r>
        <w:rPr/>
        <w:t>Wireless devices attached to a network port or network device;</w:t>
      </w:r>
    </w:p>
    <w:p>
      <w:pPr>
        <w:pStyle w:val="ListParagraph"/>
        <w:numPr>
          <w:ilvl w:val="0"/>
          <w:numId w:val="419"/>
        </w:numPr>
        <w:rPr/>
      </w:pPr>
      <w:r>
        <w:rPr/>
        <w:t>Maintains an inventory of authorized wireless access points including a documented business justification;</w:t>
      </w:r>
    </w:p>
    <w:p>
      <w:pPr>
        <w:pStyle w:val="ListParagraph"/>
        <w:numPr>
          <w:ilvl w:val="0"/>
          <w:numId w:val="419"/>
        </w:numPr>
        <w:rPr/>
      </w:pPr>
      <w:r>
        <w:rPr/>
        <w:t>Implement incident response procedures in the event unauthorized wireless access points are detected;</w:t>
      </w:r>
    </w:p>
    <w:p>
      <w:pPr>
        <w:pStyle w:val="ListParagraph"/>
        <w:numPr>
          <w:ilvl w:val="0"/>
          <w:numId w:val="419"/>
        </w:numPr>
        <w:rPr/>
      </w:pPr>
      <w:r>
        <w:rPr/>
        <w:t>Verify that the documented process to identify unauthorized wireless access points is performed at least quarterly for all system components and facilities. If automated monitoring is utilized (e.g., wireless IDS / IPS, NAC, etc.), verify the configuration will generate alerts to personnel; and</w:t>
      </w:r>
    </w:p>
    <w:p>
      <w:pPr>
        <w:pStyle w:val="ListParagraph"/>
        <w:numPr>
          <w:ilvl w:val="0"/>
          <w:numId w:val="419"/>
        </w:numPr>
        <w:rPr/>
      </w:pPr>
      <w:r>
        <w:rPr/>
        <w:t>Verify NFCC’s Incident Response Plan (IRP) includes a response in the event unauthorized wireless devices are detected.</w:t>
      </w:r>
    </w:p>
    <w:p>
      <w:pPr>
        <w:pStyle w:val="Normal"/>
        <w:rPr/>
      </w:pPr>
      <w:r>
        <w:rPr/>
      </w:r>
    </w:p>
    <w:p>
      <w:pPr>
        <w:pStyle w:val="Normal"/>
        <w:rPr/>
      </w:pPr>
      <w:r>
        <w:rPr>
          <w:u w:val="single"/>
        </w:rPr>
        <w:t>Guidelines</w:t>
      </w:r>
      <w:r>
        <w:rPr/>
        <w:t xml:space="preserve">: This applies to internal and external wireless communication links that may be visible to individuals who are not authorized system users. This control reduces the impact of attacks that are unique to wireless systems. </w:t>
      </w:r>
    </w:p>
    <w:p>
      <w:pPr>
        <w:pStyle w:val="Normal"/>
        <w:rPr/>
      </w:pPr>
      <w:r>
        <w:rPr/>
      </w:r>
    </w:p>
    <w:p>
      <w:pPr>
        <w:pStyle w:val="Heading3"/>
        <w:rPr/>
      </w:pPr>
      <w:bookmarkStart w:id="1458" w:name="_Toc34921096"/>
      <w:bookmarkStart w:id="1459" w:name="_Toc474075173"/>
      <w:r>
        <w:rPr/>
        <w:t xml:space="preserve">NET-12(b): Safeguarding Date Over Open Networks | </w:t>
      </w:r>
      <w:bookmarkEnd w:id="1459"/>
      <w:r>
        <w:rPr/>
        <w:t>End-User Messaging Technologies</w:t>
      </w:r>
      <w:bookmarkEnd w:id="1458"/>
    </w:p>
    <w:p>
      <w:pPr>
        <w:pStyle w:val="Normal"/>
        <w:rPr/>
      </w:pPr>
      <w:r>
        <w:rPr>
          <w:u w:val="single"/>
        </w:rPr>
        <w:t>Control Objective</w:t>
      </w:r>
      <w:r>
        <w:rPr/>
        <w:t>: The organization prohibits the transmission of unprotected sensitive data by end-user messaging technologies.</w:t>
      </w:r>
    </w:p>
    <w:p>
      <w:pPr>
        <w:pStyle w:val="Normal"/>
        <w:rPr/>
      </w:pPr>
      <w:r>
        <w:rPr/>
      </w:r>
    </w:p>
    <w:p>
      <w:pPr>
        <w:pStyle w:val="Normal"/>
        <w:rPr/>
      </w:pPr>
      <w:r>
        <w:rPr>
          <w:u w:val="single"/>
        </w:rPr>
        <w:t>Standard</w:t>
      </w:r>
      <w:r>
        <w:rPr/>
        <w:t>: NFCCprohibits the transmissions of unprotected sensitive data by end-user messaging technologies.</w:t>
      </w:r>
      <w:r>
        <w:rPr>
          <w:rStyle w:val="FootnoteCharacters"/>
          <w:rFonts w:cs="Calibri"/>
        </w:rPr>
        <w:t xml:space="preserve"> </w:t>
      </w:r>
    </w:p>
    <w:p>
      <w:pPr>
        <w:pStyle w:val="Normal"/>
        <w:rPr/>
      </w:pPr>
      <w:r>
        <w:rPr/>
      </w:r>
    </w:p>
    <w:p>
      <w:pPr>
        <w:pStyle w:val="Normal"/>
        <w:rPr/>
      </w:pPr>
      <w:r>
        <w:rPr>
          <w:u w:val="single"/>
        </w:rPr>
        <w:t>Guidelines</w:t>
      </w:r>
      <w:r>
        <w:rPr/>
        <w:t>: Examples of end-user messaging technologies include, but are not limited to:</w:t>
      </w:r>
    </w:p>
    <w:p>
      <w:pPr>
        <w:pStyle w:val="ListParagraph"/>
        <w:numPr>
          <w:ilvl w:val="0"/>
          <w:numId w:val="204"/>
        </w:numPr>
        <w:rPr/>
      </w:pPr>
      <w:r>
        <w:rPr/>
        <w:t>Electronic mail (e-mail);</w:t>
      </w:r>
    </w:p>
    <w:p>
      <w:pPr>
        <w:pStyle w:val="ListParagraph"/>
        <w:numPr>
          <w:ilvl w:val="0"/>
          <w:numId w:val="204"/>
        </w:numPr>
        <w:rPr/>
      </w:pPr>
      <w:r>
        <w:rPr/>
        <w:t>Instant messaging (IM);</w:t>
      </w:r>
    </w:p>
    <w:p>
      <w:pPr>
        <w:pStyle w:val="ListParagraph"/>
        <w:numPr>
          <w:ilvl w:val="0"/>
          <w:numId w:val="204"/>
        </w:numPr>
        <w:rPr/>
      </w:pPr>
      <w:r>
        <w:rPr/>
        <w:t>Chat; and</w:t>
      </w:r>
    </w:p>
    <w:p>
      <w:pPr>
        <w:pStyle w:val="ListParagraph"/>
        <w:numPr>
          <w:ilvl w:val="0"/>
          <w:numId w:val="204"/>
        </w:numPr>
        <w:rPr>
          <w:b/>
          <w:b/>
        </w:rPr>
      </w:pPr>
      <w:r>
        <w:rPr/>
        <w:t>Short Message Service (SMS)</w:t>
      </w:r>
    </w:p>
    <w:p>
      <w:pPr>
        <w:pStyle w:val="Normal"/>
        <w:rPr/>
      </w:pPr>
      <w:r>
        <w:rPr/>
      </w:r>
    </w:p>
    <w:p>
      <w:pPr>
        <w:pStyle w:val="Normal"/>
        <w:rPr/>
      </w:pPr>
      <w:r>
        <w:rPr/>
      </w:r>
    </w:p>
    <w:p>
      <w:pPr>
        <w:pStyle w:val="Heading2"/>
        <w:rPr/>
      </w:pPr>
      <w:bookmarkStart w:id="1460" w:name="_Toc474075174"/>
      <w:bookmarkStart w:id="1461" w:name="_Toc474075717"/>
      <w:bookmarkStart w:id="1462" w:name="_Toc34921097"/>
      <w:r>
        <w:rPr/>
        <w:t>NET-13: Electronic Messaging</w:t>
      </w:r>
      <w:bookmarkEnd w:id="1460"/>
      <w:bookmarkEnd w:id="1461"/>
      <w:bookmarkEnd w:id="1462"/>
    </w:p>
    <w:p>
      <w:pPr>
        <w:pStyle w:val="Normal"/>
        <w:rPr/>
      </w:pPr>
      <w:r>
        <w:rPr>
          <w:u w:val="single"/>
        </w:rPr>
        <w:t>Control Objective</w:t>
      </w:r>
      <w:r>
        <w:rPr/>
        <w:t>: The organization appropriately protects information involved in electronic messaging.</w:t>
      </w:r>
      <w:r>
        <w:rPr>
          <w:rStyle w:val="FootnoteCharacters"/>
          <w:rFonts w:cs="Calibri"/>
        </w:rPr>
        <w:t xml:space="preserve"> </w:t>
      </w:r>
      <w:r>
        <w:rPr>
          <w:rStyle w:val="FootnoteAnchor"/>
          <w:rStyle w:val="FootnoteAnchor"/>
          <w:rFonts w:cs="Calibri"/>
        </w:rPr>
        <w:footnoteReference w:id="468"/>
      </w:r>
    </w:p>
    <w:p>
      <w:pPr>
        <w:pStyle w:val="Normal"/>
        <w:rPr/>
      </w:pPr>
      <w:r>
        <w:rPr/>
      </w:r>
    </w:p>
    <w:p>
      <w:pPr>
        <w:pStyle w:val="Normal"/>
        <w:rPr/>
      </w:pPr>
      <w:r>
        <w:rPr>
          <w:u w:val="single"/>
        </w:rPr>
        <w:t>Standard</w:t>
      </w:r>
      <w:r>
        <w:rPr/>
        <w:t>: Human Resources (HR) is assigned the responsibility for establishing usage restrictions and implementation guidance for the following communications technologies based on the potential to cause damage to systems, if used maliciously:</w:t>
      </w:r>
    </w:p>
    <w:p>
      <w:pPr>
        <w:pStyle w:val="ListParagraph"/>
        <w:numPr>
          <w:ilvl w:val="0"/>
          <w:numId w:val="420"/>
        </w:numPr>
        <w:rPr/>
      </w:pPr>
      <w:r>
        <w:rPr/>
        <w:t>Electronic Mail (email);</w:t>
      </w:r>
    </w:p>
    <w:p>
      <w:pPr>
        <w:pStyle w:val="ListParagraph"/>
        <w:numPr>
          <w:ilvl w:val="0"/>
          <w:numId w:val="420"/>
        </w:numPr>
        <w:rPr/>
      </w:pPr>
      <w:r>
        <w:rPr/>
        <w:t>Instant Messaging (IM);</w:t>
      </w:r>
    </w:p>
    <w:p>
      <w:pPr>
        <w:pStyle w:val="ListParagraph"/>
        <w:numPr>
          <w:ilvl w:val="0"/>
          <w:numId w:val="420"/>
        </w:numPr>
        <w:rPr/>
      </w:pPr>
      <w:r>
        <w:rPr/>
        <w:t>Short Message Service (SMS);</w:t>
      </w:r>
    </w:p>
    <w:p>
      <w:pPr>
        <w:pStyle w:val="ListParagraph"/>
        <w:numPr>
          <w:ilvl w:val="0"/>
          <w:numId w:val="420"/>
        </w:numPr>
        <w:rPr/>
      </w:pPr>
      <w:r>
        <w:rPr/>
        <w:t>Voice Over Internet Protocol (VOIP);</w:t>
      </w:r>
    </w:p>
    <w:p>
      <w:pPr>
        <w:pStyle w:val="ListParagraph"/>
        <w:numPr>
          <w:ilvl w:val="0"/>
          <w:numId w:val="420"/>
        </w:numPr>
        <w:rPr/>
      </w:pPr>
      <w:r>
        <w:rPr/>
        <w:t>Analog Lines (Plain Old Telephone Service (POTS); and</w:t>
      </w:r>
    </w:p>
    <w:p>
      <w:pPr>
        <w:pStyle w:val="ListParagraph"/>
        <w:numPr>
          <w:ilvl w:val="0"/>
          <w:numId w:val="420"/>
        </w:numPr>
        <w:rPr/>
      </w:pPr>
      <w:r>
        <w:rPr/>
        <w:t>Facsimile (Fax) Machines (analog &amp; digital).</w:t>
      </w:r>
    </w:p>
    <w:p>
      <w:pPr>
        <w:pStyle w:val="Normal"/>
        <w:rPr/>
      </w:pPr>
      <w:r>
        <w:rPr/>
      </w:r>
    </w:p>
    <w:p>
      <w:pPr>
        <w:pStyle w:val="Normal"/>
        <w:rPr/>
      </w:pPr>
      <w:r>
        <w:rPr>
          <w:u w:val="single"/>
        </w:rPr>
        <w:t>Guidelines</w:t>
      </w:r>
      <w:r>
        <w:rPr/>
        <w:t xml:space="preserve">: None </w:t>
      </w:r>
    </w:p>
    <w:p>
      <w:pPr>
        <w:pStyle w:val="Normal"/>
        <w:rPr/>
      </w:pPr>
      <w:r>
        <w:rPr/>
      </w:r>
    </w:p>
    <w:p>
      <w:pPr>
        <w:pStyle w:val="Normal"/>
        <w:rPr/>
      </w:pPr>
      <w:r>
        <w:rPr/>
      </w:r>
    </w:p>
    <w:p>
      <w:pPr>
        <w:pStyle w:val="Heading2"/>
        <w:rPr/>
      </w:pPr>
      <w:bookmarkStart w:id="1463" w:name="_Toc474075175"/>
      <w:bookmarkStart w:id="1464" w:name="_Toc474075718"/>
      <w:bookmarkStart w:id="1465" w:name="_Toc34921098"/>
      <w:bookmarkStart w:id="1466" w:name="_Toc398527272"/>
      <w:r>
        <w:rPr/>
        <w:t>NET-14: Remote Access</w:t>
      </w:r>
      <w:bookmarkEnd w:id="1463"/>
      <w:bookmarkEnd w:id="1464"/>
      <w:bookmarkEnd w:id="1465"/>
      <w:bookmarkEnd w:id="1466"/>
      <w:r>
        <w:rPr/>
        <w:t xml:space="preserve"> </w:t>
      </w:r>
    </w:p>
    <w:p>
      <w:pPr>
        <w:pStyle w:val="Normal"/>
        <w:rPr/>
      </w:pPr>
      <w:r>
        <w:rPr>
          <w:u w:val="single"/>
        </w:rPr>
        <w:t>Control Objective</w:t>
      </w:r>
      <w:r>
        <w:rPr/>
        <w:t>: The organization:</w:t>
      </w:r>
      <w:r>
        <w:rPr>
          <w:rStyle w:val="FootnoteCharacters"/>
          <w:rFonts w:cs="Calibri"/>
        </w:rPr>
        <w:t xml:space="preserve"> </w:t>
      </w:r>
      <w:r>
        <w:rPr>
          <w:rStyle w:val="FootnoteAnchor"/>
          <w:rStyle w:val="FootnoteAnchor"/>
          <w:rFonts w:cs="Calibri"/>
        </w:rPr>
        <w:footnoteReference w:id="469"/>
      </w:r>
    </w:p>
    <w:p>
      <w:pPr>
        <w:pStyle w:val="ListParagraph"/>
        <w:numPr>
          <w:ilvl w:val="0"/>
          <w:numId w:val="186"/>
        </w:numPr>
        <w:rPr/>
      </w:pPr>
      <w:r>
        <w:rPr/>
        <w:t>Documents allowed methods of remote access to systems;</w:t>
      </w:r>
    </w:p>
    <w:p>
      <w:pPr>
        <w:pStyle w:val="ListParagraph"/>
        <w:numPr>
          <w:ilvl w:val="0"/>
          <w:numId w:val="186"/>
        </w:numPr>
        <w:rPr/>
      </w:pPr>
      <w:r>
        <w:rPr/>
        <w:t>Establishes usage restrictions and implementation guidance for each allowed remote access method;</w:t>
      </w:r>
    </w:p>
    <w:p>
      <w:pPr>
        <w:pStyle w:val="ListParagraph"/>
        <w:numPr>
          <w:ilvl w:val="0"/>
          <w:numId w:val="186"/>
        </w:numPr>
        <w:rPr/>
      </w:pPr>
      <w:r>
        <w:rPr/>
        <w:t>Monitors for unauthorized remote access to systems;</w:t>
      </w:r>
    </w:p>
    <w:p>
      <w:pPr>
        <w:pStyle w:val="ListParagraph"/>
        <w:numPr>
          <w:ilvl w:val="0"/>
          <w:numId w:val="186"/>
        </w:numPr>
        <w:rPr/>
      </w:pPr>
      <w:r>
        <w:rPr/>
        <w:t>Authorizes remote access to the system prior to connection; and</w:t>
      </w:r>
    </w:p>
    <w:p>
      <w:pPr>
        <w:pStyle w:val="ListParagraph"/>
        <w:numPr>
          <w:ilvl w:val="0"/>
          <w:numId w:val="186"/>
        </w:numPr>
        <w:rPr/>
      </w:pPr>
      <w:r>
        <w:rPr/>
        <w:t>Enforces requirements for remote connections to systems.</w:t>
      </w:r>
    </w:p>
    <w:p>
      <w:pPr>
        <w:pStyle w:val="Normal"/>
        <w:rPr/>
      </w:pPr>
      <w:r>
        <w:rPr/>
      </w:r>
    </w:p>
    <w:p>
      <w:pPr>
        <w:pStyle w:val="Normal"/>
        <w:rPr/>
      </w:pPr>
      <w:r>
        <w:rPr>
          <w:u w:val="single"/>
        </w:rPr>
        <w:t>Standard</w:t>
      </w:r>
      <w:r>
        <w:rPr/>
        <w:t>: NFCC’s cybersecurity personnel are responsible for:</w:t>
      </w:r>
      <w:r>
        <w:rPr>
          <w:rStyle w:val="FootnoteCharacters"/>
          <w:rFonts w:cs="Calibri"/>
        </w:rPr>
        <w:t xml:space="preserve"> </w:t>
      </w:r>
      <w:r>
        <w:fldChar w:fldCharType="begin"/>
      </w:r>
      <w:r>
        <w:rPr/>
        <w:instrText> XE "Remote Access: : " </w:instrText>
      </w:r>
      <w:r>
        <w:rPr/>
        <w:fldChar w:fldCharType="separate"/>
      </w:r>
      <w:r>
        <w:rPr/>
      </w:r>
      <w:r>
        <w:rPr/>
        <w:fldChar w:fldCharType="end"/>
      </w:r>
    </w:p>
    <w:p>
      <w:pPr>
        <w:pStyle w:val="ListParagraph"/>
        <w:numPr>
          <w:ilvl w:val="0"/>
          <w:numId w:val="421"/>
        </w:numPr>
        <w:rPr/>
      </w:pPr>
      <w:r>
        <w:rPr/>
        <w:t>Documenting allowed methods of remote access to the system;</w:t>
      </w:r>
    </w:p>
    <w:p>
      <w:pPr>
        <w:pStyle w:val="ListParagraph"/>
        <w:numPr>
          <w:ilvl w:val="0"/>
          <w:numId w:val="421"/>
        </w:numPr>
        <w:rPr/>
      </w:pPr>
      <w:r>
        <w:rPr/>
        <w:t>Establishing usage restrictions and implementation guidance for each allowed remote access method;</w:t>
      </w:r>
    </w:p>
    <w:p>
      <w:pPr>
        <w:pStyle w:val="ListParagraph"/>
        <w:numPr>
          <w:ilvl w:val="0"/>
          <w:numId w:val="421"/>
        </w:numPr>
        <w:rPr/>
      </w:pPr>
      <w:r>
        <w:rPr/>
        <w:t>Monitoring for unauthorized remote access to systems;</w:t>
      </w:r>
    </w:p>
    <w:p>
      <w:pPr>
        <w:pStyle w:val="ListParagraph"/>
        <w:numPr>
          <w:ilvl w:val="0"/>
          <w:numId w:val="421"/>
        </w:numPr>
        <w:rPr/>
      </w:pPr>
      <w:r>
        <w:rPr/>
        <w:t xml:space="preserve">Authorizing remote access to systems prior to connection; </w:t>
      </w:r>
    </w:p>
    <w:p>
      <w:pPr>
        <w:pStyle w:val="ListParagraph"/>
        <w:numPr>
          <w:ilvl w:val="0"/>
          <w:numId w:val="421"/>
        </w:numPr>
        <w:rPr/>
      </w:pPr>
      <w:r>
        <w:rPr/>
        <w:t>Enforcing requirements for remote connections to systems;</w:t>
      </w:r>
    </w:p>
    <w:p>
      <w:pPr>
        <w:pStyle w:val="ListParagraph"/>
        <w:numPr>
          <w:ilvl w:val="0"/>
          <w:numId w:val="421"/>
        </w:numPr>
        <w:rPr/>
      </w:pPr>
      <w:r>
        <w:rPr/>
        <w:t xml:space="preserve">Using cryptography to protect the confidentiality and integrity of remote access sessions; </w:t>
      </w:r>
    </w:p>
    <w:p>
      <w:pPr>
        <w:pStyle w:val="ListParagraph"/>
        <w:numPr>
          <w:ilvl w:val="0"/>
          <w:numId w:val="421"/>
        </w:numPr>
        <w:rPr/>
      </w:pPr>
      <w:r>
        <w:rPr/>
        <w:t>Automatically disconnecting remote access sessions after a period of inactivity; and</w:t>
      </w:r>
    </w:p>
    <w:p>
      <w:pPr>
        <w:pStyle w:val="ListParagraph"/>
        <w:numPr>
          <w:ilvl w:val="0"/>
          <w:numId w:val="421"/>
        </w:numPr>
        <w:rPr/>
      </w:pPr>
      <w:r>
        <w:rPr/>
        <w:t>Immediately deactivating vendor and business partner remote access when it is no longer needed.</w:t>
      </w:r>
      <w:r>
        <w:fldChar w:fldCharType="begin"/>
      </w:r>
      <w:r>
        <w:rPr/>
        <w:instrText> XE "Virtual Private Network (VPN): : " </w:instrText>
      </w:r>
      <w:r>
        <w:rPr/>
        <w:fldChar w:fldCharType="separate"/>
      </w:r>
      <w:r>
        <w:rPr/>
      </w:r>
      <w:r>
        <w:rPr/>
        <w:fldChar w:fldCharType="end"/>
      </w:r>
    </w:p>
    <w:p>
      <w:pPr>
        <w:pStyle w:val="Normal"/>
        <w:rPr/>
      </w:pPr>
      <w:r>
        <w:rPr/>
      </w:r>
    </w:p>
    <w:p>
      <w:pPr>
        <w:pStyle w:val="Normal"/>
        <w:rPr/>
      </w:pPr>
      <w:r>
        <w:rPr>
          <w:u w:val="single"/>
        </w:rPr>
        <w:t>Guidelines</w:t>
      </w:r>
      <w:r>
        <w:rPr/>
        <w:t xml:space="preserve">: Remote access is access to organizational systems by users (or processes acting on behalf of users) communicating through external networks (e.g., the Internet). Remote access methods include, for example, dial-up, broadband and wireless. Virtual Private Networks (VPNs), when adequately provisioned with appropriate security controls, are considered internal networks. </w:t>
      </w:r>
    </w:p>
    <w:p>
      <w:pPr>
        <w:pStyle w:val="Normal"/>
        <w:rPr/>
      </w:pPr>
      <w:r>
        <w:rPr/>
      </w:r>
    </w:p>
    <w:p>
      <w:pPr>
        <w:pStyle w:val="Normal"/>
        <w:rPr/>
      </w:pPr>
      <w:r>
        <w:rPr/>
        <w:t>All enterprise devices remotely logging into the internal network should be managed by the enterprise, with remote control of their configuration, installed software and patch levels. For third-party devices (e.g., subcontractors / vendors), publish minimum security standards for access to the enterprise network and perform a security scan before allowing access.</w:t>
      </w:r>
    </w:p>
    <w:p>
      <w:pPr>
        <w:pStyle w:val="Normal"/>
        <w:rPr/>
      </w:pPr>
      <w:r>
        <w:rPr/>
      </w:r>
    </w:p>
    <w:p>
      <w:pPr>
        <w:pStyle w:val="Heading3"/>
        <w:rPr>
          <w:color w:val="FF0000"/>
        </w:rPr>
      </w:pPr>
      <w:bookmarkStart w:id="1467" w:name="_Toc474075176"/>
      <w:bookmarkStart w:id="1468" w:name="_Toc34921099"/>
      <w:r>
        <w:rPr/>
        <w:t>NET-14(a): Remote Access | Automated Monitoring &amp; Control</w:t>
      </w:r>
      <w:bookmarkEnd w:id="1467"/>
      <w:bookmarkEnd w:id="1468"/>
    </w:p>
    <w:p>
      <w:pPr>
        <w:pStyle w:val="Normal"/>
        <w:rPr/>
      </w:pPr>
      <w:r>
        <w:rPr>
          <w:u w:val="single"/>
        </w:rPr>
        <w:t>Control Objective</w:t>
      </w:r>
      <w:r>
        <w:rPr/>
        <w:t>: The organization monitors and controls remote access methods.</w:t>
      </w:r>
      <w:r>
        <w:rPr>
          <w:rStyle w:val="FootnoteAnchor"/>
          <w:rStyle w:val="FootnoteAnchor"/>
          <w:rFonts w:cs="Calibri"/>
          <w:bCs w:val="false"/>
        </w:rPr>
        <w:footnoteReference w:id="470"/>
      </w:r>
    </w:p>
    <w:p>
      <w:pPr>
        <w:pStyle w:val="Normal"/>
        <w:rPr/>
      </w:pPr>
      <w:r>
        <w:rPr/>
      </w:r>
    </w:p>
    <w:p>
      <w:pPr>
        <w:pStyle w:val="Normal"/>
        <w:rPr/>
      </w:pPr>
      <w:r>
        <w:rPr>
          <w:u w:val="single"/>
        </w:rPr>
        <w:t>Standard</w:t>
      </w:r>
      <w:r>
        <w:rPr/>
        <w:t>: Where technically feasible, systems must monitor and control remote access methods.</w:t>
      </w:r>
    </w:p>
    <w:p>
      <w:pPr>
        <w:pStyle w:val="Normal"/>
        <w:rPr/>
      </w:pPr>
      <w:r>
        <w:rPr/>
      </w:r>
    </w:p>
    <w:p>
      <w:pPr>
        <w:pStyle w:val="Normal"/>
        <w:rPr/>
      </w:pPr>
      <w:r>
        <w:rPr>
          <w:u w:val="single"/>
        </w:rPr>
        <w:t>Guidelines</w:t>
      </w:r>
      <w:r>
        <w:rPr/>
        <w:t>: Automated monitoring and control of remote access sessions allow organizations to detect cyber attacks and also ensure ongoing compliance with remote access policies by auditing connection activities of remote users on a variety of system components (e.g., servers, workstations, notebook computers, smartphones and tablets).</w:t>
      </w:r>
    </w:p>
    <w:p>
      <w:pPr>
        <w:pStyle w:val="Normal"/>
        <w:rPr/>
      </w:pPr>
      <w:r>
        <w:rPr/>
      </w:r>
    </w:p>
    <w:p>
      <w:pPr>
        <w:pStyle w:val="Heading3"/>
        <w:rPr>
          <w:color w:val="FF0000"/>
        </w:rPr>
      </w:pPr>
      <w:bookmarkStart w:id="1469" w:name="_Toc474075177"/>
      <w:bookmarkStart w:id="1470" w:name="_Toc34921100"/>
      <w:r>
        <w:rPr/>
        <w:t>NET-14(b): Remote Access | Protection of Confidentiality / Integrity Using Encryption</w:t>
      </w:r>
      <w:bookmarkEnd w:id="1469"/>
      <w:bookmarkEnd w:id="1470"/>
    </w:p>
    <w:p>
      <w:pPr>
        <w:pStyle w:val="Normal"/>
        <w:rPr/>
      </w:pPr>
      <w:r>
        <w:rPr>
          <w:u w:val="single"/>
        </w:rPr>
        <w:t>Control Objective</w:t>
      </w:r>
      <w:r>
        <w:rPr/>
        <w:t>: Systems implement cryptographic mechanisms to protect the confidentiality and integrity of remote access sessions.</w:t>
      </w:r>
      <w:r>
        <w:rPr>
          <w:rStyle w:val="FootnoteAnchor"/>
          <w:rStyle w:val="FootnoteAnchor"/>
          <w:rFonts w:cs="Calibri"/>
          <w:bCs w:val="false"/>
        </w:rPr>
        <w:footnoteReference w:id="471"/>
      </w:r>
    </w:p>
    <w:p>
      <w:pPr>
        <w:pStyle w:val="Normal"/>
        <w:rPr/>
      </w:pPr>
      <w:r>
        <w:rPr/>
      </w:r>
    </w:p>
    <w:p>
      <w:pPr>
        <w:pStyle w:val="Normal"/>
        <w:rPr/>
      </w:pPr>
      <w:r>
        <w:rPr>
          <w:u w:val="single"/>
        </w:rPr>
        <w:t>Standard</w:t>
      </w:r>
      <w:r>
        <w:rPr/>
        <w:t>: Information systems must implement cryptographic mechanisms to protect the confidentiality and integrity of remote access sessions.</w:t>
      </w:r>
    </w:p>
    <w:p>
      <w:pPr>
        <w:pStyle w:val="Normal"/>
        <w:rPr/>
      </w:pPr>
      <w:r>
        <w:rPr/>
      </w:r>
    </w:p>
    <w:p>
      <w:pPr>
        <w:pStyle w:val="Normal"/>
        <w:rPr/>
      </w:pPr>
      <w:r>
        <w:rPr>
          <w:u w:val="single"/>
        </w:rPr>
        <w:t>Guidelines</w:t>
      </w:r>
      <w:r>
        <w:rPr/>
        <w:t>: The encryption strength of mechanism is selected based on the security categorization of the information.</w:t>
      </w:r>
    </w:p>
    <w:p>
      <w:pPr>
        <w:pStyle w:val="Normal"/>
        <w:rPr/>
      </w:pPr>
      <w:r>
        <w:rPr/>
      </w:r>
    </w:p>
    <w:p>
      <w:pPr>
        <w:pStyle w:val="Heading3"/>
        <w:rPr>
          <w:color w:val="FF0000"/>
        </w:rPr>
      </w:pPr>
      <w:bookmarkStart w:id="1471" w:name="_Toc474075178"/>
      <w:bookmarkStart w:id="1472" w:name="_Toc34921101"/>
      <w:r>
        <w:rPr/>
        <w:t>NET-14(c): Remote Access | Managed Access Control Points</w:t>
      </w:r>
      <w:bookmarkEnd w:id="1471"/>
      <w:bookmarkEnd w:id="1472"/>
    </w:p>
    <w:p>
      <w:pPr>
        <w:pStyle w:val="Normal"/>
        <w:rPr/>
      </w:pPr>
      <w:r>
        <w:rPr>
          <w:u w:val="single"/>
        </w:rPr>
        <w:t>Control Objective</w:t>
      </w:r>
      <w:r>
        <w:rPr/>
        <w:t>: Systems route all remote accesses through managed network access control points.</w:t>
      </w:r>
      <w:r>
        <w:rPr>
          <w:rStyle w:val="FootnoteAnchor"/>
          <w:rStyle w:val="FootnoteAnchor"/>
          <w:rFonts w:cs="Calibri"/>
          <w:bCs w:val="false"/>
        </w:rPr>
        <w:footnoteReference w:id="472"/>
      </w:r>
    </w:p>
    <w:p>
      <w:pPr>
        <w:pStyle w:val="Normal"/>
        <w:rPr/>
      </w:pPr>
      <w:r>
        <w:rPr/>
      </w:r>
    </w:p>
    <w:p>
      <w:pPr>
        <w:pStyle w:val="Normal"/>
        <w:rPr/>
      </w:pPr>
      <w:r>
        <w:rPr>
          <w:u w:val="single"/>
        </w:rPr>
        <w:t>Standard</w:t>
      </w:r>
      <w:r>
        <w:rPr/>
        <w:t>: Information systems must route all remote accesses through NFCC-managed network access control points.</w:t>
      </w:r>
    </w:p>
    <w:p>
      <w:pPr>
        <w:pStyle w:val="Normal"/>
        <w:rPr/>
      </w:pPr>
      <w:r>
        <w:rPr/>
      </w:r>
    </w:p>
    <w:p>
      <w:pPr>
        <w:pStyle w:val="Normal"/>
        <w:rPr/>
      </w:pPr>
      <w:r>
        <w:rPr>
          <w:u w:val="single"/>
        </w:rPr>
        <w:t>Guidelines</w:t>
      </w:r>
      <w:r>
        <w:rPr/>
        <w:t>: Limiting the number of access control points for remote accesses reduces the attack surface for organizations. Organizations consider the Trusted Internet Connections (TIC) initiative requirements for external network connections.</w:t>
      </w:r>
    </w:p>
    <w:p>
      <w:pPr>
        <w:pStyle w:val="Normal"/>
        <w:rPr/>
      </w:pPr>
      <w:r>
        <w:rPr/>
      </w:r>
    </w:p>
    <w:p>
      <w:pPr>
        <w:pStyle w:val="Heading3"/>
        <w:rPr/>
      </w:pPr>
      <w:bookmarkStart w:id="1473" w:name="_Toc474075179"/>
      <w:bookmarkStart w:id="1474" w:name="_Toc34921102"/>
      <w:r>
        <w:rPr/>
        <w:t>NET-14(d): Remote Access | Privileged Commands &amp; Access</w:t>
      </w:r>
      <w:bookmarkEnd w:id="1473"/>
      <w:bookmarkEnd w:id="1474"/>
    </w:p>
    <w:p>
      <w:pPr>
        <w:pStyle w:val="Normal"/>
        <w:rPr/>
      </w:pPr>
      <w:r>
        <w:rPr>
          <w:u w:val="single"/>
        </w:rPr>
        <w:t>Control Objective</w:t>
      </w:r>
      <w:r>
        <w:rPr/>
        <w:t>: The organization restricts the execution of privileged commands and access to security-relevant information via remote access only for compelling operational needs.</w:t>
      </w:r>
      <w:r>
        <w:rPr>
          <w:rStyle w:val="FootnoteAnchor"/>
          <w:rStyle w:val="FootnoteAnchor"/>
          <w:rFonts w:cs="Calibri"/>
          <w:bCs w:val="false"/>
        </w:rPr>
        <w:footnoteReference w:id="473"/>
      </w:r>
    </w:p>
    <w:p>
      <w:pPr>
        <w:pStyle w:val="Normal"/>
        <w:rPr/>
      </w:pPr>
      <w:r>
        <w:rPr/>
      </w:r>
    </w:p>
    <w:p>
      <w:pPr>
        <w:pStyle w:val="Normal"/>
        <w:rPr/>
      </w:pPr>
      <w:r>
        <w:rPr>
          <w:u w:val="single"/>
        </w:rPr>
        <w:t>Standard</w:t>
      </w:r>
      <w:r>
        <w:rPr/>
        <w:t>: NFCC authorizes the execution of privileged commands and access to security-relevant information via remote access only for compelling operational needs.</w:t>
      </w:r>
    </w:p>
    <w:p>
      <w:pPr>
        <w:pStyle w:val="Normal"/>
        <w:rPr/>
      </w:pPr>
      <w:r>
        <w:rPr/>
      </w:r>
    </w:p>
    <w:p>
      <w:pPr>
        <w:pStyle w:val="Normal"/>
        <w:rPr/>
      </w:pPr>
      <w:r>
        <w:rPr>
          <w:u w:val="single"/>
        </w:rPr>
        <w:t>Guidelines</w:t>
      </w:r>
      <w:r>
        <w:rPr/>
        <w:t>: None</w:t>
      </w:r>
    </w:p>
    <w:p>
      <w:pPr>
        <w:pStyle w:val="Normal"/>
        <w:rPr/>
      </w:pPr>
      <w:r>
        <w:rPr/>
      </w:r>
    </w:p>
    <w:p>
      <w:pPr>
        <w:pStyle w:val="Heading3"/>
        <w:rPr>
          <w:color w:val="FF0000"/>
        </w:rPr>
      </w:pPr>
      <w:bookmarkStart w:id="1475" w:name="_Toc474075180"/>
      <w:bookmarkStart w:id="1476" w:name="_Toc34921103"/>
      <w:r>
        <w:rPr/>
        <w:t>NET-14(e): Remote Access | Telecommuting</w:t>
      </w:r>
      <w:bookmarkEnd w:id="1475"/>
      <w:bookmarkEnd w:id="1476"/>
    </w:p>
    <w:p>
      <w:pPr>
        <w:pStyle w:val="Normal"/>
        <w:rPr/>
      </w:pPr>
      <w:r>
        <w:rPr>
          <w:u w:val="single"/>
        </w:rPr>
        <w:t>Control Objective</w:t>
      </w:r>
      <w:r>
        <w:rPr/>
        <w:t>: The organization authorizes remote access to systems and data for remote workers.</w:t>
      </w:r>
      <w:r>
        <w:rPr>
          <w:rStyle w:val="FootnoteCharacters"/>
          <w:rFonts w:cs="Calibri"/>
        </w:rPr>
        <w:t xml:space="preserve"> </w:t>
      </w:r>
      <w:r>
        <w:rPr>
          <w:rStyle w:val="FootnoteAnchor"/>
          <w:rStyle w:val="FootnoteAnchor"/>
          <w:rFonts w:cs="Calibri"/>
        </w:rPr>
        <w:footnoteReference w:id="474"/>
      </w:r>
    </w:p>
    <w:p>
      <w:pPr>
        <w:pStyle w:val="Normal"/>
        <w:rPr/>
      </w:pPr>
      <w:r>
        <w:rPr/>
      </w:r>
    </w:p>
    <w:p>
      <w:pPr>
        <w:pStyle w:val="Normal"/>
        <w:rPr/>
      </w:pPr>
      <w:r>
        <w:rPr>
          <w:u w:val="single"/>
        </w:rPr>
        <w:t>Standard</w:t>
      </w:r>
      <w:r>
        <w:rPr/>
        <w:t>: NFCC authorizes remote users / teleworkers to connect to the internal network only if the following criteria for the remote system are met:</w:t>
      </w:r>
    </w:p>
    <w:p>
      <w:pPr>
        <w:pStyle w:val="ListParagraph"/>
        <w:numPr>
          <w:ilvl w:val="0"/>
          <w:numId w:val="185"/>
        </w:numPr>
        <w:rPr/>
      </w:pPr>
      <w:r>
        <w:rPr/>
        <w:t>Software patch status is current; and</w:t>
      </w:r>
    </w:p>
    <w:p>
      <w:pPr>
        <w:pStyle w:val="ListParagraph"/>
        <w:numPr>
          <w:ilvl w:val="0"/>
          <w:numId w:val="185"/>
        </w:numPr>
        <w:rPr/>
      </w:pPr>
      <w:r>
        <w:rPr/>
        <w:t>Antimalware software is enabled and current.</w:t>
      </w:r>
    </w:p>
    <w:p>
      <w:pPr>
        <w:pStyle w:val="Normal"/>
        <w:rPr/>
      </w:pPr>
      <w:r>
        <w:rPr/>
      </w:r>
    </w:p>
    <w:p>
      <w:pPr>
        <w:pStyle w:val="Normal"/>
        <w:rPr/>
      </w:pPr>
      <w:r>
        <w:rPr>
          <w:u w:val="single"/>
        </w:rPr>
        <w:t>Guidelines</w:t>
      </w:r>
      <w:r>
        <w:rPr/>
        <w:t>: None</w:t>
      </w:r>
    </w:p>
    <w:p>
      <w:pPr>
        <w:pStyle w:val="Normal"/>
        <w:rPr/>
      </w:pPr>
      <w:r>
        <w:rPr/>
      </w:r>
    </w:p>
    <w:p>
      <w:pPr>
        <w:pStyle w:val="Heading3"/>
        <w:rPr>
          <w:color w:val="FF0000"/>
        </w:rPr>
      </w:pPr>
      <w:bookmarkStart w:id="1477" w:name="_Toc34921104"/>
      <w:bookmarkStart w:id="1478" w:name="_Toc474075181"/>
      <w:r>
        <w:rPr/>
        <w:t xml:space="preserve">NET-14(f): Remote Access | </w:t>
      </w:r>
      <w:bookmarkEnd w:id="1478"/>
      <w:r>
        <w:rPr/>
        <w:t>Third-Party Remote Access Governance</w:t>
      </w:r>
      <w:bookmarkEnd w:id="1477"/>
    </w:p>
    <w:p>
      <w:pPr>
        <w:pStyle w:val="Normal"/>
        <w:rPr/>
      </w:pPr>
      <w:r>
        <w:rPr>
          <w:u w:val="single"/>
        </w:rPr>
        <w:t>Control Objective</w:t>
      </w:r>
      <w:r>
        <w:rPr/>
        <w:t>: The organization manages accounts used by authorized third-parties to access, support or maintain system components via remote access as follows:</w:t>
      </w:r>
    </w:p>
    <w:p>
      <w:pPr>
        <w:pStyle w:val="ListParagraph"/>
        <w:numPr>
          <w:ilvl w:val="0"/>
          <w:numId w:val="156"/>
        </w:numPr>
        <w:rPr/>
      </w:pPr>
      <w:r>
        <w:rPr/>
        <w:t>Vendor accounts are enabled only during the time period needed and disabled when not in use;</w:t>
      </w:r>
    </w:p>
    <w:p>
      <w:pPr>
        <w:pStyle w:val="ListParagraph"/>
        <w:numPr>
          <w:ilvl w:val="0"/>
          <w:numId w:val="156"/>
        </w:numPr>
        <w:rPr/>
      </w:pPr>
      <w:r>
        <w:rPr/>
        <w:t>Vendor account usage is monitored when in use.</w:t>
      </w:r>
    </w:p>
    <w:p>
      <w:pPr>
        <w:pStyle w:val="Normal"/>
        <w:rPr/>
      </w:pPr>
      <w:r>
        <w:rPr/>
      </w:r>
    </w:p>
    <w:p>
      <w:pPr>
        <w:pStyle w:val="Normal"/>
        <w:rPr/>
      </w:pPr>
      <w:r>
        <w:rPr>
          <w:u w:val="single"/>
        </w:rPr>
        <w:t>Standard</w:t>
      </w:r>
      <w:r>
        <w:rPr/>
        <w:t>: Data/process owners and asset custodians are responsible for managing third-party remote access accounts, as follows:</w:t>
      </w:r>
    </w:p>
    <w:p>
      <w:pPr>
        <w:pStyle w:val="ListParagraph"/>
        <w:numPr>
          <w:ilvl w:val="0"/>
          <w:numId w:val="517"/>
        </w:numPr>
        <w:rPr/>
      </w:pPr>
      <w:r>
        <w:rPr/>
        <w:t>Third-Party accounts may only be enabled during the time period needed and must be disabled when not in use;</w:t>
      </w:r>
    </w:p>
    <w:p>
      <w:pPr>
        <w:pStyle w:val="ListParagraph"/>
        <w:numPr>
          <w:ilvl w:val="0"/>
          <w:numId w:val="517"/>
        </w:numPr>
        <w:rPr/>
      </w:pPr>
      <w:r>
        <w:rPr/>
        <w:t>Third-Party account usage must be monitored when in use.</w:t>
      </w:r>
    </w:p>
    <w:p>
      <w:pPr>
        <w:pStyle w:val="Normal"/>
        <w:rPr/>
      </w:pPr>
      <w:r>
        <w:rPr/>
      </w:r>
    </w:p>
    <w:p>
      <w:pPr>
        <w:pStyle w:val="Normal"/>
        <w:rPr/>
      </w:pPr>
      <w:r>
        <w:rPr>
          <w:u w:val="single"/>
        </w:rPr>
        <w:t>Guidelines</w:t>
      </w:r>
      <w:r>
        <w:rPr/>
        <w:t xml:space="preserve">: Allowing vendors to have 24 / 7 access to the network in case they need to support your systems increases the chances of unauthorized access, either from a user in the vendor’s environment or from a malicious individual who finds and uses this always-available external entry point into your network. Enabling access only for the time periods needed and disabling it as soon as it is no longer needed, helps prevent misuse of these connections. </w:t>
      </w:r>
    </w:p>
    <w:p>
      <w:pPr>
        <w:pStyle w:val="Normal"/>
        <w:rPr/>
      </w:pPr>
      <w:r>
        <w:rPr/>
      </w:r>
    </w:p>
    <w:p>
      <w:pPr>
        <w:pStyle w:val="Heading3"/>
        <w:rPr>
          <w:color w:val="FF0000"/>
        </w:rPr>
      </w:pPr>
      <w:bookmarkStart w:id="1479" w:name="_Toc474075182"/>
      <w:bookmarkStart w:id="1480" w:name="_Toc34921105"/>
      <w:r>
        <w:rPr/>
        <w:t>NET-14(g): Remote Access | Endpoint Security Validation</w:t>
      </w:r>
      <w:bookmarkEnd w:id="1479"/>
      <w:bookmarkEnd w:id="1480"/>
      <w:r>
        <w:rPr/>
        <w:t xml:space="preserve"> </w:t>
      </w:r>
    </w:p>
    <w:p>
      <w:pPr>
        <w:pStyle w:val="Normal"/>
        <w:rPr/>
      </w:pPr>
      <w:r>
        <w:rPr>
          <w:u w:val="single"/>
        </w:rPr>
        <w:t>Control Objective</w:t>
      </w:r>
      <w:r>
        <w:rPr/>
        <w:t>: The organization configures remote access solutions to validate software versions / patch levels and control mobile devices connecting to corporate networks or storing and accessing company information.</w:t>
      </w:r>
    </w:p>
    <w:p>
      <w:pPr>
        <w:pStyle w:val="Normal"/>
        <w:rPr/>
      </w:pPr>
      <w:r>
        <w:rPr/>
      </w:r>
    </w:p>
    <w:p>
      <w:pPr>
        <w:pStyle w:val="Normal"/>
        <w:rPr/>
      </w:pPr>
      <w:r>
        <w:rPr>
          <w:u w:val="single"/>
        </w:rPr>
        <w:t>Standard</w:t>
      </w:r>
      <w:r>
        <w:rPr/>
        <w:t>: Where technically feasible, NFCC requires remote access solutions to:</w:t>
      </w:r>
    </w:p>
    <w:p>
      <w:pPr>
        <w:pStyle w:val="ListParagraph"/>
        <w:numPr>
          <w:ilvl w:val="0"/>
          <w:numId w:val="422"/>
        </w:numPr>
        <w:rPr/>
      </w:pPr>
      <w:r>
        <w:rPr/>
        <w:t>Validate the patch level and software versions of mobile devices attempting to connecting to the corporate networks; and</w:t>
      </w:r>
    </w:p>
    <w:p>
      <w:pPr>
        <w:pStyle w:val="ListParagraph"/>
        <w:numPr>
          <w:ilvl w:val="0"/>
          <w:numId w:val="422"/>
        </w:numPr>
        <w:rPr/>
      </w:pPr>
      <w:r>
        <w:rPr/>
        <w:t>Prohibit the connection from granting access until the mobile device has the latest available security-related patches installed.</w:t>
      </w:r>
    </w:p>
    <w:p>
      <w:pPr>
        <w:pStyle w:val="Normal"/>
        <w:rPr/>
      </w:pPr>
      <w:r>
        <w:rPr/>
      </w:r>
    </w:p>
    <w:p>
      <w:pPr>
        <w:pStyle w:val="Normal"/>
        <w:rPr/>
      </w:pPr>
      <w:r>
        <w:rPr>
          <w:u w:val="single"/>
        </w:rPr>
        <w:t>Guidelines</w:t>
      </w:r>
      <w:r>
        <w:rPr/>
        <w:t>: None</w:t>
      </w:r>
    </w:p>
    <w:p>
      <w:pPr>
        <w:pStyle w:val="Normal"/>
        <w:rPr/>
      </w:pPr>
      <w:r>
        <w:rPr/>
      </w:r>
    </w:p>
    <w:p>
      <w:pPr>
        <w:pStyle w:val="Heading3"/>
        <w:rPr>
          <w:color w:val="FF0000"/>
        </w:rPr>
      </w:pPr>
      <w:bookmarkStart w:id="1481" w:name="_Toc474075183"/>
      <w:bookmarkStart w:id="1482" w:name="_Toc34921106"/>
      <w:r>
        <w:rPr/>
        <w:t>NET-14(h): Remote Access | Expeditious Disconnect / Disable Capability</w:t>
      </w:r>
      <w:bookmarkEnd w:id="1481"/>
      <w:bookmarkEnd w:id="1482"/>
      <w:r>
        <w:rPr/>
        <w:t xml:space="preserve"> </w:t>
      </w:r>
    </w:p>
    <w:p>
      <w:pPr>
        <w:pStyle w:val="Normal"/>
        <w:rPr/>
      </w:pPr>
      <w:r>
        <w:rPr>
          <w:u w:val="single"/>
        </w:rPr>
        <w:t>Control Objective</w:t>
      </w:r>
      <w:r>
        <w:rPr/>
        <w:t>: The organization provides the capability to expeditiously disconnect or disable remote access to a system or service within an organization-defined time period.</w:t>
      </w:r>
      <w:r>
        <w:rPr>
          <w:rStyle w:val="FootnoteAnchor"/>
          <w:rStyle w:val="FootnoteAnchor"/>
        </w:rPr>
        <w:footnoteReference w:id="475"/>
      </w:r>
    </w:p>
    <w:p>
      <w:pPr>
        <w:pStyle w:val="Normal"/>
        <w:rPr/>
      </w:pPr>
      <w:r>
        <w:rPr/>
      </w:r>
    </w:p>
    <w:p>
      <w:pPr>
        <w:pStyle w:val="Normal"/>
        <w:rPr/>
      </w:pPr>
      <w:r>
        <w:rPr>
          <w:u w:val="single"/>
        </w:rPr>
        <w:t>Standard</w:t>
      </w:r>
      <w:r>
        <w:rPr/>
        <w:t>: The Identity and Access Management (IAM) team must implement mechanisms to disconnect or disable remote access within fifteen (15) minutes of notice.</w:t>
      </w:r>
    </w:p>
    <w:p>
      <w:pPr>
        <w:pStyle w:val="Normal"/>
        <w:rPr/>
      </w:pPr>
      <w:r>
        <w:rPr/>
      </w:r>
    </w:p>
    <w:p>
      <w:pPr>
        <w:pStyle w:val="Normal"/>
        <w:rPr/>
      </w:pPr>
      <w:r>
        <w:rPr>
          <w:u w:val="single"/>
        </w:rPr>
        <w:t>Guidelines</w:t>
      </w:r>
      <w:r>
        <w:rPr/>
        <w:t>: This requires organizations to have the capability to rapidly disconnect current users remotely accessing the system and / or disable further remote access. The speed of disconnect or disablement varies based on the criticality of missions / business functions and the need to eliminate immediate or future remote access to organizational systems.</w:t>
      </w:r>
    </w:p>
    <w:p>
      <w:pPr>
        <w:pStyle w:val="Normal"/>
        <w:rPr/>
      </w:pPr>
      <w:r>
        <w:rPr/>
      </w:r>
    </w:p>
    <w:p>
      <w:pPr>
        <w:pStyle w:val="Normal"/>
        <w:rPr/>
      </w:pPr>
      <w:r>
        <w:rPr/>
      </w:r>
    </w:p>
    <w:p>
      <w:pPr>
        <w:pStyle w:val="Heading2"/>
        <w:rPr/>
      </w:pPr>
      <w:bookmarkStart w:id="1483" w:name="_Toc474075184"/>
      <w:bookmarkStart w:id="1484" w:name="_Toc474075719"/>
      <w:bookmarkStart w:id="1485" w:name="_Toc34921107"/>
      <w:r>
        <w:rPr/>
        <w:t>NET-15: Wireless Networking</w:t>
      </w:r>
      <w:bookmarkEnd w:id="1483"/>
      <w:bookmarkEnd w:id="1484"/>
      <w:bookmarkEnd w:id="1485"/>
      <w:r>
        <w:rPr/>
        <w:t xml:space="preserve"> </w:t>
      </w:r>
    </w:p>
    <w:p>
      <w:pPr>
        <w:pStyle w:val="Normal"/>
        <w:rPr/>
      </w:pPr>
      <w:r>
        <w:rPr>
          <w:u w:val="single"/>
        </w:rPr>
        <w:t>Control Objective</w:t>
      </w:r>
      <w:r>
        <w:rPr/>
        <w:t>: The organization:</w:t>
      </w:r>
      <w:r>
        <w:rPr>
          <w:rStyle w:val="FootnoteAnchor"/>
          <w:rStyle w:val="FootnoteAnchor"/>
          <w:rFonts w:cs="Calibri"/>
        </w:rPr>
        <w:footnoteReference w:id="476"/>
      </w:r>
      <w:r>
        <w:fldChar w:fldCharType="begin"/>
      </w:r>
      <w:r>
        <w:rPr/>
        <w:instrText> XE "Wireless: : " </w:instrText>
      </w:r>
      <w:r>
        <w:rPr/>
        <w:fldChar w:fldCharType="separate"/>
      </w:r>
      <w:r>
        <w:rPr/>
      </w:r>
      <w:r>
        <w:rPr/>
        <w:fldChar w:fldCharType="end"/>
      </w:r>
    </w:p>
    <w:p>
      <w:pPr>
        <w:pStyle w:val="ListParagraph"/>
        <w:numPr>
          <w:ilvl w:val="0"/>
          <w:numId w:val="84"/>
        </w:numPr>
        <w:rPr/>
      </w:pPr>
      <w:r>
        <w:rPr/>
        <w:t>Establishes usage restrictions and implementation guidance for wireless access;</w:t>
      </w:r>
    </w:p>
    <w:p>
      <w:pPr>
        <w:pStyle w:val="ListParagraph"/>
        <w:numPr>
          <w:ilvl w:val="0"/>
          <w:numId w:val="84"/>
        </w:numPr>
        <w:rPr/>
      </w:pPr>
      <w:r>
        <w:rPr/>
        <w:t>Monitors for unauthorized wireless access to the system;</w:t>
      </w:r>
    </w:p>
    <w:p>
      <w:pPr>
        <w:pStyle w:val="ListParagraph"/>
        <w:numPr>
          <w:ilvl w:val="0"/>
          <w:numId w:val="84"/>
        </w:numPr>
        <w:rPr/>
      </w:pPr>
      <w:r>
        <w:rPr/>
        <w:t>Authorizes wireless access to the system prior to connection; and</w:t>
      </w:r>
    </w:p>
    <w:p>
      <w:pPr>
        <w:pStyle w:val="ListParagraph"/>
        <w:numPr>
          <w:ilvl w:val="0"/>
          <w:numId w:val="84"/>
        </w:numPr>
        <w:rPr/>
      </w:pPr>
      <w:r>
        <w:rPr/>
        <w:t>Enforces requirements for wireless connections to the system.</w:t>
      </w:r>
    </w:p>
    <w:p>
      <w:pPr>
        <w:pStyle w:val="Normal"/>
        <w:rPr/>
      </w:pPr>
      <w:r>
        <w:rPr/>
      </w:r>
    </w:p>
    <w:p>
      <w:pPr>
        <w:pStyle w:val="Normal"/>
        <w:rPr/>
      </w:pPr>
      <w:r>
        <w:rPr>
          <w:u w:val="single"/>
        </w:rPr>
        <w:t>Standard</w:t>
      </w:r>
      <w:r>
        <w:rPr/>
        <w:t>: For wireless networking:</w:t>
      </w:r>
      <w:r>
        <w:fldChar w:fldCharType="begin"/>
      </w:r>
      <w:r>
        <w:rPr/>
        <w:instrText> XE "Remote Access: : " </w:instrText>
      </w:r>
      <w:r>
        <w:rPr/>
        <w:fldChar w:fldCharType="separate"/>
      </w:r>
      <w:r>
        <w:rPr/>
      </w:r>
      <w:r>
        <w:rPr/>
        <w:fldChar w:fldCharType="end"/>
      </w:r>
    </w:p>
    <w:p>
      <w:pPr>
        <w:pStyle w:val="ListParagraph"/>
        <w:numPr>
          <w:ilvl w:val="0"/>
          <w:numId w:val="423"/>
        </w:numPr>
        <w:rPr/>
      </w:pPr>
      <w:r>
        <w:rPr/>
        <w:t xml:space="preserve">NFCC’s IT department is assigned the responsibility for </w:t>
      </w:r>
    </w:p>
    <w:p>
      <w:pPr>
        <w:pStyle w:val="ListParagraph"/>
        <w:numPr>
          <w:ilvl w:val="1"/>
          <w:numId w:val="423"/>
        </w:numPr>
        <w:rPr/>
      </w:pPr>
      <w:r>
        <w:rPr/>
        <w:t>Establishing usage restrictions and implementation guidance for wireless access;</w:t>
      </w:r>
    </w:p>
    <w:p>
      <w:pPr>
        <w:pStyle w:val="ListParagraph"/>
        <w:numPr>
          <w:ilvl w:val="1"/>
          <w:numId w:val="423"/>
        </w:numPr>
        <w:rPr/>
      </w:pPr>
      <w:r>
        <w:rPr/>
        <w:t>Monitoring for unauthorized wireless access to the system;</w:t>
      </w:r>
    </w:p>
    <w:p>
      <w:pPr>
        <w:pStyle w:val="ListParagraph"/>
        <w:numPr>
          <w:ilvl w:val="1"/>
          <w:numId w:val="423"/>
        </w:numPr>
        <w:rPr/>
      </w:pPr>
      <w:r>
        <w:rPr/>
        <w:t>Authorizing wireless access to systems prior to connection; and</w:t>
      </w:r>
    </w:p>
    <w:p>
      <w:pPr>
        <w:pStyle w:val="ListParagraph"/>
        <w:numPr>
          <w:ilvl w:val="1"/>
          <w:numId w:val="423"/>
        </w:numPr>
        <w:rPr/>
      </w:pPr>
      <w:r>
        <w:rPr/>
        <w:t>Enforcing requirements for wireless connections to systems.</w:t>
      </w:r>
    </w:p>
    <w:p>
      <w:pPr>
        <w:pStyle w:val="ListParagraph"/>
        <w:numPr>
          <w:ilvl w:val="0"/>
          <w:numId w:val="423"/>
        </w:numPr>
        <w:rPr/>
      </w:pPr>
      <w:r>
        <w:rPr/>
        <w:t>Wireless traffic leverages at least Advanced Encryption Standard (AES) encryption used with at least Wi-Fi Protected Access 2 (WPA2) protection; and</w:t>
      </w:r>
    </w:p>
    <w:p>
      <w:pPr>
        <w:pStyle w:val="ListParagraph"/>
        <w:numPr>
          <w:ilvl w:val="0"/>
          <w:numId w:val="423"/>
        </w:numPr>
        <w:rPr/>
      </w:pPr>
      <w:r>
        <w:rPr/>
        <w:t>Wireless networks use authentication protocols such as Extensible Authentication Protocol-Transport Layer Security (EAP / TLS).</w:t>
      </w:r>
    </w:p>
    <w:p>
      <w:pPr>
        <w:pStyle w:val="Normal"/>
        <w:rPr/>
      </w:pPr>
      <w:r>
        <w:rPr/>
      </w:r>
    </w:p>
    <w:p>
      <w:pPr>
        <w:pStyle w:val="Normal"/>
        <w:rPr/>
      </w:pPr>
      <w:r>
        <w:rPr>
          <w:u w:val="single"/>
        </w:rPr>
        <w:t>Guidelines</w:t>
      </w:r>
      <w:r>
        <w:rPr/>
        <w:t>: Wireless technologies include, but are not limited to:</w:t>
      </w:r>
    </w:p>
    <w:p>
      <w:pPr>
        <w:pStyle w:val="ListParagraph"/>
        <w:numPr>
          <w:ilvl w:val="0"/>
          <w:numId w:val="85"/>
        </w:numPr>
        <w:rPr/>
      </w:pPr>
      <w:r>
        <w:rPr/>
        <w:t>Microwave;</w:t>
      </w:r>
    </w:p>
    <w:p>
      <w:pPr>
        <w:pStyle w:val="ListParagraph"/>
        <w:numPr>
          <w:ilvl w:val="0"/>
          <w:numId w:val="85"/>
        </w:numPr>
        <w:rPr/>
      </w:pPr>
      <w:r>
        <w:rPr/>
        <w:t>Satellite;</w:t>
      </w:r>
    </w:p>
    <w:p>
      <w:pPr>
        <w:pStyle w:val="ListParagraph"/>
        <w:numPr>
          <w:ilvl w:val="0"/>
          <w:numId w:val="85"/>
        </w:numPr>
        <w:rPr/>
      </w:pPr>
      <w:r>
        <w:rPr/>
        <w:t>Packet radio (UHF / VHF);</w:t>
      </w:r>
    </w:p>
    <w:p>
      <w:pPr>
        <w:pStyle w:val="ListParagraph"/>
        <w:numPr>
          <w:ilvl w:val="0"/>
          <w:numId w:val="85"/>
        </w:numPr>
        <w:rPr/>
      </w:pPr>
      <w:r>
        <w:rPr/>
        <w:t xml:space="preserve">802.11x; and </w:t>
      </w:r>
    </w:p>
    <w:p>
      <w:pPr>
        <w:pStyle w:val="ListParagraph"/>
        <w:numPr>
          <w:ilvl w:val="0"/>
          <w:numId w:val="85"/>
        </w:numPr>
        <w:rPr/>
      </w:pPr>
      <w:r>
        <w:rPr/>
        <w:t xml:space="preserve">Bluetooth. </w:t>
      </w:r>
    </w:p>
    <w:p>
      <w:pPr>
        <w:pStyle w:val="Normal"/>
        <w:rPr/>
      </w:pPr>
      <w:r>
        <w:rPr/>
      </w:r>
    </w:p>
    <w:p>
      <w:pPr>
        <w:pStyle w:val="Heading3"/>
        <w:rPr>
          <w:color w:val="FF0000"/>
        </w:rPr>
      </w:pPr>
      <w:bookmarkStart w:id="1486" w:name="_Toc474075185"/>
      <w:bookmarkStart w:id="1487" w:name="_Toc34921108"/>
      <w:r>
        <w:rPr/>
        <w:t>NET-15(a): Wireless Access | Authentication &amp; Encryption</w:t>
      </w:r>
      <w:bookmarkEnd w:id="1486"/>
      <w:bookmarkEnd w:id="1487"/>
    </w:p>
    <w:p>
      <w:pPr>
        <w:pStyle w:val="Normal"/>
        <w:rPr/>
      </w:pPr>
      <w:r>
        <w:rPr>
          <w:u w:val="single"/>
        </w:rPr>
        <w:t>Control Objective</w:t>
      </w:r>
      <w:r>
        <w:rPr/>
        <w:t>: Systems protect wireless access using authentication and encryption.</w:t>
      </w:r>
      <w:r>
        <w:rPr>
          <w:rStyle w:val="FootnoteAnchor"/>
          <w:rStyle w:val="FootnoteAnchor"/>
          <w:rFonts w:cs="Calibri"/>
          <w:bCs w:val="false"/>
        </w:rPr>
        <w:footnoteReference w:id="477"/>
      </w:r>
    </w:p>
    <w:p>
      <w:pPr>
        <w:pStyle w:val="Normal"/>
        <w:rPr/>
      </w:pPr>
      <w:r>
        <w:rPr/>
      </w:r>
    </w:p>
    <w:p>
      <w:pPr>
        <w:pStyle w:val="Normal"/>
        <w:rPr/>
      </w:pPr>
      <w:r>
        <w:rPr>
          <w:u w:val="single"/>
        </w:rPr>
        <w:t>Standard</w:t>
      </w:r>
      <w:r>
        <w:rPr/>
        <w:t>: NFCC is required to ensure wireless networks use industry-recognized leading practices to implement strong encryption for authentication and transmission, commensurate with the sensitivity of the data being transmitted.</w:t>
      </w:r>
    </w:p>
    <w:p>
      <w:pPr>
        <w:pStyle w:val="Normal"/>
        <w:rPr/>
      </w:pPr>
      <w:r>
        <w:rPr/>
      </w:r>
    </w:p>
    <w:p>
      <w:pPr>
        <w:pStyle w:val="Normal"/>
        <w:rPr/>
      </w:pPr>
      <w:r>
        <w:rPr>
          <w:u w:val="single"/>
        </w:rPr>
        <w:t>Guidelines</w:t>
      </w:r>
      <w:r>
        <w:rPr/>
        <w:t xml:space="preserve">: Refer to vendor documentation for the proper security configurations of Wireless Access Points (WAPs) and supported encryption strength. </w:t>
      </w:r>
    </w:p>
    <w:p>
      <w:pPr>
        <w:pStyle w:val="Normal"/>
        <w:rPr/>
      </w:pPr>
      <w:r>
        <w:rPr/>
      </w:r>
    </w:p>
    <w:p>
      <w:pPr>
        <w:pStyle w:val="Heading3"/>
        <w:rPr>
          <w:color w:val="FF0000"/>
        </w:rPr>
      </w:pPr>
      <w:bookmarkStart w:id="1488" w:name="_Toc474075186"/>
      <w:bookmarkStart w:id="1489" w:name="_Toc34921109"/>
      <w:r>
        <w:rPr/>
        <w:t>NET-15(b): Wireless Access | Disable Wireless Networking</w:t>
      </w:r>
      <w:bookmarkEnd w:id="1488"/>
      <w:bookmarkEnd w:id="1489"/>
    </w:p>
    <w:p>
      <w:pPr>
        <w:pStyle w:val="Normal"/>
        <w:rPr/>
      </w:pPr>
      <w:r>
        <w:rPr>
          <w:u w:val="single"/>
        </w:rPr>
        <w:t>Control Objective</w:t>
      </w:r>
      <w:r>
        <w:rPr/>
        <w:t>: The organization disables wireless networking capabilities that are internally embedded within system components when wireless capabilities are not necessary, prior to issuance and deployment.</w:t>
      </w:r>
      <w:r>
        <w:rPr>
          <w:rStyle w:val="FootnoteAnchor"/>
          <w:rStyle w:val="FootnoteAnchor"/>
        </w:rPr>
        <w:footnoteReference w:id="478"/>
      </w:r>
    </w:p>
    <w:p>
      <w:pPr>
        <w:pStyle w:val="Normal"/>
        <w:rPr/>
      </w:pPr>
      <w:r>
        <w:rPr/>
      </w:r>
    </w:p>
    <w:p>
      <w:pPr>
        <w:pStyle w:val="Normal"/>
        <w:rPr/>
      </w:pPr>
      <w:r>
        <w:rPr>
          <w:u w:val="single"/>
        </w:rPr>
        <w:t>Standard</w:t>
      </w:r>
      <w:r>
        <w:rPr/>
        <w:t>: In sensitive environments, asset custodians are required to disable wireless networking capabilities in systems that do not have a legitimate need to have wireless network access.</w:t>
      </w:r>
    </w:p>
    <w:p>
      <w:pPr>
        <w:pStyle w:val="Normal"/>
        <w:rPr/>
      </w:pPr>
      <w:r>
        <w:rPr/>
      </w:r>
    </w:p>
    <w:p>
      <w:pPr>
        <w:pStyle w:val="Normal"/>
        <w:rPr/>
      </w:pPr>
      <w:r>
        <w:rPr>
          <w:u w:val="single"/>
        </w:rPr>
        <w:t>Guidelines</w:t>
      </w:r>
      <w:r>
        <w:rPr/>
        <w:t>: Disabling wireless connectivity may be through least privileges in the operating system environment or through password protecting the system BIOS. Similar restrictions may be used to restrict access to only authorized networks.</w:t>
      </w:r>
    </w:p>
    <w:p>
      <w:pPr>
        <w:pStyle w:val="Normal"/>
        <w:rPr/>
      </w:pPr>
      <w:r>
        <w:rPr/>
      </w:r>
    </w:p>
    <w:p>
      <w:pPr>
        <w:pStyle w:val="Heading3"/>
        <w:rPr>
          <w:color w:val="FF0000"/>
        </w:rPr>
      </w:pPr>
      <w:bookmarkStart w:id="1490" w:name="_Toc474075187"/>
      <w:bookmarkStart w:id="1491" w:name="_Toc34921110"/>
      <w:r>
        <w:rPr/>
        <w:t>NET-15(c): Wireless Access | Restrict Configuration By Users</w:t>
      </w:r>
      <w:bookmarkEnd w:id="1490"/>
      <w:bookmarkEnd w:id="1491"/>
      <w:r>
        <w:rPr/>
        <w:t xml:space="preserve"> </w:t>
      </w:r>
    </w:p>
    <w:p>
      <w:pPr>
        <w:pStyle w:val="Normal"/>
        <w:rPr/>
      </w:pPr>
      <w:r>
        <w:rPr>
          <w:u w:val="single"/>
        </w:rPr>
        <w:t>Control Objective</w:t>
      </w:r>
      <w:r>
        <w:rPr/>
        <w:t>: The organization identifies and explicitly authorizes only privileged users to independently configure wireless networking capabilities.</w:t>
      </w:r>
      <w:r>
        <w:rPr>
          <w:rStyle w:val="FootnoteAnchor"/>
          <w:rStyle w:val="FootnoteAnchor"/>
        </w:rPr>
        <w:footnoteReference w:id="479"/>
      </w:r>
    </w:p>
    <w:p>
      <w:pPr>
        <w:pStyle w:val="Normal"/>
        <w:rPr/>
      </w:pPr>
      <w:r>
        <w:rPr/>
      </w:r>
    </w:p>
    <w:p>
      <w:pPr>
        <w:pStyle w:val="Normal"/>
        <w:rPr/>
      </w:pPr>
      <w:r>
        <w:rPr>
          <w:u w:val="single"/>
        </w:rPr>
        <w:t>Standard</w:t>
      </w:r>
      <w:r>
        <w:rPr/>
        <w:t>: In sensitive environments, users are prohibited from independently configuring the wireless networking capabilities of their assigned systems.</w:t>
      </w:r>
    </w:p>
    <w:p>
      <w:pPr>
        <w:pStyle w:val="Normal"/>
        <w:rPr/>
      </w:pPr>
      <w:r>
        <w:rPr/>
      </w:r>
    </w:p>
    <w:p>
      <w:pPr>
        <w:pStyle w:val="Normal"/>
        <w:rPr/>
      </w:pPr>
      <w:r>
        <w:rPr>
          <w:u w:val="single"/>
        </w:rPr>
        <w:t>Guidelines</w:t>
      </w:r>
      <w:r>
        <w:rPr/>
        <w:t>: Organizational authorizations to allow selected users to configure wireless networking capability are enforced in part, by the access enforcement mechanisms employed within organizational systems.</w:t>
      </w:r>
    </w:p>
    <w:p>
      <w:pPr>
        <w:pStyle w:val="Normal"/>
        <w:rPr/>
      </w:pPr>
      <w:r>
        <w:rPr/>
      </w:r>
    </w:p>
    <w:p>
      <w:pPr>
        <w:pStyle w:val="Heading3"/>
        <w:rPr>
          <w:color w:val="FF0000"/>
        </w:rPr>
      </w:pPr>
      <w:bookmarkStart w:id="1492" w:name="_Toc34921111"/>
      <w:bookmarkStart w:id="1493" w:name="_Toc474075188"/>
      <w:r>
        <w:rPr/>
        <w:t xml:space="preserve">NET-15(d): Wireless Access | Wireless </w:t>
      </w:r>
      <w:bookmarkEnd w:id="1493"/>
      <w:r>
        <w:rPr/>
        <w:t>Boundaries</w:t>
      </w:r>
      <w:bookmarkEnd w:id="1492"/>
    </w:p>
    <w:p>
      <w:pPr>
        <w:pStyle w:val="Normal"/>
        <w:rPr/>
      </w:pPr>
      <w:r>
        <w:rPr>
          <w:u w:val="single"/>
        </w:rPr>
        <w:t>Control Objective</w:t>
      </w:r>
      <w:r>
        <w:rPr/>
        <w:t>: The organization confines wireless communications to organization-controlled boundaries.</w:t>
      </w:r>
    </w:p>
    <w:p>
      <w:pPr>
        <w:pStyle w:val="Normal"/>
        <w:rPr/>
      </w:pPr>
      <w:r>
        <w:rPr/>
      </w:r>
    </w:p>
    <w:p>
      <w:pPr>
        <w:pStyle w:val="Normal"/>
        <w:rPr/>
      </w:pPr>
      <w:r>
        <w:rPr>
          <w:u w:val="single"/>
        </w:rPr>
        <w:t>Standard</w:t>
      </w:r>
      <w:r>
        <w:rPr/>
        <w:t>: Asset custodians are required to attempt to confine the wireless transmission boundary to within the geographic confines of NFCC’s facilities through:</w:t>
      </w:r>
    </w:p>
    <w:p>
      <w:pPr>
        <w:pStyle w:val="ListParagraph"/>
        <w:numPr>
          <w:ilvl w:val="0"/>
          <w:numId w:val="424"/>
        </w:numPr>
        <w:rPr/>
      </w:pPr>
      <w:r>
        <w:rPr/>
        <w:t xml:space="preserve">Proper placement of Wireless Access Points (WAPs); </w:t>
      </w:r>
    </w:p>
    <w:p>
      <w:pPr>
        <w:pStyle w:val="ListParagraph"/>
        <w:numPr>
          <w:ilvl w:val="0"/>
          <w:numId w:val="424"/>
        </w:numPr>
        <w:rPr/>
      </w:pPr>
      <w:r>
        <w:rPr/>
        <w:t xml:space="preserve">Limiting the output / transmission power of the WAPs; </w:t>
      </w:r>
    </w:p>
    <w:p>
      <w:pPr>
        <w:pStyle w:val="ListParagraph"/>
        <w:numPr>
          <w:ilvl w:val="0"/>
          <w:numId w:val="424"/>
        </w:numPr>
        <w:rPr/>
      </w:pPr>
      <w:r>
        <w:rPr/>
        <w:t>Disabling peer-to-peer wireless network capabilities on wireless clients; and</w:t>
      </w:r>
    </w:p>
    <w:p>
      <w:pPr>
        <w:pStyle w:val="ListParagraph"/>
        <w:numPr>
          <w:ilvl w:val="0"/>
          <w:numId w:val="424"/>
        </w:numPr>
        <w:rPr/>
      </w:pPr>
      <w:r>
        <w:rPr/>
        <w:t>Disabling wireless peripheral access of devices (e.g., Bluetooth), unless such access is required for a documented business need.</w:t>
      </w:r>
    </w:p>
    <w:p>
      <w:pPr>
        <w:pStyle w:val="Normal"/>
        <w:rPr/>
      </w:pPr>
      <w:r>
        <w:rPr/>
      </w:r>
    </w:p>
    <w:p>
      <w:pPr>
        <w:pStyle w:val="Normal"/>
        <w:rPr/>
      </w:pPr>
      <w:r>
        <w:rPr>
          <w:u w:val="single"/>
        </w:rPr>
        <w:t>Guidelines</w:t>
      </w:r>
      <w:r>
        <w:rPr/>
        <w:t xml:space="preserve">: Actions that may be taken by NFCC to confine wireless communications to organization-controlled boundaries include, for example: </w:t>
      </w:r>
    </w:p>
    <w:p>
      <w:pPr>
        <w:pStyle w:val="ListParagraph"/>
        <w:numPr>
          <w:ilvl w:val="0"/>
          <w:numId w:val="86"/>
        </w:numPr>
        <w:rPr/>
      </w:pPr>
      <w:r>
        <w:rPr/>
        <w:t>Reducing the power of wireless transmissions such that the transmissions cannot transit physical perimeters of organizations;</w:t>
      </w:r>
    </w:p>
    <w:p>
      <w:pPr>
        <w:pStyle w:val="ListParagraph"/>
        <w:numPr>
          <w:ilvl w:val="0"/>
          <w:numId w:val="86"/>
        </w:numPr>
        <w:rPr/>
      </w:pPr>
      <w:r>
        <w:rPr/>
        <w:t xml:space="preserve">Employing measures to control wireless emanations (e.g., TEMPEST); and </w:t>
      </w:r>
    </w:p>
    <w:p>
      <w:pPr>
        <w:pStyle w:val="ListParagraph"/>
        <w:numPr>
          <w:ilvl w:val="0"/>
          <w:numId w:val="86"/>
        </w:numPr>
        <w:rPr/>
      </w:pPr>
      <w:r>
        <w:rPr/>
        <w:t>Configuring wireless accesses such that the accesses are point-to-point in nature.</w:t>
      </w:r>
    </w:p>
    <w:p>
      <w:pPr>
        <w:pStyle w:val="Normal"/>
        <w:rPr/>
      </w:pPr>
      <w:r>
        <w:rPr/>
      </w:r>
    </w:p>
    <w:p>
      <w:pPr>
        <w:pStyle w:val="Heading3"/>
        <w:rPr/>
      </w:pPr>
      <w:bookmarkStart w:id="1494" w:name="_Toc474075190"/>
      <w:bookmarkStart w:id="1495" w:name="_Toc34921112"/>
      <w:r>
        <w:rPr/>
        <w:t>NET-15(e): Wireless Access | Rogue Wireless Detection</w:t>
      </w:r>
      <w:bookmarkEnd w:id="1494"/>
      <w:bookmarkEnd w:id="1495"/>
      <w:r>
        <w:rPr/>
        <w:t xml:space="preserve"> </w:t>
      </w:r>
    </w:p>
    <w:p>
      <w:pPr>
        <w:pStyle w:val="Normal"/>
        <w:rPr/>
      </w:pPr>
      <w:r>
        <w:rPr>
          <w:u w:val="single"/>
        </w:rPr>
        <w:t>Control Objective</w:t>
      </w:r>
      <w:r>
        <w:rPr/>
        <w:t>: The organization implements processes to test for the presence of Wireless Access Points (WAPs) to detect and identify all authorized and unauthorized WAPs.</w:t>
      </w:r>
      <w:r>
        <w:rPr>
          <w:rStyle w:val="FootnoteCharacters"/>
          <w:rFonts w:cs="Calibri"/>
        </w:rPr>
        <w:t xml:space="preserve"> </w:t>
      </w:r>
    </w:p>
    <w:p>
      <w:pPr>
        <w:pStyle w:val="Normal"/>
        <w:rPr/>
      </w:pPr>
      <w:r>
        <w:rPr/>
      </w:r>
    </w:p>
    <w:p>
      <w:pPr>
        <w:pStyle w:val="Normal"/>
        <w:rPr/>
      </w:pPr>
      <w:r>
        <w:rPr>
          <w:u w:val="single"/>
        </w:rPr>
        <w:t>Standard</w:t>
      </w:r>
      <w:r>
        <w:rPr/>
        <w:t>: Asset custodians are required to implement a process to test for the presence of Wireless Access Points (WAPs) that includes:</w:t>
      </w:r>
      <w:r>
        <w:rPr>
          <w:rStyle w:val="FootnoteCharacters"/>
          <w:rFonts w:cs="Calibri"/>
        </w:rPr>
        <w:t xml:space="preserve"> </w:t>
      </w:r>
    </w:p>
    <w:p>
      <w:pPr>
        <w:pStyle w:val="ListParagraph"/>
        <w:numPr>
          <w:ilvl w:val="0"/>
          <w:numId w:val="425"/>
        </w:numPr>
        <w:rPr/>
      </w:pPr>
      <w:r>
        <w:rPr/>
        <w:t>Detecting and identifying all authorized and unauthorized wireless access points at least once every ninety (90) days;</w:t>
      </w:r>
    </w:p>
    <w:p>
      <w:pPr>
        <w:pStyle w:val="ListParagraph"/>
        <w:numPr>
          <w:ilvl w:val="0"/>
          <w:numId w:val="425"/>
        </w:numPr>
        <w:rPr/>
      </w:pPr>
      <w:r>
        <w:rPr/>
        <w:t>Maintaining an inventory of authorized WAPs including a documented business justification;</w:t>
      </w:r>
      <w:r>
        <w:rPr>
          <w:rStyle w:val="FootnoteCharacters"/>
          <w:rFonts w:cs="Calibri"/>
        </w:rPr>
        <w:t xml:space="preserve"> </w:t>
      </w:r>
      <w:r>
        <w:rPr/>
        <w:t>and</w:t>
      </w:r>
    </w:p>
    <w:p>
      <w:pPr>
        <w:pStyle w:val="ListParagraph"/>
        <w:numPr>
          <w:ilvl w:val="0"/>
          <w:numId w:val="425"/>
        </w:numPr>
        <w:rPr/>
      </w:pPr>
      <w:r>
        <w:rPr/>
        <w:t>Implementing incident response procedures in the event unauthorized WAPs are detected.</w:t>
      </w:r>
      <w:r>
        <w:rPr>
          <w:rStyle w:val="FootnoteCharacters"/>
          <w:rFonts w:cs="Calibri"/>
        </w:rPr>
        <w:t xml:space="preserve"> </w:t>
      </w:r>
    </w:p>
    <w:p>
      <w:pPr>
        <w:pStyle w:val="Normal"/>
        <w:rPr/>
      </w:pPr>
      <w:r>
        <w:rPr/>
      </w:r>
    </w:p>
    <w:p>
      <w:pPr>
        <w:pStyle w:val="Normal"/>
        <w:rPr/>
      </w:pPr>
      <w:r>
        <w:rPr>
          <w:u w:val="single"/>
        </w:rPr>
        <w:t>Guidelines</w:t>
      </w:r>
      <w:r>
        <w:rPr/>
        <w:t>: Unauthorized (e.g., rogue) access points should be deactivated. Detection methods must be sufficient to detect and identify both authorized and unauthorized devices. Methods that may be used in the rogue WAPs (802.11) detection process includes, but are not limited to:</w:t>
      </w:r>
    </w:p>
    <w:p>
      <w:pPr>
        <w:pStyle w:val="ListParagraph"/>
        <w:numPr>
          <w:ilvl w:val="0"/>
          <w:numId w:val="205"/>
        </w:numPr>
        <w:rPr/>
      </w:pPr>
      <w:r>
        <w:rPr/>
        <w:t xml:space="preserve">Wireless network scans, </w:t>
      </w:r>
    </w:p>
    <w:p>
      <w:pPr>
        <w:pStyle w:val="ListParagraph"/>
        <w:numPr>
          <w:ilvl w:val="0"/>
          <w:numId w:val="205"/>
        </w:numPr>
        <w:rPr/>
      </w:pPr>
      <w:r>
        <w:rPr/>
        <w:t xml:space="preserve">Physical / logical inspections of system components and infrastructure, </w:t>
      </w:r>
    </w:p>
    <w:p>
      <w:pPr>
        <w:pStyle w:val="ListParagraph"/>
        <w:numPr>
          <w:ilvl w:val="0"/>
          <w:numId w:val="205"/>
        </w:numPr>
        <w:rPr/>
      </w:pPr>
      <w:r>
        <w:rPr/>
        <w:t xml:space="preserve">Network Access Control (NAC); or </w:t>
      </w:r>
    </w:p>
    <w:p>
      <w:pPr>
        <w:pStyle w:val="ListParagraph"/>
        <w:numPr>
          <w:ilvl w:val="0"/>
          <w:numId w:val="205"/>
        </w:numPr>
        <w:rPr/>
      </w:pPr>
      <w:r>
        <w:rPr/>
        <w:t>Wireless Intrusion Detection Systems (IDS) / Intrusion Prevention Systems (IPS)</w:t>
      </w:r>
    </w:p>
    <w:p>
      <w:pPr>
        <w:pStyle w:val="Normal"/>
        <w:rPr/>
      </w:pPr>
      <w:r>
        <w:rPr/>
      </w:r>
    </w:p>
    <w:p>
      <w:pPr>
        <w:pStyle w:val="Normal"/>
        <w:rPr/>
      </w:pPr>
      <w:r>
        <w:rPr/>
      </w:r>
    </w:p>
    <w:p>
      <w:pPr>
        <w:pStyle w:val="Heading2"/>
        <w:rPr/>
      </w:pPr>
      <w:bookmarkStart w:id="1496" w:name="_Toc474075191"/>
      <w:bookmarkStart w:id="1497" w:name="_Toc474075720"/>
      <w:bookmarkStart w:id="1498" w:name="_Toc34921113"/>
      <w:r>
        <w:rPr/>
        <w:t>NET-16: Intranets</w:t>
      </w:r>
      <w:bookmarkEnd w:id="1496"/>
      <w:bookmarkEnd w:id="1497"/>
      <w:bookmarkEnd w:id="1498"/>
    </w:p>
    <w:p>
      <w:pPr>
        <w:pStyle w:val="Normal"/>
        <w:rPr/>
      </w:pPr>
      <w:r>
        <w:rPr>
          <w:u w:val="single"/>
        </w:rPr>
        <w:t>Control Objective</w:t>
      </w:r>
      <w:r>
        <w:rPr/>
        <w:t xml:space="preserve">: The organization establishes terms and conditions, consistent with any trust relationships established with other organizations owning, operating and / or maintaining external systems, allowing authorized individuals to: </w:t>
      </w:r>
      <w:r>
        <w:rPr>
          <w:rStyle w:val="FootnoteAnchor"/>
          <w:rStyle w:val="FootnoteAnchor"/>
        </w:rPr>
        <w:footnoteReference w:id="480"/>
      </w:r>
    </w:p>
    <w:p>
      <w:pPr>
        <w:pStyle w:val="ListParagraph"/>
        <w:numPr>
          <w:ilvl w:val="0"/>
          <w:numId w:val="88"/>
        </w:numPr>
        <w:rPr/>
      </w:pPr>
      <w:r>
        <w:rPr/>
        <w:t>Access the system from the external systems; and</w:t>
      </w:r>
    </w:p>
    <w:p>
      <w:pPr>
        <w:pStyle w:val="ListParagraph"/>
        <w:numPr>
          <w:ilvl w:val="0"/>
          <w:numId w:val="88"/>
        </w:numPr>
        <w:rPr/>
      </w:pPr>
      <w:r>
        <w:rPr/>
        <w:t>Process, store and / or transmit organization-controlled information using the external systems.</w:t>
      </w:r>
    </w:p>
    <w:p>
      <w:pPr>
        <w:pStyle w:val="Normal"/>
        <w:rPr/>
      </w:pPr>
      <w:r>
        <w:rPr/>
      </w:r>
    </w:p>
    <w:p>
      <w:pPr>
        <w:pStyle w:val="Normal"/>
        <w:rPr/>
      </w:pPr>
      <w:r>
        <w:rPr>
          <w:u w:val="single"/>
        </w:rPr>
        <w:t>Standard</w:t>
      </w:r>
      <w:r>
        <w:rPr/>
        <w:t>: Non-employee users are authorized to access NFCC’s intranet only when Non-Disclosure Agreements (NDAs) are on file for each of the authorized, external users.</w:t>
      </w:r>
      <w:r>
        <w:rPr>
          <w:rStyle w:val="FootnoteCharacters"/>
          <w:rFonts w:cs="Calibri"/>
        </w:rPr>
        <w:t xml:space="preserve"> </w:t>
      </w:r>
    </w:p>
    <w:p>
      <w:pPr>
        <w:pStyle w:val="Normal"/>
        <w:rPr/>
      </w:pPr>
      <w:r>
        <w:rPr/>
      </w:r>
    </w:p>
    <w:p>
      <w:pPr>
        <w:pStyle w:val="Normal"/>
        <w:rPr/>
      </w:pPr>
      <w:r>
        <w:rPr>
          <w:u w:val="single"/>
        </w:rPr>
        <w:t>Guidelines</w:t>
      </w:r>
      <w:r>
        <w:rPr/>
        <w:t xml:space="preserve">: This standard addresses the use of internal and external systems for the processing, storage or transmission of organizational information, including, for example, accessing cloud-based systems and services. </w:t>
      </w:r>
    </w:p>
    <w:p>
      <w:pPr>
        <w:pStyle w:val="Normal"/>
        <w:rPr/>
      </w:pPr>
      <w:r>
        <w:rPr/>
      </w:r>
    </w:p>
    <w:p>
      <w:pPr>
        <w:pStyle w:val="Normal"/>
        <w:rPr/>
      </w:pPr>
      <w:r>
        <w:rPr/>
      </w:r>
    </w:p>
    <w:p>
      <w:pPr>
        <w:pStyle w:val="Heading2"/>
        <w:rPr/>
      </w:pPr>
      <w:bookmarkStart w:id="1499" w:name="_Toc474075192"/>
      <w:bookmarkStart w:id="1500" w:name="_Toc474075721"/>
      <w:bookmarkStart w:id="1501" w:name="_Toc34921114"/>
      <w:r>
        <w:rPr/>
        <w:t>NET-17: Data Loss Prevention (DLP)</w:t>
      </w:r>
      <w:bookmarkEnd w:id="1499"/>
      <w:bookmarkEnd w:id="1500"/>
      <w:bookmarkEnd w:id="1501"/>
      <w:r>
        <w:rPr/>
        <w:t xml:space="preserve"> </w:t>
      </w:r>
    </w:p>
    <w:p>
      <w:pPr>
        <w:pStyle w:val="Normal"/>
        <w:rPr/>
      </w:pPr>
      <w:r>
        <w:rPr>
          <w:u w:val="single"/>
        </w:rPr>
        <w:t>Control Objective</w:t>
      </w:r>
      <w:r>
        <w:rPr/>
        <w:t>: The organization utilizes Data Loss Prevention (DLP) technologies to protect sensitive information as it is stored, transmitted and processed.</w:t>
      </w:r>
      <w:r>
        <w:rPr>
          <w:rStyle w:val="FootnoteAnchor"/>
          <w:rStyle w:val="FootnoteAnchor"/>
        </w:rPr>
        <w:footnoteReference w:id="481"/>
      </w:r>
    </w:p>
    <w:p>
      <w:pPr>
        <w:pStyle w:val="Normal"/>
        <w:rPr/>
      </w:pPr>
      <w:r>
        <w:rPr/>
      </w:r>
    </w:p>
    <w:p>
      <w:pPr>
        <w:pStyle w:val="Normal"/>
        <w:rPr/>
      </w:pPr>
      <w:r>
        <w:rPr>
          <w:u w:val="single"/>
        </w:rPr>
        <w:t>Standard</w:t>
      </w:r>
      <w:r>
        <w:rPr/>
        <w:t>: Where technically feasible, NFCC shall deploy Data Loss Prevention (DLP) technologies to:</w:t>
      </w:r>
    </w:p>
    <w:p>
      <w:pPr>
        <w:pStyle w:val="ListParagraph"/>
        <w:numPr>
          <w:ilvl w:val="0"/>
          <w:numId w:val="515"/>
        </w:numPr>
        <w:rPr/>
      </w:pPr>
      <w:r>
        <w:rPr/>
        <w:t xml:space="preserve">Monitor for sensitive information (e.g., Personal Information), keywords and other document characteristics to discover unauthorized attempts to exfiltrate data across network boundaries; and </w:t>
      </w:r>
    </w:p>
    <w:p>
      <w:pPr>
        <w:pStyle w:val="ListParagraph"/>
        <w:numPr>
          <w:ilvl w:val="0"/>
          <w:numId w:val="515"/>
        </w:numPr>
        <w:rPr/>
      </w:pPr>
      <w:r>
        <w:rPr/>
        <w:t>Block such transfers while alerting cybersecurity personnel.</w:t>
      </w:r>
    </w:p>
    <w:p>
      <w:pPr>
        <w:pStyle w:val="Normal"/>
        <w:rPr/>
      </w:pPr>
      <w:r>
        <w:rPr/>
      </w:r>
    </w:p>
    <w:p>
      <w:pPr>
        <w:pStyle w:val="Normal"/>
        <w:rPr/>
      </w:pPr>
      <w:r>
        <w:rPr>
          <w:u w:val="single"/>
        </w:rPr>
        <w:t>Guidelines</w:t>
      </w:r>
      <w:r>
        <w:rPr/>
        <w:t>: Any anomalies that exceed the normal traffic patterns should be noted and appropriate action is taken to address them.</w:t>
      </w:r>
    </w:p>
    <w:p>
      <w:pPr>
        <w:pStyle w:val="Normal"/>
        <w:rPr/>
      </w:pPr>
      <w:r>
        <w:rPr/>
      </w:r>
    </w:p>
    <w:p>
      <w:pPr>
        <w:pStyle w:val="Normal"/>
        <w:rPr/>
      </w:pPr>
      <w:r>
        <w:rPr/>
      </w:r>
    </w:p>
    <w:p>
      <w:pPr>
        <w:pStyle w:val="Heading2"/>
        <w:rPr/>
      </w:pPr>
      <w:bookmarkStart w:id="1502" w:name="_Toc474075193"/>
      <w:bookmarkStart w:id="1503" w:name="_Toc474075722"/>
      <w:bookmarkStart w:id="1504" w:name="_Toc34921115"/>
      <w:r>
        <w:rPr/>
        <w:t>NET-18: Content Filtering</w:t>
      </w:r>
      <w:bookmarkEnd w:id="1502"/>
      <w:bookmarkEnd w:id="1503"/>
      <w:bookmarkEnd w:id="1504"/>
      <w:r>
        <w:rPr/>
        <w:t xml:space="preserve"> </w:t>
      </w:r>
    </w:p>
    <w:p>
      <w:pPr>
        <w:pStyle w:val="Normal"/>
        <w:rPr/>
      </w:pPr>
      <w:r>
        <w:rPr>
          <w:u w:val="single"/>
        </w:rPr>
        <w:t>Control Objective</w:t>
      </w:r>
      <w:r>
        <w:rPr/>
        <w:t>: The organization maintains and enforces network-based Uniform Resource Locator (URL) content filtering and DNS filtering to limit a user's ability to connect to dangerous or prohibited Internet sites.</w:t>
      </w:r>
    </w:p>
    <w:p>
      <w:pPr>
        <w:pStyle w:val="Normal"/>
        <w:rPr>
          <w:rFonts w:cs="Calibri"/>
          <w:u w:val="single"/>
        </w:rPr>
      </w:pPr>
      <w:r>
        <w:rPr>
          <w:rFonts w:cs="Calibri"/>
          <w:u w:val="single"/>
        </w:rPr>
      </w:r>
    </w:p>
    <w:p>
      <w:pPr>
        <w:pStyle w:val="Normal"/>
        <w:rPr>
          <w:rFonts w:cs="Calibri"/>
        </w:rPr>
      </w:pPr>
      <w:r>
        <w:rPr>
          <w:rFonts w:cs="Calibri"/>
          <w:u w:val="single"/>
        </w:rPr>
        <w:t>Standard</w:t>
      </w:r>
      <w:r>
        <w:rPr>
          <w:rFonts w:cs="Calibri"/>
        </w:rPr>
        <w:t>: NFCC shall:</w:t>
      </w:r>
    </w:p>
    <w:p>
      <w:pPr>
        <w:pStyle w:val="ListParagraph"/>
        <w:numPr>
          <w:ilvl w:val="0"/>
          <w:numId w:val="426"/>
        </w:numPr>
        <w:rPr/>
      </w:pPr>
      <w:r>
        <w:rPr/>
        <w:t>Subscribe to URL categorization and DNS filtering services to ensure that they are up-to-date with the most recent website category definitions available;</w:t>
      </w:r>
    </w:p>
    <w:p>
      <w:pPr>
        <w:pStyle w:val="ListParagraph"/>
        <w:numPr>
          <w:ilvl w:val="0"/>
          <w:numId w:val="426"/>
        </w:numPr>
        <w:rPr/>
      </w:pPr>
      <w:r>
        <w:rPr/>
        <w:t>Block categories of sites, as directed by NFCC’s Human Resources (HR) department;</w:t>
      </w:r>
    </w:p>
    <w:p>
      <w:pPr>
        <w:pStyle w:val="ListParagraph"/>
        <w:numPr>
          <w:ilvl w:val="0"/>
          <w:numId w:val="426"/>
        </w:numPr>
        <w:rPr/>
      </w:pPr>
      <w:r>
        <w:rPr/>
        <w:t>Block uncategorized sites by default; and</w:t>
      </w:r>
    </w:p>
    <w:p>
      <w:pPr>
        <w:pStyle w:val="ListParagraph"/>
        <w:numPr>
          <w:ilvl w:val="0"/>
          <w:numId w:val="426"/>
        </w:numPr>
        <w:rPr/>
      </w:pPr>
      <w:r>
        <w:rPr/>
        <w:t>Deny communications with known malicious IP addresses (black lists).</w:t>
      </w:r>
    </w:p>
    <w:p>
      <w:pPr>
        <w:pStyle w:val="Normal"/>
        <w:rPr/>
      </w:pPr>
      <w:r>
        <w:rPr/>
      </w:r>
    </w:p>
    <w:p>
      <w:pPr>
        <w:pStyle w:val="Normal"/>
        <w:rPr/>
      </w:pPr>
      <w:r>
        <w:rPr>
          <w:u w:val="single"/>
        </w:rPr>
        <w:t>Guidelines</w:t>
      </w:r>
      <w:r>
        <w:rPr/>
        <w:t>: The proxy should support decrypting network traffic, logging individual TCP sessions, blocking specific URLs, domain names and IP addresses to implement a black list and applying whitelists of allowed sites that can be accessed through the proxy while blocking all other sites. NFCC should force outbound traffic to the Internet through an authenticated proxy server on the enterprise perimeter.</w:t>
      </w:r>
    </w:p>
    <w:p>
      <w:pPr>
        <w:pStyle w:val="Normal"/>
        <w:rPr/>
      </w:pPr>
      <w:r>
        <w:rPr/>
      </w:r>
    </w:p>
    <w:p>
      <w:pPr>
        <w:pStyle w:val="Heading3"/>
        <w:rPr/>
      </w:pPr>
      <w:bookmarkStart w:id="1505" w:name="_Toc474075194"/>
      <w:bookmarkStart w:id="1506" w:name="_Toc34921116"/>
      <w:r>
        <w:rPr/>
        <w:t>NET-18(a): Content Filtering | Route Traffic To Proxy Servers</w:t>
      </w:r>
      <w:bookmarkEnd w:id="1505"/>
      <w:bookmarkEnd w:id="1506"/>
      <w:r>
        <w:rPr/>
        <w:t xml:space="preserve"> </w:t>
      </w:r>
    </w:p>
    <w:p>
      <w:pPr>
        <w:pStyle w:val="Normal"/>
        <w:rPr/>
      </w:pPr>
      <w:r>
        <w:rPr>
          <w:u w:val="single"/>
        </w:rPr>
        <w:t>Control Objective</w:t>
      </w:r>
      <w:r>
        <w:rPr/>
        <w:t>: Systems route internal communications traffic to external networks through approved proxy servers at managed interfaces.</w:t>
      </w:r>
      <w:r>
        <w:rPr>
          <w:rStyle w:val="FootnoteCharacters"/>
          <w:rFonts w:cs="Calibri"/>
          <w:bCs w:val="false"/>
        </w:rPr>
        <w:t xml:space="preserve"> </w:t>
      </w:r>
      <w:r>
        <w:rPr>
          <w:rStyle w:val="FootnoteAnchor"/>
          <w:rStyle w:val="FootnoteAnchor"/>
          <w:rFonts w:cs="Calibri"/>
          <w:bCs w:val="false"/>
        </w:rPr>
        <w:footnoteReference w:id="482"/>
      </w:r>
    </w:p>
    <w:p>
      <w:pPr>
        <w:pStyle w:val="Normal"/>
        <w:rPr/>
      </w:pPr>
      <w:r>
        <w:rPr/>
      </w:r>
    </w:p>
    <w:p>
      <w:pPr>
        <w:pStyle w:val="Normal"/>
        <w:rPr/>
      </w:pPr>
      <w:r>
        <w:rPr>
          <w:u w:val="single"/>
        </w:rPr>
        <w:t>Standard</w:t>
      </w:r>
      <w:r>
        <w:rPr/>
        <w:t>: For fixed technology assets (e.g., non-mobile devices), NFCC shall:</w:t>
      </w:r>
    </w:p>
    <w:p>
      <w:pPr>
        <w:pStyle w:val="ListParagraph"/>
        <w:numPr>
          <w:ilvl w:val="0"/>
          <w:numId w:val="427"/>
        </w:numPr>
        <w:rPr/>
      </w:pPr>
      <w:r>
        <w:rPr/>
        <w:t xml:space="preserve">Prohibit direct public access between the Internet and any system on NFCC’s internal networks; and </w:t>
      </w:r>
    </w:p>
    <w:p>
      <w:pPr>
        <w:pStyle w:val="ListParagraph"/>
        <w:numPr>
          <w:ilvl w:val="0"/>
          <w:numId w:val="427"/>
        </w:numPr>
        <w:rPr/>
      </w:pPr>
      <w:r>
        <w:rPr/>
        <w:t>Route all Internet-bound traffic through a proxy server.</w:t>
      </w:r>
    </w:p>
    <w:p>
      <w:pPr>
        <w:pStyle w:val="Normal"/>
        <w:rPr/>
      </w:pPr>
      <w:r>
        <w:rPr/>
        <w:t xml:space="preserve"> </w:t>
      </w:r>
    </w:p>
    <w:p>
      <w:pPr>
        <w:pStyle w:val="Normal"/>
        <w:rPr/>
      </w:pPr>
      <w:r>
        <w:rPr>
          <w:u w:val="single"/>
        </w:rPr>
        <w:t>Guidelines</w:t>
      </w:r>
      <w:r>
        <w:rPr/>
        <w:t xml:space="preserve">: External networks are networks outside the control of organizations. Proxy servers support logging individual Transmission Control Protocol (TCP) sessions and blocking specific Uniform Resource Locators (URLs), domain names and Internet Protocol (IP) addresses. Proxy servers can be configured with organization-defined lists of authorized and unauthorized websites. </w:t>
      </w:r>
    </w:p>
    <w:p>
      <w:pPr>
        <w:pStyle w:val="Normal"/>
        <w:rPr/>
      </w:pPr>
      <w:r>
        <w:rPr/>
      </w:r>
    </w:p>
    <w:p>
      <w:pPr>
        <w:pStyle w:val="Normal"/>
        <w:rPr/>
      </w:pPr>
      <w:r>
        <w:rPr/>
      </w:r>
    </w:p>
    <w:p>
      <w:pPr>
        <w:pStyle w:val="Normal"/>
        <w:tabs>
          <w:tab w:val="clear" w:pos="360"/>
          <w:tab w:val="clear" w:pos="720"/>
          <w:tab w:val="clear" w:pos="1080"/>
        </w:tabs>
        <w:jc w:val="left"/>
        <w:rPr/>
      </w:pPr>
      <w:r>
        <w:rPr/>
      </w:r>
      <w:r>
        <w:br w:type="page"/>
      </w:r>
    </w:p>
    <w:p>
      <w:pPr>
        <w:pStyle w:val="Heading1"/>
        <w:rPr/>
      </w:pPr>
      <w:bookmarkStart w:id="1507" w:name="_Toc34921117"/>
      <w:bookmarkStart w:id="1508" w:name="_Toc474075222"/>
      <w:bookmarkStart w:id="1509" w:name="_Toc474075736"/>
      <w:r>
        <w:rPr/>
        <w:t>Physical &amp; Environmental Security (PES)</w:t>
      </w:r>
      <w:bookmarkEnd w:id="1508"/>
      <w:bookmarkEnd w:id="1509"/>
      <w:r>
        <w:rPr/>
        <w:t xml:space="preserve"> Policy &amp; Standards</w:t>
      </w:r>
      <w:bookmarkEnd w:id="1507"/>
    </w:p>
    <w:p>
      <w:pPr>
        <w:pStyle w:val="Normal"/>
        <w:rPr/>
      </w:pPr>
      <w:r>
        <w:rPr/>
      </w:r>
    </w:p>
    <w:p>
      <w:pPr>
        <w:pStyle w:val="Normal"/>
        <w:rPr/>
      </w:pPr>
      <w:r>
        <w:rPr>
          <w:u w:val="single"/>
        </w:rPr>
        <w:t>Management Intent</w:t>
      </w:r>
      <w:r>
        <w:rPr/>
        <w:t>: The purpose of the Physical &amp; Environmental Security (PES) policy is to minimize risk to NFCC systems and data by addressing applicable physical security and environmental concerns.</w:t>
      </w:r>
    </w:p>
    <w:p>
      <w:pPr>
        <w:pStyle w:val="Normal"/>
        <w:rPr/>
      </w:pPr>
      <w:r>
        <w:rPr/>
      </w:r>
    </w:p>
    <w:p>
      <w:pPr>
        <w:pStyle w:val="Normal"/>
        <w:shd w:val="clear" w:color="auto" w:fill="DDD9C3" w:themeFill="background2" w:themeFillShade="e6"/>
        <w:rPr/>
      </w:pPr>
      <w:r>
        <w:rPr>
          <w:u w:val="single"/>
        </w:rPr>
        <w:t>Policy</w:t>
      </w:r>
      <w:r>
        <w:rPr/>
        <w:t xml:space="preserve">: NFCC shall implement appropriate physical access controls to limit access to systems, equipment and the respective operating environments to authorized individuals. NFCC shall provide appropriate environmental controls in facilities containing systems to ensure sufficient environmental conditions exist to avoid preventable hardware failures and service interruptions. </w:t>
      </w:r>
    </w:p>
    <w:p>
      <w:pPr>
        <w:pStyle w:val="Normal"/>
        <w:rPr>
          <w:u w:val="single"/>
        </w:rPr>
      </w:pPr>
      <w:r>
        <w:rPr>
          <w:u w:val="single"/>
        </w:rPr>
      </w:r>
    </w:p>
    <w:p>
      <w:pPr>
        <w:pStyle w:val="Normal"/>
        <w:rPr/>
      </w:pPr>
      <w:r>
        <w:rPr>
          <w:u w:val="single"/>
        </w:rPr>
        <w:t>Supporting Documentation</w:t>
      </w:r>
      <w:r>
        <w:rPr/>
        <w:t xml:space="preserve">: This policy is supported by the following control objectives, standards and guidelines. </w:t>
      </w:r>
    </w:p>
    <w:p>
      <w:pPr>
        <w:pStyle w:val="Normal"/>
        <w:rPr/>
      </w:pPr>
      <w:r>
        <w:rPr/>
      </w:r>
    </w:p>
    <w:p>
      <w:pPr>
        <w:pStyle w:val="Normal"/>
        <w:rPr/>
      </w:pPr>
      <w:r>
        <w:rPr/>
        <w:t xml:space="preserve"> </w:t>
      </w:r>
    </w:p>
    <w:p>
      <w:pPr>
        <w:pStyle w:val="Heading2"/>
        <w:rPr/>
      </w:pPr>
      <w:bookmarkStart w:id="1510" w:name="_Toc474075223"/>
      <w:bookmarkStart w:id="1511" w:name="_Toc474075737"/>
      <w:bookmarkStart w:id="1512" w:name="_Toc34921118"/>
      <w:r>
        <w:rPr/>
        <w:t>PES-01: Physical &amp; Environmental Protections</w:t>
      </w:r>
      <w:bookmarkEnd w:id="1510"/>
      <w:bookmarkEnd w:id="1511"/>
      <w:bookmarkEnd w:id="1512"/>
    </w:p>
    <w:p>
      <w:pPr>
        <w:pStyle w:val="Normal"/>
        <w:rPr/>
      </w:pPr>
      <w:r>
        <w:rPr>
          <w:u w:val="single"/>
        </w:rPr>
        <w:t>Control Objective</w:t>
      </w:r>
      <w:r>
        <w:rPr/>
        <w:t>: The organization develops, implements and governs processes and documentation to facilitate the implementation of an enterprise-wide physical and environmental security policy, as well as associated standards, controls and procedures.</w:t>
      </w:r>
      <w:r>
        <w:rPr>
          <w:rStyle w:val="FootnoteCharacters"/>
          <w:rFonts w:cs="Calibri"/>
        </w:rPr>
        <w:t xml:space="preserve"> </w:t>
      </w:r>
      <w:r>
        <w:rPr>
          <w:rStyle w:val="FootnoteAnchor"/>
          <w:rStyle w:val="FootnoteAnchor"/>
          <w:rFonts w:cs="Calibri"/>
        </w:rPr>
        <w:footnoteReference w:id="483"/>
      </w:r>
    </w:p>
    <w:p>
      <w:pPr>
        <w:pStyle w:val="Normal"/>
        <w:rPr/>
      </w:pPr>
      <w:r>
        <w:rPr/>
      </w:r>
    </w:p>
    <w:p>
      <w:pPr>
        <w:pStyle w:val="Normal"/>
        <w:rPr/>
      </w:pPr>
      <w:r>
        <w:rPr>
          <w:u w:val="single"/>
        </w:rPr>
        <w:t>Standard</w:t>
      </w:r>
      <w:r>
        <w:rPr/>
        <w:t>: NFCC is required to develop, implement and keep current processes to facilitate the operation of physical and environmental protection controls</w:t>
      </w:r>
    </w:p>
    <w:p>
      <w:pPr>
        <w:pStyle w:val="Normal"/>
        <w:rPr/>
      </w:pPr>
      <w:r>
        <w:rPr/>
      </w:r>
    </w:p>
    <w:p>
      <w:pPr>
        <w:pStyle w:val="Normal"/>
        <w:rPr>
          <w:b/>
          <w:b/>
        </w:rPr>
      </w:pPr>
      <w:r>
        <w:rPr>
          <w:u w:val="single"/>
        </w:rPr>
        <w:t>Guidelines</w:t>
      </w:r>
      <w:r>
        <w:rPr/>
        <w:t>: None</w:t>
      </w:r>
    </w:p>
    <w:p>
      <w:pPr>
        <w:pStyle w:val="Normal"/>
        <w:rPr/>
      </w:pPr>
      <w:r>
        <w:rPr/>
      </w:r>
    </w:p>
    <w:p>
      <w:pPr>
        <w:pStyle w:val="Normal"/>
        <w:rPr/>
      </w:pPr>
      <w:r>
        <w:rPr/>
      </w:r>
    </w:p>
    <w:p>
      <w:pPr>
        <w:pStyle w:val="Heading2"/>
        <w:rPr/>
      </w:pPr>
      <w:bookmarkStart w:id="1513" w:name="_Toc474075224"/>
      <w:bookmarkStart w:id="1514" w:name="_Toc474075738"/>
      <w:bookmarkStart w:id="1515" w:name="_Toc34921119"/>
      <w:r>
        <w:rPr/>
        <w:t>PES-02: Physical Access Authorizations</w:t>
      </w:r>
      <w:bookmarkEnd w:id="1513"/>
      <w:bookmarkEnd w:id="1514"/>
      <w:bookmarkEnd w:id="1515"/>
      <w:r>
        <w:rPr/>
        <w:t xml:space="preserve"> </w:t>
      </w:r>
    </w:p>
    <w:p>
      <w:pPr>
        <w:pStyle w:val="Normal"/>
        <w:rPr/>
      </w:pPr>
      <w:r>
        <w:rPr>
          <w:u w:val="single"/>
        </w:rPr>
        <w:t>Control Objective</w:t>
      </w:r>
      <w:r>
        <w:rPr/>
        <w:t>: The organization:</w:t>
      </w:r>
      <w:r>
        <w:rPr>
          <w:rStyle w:val="FootnoteCharacters"/>
          <w:rFonts w:cs="Calibri"/>
        </w:rPr>
        <w:t xml:space="preserve"> </w:t>
      </w:r>
      <w:r>
        <w:rPr>
          <w:rStyle w:val="FootnoteAnchor"/>
          <w:rStyle w:val="FootnoteAnchor"/>
          <w:rFonts w:cs="Calibri"/>
        </w:rPr>
        <w:footnoteReference w:id="484"/>
      </w:r>
      <w:r>
        <w:rPr/>
        <w:t xml:space="preserve"> </w:t>
      </w:r>
    </w:p>
    <w:p>
      <w:pPr>
        <w:pStyle w:val="ListParagraph"/>
        <w:numPr>
          <w:ilvl w:val="0"/>
          <w:numId w:val="58"/>
        </w:numPr>
        <w:rPr/>
      </w:pPr>
      <w:r>
        <w:rPr/>
        <w:t>Develops and keeps current a list of personnel with authorized access to the facility where the system resides (except for those areas within the facility officially designated as publicly accessible);</w:t>
      </w:r>
    </w:p>
    <w:p>
      <w:pPr>
        <w:pStyle w:val="ListParagraph"/>
        <w:numPr>
          <w:ilvl w:val="0"/>
          <w:numId w:val="58"/>
        </w:numPr>
        <w:rPr/>
      </w:pPr>
      <w:r>
        <w:rPr/>
        <w:t>Issues authorization credentials; and</w:t>
      </w:r>
    </w:p>
    <w:p>
      <w:pPr>
        <w:pStyle w:val="ListParagraph"/>
        <w:numPr>
          <w:ilvl w:val="0"/>
          <w:numId w:val="58"/>
        </w:numPr>
        <w:rPr/>
      </w:pPr>
      <w:r>
        <w:rPr/>
        <w:t>Reviews and approves the access list and removes from the access list personnel no longer requiring access.</w:t>
      </w:r>
    </w:p>
    <w:p>
      <w:pPr>
        <w:pStyle w:val="Normal"/>
        <w:rPr/>
      </w:pPr>
      <w:r>
        <w:rPr/>
      </w:r>
    </w:p>
    <w:p>
      <w:pPr>
        <w:pStyle w:val="Normal"/>
        <w:rPr/>
      </w:pPr>
      <w:r>
        <w:rPr>
          <w:u w:val="single"/>
        </w:rPr>
        <w:t>Standard</w:t>
      </w:r>
      <w:r>
        <w:rPr/>
        <w:t>: NFCC is required to:</w:t>
      </w:r>
    </w:p>
    <w:p>
      <w:pPr>
        <w:pStyle w:val="ListParagraph"/>
        <w:numPr>
          <w:ilvl w:val="0"/>
          <w:numId w:val="428"/>
        </w:numPr>
        <w:rPr/>
      </w:pPr>
      <w:r>
        <w:rPr/>
        <w:t>Develop and keep current a list of personnel with authorized access to its facilities, except for those areas within the facility officially designated as publicly accessible;</w:t>
      </w:r>
    </w:p>
    <w:p>
      <w:pPr>
        <w:pStyle w:val="ListParagraph"/>
        <w:numPr>
          <w:ilvl w:val="0"/>
          <w:numId w:val="428"/>
        </w:numPr>
        <w:rPr/>
      </w:pPr>
      <w:r>
        <w:rPr/>
        <w:t>Issue authorization credentials for physical access; and</w:t>
      </w:r>
    </w:p>
    <w:p>
      <w:pPr>
        <w:pStyle w:val="ListParagraph"/>
        <w:numPr>
          <w:ilvl w:val="0"/>
          <w:numId w:val="428"/>
        </w:numPr>
        <w:rPr/>
      </w:pPr>
      <w:r>
        <w:rPr/>
        <w:t>Review and approve the access list and remove personnel no longer requiring access.</w:t>
      </w:r>
    </w:p>
    <w:p>
      <w:pPr>
        <w:pStyle w:val="Normal"/>
        <w:rPr/>
      </w:pPr>
      <w:r>
        <w:rPr/>
      </w:r>
    </w:p>
    <w:p>
      <w:pPr>
        <w:pStyle w:val="Normal"/>
        <w:rPr>
          <w:u w:val="single"/>
        </w:rPr>
      </w:pPr>
      <w:r>
        <w:rPr>
          <w:u w:val="single"/>
        </w:rPr>
        <w:t>Guidelines</w:t>
      </w:r>
      <w:r>
        <w:rPr/>
        <w:t xml:space="preserve">: This applies to organizational employees and visitors. Individuals (e.g., employees, contractors and others) with permanent physical access authorization credentials are not considered visitors. Authorization credentials include, for example, badges, identification cards and smart cards. Organizations determine the strength of authorization credentials needed (including the level of forge-proof badges, smart cards or identification cards) consistent with standards, policies and procedures. This control only applies to areas within facilities that have not been designated as publicly accessible. </w:t>
      </w:r>
    </w:p>
    <w:p>
      <w:pPr>
        <w:pStyle w:val="Normal"/>
        <w:rPr/>
      </w:pPr>
      <w:r>
        <w:rPr/>
      </w:r>
    </w:p>
    <w:p>
      <w:pPr>
        <w:pStyle w:val="Heading3"/>
        <w:rPr/>
      </w:pPr>
      <w:bookmarkStart w:id="1516" w:name="_Toc474075225"/>
      <w:bookmarkStart w:id="1517" w:name="_Toc34921120"/>
      <w:r>
        <w:rPr/>
        <w:t>PES-02(a): Physical Access Authorizations | Role-Based Physical Access</w:t>
      </w:r>
      <w:bookmarkEnd w:id="1516"/>
      <w:bookmarkEnd w:id="1517"/>
      <w:r>
        <w:rPr/>
        <w:t xml:space="preserve"> </w:t>
      </w:r>
    </w:p>
    <w:p>
      <w:pPr>
        <w:pStyle w:val="Normal"/>
        <w:rPr/>
      </w:pPr>
      <w:r>
        <w:rPr>
          <w:u w:val="single"/>
        </w:rPr>
        <w:t>Control Objective</w:t>
      </w:r>
      <w:r>
        <w:rPr/>
        <w:t>: The organization authorizes physical access to the facility where systems resides, based on the position or role of a user.</w:t>
      </w:r>
      <w:r>
        <w:rPr>
          <w:rStyle w:val="FootnoteCharacters"/>
          <w:rFonts w:cs="Calibri"/>
        </w:rPr>
        <w:t xml:space="preserve"> </w:t>
      </w:r>
      <w:r>
        <w:rPr>
          <w:rStyle w:val="FootnoteAnchor"/>
          <w:rStyle w:val="FootnoteAnchor"/>
          <w:rFonts w:cs="Calibri"/>
        </w:rPr>
        <w:footnoteReference w:id="485"/>
      </w:r>
      <w:r>
        <w:rPr/>
        <w:t xml:space="preserve"> </w:t>
      </w:r>
    </w:p>
    <w:p>
      <w:pPr>
        <w:pStyle w:val="Normal"/>
        <w:rPr/>
      </w:pPr>
      <w:r>
        <w:rPr/>
      </w:r>
    </w:p>
    <w:p>
      <w:pPr>
        <w:pStyle w:val="Normal"/>
        <w:rPr/>
      </w:pPr>
      <w:r>
        <w:rPr>
          <w:u w:val="single"/>
        </w:rPr>
        <w:t>Standard</w:t>
      </w:r>
      <w:r>
        <w:rPr/>
        <w:t xml:space="preserve">: Physical access to information assets and functions by users and support personnel shall be restricted based on position or role. </w:t>
      </w:r>
    </w:p>
    <w:p>
      <w:pPr>
        <w:pStyle w:val="Normal"/>
        <w:rPr/>
      </w:pPr>
      <w:r>
        <w:rPr/>
      </w:r>
    </w:p>
    <w:p>
      <w:pPr>
        <w:pStyle w:val="Normal"/>
        <w:rPr/>
      </w:pPr>
      <w:r>
        <w:rPr>
          <w:u w:val="single"/>
        </w:rPr>
        <w:t>Guidelines</w:t>
      </w:r>
      <w:r>
        <w:rPr/>
        <w:t>: NFCC should restrict physical access to systems that process sensitive information to authorized personnel with the appropriate roles and access authorizations. Roles for physical access include, but are not limited to:</w:t>
      </w:r>
    </w:p>
    <w:p>
      <w:pPr>
        <w:pStyle w:val="ListParagraph"/>
        <w:numPr>
          <w:ilvl w:val="0"/>
          <w:numId w:val="59"/>
        </w:numPr>
        <w:rPr/>
      </w:pPr>
      <w:r>
        <w:rPr/>
        <w:t>Employees</w:t>
      </w:r>
    </w:p>
    <w:p>
      <w:pPr>
        <w:pStyle w:val="ListParagraph"/>
        <w:numPr>
          <w:ilvl w:val="0"/>
          <w:numId w:val="59"/>
        </w:numPr>
        <w:rPr/>
      </w:pPr>
      <w:r>
        <w:rPr/>
        <w:t>Contractors</w:t>
      </w:r>
    </w:p>
    <w:p>
      <w:pPr>
        <w:pStyle w:val="ListParagraph"/>
        <w:numPr>
          <w:ilvl w:val="0"/>
          <w:numId w:val="59"/>
        </w:numPr>
        <w:rPr/>
      </w:pPr>
      <w:r>
        <w:rPr/>
        <w:t>Vendors</w:t>
      </w:r>
    </w:p>
    <w:p>
      <w:pPr>
        <w:pStyle w:val="ListParagraph"/>
        <w:numPr>
          <w:ilvl w:val="0"/>
          <w:numId w:val="59"/>
        </w:numPr>
        <w:rPr/>
      </w:pPr>
      <w:r>
        <w:rPr/>
        <w:t>Partners</w:t>
      </w:r>
    </w:p>
    <w:p>
      <w:pPr>
        <w:pStyle w:val="ListParagraph"/>
        <w:numPr>
          <w:ilvl w:val="0"/>
          <w:numId w:val="59"/>
        </w:numPr>
        <w:rPr/>
      </w:pPr>
      <w:r>
        <w:rPr/>
        <w:t>Guests</w:t>
      </w:r>
    </w:p>
    <w:p>
      <w:pPr>
        <w:pStyle w:val="ListParagraph"/>
        <w:numPr>
          <w:ilvl w:val="0"/>
          <w:numId w:val="59"/>
        </w:numPr>
        <w:rPr/>
      </w:pPr>
      <w:r>
        <w:rPr/>
        <w:t>Maintenance Personnel</w:t>
      </w:r>
    </w:p>
    <w:p>
      <w:pPr>
        <w:pStyle w:val="ListParagraph"/>
        <w:numPr>
          <w:ilvl w:val="0"/>
          <w:numId w:val="59"/>
        </w:numPr>
        <w:rPr/>
      </w:pPr>
      <w:r>
        <w:rPr/>
        <w:t>Cleaning / Janitorial</w:t>
      </w:r>
    </w:p>
    <w:p>
      <w:pPr>
        <w:pStyle w:val="Normal"/>
        <w:rPr/>
      </w:pPr>
      <w:r>
        <w:rPr/>
      </w:r>
    </w:p>
    <w:p>
      <w:pPr>
        <w:pStyle w:val="Normal"/>
        <w:rPr/>
      </w:pPr>
      <w:r>
        <w:rPr/>
      </w:r>
    </w:p>
    <w:p>
      <w:pPr>
        <w:pStyle w:val="Heading2"/>
        <w:rPr/>
      </w:pPr>
      <w:bookmarkStart w:id="1518" w:name="_Toc474075226"/>
      <w:bookmarkStart w:id="1519" w:name="_Toc474075739"/>
      <w:bookmarkStart w:id="1520" w:name="_Toc34921121"/>
      <w:r>
        <w:rPr/>
        <w:t>PES-03: Physical Access Control</w:t>
      </w:r>
      <w:bookmarkEnd w:id="1518"/>
      <w:bookmarkEnd w:id="1519"/>
      <w:bookmarkEnd w:id="1520"/>
      <w:r>
        <w:rPr/>
        <w:t xml:space="preserve"> </w:t>
      </w:r>
    </w:p>
    <w:p>
      <w:pPr>
        <w:pStyle w:val="Normal"/>
        <w:rPr/>
      </w:pPr>
      <w:r>
        <w:rPr>
          <w:u w:val="single"/>
        </w:rPr>
        <w:t>Control Objective</w:t>
      </w:r>
      <w:r>
        <w:rPr/>
        <w:t>: The organization:</w:t>
      </w:r>
      <w:r>
        <w:rPr>
          <w:rStyle w:val="FootnoteAnchor"/>
          <w:rStyle w:val="FootnoteAnchor"/>
          <w:rFonts w:cs="Calibri"/>
        </w:rPr>
        <w:footnoteReference w:id="486"/>
      </w:r>
      <w:r>
        <w:rPr/>
        <w:t xml:space="preserve"> </w:t>
      </w:r>
    </w:p>
    <w:p>
      <w:pPr>
        <w:pStyle w:val="ListParagraph"/>
        <w:numPr>
          <w:ilvl w:val="0"/>
          <w:numId w:val="61"/>
        </w:numPr>
        <w:rPr/>
      </w:pPr>
      <w:r>
        <w:rPr/>
        <w:t>Enforces physical access authorizations for all physical access points (including designated entry / exit points) to the facility where the system resides (excluding those areas within the facility officially designated as publicly accessible);</w:t>
      </w:r>
    </w:p>
    <w:p>
      <w:pPr>
        <w:pStyle w:val="ListParagraph"/>
        <w:numPr>
          <w:ilvl w:val="0"/>
          <w:numId w:val="61"/>
        </w:numPr>
        <w:rPr/>
      </w:pPr>
      <w:r>
        <w:rPr/>
        <w:t>Verifies individual access authorizations before granting access to the facility;</w:t>
      </w:r>
    </w:p>
    <w:p>
      <w:pPr>
        <w:pStyle w:val="ListParagraph"/>
        <w:numPr>
          <w:ilvl w:val="0"/>
          <w:numId w:val="61"/>
        </w:numPr>
        <w:rPr/>
      </w:pPr>
      <w:r>
        <w:rPr/>
        <w:t>Controls entry to the facility containing the system using physical access devices and / or guards;</w:t>
      </w:r>
    </w:p>
    <w:p>
      <w:pPr>
        <w:pStyle w:val="ListParagraph"/>
        <w:numPr>
          <w:ilvl w:val="0"/>
          <w:numId w:val="61"/>
        </w:numPr>
        <w:rPr/>
      </w:pPr>
      <w:r>
        <w:rPr/>
        <w:t>Controls access to areas officially designated as publicly accessible in accordance with the organization’s assessment of risk;</w:t>
      </w:r>
    </w:p>
    <w:p>
      <w:pPr>
        <w:pStyle w:val="ListParagraph"/>
        <w:numPr>
          <w:ilvl w:val="0"/>
          <w:numId w:val="61"/>
        </w:numPr>
        <w:rPr/>
      </w:pPr>
      <w:r>
        <w:rPr/>
        <w:t>Secures keys, combinations and other physical access devices; and</w:t>
      </w:r>
    </w:p>
    <w:p>
      <w:pPr>
        <w:pStyle w:val="ListParagraph"/>
        <w:numPr>
          <w:ilvl w:val="0"/>
          <w:numId w:val="61"/>
        </w:numPr>
        <w:rPr/>
      </w:pPr>
      <w:r>
        <w:rPr/>
        <w:t>Changes combinations and keys and when keys are lost, combinations are compromised or individuals are transferred or terminated.</w:t>
      </w:r>
    </w:p>
    <w:p>
      <w:pPr>
        <w:pStyle w:val="Normal"/>
        <w:rPr/>
      </w:pPr>
      <w:r>
        <w:rPr/>
      </w:r>
    </w:p>
    <w:p>
      <w:pPr>
        <w:pStyle w:val="Normal"/>
        <w:rPr/>
      </w:pPr>
      <w:r>
        <w:rPr>
          <w:u w:val="single"/>
        </w:rPr>
        <w:t>Standard</w:t>
      </w:r>
      <w:r>
        <w:rPr/>
        <w:t>: Physical security perimeters (e.g., fences, walls, barriers, guards, gates, electronic surveillance, physical authentication mechanisms, reception desks and security patrols) shall be implemented to safeguard sensitive data and systems. This includes, but is not limited to:</w:t>
      </w:r>
    </w:p>
    <w:p>
      <w:pPr>
        <w:pStyle w:val="ListParagraph"/>
        <w:numPr>
          <w:ilvl w:val="0"/>
          <w:numId w:val="429"/>
        </w:numPr>
        <w:rPr/>
      </w:pPr>
      <w:r>
        <w:rPr/>
        <w:t>Use video cameras and / or access control mechanisms to limit and monitor physical access to the facility and systems;</w:t>
      </w:r>
    </w:p>
    <w:p>
      <w:pPr>
        <w:pStyle w:val="ListParagraph"/>
        <w:numPr>
          <w:ilvl w:val="0"/>
          <w:numId w:val="429"/>
        </w:numPr>
        <w:rPr/>
      </w:pPr>
      <w:r>
        <w:rPr/>
        <w:t>Enforce physical access authorizations for all physical access points (including designated entry / exit points) to company-owned or operated facilities;</w:t>
      </w:r>
    </w:p>
    <w:p>
      <w:pPr>
        <w:pStyle w:val="ListParagraph"/>
        <w:numPr>
          <w:ilvl w:val="0"/>
          <w:numId w:val="429"/>
        </w:numPr>
        <w:rPr/>
      </w:pPr>
      <w:r>
        <w:rPr/>
        <w:t>Verify individual access authorizations before granting access to the facility;</w:t>
      </w:r>
    </w:p>
    <w:p>
      <w:pPr>
        <w:pStyle w:val="ListParagraph"/>
        <w:numPr>
          <w:ilvl w:val="0"/>
          <w:numId w:val="429"/>
        </w:numPr>
        <w:rPr/>
      </w:pPr>
      <w:r>
        <w:rPr/>
        <w:t>Control access to areas based on the physical security zone requirements;</w:t>
      </w:r>
    </w:p>
    <w:p>
      <w:pPr>
        <w:pStyle w:val="ListParagraph"/>
        <w:numPr>
          <w:ilvl w:val="0"/>
          <w:numId w:val="429"/>
        </w:numPr>
        <w:rPr/>
      </w:pPr>
      <w:r>
        <w:rPr/>
        <w:t xml:space="preserve">Secure keys, combinations and other physical access devices; </w:t>
      </w:r>
    </w:p>
    <w:p>
      <w:pPr>
        <w:pStyle w:val="ListParagraph"/>
        <w:numPr>
          <w:ilvl w:val="0"/>
          <w:numId w:val="429"/>
        </w:numPr>
        <w:rPr/>
      </w:pPr>
      <w:r>
        <w:rPr/>
        <w:t>Change combinations and keys and when keys are lost, combinations are compromised or when individuals are transferred or terminated; and</w:t>
      </w:r>
    </w:p>
    <w:p>
      <w:pPr>
        <w:pStyle w:val="ListParagraph"/>
        <w:numPr>
          <w:ilvl w:val="0"/>
          <w:numId w:val="429"/>
        </w:numPr>
        <w:rPr/>
      </w:pPr>
      <w:r>
        <w:rPr/>
        <w:t>Issue visitors a physical token (e.g., a badge or access device) that:</w:t>
      </w:r>
    </w:p>
    <w:p>
      <w:pPr>
        <w:pStyle w:val="ListParagraph"/>
        <w:numPr>
          <w:ilvl w:val="1"/>
          <w:numId w:val="429"/>
        </w:numPr>
        <w:rPr/>
      </w:pPr>
      <w:r>
        <w:rPr/>
        <w:t>Identifies the visitors as not onsite personnel;</w:t>
      </w:r>
    </w:p>
    <w:p>
      <w:pPr>
        <w:pStyle w:val="ListParagraph"/>
        <w:numPr>
          <w:ilvl w:val="1"/>
          <w:numId w:val="429"/>
        </w:numPr>
        <w:rPr/>
      </w:pPr>
      <w:r>
        <w:rPr/>
        <w:t>Must be surrendered before leaving the facility or at the date of expiration; and</w:t>
      </w:r>
    </w:p>
    <w:p>
      <w:pPr>
        <w:pStyle w:val="ListParagraph"/>
        <w:numPr>
          <w:ilvl w:val="1"/>
          <w:numId w:val="429"/>
        </w:numPr>
        <w:rPr/>
      </w:pPr>
      <w:r>
        <w:rPr/>
        <w:t>Expires through automated or visual means (e.g., different color for each day).</w:t>
      </w:r>
    </w:p>
    <w:p>
      <w:pPr>
        <w:pStyle w:val="Normal"/>
        <w:rPr/>
      </w:pPr>
      <w:r>
        <w:rPr/>
      </w:r>
    </w:p>
    <w:p>
      <w:pPr>
        <w:pStyle w:val="Normal"/>
        <w:rPr/>
      </w:pPr>
      <w:r>
        <w:rPr>
          <w:u w:val="single"/>
        </w:rPr>
        <w:t>Guidelines</w:t>
      </w:r>
      <w:r>
        <w:rPr/>
        <w:t xml:space="preserve">: This applies to organizational employees and visitors. Individuals (e.g., employees, contractors and others) with permanent physical access authorization credentials are not considered visitors. Organizations determine the types of facility guards needed including, for example, professional physical security staff or other personnel such as administrative staff or system users. Physical access devices include, for example, keys, locks, combinations and card readers. Safeguards for publicly accessible areas within organizational facilities include for example, cameras, monitoring by guards, isolating selected systems / components in secured areas. Components of systems (e.g., workstations, computer terminals) may be located in areas designated as publicly accessible with organizations safeguarding access to such devices. </w:t>
      </w:r>
    </w:p>
    <w:p>
      <w:pPr>
        <w:pStyle w:val="Normal"/>
        <w:rPr/>
      </w:pPr>
      <w:r>
        <w:rPr/>
      </w:r>
    </w:p>
    <w:p>
      <w:pPr>
        <w:pStyle w:val="Heading3"/>
        <w:rPr/>
      </w:pPr>
      <w:bookmarkStart w:id="1521" w:name="_Toc474075227"/>
      <w:bookmarkStart w:id="1522" w:name="_Toc34921122"/>
      <w:r>
        <w:rPr/>
        <w:t>PES-03(a): Physical Access Control | Controlled Ingress &amp; Egress Points</w:t>
      </w:r>
      <w:bookmarkEnd w:id="1521"/>
      <w:bookmarkEnd w:id="1522"/>
      <w:r>
        <w:rPr/>
        <w:t xml:space="preserve"> </w:t>
      </w:r>
    </w:p>
    <w:p>
      <w:pPr>
        <w:pStyle w:val="Normal"/>
        <w:rPr/>
      </w:pPr>
      <w:r>
        <w:rPr>
          <w:u w:val="single"/>
        </w:rPr>
        <w:t>Control Objective</w:t>
      </w:r>
      <w:r>
        <w:rPr/>
        <w:t>: The organization implements appropriate facility entry controls to limit and monitor physical access.</w:t>
      </w:r>
      <w:r>
        <w:rPr>
          <w:rStyle w:val="FootnoteCharacters"/>
          <w:rFonts w:cs="Calibri"/>
        </w:rPr>
        <w:t xml:space="preserve"> </w:t>
      </w:r>
    </w:p>
    <w:p>
      <w:pPr>
        <w:pStyle w:val="Normal"/>
        <w:rPr/>
      </w:pPr>
      <w:r>
        <w:rPr/>
      </w:r>
    </w:p>
    <w:p>
      <w:pPr>
        <w:pStyle w:val="Normal"/>
        <w:rPr/>
      </w:pPr>
      <w:r>
        <w:rPr>
          <w:u w:val="single"/>
        </w:rPr>
        <w:t>Standard</w:t>
      </w:r>
      <w:r>
        <w:rPr/>
        <w:t>: Ingress and egress points such as service areas and other points where unauthorized personnel may enter the premises shall be constrained, controlled and monitored by:</w:t>
      </w:r>
    </w:p>
    <w:p>
      <w:pPr>
        <w:pStyle w:val="ListParagraph"/>
        <w:numPr>
          <w:ilvl w:val="0"/>
          <w:numId w:val="430"/>
        </w:numPr>
        <w:rPr/>
      </w:pPr>
      <w:r>
        <w:rPr/>
        <w:t>Requiring appropriate facility entry controls to limit and monitor physical access to systems, including but not limited to:</w:t>
      </w:r>
      <w:r>
        <w:rPr>
          <w:rStyle w:val="FootnoteCharacters"/>
          <w:rFonts w:cs="Calibri"/>
        </w:rPr>
        <w:t xml:space="preserve"> </w:t>
      </w:r>
    </w:p>
    <w:p>
      <w:pPr>
        <w:pStyle w:val="ListParagraph"/>
        <w:numPr>
          <w:ilvl w:val="1"/>
          <w:numId w:val="430"/>
        </w:numPr>
        <w:rPr/>
      </w:pPr>
      <w:r>
        <w:rPr/>
        <w:t>Using video cameras and / or access control mechanisms to monitor individual physical access to sensitive areas. Review collected data and correlate with other entries:</w:t>
      </w:r>
      <w:r>
        <w:rPr>
          <w:rStyle w:val="FootnoteCharacters"/>
          <w:rFonts w:cs="Calibri"/>
        </w:rPr>
        <w:t xml:space="preserve"> </w:t>
      </w:r>
    </w:p>
    <w:p>
      <w:pPr>
        <w:pStyle w:val="ListParagraph"/>
        <w:numPr>
          <w:ilvl w:val="2"/>
          <w:numId w:val="430"/>
        </w:numPr>
        <w:rPr/>
      </w:pPr>
      <w:r>
        <w:rPr/>
        <w:t>Video surveillance footage must be readily accessible for at least three (3) months, unless otherwise restricted by law; and</w:t>
      </w:r>
    </w:p>
    <w:p>
      <w:pPr>
        <w:pStyle w:val="ListParagraph"/>
        <w:numPr>
          <w:ilvl w:val="2"/>
          <w:numId w:val="430"/>
        </w:numPr>
        <w:rPr/>
      </w:pPr>
      <w:r>
        <w:rPr/>
        <w:t>Access control mechanisms (e.g., sign-in sheets) must be readily accessible for at least three (3) months;</w:t>
      </w:r>
    </w:p>
    <w:p>
      <w:pPr>
        <w:pStyle w:val="ListParagraph"/>
        <w:numPr>
          <w:ilvl w:val="1"/>
          <w:numId w:val="430"/>
        </w:numPr>
        <w:rPr/>
      </w:pPr>
      <w:r>
        <w:rPr/>
        <w:t>Restricting physical access to publicly accessible network jacks, by either:</w:t>
      </w:r>
      <w:r>
        <w:rPr>
          <w:rStyle w:val="FootnoteCharacters"/>
          <w:rFonts w:cs="Calibri"/>
        </w:rPr>
        <w:t xml:space="preserve"> </w:t>
      </w:r>
    </w:p>
    <w:p>
      <w:pPr>
        <w:pStyle w:val="ListParagraph"/>
        <w:numPr>
          <w:ilvl w:val="2"/>
          <w:numId w:val="430"/>
        </w:numPr>
        <w:rPr/>
      </w:pPr>
      <w:r>
        <w:rPr/>
        <w:t>Preventing physical access to the network jack; or</w:t>
      </w:r>
    </w:p>
    <w:p>
      <w:pPr>
        <w:pStyle w:val="ListParagraph"/>
        <w:numPr>
          <w:ilvl w:val="2"/>
          <w:numId w:val="430"/>
        </w:numPr>
        <w:rPr/>
      </w:pPr>
      <w:r>
        <w:rPr/>
        <w:t>Disconnecting unused or publicly accessible network jacks at the patch panel;</w:t>
      </w:r>
    </w:p>
    <w:p>
      <w:pPr>
        <w:pStyle w:val="ListParagraph"/>
        <w:numPr>
          <w:ilvl w:val="1"/>
          <w:numId w:val="430"/>
        </w:numPr>
        <w:rPr/>
      </w:pPr>
      <w:r>
        <w:rPr/>
        <w:t xml:space="preserve">Restricting physical access to Wireless Access Points (WAPs), gateways, handheld devices, networking / communications hardware and telecommunication lines; and </w:t>
      </w:r>
    </w:p>
    <w:p>
      <w:pPr>
        <w:pStyle w:val="ListParagraph"/>
        <w:numPr>
          <w:ilvl w:val="0"/>
          <w:numId w:val="430"/>
        </w:numPr>
        <w:rPr/>
      </w:pPr>
      <w:r>
        <w:rPr/>
        <w:t xml:space="preserve">If possible, isolating data storage and processing facilities to prevent unauthorized data corruption, compromise and loss. </w:t>
      </w:r>
    </w:p>
    <w:p>
      <w:pPr>
        <w:pStyle w:val="ListParagraph"/>
        <w:rPr/>
      </w:pPr>
      <w:r>
        <w:rPr/>
      </w:r>
    </w:p>
    <w:p>
      <w:pPr>
        <w:pStyle w:val="Normal"/>
        <w:rPr>
          <w:b/>
          <w:b/>
        </w:rPr>
      </w:pPr>
      <w:r>
        <w:rPr>
          <w:u w:val="single"/>
        </w:rPr>
        <w:t>Guidelines</w:t>
      </w:r>
      <w:r>
        <w:rPr/>
        <w:t>: Access control mechanisms may be as simple as a sign-in sheet to monitor individual access to sensitive areas, if video surveillance capabilities are not available.</w:t>
      </w:r>
    </w:p>
    <w:p>
      <w:pPr>
        <w:pStyle w:val="Normal"/>
        <w:rPr/>
      </w:pPr>
      <w:r>
        <w:rPr/>
      </w:r>
    </w:p>
    <w:p>
      <w:pPr>
        <w:pStyle w:val="Heading3"/>
        <w:rPr/>
      </w:pPr>
      <w:bookmarkStart w:id="1523" w:name="_Toc474075228"/>
      <w:bookmarkStart w:id="1524" w:name="_Toc34921123"/>
      <w:r>
        <w:rPr/>
        <w:t>PES-03(b): Physical Access Control | Lockable Physical Casings</w:t>
      </w:r>
      <w:bookmarkEnd w:id="1523"/>
      <w:bookmarkEnd w:id="1524"/>
    </w:p>
    <w:p>
      <w:pPr>
        <w:pStyle w:val="Normal"/>
        <w:rPr/>
      </w:pPr>
      <w:r>
        <w:rPr>
          <w:u w:val="single"/>
        </w:rPr>
        <w:t>Control Objective</w:t>
      </w:r>
      <w:r>
        <w:rPr/>
        <w:t xml:space="preserve">: The organization uses lockable physical casings to protect organization-defined system components from unauthorized physical access. </w:t>
      </w:r>
      <w:r>
        <w:rPr>
          <w:rStyle w:val="FootnoteAnchor"/>
          <w:rStyle w:val="FootnoteAnchor"/>
        </w:rPr>
        <w:footnoteReference w:id="487"/>
      </w:r>
    </w:p>
    <w:p>
      <w:pPr>
        <w:pStyle w:val="Normal"/>
        <w:rPr/>
      </w:pPr>
      <w:r>
        <w:rPr/>
      </w:r>
    </w:p>
    <w:p>
      <w:pPr>
        <w:pStyle w:val="Normal"/>
        <w:rPr/>
      </w:pPr>
      <w:r>
        <w:rPr>
          <w:u w:val="single"/>
        </w:rPr>
        <w:t>Standard</w:t>
      </w:r>
      <w:r>
        <w:rPr/>
        <w:t>: NFCC is required to protect sensitive systems from physical tampering or alteration of hardware components by utilizing lockable physical casings.</w:t>
      </w:r>
    </w:p>
    <w:p>
      <w:pPr>
        <w:pStyle w:val="Normal"/>
        <w:rPr/>
      </w:pPr>
      <w:r>
        <w:rPr/>
      </w:r>
    </w:p>
    <w:p>
      <w:pPr>
        <w:pStyle w:val="Normal"/>
        <w:rPr/>
      </w:pPr>
      <w:r>
        <w:rPr>
          <w:u w:val="single"/>
        </w:rPr>
        <w:t>Guidelines</w:t>
      </w:r>
      <w:r>
        <w:rPr/>
        <w:t>: Lockable physical casings are primarily associated with rack-mounted hardware.</w:t>
      </w:r>
    </w:p>
    <w:p>
      <w:pPr>
        <w:pStyle w:val="Normal"/>
        <w:rPr/>
      </w:pPr>
      <w:r>
        <w:rPr/>
      </w:r>
    </w:p>
    <w:p>
      <w:pPr>
        <w:pStyle w:val="Heading3"/>
        <w:rPr/>
      </w:pPr>
      <w:bookmarkStart w:id="1525" w:name="_Toc474075230"/>
      <w:bookmarkStart w:id="1526" w:name="_Toc34921124"/>
      <w:r>
        <w:rPr/>
        <w:t>PES-03(c): Physical Access Control | Physical Access Logs</w:t>
      </w:r>
      <w:bookmarkEnd w:id="1525"/>
      <w:bookmarkEnd w:id="1526"/>
      <w:r>
        <w:rPr/>
        <w:t xml:space="preserve"> </w:t>
      </w:r>
    </w:p>
    <w:p>
      <w:pPr>
        <w:pStyle w:val="Normal"/>
        <w:rPr/>
      </w:pPr>
      <w:r>
        <w:rPr>
          <w:u w:val="single"/>
        </w:rPr>
        <w:t>Control Objective</w:t>
      </w:r>
      <w:r>
        <w:rPr/>
        <w:t>: The physical access control system generates a log entry for each access and the organization:</w:t>
      </w:r>
      <w:r>
        <w:rPr>
          <w:rStyle w:val="FootnoteAnchor"/>
          <w:rStyle w:val="FootnoteAnchor"/>
          <w:rFonts w:cs="Calibri"/>
        </w:rPr>
        <w:footnoteReference w:id="488"/>
      </w:r>
      <w:r>
        <w:rPr/>
        <w:t xml:space="preserve"> </w:t>
      </w:r>
    </w:p>
    <w:p>
      <w:pPr>
        <w:pStyle w:val="ListParagraph"/>
        <w:numPr>
          <w:ilvl w:val="0"/>
          <w:numId w:val="544"/>
        </w:numPr>
        <w:rPr/>
      </w:pPr>
      <w:r>
        <w:rPr/>
        <w:t>Maintains visitor access records to facilities (except for those areas within the facility officially designated as publicly accessible); and</w:t>
      </w:r>
    </w:p>
    <w:p>
      <w:pPr>
        <w:pStyle w:val="ListParagraph"/>
        <w:numPr>
          <w:ilvl w:val="0"/>
          <w:numId w:val="544"/>
        </w:numPr>
        <w:rPr/>
      </w:pPr>
      <w:r>
        <w:rPr/>
        <w:t>Reviews visitor access records.</w:t>
      </w:r>
    </w:p>
    <w:p>
      <w:pPr>
        <w:pStyle w:val="Normal"/>
        <w:rPr/>
      </w:pPr>
      <w:r>
        <w:rPr/>
      </w:r>
    </w:p>
    <w:p>
      <w:pPr>
        <w:pStyle w:val="Normal"/>
        <w:rPr>
          <w:rFonts w:cs="Calibri"/>
        </w:rPr>
      </w:pPr>
      <w:r>
        <w:rPr>
          <w:rFonts w:cs="Calibri"/>
          <w:u w:val="single"/>
        </w:rPr>
        <w:t>Standard</w:t>
      </w:r>
      <w:r>
        <w:rPr>
          <w:rFonts w:cs="Calibri"/>
        </w:rPr>
        <w:t>: NFCC is required to:</w:t>
      </w:r>
    </w:p>
    <w:p>
      <w:pPr>
        <w:pStyle w:val="ListParagraph"/>
        <w:numPr>
          <w:ilvl w:val="0"/>
          <w:numId w:val="432"/>
        </w:numPr>
        <w:rPr>
          <w:rFonts w:eastAsia="Calibri"/>
        </w:rPr>
      </w:pPr>
      <w:r>
        <w:rPr>
          <w:rFonts w:cs="Calibri"/>
        </w:rPr>
        <w:t xml:space="preserve">Configure </w:t>
      </w:r>
      <w:r>
        <w:rPr>
          <w:rFonts w:eastAsia="Calibri"/>
        </w:rPr>
        <w:t>access control systems to log the following information:</w:t>
      </w:r>
    </w:p>
    <w:p>
      <w:pPr>
        <w:pStyle w:val="ListParagraph"/>
        <w:numPr>
          <w:ilvl w:val="1"/>
          <w:numId w:val="432"/>
        </w:numPr>
        <w:rPr>
          <w:rFonts w:eastAsia="Calibri"/>
        </w:rPr>
      </w:pPr>
      <w:r>
        <w:rPr>
          <w:rFonts w:eastAsia="Calibri"/>
        </w:rPr>
        <w:t>Physical location of the access;</w:t>
      </w:r>
    </w:p>
    <w:p>
      <w:pPr>
        <w:pStyle w:val="ListParagraph"/>
        <w:numPr>
          <w:ilvl w:val="1"/>
          <w:numId w:val="432"/>
        </w:numPr>
        <w:rPr>
          <w:rFonts w:eastAsia="Calibri"/>
        </w:rPr>
      </w:pPr>
      <w:r>
        <w:rPr>
          <w:rFonts w:eastAsia="Calibri"/>
        </w:rPr>
        <w:t>Direction of access, if possible (e.g., ingress or egress);</w:t>
      </w:r>
    </w:p>
    <w:p>
      <w:pPr>
        <w:pStyle w:val="ListParagraph"/>
        <w:numPr>
          <w:ilvl w:val="1"/>
          <w:numId w:val="432"/>
        </w:numPr>
        <w:rPr>
          <w:rFonts w:eastAsia="Calibri"/>
        </w:rPr>
      </w:pPr>
      <w:r>
        <w:rPr>
          <w:rFonts w:eastAsia="Calibri"/>
        </w:rPr>
        <w:t>Identity of the person accessing the location; and</w:t>
      </w:r>
    </w:p>
    <w:p>
      <w:pPr>
        <w:pStyle w:val="ListParagraph"/>
        <w:numPr>
          <w:ilvl w:val="1"/>
          <w:numId w:val="432"/>
        </w:numPr>
        <w:rPr>
          <w:rFonts w:eastAsia="Calibri"/>
        </w:rPr>
      </w:pPr>
      <w:r>
        <w:rPr>
          <w:rFonts w:eastAsia="Calibri"/>
        </w:rPr>
        <w:t xml:space="preserve">Indication of success or failure; and </w:t>
      </w:r>
    </w:p>
    <w:p>
      <w:pPr>
        <w:pStyle w:val="ListParagraph"/>
        <w:numPr>
          <w:ilvl w:val="0"/>
          <w:numId w:val="432"/>
        </w:numPr>
        <w:rPr/>
      </w:pPr>
      <w:r>
        <w:rPr/>
        <w:t>Use a visitor log to maintain a physical audit trail of visitor activity:</w:t>
      </w:r>
    </w:p>
    <w:p>
      <w:pPr>
        <w:pStyle w:val="ListParagraph"/>
        <w:numPr>
          <w:ilvl w:val="1"/>
          <w:numId w:val="432"/>
        </w:numPr>
        <w:rPr/>
      </w:pPr>
      <w:r>
        <w:rPr/>
        <w:t>At a minimum, document the visitor’s name, the company represented and the onsite personnel authorizing physical access; and</w:t>
      </w:r>
    </w:p>
    <w:p>
      <w:pPr>
        <w:pStyle w:val="ListParagraph"/>
        <w:numPr>
          <w:ilvl w:val="1"/>
          <w:numId w:val="432"/>
        </w:numPr>
        <w:rPr/>
      </w:pPr>
      <w:r>
        <w:rPr/>
        <w:t xml:space="preserve">Retain this log for a minimum of three months, unless otherwise restricted by law. </w:t>
      </w:r>
    </w:p>
    <w:p>
      <w:pPr>
        <w:pStyle w:val="Normal"/>
        <w:rPr/>
      </w:pPr>
      <w:r>
        <w:rPr/>
      </w:r>
    </w:p>
    <w:p>
      <w:pPr>
        <w:pStyle w:val="Normal"/>
        <w:rPr/>
      </w:pPr>
      <w:r>
        <w:rPr>
          <w:u w:val="single"/>
        </w:rPr>
        <w:t>Guidelines</w:t>
      </w:r>
      <w:r>
        <w:rPr/>
        <w:t>: Visitor access records include, for example, names and organizations of persons visiting, visitor signatures, forms of identification, dates of access, entry and departure times, purposes of visits and names and organizations of persons visited. Visitor access records are not required for publicly accessible areas.</w:t>
      </w:r>
    </w:p>
    <w:p>
      <w:pPr>
        <w:pStyle w:val="Normal"/>
        <w:rPr/>
      </w:pPr>
      <w:r>
        <w:rPr/>
      </w:r>
    </w:p>
    <w:p>
      <w:pPr>
        <w:pStyle w:val="Heading3"/>
        <w:rPr/>
      </w:pPr>
      <w:bookmarkStart w:id="1527" w:name="_Toc23241864"/>
      <w:bookmarkStart w:id="1528" w:name="_Toc34921125"/>
      <w:r>
        <w:rPr/>
        <w:t>PES-03(d): Physical Access Control | Access To Information Systems</w:t>
      </w:r>
      <w:bookmarkEnd w:id="1527"/>
      <w:bookmarkEnd w:id="1528"/>
      <w:r>
        <w:rPr/>
        <w:t xml:space="preserve">  </w:t>
      </w:r>
    </w:p>
    <w:p>
      <w:pPr>
        <w:pStyle w:val="Normal"/>
        <w:rPr/>
      </w:pPr>
      <w:r>
        <w:rPr>
          <w:rFonts w:cs="Calibri"/>
          <w:u w:val="single"/>
        </w:rPr>
        <w:t>Control Objective</w:t>
      </w:r>
      <w:r>
        <w:rPr>
          <w:rFonts w:cs="Calibri"/>
        </w:rPr>
        <w:t xml:space="preserve">: </w:t>
      </w:r>
      <w:r>
        <w:rPr/>
        <w:t>The organization enforces physical access authorizations to the information system in addition to the physical access controls for the facility at organization-defined physical spaces containing one or more components of the information system.</w:t>
      </w:r>
      <w:r>
        <w:rPr>
          <w:rStyle w:val="FootnoteCharacters"/>
          <w:rFonts w:cs="Calibri"/>
        </w:rPr>
        <w:t xml:space="preserve"> </w:t>
      </w:r>
      <w:r>
        <w:rPr>
          <w:rStyle w:val="FootnoteAnchor"/>
          <w:rStyle w:val="FootnoteAnchor"/>
          <w:rFonts w:cs="Calibri"/>
        </w:rPr>
        <w:footnoteReference w:id="489"/>
      </w:r>
      <w:r>
        <w:rPr/>
        <w:t xml:space="preserve">  </w:t>
      </w:r>
    </w:p>
    <w:p>
      <w:pPr>
        <w:pStyle w:val="Normal"/>
        <w:rPr>
          <w:rFonts w:cs="Calibri"/>
        </w:rPr>
      </w:pPr>
      <w:r>
        <w:rPr>
          <w:rFonts w:cs="Calibri"/>
        </w:rPr>
      </w:r>
    </w:p>
    <w:p>
      <w:pPr>
        <w:pStyle w:val="Normal"/>
        <w:rPr/>
      </w:pPr>
      <w:r>
        <w:rPr>
          <w:rFonts w:cs="Calibri"/>
          <w:u w:val="single"/>
        </w:rPr>
        <w:t>Standard</w:t>
      </w:r>
      <w:r>
        <w:rPr>
          <w:rFonts w:cs="Calibri"/>
        </w:rPr>
        <w:t xml:space="preserve">: </w:t>
      </w:r>
      <w:r>
        <w:rPr>
          <w:rFonts w:cs="Calibri"/>
          <w:bCs w:val="false"/>
          <w:u w:val="single"/>
        </w:rPr>
        <w:t>Standard</w:t>
      </w:r>
      <w:r>
        <w:rPr>
          <w:rFonts w:cs="Calibri"/>
          <w:bCs w:val="false"/>
        </w:rPr>
        <w:t xml:space="preserve">: NFCC </w:t>
      </w:r>
      <w:r>
        <w:rPr/>
        <w:t>requires the following workplace security precautions:</w:t>
      </w:r>
    </w:p>
    <w:p>
      <w:pPr>
        <w:pStyle w:val="ListParagraph"/>
        <w:numPr>
          <w:ilvl w:val="0"/>
          <w:numId w:val="614"/>
        </w:numPr>
        <w:rPr>
          <w:rFonts w:cs="Calibri"/>
          <w:szCs w:val="22"/>
        </w:rPr>
      </w:pPr>
      <w:r>
        <w:rPr>
          <w:rFonts w:cs="Calibri"/>
        </w:rPr>
        <w:t>In data center environments, facilities management is required to i</w:t>
      </w:r>
      <w:r>
        <w:rPr/>
        <w:t>mplement physical access authorization mechanisms, such as:</w:t>
      </w:r>
    </w:p>
    <w:p>
      <w:pPr>
        <w:pStyle w:val="ListParagraph"/>
        <w:numPr>
          <w:ilvl w:val="1"/>
          <w:numId w:val="614"/>
        </w:numPr>
        <w:rPr>
          <w:rFonts w:cs="Calibri"/>
          <w:szCs w:val="22"/>
        </w:rPr>
      </w:pPr>
      <w:r>
        <w:rPr/>
        <w:t>Proximity badges; or</w:t>
      </w:r>
    </w:p>
    <w:p>
      <w:pPr>
        <w:pStyle w:val="ListParagraph"/>
        <w:numPr>
          <w:ilvl w:val="1"/>
          <w:numId w:val="614"/>
        </w:numPr>
        <w:rPr>
          <w:rFonts w:cs="Calibri"/>
        </w:rPr>
      </w:pPr>
      <w:r>
        <w:rPr/>
        <w:t>Personalized PIN pad</w:t>
      </w:r>
    </w:p>
    <w:p>
      <w:pPr>
        <w:pStyle w:val="ListParagraph"/>
        <w:numPr>
          <w:ilvl w:val="0"/>
          <w:numId w:val="614"/>
        </w:numPr>
        <w:rPr/>
      </w:pPr>
      <w:r>
        <w:rPr/>
        <w:t>All work areas must be cleared of all media containing sensitive data when not occupied:</w:t>
      </w:r>
    </w:p>
    <w:p>
      <w:pPr>
        <w:pStyle w:val="ListParagraph"/>
        <w:numPr>
          <w:ilvl w:val="1"/>
          <w:numId w:val="614"/>
        </w:numPr>
        <w:rPr/>
      </w:pPr>
      <w:r>
        <w:rPr/>
        <w:t>Filing cabinets, lockable drawers / overhead cabinets, storage rooms and any other storage unit containing sensitive data will be locked when not in use; and</w:t>
      </w:r>
    </w:p>
    <w:p>
      <w:pPr>
        <w:pStyle w:val="ListParagraph"/>
        <w:numPr>
          <w:ilvl w:val="1"/>
          <w:numId w:val="614"/>
        </w:numPr>
        <w:rPr/>
      </w:pPr>
      <w:r>
        <w:rPr/>
        <w:t>Whiteboards, dry-erase boards, cork boards, writing tablets and similar common shared work areas will be sanitized (e.g., erased, removed or shredded) when not in use.</w:t>
      </w:r>
    </w:p>
    <w:p>
      <w:pPr>
        <w:pStyle w:val="Normal"/>
        <w:rPr>
          <w:rFonts w:cs="Calibri"/>
          <w:u w:val="single"/>
        </w:rPr>
      </w:pPr>
      <w:r>
        <w:rPr>
          <w:rFonts w:cs="Calibri"/>
          <w:u w:val="single"/>
        </w:rPr>
      </w:r>
    </w:p>
    <w:p>
      <w:pPr>
        <w:pStyle w:val="Normal"/>
        <w:rPr/>
      </w:pPr>
      <w:r>
        <w:rPr>
          <w:rFonts w:cs="Calibri"/>
          <w:u w:val="single"/>
        </w:rPr>
        <w:t>Guidelines</w:t>
      </w:r>
      <w:r>
        <w:rPr>
          <w:rFonts w:cs="Calibri"/>
        </w:rPr>
        <w:t xml:space="preserve">: </w:t>
      </w:r>
      <w:r>
        <w:rPr/>
        <w:t xml:space="preserve">This control enhancement provides additional physical security for those areas within facilities where there is a concentration of information system components (e.g., server rooms, media storage areas, data and communications centers). </w:t>
      </w:r>
    </w:p>
    <w:p>
      <w:pPr>
        <w:pStyle w:val="Normal"/>
        <w:rPr/>
      </w:pPr>
      <w:r>
        <w:rPr/>
      </w:r>
    </w:p>
    <w:p>
      <w:pPr>
        <w:pStyle w:val="Normal"/>
        <w:rPr>
          <w:rFonts w:cs="Calibri"/>
          <w:bCs w:val="false"/>
        </w:rPr>
      </w:pPr>
      <w:r>
        <w:rPr>
          <w:rFonts w:cs="Calibri"/>
          <w:bCs w:val="false"/>
        </w:rPr>
        <w:t>Physical security zones should be used to determine which areas are more vulnerable to unauthorized use, theft or viewing of data and appropriate physical safeguards should be implemented.</w:t>
      </w:r>
      <w:bookmarkStart w:id="1529" w:name="_Hlk27580130"/>
      <w:bookmarkEnd w:id="1529"/>
    </w:p>
    <w:p>
      <w:pPr>
        <w:pStyle w:val="Normal"/>
        <w:rPr/>
      </w:pPr>
      <w:r>
        <w:rPr/>
      </w:r>
    </w:p>
    <w:p>
      <w:pPr>
        <w:pStyle w:val="Normal"/>
        <w:rPr/>
      </w:pPr>
      <w:r>
        <w:rPr/>
      </w:r>
    </w:p>
    <w:p>
      <w:pPr>
        <w:pStyle w:val="Heading2"/>
        <w:rPr/>
      </w:pPr>
      <w:bookmarkStart w:id="1530" w:name="_Toc474075231"/>
      <w:bookmarkStart w:id="1531" w:name="_Toc474075740"/>
      <w:bookmarkStart w:id="1532" w:name="_Toc34921126"/>
      <w:r>
        <w:rPr/>
        <w:t>PES-04: Physical Security of Offices, Rooms &amp; Facilities</w:t>
      </w:r>
      <w:bookmarkEnd w:id="1530"/>
      <w:bookmarkEnd w:id="1531"/>
      <w:bookmarkEnd w:id="1532"/>
    </w:p>
    <w:p>
      <w:pPr>
        <w:pStyle w:val="Normal"/>
        <w:rPr/>
      </w:pPr>
      <w:r>
        <w:rPr>
          <w:u w:val="single"/>
        </w:rPr>
        <w:t>Control Objective</w:t>
      </w:r>
      <w:r>
        <w:rPr/>
        <w:t>: The organization designs and implements physical security measures for offices, rooms and facilities.</w:t>
      </w:r>
      <w:r>
        <w:rPr>
          <w:rStyle w:val="FootnoteAnchor"/>
          <w:rStyle w:val="FootnoteAnchor"/>
          <w:rFonts w:cs="Calibri"/>
        </w:rPr>
        <w:footnoteReference w:id="490"/>
      </w:r>
    </w:p>
    <w:p>
      <w:pPr>
        <w:pStyle w:val="Normal"/>
        <w:rPr/>
      </w:pPr>
      <w:r>
        <w:rPr/>
      </w:r>
    </w:p>
    <w:p>
      <w:pPr>
        <w:pStyle w:val="Normal"/>
        <w:rPr/>
      </w:pPr>
      <w:r>
        <w:rPr>
          <w:rFonts w:cs="Calibri"/>
          <w:u w:val="single"/>
        </w:rPr>
        <w:t>Standard</w:t>
      </w:r>
      <w:r>
        <w:rPr>
          <w:rFonts w:cs="Calibri"/>
        </w:rPr>
        <w:t xml:space="preserve">: NFCC </w:t>
      </w:r>
      <w:r>
        <w:rPr/>
        <w:t>requires the following workplace security precautions:</w:t>
      </w:r>
    </w:p>
    <w:p>
      <w:pPr>
        <w:pStyle w:val="ListParagraph"/>
        <w:numPr>
          <w:ilvl w:val="0"/>
          <w:numId w:val="433"/>
        </w:numPr>
        <w:rPr/>
      </w:pPr>
      <w:r>
        <w:rPr/>
        <w:t>Physical media must be properly disposed of, in accordance with document destruction policies;</w:t>
      </w:r>
    </w:p>
    <w:p>
      <w:pPr>
        <w:pStyle w:val="ListParagraph"/>
        <w:numPr>
          <w:ilvl w:val="0"/>
          <w:numId w:val="433"/>
        </w:numPr>
        <w:rPr/>
      </w:pPr>
      <w:r>
        <w:rPr/>
        <w:t>All work areas must be cleared of all media containing sensitive data when not occupied;</w:t>
      </w:r>
    </w:p>
    <w:p>
      <w:pPr>
        <w:pStyle w:val="ListParagraph"/>
        <w:numPr>
          <w:ilvl w:val="0"/>
          <w:numId w:val="433"/>
        </w:numPr>
        <w:rPr/>
      </w:pPr>
      <w:r>
        <w:rPr/>
        <w:t xml:space="preserve">Filing cabinets, lockable drawers / overhead cabinets, storage rooms and any other storage unit containing sensitive data will be locked when not in use; </w:t>
      </w:r>
    </w:p>
    <w:p>
      <w:pPr>
        <w:pStyle w:val="ListParagraph"/>
        <w:numPr>
          <w:ilvl w:val="0"/>
          <w:numId w:val="433"/>
        </w:numPr>
        <w:rPr/>
      </w:pPr>
      <w:r>
        <w:rPr/>
        <w:t xml:space="preserve">Whiteboards, dry-erase boards, cork boards, writing tablets and similar common shared work areas will be sanitized (e.g., erased, removed or shredded) when not in use; and </w:t>
      </w:r>
    </w:p>
    <w:p>
      <w:pPr>
        <w:pStyle w:val="ListParagraph"/>
        <w:numPr>
          <w:ilvl w:val="0"/>
          <w:numId w:val="433"/>
        </w:numPr>
        <w:rPr/>
      </w:pPr>
      <w:r>
        <w:rPr/>
        <w:t>NFCC’s Human Resources (HR) department is assigned the responsibility for controlling physical access for onsite personnel to sensitive areas, as follows:</w:t>
      </w:r>
      <w:r>
        <w:rPr>
          <w:rStyle w:val="FootnoteCharacters"/>
          <w:rFonts w:cs="Calibri"/>
        </w:rPr>
        <w:t xml:space="preserve"> </w:t>
      </w:r>
    </w:p>
    <w:p>
      <w:pPr>
        <w:pStyle w:val="ListParagraph"/>
        <w:numPr>
          <w:ilvl w:val="1"/>
          <w:numId w:val="433"/>
        </w:numPr>
        <w:rPr/>
      </w:pPr>
      <w:r>
        <w:rPr/>
        <w:t>Access must be authorized and based on individual job function; and</w:t>
      </w:r>
    </w:p>
    <w:p>
      <w:pPr>
        <w:pStyle w:val="ListParagraph"/>
        <w:numPr>
          <w:ilvl w:val="1"/>
          <w:numId w:val="433"/>
        </w:numPr>
        <w:rPr/>
      </w:pPr>
      <w:r>
        <w:rPr/>
        <w:t>Access is revoked immediately upon termination and all physical access mechanisms, such as keys, access cards, etc., are returned or disabled.</w:t>
      </w:r>
    </w:p>
    <w:p>
      <w:pPr>
        <w:pStyle w:val="Normal"/>
        <w:rPr/>
      </w:pPr>
      <w:r>
        <w:rPr/>
      </w:r>
    </w:p>
    <w:p>
      <w:pPr>
        <w:pStyle w:val="Normal"/>
        <w:rPr/>
      </w:pPr>
      <w:r>
        <w:rPr>
          <w:u w:val="single"/>
        </w:rPr>
        <w:t>Guidelines</w:t>
      </w:r>
      <w:r>
        <w:rPr/>
        <w:t>: The objective is to prevent unauthorized physical access, damage and interference to the organization’s information and information processing facilities.</w:t>
      </w:r>
      <w:r>
        <w:rPr>
          <w:rFonts w:cs="Calibri"/>
        </w:rPr>
        <w:t xml:space="preserve"> </w:t>
      </w:r>
      <w:r>
        <w:rPr/>
        <w:t>Controlling physical access helps ensure that only authorized personnel with a legitimate business need are granted access. When personnel leave the organization, all physical access mechanisms should be returned or disabled promptly (as soon as possible) upon their departure, to ensure personnel cannot gain physical access once their employment has ended.</w:t>
      </w:r>
    </w:p>
    <w:p>
      <w:pPr>
        <w:pStyle w:val="Normal"/>
        <w:rPr/>
      </w:pPr>
      <w:r>
        <w:rPr/>
      </w:r>
    </w:p>
    <w:p>
      <w:pPr>
        <w:pStyle w:val="Normal"/>
        <w:rPr/>
      </w:pPr>
      <w:r>
        <w:rPr/>
        <w:t xml:space="preserve">Physical security zones should be used to determine which areas are more vulnerable to unauthorized use, theft or viewing of data and appropriate physical safeguards should be implemented. </w:t>
      </w:r>
    </w:p>
    <w:p>
      <w:pPr>
        <w:pStyle w:val="Normal"/>
        <w:rPr/>
      </w:pPr>
      <w:r>
        <w:rPr/>
      </w:r>
    </w:p>
    <w:p>
      <w:pPr>
        <w:pStyle w:val="Heading3"/>
        <w:rPr/>
      </w:pPr>
      <w:bookmarkStart w:id="1533" w:name="_Toc474075232"/>
      <w:bookmarkStart w:id="1534" w:name="_Toc34921127"/>
      <w:r>
        <w:rPr/>
        <w:t>PES-04(a): Physical Security of Offices, Rooms &amp; Facilities | Working in Secure Areas</w:t>
      </w:r>
      <w:bookmarkEnd w:id="1533"/>
      <w:bookmarkEnd w:id="1534"/>
    </w:p>
    <w:p>
      <w:pPr>
        <w:pStyle w:val="Normal"/>
        <w:rPr/>
      </w:pPr>
      <w:r>
        <w:rPr>
          <w:u w:val="single"/>
        </w:rPr>
        <w:t>Control Objective</w:t>
      </w:r>
      <w:r>
        <w:rPr/>
        <w:t>: The organization protects secure areas with appropriate entry controls to ensure that only authorized personnel are allowed access.</w:t>
      </w:r>
      <w:r>
        <w:rPr>
          <w:rStyle w:val="FootnoteAnchor"/>
          <w:rStyle w:val="FootnoteAnchor"/>
          <w:rFonts w:cs="Calibri"/>
        </w:rPr>
        <w:footnoteReference w:id="491"/>
      </w:r>
    </w:p>
    <w:p>
      <w:pPr>
        <w:pStyle w:val="Normal"/>
        <w:rPr/>
      </w:pPr>
      <w:r>
        <w:rPr/>
      </w:r>
    </w:p>
    <w:p>
      <w:pPr>
        <w:pStyle w:val="Normal"/>
        <w:rPr/>
      </w:pPr>
      <w:r>
        <w:rPr>
          <w:rFonts w:cs="Calibri"/>
          <w:u w:val="single"/>
        </w:rPr>
        <w:t>Standard</w:t>
      </w:r>
      <w:r>
        <w:rPr>
          <w:rFonts w:cs="Calibri"/>
        </w:rPr>
        <w:t xml:space="preserve">: NFCC </w:t>
      </w:r>
      <w:r>
        <w:rPr/>
        <w:t>requires the following workplace security precautions:</w:t>
      </w:r>
    </w:p>
    <w:p>
      <w:pPr>
        <w:pStyle w:val="ListParagraph"/>
        <w:numPr>
          <w:ilvl w:val="0"/>
          <w:numId w:val="434"/>
        </w:numPr>
        <w:rPr/>
      </w:pPr>
      <w:r>
        <w:rPr/>
        <w:t>Physical media must be properly disposed of, in accordance with document destruction policies;</w:t>
      </w:r>
    </w:p>
    <w:p>
      <w:pPr>
        <w:pStyle w:val="ListParagraph"/>
        <w:numPr>
          <w:ilvl w:val="0"/>
          <w:numId w:val="434"/>
        </w:numPr>
        <w:rPr/>
      </w:pPr>
      <w:r>
        <w:rPr/>
        <w:t>All work areas must be cleared of all media containing sensitive data when not occupied;</w:t>
      </w:r>
    </w:p>
    <w:p>
      <w:pPr>
        <w:pStyle w:val="ListParagraph"/>
        <w:numPr>
          <w:ilvl w:val="0"/>
          <w:numId w:val="434"/>
        </w:numPr>
        <w:rPr/>
      </w:pPr>
      <w:r>
        <w:rPr/>
        <w:t>Filing cabinets, lockable drawers / overhead cabinets, storage rooms and any other storage unit containing sensitive data will be locked when not in use; and</w:t>
      </w:r>
    </w:p>
    <w:p>
      <w:pPr>
        <w:pStyle w:val="ListParagraph"/>
        <w:numPr>
          <w:ilvl w:val="0"/>
          <w:numId w:val="434"/>
        </w:numPr>
        <w:rPr/>
      </w:pPr>
      <w:r>
        <w:rPr/>
        <w:t>Whiteboards, dry-erase boards, cork boards, writing tablets and similar common shared work areas will be sanitized (e.g., erased, removed or shredded) when not in use.</w:t>
      </w:r>
    </w:p>
    <w:p>
      <w:pPr>
        <w:pStyle w:val="Normal"/>
        <w:rPr/>
      </w:pPr>
      <w:r>
        <w:rPr/>
      </w:r>
    </w:p>
    <w:p>
      <w:pPr>
        <w:pStyle w:val="Normal"/>
        <w:rPr/>
      </w:pPr>
      <w:r>
        <w:rPr>
          <w:u w:val="single"/>
        </w:rPr>
        <w:t>Guidelines</w:t>
      </w:r>
      <w:r>
        <w:rPr/>
        <w:t>: Physical security zones should be used to determine which areas are more vulnerable to unauthorized use, theft or viewing of data and appropriate physical safeguards should be implemented.</w:t>
      </w:r>
    </w:p>
    <w:p>
      <w:pPr>
        <w:pStyle w:val="Normal"/>
        <w:rPr/>
      </w:pPr>
      <w:r>
        <w:rPr/>
      </w:r>
    </w:p>
    <w:p>
      <w:pPr>
        <w:pStyle w:val="Normal"/>
        <w:rPr/>
      </w:pPr>
      <w:r>
        <w:rPr/>
      </w:r>
    </w:p>
    <w:p>
      <w:pPr>
        <w:pStyle w:val="Heading2"/>
        <w:rPr/>
      </w:pPr>
      <w:bookmarkStart w:id="1535" w:name="_Toc474075233"/>
      <w:bookmarkStart w:id="1536" w:name="_Toc474075741"/>
      <w:bookmarkStart w:id="1537" w:name="_Toc34921128"/>
      <w:r>
        <w:rPr/>
        <w:t>PES-05: Monitoring Physical Access</w:t>
      </w:r>
      <w:bookmarkEnd w:id="1535"/>
      <w:bookmarkEnd w:id="1536"/>
      <w:bookmarkEnd w:id="1537"/>
      <w:r>
        <w:rPr/>
        <w:t xml:space="preserve"> </w:t>
      </w:r>
    </w:p>
    <w:p>
      <w:pPr>
        <w:pStyle w:val="Normal"/>
        <w:rPr/>
      </w:pPr>
      <w:r>
        <w:rPr>
          <w:u w:val="single"/>
        </w:rPr>
        <w:t>Control Objective</w:t>
      </w:r>
      <w:r>
        <w:rPr/>
        <w:t>: The organization:</w:t>
      </w:r>
      <w:r>
        <w:rPr>
          <w:rStyle w:val="FootnoteCharacters"/>
          <w:rFonts w:cs="Calibri"/>
        </w:rPr>
        <w:t xml:space="preserve"> </w:t>
      </w:r>
      <w:r>
        <w:rPr>
          <w:rStyle w:val="FootnoteAnchor"/>
          <w:rStyle w:val="FootnoteAnchor"/>
          <w:rFonts w:cs="Calibri"/>
        </w:rPr>
        <w:footnoteReference w:id="492"/>
      </w:r>
      <w:r>
        <w:rPr/>
        <w:t xml:space="preserve"> </w:t>
      </w:r>
    </w:p>
    <w:p>
      <w:pPr>
        <w:pStyle w:val="ListParagraph"/>
        <w:numPr>
          <w:ilvl w:val="0"/>
          <w:numId w:val="65"/>
        </w:numPr>
        <w:rPr/>
      </w:pPr>
      <w:r>
        <w:rPr/>
        <w:t>Monitors physical access to detect and respond to physical security incidents;</w:t>
      </w:r>
    </w:p>
    <w:p>
      <w:pPr>
        <w:pStyle w:val="ListParagraph"/>
        <w:numPr>
          <w:ilvl w:val="0"/>
          <w:numId w:val="65"/>
        </w:numPr>
        <w:rPr/>
      </w:pPr>
      <w:r>
        <w:rPr/>
        <w:t>Reviews physical access logs; and</w:t>
      </w:r>
    </w:p>
    <w:p>
      <w:pPr>
        <w:pStyle w:val="ListParagraph"/>
        <w:numPr>
          <w:ilvl w:val="0"/>
          <w:numId w:val="65"/>
        </w:numPr>
        <w:rPr/>
      </w:pPr>
      <w:r>
        <w:rPr/>
        <w:t>Coordinates results of reviews and investigations with the organization’s incident response capability.</w:t>
      </w:r>
    </w:p>
    <w:p>
      <w:pPr>
        <w:pStyle w:val="Normal"/>
        <w:rPr/>
      </w:pPr>
      <w:r>
        <w:rPr/>
      </w:r>
    </w:p>
    <w:p>
      <w:pPr>
        <w:pStyle w:val="Normal"/>
        <w:rPr>
          <w:rFonts w:cs="Calibri"/>
        </w:rPr>
      </w:pPr>
      <w:r>
        <w:rPr>
          <w:u w:val="single"/>
        </w:rPr>
        <w:t>Standard</w:t>
      </w:r>
      <w:r>
        <w:rPr/>
        <w:t xml:space="preserve">: </w:t>
      </w:r>
      <w:r>
        <w:rPr>
          <w:rFonts w:cs="Calibri"/>
        </w:rPr>
        <w:t>NFCC must implement technologies and procedures for:</w:t>
      </w:r>
    </w:p>
    <w:p>
      <w:pPr>
        <w:pStyle w:val="ListParagraph"/>
        <w:numPr>
          <w:ilvl w:val="0"/>
          <w:numId w:val="435"/>
        </w:numPr>
        <w:rPr/>
      </w:pPr>
      <w:r>
        <w:rPr/>
        <w:t>Investigating and responding to detected physical security incidents, per documented procedures;</w:t>
      </w:r>
    </w:p>
    <w:p>
      <w:pPr>
        <w:pStyle w:val="ListParagraph"/>
        <w:numPr>
          <w:ilvl w:val="0"/>
          <w:numId w:val="435"/>
        </w:numPr>
        <w:rPr/>
      </w:pPr>
      <w:r>
        <w:rPr/>
        <w:t>Performing security checks at the physical boundary of the facility or system for unauthorized exfiltration of information or system components;</w:t>
      </w:r>
    </w:p>
    <w:p>
      <w:pPr>
        <w:pStyle w:val="ListParagraph"/>
        <w:numPr>
          <w:ilvl w:val="0"/>
          <w:numId w:val="435"/>
        </w:numPr>
        <w:rPr/>
      </w:pPr>
      <w:r>
        <w:rPr/>
        <w:t xml:space="preserve">Using video cameras and / or access control mechanisms to monitor individual physical access to sensitive areas; </w:t>
      </w:r>
    </w:p>
    <w:p>
      <w:pPr>
        <w:pStyle w:val="ListParagraph"/>
        <w:numPr>
          <w:ilvl w:val="0"/>
          <w:numId w:val="435"/>
        </w:numPr>
        <w:rPr/>
      </w:pPr>
      <w:r>
        <w:rPr/>
        <w:t>Reviewing collected data and correlate with other entries; and</w:t>
      </w:r>
    </w:p>
    <w:p>
      <w:pPr>
        <w:pStyle w:val="ListParagraph"/>
        <w:numPr>
          <w:ilvl w:val="0"/>
          <w:numId w:val="435"/>
        </w:numPr>
        <w:rPr/>
      </w:pPr>
      <w:r>
        <w:rPr/>
        <w:t xml:space="preserve">Retaining physical access data for at least three (3) months, unless otherwise restricted by law. </w:t>
      </w:r>
    </w:p>
    <w:p>
      <w:pPr>
        <w:pStyle w:val="Normal"/>
        <w:rPr/>
      </w:pPr>
      <w:r>
        <w:rPr/>
      </w:r>
    </w:p>
    <w:p>
      <w:pPr>
        <w:pStyle w:val="Normal"/>
        <w:rPr/>
      </w:pPr>
      <w:r>
        <w:rPr>
          <w:u w:val="single"/>
        </w:rPr>
        <w:t>Guidelines</w:t>
      </w:r>
      <w:r>
        <w:rPr/>
        <w:t>: None</w:t>
      </w:r>
    </w:p>
    <w:p>
      <w:pPr>
        <w:pStyle w:val="Normal"/>
        <w:rPr/>
      </w:pPr>
      <w:r>
        <w:rPr/>
      </w:r>
    </w:p>
    <w:p>
      <w:pPr>
        <w:pStyle w:val="Heading3"/>
        <w:rPr/>
      </w:pPr>
      <w:bookmarkStart w:id="1538" w:name="_Toc474075234"/>
      <w:bookmarkStart w:id="1539" w:name="_Toc34921129"/>
      <w:r>
        <w:rPr/>
        <w:t>PES-05(a): Monitoring Physical Access | Intrusion Alarms / Surveillance Equipment</w:t>
      </w:r>
      <w:bookmarkEnd w:id="1538"/>
      <w:bookmarkEnd w:id="1539"/>
      <w:r>
        <w:rPr/>
        <w:t xml:space="preserve"> </w:t>
      </w:r>
    </w:p>
    <w:p>
      <w:pPr>
        <w:pStyle w:val="Normal"/>
        <w:rPr/>
      </w:pPr>
      <w:r>
        <w:rPr>
          <w:u w:val="single"/>
        </w:rPr>
        <w:t>Control Objective</w:t>
      </w:r>
      <w:r>
        <w:rPr/>
        <w:t>: The organization monitors physical intrusion alarms and surveillance equipment.</w:t>
      </w:r>
      <w:r>
        <w:rPr>
          <w:rStyle w:val="FootnoteAnchor"/>
          <w:rStyle w:val="FootnoteAnchor"/>
          <w:rFonts w:cs="Calibri"/>
        </w:rPr>
        <w:footnoteReference w:id="493"/>
      </w:r>
    </w:p>
    <w:p>
      <w:pPr>
        <w:pStyle w:val="Normal"/>
        <w:rPr/>
      </w:pPr>
      <w:r>
        <w:rPr/>
      </w:r>
    </w:p>
    <w:p>
      <w:pPr>
        <w:pStyle w:val="Normal"/>
        <w:rPr/>
      </w:pPr>
      <w:r>
        <w:rPr>
          <w:u w:val="single"/>
        </w:rPr>
        <w:t>Standard</w:t>
      </w:r>
      <w:r>
        <w:rPr/>
        <w:t>: Where technically feasible, potential physical ingress and egress points will be monitored with physical intrusion alarms and surveillance equipment.</w:t>
      </w:r>
    </w:p>
    <w:p>
      <w:pPr>
        <w:pStyle w:val="Normal"/>
        <w:rPr/>
      </w:pPr>
      <w:r>
        <w:rPr/>
      </w:r>
    </w:p>
    <w:p>
      <w:pPr>
        <w:pStyle w:val="Normal"/>
        <w:rPr/>
      </w:pPr>
      <w:r>
        <w:rPr>
          <w:u w:val="single"/>
        </w:rPr>
        <w:t>Guidelines</w:t>
      </w:r>
      <w:r>
        <w:rPr/>
        <w:t>: None</w:t>
      </w:r>
    </w:p>
    <w:p>
      <w:pPr>
        <w:pStyle w:val="Normal"/>
        <w:rPr/>
      </w:pPr>
      <w:r>
        <w:rPr/>
      </w:r>
    </w:p>
    <w:p>
      <w:pPr>
        <w:pStyle w:val="Heading3"/>
        <w:rPr/>
      </w:pPr>
      <w:bookmarkStart w:id="1540" w:name="_Toc23241870"/>
      <w:bookmarkStart w:id="1541" w:name="_Toc34921130"/>
      <w:r>
        <w:rPr/>
        <w:t>PES-05(b): Monitoring Physical Access | Monitoring Physical Access to Information Systems</w:t>
      </w:r>
      <w:bookmarkEnd w:id="1540"/>
      <w:bookmarkEnd w:id="1541"/>
      <w:r>
        <w:rPr/>
        <w:t xml:space="preserve"> </w:t>
      </w:r>
    </w:p>
    <w:p>
      <w:pPr>
        <w:pStyle w:val="Normal"/>
        <w:rPr/>
      </w:pPr>
      <w:r>
        <w:rPr>
          <w:rFonts w:cs="Calibri"/>
          <w:u w:val="single"/>
        </w:rPr>
        <w:t>Control Objective</w:t>
      </w:r>
      <w:r>
        <w:rPr>
          <w:rFonts w:cs="Calibri"/>
        </w:rPr>
        <w:t xml:space="preserve">: </w:t>
      </w:r>
      <w:r>
        <w:rPr/>
        <w:t>The organization monitors physical access to the information system in addition to the physical access monitoring of the facility as organization-defined physical spaces containing one or more components of the information system.</w:t>
      </w:r>
      <w:r>
        <w:rPr>
          <w:rStyle w:val="FootnoteAnchor"/>
          <w:rStyle w:val="FootnoteAnchor"/>
          <w:rFonts w:cs="Calibri"/>
        </w:rPr>
        <w:footnoteReference w:id="494"/>
      </w:r>
    </w:p>
    <w:p>
      <w:pPr>
        <w:pStyle w:val="Normal"/>
        <w:rPr>
          <w:rFonts w:cs="Calibri"/>
        </w:rPr>
      </w:pPr>
      <w:r>
        <w:rPr>
          <w:rFonts w:cs="Calibri"/>
        </w:rPr>
      </w:r>
    </w:p>
    <w:p>
      <w:pPr>
        <w:pStyle w:val="Normal"/>
        <w:rPr>
          <w:rFonts w:eastAsia="Calibri"/>
        </w:rPr>
      </w:pPr>
      <w:r>
        <w:rPr>
          <w:rFonts w:cs="Calibri"/>
          <w:bCs w:val="false"/>
          <w:u w:val="single"/>
        </w:rPr>
        <w:t>Standard</w:t>
      </w:r>
      <w:r>
        <w:rPr>
          <w:rFonts w:cs="Calibri"/>
          <w:bCs w:val="false"/>
        </w:rPr>
        <w:t>:</w:t>
      </w:r>
      <w:r>
        <w:rPr>
          <w:rFonts w:cs="Calibri"/>
        </w:rPr>
        <w:t xml:space="preserve"> NFCC is required to configure </w:t>
      </w:r>
      <w:r>
        <w:rPr>
          <w:rFonts w:eastAsia="Calibri"/>
        </w:rPr>
        <w:t>access control systems to log the following information:</w:t>
      </w:r>
    </w:p>
    <w:p>
      <w:pPr>
        <w:pStyle w:val="ListParagraph"/>
        <w:numPr>
          <w:ilvl w:val="0"/>
          <w:numId w:val="615"/>
        </w:numPr>
        <w:rPr>
          <w:rFonts w:eastAsia="Calibri"/>
        </w:rPr>
      </w:pPr>
      <w:r>
        <w:rPr>
          <w:rFonts w:eastAsia="Calibri"/>
        </w:rPr>
        <w:t>Physical location of the access;</w:t>
      </w:r>
    </w:p>
    <w:p>
      <w:pPr>
        <w:pStyle w:val="ListParagraph"/>
        <w:numPr>
          <w:ilvl w:val="0"/>
          <w:numId w:val="615"/>
        </w:numPr>
        <w:rPr>
          <w:rFonts w:eastAsia="Calibri"/>
        </w:rPr>
      </w:pPr>
      <w:r>
        <w:rPr>
          <w:rFonts w:eastAsia="Calibri"/>
        </w:rPr>
        <w:t>Direction of access, if possible (e.g., ingress or egress);</w:t>
      </w:r>
    </w:p>
    <w:p>
      <w:pPr>
        <w:pStyle w:val="ListParagraph"/>
        <w:numPr>
          <w:ilvl w:val="0"/>
          <w:numId w:val="615"/>
        </w:numPr>
        <w:rPr>
          <w:rFonts w:eastAsia="Calibri"/>
        </w:rPr>
      </w:pPr>
      <w:r>
        <w:rPr>
          <w:rFonts w:eastAsia="Calibri"/>
        </w:rPr>
        <w:t>Identity of the person accessing the location; and</w:t>
      </w:r>
    </w:p>
    <w:p>
      <w:pPr>
        <w:pStyle w:val="ListParagraph"/>
        <w:numPr>
          <w:ilvl w:val="0"/>
          <w:numId w:val="615"/>
        </w:numPr>
        <w:rPr>
          <w:rFonts w:eastAsia="Calibri"/>
        </w:rPr>
      </w:pPr>
      <w:r>
        <w:rPr>
          <w:rFonts w:eastAsia="Calibri"/>
        </w:rPr>
        <w:t>Indication of success or failure.</w:t>
      </w:r>
    </w:p>
    <w:p>
      <w:pPr>
        <w:pStyle w:val="Normal"/>
        <w:rPr>
          <w:rFonts w:cs="Calibri"/>
          <w:bCs w:val="false"/>
        </w:rPr>
      </w:pPr>
      <w:r>
        <w:rPr>
          <w:rFonts w:cs="Calibri"/>
          <w:bCs w:val="false"/>
        </w:rPr>
      </w:r>
    </w:p>
    <w:p>
      <w:pPr>
        <w:pStyle w:val="Normal"/>
        <w:rPr>
          <w:rFonts w:cs="Calibri"/>
        </w:rPr>
      </w:pPr>
      <w:r>
        <w:rPr>
          <w:rFonts w:cs="Calibri"/>
          <w:u w:val="single"/>
        </w:rPr>
        <w:t>Guidelines</w:t>
      </w:r>
      <w:r>
        <w:rPr>
          <w:rFonts w:cs="Calibri"/>
        </w:rPr>
        <w:t xml:space="preserve">: </w:t>
      </w:r>
      <w:r>
        <w:rPr/>
        <w:t xml:space="preserve">This control enhancement provides additional monitoring for those areas within facilities where there is a concentration of information system components (e.g., server rooms, media storage areas, communications centers). </w:t>
      </w:r>
      <w:r>
        <w:rPr>
          <w:rFonts w:cs="Calibri"/>
        </w:rPr>
        <w:t>A</w:t>
      </w:r>
      <w:r>
        <w:rPr>
          <w:rFonts w:eastAsia="Calibri"/>
        </w:rPr>
        <w:t>ccess control systems include card / badge readers and keypad readers.</w:t>
      </w:r>
      <w:bookmarkStart w:id="1542" w:name="_Hlk27580156"/>
      <w:bookmarkEnd w:id="1542"/>
    </w:p>
    <w:p>
      <w:pPr>
        <w:pStyle w:val="Normal"/>
        <w:rPr/>
      </w:pPr>
      <w:r>
        <w:rPr/>
      </w:r>
    </w:p>
    <w:p>
      <w:pPr>
        <w:pStyle w:val="Normal"/>
        <w:rPr/>
      </w:pPr>
      <w:r>
        <w:rPr/>
      </w:r>
    </w:p>
    <w:p>
      <w:pPr>
        <w:pStyle w:val="Heading2"/>
        <w:rPr/>
      </w:pPr>
      <w:bookmarkStart w:id="1543" w:name="_Toc474075235"/>
      <w:bookmarkStart w:id="1544" w:name="_Toc474075742"/>
      <w:bookmarkStart w:id="1545" w:name="_Toc34921131"/>
      <w:r>
        <w:rPr/>
        <w:t>PES-06: Visitor Control</w:t>
      </w:r>
      <w:bookmarkEnd w:id="1543"/>
      <w:bookmarkEnd w:id="1544"/>
      <w:bookmarkEnd w:id="1545"/>
    </w:p>
    <w:p>
      <w:pPr>
        <w:pStyle w:val="Normal"/>
        <w:rPr>
          <w:rFonts w:cs="Calibri"/>
        </w:rPr>
      </w:pPr>
      <w:r>
        <w:rPr>
          <w:u w:val="single"/>
        </w:rPr>
        <w:t>Control Objective</w:t>
      </w:r>
      <w:r>
        <w:rPr/>
        <w:t>: The organization controls physical access by identifying, authorizing and monitoring visitors before allowing access to the facility (other than areas designated as publicly accessible).</w:t>
      </w:r>
      <w:r>
        <w:rPr>
          <w:rStyle w:val="FootnoteCharacters"/>
          <w:rFonts w:cs="Calibri"/>
        </w:rPr>
        <w:t xml:space="preserve"> </w:t>
      </w:r>
    </w:p>
    <w:p>
      <w:pPr>
        <w:pStyle w:val="Normal"/>
        <w:rPr>
          <w:u w:val="single"/>
        </w:rPr>
      </w:pPr>
      <w:r>
        <w:rPr>
          <w:u w:val="single"/>
        </w:rPr>
      </w:r>
    </w:p>
    <w:p>
      <w:pPr>
        <w:pStyle w:val="Normal"/>
        <w:rPr/>
      </w:pPr>
      <w:r>
        <w:rPr>
          <w:u w:val="single"/>
        </w:rPr>
        <w:t>Standard</w:t>
      </w:r>
      <w:r>
        <w:rPr/>
        <w:t>: NFCC’s Human Resources (HR) department is assigned the responsibility for implementing procedures to identify, authorize and monitor visitors as follows:</w:t>
      </w:r>
      <w:r>
        <w:rPr>
          <w:rStyle w:val="FootnoteCharacters"/>
          <w:rFonts w:cs="Calibri"/>
        </w:rPr>
        <w:t xml:space="preserve"> </w:t>
      </w:r>
    </w:p>
    <w:p>
      <w:pPr>
        <w:pStyle w:val="ListParagraph"/>
        <w:numPr>
          <w:ilvl w:val="0"/>
          <w:numId w:val="436"/>
        </w:numPr>
        <w:rPr/>
      </w:pPr>
      <w:r>
        <w:rPr/>
        <w:t>Visitors must be authorized before entering and escorted at all times within, areas where sensitive data is processed or maintained;</w:t>
      </w:r>
      <w:r>
        <w:rPr>
          <w:rStyle w:val="FootnoteCharacters"/>
          <w:rFonts w:cs="Calibri"/>
        </w:rPr>
        <w:t xml:space="preserve"> </w:t>
      </w:r>
    </w:p>
    <w:p>
      <w:pPr>
        <w:pStyle w:val="ListParagraph"/>
        <w:numPr>
          <w:ilvl w:val="0"/>
          <w:numId w:val="436"/>
        </w:numPr>
        <w:rPr/>
      </w:pPr>
      <w:r>
        <w:rPr/>
        <w:t>Visitors must be identified and given a badge or other identification that expires and that visibly distinguishes the visitors from onsite personnel;</w:t>
      </w:r>
      <w:r>
        <w:rPr>
          <w:rStyle w:val="FootnoteCharacters"/>
          <w:rFonts w:cs="Calibri"/>
        </w:rPr>
        <w:t xml:space="preserve"> </w:t>
      </w:r>
    </w:p>
    <w:p>
      <w:pPr>
        <w:pStyle w:val="ListParagraph"/>
        <w:numPr>
          <w:ilvl w:val="0"/>
          <w:numId w:val="436"/>
        </w:numPr>
        <w:rPr/>
      </w:pPr>
      <w:r>
        <w:rPr/>
        <w:t>Visitors must be asked to surrender the badge or identification before leaving the facility or at the date of expiration; and</w:t>
      </w:r>
    </w:p>
    <w:p>
      <w:pPr>
        <w:pStyle w:val="ListParagraph"/>
        <w:numPr>
          <w:ilvl w:val="0"/>
          <w:numId w:val="436"/>
        </w:numPr>
        <w:rPr/>
      </w:pPr>
      <w:r>
        <w:rPr/>
        <w:t>A visitor log must be used to maintain a physical audit trail of visitor activity to the facility as well as computer rooms and data centers where sensitive data is stored or transmitted:</w:t>
      </w:r>
    </w:p>
    <w:p>
      <w:pPr>
        <w:pStyle w:val="ListParagraph"/>
        <w:numPr>
          <w:ilvl w:val="1"/>
          <w:numId w:val="436"/>
        </w:numPr>
        <w:rPr/>
      </w:pPr>
      <w:r>
        <w:rPr/>
        <w:t>The log must include:</w:t>
      </w:r>
    </w:p>
    <w:p>
      <w:pPr>
        <w:pStyle w:val="ListParagraph"/>
        <w:numPr>
          <w:ilvl w:val="2"/>
          <w:numId w:val="436"/>
        </w:numPr>
        <w:rPr/>
      </w:pPr>
      <w:r>
        <w:rPr/>
        <w:t>The visitor’s name;</w:t>
      </w:r>
    </w:p>
    <w:p>
      <w:pPr>
        <w:pStyle w:val="ListParagraph"/>
        <w:numPr>
          <w:ilvl w:val="2"/>
          <w:numId w:val="436"/>
        </w:numPr>
        <w:rPr/>
      </w:pPr>
      <w:r>
        <w:rPr/>
        <w:t xml:space="preserve">The firm represented; and </w:t>
      </w:r>
    </w:p>
    <w:p>
      <w:pPr>
        <w:pStyle w:val="ListParagraph"/>
        <w:numPr>
          <w:ilvl w:val="2"/>
          <w:numId w:val="436"/>
        </w:numPr>
        <w:rPr/>
      </w:pPr>
      <w:r>
        <w:rPr/>
        <w:t>The onsite personnel authorizing physical access on the log; and</w:t>
      </w:r>
    </w:p>
    <w:p>
      <w:pPr>
        <w:pStyle w:val="ListParagraph"/>
        <w:numPr>
          <w:ilvl w:val="1"/>
          <w:numId w:val="436"/>
        </w:numPr>
        <w:rPr/>
      </w:pPr>
      <w:r>
        <w:rPr/>
        <w:t>This log must be maintained for a minimum of three (3) months, unless otherwise restricted by law.</w:t>
      </w:r>
    </w:p>
    <w:p>
      <w:pPr>
        <w:pStyle w:val="Normal"/>
        <w:rPr/>
      </w:pPr>
      <w:r>
        <w:rPr/>
      </w:r>
    </w:p>
    <w:p>
      <w:pPr>
        <w:pStyle w:val="Normal"/>
        <w:rPr/>
      </w:pPr>
      <w:r>
        <w:rPr>
          <w:u w:val="single"/>
        </w:rPr>
        <w:t>Guidelines</w:t>
      </w:r>
      <w:r>
        <w:rPr/>
        <w:t>: Visitor controls are important to reduce the ability of unauthorized and malicious persons to gain access to facilities (and potentially, to sensitive data). Visitor controls ensure visitors are identifiable as visitors so personnel can monitor their activities and that their access is restricted to just the duration of their legitimate visit.</w:t>
      </w:r>
    </w:p>
    <w:p>
      <w:pPr>
        <w:pStyle w:val="Normal"/>
        <w:rPr/>
      </w:pPr>
      <w:r>
        <w:rPr/>
      </w:r>
    </w:p>
    <w:p>
      <w:pPr>
        <w:pStyle w:val="Heading3"/>
        <w:rPr/>
      </w:pPr>
      <w:bookmarkStart w:id="1546" w:name="_Toc474075236"/>
      <w:bookmarkStart w:id="1547" w:name="_Toc34921132"/>
      <w:r>
        <w:rPr/>
        <w:t>PES-06(a): Visitor Control | Distinguish Visitors from On-Site Personnel</w:t>
      </w:r>
      <w:bookmarkEnd w:id="1546"/>
      <w:bookmarkEnd w:id="1547"/>
    </w:p>
    <w:p>
      <w:pPr>
        <w:pStyle w:val="Normal"/>
        <w:rPr/>
      </w:pPr>
      <w:r>
        <w:rPr>
          <w:u w:val="single"/>
        </w:rPr>
        <w:t>Control Objective</w:t>
      </w:r>
      <w:r>
        <w:rPr/>
        <w:t>: The organization implements procedures to easily distinguish between onsite personnel and visitors, especially in areas where sensitive data is accessible.</w:t>
      </w:r>
    </w:p>
    <w:p>
      <w:pPr>
        <w:pStyle w:val="Normal"/>
        <w:rPr/>
      </w:pPr>
      <w:r>
        <w:rPr/>
      </w:r>
    </w:p>
    <w:p>
      <w:pPr>
        <w:pStyle w:val="Normal"/>
        <w:rPr/>
      </w:pPr>
      <w:r>
        <w:rPr>
          <w:u w:val="single"/>
        </w:rPr>
        <w:t>Standard</w:t>
      </w:r>
      <w:r>
        <w:rPr/>
        <w:t>: NFCC’s Human Resources (HR) department is assigned the responsibility for developing procedures to easily distinguish between onsite personnel and visitors, including but is not limited to:</w:t>
      </w:r>
      <w:r>
        <w:rPr>
          <w:rStyle w:val="FootnoteCharacters"/>
          <w:rFonts w:cs="Calibri"/>
        </w:rPr>
        <w:t xml:space="preserve"> </w:t>
      </w:r>
    </w:p>
    <w:p>
      <w:pPr>
        <w:pStyle w:val="ListParagraph"/>
        <w:numPr>
          <w:ilvl w:val="0"/>
          <w:numId w:val="437"/>
        </w:numPr>
        <w:rPr/>
      </w:pPr>
      <w:r>
        <w:rPr/>
        <w:t>Identifying new onsite personnel or visitors (e.g., assigning badges)</w:t>
      </w:r>
    </w:p>
    <w:p>
      <w:pPr>
        <w:pStyle w:val="ListParagraph"/>
        <w:numPr>
          <w:ilvl w:val="0"/>
          <w:numId w:val="437"/>
        </w:numPr>
        <w:rPr/>
      </w:pPr>
      <w:r>
        <w:rPr/>
        <w:t>Changes to access requirements; and</w:t>
      </w:r>
    </w:p>
    <w:p>
      <w:pPr>
        <w:pStyle w:val="ListParagraph"/>
        <w:numPr>
          <w:ilvl w:val="0"/>
          <w:numId w:val="437"/>
        </w:numPr>
        <w:rPr/>
      </w:pPr>
      <w:r>
        <w:rPr/>
        <w:t>Revoking or terminating onsite personnel and expired visitor identification (e.g., ID badges).</w:t>
      </w:r>
    </w:p>
    <w:p>
      <w:pPr>
        <w:pStyle w:val="Normal"/>
        <w:rPr/>
      </w:pPr>
      <w:r>
        <w:rPr/>
      </w:r>
    </w:p>
    <w:p>
      <w:pPr>
        <w:pStyle w:val="Normal"/>
        <w:rPr>
          <w:b/>
          <w:b/>
        </w:rPr>
      </w:pPr>
      <w:r>
        <w:rPr>
          <w:u w:val="single"/>
        </w:rPr>
        <w:t>Guidelines</w:t>
      </w:r>
      <w:r>
        <w:rPr/>
        <w:t>: Identifying authorized visitors, so they are easily distinguished from onsite personnel prevents unauthorized visitors from being granted access to areas containing sensitive data.</w:t>
      </w:r>
    </w:p>
    <w:p>
      <w:pPr>
        <w:pStyle w:val="Normal"/>
        <w:rPr/>
      </w:pPr>
      <w:r>
        <w:rPr/>
      </w:r>
    </w:p>
    <w:p>
      <w:pPr>
        <w:pStyle w:val="Heading3"/>
        <w:rPr/>
      </w:pPr>
      <w:bookmarkStart w:id="1548" w:name="_Toc474075237"/>
      <w:bookmarkStart w:id="1549" w:name="_Toc34921133"/>
      <w:r>
        <w:rPr/>
        <w:t>PES-06(b): Visitor Control | Identification Requirement</w:t>
      </w:r>
      <w:bookmarkEnd w:id="1548"/>
      <w:bookmarkEnd w:id="1549"/>
    </w:p>
    <w:p>
      <w:pPr>
        <w:pStyle w:val="Normal"/>
        <w:rPr/>
      </w:pPr>
      <w:r>
        <w:rPr>
          <w:u w:val="single"/>
        </w:rPr>
        <w:t>Control Objective</w:t>
      </w:r>
      <w:r>
        <w:rPr/>
        <w:t>: The organization requires at least one (1) form of government-issued photo identification to authenticate individuals before they can gain access to the facility.</w:t>
      </w:r>
      <w:r>
        <w:rPr>
          <w:rStyle w:val="FootnoteCharacters"/>
          <w:rFonts w:cs="Calibri"/>
        </w:rPr>
        <w:t xml:space="preserve"> </w:t>
      </w:r>
      <w:r>
        <w:rPr>
          <w:rStyle w:val="FootnoteAnchor"/>
          <w:rStyle w:val="FootnoteAnchor"/>
          <w:rFonts w:cs="Calibri"/>
        </w:rPr>
        <w:footnoteReference w:id="495"/>
      </w:r>
      <w:r>
        <w:rPr/>
        <w:t xml:space="preserve"> </w:t>
      </w:r>
    </w:p>
    <w:p>
      <w:pPr>
        <w:pStyle w:val="Normal"/>
        <w:rPr/>
      </w:pPr>
      <w:r>
        <w:rPr/>
      </w:r>
    </w:p>
    <w:p>
      <w:pPr>
        <w:pStyle w:val="Normal"/>
        <w:rPr/>
      </w:pPr>
      <w:r>
        <w:rPr>
          <w:u w:val="single"/>
        </w:rPr>
        <w:t>Standard</w:t>
      </w:r>
      <w:r>
        <w:rPr/>
        <w:t xml:space="preserve">: NFCC requires at least one (1) form of government-issued photo identification to gain access. </w:t>
      </w:r>
    </w:p>
    <w:p>
      <w:pPr>
        <w:pStyle w:val="Normal"/>
        <w:rPr/>
      </w:pPr>
      <w:r>
        <w:rPr/>
      </w:r>
    </w:p>
    <w:p>
      <w:pPr>
        <w:pStyle w:val="Normal"/>
        <w:rPr/>
      </w:pPr>
      <w:r>
        <w:rPr>
          <w:u w:val="single"/>
        </w:rPr>
        <w:t>Guidelines</w:t>
      </w:r>
      <w:r>
        <w:rPr/>
        <w:t>: Acceptable forms of government photo identification include, for example:</w:t>
      </w:r>
    </w:p>
    <w:p>
      <w:pPr>
        <w:pStyle w:val="ListParagraph"/>
        <w:numPr>
          <w:ilvl w:val="0"/>
          <w:numId w:val="60"/>
        </w:numPr>
        <w:rPr/>
      </w:pPr>
      <w:r>
        <w:rPr/>
        <w:t>Passports;</w:t>
      </w:r>
    </w:p>
    <w:p>
      <w:pPr>
        <w:pStyle w:val="ListParagraph"/>
        <w:numPr>
          <w:ilvl w:val="0"/>
          <w:numId w:val="60"/>
        </w:numPr>
        <w:rPr/>
      </w:pPr>
      <w:r>
        <w:rPr/>
        <w:t xml:space="preserve">Personal Identity Verification (PIV) cards; and </w:t>
      </w:r>
    </w:p>
    <w:p>
      <w:pPr>
        <w:pStyle w:val="ListParagraph"/>
        <w:numPr>
          <w:ilvl w:val="0"/>
          <w:numId w:val="60"/>
        </w:numPr>
        <w:rPr/>
      </w:pPr>
      <w:r>
        <w:rPr/>
        <w:t xml:space="preserve">Drivers’ licenses. </w:t>
      </w:r>
    </w:p>
    <w:p>
      <w:pPr>
        <w:pStyle w:val="Normal"/>
        <w:rPr/>
      </w:pPr>
      <w:r>
        <w:rPr/>
      </w:r>
    </w:p>
    <w:p>
      <w:pPr>
        <w:pStyle w:val="Normal"/>
        <w:rPr/>
      </w:pPr>
      <w:r>
        <w:rPr/>
        <w:t>In the case of gaining access to facilities using automated mechanisms, organizations may use personal identity verification cards, key cards, PINs and biometrics.</w:t>
      </w:r>
    </w:p>
    <w:p>
      <w:pPr>
        <w:pStyle w:val="Normal"/>
        <w:rPr/>
      </w:pPr>
      <w:r>
        <w:rPr/>
      </w:r>
    </w:p>
    <w:p>
      <w:pPr>
        <w:pStyle w:val="Heading3"/>
        <w:rPr/>
      </w:pPr>
      <w:bookmarkStart w:id="1550" w:name="_Toc474075238"/>
      <w:bookmarkStart w:id="1551" w:name="_Toc34921134"/>
      <w:r>
        <w:rPr/>
        <w:t>PES-06(c): Visitor Control | Restrict Unescorted Access</w:t>
      </w:r>
      <w:bookmarkEnd w:id="1550"/>
      <w:bookmarkEnd w:id="1551"/>
    </w:p>
    <w:p>
      <w:pPr>
        <w:pStyle w:val="Normal"/>
        <w:rPr/>
      </w:pPr>
      <w:r>
        <w:rPr>
          <w:u w:val="single"/>
        </w:rPr>
        <w:t>Control Objective</w:t>
      </w:r>
      <w:r>
        <w:rPr/>
        <w:t>: The organization restricts unescorted access to facilities to personnel with required security clearances, formal access authorizations and validated the need for access.</w:t>
      </w:r>
      <w:r>
        <w:rPr>
          <w:rStyle w:val="FootnoteCharacters"/>
          <w:rFonts w:cs="Calibri"/>
        </w:rPr>
        <w:t xml:space="preserve"> </w:t>
      </w:r>
      <w:r>
        <w:rPr>
          <w:rStyle w:val="FootnoteAnchor"/>
          <w:rStyle w:val="FootnoteAnchor"/>
          <w:rFonts w:cs="Calibri"/>
        </w:rPr>
        <w:footnoteReference w:id="496"/>
      </w:r>
      <w:r>
        <w:rPr/>
        <w:t xml:space="preserve"> </w:t>
      </w:r>
    </w:p>
    <w:p>
      <w:pPr>
        <w:pStyle w:val="Normal"/>
        <w:rPr/>
      </w:pPr>
      <w:r>
        <w:rPr/>
      </w:r>
    </w:p>
    <w:p>
      <w:pPr>
        <w:pStyle w:val="Normal"/>
        <w:rPr/>
      </w:pPr>
      <w:r>
        <w:rPr>
          <w:u w:val="single"/>
        </w:rPr>
        <w:t>Standard</w:t>
      </w:r>
      <w:r>
        <w:rPr/>
        <w:t xml:space="preserve">: NFCC is required to restrict physical access to the systems equipment and records storage. </w:t>
      </w:r>
    </w:p>
    <w:p>
      <w:pPr>
        <w:pStyle w:val="Normal"/>
        <w:rPr/>
      </w:pPr>
      <w:r>
        <w:rPr/>
      </w:r>
    </w:p>
    <w:p>
      <w:pPr>
        <w:pStyle w:val="Normal"/>
        <w:rPr>
          <w:rFonts w:cs="Calibri"/>
        </w:rPr>
      </w:pPr>
      <w:r>
        <w:rPr>
          <w:u w:val="single"/>
        </w:rPr>
        <w:t>Guidelines</w:t>
      </w:r>
      <w:r>
        <w:rPr/>
        <w:t>:</w:t>
      </w:r>
      <w:r>
        <w:rPr>
          <w:rFonts w:cs="Calibri"/>
        </w:rPr>
        <w:t xml:space="preserve"> None</w:t>
      </w:r>
    </w:p>
    <w:p>
      <w:pPr>
        <w:pStyle w:val="Normal"/>
        <w:rPr/>
      </w:pPr>
      <w:r>
        <w:rPr/>
      </w:r>
    </w:p>
    <w:p>
      <w:pPr>
        <w:pStyle w:val="Heading3"/>
        <w:rPr/>
      </w:pPr>
      <w:bookmarkStart w:id="1552" w:name="_Toc23241873"/>
      <w:bookmarkStart w:id="1553" w:name="_Toc34921135"/>
      <w:r>
        <w:rPr/>
        <w:t>PES-06(d): Visitor Control | Automated Records Management &amp; Review</w:t>
      </w:r>
      <w:bookmarkEnd w:id="1552"/>
      <w:bookmarkEnd w:id="1553"/>
      <w:r>
        <w:rPr/>
        <w:t xml:space="preserve"> </w:t>
      </w:r>
    </w:p>
    <w:p>
      <w:pPr>
        <w:pStyle w:val="Normal"/>
        <w:rPr/>
      </w:pPr>
      <w:r>
        <w:rPr>
          <w:rFonts w:cs="Calibri"/>
          <w:u w:val="single"/>
        </w:rPr>
        <w:t>Control Objective</w:t>
      </w:r>
      <w:r>
        <w:rPr>
          <w:rFonts w:cs="Calibri"/>
        </w:rPr>
        <w:t xml:space="preserve">: </w:t>
      </w:r>
      <w:r>
        <w:rPr/>
        <w:t>The organization employs automated mechanisms to facilitate the maintenance and review of visitor access records.</w:t>
      </w:r>
      <w:r>
        <w:rPr>
          <w:rStyle w:val="FootnoteCharacters"/>
          <w:rFonts w:cs="Calibri"/>
        </w:rPr>
        <w:t xml:space="preserve"> </w:t>
      </w:r>
      <w:r>
        <w:rPr>
          <w:rStyle w:val="FootnoteAnchor"/>
          <w:rStyle w:val="FootnoteAnchor"/>
          <w:rFonts w:cs="Calibri"/>
        </w:rPr>
        <w:footnoteReference w:id="497"/>
      </w:r>
      <w:r>
        <w:rPr/>
        <w:t xml:space="preserve"> </w:t>
      </w:r>
    </w:p>
    <w:p>
      <w:pPr>
        <w:pStyle w:val="Normal"/>
        <w:rPr>
          <w:rFonts w:cs="Calibri"/>
        </w:rPr>
      </w:pPr>
      <w:r>
        <w:rPr>
          <w:rFonts w:cs="Calibri"/>
        </w:rPr>
      </w:r>
    </w:p>
    <w:p>
      <w:pPr>
        <w:pStyle w:val="Normal"/>
        <w:rPr/>
      </w:pPr>
      <w:r>
        <w:rPr>
          <w:rFonts w:cs="Calibri"/>
          <w:bCs w:val="false"/>
          <w:u w:val="single"/>
        </w:rPr>
        <w:t>Standard</w:t>
      </w:r>
      <w:r>
        <w:rPr>
          <w:rFonts w:cs="Calibri"/>
          <w:bCs w:val="false"/>
        </w:rPr>
        <w:t xml:space="preserve">: </w:t>
      </w:r>
      <w:r>
        <w:rPr>
          <w:rFonts w:cs="Calibri"/>
        </w:rPr>
        <w:t>Where technically feasible and a business justification exists</w:t>
      </w:r>
      <w:r>
        <w:rPr>
          <w:rFonts w:cs="Calibri"/>
          <w:bCs w:val="false"/>
        </w:rPr>
        <w:t xml:space="preserve">, NFCC shall employ automated mechanisms </w:t>
      </w:r>
      <w:r>
        <w:rPr/>
        <w:t>to facilitate the maintenance and review of visitor access records.</w:t>
      </w:r>
    </w:p>
    <w:p>
      <w:pPr>
        <w:pStyle w:val="Normal"/>
        <w:rPr>
          <w:rFonts w:cs="Calibri"/>
        </w:rPr>
      </w:pPr>
      <w:r>
        <w:rPr>
          <w:rFonts w:cs="Calibri"/>
        </w:rPr>
      </w:r>
    </w:p>
    <w:p>
      <w:pPr>
        <w:pStyle w:val="Normal"/>
        <w:rPr>
          <w:rFonts w:cs="Calibri"/>
        </w:rPr>
      </w:pPr>
      <w:r>
        <w:rPr>
          <w:rFonts w:cs="Calibri"/>
          <w:u w:val="single"/>
        </w:rPr>
        <w:t>Guidelines</w:t>
      </w:r>
      <w:r>
        <w:rPr>
          <w:rFonts w:cs="Calibri"/>
        </w:rPr>
        <w:t>: None</w:t>
      </w:r>
      <w:bookmarkStart w:id="1554" w:name="_Hlk27580174"/>
      <w:bookmarkEnd w:id="1554"/>
    </w:p>
    <w:p>
      <w:pPr>
        <w:pStyle w:val="Normal"/>
        <w:rPr/>
      </w:pPr>
      <w:r>
        <w:rPr/>
      </w:r>
    </w:p>
    <w:p>
      <w:pPr>
        <w:pStyle w:val="Normal"/>
        <w:rPr/>
      </w:pPr>
      <w:r>
        <w:rPr/>
      </w:r>
    </w:p>
    <w:p>
      <w:pPr>
        <w:pStyle w:val="Heading2"/>
        <w:rPr/>
      </w:pPr>
      <w:bookmarkStart w:id="1555" w:name="_Toc474075239"/>
      <w:bookmarkStart w:id="1556" w:name="_Toc474075743"/>
      <w:bookmarkStart w:id="1557" w:name="_Toc34921136"/>
      <w:r>
        <w:rPr/>
        <w:t>PES-07: Supporting Utilities</w:t>
      </w:r>
      <w:bookmarkEnd w:id="1555"/>
      <w:bookmarkEnd w:id="1556"/>
      <w:bookmarkEnd w:id="1557"/>
      <w:r>
        <w:rPr/>
        <w:t xml:space="preserve"> </w:t>
      </w:r>
    </w:p>
    <w:p>
      <w:pPr>
        <w:pStyle w:val="Normal"/>
        <w:rPr/>
      </w:pPr>
      <w:r>
        <w:rPr>
          <w:u w:val="single"/>
        </w:rPr>
        <w:t>Control Objective</w:t>
      </w:r>
      <w:r>
        <w:rPr/>
        <w:t>: The organization protects power equipment and power cabling from damage and destruction.</w:t>
      </w:r>
      <w:r>
        <w:rPr>
          <w:rStyle w:val="FootnoteAnchor"/>
          <w:rStyle w:val="FootnoteAnchor"/>
          <w:rFonts w:cs="Calibri"/>
        </w:rPr>
        <w:footnoteReference w:id="498"/>
      </w:r>
      <w:r>
        <w:rPr/>
        <w:t xml:space="preserve"> </w:t>
      </w:r>
    </w:p>
    <w:p>
      <w:pPr>
        <w:pStyle w:val="Normal"/>
        <w:rPr/>
      </w:pPr>
      <w:r>
        <w:rPr/>
      </w:r>
    </w:p>
    <w:p>
      <w:pPr>
        <w:pStyle w:val="Normal"/>
        <w:rPr/>
      </w:pPr>
      <w:r>
        <w:rPr>
          <w:u w:val="single"/>
        </w:rPr>
        <w:t>Standard</w:t>
      </w:r>
      <w:r>
        <w:rPr/>
        <w:t>: Data center utility services and environmental conditions (e.g., water, power, temperature and humidity controls, telecommunications and internet connectivity) shall be:</w:t>
      </w:r>
    </w:p>
    <w:p>
      <w:pPr>
        <w:pStyle w:val="ListParagraph"/>
        <w:numPr>
          <w:ilvl w:val="0"/>
          <w:numId w:val="438"/>
        </w:numPr>
        <w:rPr/>
      </w:pPr>
      <w:r>
        <w:rPr/>
        <w:t xml:space="preserve">Secured, monitored, maintained and tested for continual effectiveness at planned intervals to ensure protection from unauthorized interception or damage; and </w:t>
      </w:r>
    </w:p>
    <w:p>
      <w:pPr>
        <w:pStyle w:val="ListParagraph"/>
        <w:numPr>
          <w:ilvl w:val="0"/>
          <w:numId w:val="438"/>
        </w:numPr>
        <w:rPr/>
      </w:pPr>
      <w:r>
        <w:rPr/>
        <w:t>Designed with automated fail-over or other redundancies in the event of planned or unplanned disruptions.</w:t>
      </w:r>
    </w:p>
    <w:p>
      <w:pPr>
        <w:pStyle w:val="Normal"/>
        <w:rPr/>
      </w:pPr>
      <w:r>
        <w:rPr/>
      </w:r>
    </w:p>
    <w:p>
      <w:pPr>
        <w:pStyle w:val="Normal"/>
        <w:rPr/>
      </w:pPr>
      <w:r>
        <w:rPr>
          <w:u w:val="single"/>
        </w:rPr>
        <w:t>Guidelines</w:t>
      </w:r>
      <w:r>
        <w:rPr/>
        <w:t>: None</w:t>
      </w:r>
    </w:p>
    <w:p>
      <w:pPr>
        <w:pStyle w:val="Normal"/>
        <w:rPr/>
      </w:pPr>
      <w:r>
        <w:rPr/>
      </w:r>
    </w:p>
    <w:p>
      <w:pPr>
        <w:pStyle w:val="Heading3"/>
        <w:rPr/>
      </w:pPr>
      <w:bookmarkStart w:id="1558" w:name="_Toc474075240"/>
      <w:bookmarkStart w:id="1559" w:name="_Toc34921137"/>
      <w:r>
        <w:rPr/>
        <w:t>PES-07(a): Supporting Utilities | Automatic Voltage Controls</w:t>
      </w:r>
      <w:bookmarkEnd w:id="1558"/>
      <w:bookmarkEnd w:id="1559"/>
      <w:r>
        <w:rPr/>
        <w:t xml:space="preserve"> </w:t>
      </w:r>
    </w:p>
    <w:p>
      <w:pPr>
        <w:pStyle w:val="Normal"/>
        <w:rPr>
          <w:i/>
          <w:i/>
          <w:iCs/>
        </w:rPr>
      </w:pPr>
      <w:r>
        <w:rPr>
          <w:u w:val="single"/>
        </w:rPr>
        <w:t>Control Objective</w:t>
      </w:r>
      <w:r>
        <w:rPr/>
        <w:t xml:space="preserve">: The organization employs automatic voltage controls for </w:t>
      </w:r>
      <w:r>
        <w:rPr>
          <w:iCs/>
        </w:rPr>
        <w:t>critical system components</w:t>
      </w:r>
      <w:r>
        <w:rPr/>
        <w:t>.</w:t>
      </w:r>
      <w:r>
        <w:rPr>
          <w:rStyle w:val="FootnoteAnchor"/>
          <w:rStyle w:val="FootnoteAnchor"/>
        </w:rPr>
        <w:footnoteReference w:id="499"/>
      </w:r>
    </w:p>
    <w:p>
      <w:pPr>
        <w:pStyle w:val="Normal"/>
        <w:rPr/>
      </w:pPr>
      <w:r>
        <w:rPr/>
      </w:r>
    </w:p>
    <w:p>
      <w:pPr>
        <w:pStyle w:val="Normal"/>
        <w:rPr/>
      </w:pPr>
      <w:r>
        <w:rPr>
          <w:u w:val="single"/>
        </w:rPr>
        <w:t>Standard</w:t>
      </w:r>
      <w:r>
        <w:rPr/>
        <w:t xml:space="preserve">: Asset custodians are required to employ automatic voltage controls for critical system components. </w:t>
      </w:r>
    </w:p>
    <w:p>
      <w:pPr>
        <w:pStyle w:val="Normal"/>
        <w:rPr/>
      </w:pPr>
      <w:r>
        <w:rPr/>
      </w:r>
    </w:p>
    <w:p>
      <w:pPr>
        <w:pStyle w:val="Normal"/>
        <w:rPr/>
      </w:pPr>
      <w:r>
        <w:rPr>
          <w:u w:val="single"/>
        </w:rPr>
        <w:t>Guidelines</w:t>
      </w:r>
      <w:r>
        <w:rPr/>
        <w:t>: Automatic voltage controls may take the form of Uninterruptable Power Supply (UPS) units or built-in voltage regulating systems, native to the electrical distribution system of the facility.</w:t>
      </w:r>
    </w:p>
    <w:p>
      <w:pPr>
        <w:pStyle w:val="Normal"/>
        <w:rPr/>
      </w:pPr>
      <w:r>
        <w:rPr/>
      </w:r>
    </w:p>
    <w:p>
      <w:pPr>
        <w:pStyle w:val="Heading3"/>
        <w:rPr/>
      </w:pPr>
      <w:bookmarkStart w:id="1560" w:name="_Toc474075241"/>
      <w:bookmarkStart w:id="1561" w:name="_Toc34921138"/>
      <w:r>
        <w:rPr/>
        <w:t>PES-07(b): Supporting Utilities | Emergency Shutoff</w:t>
      </w:r>
      <w:bookmarkEnd w:id="1560"/>
      <w:bookmarkEnd w:id="1561"/>
    </w:p>
    <w:p>
      <w:pPr>
        <w:pStyle w:val="Normal"/>
        <w:rPr/>
      </w:pPr>
      <w:r>
        <w:rPr>
          <w:u w:val="single"/>
        </w:rPr>
        <w:t>Control Objective</w:t>
      </w:r>
      <w:r>
        <w:rPr/>
        <w:t>: The organization:</w:t>
      </w:r>
      <w:r>
        <w:rPr>
          <w:rStyle w:val="FootnoteAnchor"/>
          <w:rStyle w:val="FootnoteAnchor"/>
          <w:rFonts w:cs="Calibri"/>
        </w:rPr>
        <w:footnoteReference w:id="500"/>
      </w:r>
      <w:r>
        <w:rPr/>
        <w:t xml:space="preserve"> </w:t>
      </w:r>
    </w:p>
    <w:p>
      <w:pPr>
        <w:pStyle w:val="ListParagraph"/>
        <w:numPr>
          <w:ilvl w:val="0"/>
          <w:numId w:val="66"/>
        </w:numPr>
        <w:rPr/>
      </w:pPr>
      <w:r>
        <w:rPr/>
        <w:t>Provides the capability of shutting off power to systems or individual system components in emergency situations;</w:t>
      </w:r>
    </w:p>
    <w:p>
      <w:pPr>
        <w:pStyle w:val="ListParagraph"/>
        <w:numPr>
          <w:ilvl w:val="0"/>
          <w:numId w:val="66"/>
        </w:numPr>
        <w:rPr/>
      </w:pPr>
      <w:r>
        <w:rPr/>
        <w:t xml:space="preserve">Places emergency shutoff switches or devices in close proximity to </w:t>
      </w:r>
      <w:r>
        <w:rPr>
          <w:iCs/>
        </w:rPr>
        <w:t>systems or system components</w:t>
      </w:r>
      <w:r>
        <w:rPr/>
        <w:t xml:space="preserve"> to facilitate safe and easy access for personnel; and</w:t>
      </w:r>
    </w:p>
    <w:p>
      <w:pPr>
        <w:pStyle w:val="ListParagraph"/>
        <w:numPr>
          <w:ilvl w:val="0"/>
          <w:numId w:val="66"/>
        </w:numPr>
        <w:rPr/>
      </w:pPr>
      <w:r>
        <w:rPr/>
        <w:t>Protects emergency power shutoff capability from unauthorized activation.</w:t>
      </w:r>
    </w:p>
    <w:p>
      <w:pPr>
        <w:pStyle w:val="Normal"/>
        <w:rPr/>
      </w:pPr>
      <w:r>
        <w:rPr/>
      </w:r>
    </w:p>
    <w:p>
      <w:pPr>
        <w:pStyle w:val="Normal"/>
        <w:rPr/>
      </w:pPr>
      <w:r>
        <w:rPr>
          <w:u w:val="single"/>
        </w:rPr>
        <w:t>Standard</w:t>
      </w:r>
      <w:r>
        <w:rPr/>
        <w:t>: In data center environments, asset custodians are required to:</w:t>
      </w:r>
    </w:p>
    <w:p>
      <w:pPr>
        <w:pStyle w:val="ListParagraph"/>
        <w:numPr>
          <w:ilvl w:val="0"/>
          <w:numId w:val="439"/>
        </w:numPr>
        <w:rPr/>
      </w:pPr>
      <w:r>
        <w:rPr/>
        <w:t>Provide the capability of shutting off power to systems in emergency situations;</w:t>
      </w:r>
    </w:p>
    <w:p>
      <w:pPr>
        <w:pStyle w:val="ListParagraph"/>
        <w:numPr>
          <w:ilvl w:val="0"/>
          <w:numId w:val="439"/>
        </w:numPr>
        <w:rPr/>
      </w:pPr>
      <w:r>
        <w:rPr/>
        <w:t xml:space="preserve">Place emergency shutoff switches or devices in close proximity to </w:t>
      </w:r>
      <w:r>
        <w:rPr>
          <w:iCs/>
        </w:rPr>
        <w:t>systems or system components</w:t>
      </w:r>
      <w:r>
        <w:rPr/>
        <w:t xml:space="preserve"> to facilitate safe and easy access for personnel; and</w:t>
      </w:r>
    </w:p>
    <w:p>
      <w:pPr>
        <w:pStyle w:val="ListParagraph"/>
        <w:numPr>
          <w:ilvl w:val="0"/>
          <w:numId w:val="439"/>
        </w:numPr>
        <w:rPr/>
      </w:pPr>
      <w:r>
        <w:rPr/>
        <w:t>Protect emergency power shutoff capability from unauthorized activation.</w:t>
      </w:r>
    </w:p>
    <w:p>
      <w:pPr>
        <w:pStyle w:val="Normal"/>
        <w:rPr/>
      </w:pPr>
      <w:r>
        <w:rPr/>
      </w:r>
    </w:p>
    <w:p>
      <w:pPr>
        <w:pStyle w:val="Normal"/>
        <w:rPr/>
      </w:pPr>
      <w:r>
        <w:rPr>
          <w:u w:val="single"/>
        </w:rPr>
        <w:t>Guidelines</w:t>
      </w:r>
      <w:r>
        <w:rPr/>
        <w:t>: This applies to facilities containing concentrations of system resources including, for example, data centers, server rooms and mainframe computer rooms. This applies to facilities containing concentrations of system resources, such as data centers, server rooms and mainframe computer rooms.</w:t>
      </w:r>
    </w:p>
    <w:p>
      <w:pPr>
        <w:pStyle w:val="Normal"/>
        <w:tabs>
          <w:tab w:val="clear" w:pos="360"/>
          <w:tab w:val="clear" w:pos="720"/>
          <w:tab w:val="clear" w:pos="1080"/>
        </w:tabs>
        <w:jc w:val="left"/>
        <w:rPr/>
      </w:pPr>
      <w:r>
        <w:rPr/>
      </w:r>
    </w:p>
    <w:p>
      <w:pPr>
        <w:pStyle w:val="Heading3"/>
        <w:rPr/>
      </w:pPr>
      <w:bookmarkStart w:id="1562" w:name="_Toc34921139"/>
      <w:bookmarkStart w:id="1563" w:name="_Toc474075242"/>
      <w:r>
        <w:rPr/>
        <w:t>PES-07(c): Supporting Utilities | Emergency Power</w:t>
      </w:r>
      <w:bookmarkEnd w:id="1562"/>
      <w:bookmarkEnd w:id="1563"/>
      <w:r>
        <w:rPr/>
        <w:t xml:space="preserve"> </w:t>
      </w:r>
    </w:p>
    <w:p>
      <w:pPr>
        <w:pStyle w:val="Normal"/>
        <w:rPr/>
      </w:pPr>
      <w:r>
        <w:rPr>
          <w:u w:val="single"/>
        </w:rPr>
        <w:t>Control Objective</w:t>
      </w:r>
      <w:r>
        <w:rPr/>
        <w:t>: The organization provides a long-term alternate power supply that is capable of maintaining minimally-required operational capability in the event of an extended loss of the primary power source.</w:t>
      </w:r>
      <w:r>
        <w:rPr>
          <w:rStyle w:val="FootnoteAnchor"/>
          <w:rStyle w:val="FootnoteAnchor"/>
          <w:rFonts w:cs="Calibri"/>
          <w:bCs w:val="false"/>
        </w:rPr>
        <w:footnoteReference w:id="501"/>
      </w:r>
      <w:r>
        <w:rPr/>
        <w:t xml:space="preserve"> </w:t>
      </w:r>
    </w:p>
    <w:p>
      <w:pPr>
        <w:pStyle w:val="Normal"/>
        <w:rPr/>
      </w:pPr>
      <w:r>
        <w:rPr/>
      </w:r>
    </w:p>
    <w:p>
      <w:pPr>
        <w:pStyle w:val="Normal"/>
        <w:rPr>
          <w:rFonts w:cs="Calibri"/>
          <w:bCs w:val="false"/>
        </w:rPr>
      </w:pPr>
      <w:r>
        <w:rPr>
          <w:rFonts w:cs="Calibri"/>
          <w:bCs w:val="false"/>
          <w:u w:val="single"/>
        </w:rPr>
        <w:t>Standard</w:t>
      </w:r>
      <w:r>
        <w:rPr>
          <w:rFonts w:cs="Calibri"/>
          <w:bCs w:val="false"/>
        </w:rPr>
        <w:t xml:space="preserve">: </w:t>
      </w:r>
      <w:r>
        <w:rPr>
          <w:rFonts w:cs="Calibri"/>
        </w:rPr>
        <w:t>Where technically feasible and a business justification exists</w:t>
      </w:r>
      <w:r>
        <w:rPr>
          <w:rFonts w:cs="Calibri"/>
          <w:bCs w:val="false"/>
        </w:rPr>
        <w:t>, NFCC shall obtain and maintain</w:t>
      </w:r>
      <w:r>
        <w:rPr/>
        <w:t xml:space="preserve"> a long-term alternate power supply for critical information systems that is capable of maintaining minimally required operational capability in the event of an extended loss of the primary power source.</w:t>
      </w:r>
    </w:p>
    <w:p>
      <w:pPr>
        <w:pStyle w:val="Normal"/>
        <w:rPr/>
      </w:pPr>
      <w:r>
        <w:rPr/>
      </w:r>
    </w:p>
    <w:p>
      <w:pPr>
        <w:pStyle w:val="Normal"/>
        <w:rPr>
          <w:rFonts w:cs="Calibri"/>
        </w:rPr>
      </w:pPr>
      <w:r>
        <w:rPr>
          <w:rFonts w:cs="Calibri"/>
          <w:u w:val="single"/>
        </w:rPr>
        <w:t>Guidelines</w:t>
      </w:r>
      <w:r>
        <w:rPr>
          <w:rFonts w:cs="Calibri"/>
        </w:rPr>
        <w:t xml:space="preserve">: </w:t>
      </w:r>
      <w:r>
        <w:rPr/>
        <w:t>This control can be satisfied by the use of a secondary commercial power supply or other external power supply. Long-term alternate power supplies for the information system can be either manually or automatically activated.</w:t>
      </w:r>
    </w:p>
    <w:p>
      <w:pPr>
        <w:pStyle w:val="Normal"/>
        <w:rPr/>
      </w:pPr>
      <w:r>
        <w:rPr/>
      </w:r>
    </w:p>
    <w:p>
      <w:pPr>
        <w:pStyle w:val="Heading3"/>
        <w:rPr/>
      </w:pPr>
      <w:bookmarkStart w:id="1564" w:name="_Toc474075243"/>
      <w:bookmarkStart w:id="1565" w:name="_Toc34921140"/>
      <w:r>
        <w:rPr/>
        <w:t>PES-07(d): Supporting Utilities | Emergency Lighting</w:t>
      </w:r>
      <w:bookmarkEnd w:id="1564"/>
      <w:bookmarkEnd w:id="1565"/>
    </w:p>
    <w:p>
      <w:pPr>
        <w:pStyle w:val="Normal"/>
        <w:rPr/>
      </w:pPr>
      <w:r>
        <w:rPr>
          <w:u w:val="single"/>
        </w:rPr>
        <w:t>Control Objective</w:t>
      </w:r>
      <w:r>
        <w:rPr/>
        <w:t>: The organization employs and maintains automatic emergency lighting that activates in the event of a power outage or disruption and that covers emergency exits and evacuation routes within the facility.</w:t>
      </w:r>
      <w:r>
        <w:rPr>
          <w:rStyle w:val="FootnoteAnchor"/>
          <w:rStyle w:val="FootnoteAnchor"/>
          <w:rFonts w:cs="Calibri"/>
        </w:rPr>
        <w:footnoteReference w:id="502"/>
      </w:r>
      <w:r>
        <w:rPr/>
        <w:t xml:space="preserve"> </w:t>
      </w:r>
    </w:p>
    <w:p>
      <w:pPr>
        <w:pStyle w:val="Normal"/>
        <w:rPr/>
      </w:pPr>
      <w:r>
        <w:rPr/>
      </w:r>
    </w:p>
    <w:p>
      <w:pPr>
        <w:pStyle w:val="Normal"/>
        <w:rPr/>
      </w:pPr>
      <w:r>
        <w:rPr>
          <w:u w:val="single"/>
        </w:rPr>
        <w:t>Standard</w:t>
      </w:r>
      <w:r>
        <w:rPr/>
        <w:t>: In data center environments, asset custodians are required to provide emergency lighting for all areas within the facility supporting essential missions and business functions.</w:t>
      </w:r>
    </w:p>
    <w:p>
      <w:pPr>
        <w:pStyle w:val="Normal"/>
        <w:rPr/>
      </w:pPr>
      <w:r>
        <w:rPr/>
      </w:r>
    </w:p>
    <w:p>
      <w:pPr>
        <w:pStyle w:val="Normal"/>
        <w:rPr/>
      </w:pPr>
      <w:r>
        <w:rPr>
          <w:u w:val="single"/>
        </w:rPr>
        <w:t>Guidelines</w:t>
      </w:r>
      <w:r>
        <w:rPr/>
        <w:t>: None</w:t>
      </w:r>
    </w:p>
    <w:p>
      <w:pPr>
        <w:pStyle w:val="Normal"/>
        <w:rPr/>
      </w:pPr>
      <w:r>
        <w:rPr/>
      </w:r>
    </w:p>
    <w:p>
      <w:pPr>
        <w:pStyle w:val="Heading3"/>
        <w:rPr/>
      </w:pPr>
      <w:bookmarkStart w:id="1566" w:name="_Toc474075244"/>
      <w:bookmarkStart w:id="1567" w:name="_Toc34921141"/>
      <w:r>
        <w:rPr/>
        <w:t>PES-07(e): Supporting Utilities | Water Damage Protection</w:t>
      </w:r>
      <w:bookmarkEnd w:id="1566"/>
      <w:bookmarkEnd w:id="1567"/>
    </w:p>
    <w:p>
      <w:pPr>
        <w:pStyle w:val="Normal"/>
        <w:rPr/>
      </w:pPr>
      <w:r>
        <w:rPr>
          <w:u w:val="single"/>
        </w:rPr>
        <w:t>Control Objective</w:t>
      </w:r>
      <w:r>
        <w:rPr/>
        <w:t>: The organization protects systems from damage resulting from water leakage by providing master shutoff valves that are accessible, working properly and known to key personnel.</w:t>
      </w:r>
      <w:r>
        <w:rPr>
          <w:rStyle w:val="FootnoteAnchor"/>
          <w:rStyle w:val="FootnoteAnchor"/>
          <w:rFonts w:cs="Calibri"/>
        </w:rPr>
        <w:footnoteReference w:id="503"/>
      </w:r>
      <w:r>
        <w:rPr/>
        <w:t xml:space="preserve"> </w:t>
      </w:r>
    </w:p>
    <w:p>
      <w:pPr>
        <w:pStyle w:val="Normal"/>
        <w:rPr/>
      </w:pPr>
      <w:r>
        <w:rPr/>
      </w:r>
    </w:p>
    <w:p>
      <w:pPr>
        <w:pStyle w:val="Normal"/>
        <w:rPr/>
      </w:pPr>
      <w:r>
        <w:rPr>
          <w:u w:val="single"/>
        </w:rPr>
        <w:t>Standard</w:t>
      </w:r>
      <w:r>
        <w:rPr/>
        <w:t>: In data center environments, asset custodians are required to employ automated mechanisms that, without the need for manual intervention, alerts personnel and protect systems from water damage in the event of a water leak.</w:t>
      </w:r>
    </w:p>
    <w:p>
      <w:pPr>
        <w:pStyle w:val="Normal"/>
        <w:rPr/>
      </w:pPr>
      <w:r>
        <w:rPr/>
      </w:r>
    </w:p>
    <w:p>
      <w:pPr>
        <w:pStyle w:val="Normal"/>
        <w:rPr/>
      </w:pPr>
      <w:r>
        <w:rPr>
          <w:u w:val="single"/>
        </w:rPr>
        <w:t>Guidelines</w:t>
      </w:r>
      <w:r>
        <w:rPr/>
        <w:t>: Isolation values can be employed in lieu of master shutoff valves to shut off water supplies in specific areas of concern, without affecting entire organizations.</w:t>
      </w:r>
    </w:p>
    <w:p>
      <w:pPr>
        <w:pStyle w:val="Normal"/>
        <w:rPr/>
      </w:pPr>
      <w:r>
        <w:rPr/>
      </w:r>
    </w:p>
    <w:p>
      <w:pPr>
        <w:pStyle w:val="Heading3"/>
        <w:rPr/>
      </w:pPr>
      <w:bookmarkStart w:id="1568" w:name="_Toc34921142"/>
      <w:bookmarkStart w:id="1569" w:name="_Toc23241887"/>
      <w:r>
        <w:rPr/>
        <w:t>PES-07(f): Supporting Utilities | Automation Support</w:t>
      </w:r>
      <w:bookmarkEnd w:id="1569"/>
      <w:r>
        <w:rPr/>
        <w:t xml:space="preserve"> for Water Damage Protection</w:t>
      </w:r>
      <w:bookmarkEnd w:id="1568"/>
      <w:r>
        <w:rPr/>
        <w:t xml:space="preserve"> </w:t>
      </w:r>
    </w:p>
    <w:p>
      <w:pPr>
        <w:pStyle w:val="Normal"/>
        <w:rPr/>
      </w:pPr>
      <w:r>
        <w:rPr>
          <w:rFonts w:cs="Calibri"/>
          <w:u w:val="single"/>
        </w:rPr>
        <w:t>Control Objective</w:t>
      </w:r>
      <w:r>
        <w:rPr>
          <w:rFonts w:cs="Calibri"/>
        </w:rPr>
        <w:t xml:space="preserve">: </w:t>
      </w:r>
      <w:r>
        <w:rPr/>
        <w:t>The organization employs automated mechanisms to detect the presence of water in the vicinity of the information system and alerts organization-defined personnel or roles.</w:t>
      </w:r>
      <w:r>
        <w:rPr>
          <w:rStyle w:val="FootnoteCharacters"/>
          <w:rFonts w:cs="Calibri"/>
        </w:rPr>
        <w:t xml:space="preserve"> </w:t>
      </w:r>
      <w:r>
        <w:rPr>
          <w:rStyle w:val="FootnoteAnchor"/>
          <w:rStyle w:val="FootnoteAnchor"/>
          <w:rFonts w:cs="Calibri"/>
        </w:rPr>
        <w:footnoteReference w:id="504"/>
      </w:r>
      <w:r>
        <w:rPr/>
        <w:t xml:space="preserve">  </w:t>
      </w:r>
    </w:p>
    <w:p>
      <w:pPr>
        <w:pStyle w:val="Normal"/>
        <w:rPr>
          <w:rFonts w:cs="Calibri"/>
        </w:rPr>
      </w:pPr>
      <w:r>
        <w:rPr>
          <w:rFonts w:cs="Calibri"/>
        </w:rPr>
      </w:r>
    </w:p>
    <w:p>
      <w:pPr>
        <w:pStyle w:val="Normal"/>
        <w:rPr/>
      </w:pPr>
      <w:r>
        <w:rPr>
          <w:rFonts w:cs="Calibri"/>
          <w:u w:val="single"/>
        </w:rPr>
        <w:t>Standard</w:t>
      </w:r>
      <w:r>
        <w:rPr>
          <w:rFonts w:cs="Calibri"/>
        </w:rPr>
        <w:t>: In data center environments, facilities management personnel are required to</w:t>
      </w:r>
      <w:r>
        <w:rPr>
          <w:rFonts w:cs="Calibri"/>
          <w:bCs w:val="false"/>
        </w:rPr>
        <w:t xml:space="preserve"> employ </w:t>
      </w:r>
      <w:r>
        <w:rPr/>
        <w:t>automated mechanisms to:</w:t>
      </w:r>
    </w:p>
    <w:p>
      <w:pPr>
        <w:pStyle w:val="ListParagraph"/>
        <w:numPr>
          <w:ilvl w:val="0"/>
          <w:numId w:val="616"/>
        </w:numPr>
        <w:rPr>
          <w:rFonts w:cs="Calibri"/>
        </w:rPr>
      </w:pPr>
      <w:r>
        <w:rPr/>
        <w:t xml:space="preserve">Detect the presence of water in the vicinity of critical information systems; and </w:t>
      </w:r>
    </w:p>
    <w:p>
      <w:pPr>
        <w:pStyle w:val="ListParagraph"/>
        <w:numPr>
          <w:ilvl w:val="0"/>
          <w:numId w:val="616"/>
        </w:numPr>
        <w:rPr>
          <w:rFonts w:cs="Calibri"/>
        </w:rPr>
      </w:pPr>
      <w:r>
        <w:rPr/>
        <w:t>Alerts on-call facilities management personnel and affected asset custodians.</w:t>
      </w:r>
    </w:p>
    <w:p>
      <w:pPr>
        <w:pStyle w:val="ListParagraph"/>
        <w:rPr>
          <w:rFonts w:cs="Calibri"/>
        </w:rPr>
      </w:pPr>
      <w:r>
        <w:rPr>
          <w:rFonts w:cs="Calibri"/>
        </w:rPr>
      </w:r>
    </w:p>
    <w:p>
      <w:pPr>
        <w:pStyle w:val="Normal"/>
        <w:rPr/>
      </w:pPr>
      <w:r>
        <w:rPr>
          <w:rFonts w:cs="Calibri"/>
          <w:u w:val="single"/>
        </w:rPr>
        <w:t>Guidelines</w:t>
      </w:r>
      <w:r>
        <w:rPr>
          <w:rFonts w:cs="Calibri"/>
        </w:rPr>
        <w:t xml:space="preserve">: </w:t>
      </w:r>
      <w:r>
        <w:rPr/>
        <w:t>Automated mechanisms can include, for example, water detection sensors, alarms and notification systems.</w:t>
      </w:r>
      <w:bookmarkStart w:id="1570" w:name="_Hlk27580190"/>
      <w:bookmarkEnd w:id="1570"/>
    </w:p>
    <w:p>
      <w:pPr>
        <w:pStyle w:val="Normal"/>
        <w:rPr/>
      </w:pPr>
      <w:r>
        <w:rPr/>
      </w:r>
    </w:p>
    <w:p>
      <w:pPr>
        <w:pStyle w:val="Normal"/>
        <w:rPr/>
      </w:pPr>
      <w:r>
        <w:rPr/>
      </w:r>
      <w:bookmarkStart w:id="1571" w:name="_Toc398527230"/>
      <w:bookmarkStart w:id="1572" w:name="_Toc398527230"/>
      <w:bookmarkEnd w:id="1572"/>
    </w:p>
    <w:p>
      <w:pPr>
        <w:pStyle w:val="Heading2"/>
        <w:rPr/>
      </w:pPr>
      <w:bookmarkStart w:id="1573" w:name="_Toc474075245"/>
      <w:bookmarkStart w:id="1574" w:name="_Toc474075744"/>
      <w:bookmarkStart w:id="1575" w:name="_Toc34921143"/>
      <w:r>
        <w:rPr/>
        <w:t>PES-08: Fire Protection</w:t>
      </w:r>
      <w:bookmarkEnd w:id="1573"/>
      <w:bookmarkEnd w:id="1574"/>
      <w:bookmarkEnd w:id="1575"/>
    </w:p>
    <w:p>
      <w:pPr>
        <w:pStyle w:val="Normal"/>
        <w:rPr/>
      </w:pPr>
      <w:r>
        <w:rPr>
          <w:u w:val="single"/>
        </w:rPr>
        <w:t>Control Objective</w:t>
      </w:r>
      <w:r>
        <w:rPr/>
        <w:t>: The organization employs and maintains fire suppression and detection devices / systems that are supported by an independent energy source.</w:t>
      </w:r>
      <w:r>
        <w:rPr>
          <w:rStyle w:val="FootnoteAnchor"/>
          <w:rStyle w:val="FootnoteAnchor"/>
          <w:rFonts w:cs="Calibri"/>
        </w:rPr>
        <w:footnoteReference w:id="505"/>
      </w:r>
      <w:r>
        <w:rPr/>
        <w:t xml:space="preserve"> </w:t>
      </w:r>
    </w:p>
    <w:p>
      <w:pPr>
        <w:pStyle w:val="Normal"/>
        <w:rPr/>
      </w:pPr>
      <w:r>
        <w:rPr/>
      </w:r>
    </w:p>
    <w:p>
      <w:pPr>
        <w:pStyle w:val="Normal"/>
        <w:rPr/>
      </w:pPr>
      <w:r>
        <w:rPr>
          <w:u w:val="single"/>
        </w:rPr>
        <w:t>Standard</w:t>
      </w:r>
      <w:r>
        <w:rPr/>
        <w:t>: In data center environments, asset custodians are required to ensure that its facilities undergo annual fire marshal inspections and promptly resolve identified deficiencies.</w:t>
      </w:r>
    </w:p>
    <w:p>
      <w:pPr>
        <w:pStyle w:val="Normal"/>
        <w:rPr/>
      </w:pPr>
      <w:r>
        <w:rPr/>
      </w:r>
    </w:p>
    <w:p>
      <w:pPr>
        <w:pStyle w:val="Normal"/>
        <w:rPr/>
      </w:pPr>
      <w:r>
        <w:rPr>
          <w:u w:val="single"/>
        </w:rPr>
        <w:t>Guidelines</w:t>
      </w:r>
      <w:r>
        <w:rPr/>
        <w:t>: Fire suppression and detection devices / systems include, for example, sprinkler systems, handheld fire extinguishers, fixed fire hoses and smoke detectors.</w:t>
      </w:r>
    </w:p>
    <w:p>
      <w:pPr>
        <w:pStyle w:val="Normal"/>
        <w:rPr/>
      </w:pPr>
      <w:r>
        <w:rPr/>
      </w:r>
    </w:p>
    <w:p>
      <w:pPr>
        <w:pStyle w:val="Heading3"/>
        <w:rPr/>
      </w:pPr>
      <w:bookmarkStart w:id="1576" w:name="_Toc474075246"/>
      <w:bookmarkStart w:id="1577" w:name="_Toc34921144"/>
      <w:r>
        <w:rPr/>
        <w:t>PES-08(a): Fire Protection | Fire Detection Devices</w:t>
      </w:r>
      <w:bookmarkEnd w:id="1576"/>
      <w:bookmarkEnd w:id="1577"/>
    </w:p>
    <w:p>
      <w:pPr>
        <w:pStyle w:val="Normal"/>
        <w:rPr/>
      </w:pPr>
      <w:r>
        <w:rPr>
          <w:u w:val="single"/>
        </w:rPr>
        <w:t>Control Objective</w:t>
      </w:r>
      <w:r>
        <w:rPr/>
        <w:t>: The organization employs fire detection devices / systems that activate automatically and notify organizational personnel and emergency responders in the event of a fire.</w:t>
      </w:r>
      <w:r>
        <w:rPr>
          <w:rStyle w:val="FootnoteAnchor"/>
          <w:rStyle w:val="FootnoteAnchor"/>
        </w:rPr>
        <w:footnoteReference w:id="506"/>
      </w:r>
    </w:p>
    <w:p>
      <w:pPr>
        <w:pStyle w:val="Normal"/>
        <w:rPr/>
      </w:pPr>
      <w:r>
        <w:rPr/>
      </w:r>
    </w:p>
    <w:p>
      <w:pPr>
        <w:pStyle w:val="Normal"/>
        <w:rPr/>
      </w:pPr>
      <w:r>
        <w:rPr>
          <w:u w:val="single"/>
        </w:rPr>
        <w:t>Standard</w:t>
      </w:r>
      <w:r>
        <w:rPr/>
        <w:t>: In data center environments, asset custodians are required to employ fire detection devices that activate automatically and notify organizational personnel and emergency responders in the event of a fire.</w:t>
      </w:r>
    </w:p>
    <w:p>
      <w:pPr>
        <w:pStyle w:val="Normal"/>
        <w:rPr/>
      </w:pPr>
      <w:r>
        <w:rPr/>
      </w:r>
    </w:p>
    <w:p>
      <w:pPr>
        <w:pStyle w:val="Normal"/>
        <w:rPr/>
      </w:pPr>
      <w:r>
        <w:rPr>
          <w:u w:val="single"/>
        </w:rPr>
        <w:t>Guidelines</w:t>
      </w:r>
      <w:r>
        <w:rPr/>
        <w:t>: Organizations can identify specific personnel, roles and emergency responders in the event that individuals on the notification list must have appropriate access authorizations and / or clearances, for example, to obtain access to facilities where classified operations are taking place or where there are systems containing classified information.</w:t>
      </w:r>
    </w:p>
    <w:p>
      <w:pPr>
        <w:pStyle w:val="Normal"/>
        <w:rPr/>
      </w:pPr>
      <w:r>
        <w:rPr/>
      </w:r>
    </w:p>
    <w:p>
      <w:pPr>
        <w:pStyle w:val="Heading3"/>
        <w:rPr/>
      </w:pPr>
      <w:bookmarkStart w:id="1578" w:name="_Toc474075247"/>
      <w:bookmarkStart w:id="1579" w:name="_Toc34921145"/>
      <w:r>
        <w:rPr/>
        <w:t>PES-08(b): Fire Protection | Fire Suppression Devices</w:t>
      </w:r>
      <w:bookmarkEnd w:id="1578"/>
      <w:bookmarkEnd w:id="1579"/>
    </w:p>
    <w:p>
      <w:pPr>
        <w:pStyle w:val="Normal"/>
        <w:rPr/>
      </w:pPr>
      <w:r>
        <w:rPr>
          <w:u w:val="single"/>
        </w:rPr>
        <w:t>Control Objective</w:t>
      </w:r>
      <w:r>
        <w:rPr/>
        <w:t>: The organization employs fire suppression devices / systems that provide automatic notification of any activation to organizational personnel and emergency responders.</w:t>
      </w:r>
      <w:r>
        <w:rPr>
          <w:rStyle w:val="FootnoteAnchor"/>
          <w:rStyle w:val="FootnoteAnchor"/>
          <w:rFonts w:cs="Calibri"/>
          <w:bCs w:val="false"/>
        </w:rPr>
        <w:footnoteReference w:id="507"/>
      </w:r>
    </w:p>
    <w:p>
      <w:pPr>
        <w:pStyle w:val="Normal"/>
        <w:rPr/>
      </w:pPr>
      <w:r>
        <w:rPr/>
      </w:r>
    </w:p>
    <w:p>
      <w:pPr>
        <w:pStyle w:val="Normal"/>
        <w:rPr/>
      </w:pPr>
      <w:r>
        <w:rPr>
          <w:u w:val="single"/>
        </w:rPr>
        <w:t>Standard</w:t>
      </w:r>
      <w:r>
        <w:rPr/>
        <w:t>: Where technically feasible, NFCC shall employ fire suppression devices / systems that provide automatic notification of any activation.</w:t>
      </w:r>
    </w:p>
    <w:p>
      <w:pPr>
        <w:pStyle w:val="Normal"/>
        <w:rPr/>
      </w:pPr>
      <w:r>
        <w:rPr/>
      </w:r>
    </w:p>
    <w:p>
      <w:pPr>
        <w:pStyle w:val="Normal"/>
        <w:rPr/>
      </w:pPr>
      <w:r>
        <w:rPr>
          <w:u w:val="single"/>
        </w:rPr>
        <w:t>Guidelines</w:t>
      </w:r>
      <w:r>
        <w:rPr/>
        <w:t>: Organizations can identify specific personnel, roles and emergency responders in the event that individuals on the notification list must have appropriate access authorizations and / or clearances, for example, to obtain access to facilities where classified operations are taking place or where there are systems containing classified information.</w:t>
      </w:r>
    </w:p>
    <w:p>
      <w:pPr>
        <w:pStyle w:val="Normal"/>
        <w:rPr/>
      </w:pPr>
      <w:r>
        <w:rPr/>
      </w:r>
    </w:p>
    <w:p>
      <w:pPr>
        <w:pStyle w:val="Heading3"/>
        <w:rPr/>
      </w:pPr>
      <w:bookmarkStart w:id="1580" w:name="_Toc34921146"/>
      <w:r>
        <w:rPr/>
        <w:t>PES-08(c): Fire Protection | Automatic Fire Suppression</w:t>
      </w:r>
      <w:bookmarkEnd w:id="1580"/>
    </w:p>
    <w:p>
      <w:pPr>
        <w:pStyle w:val="Normal"/>
        <w:rPr>
          <w:rFonts w:cs="Calibri"/>
          <w:bCs w:val="false"/>
        </w:rPr>
      </w:pPr>
      <w:r>
        <w:rPr>
          <w:rFonts w:cs="Calibri"/>
          <w:u w:val="single"/>
        </w:rPr>
        <w:t>Control Objective</w:t>
      </w:r>
      <w:r>
        <w:rPr>
          <w:rFonts w:cs="Calibri"/>
        </w:rPr>
        <w:t>: The organization employs an automatic fire suppression capability for the information system when the facility is not staffed on a continuous basis.</w:t>
      </w:r>
      <w:r>
        <w:rPr>
          <w:rStyle w:val="FootnoteCharacters"/>
          <w:rFonts w:cs="Calibri"/>
          <w:bCs w:val="false"/>
        </w:rPr>
        <w:t xml:space="preserve"> </w:t>
      </w:r>
      <w:r>
        <w:rPr>
          <w:rStyle w:val="FootnoteAnchor"/>
          <w:rStyle w:val="FootnoteAnchor"/>
          <w:rFonts w:cs="Calibri"/>
          <w:bCs w:val="false"/>
        </w:rPr>
        <w:footnoteReference w:id="508"/>
      </w:r>
    </w:p>
    <w:p>
      <w:pPr>
        <w:pStyle w:val="Normal"/>
        <w:rPr>
          <w:rFonts w:cs="Calibri"/>
          <w:bCs w:val="false"/>
          <w:u w:val="single"/>
        </w:rPr>
      </w:pPr>
      <w:r>
        <w:rPr>
          <w:rFonts w:cs="Calibri"/>
          <w:bCs w:val="false"/>
          <w:u w:val="single"/>
        </w:rPr>
      </w:r>
    </w:p>
    <w:p>
      <w:pPr>
        <w:pStyle w:val="Normal"/>
        <w:rPr>
          <w:rFonts w:cs="Calibri"/>
        </w:rPr>
      </w:pPr>
      <w:r>
        <w:rPr>
          <w:rFonts w:cs="Calibri"/>
          <w:u w:val="single"/>
        </w:rPr>
        <w:t>Standard</w:t>
      </w:r>
      <w:r>
        <w:rPr>
          <w:rFonts w:cs="Calibri"/>
        </w:rPr>
        <w:t>: Where technically feasible and justified by a valid business case, NFCC shall employ an automatic fire suppression capability in its data center environments where sensitive data and/or critical systems are located.</w:t>
      </w:r>
    </w:p>
    <w:p>
      <w:pPr>
        <w:pStyle w:val="Normal"/>
        <w:rPr>
          <w:rFonts w:cs="Calibri"/>
          <w:u w:val="single"/>
        </w:rPr>
      </w:pPr>
      <w:r>
        <w:rPr>
          <w:rFonts w:cs="Calibri"/>
          <w:u w:val="single"/>
        </w:rPr>
      </w:r>
    </w:p>
    <w:p>
      <w:pPr>
        <w:pStyle w:val="Normal"/>
        <w:rPr>
          <w:rFonts w:cs="Calibri"/>
        </w:rPr>
      </w:pPr>
      <w:r>
        <w:rPr>
          <w:rFonts w:cs="Calibri"/>
          <w:u w:val="single"/>
        </w:rPr>
        <w:t>Guidelines</w:t>
      </w:r>
      <w:r>
        <w:rPr>
          <w:rFonts w:cs="Calibri"/>
        </w:rPr>
        <w:t>: None</w:t>
      </w:r>
      <w:bookmarkStart w:id="1581" w:name="_Hlk27580209"/>
      <w:bookmarkEnd w:id="1581"/>
    </w:p>
    <w:p>
      <w:pPr>
        <w:pStyle w:val="Normal"/>
        <w:rPr/>
      </w:pPr>
      <w:r>
        <w:rPr/>
      </w:r>
    </w:p>
    <w:p>
      <w:pPr>
        <w:pStyle w:val="Normal"/>
        <w:rPr/>
      </w:pPr>
      <w:r>
        <w:rPr/>
      </w:r>
    </w:p>
    <w:p>
      <w:pPr>
        <w:pStyle w:val="Heading2"/>
        <w:rPr/>
      </w:pPr>
      <w:bookmarkStart w:id="1582" w:name="_Toc474075249"/>
      <w:bookmarkStart w:id="1583" w:name="_Toc474075745"/>
      <w:bookmarkStart w:id="1584" w:name="_Toc34921147"/>
      <w:r>
        <w:rPr/>
        <w:t>PES-09: Temperature &amp; Humidity Controls</w:t>
      </w:r>
      <w:bookmarkEnd w:id="1582"/>
      <w:bookmarkEnd w:id="1583"/>
      <w:bookmarkEnd w:id="1584"/>
    </w:p>
    <w:p>
      <w:pPr>
        <w:pStyle w:val="Normal"/>
        <w:rPr/>
      </w:pPr>
      <w:r>
        <w:rPr>
          <w:u w:val="single"/>
        </w:rPr>
        <w:t>Control Objective</w:t>
      </w:r>
      <w:r>
        <w:rPr/>
        <w:t>: The organization:</w:t>
      </w:r>
      <w:r>
        <w:rPr>
          <w:rStyle w:val="FootnoteAnchor"/>
          <w:rStyle w:val="FootnoteAnchor"/>
          <w:rFonts w:cs="Calibri"/>
        </w:rPr>
        <w:footnoteReference w:id="509"/>
      </w:r>
      <w:r>
        <w:rPr/>
        <w:t xml:space="preserve"> </w:t>
      </w:r>
    </w:p>
    <w:p>
      <w:pPr>
        <w:pStyle w:val="ListParagraph"/>
        <w:numPr>
          <w:ilvl w:val="0"/>
          <w:numId w:val="67"/>
        </w:numPr>
        <w:rPr/>
      </w:pPr>
      <w:r>
        <w:rPr/>
        <w:t>Maintains temperature and humidity levels within the facility; and</w:t>
      </w:r>
    </w:p>
    <w:p>
      <w:pPr>
        <w:pStyle w:val="ListParagraph"/>
        <w:numPr>
          <w:ilvl w:val="0"/>
          <w:numId w:val="67"/>
        </w:numPr>
        <w:rPr>
          <w:b/>
          <w:b/>
        </w:rPr>
      </w:pPr>
      <w:r>
        <w:rPr/>
        <w:t>Monitors temperature and humidity levels.</w:t>
      </w:r>
    </w:p>
    <w:p>
      <w:pPr>
        <w:pStyle w:val="Normal"/>
        <w:rPr/>
      </w:pPr>
      <w:r>
        <w:rPr/>
      </w:r>
    </w:p>
    <w:p>
      <w:pPr>
        <w:pStyle w:val="Normal"/>
        <w:rPr/>
      </w:pPr>
      <w:r>
        <w:rPr>
          <w:u w:val="single"/>
        </w:rPr>
        <w:t>Standard</w:t>
      </w:r>
      <w:r>
        <w:rPr/>
        <w:t xml:space="preserve">: In data center environments, asset custodians are required to employ temperature and humidity monitoring that provides an alarm or notification of changes potentially harmful to personnel or equipment. </w:t>
      </w:r>
    </w:p>
    <w:p>
      <w:pPr>
        <w:pStyle w:val="Normal"/>
        <w:rPr/>
      </w:pPr>
      <w:r>
        <w:rPr/>
      </w:r>
    </w:p>
    <w:p>
      <w:pPr>
        <w:pStyle w:val="Normal"/>
        <w:rPr/>
      </w:pPr>
      <w:r>
        <w:rPr>
          <w:u w:val="single"/>
        </w:rPr>
        <w:t>Guidelines</w:t>
      </w:r>
      <w:r>
        <w:rPr/>
        <w:t>: Temperature and humidity controls typically apply to facilities containing concentrations of system resources, for example, data centers, server rooms and mainframe computer rooms.</w:t>
      </w:r>
    </w:p>
    <w:p>
      <w:pPr>
        <w:pStyle w:val="Normal"/>
        <w:rPr/>
      </w:pPr>
      <w:r>
        <w:rPr/>
      </w:r>
    </w:p>
    <w:p>
      <w:pPr>
        <w:pStyle w:val="Heading3"/>
        <w:rPr/>
      </w:pPr>
      <w:bookmarkStart w:id="1585" w:name="_Toc474075250"/>
      <w:bookmarkStart w:id="1586" w:name="_Toc34921148"/>
      <w:r>
        <w:rPr/>
        <w:t>PES-09(a): Temperature &amp; Humidity Controls | Monitoring with Alarms / Notifications</w:t>
      </w:r>
      <w:bookmarkEnd w:id="1585"/>
      <w:bookmarkEnd w:id="1586"/>
    </w:p>
    <w:p>
      <w:pPr>
        <w:pStyle w:val="Normal"/>
        <w:rPr/>
      </w:pPr>
      <w:r>
        <w:rPr>
          <w:u w:val="single"/>
        </w:rPr>
        <w:t>Control Objective</w:t>
      </w:r>
      <w:r>
        <w:rPr/>
        <w:t>: The organization employs temperature and humidity monitoring that provides an alarm or notification of changes potentially harmful to personnel or equipment.</w:t>
      </w:r>
      <w:r>
        <w:rPr>
          <w:rStyle w:val="FootnoteAnchor"/>
          <w:rStyle w:val="FootnoteAnchor"/>
          <w:rFonts w:cs="Calibri"/>
        </w:rPr>
        <w:footnoteReference w:id="510"/>
      </w:r>
    </w:p>
    <w:p>
      <w:pPr>
        <w:pStyle w:val="Normal"/>
        <w:rPr/>
      </w:pPr>
      <w:r>
        <w:rPr/>
      </w:r>
    </w:p>
    <w:p>
      <w:pPr>
        <w:pStyle w:val="Normal"/>
        <w:rPr/>
      </w:pPr>
      <w:r>
        <w:rPr>
          <w:u w:val="single"/>
        </w:rPr>
        <w:t>Standard</w:t>
      </w:r>
      <w:r>
        <w:rPr/>
        <w:t>: Where technically feasible, NFCC shall employ temperature and humidity monitoring that provides an alarm or notification of changes potentially harmful to personnel or equipment.</w:t>
      </w:r>
    </w:p>
    <w:p>
      <w:pPr>
        <w:pStyle w:val="Normal"/>
        <w:rPr/>
      </w:pPr>
      <w:r>
        <w:rPr/>
      </w:r>
    </w:p>
    <w:p>
      <w:pPr>
        <w:pStyle w:val="Normal"/>
        <w:rPr/>
      </w:pPr>
      <w:r>
        <w:rPr>
          <w:u w:val="single"/>
        </w:rPr>
        <w:t>Guidelines</w:t>
      </w:r>
      <w:r>
        <w:rPr/>
        <w:t>: None</w:t>
      </w:r>
    </w:p>
    <w:p>
      <w:pPr>
        <w:pStyle w:val="Normal"/>
        <w:rPr/>
      </w:pPr>
      <w:r>
        <w:rPr/>
      </w:r>
    </w:p>
    <w:p>
      <w:pPr>
        <w:pStyle w:val="Normal"/>
        <w:rPr/>
      </w:pPr>
      <w:r>
        <w:rPr/>
      </w:r>
    </w:p>
    <w:p>
      <w:pPr>
        <w:pStyle w:val="Heading2"/>
        <w:rPr/>
      </w:pPr>
      <w:bookmarkStart w:id="1587" w:name="_Toc474075251"/>
      <w:bookmarkStart w:id="1588" w:name="_Toc474075746"/>
      <w:bookmarkStart w:id="1589" w:name="_Toc34921149"/>
      <w:r>
        <w:rPr/>
        <w:t>PES-10: Delivery &amp; Removal</w:t>
      </w:r>
      <w:bookmarkEnd w:id="1587"/>
      <w:bookmarkEnd w:id="1588"/>
      <w:bookmarkEnd w:id="1589"/>
      <w:r>
        <w:rPr/>
        <w:t xml:space="preserve"> </w:t>
      </w:r>
    </w:p>
    <w:p>
      <w:pPr>
        <w:pStyle w:val="Normal"/>
        <w:rPr/>
      </w:pPr>
      <w:r>
        <w:rPr>
          <w:u w:val="single"/>
        </w:rPr>
        <w:t>Control Objective</w:t>
      </w:r>
      <w:r>
        <w:rPr/>
        <w:t>: The organization uses controlled access points to isolate information processing facilities for points, such as delivery and loading areas, to avoid unauthorized access.</w:t>
      </w:r>
      <w:r>
        <w:rPr>
          <w:rStyle w:val="FootnoteAnchor"/>
          <w:rStyle w:val="FootnoteAnchor"/>
          <w:rFonts w:cs="Calibri"/>
        </w:rPr>
        <w:footnoteReference w:id="511"/>
      </w:r>
      <w:r>
        <w:rPr/>
        <w:t xml:space="preserve"> </w:t>
      </w:r>
    </w:p>
    <w:p>
      <w:pPr>
        <w:pStyle w:val="Normal"/>
        <w:rPr/>
      </w:pPr>
      <w:r>
        <w:rPr/>
      </w:r>
    </w:p>
    <w:p>
      <w:pPr>
        <w:pStyle w:val="Normal"/>
        <w:rPr/>
      </w:pPr>
      <w:r>
        <w:rPr>
          <w:u w:val="single"/>
        </w:rPr>
        <w:t>Standard</w:t>
      </w:r>
      <w:r>
        <w:rPr/>
        <w:t>: Systems are prohibited from being removed from NFCC facilities without prior, management authorization. Prior to the removal of the system, the following information needs to be captured:</w:t>
      </w:r>
    </w:p>
    <w:p>
      <w:pPr>
        <w:pStyle w:val="ListParagraph"/>
        <w:numPr>
          <w:ilvl w:val="0"/>
          <w:numId w:val="440"/>
        </w:numPr>
        <w:rPr/>
      </w:pPr>
      <w:r>
        <w:rPr/>
        <w:t>Make / model / serial # of the asset;</w:t>
      </w:r>
    </w:p>
    <w:p>
      <w:pPr>
        <w:pStyle w:val="ListParagraph"/>
        <w:numPr>
          <w:ilvl w:val="0"/>
          <w:numId w:val="440"/>
        </w:numPr>
        <w:rPr/>
      </w:pPr>
      <w:r>
        <w:rPr/>
        <w:t>Owner of the asset;</w:t>
      </w:r>
    </w:p>
    <w:p>
      <w:pPr>
        <w:pStyle w:val="ListParagraph"/>
        <w:numPr>
          <w:ilvl w:val="0"/>
          <w:numId w:val="440"/>
        </w:numPr>
        <w:rPr/>
      </w:pPr>
      <w:r>
        <w:rPr/>
        <w:t>Reason the asset is being removed from the facility;</w:t>
      </w:r>
    </w:p>
    <w:p>
      <w:pPr>
        <w:pStyle w:val="ListParagraph"/>
        <w:numPr>
          <w:ilvl w:val="0"/>
          <w:numId w:val="440"/>
        </w:numPr>
        <w:rPr/>
      </w:pPr>
      <w:r>
        <w:rPr/>
        <w:t>Company and name of representative removing the asset; and</w:t>
      </w:r>
    </w:p>
    <w:p>
      <w:pPr>
        <w:pStyle w:val="ListParagraph"/>
        <w:numPr>
          <w:ilvl w:val="0"/>
          <w:numId w:val="440"/>
        </w:numPr>
        <w:rPr/>
      </w:pPr>
      <w:r>
        <w:rPr/>
        <w:t>Estimated return date for the asset, if applicable.</w:t>
      </w:r>
    </w:p>
    <w:p>
      <w:pPr>
        <w:pStyle w:val="Normal"/>
        <w:rPr/>
      </w:pPr>
      <w:r>
        <w:rPr/>
      </w:r>
    </w:p>
    <w:p>
      <w:pPr>
        <w:pStyle w:val="Normal"/>
        <w:rPr/>
      </w:pPr>
      <w:r>
        <w:rPr>
          <w:u w:val="single"/>
        </w:rPr>
        <w:t>Guidelines</w:t>
      </w:r>
      <w:r>
        <w:rPr/>
        <w:t xml:space="preserve">: Effectively enforcing authorizations for entry and exit of system components may require restricting access to delivery areas and possibly isolating the areas from the system and media libraries. </w:t>
      </w:r>
    </w:p>
    <w:p>
      <w:pPr>
        <w:pStyle w:val="Normal"/>
        <w:rPr/>
      </w:pPr>
      <w:r>
        <w:rPr/>
        <w:t xml:space="preserve"> </w:t>
      </w:r>
    </w:p>
    <w:p>
      <w:pPr>
        <w:pStyle w:val="Normal"/>
        <w:rPr/>
      </w:pPr>
      <w:r>
        <w:rPr/>
      </w:r>
    </w:p>
    <w:p>
      <w:pPr>
        <w:pStyle w:val="Heading2"/>
        <w:rPr/>
      </w:pPr>
      <w:bookmarkStart w:id="1590" w:name="_Toc474075252"/>
      <w:bookmarkStart w:id="1591" w:name="_Toc474075747"/>
      <w:bookmarkStart w:id="1592" w:name="_Toc34921150"/>
      <w:r>
        <w:rPr/>
        <w:t>PES-11: Alternate Work Site</w:t>
      </w:r>
      <w:bookmarkEnd w:id="1590"/>
      <w:bookmarkEnd w:id="1591"/>
      <w:bookmarkEnd w:id="1592"/>
    </w:p>
    <w:p>
      <w:pPr>
        <w:pStyle w:val="Normal"/>
        <w:rPr/>
      </w:pPr>
      <w:r>
        <w:rPr>
          <w:u w:val="single"/>
        </w:rPr>
        <w:t>Control Objective</w:t>
      </w:r>
      <w:r>
        <w:rPr/>
        <w:t>: The organization:</w:t>
      </w:r>
      <w:r>
        <w:rPr>
          <w:rStyle w:val="FootnoteAnchor"/>
          <w:rStyle w:val="FootnoteAnchor"/>
          <w:rFonts w:cs="Calibri"/>
        </w:rPr>
        <w:footnoteReference w:id="512"/>
      </w:r>
    </w:p>
    <w:p>
      <w:pPr>
        <w:pStyle w:val="ListParagraph"/>
        <w:numPr>
          <w:ilvl w:val="0"/>
          <w:numId w:val="68"/>
        </w:numPr>
        <w:rPr/>
      </w:pPr>
      <w:r>
        <w:rPr/>
        <w:t xml:space="preserve">Employs organization-defined management, operational and technical system security controls at alternate work sites; </w:t>
      </w:r>
    </w:p>
    <w:p>
      <w:pPr>
        <w:pStyle w:val="ListParagraph"/>
        <w:numPr>
          <w:ilvl w:val="0"/>
          <w:numId w:val="68"/>
        </w:numPr>
        <w:rPr/>
      </w:pPr>
      <w:r>
        <w:rPr/>
        <w:t>Assesses as feasible, the effectiveness of security controls at alternate work sites; and</w:t>
      </w:r>
    </w:p>
    <w:p>
      <w:pPr>
        <w:pStyle w:val="ListParagraph"/>
        <w:numPr>
          <w:ilvl w:val="0"/>
          <w:numId w:val="68"/>
        </w:numPr>
        <w:rPr/>
      </w:pPr>
      <w:r>
        <w:rPr/>
        <w:t>Provides a means for employees to communicate with cybersecurity personnel in case of security incidents or problems.</w:t>
      </w:r>
    </w:p>
    <w:p>
      <w:pPr>
        <w:pStyle w:val="Normal"/>
        <w:rPr/>
      </w:pPr>
      <w:r>
        <w:rPr/>
      </w:r>
    </w:p>
    <w:p>
      <w:pPr>
        <w:pStyle w:val="Normal"/>
        <w:rPr/>
      </w:pPr>
      <w:r>
        <w:rPr>
          <w:u w:val="single"/>
        </w:rPr>
        <w:t>Standard</w:t>
      </w:r>
      <w:r>
        <w:rPr/>
        <w:t>: NFCC management is required to develop plans regarding alternate work sites that include:</w:t>
      </w:r>
    </w:p>
    <w:p>
      <w:pPr>
        <w:pStyle w:val="ListParagraph"/>
        <w:numPr>
          <w:ilvl w:val="0"/>
          <w:numId w:val="441"/>
        </w:numPr>
        <w:rPr/>
      </w:pPr>
      <w:r>
        <w:rPr>
          <w:iCs/>
        </w:rPr>
        <w:t>System security controls</w:t>
      </w:r>
      <w:r>
        <w:rPr/>
        <w:t xml:space="preserve"> at alternate work sites; </w:t>
      </w:r>
    </w:p>
    <w:p>
      <w:pPr>
        <w:pStyle w:val="ListParagraph"/>
        <w:numPr>
          <w:ilvl w:val="0"/>
          <w:numId w:val="441"/>
        </w:numPr>
        <w:rPr/>
      </w:pPr>
      <w:r>
        <w:rPr/>
        <w:t>The effectiveness of security controls at alternate work sites; and</w:t>
      </w:r>
    </w:p>
    <w:p>
      <w:pPr>
        <w:pStyle w:val="ListParagraph"/>
        <w:numPr>
          <w:ilvl w:val="0"/>
          <w:numId w:val="441"/>
        </w:numPr>
        <w:rPr/>
      </w:pPr>
      <w:r>
        <w:rPr/>
        <w:t>The approved means for employees to communicate with administrative personnel in case of security incidents or problems.</w:t>
      </w:r>
    </w:p>
    <w:p>
      <w:pPr>
        <w:pStyle w:val="Normal"/>
        <w:rPr/>
      </w:pPr>
      <w:r>
        <w:rPr/>
      </w:r>
    </w:p>
    <w:p>
      <w:pPr>
        <w:pStyle w:val="Normal"/>
        <w:rPr/>
      </w:pPr>
      <w:r>
        <w:rPr>
          <w:u w:val="single"/>
        </w:rPr>
        <w:t>Guidelines</w:t>
      </w:r>
      <w:r>
        <w:rPr/>
        <w:t>: Alternate work sites may include, for example, commercial facilities or private residences of employees. While commonly distinct from alternative processing sites, alternate work sites may provide readily available alternate locations as part of contingency operations. This control supports the contingency planning activities of organizations and the telework initiative.</w:t>
      </w:r>
    </w:p>
    <w:p>
      <w:pPr>
        <w:pStyle w:val="Normal"/>
        <w:rPr/>
      </w:pPr>
      <w:r>
        <w:rPr/>
      </w:r>
    </w:p>
    <w:p>
      <w:pPr>
        <w:pStyle w:val="Normal"/>
        <w:rPr/>
      </w:pPr>
      <w:r>
        <w:rPr/>
      </w:r>
    </w:p>
    <w:p>
      <w:pPr>
        <w:pStyle w:val="Heading2"/>
        <w:rPr/>
      </w:pPr>
      <w:bookmarkStart w:id="1593" w:name="_Toc474075253"/>
      <w:bookmarkStart w:id="1594" w:name="_Toc474075748"/>
      <w:bookmarkStart w:id="1595" w:name="_Toc34921151"/>
      <w:r>
        <w:rPr/>
        <w:t>PES-12: Equipment Siting &amp; Protection</w:t>
      </w:r>
      <w:bookmarkEnd w:id="1593"/>
      <w:bookmarkEnd w:id="1594"/>
      <w:bookmarkEnd w:id="1595"/>
      <w:r>
        <w:rPr/>
        <w:t xml:space="preserve"> </w:t>
      </w:r>
    </w:p>
    <w:p>
      <w:pPr>
        <w:pStyle w:val="Normal"/>
        <w:rPr/>
      </w:pPr>
      <w:r>
        <w:rPr>
          <w:u w:val="single"/>
        </w:rPr>
        <w:t>Control Objective</w:t>
      </w:r>
      <w:r>
        <w:rPr/>
        <w:t>: The organization positions system components within the facility to minimize potential damage from physical and environmental hazards and to minimize the opportunity for unauthorized access.</w:t>
      </w:r>
      <w:r>
        <w:rPr>
          <w:rStyle w:val="FootnoteAnchor"/>
          <w:rStyle w:val="FootnoteAnchor"/>
          <w:rFonts w:cs="Calibri"/>
        </w:rPr>
        <w:footnoteReference w:id="513"/>
      </w:r>
      <w:r>
        <w:rPr/>
        <w:t xml:space="preserve"> </w:t>
      </w:r>
    </w:p>
    <w:p>
      <w:pPr>
        <w:pStyle w:val="Normal"/>
        <w:rPr/>
      </w:pPr>
      <w:r>
        <w:rPr/>
      </w:r>
    </w:p>
    <w:p>
      <w:pPr>
        <w:pStyle w:val="Normal"/>
        <w:rPr/>
      </w:pPr>
      <w:r>
        <w:rPr>
          <w:u w:val="single"/>
        </w:rPr>
        <w:t>Standard</w:t>
      </w:r>
      <w:r>
        <w:rPr/>
        <w:t>: To reduce the risks from environmental threats, hazards and opportunities for unauthorized access, equipment shall be kept away from locations subject to high probability environmental risks and supplemented by redundant equipment located at a reasonable distance. Data/process owners and asset custodians are required to:</w:t>
      </w:r>
    </w:p>
    <w:p>
      <w:pPr>
        <w:pStyle w:val="ListParagraph"/>
        <w:numPr>
          <w:ilvl w:val="0"/>
          <w:numId w:val="442"/>
        </w:numPr>
        <w:rPr/>
      </w:pPr>
      <w:r>
        <w:rPr/>
        <w:t xml:space="preserve">Plan the location where systems reside with regard to physical and environmental hazards; and </w:t>
      </w:r>
    </w:p>
    <w:p>
      <w:pPr>
        <w:pStyle w:val="ListParagraph"/>
        <w:numPr>
          <w:ilvl w:val="0"/>
          <w:numId w:val="442"/>
        </w:numPr>
        <w:rPr/>
      </w:pPr>
      <w:r>
        <w:rPr/>
        <w:t>Consider the physical and environmental hazards in its risk mitigation strategy.</w:t>
      </w:r>
    </w:p>
    <w:p>
      <w:pPr>
        <w:pStyle w:val="Normal"/>
        <w:rPr/>
      </w:pPr>
      <w:r>
        <w:rPr/>
      </w:r>
    </w:p>
    <w:p>
      <w:pPr>
        <w:pStyle w:val="Normal"/>
        <w:rPr/>
      </w:pPr>
      <w:r>
        <w:rPr>
          <w:u w:val="single"/>
        </w:rPr>
        <w:t>Guidelines</w:t>
      </w:r>
      <w:r>
        <w:rPr/>
        <w:t>: The objective is to prevent loss, damage, theft or compromise of assets and interruption to the organization’s operations. Equipment should be sited and protected to reduce the risks from environmental threats and hazards and opportunities for unauthorized access.</w:t>
      </w:r>
    </w:p>
    <w:p>
      <w:pPr>
        <w:pStyle w:val="Normal"/>
        <w:rPr/>
      </w:pPr>
      <w:r>
        <w:rPr/>
      </w:r>
    </w:p>
    <w:p>
      <w:pPr>
        <w:pStyle w:val="Normal"/>
        <w:rPr/>
      </w:pPr>
      <w:r>
        <w:rPr/>
        <w:t xml:space="preserve">Physical and environmental hazards include, for example, flooding, fire, tornados, earthquakes, hurricanes, acts of terrorism, vandalism, broken water pipes, electromagnetic pulse, electrical interference and other forms of incoming electromagnetic radiation. In addition, organizations consider the location of physical entry points where unauthorized individuals, while not being granted access, might nonetheless be in close proximity to systems and therefore, increase the potential for unauthorized access to organizational communications (e.g., through the use of wireless sniffers or microphones). </w:t>
      </w:r>
    </w:p>
    <w:p>
      <w:pPr>
        <w:pStyle w:val="Normal"/>
        <w:rPr/>
      </w:pPr>
      <w:r>
        <w:rPr/>
      </w:r>
    </w:p>
    <w:p>
      <w:pPr>
        <w:pStyle w:val="Heading3"/>
        <w:rPr/>
      </w:pPr>
      <w:bookmarkStart w:id="1596" w:name="_Toc474075254"/>
      <w:bookmarkStart w:id="1597" w:name="_Toc34921152"/>
      <w:r>
        <w:rPr/>
        <w:t>PES-12(a): Equipment Siting &amp; Protection | Access Control For Transmission Medium</w:t>
      </w:r>
      <w:bookmarkEnd w:id="1596"/>
      <w:bookmarkEnd w:id="1597"/>
    </w:p>
    <w:p>
      <w:pPr>
        <w:pStyle w:val="Normal"/>
        <w:rPr/>
      </w:pPr>
      <w:r>
        <w:rPr>
          <w:u w:val="single"/>
        </w:rPr>
        <w:t>Control Objective</w:t>
      </w:r>
      <w:r>
        <w:rPr/>
        <w:t>: The organization protects power and telecommunications cabling carrying data or supporting information services from interception, interference or damage.</w:t>
      </w:r>
      <w:r>
        <w:rPr>
          <w:rStyle w:val="FootnoteCharacters"/>
          <w:rFonts w:cs="Calibri"/>
        </w:rPr>
        <w:t xml:space="preserve"> </w:t>
      </w:r>
      <w:r>
        <w:rPr>
          <w:rStyle w:val="FootnoteAnchor"/>
          <w:rStyle w:val="FootnoteAnchor"/>
          <w:rFonts w:cs="Calibri"/>
        </w:rPr>
        <w:footnoteReference w:id="514"/>
      </w:r>
    </w:p>
    <w:p>
      <w:pPr>
        <w:pStyle w:val="Normal"/>
        <w:rPr/>
      </w:pPr>
      <w:r>
        <w:rPr/>
      </w:r>
    </w:p>
    <w:p>
      <w:pPr>
        <w:pStyle w:val="Normal"/>
        <w:rPr/>
      </w:pPr>
      <w:r>
        <w:rPr>
          <w:u w:val="single"/>
        </w:rPr>
        <w:t>Standard</w:t>
      </w:r>
      <w:r>
        <w:rPr/>
        <w:t>: NFCC management is required to limit physical access to transmission medium to only authorized personnel.</w:t>
      </w:r>
    </w:p>
    <w:p>
      <w:pPr>
        <w:pStyle w:val="Normal"/>
        <w:rPr/>
      </w:pPr>
      <w:r>
        <w:rPr/>
      </w:r>
    </w:p>
    <w:p>
      <w:pPr>
        <w:pStyle w:val="Normal"/>
        <w:rPr/>
      </w:pPr>
      <w:r>
        <w:rPr>
          <w:u w:val="single"/>
        </w:rPr>
        <w:t>Guidelines</w:t>
      </w:r>
      <w:r>
        <w:rPr/>
        <w:t>: Physical security safeguards applied to system distribution and transmission lines help prevent accidental damage, disruption and physical tampering. Transmission medium includes but are not limited to:</w:t>
      </w:r>
    </w:p>
    <w:p>
      <w:pPr>
        <w:pStyle w:val="ListParagraph"/>
        <w:numPr>
          <w:ilvl w:val="0"/>
          <w:numId w:val="62"/>
        </w:numPr>
        <w:rPr/>
      </w:pPr>
      <w:r>
        <w:rPr/>
        <w:t>Publicly accessible network jacks;</w:t>
      </w:r>
    </w:p>
    <w:p>
      <w:pPr>
        <w:pStyle w:val="ListParagraph"/>
        <w:numPr>
          <w:ilvl w:val="0"/>
          <w:numId w:val="62"/>
        </w:numPr>
        <w:rPr/>
      </w:pPr>
      <w:r>
        <w:rPr/>
        <w:t>Wireless Access Points (WAPs)</w:t>
      </w:r>
    </w:p>
    <w:p>
      <w:pPr>
        <w:pStyle w:val="ListParagraph"/>
        <w:numPr>
          <w:ilvl w:val="0"/>
          <w:numId w:val="62"/>
        </w:numPr>
        <w:rPr/>
      </w:pPr>
      <w:r>
        <w:rPr/>
        <w:t>Border protection devices (including firewalls &amp; routers);</w:t>
      </w:r>
    </w:p>
    <w:p>
      <w:pPr>
        <w:pStyle w:val="ListParagraph"/>
        <w:numPr>
          <w:ilvl w:val="0"/>
          <w:numId w:val="62"/>
        </w:numPr>
        <w:rPr/>
      </w:pPr>
      <w:r>
        <w:rPr/>
        <w:t>Networking / communications hardware; and</w:t>
      </w:r>
    </w:p>
    <w:p>
      <w:pPr>
        <w:pStyle w:val="ListParagraph"/>
        <w:numPr>
          <w:ilvl w:val="0"/>
          <w:numId w:val="62"/>
        </w:numPr>
        <w:rPr/>
      </w:pPr>
      <w:r>
        <w:rPr/>
        <w:t xml:space="preserve">Telecommunication lines. </w:t>
      </w:r>
    </w:p>
    <w:p>
      <w:pPr>
        <w:pStyle w:val="Normal"/>
        <w:rPr/>
      </w:pPr>
      <w:r>
        <w:rPr/>
      </w:r>
    </w:p>
    <w:p>
      <w:pPr>
        <w:pStyle w:val="Normal"/>
        <w:rPr/>
      </w:pPr>
      <w:r>
        <w:rPr/>
        <w:t xml:space="preserve">Protective measures to control physical access to system distribution and transmission lines include: </w:t>
      </w:r>
    </w:p>
    <w:p>
      <w:pPr>
        <w:pStyle w:val="ListParagraph"/>
        <w:numPr>
          <w:ilvl w:val="0"/>
          <w:numId w:val="63"/>
        </w:numPr>
        <w:rPr/>
      </w:pPr>
      <w:r>
        <w:rPr/>
        <w:t>Locked wiring closets;</w:t>
      </w:r>
    </w:p>
    <w:p>
      <w:pPr>
        <w:pStyle w:val="ListParagraph"/>
        <w:numPr>
          <w:ilvl w:val="0"/>
          <w:numId w:val="63"/>
        </w:numPr>
        <w:rPr/>
      </w:pPr>
      <w:r>
        <w:rPr/>
        <w:t>Disconnected or locked spare jacks; and</w:t>
      </w:r>
    </w:p>
    <w:p>
      <w:pPr>
        <w:pStyle w:val="ListParagraph"/>
        <w:numPr>
          <w:ilvl w:val="0"/>
          <w:numId w:val="63"/>
        </w:numPr>
        <w:rPr/>
      </w:pPr>
      <w:r>
        <w:rPr/>
        <w:t>Protection of cabling by conduit or cable trays.</w:t>
      </w:r>
    </w:p>
    <w:p>
      <w:pPr>
        <w:pStyle w:val="Normal"/>
        <w:rPr/>
      </w:pPr>
      <w:r>
        <w:rPr/>
      </w:r>
    </w:p>
    <w:p>
      <w:pPr>
        <w:pStyle w:val="Heading3"/>
        <w:rPr/>
      </w:pPr>
      <w:bookmarkStart w:id="1598" w:name="_Toc474075255"/>
      <w:bookmarkStart w:id="1599" w:name="_Toc34921153"/>
      <w:r>
        <w:rPr/>
        <w:t>PES-12(b): Equipment Siting &amp; Protection | Access Control For Output Devices</w:t>
      </w:r>
      <w:bookmarkEnd w:id="1598"/>
      <w:bookmarkEnd w:id="1599"/>
    </w:p>
    <w:p>
      <w:pPr>
        <w:pStyle w:val="Normal"/>
        <w:rPr/>
      </w:pPr>
      <w:r>
        <w:rPr>
          <w:u w:val="single"/>
        </w:rPr>
        <w:t>Control Objective</w:t>
      </w:r>
      <w:r>
        <w:rPr/>
        <w:t>: The organization controls physical access to system output devices to prevent unauthorized individuals from obtaining the output.</w:t>
      </w:r>
      <w:r>
        <w:rPr>
          <w:rStyle w:val="FootnoteAnchor"/>
          <w:rStyle w:val="FootnoteAnchor"/>
          <w:rFonts w:cs="Calibri"/>
        </w:rPr>
        <w:footnoteReference w:id="515"/>
      </w:r>
      <w:r>
        <w:rPr/>
        <w:t xml:space="preserve"> </w:t>
      </w:r>
    </w:p>
    <w:p>
      <w:pPr>
        <w:pStyle w:val="Normal"/>
        <w:rPr/>
      </w:pPr>
      <w:r>
        <w:rPr/>
      </w:r>
    </w:p>
    <w:p>
      <w:pPr>
        <w:pStyle w:val="Normal"/>
        <w:rPr/>
      </w:pPr>
      <w:r>
        <w:rPr>
          <w:u w:val="single"/>
        </w:rPr>
        <w:t>Standard</w:t>
      </w:r>
      <w:r>
        <w:rPr/>
        <w:t>: Physical access to system output devices must be limited to authorized personnel to prevent unauthorized individuals from obtaining access to unsecured data.</w:t>
      </w:r>
    </w:p>
    <w:p>
      <w:pPr>
        <w:pStyle w:val="Normal"/>
        <w:rPr/>
      </w:pPr>
      <w:r>
        <w:rPr/>
      </w:r>
    </w:p>
    <w:p>
      <w:pPr>
        <w:pStyle w:val="Normal"/>
        <w:rPr/>
      </w:pPr>
      <w:r>
        <w:rPr>
          <w:u w:val="single"/>
        </w:rPr>
        <w:t>Guidelines</w:t>
      </w:r>
      <w:r>
        <w:rPr/>
        <w:t xml:space="preserve">: Controlling physical access to output devices includes, for example, placing output devices in locked rooms or other secured areas and allowing access to authorized individuals only; and placing output devices in locations that can be monitored by organizational personnel. Transmission medium includes but are not limited to: </w:t>
      </w:r>
    </w:p>
    <w:p>
      <w:pPr>
        <w:pStyle w:val="ListParagraph"/>
        <w:numPr>
          <w:ilvl w:val="0"/>
          <w:numId w:val="64"/>
        </w:numPr>
        <w:rPr/>
      </w:pPr>
      <w:r>
        <w:rPr/>
        <w:t>Printers;</w:t>
      </w:r>
    </w:p>
    <w:p>
      <w:pPr>
        <w:pStyle w:val="ListParagraph"/>
        <w:numPr>
          <w:ilvl w:val="0"/>
          <w:numId w:val="64"/>
        </w:numPr>
        <w:rPr/>
      </w:pPr>
      <w:r>
        <w:rPr/>
        <w:t>Plotters;</w:t>
      </w:r>
    </w:p>
    <w:p>
      <w:pPr>
        <w:pStyle w:val="ListParagraph"/>
        <w:numPr>
          <w:ilvl w:val="0"/>
          <w:numId w:val="64"/>
        </w:numPr>
        <w:rPr/>
      </w:pPr>
      <w:r>
        <w:rPr/>
        <w:t>Facsimile (Fax) machines; and</w:t>
      </w:r>
    </w:p>
    <w:p>
      <w:pPr>
        <w:pStyle w:val="ListParagraph"/>
        <w:numPr>
          <w:ilvl w:val="0"/>
          <w:numId w:val="64"/>
        </w:numPr>
        <w:rPr/>
      </w:pPr>
      <w:r>
        <w:rPr/>
        <w:t>Photocopiers.</w:t>
      </w:r>
    </w:p>
    <w:p>
      <w:pPr>
        <w:pStyle w:val="Normal"/>
        <w:tabs>
          <w:tab w:val="clear" w:pos="360"/>
          <w:tab w:val="clear" w:pos="720"/>
          <w:tab w:val="clear" w:pos="1080"/>
        </w:tabs>
        <w:jc w:val="left"/>
        <w:rPr/>
      </w:pPr>
      <w:r>
        <w:rPr/>
      </w:r>
    </w:p>
    <w:p>
      <w:pPr>
        <w:pStyle w:val="Normal"/>
        <w:tabs>
          <w:tab w:val="clear" w:pos="360"/>
          <w:tab w:val="clear" w:pos="720"/>
          <w:tab w:val="clear" w:pos="1080"/>
        </w:tabs>
        <w:jc w:val="left"/>
        <w:rPr>
          <w:rFonts w:eastAsia="Calibri" w:cs="Calibri"/>
          <w:b/>
          <w:b/>
          <w:bCs w:val="false"/>
          <w:smallCaps/>
          <w:color w:val="C00000"/>
          <w:sz w:val="24"/>
        </w:rPr>
      </w:pPr>
      <w:r>
        <w:rPr>
          <w:rFonts w:eastAsia="Calibri" w:cs="Calibri"/>
          <w:b/>
          <w:bCs w:val="false"/>
          <w:smallCaps/>
          <w:color w:val="C00000"/>
          <w:sz w:val="24"/>
        </w:rPr>
      </w:r>
    </w:p>
    <w:p>
      <w:pPr>
        <w:pStyle w:val="Heading2"/>
        <w:rPr/>
      </w:pPr>
      <w:bookmarkStart w:id="1600" w:name="_Toc34921154"/>
      <w:bookmarkStart w:id="1601" w:name="_Toc474075256"/>
      <w:bookmarkStart w:id="1602" w:name="_Toc474075749"/>
      <w:r>
        <w:rPr/>
        <w:t>PES-13: Information Leakage</w:t>
      </w:r>
      <w:bookmarkEnd w:id="1601"/>
      <w:bookmarkEnd w:id="1602"/>
      <w:r>
        <w:rPr/>
        <w:t xml:space="preserve"> Due To Electromagnetic Signals Emanations</w:t>
      </w:r>
      <w:bookmarkEnd w:id="1600"/>
    </w:p>
    <w:p>
      <w:pPr>
        <w:pStyle w:val="Normal"/>
        <w:rPr/>
      </w:pPr>
      <w:r>
        <w:rPr>
          <w:u w:val="single"/>
        </w:rPr>
        <w:t>Control Objective</w:t>
      </w:r>
      <w:r>
        <w:rPr/>
        <w:t>: The organization protects systems from information leakage due to electromagnetic signals emanations.</w:t>
      </w:r>
      <w:r>
        <w:rPr>
          <w:rStyle w:val="FootnoteAnchor"/>
          <w:rStyle w:val="FootnoteAnchor"/>
          <w:rFonts w:cs="Calibri"/>
        </w:rPr>
        <w:footnoteReference w:id="516"/>
      </w:r>
    </w:p>
    <w:p>
      <w:pPr>
        <w:pStyle w:val="Normal"/>
        <w:rPr/>
      </w:pPr>
      <w:r>
        <w:rPr/>
      </w:r>
    </w:p>
    <w:p>
      <w:pPr>
        <w:pStyle w:val="Normal"/>
        <w:rPr/>
      </w:pPr>
      <w:r>
        <w:rPr>
          <w:u w:val="single"/>
        </w:rPr>
        <w:t>Standard</w:t>
      </w:r>
      <w:r>
        <w:rPr/>
        <w:t>: Asset custodians are required to assess facilities to reduce the chance of information leakage due to electromagnetic signals emanations through:</w:t>
      </w:r>
    </w:p>
    <w:p>
      <w:pPr>
        <w:pStyle w:val="ListParagraph"/>
        <w:numPr>
          <w:ilvl w:val="0"/>
          <w:numId w:val="443"/>
        </w:numPr>
        <w:rPr/>
      </w:pPr>
      <w:r>
        <w:rPr/>
        <w:t xml:space="preserve">The proper placement of Wireless Access Points (WAPs); </w:t>
      </w:r>
    </w:p>
    <w:p>
      <w:pPr>
        <w:pStyle w:val="ListParagraph"/>
        <w:numPr>
          <w:ilvl w:val="0"/>
          <w:numId w:val="443"/>
        </w:numPr>
        <w:rPr/>
      </w:pPr>
      <w:r>
        <w:rPr/>
        <w:t>Limiting the output / transmission power of the WAPs; and</w:t>
      </w:r>
    </w:p>
    <w:p>
      <w:pPr>
        <w:pStyle w:val="ListParagraph"/>
        <w:numPr>
          <w:ilvl w:val="0"/>
          <w:numId w:val="443"/>
        </w:numPr>
        <w:rPr/>
      </w:pPr>
      <w:r>
        <w:rPr/>
        <w:t>Ensuring monitors are positioned to minimize the risk of unauthorized individuals being able to intentionally or inadvertently view the screen.</w:t>
      </w:r>
    </w:p>
    <w:p>
      <w:pPr>
        <w:pStyle w:val="Normal"/>
        <w:rPr/>
      </w:pPr>
      <w:r>
        <w:rPr/>
      </w:r>
    </w:p>
    <w:p>
      <w:pPr>
        <w:pStyle w:val="Normal"/>
        <w:rPr/>
      </w:pPr>
      <w:r>
        <w:rPr>
          <w:u w:val="single"/>
        </w:rPr>
        <w:t>Guidelines</w:t>
      </w:r>
      <w:r>
        <w:rPr/>
        <w:t>: Security categories or classifications of systems (with respect to confidentiality) and organizational security policies guide the selection of security controls employed to protect systems against information leakage due to electromagnetic signals emanations. When in use, portable or hand-held devices should be held in a manner so as to avoid visual access by unauthorized individuals and privacy screens (e.g., polarizing / anti-glare) should be utilized, when applicable.</w:t>
      </w:r>
    </w:p>
    <w:p>
      <w:pPr>
        <w:pStyle w:val="Normal"/>
        <w:rPr/>
      </w:pPr>
      <w:r>
        <w:rPr/>
      </w:r>
    </w:p>
    <w:p>
      <w:pPr>
        <w:pStyle w:val="Normal"/>
        <w:tabs>
          <w:tab w:val="clear" w:pos="360"/>
          <w:tab w:val="clear" w:pos="720"/>
          <w:tab w:val="clear" w:pos="1080"/>
        </w:tabs>
        <w:jc w:val="left"/>
        <w:rPr>
          <w:rFonts w:eastAsia="Calibri" w:cs="Calibri"/>
          <w:b/>
          <w:b/>
          <w:bCs w:val="false"/>
          <w:smallCaps/>
          <w:color w:val="C00000"/>
          <w:sz w:val="24"/>
        </w:rPr>
      </w:pPr>
      <w:r>
        <w:rPr>
          <w:rFonts w:eastAsia="Calibri" w:cs="Calibri"/>
          <w:b/>
          <w:bCs w:val="false"/>
          <w:smallCaps/>
          <w:color w:val="C00000"/>
          <w:sz w:val="24"/>
        </w:rPr>
      </w:r>
    </w:p>
    <w:p>
      <w:pPr>
        <w:pStyle w:val="Heading2"/>
        <w:rPr/>
      </w:pPr>
      <w:bookmarkStart w:id="1603" w:name="_Toc34921155"/>
      <w:r>
        <w:rPr/>
        <w:t>PES-14: Asset Monitoring and Tracking</w:t>
      </w:r>
      <w:bookmarkEnd w:id="1603"/>
    </w:p>
    <w:p>
      <w:pPr>
        <w:pStyle w:val="Normal"/>
        <w:rPr/>
      </w:pPr>
      <w:r>
        <w:rPr>
          <w:u w:val="single"/>
        </w:rPr>
        <w:t>Control Objective</w:t>
      </w:r>
      <w:r>
        <w:rPr/>
        <w:t>: The organization employs asset location technologies to track and monitor the location and movement of organization-defined assets within organization-defined controlled areas.</w:t>
      </w:r>
    </w:p>
    <w:p>
      <w:pPr>
        <w:pStyle w:val="Normal"/>
        <w:rPr/>
      </w:pPr>
      <w:r>
        <w:rPr/>
      </w:r>
    </w:p>
    <w:p>
      <w:pPr>
        <w:pStyle w:val="Normal"/>
        <w:rPr/>
      </w:pPr>
      <w:r>
        <w:rPr>
          <w:u w:val="single"/>
        </w:rPr>
        <w:t>Standard</w:t>
      </w:r>
      <w:r>
        <w:rPr/>
        <w:t xml:space="preserve">: NFCC’s requirements for property accountability include: </w:t>
      </w:r>
    </w:p>
    <w:p>
      <w:pPr>
        <w:pStyle w:val="ListParagraph"/>
        <w:numPr>
          <w:ilvl w:val="0"/>
          <w:numId w:val="580"/>
        </w:numPr>
        <w:tabs>
          <w:tab w:val="clear" w:pos="360"/>
          <w:tab w:val="clear" w:pos="720"/>
          <w:tab w:val="clear" w:pos="1080"/>
        </w:tabs>
        <w:rPr/>
      </w:pPr>
      <w:r>
        <w:rPr/>
        <w:t>All persons entrusted with NFCC property are responsible for its proper use, care, custody, safekeeping and disposition. Responsibility for items will be assigned in writing;</w:t>
      </w:r>
    </w:p>
    <w:p>
      <w:pPr>
        <w:pStyle w:val="ListParagraph"/>
        <w:numPr>
          <w:ilvl w:val="0"/>
          <w:numId w:val="580"/>
        </w:numPr>
        <w:tabs>
          <w:tab w:val="clear" w:pos="360"/>
          <w:tab w:val="clear" w:pos="720"/>
          <w:tab w:val="clear" w:pos="1080"/>
        </w:tabs>
        <w:rPr/>
      </w:pPr>
      <w:r>
        <w:rPr/>
        <w:t>Persons will not be assigned to a duty that will prevent them from exercising proper care and custody over the property for which they are responsible;</w:t>
      </w:r>
    </w:p>
    <w:p>
      <w:pPr>
        <w:pStyle w:val="ListParagraph"/>
        <w:numPr>
          <w:ilvl w:val="0"/>
          <w:numId w:val="580"/>
        </w:numPr>
        <w:tabs>
          <w:tab w:val="clear" w:pos="360"/>
          <w:tab w:val="clear" w:pos="720"/>
          <w:tab w:val="clear" w:pos="1080"/>
        </w:tabs>
        <w:rPr/>
      </w:pPr>
      <w:r>
        <w:rPr/>
        <w:t>When a person assumes accountability for property that is remotely located, records must be maintained to show the location of the property and the persons charged with its care and safekeeping;</w:t>
      </w:r>
    </w:p>
    <w:p>
      <w:pPr>
        <w:pStyle w:val="ListParagraph"/>
        <w:numPr>
          <w:ilvl w:val="0"/>
          <w:numId w:val="580"/>
        </w:numPr>
        <w:tabs>
          <w:tab w:val="clear" w:pos="360"/>
          <w:tab w:val="clear" w:pos="720"/>
          <w:tab w:val="clear" w:pos="1080"/>
        </w:tabs>
        <w:rPr/>
      </w:pPr>
      <w:r>
        <w:rPr/>
        <w:t>NFCC property will not be used for any private purpose except as authorized by NFCC management;</w:t>
      </w:r>
    </w:p>
    <w:p>
      <w:pPr>
        <w:pStyle w:val="ListParagraph"/>
        <w:numPr>
          <w:ilvl w:val="0"/>
          <w:numId w:val="580"/>
        </w:numPr>
        <w:tabs>
          <w:tab w:val="clear" w:pos="360"/>
          <w:tab w:val="clear" w:pos="720"/>
          <w:tab w:val="clear" w:pos="1080"/>
        </w:tabs>
        <w:rPr/>
      </w:pPr>
      <w:r>
        <w:rPr/>
        <w:t>No NFCC property will be sold, given as a gift, loaned, exchanged, or otherwise disposed of unless specifically authorized by NFCC management; and</w:t>
      </w:r>
    </w:p>
    <w:p>
      <w:pPr>
        <w:pStyle w:val="ListParagraph"/>
        <w:numPr>
          <w:ilvl w:val="0"/>
          <w:numId w:val="580"/>
        </w:numPr>
        <w:tabs>
          <w:tab w:val="clear" w:pos="360"/>
          <w:tab w:val="clear" w:pos="720"/>
          <w:tab w:val="clear" w:pos="1080"/>
        </w:tabs>
        <w:rPr/>
      </w:pPr>
      <w:r>
        <w:rPr/>
        <w:t xml:space="preserve">Property documents shall identify the manufacturer’s make, model and serial number. </w:t>
      </w:r>
    </w:p>
    <w:p>
      <w:pPr>
        <w:pStyle w:val="Normal"/>
        <w:rPr>
          <w:rFonts w:eastAsia="Calibri"/>
        </w:rPr>
      </w:pPr>
      <w:r>
        <w:rPr>
          <w:rFonts w:eastAsia="Calibri"/>
        </w:rPr>
      </w:r>
    </w:p>
    <w:p>
      <w:pPr>
        <w:pStyle w:val="Normal"/>
        <w:rPr/>
      </w:pPr>
      <w:r>
        <w:rPr>
          <w:u w:val="single"/>
        </w:rPr>
        <w:t>Guidelines</w:t>
      </w:r>
      <w:r>
        <w:rPr/>
        <w:t xml:space="preserve">: Organizations should employ an automated mechanism to help maintain an up-to-date, complete, accurate and readily available inventory of system components. </w:t>
      </w:r>
    </w:p>
    <w:p>
      <w:pPr>
        <w:pStyle w:val="Normal"/>
        <w:rPr/>
      </w:pPr>
      <w:r>
        <w:rPr/>
      </w:r>
    </w:p>
    <w:p>
      <w:pPr>
        <w:pStyle w:val="Normal"/>
        <w:tabs>
          <w:tab w:val="clear" w:pos="360"/>
          <w:tab w:val="clear" w:pos="720"/>
          <w:tab w:val="clear" w:pos="1080"/>
        </w:tabs>
        <w:jc w:val="left"/>
        <w:rPr>
          <w:rFonts w:eastAsia="Calibri" w:cs="Calibri"/>
          <w:b/>
          <w:b/>
          <w:bCs w:val="false"/>
          <w:smallCaps/>
          <w:color w:val="C00000"/>
          <w:sz w:val="24"/>
        </w:rPr>
      </w:pPr>
      <w:r>
        <w:rPr>
          <w:rFonts w:eastAsia="Calibri" w:cs="Calibri"/>
          <w:b/>
          <w:bCs w:val="false"/>
          <w:smallCaps/>
          <w:color w:val="C00000"/>
          <w:sz w:val="24"/>
        </w:rPr>
      </w:r>
    </w:p>
    <w:p>
      <w:pPr>
        <w:pStyle w:val="Heading2"/>
        <w:rPr/>
      </w:pPr>
      <w:bookmarkStart w:id="1604" w:name="_Toc34921156"/>
      <w:r>
        <w:rPr/>
        <w:t>PES-15: Electromagnetic Pulse (EMP) Protection</w:t>
      </w:r>
      <w:bookmarkEnd w:id="1604"/>
    </w:p>
    <w:p>
      <w:pPr>
        <w:pStyle w:val="Normal"/>
        <w:rPr/>
      </w:pPr>
      <w:r>
        <w:rPr>
          <w:u w:val="single"/>
        </w:rPr>
        <w:t>Control Objective</w:t>
      </w:r>
      <w:r>
        <w:rPr/>
        <w:t>: The organization employs organization-defined security safeguards against electromagnetic pulse damage for systems and system components.</w:t>
      </w:r>
    </w:p>
    <w:p>
      <w:pPr>
        <w:pStyle w:val="Normal"/>
        <w:rPr/>
      </w:pPr>
      <w:r>
        <w:rPr/>
      </w:r>
    </w:p>
    <w:p>
      <w:pPr>
        <w:pStyle w:val="Normal"/>
        <w:rPr/>
      </w:pPr>
      <w:r>
        <w:rPr>
          <w:u w:val="single"/>
        </w:rPr>
        <w:t>Standard</w:t>
      </w:r>
      <w:r>
        <w:rPr/>
        <w:t>: Where technically feasible, NFCC shall protect critical assets from Electromagnetic Pulse (EMP) damage by utilizing appropriate EMP protection technologies.</w:t>
      </w:r>
    </w:p>
    <w:p>
      <w:pPr>
        <w:pStyle w:val="Normal"/>
        <w:rPr>
          <w:rFonts w:eastAsia="Calibri"/>
        </w:rPr>
      </w:pPr>
      <w:r>
        <w:rPr>
          <w:rFonts w:eastAsia="Calibri"/>
        </w:rPr>
      </w:r>
    </w:p>
    <w:p>
      <w:pPr>
        <w:pStyle w:val="Normal"/>
        <w:rPr/>
      </w:pPr>
      <w:r>
        <w:rPr>
          <w:u w:val="single"/>
        </w:rPr>
        <w:t>Guidelines</w:t>
      </w:r>
      <w:r>
        <w:rPr/>
        <w:t>: An electromagnetic pulse (EMP) is a short burst of electromagnetic energy that is spread over a range of frequencies. Such energy bursts may be natural or man-made. EMP interference may be disruptive or damaging to electronic equipment. Protective measures used to mitigate EMP risk include shielding, surge suppressors, ferro-resonant transformers and earth grounding.</w:t>
      </w:r>
    </w:p>
    <w:p>
      <w:pPr>
        <w:pStyle w:val="Normal"/>
        <w:rPr/>
      </w:pPr>
      <w:r>
        <w:rPr/>
      </w:r>
    </w:p>
    <w:p>
      <w:pPr>
        <w:pStyle w:val="Normal"/>
        <w:rPr/>
      </w:pPr>
      <w:r>
        <w:rPr>
          <w:u w:val="single"/>
        </w:rPr>
        <w:t>Guidelines</w:t>
      </w:r>
      <w:r>
        <w:rPr/>
        <w:t>: None</w:t>
      </w:r>
    </w:p>
    <w:p>
      <w:pPr>
        <w:pStyle w:val="Normal"/>
        <w:rPr/>
      </w:pPr>
      <w:r>
        <w:rPr/>
      </w:r>
    </w:p>
    <w:p>
      <w:pPr>
        <w:pStyle w:val="Normal"/>
        <w:tabs>
          <w:tab w:val="clear" w:pos="360"/>
          <w:tab w:val="clear" w:pos="720"/>
          <w:tab w:val="clear" w:pos="1080"/>
        </w:tabs>
        <w:jc w:val="left"/>
        <w:rPr>
          <w:rFonts w:eastAsia="Calibri" w:cs="Calibri"/>
          <w:b/>
          <w:b/>
          <w:bCs w:val="false"/>
          <w:smallCaps/>
          <w:color w:val="C00000"/>
          <w:sz w:val="24"/>
        </w:rPr>
      </w:pPr>
      <w:r>
        <w:rPr>
          <w:rFonts w:eastAsia="Calibri" w:cs="Calibri"/>
          <w:b/>
          <w:bCs w:val="false"/>
          <w:smallCaps/>
          <w:color w:val="C00000"/>
          <w:sz w:val="24"/>
        </w:rPr>
      </w:r>
    </w:p>
    <w:p>
      <w:pPr>
        <w:pStyle w:val="Heading2"/>
        <w:rPr/>
      </w:pPr>
      <w:bookmarkStart w:id="1605" w:name="_Toc34921157"/>
      <w:r>
        <w:rPr/>
        <w:t>PES-16: Component Marking</w:t>
      </w:r>
      <w:bookmarkEnd w:id="1605"/>
    </w:p>
    <w:p>
      <w:pPr>
        <w:pStyle w:val="Normal"/>
        <w:rPr/>
      </w:pPr>
      <w:r>
        <w:rPr>
          <w:u w:val="single"/>
        </w:rPr>
        <w:t>Control Objective</w:t>
      </w:r>
      <w:r>
        <w:rPr/>
        <w:t>: The organization marks system hardware components indicating the impact or classification level of the information permitted to be processed, stored or transmitted by the hardware component.</w:t>
      </w:r>
    </w:p>
    <w:p>
      <w:pPr>
        <w:pStyle w:val="Normal"/>
        <w:rPr/>
      </w:pPr>
      <w:r>
        <w:rPr/>
      </w:r>
    </w:p>
    <w:p>
      <w:pPr>
        <w:pStyle w:val="Normal"/>
        <w:rPr/>
      </w:pPr>
      <w:r>
        <w:rPr>
          <w:u w:val="single"/>
        </w:rPr>
        <w:t>Standard</w:t>
      </w:r>
      <w:r>
        <w:rPr/>
        <w:t>: Asset custodians are required to mark hardware components indicating the impact or classification level of the information permitted to be processed, stored, or transmitted by the hardware component.</w:t>
      </w:r>
    </w:p>
    <w:p>
      <w:pPr>
        <w:pStyle w:val="Normal"/>
        <w:rPr>
          <w:rFonts w:eastAsia="Calibri"/>
        </w:rPr>
      </w:pPr>
      <w:r>
        <w:rPr>
          <w:rFonts w:eastAsia="Calibri"/>
        </w:rPr>
      </w:r>
    </w:p>
    <w:p>
      <w:pPr>
        <w:pStyle w:val="Normal"/>
        <w:rPr/>
      </w:pPr>
      <w:r>
        <w:rPr>
          <w:u w:val="single"/>
        </w:rPr>
        <w:t>Guidelines</w:t>
      </w:r>
      <w:r>
        <w:rPr/>
        <w:t>: Hardware components that may require marking include, for example, input devices marked to indicate the classification of the network to which they are connected or a multifunction function printer or copier residing in a classified area. Security marking refers to the application or use of human-readable security attributes. Security labeling refers to the application or use of security attributes regarding internal data structures within systems. Security marking is generally not required for hardware components processing, storing, or transmitting information determined by organizations to be in the public domain or to be publicly releasable. However, organizations may require markings for hardware components processing, storing, or transmitting public information indicating that such information is publicly releasable. The marking of system hardware components reflects applicable laws, Executive Orders, directives, policies, regulations, standards and guidelines.</w:t>
      </w:r>
    </w:p>
    <w:p>
      <w:pPr>
        <w:pStyle w:val="Normal"/>
        <w:rPr/>
      </w:pPr>
      <w:r>
        <w:rPr/>
      </w:r>
    </w:p>
    <w:p>
      <w:pPr>
        <w:pStyle w:val="Normal"/>
        <w:rPr/>
      </w:pPr>
      <w:r>
        <w:rPr/>
      </w:r>
    </w:p>
    <w:p>
      <w:pPr>
        <w:pStyle w:val="Normal"/>
        <w:rPr/>
      </w:pPr>
      <w:r>
        <w:rPr/>
      </w:r>
    </w:p>
    <w:p>
      <w:pPr>
        <w:pStyle w:val="Normal"/>
        <w:tabs>
          <w:tab w:val="clear" w:pos="360"/>
          <w:tab w:val="clear" w:pos="720"/>
          <w:tab w:val="clear" w:pos="1080"/>
        </w:tabs>
        <w:jc w:val="left"/>
        <w:rPr>
          <w:rFonts w:eastAsia="Calibri" w:cs="Calibri"/>
          <w:b/>
          <w:b/>
          <w:bCs w:val="false"/>
          <w:smallCaps/>
          <w:sz w:val="24"/>
        </w:rPr>
      </w:pPr>
      <w:r>
        <w:rPr>
          <w:rFonts w:eastAsia="Calibri" w:cs="Calibri"/>
          <w:b/>
          <w:bCs w:val="false"/>
          <w:smallCaps/>
          <w:sz w:val="24"/>
        </w:rPr>
      </w:r>
      <w:r>
        <w:br w:type="page"/>
      </w:r>
    </w:p>
    <w:p>
      <w:pPr>
        <w:pStyle w:val="Heading1"/>
        <w:rPr/>
      </w:pPr>
      <w:bookmarkStart w:id="1606" w:name="_Toc34921158"/>
      <w:bookmarkStart w:id="1607" w:name="_Toc474075257"/>
      <w:bookmarkStart w:id="1608" w:name="_Toc474075750"/>
      <w:r>
        <w:rPr/>
        <w:t>Privacy (PRI)</w:t>
      </w:r>
      <w:bookmarkEnd w:id="1607"/>
      <w:bookmarkEnd w:id="1608"/>
      <w:r>
        <w:rPr/>
        <w:t xml:space="preserve"> Policy &amp; Standards</w:t>
      </w:r>
      <w:bookmarkEnd w:id="1606"/>
    </w:p>
    <w:p>
      <w:pPr>
        <w:pStyle w:val="Normal"/>
        <w:rPr/>
      </w:pPr>
      <w:r>
        <w:rPr/>
      </w:r>
    </w:p>
    <w:p>
      <w:pPr>
        <w:pStyle w:val="Normal"/>
        <w:rPr/>
      </w:pPr>
      <w:r>
        <w:rPr>
          <w:u w:val="single"/>
        </w:rPr>
        <w:t>Management Intent</w:t>
      </w:r>
      <w:r>
        <w:rPr/>
        <w:t>: The purpose of the Privacy (PRI) policy is to ensure appropriate safeguards are implemented to protect Personal Data (PD) and sensitive Personal Data (PD).</w:t>
      </w:r>
    </w:p>
    <w:p>
      <w:pPr>
        <w:pStyle w:val="Normal"/>
        <w:rPr/>
      </w:pPr>
      <w:r>
        <w:rPr/>
      </w:r>
    </w:p>
    <w:p>
      <w:pPr>
        <w:pStyle w:val="Normal"/>
        <w:shd w:val="clear" w:color="auto" w:fill="DDD9C3" w:themeFill="background2" w:themeFillShade="e6"/>
        <w:rPr/>
      </w:pPr>
      <w:r>
        <w:rPr>
          <w:u w:val="single"/>
        </w:rPr>
        <w:t>Policy</w:t>
      </w:r>
      <w:r>
        <w:rPr/>
        <w:t xml:space="preserve">: NFCC shall align with reasonably-expected privacy principles and implement appropriate security controls to protect the Personal Data (PD) and sensitive Personal Data (PD) that NFCC is entrusted to process, store and transmit. </w:t>
      </w:r>
    </w:p>
    <w:p>
      <w:pPr>
        <w:pStyle w:val="Normal"/>
        <w:rPr>
          <w:u w:val="single"/>
        </w:rPr>
      </w:pPr>
      <w:r>
        <w:rPr>
          <w:u w:val="single"/>
        </w:rPr>
      </w:r>
    </w:p>
    <w:p>
      <w:pPr>
        <w:pStyle w:val="Normal"/>
        <w:rPr/>
      </w:pPr>
      <w:r>
        <w:rPr>
          <w:u w:val="single"/>
        </w:rPr>
        <w:t>Supporting Documentation</w:t>
      </w:r>
      <w:r>
        <w:rPr/>
        <w:t xml:space="preserve">: This policy is supported by the following control objectives, standards and guidelines. </w:t>
      </w:r>
    </w:p>
    <w:p>
      <w:pPr>
        <w:pStyle w:val="Normal"/>
        <w:rPr/>
      </w:pPr>
      <w:r>
        <w:rPr/>
      </w:r>
    </w:p>
    <w:p>
      <w:pPr>
        <w:pStyle w:val="Normal"/>
        <w:tabs>
          <w:tab w:val="clear" w:pos="360"/>
          <w:tab w:val="clear" w:pos="720"/>
          <w:tab w:val="clear" w:pos="1080"/>
        </w:tabs>
        <w:jc w:val="left"/>
        <w:rPr>
          <w:rFonts w:cs="Calibri"/>
          <w:b/>
          <w:b/>
          <w:bCs w:val="false"/>
          <w:smallCaps/>
          <w:color w:val="1F497D" w:themeColor="text2"/>
        </w:rPr>
      </w:pPr>
      <w:r>
        <w:rPr>
          <w:rFonts w:cs="Calibri"/>
          <w:b/>
          <w:bCs w:val="false"/>
          <w:smallCaps/>
          <w:color w:val="1F497D" w:themeColor="text2"/>
        </w:rPr>
      </w:r>
    </w:p>
    <w:p>
      <w:pPr>
        <w:pStyle w:val="Heading2"/>
        <w:rPr/>
      </w:pPr>
      <w:bookmarkStart w:id="1609" w:name="_Toc34921159"/>
      <w:bookmarkStart w:id="1610" w:name="_Toc474075258"/>
      <w:bookmarkStart w:id="1611" w:name="_Toc474075751"/>
      <w:r>
        <w:rPr/>
        <w:t xml:space="preserve">PRI-01: </w:t>
      </w:r>
      <w:bookmarkEnd w:id="1610"/>
      <w:bookmarkEnd w:id="1611"/>
      <w:r>
        <w:rPr/>
        <w:t>Privacy Program</w:t>
      </w:r>
      <w:bookmarkEnd w:id="1609"/>
    </w:p>
    <w:p>
      <w:pPr>
        <w:pStyle w:val="Normal"/>
        <w:rPr/>
      </w:pPr>
      <w:r>
        <w:rPr>
          <w:u w:val="single"/>
        </w:rPr>
        <w:t>Control Objective</w:t>
      </w:r>
      <w:r>
        <w:rPr/>
        <w:t>: The organization develops, implements and governs processes and documentation to facilitate the implementation of an enterprise-wide privacy policy, as well as associated standards, controls and procedures.</w:t>
      </w:r>
      <w:r>
        <w:rPr>
          <w:rStyle w:val="FootnoteAnchor"/>
          <w:rStyle w:val="FootnoteAnchor"/>
        </w:rPr>
        <w:footnoteReference w:id="517"/>
      </w:r>
      <w:r>
        <w:rPr/>
        <w:t xml:space="preserve"> </w:t>
      </w:r>
    </w:p>
    <w:p>
      <w:pPr>
        <w:pStyle w:val="Normal"/>
        <w:rPr/>
      </w:pPr>
      <w:r>
        <w:rPr/>
      </w:r>
    </w:p>
    <w:p>
      <w:pPr>
        <w:pStyle w:val="Normal"/>
        <w:rPr/>
      </w:pPr>
      <w:r>
        <w:rPr>
          <w:u w:val="single"/>
        </w:rPr>
        <w:t>Standard</w:t>
      </w:r>
      <w:r>
        <w:rPr/>
        <w:t>: NFCC’s Data Protection Officer (DPO) is assigned the responsibility for privacy governance.</w:t>
      </w:r>
    </w:p>
    <w:p>
      <w:pPr>
        <w:pStyle w:val="Normal"/>
        <w:rPr/>
      </w:pPr>
      <w:r>
        <w:rPr/>
      </w:r>
    </w:p>
    <w:p>
      <w:pPr>
        <w:pStyle w:val="Normal"/>
        <w:rPr>
          <w:i/>
          <w:i/>
          <w:iCs/>
        </w:rPr>
      </w:pPr>
      <w:r>
        <w:rPr>
          <w:u w:val="single"/>
        </w:rPr>
        <w:t>Guidelines</w:t>
      </w:r>
      <w:r>
        <w:rPr/>
        <w:t xml:space="preserve">: The development and implementation of a comprehensive governance and privacy program demonstrate organizational accountability for and commitment to the protection of individual privacy. </w:t>
      </w:r>
    </w:p>
    <w:p>
      <w:pPr>
        <w:pStyle w:val="Normal"/>
        <w:rPr/>
      </w:pPr>
      <w:r>
        <w:rPr/>
      </w:r>
    </w:p>
    <w:p>
      <w:pPr>
        <w:pStyle w:val="Heading3"/>
        <w:rPr/>
      </w:pPr>
      <w:bookmarkStart w:id="1612" w:name="_Toc34921160"/>
      <w:r>
        <w:rPr/>
        <w:t>PRI-01(a): Privacy Program | Chief Privacy Officer (CPO)</w:t>
      </w:r>
      <w:bookmarkEnd w:id="1612"/>
    </w:p>
    <w:p>
      <w:pPr>
        <w:pStyle w:val="Normal"/>
        <w:rPr/>
      </w:pPr>
      <w:r>
        <w:rPr>
          <w:u w:val="single"/>
        </w:rPr>
        <w:t>Control Objective</w:t>
      </w:r>
      <w:r>
        <w:rPr/>
        <w:t>: The organization appoints a Chief Privacy Officer (CPO) with the authority, mission, accountability and resources to coordinate, develop and implement, applicable privacy requirements and manage privacy risks through the organization-wide privacy program.</w:t>
      </w:r>
    </w:p>
    <w:p>
      <w:pPr>
        <w:pStyle w:val="Normal"/>
        <w:rPr/>
      </w:pPr>
      <w:r>
        <w:rPr/>
      </w:r>
    </w:p>
    <w:p>
      <w:pPr>
        <w:pStyle w:val="Normal"/>
        <w:rPr/>
      </w:pPr>
      <w:r>
        <w:rPr>
          <w:u w:val="single"/>
        </w:rPr>
        <w:t>Standard</w:t>
      </w:r>
      <w:r>
        <w:rPr/>
        <w:t>: NFCC’s role of Chief Privacy Officer (CPO) is delegated the authority, mission, accountability and resources to coordinate, develop and implement, applicable privacy requirements and manage privacy risks through the NFCC-wide privacy program.</w:t>
      </w:r>
    </w:p>
    <w:p>
      <w:pPr>
        <w:pStyle w:val="Normal"/>
        <w:rPr/>
      </w:pPr>
      <w:r>
        <w:rPr/>
      </w:r>
    </w:p>
    <w:p>
      <w:pPr>
        <w:pStyle w:val="Normal"/>
        <w:rPr/>
      </w:pPr>
      <w:r>
        <w:rPr>
          <w:u w:val="single"/>
        </w:rPr>
        <w:t>Guidelines</w:t>
      </w:r>
      <w:r>
        <w:rPr/>
        <w:t>: The privacy officer described in this control is an organizational official. For federal agencies, as defined by applicable laws, Executive Orders, directives, regulations, policies, standards and guidelines, this official is designated as the Senior Agency Official for Privacy. Organizations may also refer to this official as the Chief Privacy Officer.</w:t>
      </w:r>
    </w:p>
    <w:p>
      <w:pPr>
        <w:pStyle w:val="Normal"/>
        <w:rPr>
          <w:b/>
          <w:b/>
        </w:rPr>
      </w:pPr>
      <w:r>
        <w:rPr>
          <w:b/>
        </w:rPr>
      </w:r>
    </w:p>
    <w:p>
      <w:pPr>
        <w:pStyle w:val="Heading3"/>
        <w:rPr/>
      </w:pPr>
      <w:bookmarkStart w:id="1613" w:name="_Toc34921161"/>
      <w:r>
        <w:rPr>
          <w:strike/>
        </w:rPr>
        <w:t>PRI-01(b): Privacy Program | Privacy Act Statements</w:t>
      </w:r>
      <w:r>
        <w:rPr/>
        <w:t xml:space="preserve"> [deprecated – withdrawn from DSP]</w:t>
      </w:r>
      <w:bookmarkEnd w:id="1613"/>
    </w:p>
    <w:p>
      <w:pPr>
        <w:pStyle w:val="Normal"/>
        <w:rPr>
          <w:i/>
          <w:i/>
        </w:rPr>
      </w:pPr>
      <w:r>
        <w:rPr>
          <w:i/>
        </w:rPr>
        <w:t xml:space="preserve">[deprecated - incorporated into </w:t>
      </w:r>
      <w:hyperlink w:anchor="_PRI-02:_Privacy_Notice">
        <w:r>
          <w:rPr>
            <w:rStyle w:val="InternetLink"/>
            <w:rFonts w:cs="Calibri" w:cstheme="minorHAnsi"/>
            <w:i/>
          </w:rPr>
          <w:t>PRI-02</w:t>
        </w:r>
      </w:hyperlink>
      <w:r>
        <w:rPr>
          <w:i/>
        </w:rPr>
        <w:t>]</w:t>
      </w:r>
    </w:p>
    <w:p>
      <w:pPr>
        <w:pStyle w:val="Normal"/>
        <w:rPr>
          <w:b/>
          <w:b/>
        </w:rPr>
      </w:pPr>
      <w:r>
        <w:rPr>
          <w:b/>
        </w:rPr>
      </w:r>
    </w:p>
    <w:p>
      <w:pPr>
        <w:pStyle w:val="Heading3"/>
        <w:rPr/>
      </w:pPr>
      <w:bookmarkStart w:id="1614" w:name="_Toc474075261"/>
      <w:bookmarkStart w:id="1615" w:name="_Toc34921162"/>
      <w:r>
        <w:rPr/>
        <w:t>PRI-01(c): Privacy Program | Dissemination of Privacy Program Information</w:t>
      </w:r>
      <w:bookmarkEnd w:id="1614"/>
      <w:bookmarkEnd w:id="1615"/>
      <w:r>
        <w:rPr/>
        <w:t xml:space="preserve"> </w:t>
      </w:r>
    </w:p>
    <w:p>
      <w:pPr>
        <w:pStyle w:val="Normal"/>
        <w:rPr/>
      </w:pPr>
      <w:r>
        <w:rPr>
          <w:u w:val="single"/>
        </w:rPr>
        <w:t>Control Objective</w:t>
      </w:r>
      <w:r>
        <w:rPr/>
        <w:t>: The organization:</w:t>
      </w:r>
      <w:r>
        <w:rPr>
          <w:rStyle w:val="FootnoteCharacters"/>
          <w:rFonts w:cs="Calibri"/>
        </w:rPr>
        <w:t xml:space="preserve"> </w:t>
      </w:r>
      <w:r>
        <w:rPr>
          <w:rStyle w:val="FootnoteAnchor"/>
          <w:rStyle w:val="FootnoteAnchor"/>
          <w:rFonts w:cs="Calibri"/>
        </w:rPr>
        <w:footnoteReference w:id="518"/>
      </w:r>
    </w:p>
    <w:p>
      <w:pPr>
        <w:pStyle w:val="ListParagraph"/>
        <w:numPr>
          <w:ilvl w:val="0"/>
          <w:numId w:val="545"/>
        </w:numPr>
        <w:rPr/>
      </w:pPr>
      <w:r>
        <w:rPr/>
        <w:t>Ensures that the public has access to information about organizational privacy activities and can communicate with its Chief Privacy Officer (CPO) or similar role;</w:t>
      </w:r>
    </w:p>
    <w:p>
      <w:pPr>
        <w:pStyle w:val="ListParagraph"/>
        <w:numPr>
          <w:ilvl w:val="0"/>
          <w:numId w:val="545"/>
        </w:numPr>
        <w:rPr/>
      </w:pPr>
      <w:r>
        <w:rPr/>
        <w:t>Ensures that organizational privacy practices are publicly available through organizational websites or otherwise; and</w:t>
      </w:r>
    </w:p>
    <w:p>
      <w:pPr>
        <w:pStyle w:val="ListParagraph"/>
        <w:numPr>
          <w:ilvl w:val="0"/>
          <w:numId w:val="545"/>
        </w:numPr>
        <w:rPr/>
      </w:pPr>
      <w:r>
        <w:rPr/>
        <w:t>Employs publicly facing email addresses and / or phone lines to enable the public to provide feedback and / or direct questions to privacy offices regarding privacy practices.</w:t>
      </w:r>
    </w:p>
    <w:p>
      <w:pPr>
        <w:pStyle w:val="Normal"/>
        <w:rPr/>
      </w:pPr>
      <w:r>
        <w:rPr/>
      </w:r>
    </w:p>
    <w:p>
      <w:pPr>
        <w:pStyle w:val="Normal"/>
        <w:rPr/>
      </w:pPr>
      <w:r>
        <w:rPr>
          <w:u w:val="single"/>
        </w:rPr>
        <w:t>Standard</w:t>
      </w:r>
      <w:r>
        <w:rPr/>
        <w:t>: NFCC’s legal department is assigned the responsibility for disseminating privacy program information.</w:t>
      </w:r>
    </w:p>
    <w:p>
      <w:pPr>
        <w:pStyle w:val="Normal"/>
        <w:rPr/>
      </w:pPr>
      <w:r>
        <w:rPr/>
      </w:r>
    </w:p>
    <w:p>
      <w:pPr>
        <w:pStyle w:val="Normal"/>
        <w:rPr>
          <w:u w:val="single"/>
        </w:rPr>
      </w:pPr>
      <w:r>
        <w:rPr>
          <w:u w:val="single"/>
        </w:rPr>
        <w:t>Guidelines</w:t>
      </w:r>
      <w:r>
        <w:rPr/>
        <w:t xml:space="preserve">: Organizations may employ different mechanisms for informing the public about privacy practices including, but not limited to, Privacy Impact Assessments (PIAs), privacy reports, publicly available web pages, email distributions, blogs and periodic publications (e.g., quarterly newsletters). Organizations may also employ publicly facing email addresses and / or phone lines that enable the public to provide feedback and / or direct questions to privacy offices regarding privacy practices. </w:t>
      </w:r>
    </w:p>
    <w:p>
      <w:pPr>
        <w:pStyle w:val="Normal"/>
        <w:rPr/>
      </w:pPr>
      <w:r>
        <w:rPr/>
      </w:r>
    </w:p>
    <w:p>
      <w:pPr>
        <w:pStyle w:val="Heading3"/>
        <w:rPr/>
      </w:pPr>
      <w:bookmarkStart w:id="1616" w:name="_Toc34921163"/>
      <w:r>
        <w:rPr/>
        <w:t>PRI-01(d): Privacy Program | Data Protection Officer (DPO)</w:t>
      </w:r>
      <w:bookmarkEnd w:id="1616"/>
    </w:p>
    <w:p>
      <w:pPr>
        <w:pStyle w:val="Normal"/>
        <w:rPr/>
      </w:pPr>
      <w:r>
        <w:rPr>
          <w:u w:val="single"/>
        </w:rPr>
        <w:t>Control Objective</w:t>
      </w:r>
      <w:r>
        <w:rPr/>
        <w:t>: The organization appoints a Data Protection Officer (DPO):</w:t>
      </w:r>
    </w:p>
    <w:p>
      <w:pPr>
        <w:pStyle w:val="ListParagraph"/>
        <w:numPr>
          <w:ilvl w:val="0"/>
          <w:numId w:val="546"/>
        </w:numPr>
        <w:rPr/>
      </w:pPr>
      <w:r>
        <w:rPr/>
        <w:t>Based on the basis of professional qualities; and</w:t>
      </w:r>
    </w:p>
    <w:p>
      <w:pPr>
        <w:pStyle w:val="ListParagraph"/>
        <w:numPr>
          <w:ilvl w:val="0"/>
          <w:numId w:val="546"/>
        </w:numPr>
        <w:rPr/>
      </w:pPr>
      <w:r>
        <w:rPr/>
        <w:t>To be involved in all issues related to the protection of personal data.</w:t>
      </w:r>
    </w:p>
    <w:p>
      <w:pPr>
        <w:pStyle w:val="Normal"/>
        <w:rPr/>
      </w:pPr>
      <w:r>
        <w:rPr/>
      </w:r>
    </w:p>
    <w:p>
      <w:pPr>
        <w:pStyle w:val="Normal"/>
        <w:rPr>
          <w:u w:val="single"/>
        </w:rPr>
      </w:pPr>
      <w:r>
        <w:rPr>
          <w:u w:val="single"/>
        </w:rPr>
        <w:t>Standard</w:t>
      </w:r>
      <w:r>
        <w:rPr/>
        <w:t>: NFCC shall appoint a competent individual to the role of Data Protection Officer (DPO) to be involved in all issues related to the protection of personal data.</w:t>
      </w:r>
    </w:p>
    <w:p>
      <w:pPr>
        <w:pStyle w:val="Normal"/>
        <w:rPr/>
      </w:pPr>
      <w:r>
        <w:rPr/>
      </w:r>
    </w:p>
    <w:p>
      <w:pPr>
        <w:pStyle w:val="Normal"/>
        <w:rPr/>
      </w:pPr>
      <w:r>
        <w:rPr>
          <w:rFonts w:cs="Calibri"/>
          <w:u w:val="single"/>
        </w:rPr>
        <w:t>Guidelines</w:t>
      </w:r>
      <w:r>
        <w:rPr>
          <w:rFonts w:cs="Calibri"/>
        </w:rPr>
        <w:t xml:space="preserve">: </w:t>
      </w:r>
      <w:r>
        <w:rPr/>
        <w:t>None</w:t>
      </w:r>
    </w:p>
    <w:p>
      <w:pPr>
        <w:pStyle w:val="Normal"/>
        <w:rPr/>
      </w:pPr>
      <w:r>
        <w:rPr/>
      </w:r>
    </w:p>
    <w:p>
      <w:pPr>
        <w:pStyle w:val="Normal"/>
        <w:rPr/>
      </w:pPr>
      <w:r>
        <w:rPr/>
      </w:r>
    </w:p>
    <w:p>
      <w:pPr>
        <w:pStyle w:val="Heading2"/>
        <w:rPr/>
      </w:pPr>
      <w:bookmarkStart w:id="1617" w:name="_Toc474075262"/>
      <w:bookmarkStart w:id="1618" w:name="_Toc474075752"/>
      <w:bookmarkStart w:id="1619" w:name="_Toc34921164"/>
      <w:bookmarkStart w:id="1620" w:name="_PRI-02%253A_Privacy_Notice"/>
      <w:bookmarkEnd w:id="1620"/>
      <w:r>
        <w:rPr/>
        <w:t>PRI-02: Privacy Notice</w:t>
      </w:r>
      <w:bookmarkEnd w:id="1617"/>
      <w:bookmarkEnd w:id="1618"/>
      <w:bookmarkEnd w:id="1619"/>
      <w:r>
        <w:rPr/>
        <w:t xml:space="preserve"> </w:t>
      </w:r>
    </w:p>
    <w:p>
      <w:pPr>
        <w:pStyle w:val="Normal"/>
        <w:rPr/>
      </w:pPr>
      <w:r>
        <w:rPr>
          <w:u w:val="single"/>
        </w:rPr>
        <w:t>Control Objective</w:t>
      </w:r>
      <w:r>
        <w:rPr/>
        <w:t xml:space="preserve">: The organization: </w:t>
      </w:r>
      <w:r>
        <w:rPr>
          <w:rStyle w:val="FootnoteAnchor"/>
          <w:rStyle w:val="FootnoteAnchor"/>
        </w:rPr>
        <w:footnoteReference w:id="519"/>
      </w:r>
    </w:p>
    <w:p>
      <w:pPr>
        <w:pStyle w:val="ListParagraph"/>
        <w:numPr>
          <w:ilvl w:val="0"/>
          <w:numId w:val="547"/>
        </w:numPr>
        <w:rPr/>
      </w:pPr>
      <w:r>
        <w:rPr/>
        <w:t>Makes privacy notice(s) available to individuals upon first interacting with an organization and subsequently as necessary.</w:t>
      </w:r>
    </w:p>
    <w:p>
      <w:pPr>
        <w:pStyle w:val="ListParagraph"/>
        <w:numPr>
          <w:ilvl w:val="0"/>
          <w:numId w:val="547"/>
        </w:numPr>
        <w:rPr/>
      </w:pPr>
      <w:r>
        <w:rPr/>
        <w:t>Ensures that privacy notices are clear and easy-to-understand, expressing information about Personal Data (PD) processing in plain language.</w:t>
      </w:r>
    </w:p>
    <w:p>
      <w:pPr>
        <w:pStyle w:val="Normal"/>
        <w:rPr/>
      </w:pPr>
      <w:r>
        <w:rPr/>
      </w:r>
    </w:p>
    <w:p>
      <w:pPr>
        <w:pStyle w:val="Normal"/>
        <w:rPr/>
      </w:pPr>
      <w:r>
        <w:rPr>
          <w:u w:val="single"/>
        </w:rPr>
        <w:t>Standard</w:t>
      </w:r>
      <w:r>
        <w:rPr/>
        <w:t xml:space="preserve">: Where technically feasible and justified by a valid business case, data / process owners are required to implement mechanisms to provide notice to the public and to individuals regarding: </w:t>
      </w:r>
    </w:p>
    <w:p>
      <w:pPr>
        <w:pStyle w:val="ListParagraph"/>
        <w:numPr>
          <w:ilvl w:val="0"/>
          <w:numId w:val="444"/>
        </w:numPr>
        <w:rPr/>
      </w:pPr>
      <w:r>
        <w:rPr/>
        <w:t xml:space="preserve">Activities that impact privacy, including its collection, use, sharing, safeguarding, maintenance and disposal of PD; </w:t>
      </w:r>
    </w:p>
    <w:p>
      <w:pPr>
        <w:pStyle w:val="ListParagraph"/>
        <w:numPr>
          <w:ilvl w:val="0"/>
          <w:numId w:val="444"/>
        </w:numPr>
        <w:rPr/>
      </w:pPr>
      <w:r>
        <w:rPr/>
        <w:t xml:space="preserve">The choices, if any, individuals may have regarding how the organization uses PD and the consequences of exercising or not exercising those choices; </w:t>
      </w:r>
    </w:p>
    <w:p>
      <w:pPr>
        <w:pStyle w:val="ListParagraph"/>
        <w:numPr>
          <w:ilvl w:val="0"/>
          <w:numId w:val="444"/>
        </w:numPr>
        <w:rPr>
          <w:iCs/>
        </w:rPr>
      </w:pPr>
      <w:r>
        <w:rPr/>
        <w:t>The ability, if any, to access and have PD amended or corrected if necessary; and</w:t>
      </w:r>
    </w:p>
    <w:p>
      <w:pPr>
        <w:pStyle w:val="ListParagraph"/>
        <w:numPr>
          <w:ilvl w:val="0"/>
          <w:numId w:val="444"/>
        </w:numPr>
        <w:rPr>
          <w:iCs/>
        </w:rPr>
      </w:pPr>
      <w:r>
        <w:rPr/>
        <w:t>Timely updates for changes in the entity’s privacy practices, including changes in the use of personal information, to meet NFCC’s privacy commitments.</w:t>
      </w:r>
    </w:p>
    <w:p>
      <w:pPr>
        <w:pStyle w:val="Normal"/>
        <w:rPr/>
      </w:pPr>
      <w:r>
        <w:rPr/>
      </w:r>
    </w:p>
    <w:p>
      <w:pPr>
        <w:pStyle w:val="Normal"/>
        <w:rPr/>
      </w:pPr>
      <w:r>
        <w:rPr>
          <w:u w:val="single"/>
        </w:rPr>
        <w:t>Guidelines</w:t>
      </w:r>
      <w:r>
        <w:rPr/>
        <w:t>: Effective notice, by virtue of its clarity, readability and comprehensiveness, enables individuals to understand how an organization uses PD generally and, where appropriate, to make an informed decision prior to providing PD to an organization. Effective notice also demonstrates the privacy considerations that the organization has addressed in implementing its information practices.</w:t>
      </w:r>
    </w:p>
    <w:p>
      <w:pPr>
        <w:pStyle w:val="Normal"/>
        <w:rPr/>
      </w:pPr>
      <w:r>
        <w:rPr/>
      </w:r>
    </w:p>
    <w:p>
      <w:pPr>
        <w:pStyle w:val="Normal"/>
        <w:rPr>
          <w:u w:val="single"/>
        </w:rPr>
      </w:pPr>
      <w:r>
        <w:rPr/>
        <w:t>Privacy Act Statements provide additional formal notice to individuals from whom the information is being collected, notice of the authority of organizations to collect Personal Data (PD); whether providing PD is mandatory or optional; the principal purpose or purposes for which the PD is to be used; the intended disclosures or routine uses of the information; and the consequences of not providing all or some portion of the information requested. PD may be collected verbally, for example, when conducting telephone interviews or surveys.</w:t>
      </w:r>
    </w:p>
    <w:p>
      <w:pPr>
        <w:pStyle w:val="Normal"/>
        <w:rPr/>
      </w:pPr>
      <w:r>
        <w:rPr/>
      </w:r>
    </w:p>
    <w:p>
      <w:pPr>
        <w:pStyle w:val="Heading3"/>
        <w:rPr/>
      </w:pPr>
      <w:bookmarkStart w:id="1621" w:name="_Toc474075263"/>
      <w:bookmarkStart w:id="1622" w:name="_Toc34921165"/>
      <w:r>
        <w:rPr/>
        <w:t>PRI-02(a): Privacy Notice | Purpose Specification</w:t>
      </w:r>
      <w:bookmarkEnd w:id="1621"/>
      <w:bookmarkEnd w:id="1622"/>
      <w:r>
        <w:rPr/>
        <w:t xml:space="preserve"> </w:t>
      </w:r>
    </w:p>
    <w:p>
      <w:pPr>
        <w:pStyle w:val="Normal"/>
        <w:rPr/>
      </w:pPr>
      <w:r>
        <w:rPr>
          <w:u w:val="single"/>
        </w:rPr>
        <w:t>Control Objective</w:t>
      </w:r>
      <w:r>
        <w:rPr/>
        <w:t>: The organization identifies and documents the purpose(s) for which Personal Data (PD) is collected, used, maintained and shared in its privacy notices.</w:t>
      </w:r>
      <w:r>
        <w:rPr>
          <w:rStyle w:val="FootnoteAnchor"/>
          <w:rStyle w:val="FootnoteAnchor"/>
        </w:rPr>
        <w:footnoteReference w:id="520"/>
      </w:r>
    </w:p>
    <w:p>
      <w:pPr>
        <w:pStyle w:val="Normal"/>
        <w:rPr/>
      </w:pPr>
      <w:r>
        <w:rPr/>
      </w:r>
    </w:p>
    <w:p>
      <w:pPr>
        <w:pStyle w:val="Normal"/>
        <w:rPr/>
      </w:pPr>
      <w:r>
        <w:rPr>
          <w:u w:val="single"/>
        </w:rPr>
        <w:t>Standard</w:t>
      </w:r>
      <w:r>
        <w:rPr/>
        <w:t>: Data / process owners are responsible for describing the purpose(s) for which PD is collected, used, maintained and shared in its privacy notices.</w:t>
      </w:r>
    </w:p>
    <w:p>
      <w:pPr>
        <w:pStyle w:val="Normal"/>
        <w:rPr/>
      </w:pPr>
      <w:r>
        <w:rPr/>
      </w:r>
    </w:p>
    <w:p>
      <w:pPr>
        <w:pStyle w:val="Normal"/>
        <w:rPr>
          <w:u w:val="single"/>
        </w:rPr>
      </w:pPr>
      <w:r>
        <w:rPr>
          <w:u w:val="single"/>
        </w:rPr>
        <w:t>Guidelines</w:t>
      </w:r>
      <w:r>
        <w:rPr/>
        <w:t>: In order to avoid unauthorized collections or uses of PD, personnel who handle PD should receive training on the organizational authorities for collecting PD.</w:t>
      </w:r>
    </w:p>
    <w:p>
      <w:pPr>
        <w:pStyle w:val="Normal"/>
        <w:rPr/>
      </w:pPr>
      <w:r>
        <w:rPr/>
      </w:r>
    </w:p>
    <w:p>
      <w:pPr>
        <w:pStyle w:val="Heading3"/>
        <w:rPr/>
      </w:pPr>
      <w:bookmarkStart w:id="1623" w:name="_Toc34921166"/>
      <w:r>
        <w:rPr/>
        <w:t>PRI-02(b): Privacy Notice | Automated Data Management Processes</w:t>
      </w:r>
      <w:bookmarkEnd w:id="1623"/>
    </w:p>
    <w:p>
      <w:pPr>
        <w:pStyle w:val="Normal"/>
        <w:rPr/>
      </w:pPr>
      <w:r>
        <w:rPr>
          <w:u w:val="single"/>
        </w:rPr>
        <w:t>Control Objective</w:t>
      </w:r>
      <w:r>
        <w:rPr/>
        <w:t>: The organization employ automated mechanisms to support records management of authorizing policies and procedures for Personal Data (PD).</w:t>
      </w:r>
    </w:p>
    <w:p>
      <w:pPr>
        <w:pStyle w:val="Normal"/>
        <w:rPr/>
      </w:pPr>
      <w:r>
        <w:rPr/>
      </w:r>
    </w:p>
    <w:p>
      <w:pPr>
        <w:pStyle w:val="Normal"/>
        <w:rPr/>
      </w:pPr>
      <w:r>
        <w:rPr>
          <w:u w:val="single"/>
        </w:rPr>
        <w:t>Standard</w:t>
      </w:r>
      <w:r>
        <w:rPr/>
        <w:t xml:space="preserve">: Where technically feasible and justified by a valid business case, data/process owners are required to </w:t>
      </w:r>
      <w:r>
        <w:rPr>
          <w:bCs w:val="false"/>
        </w:rPr>
        <w:t xml:space="preserve">employ </w:t>
      </w:r>
      <w:r>
        <w:rPr/>
        <w:t>automated mechanisms to support records management of authorizing policies and procedures for Personal Data (PD).</w:t>
      </w:r>
    </w:p>
    <w:p>
      <w:pPr>
        <w:pStyle w:val="Normal"/>
        <w:rPr/>
      </w:pPr>
      <w:r>
        <w:rPr/>
      </w:r>
    </w:p>
    <w:p>
      <w:pPr>
        <w:pStyle w:val="Normal"/>
        <w:rPr>
          <w:bCs w:val="false"/>
        </w:rPr>
      </w:pPr>
      <w:r>
        <w:rPr>
          <w:u w:val="single"/>
        </w:rPr>
        <w:t>Guidelines</w:t>
      </w:r>
      <w:r>
        <w:rPr/>
        <w:t>: Automated mechanisms may be used to support records management of authorizing policies and procedures for PD. Automated mechanisms augment verification that organizational policies and procedures are enforced for the management and tracking of PD within an organization’s systems.</w:t>
      </w:r>
    </w:p>
    <w:p>
      <w:pPr>
        <w:pStyle w:val="Normal"/>
        <w:rPr/>
      </w:pPr>
      <w:r>
        <w:rPr/>
      </w:r>
    </w:p>
    <w:p>
      <w:pPr>
        <w:pStyle w:val="Heading3"/>
        <w:rPr/>
      </w:pPr>
      <w:bookmarkStart w:id="1624" w:name="_Toc34921167"/>
      <w:r>
        <w:rPr/>
        <w:t>PRI-02(c): Privacy Notice | Computer Matching Agreements (CMA)</w:t>
      </w:r>
      <w:bookmarkEnd w:id="1624"/>
    </w:p>
    <w:p>
      <w:pPr>
        <w:pStyle w:val="Normal"/>
        <w:rPr/>
      </w:pPr>
      <w:r>
        <w:rPr>
          <w:u w:val="single"/>
        </w:rPr>
        <w:t>Control Objective</w:t>
      </w:r>
      <w:r>
        <w:rPr/>
        <w:t>: The organization publishes Computer Matching Agreements (CMA) on the public website of the organization.</w:t>
      </w:r>
    </w:p>
    <w:p>
      <w:pPr>
        <w:pStyle w:val="Normal"/>
        <w:rPr/>
      </w:pPr>
      <w:r>
        <w:rPr/>
      </w:r>
    </w:p>
    <w:p>
      <w:pPr>
        <w:pStyle w:val="Normal"/>
        <w:rPr/>
      </w:pPr>
      <w:r>
        <w:rPr>
          <w:u w:val="single"/>
        </w:rPr>
        <w:t>Standard</w:t>
      </w:r>
      <w:r>
        <w:rPr/>
        <w:t>: When applicable, NFCC will publish Computer Matching Agreements (CMAs) on a public website.</w:t>
      </w:r>
    </w:p>
    <w:p>
      <w:pPr>
        <w:pStyle w:val="Normal"/>
        <w:rPr/>
      </w:pPr>
      <w:r>
        <w:rPr/>
      </w:r>
    </w:p>
    <w:p>
      <w:pPr>
        <w:pStyle w:val="Normal"/>
        <w:rPr>
          <w:b/>
          <w:b/>
        </w:rPr>
      </w:pPr>
      <w:r>
        <w:rPr>
          <w:u w:val="single"/>
        </w:rPr>
        <w:t>Guidelines</w:t>
      </w:r>
      <w:r>
        <w:rPr/>
        <w:t>: None</w:t>
      </w:r>
    </w:p>
    <w:p>
      <w:pPr>
        <w:pStyle w:val="Normal"/>
        <w:rPr/>
      </w:pPr>
      <w:r>
        <w:rPr/>
      </w:r>
    </w:p>
    <w:p>
      <w:pPr>
        <w:pStyle w:val="Normal"/>
        <w:rPr/>
      </w:pPr>
      <w:r>
        <w:rPr/>
      </w:r>
    </w:p>
    <w:p>
      <w:pPr>
        <w:pStyle w:val="Heading2"/>
        <w:rPr/>
      </w:pPr>
      <w:bookmarkStart w:id="1625" w:name="_Toc474075264"/>
      <w:bookmarkStart w:id="1626" w:name="_Toc474075753"/>
      <w:bookmarkStart w:id="1627" w:name="_Toc34921168"/>
      <w:r>
        <w:rPr/>
        <w:t>PRI-03: Choice &amp; Consent</w:t>
      </w:r>
      <w:bookmarkEnd w:id="1625"/>
      <w:bookmarkEnd w:id="1626"/>
      <w:bookmarkEnd w:id="1627"/>
    </w:p>
    <w:p>
      <w:pPr>
        <w:pStyle w:val="Normal"/>
        <w:rPr/>
      </w:pPr>
      <w:r>
        <w:rPr>
          <w:u w:val="single"/>
        </w:rPr>
        <w:t>Control Objective</w:t>
      </w:r>
      <w:r>
        <w:rPr/>
        <w:t>: The organization implements mechanisms for users to authorize the processing of their Personal Data (PD) prior to its collection that:</w:t>
      </w:r>
      <w:r>
        <w:rPr>
          <w:rStyle w:val="FootnoteCharacters"/>
        </w:rPr>
        <w:t xml:space="preserve"> </w:t>
      </w:r>
      <w:r>
        <w:rPr>
          <w:rStyle w:val="FootnoteAnchor"/>
          <w:rStyle w:val="FootnoteAnchor"/>
        </w:rPr>
        <w:footnoteReference w:id="521"/>
      </w:r>
    </w:p>
    <w:p>
      <w:pPr>
        <w:pStyle w:val="ListParagraph"/>
        <w:numPr>
          <w:ilvl w:val="0"/>
          <w:numId w:val="548"/>
        </w:numPr>
        <w:rPr/>
      </w:pPr>
      <w:r>
        <w:rPr/>
        <w:t>Uses plain language and provide examples to illustrate the potential privacy risks of the authorization; and</w:t>
      </w:r>
    </w:p>
    <w:p>
      <w:pPr>
        <w:pStyle w:val="ListParagraph"/>
        <w:numPr>
          <w:ilvl w:val="0"/>
          <w:numId w:val="548"/>
        </w:numPr>
        <w:rPr/>
      </w:pPr>
      <w:r>
        <w:rPr/>
        <w:t>Provides a means for users to decline the authorization.</w:t>
      </w:r>
    </w:p>
    <w:p>
      <w:pPr>
        <w:pStyle w:val="Normal"/>
        <w:rPr/>
      </w:pPr>
      <w:r>
        <w:rPr/>
      </w:r>
    </w:p>
    <w:p>
      <w:pPr>
        <w:pStyle w:val="Normal"/>
        <w:rPr/>
      </w:pPr>
      <w:r>
        <w:rPr>
          <w:u w:val="single"/>
        </w:rPr>
        <w:t>Standard</w:t>
      </w:r>
      <w:r>
        <w:rPr/>
        <w:t>: Where technically feasible and justified by a valid business case, data / process owners are required to implement mechanisms to support itemized or tiered consent for specific uses of data.</w:t>
      </w:r>
    </w:p>
    <w:p>
      <w:pPr>
        <w:pStyle w:val="Normal"/>
        <w:rPr/>
      </w:pPr>
      <w:r>
        <w:rPr/>
      </w:r>
    </w:p>
    <w:p>
      <w:pPr>
        <w:pStyle w:val="Normal"/>
        <w:rPr>
          <w:u w:val="single"/>
        </w:rPr>
      </w:pPr>
      <w:r>
        <w:rPr>
          <w:u w:val="single"/>
        </w:rPr>
        <w:t>Guidelines</w:t>
      </w:r>
      <w:r>
        <w:rPr/>
        <w:t>: Consent is fundamental to the participation of individuals in the decision-making process regarding the collection and use of their PD and the use of technologies that may increase the risk to personal privacy. To obtain consent, organizations provide individuals appropriate notice of the purposes of the PD collection or technology use and a means for individuals to consent to the activity. Organizations tailor the public notice and consent mechanisms to meet operational needs. Organizations achieve awareness and consent, for example, through updated public notices.</w:t>
      </w:r>
    </w:p>
    <w:p>
      <w:pPr>
        <w:pStyle w:val="Normal"/>
        <w:rPr/>
      </w:pPr>
      <w:r>
        <w:rPr/>
      </w:r>
    </w:p>
    <w:p>
      <w:pPr>
        <w:pStyle w:val="Heading3"/>
        <w:rPr/>
      </w:pPr>
      <w:bookmarkStart w:id="1628" w:name="_Toc34921169"/>
      <w:r>
        <w:rPr/>
        <w:t>PRI-03(a): Choice &amp; Consent | Attribute Management</w:t>
      </w:r>
      <w:bookmarkEnd w:id="1628"/>
    </w:p>
    <w:p>
      <w:pPr>
        <w:pStyle w:val="Normal"/>
        <w:rPr/>
      </w:pPr>
      <w:r>
        <w:rPr>
          <w:u w:val="single"/>
        </w:rPr>
        <w:t>Control Objective</w:t>
      </w:r>
      <w:r>
        <w:rPr/>
        <w:t>: The organization allows data subjects to tailor use permissions to selected attributes.</w:t>
      </w:r>
    </w:p>
    <w:p>
      <w:pPr>
        <w:pStyle w:val="Normal"/>
        <w:rPr/>
      </w:pPr>
      <w:r>
        <w:rPr/>
      </w:r>
    </w:p>
    <w:p>
      <w:pPr>
        <w:pStyle w:val="Normal"/>
        <w:rPr/>
      </w:pPr>
      <w:r>
        <w:rPr>
          <w:u w:val="single"/>
        </w:rPr>
        <w:t>Standard</w:t>
      </w:r>
      <w:r>
        <w:rPr/>
        <w:t>: Where technically feasible and justified by a valid business case, data/process owners allow data subjects to tailor use permissions to selected attributes.</w:t>
      </w:r>
    </w:p>
    <w:p>
      <w:pPr>
        <w:pStyle w:val="Normal"/>
        <w:rPr/>
      </w:pPr>
      <w:r>
        <w:rPr/>
      </w:r>
    </w:p>
    <w:p>
      <w:pPr>
        <w:pStyle w:val="Normal"/>
        <w:rPr/>
      </w:pPr>
      <w:r>
        <w:rPr>
          <w:u w:val="single"/>
        </w:rPr>
        <w:t>Guidelines</w:t>
      </w:r>
      <w:r>
        <w:rPr/>
        <w:t>: Allowing individuals to select how specific data attributes may be further used or disclosed beyond the original use may help reduce privacy risk arising from the most sensitive of the data attributes while maintaining utility of the data.</w:t>
      </w:r>
    </w:p>
    <w:p>
      <w:pPr>
        <w:pStyle w:val="Normal"/>
        <w:rPr/>
      </w:pPr>
      <w:r>
        <w:rPr/>
      </w:r>
    </w:p>
    <w:p>
      <w:pPr>
        <w:pStyle w:val="Heading3"/>
        <w:rPr/>
      </w:pPr>
      <w:bookmarkStart w:id="1629" w:name="_Toc34921170"/>
      <w:r>
        <w:rPr/>
        <w:t>PRI-03(b): Choice &amp; Consent | Just-In-Time Notice &amp; Updated Consent</w:t>
      </w:r>
      <w:bookmarkEnd w:id="1629"/>
    </w:p>
    <w:p>
      <w:pPr>
        <w:pStyle w:val="Normal"/>
        <w:rPr/>
      </w:pPr>
      <w:r>
        <w:rPr>
          <w:u w:val="single"/>
        </w:rPr>
        <w:t>Control Objective</w:t>
      </w:r>
      <w:r>
        <w:rPr/>
        <w:t>: The organization presents authorizations to process Personal Data (PD) in conjunction with the data action, when:</w:t>
      </w:r>
    </w:p>
    <w:p>
      <w:pPr>
        <w:pStyle w:val="ListParagraph"/>
        <w:numPr>
          <w:ilvl w:val="0"/>
          <w:numId w:val="549"/>
        </w:numPr>
        <w:rPr/>
      </w:pPr>
      <w:r>
        <w:rPr/>
        <w:t>The original circumstances under which an individual gave consent have changed; or</w:t>
      </w:r>
    </w:p>
    <w:p>
      <w:pPr>
        <w:pStyle w:val="ListParagraph"/>
        <w:numPr>
          <w:ilvl w:val="0"/>
          <w:numId w:val="549"/>
        </w:numPr>
        <w:rPr/>
      </w:pPr>
      <w:r>
        <w:rPr/>
        <w:t>A significant amount of time has passed since an individual gave consent.</w:t>
      </w:r>
    </w:p>
    <w:p>
      <w:pPr>
        <w:pStyle w:val="Normal"/>
        <w:rPr/>
      </w:pPr>
      <w:r>
        <w:rPr/>
      </w:r>
    </w:p>
    <w:p>
      <w:pPr>
        <w:pStyle w:val="Normal"/>
        <w:rPr/>
      </w:pPr>
      <w:r>
        <w:rPr>
          <w:u w:val="single"/>
        </w:rPr>
        <w:t>Standard</w:t>
      </w:r>
      <w:r>
        <w:rPr/>
        <w:t xml:space="preserve">: Where technically feasible and justified by a valid business case, data/process owners </w:t>
      </w:r>
      <w:r>
        <w:rPr>
          <w:bCs w:val="false"/>
        </w:rPr>
        <w:t>p</w:t>
      </w:r>
      <w:r>
        <w:rPr/>
        <w:t>resent authorizations to process Personal Data (PD) in conjunction with the data action.</w:t>
      </w:r>
    </w:p>
    <w:p>
      <w:pPr>
        <w:pStyle w:val="Normal"/>
        <w:rPr/>
      </w:pPr>
      <w:r>
        <w:rPr/>
      </w:r>
    </w:p>
    <w:p>
      <w:pPr>
        <w:pStyle w:val="Normal"/>
        <w:rPr/>
      </w:pPr>
      <w:r>
        <w:rPr>
          <w:u w:val="single"/>
        </w:rPr>
        <w:t>Guidelines</w:t>
      </w:r>
      <w:r>
        <w:rPr/>
        <w:t>: If the circumstances under which an individual gave consent have changed or a significant amount of time has passed since an individual gave consent for the processing of his or her Personal Data (PD), the data subject’s assumption about how the information is being processed might no longer be accurate or reliable. Just-in-time notice can help maintain individual satisfaction with how the Personal Data (PD) is being processed.</w:t>
      </w:r>
    </w:p>
    <w:p>
      <w:pPr>
        <w:pStyle w:val="Normal"/>
        <w:rPr/>
      </w:pPr>
      <w:r>
        <w:rPr/>
      </w:r>
    </w:p>
    <w:p>
      <w:pPr>
        <w:pStyle w:val="Heading3"/>
        <w:rPr/>
      </w:pPr>
      <w:bookmarkStart w:id="1630" w:name="_Toc34921171"/>
      <w:r>
        <w:rPr/>
        <w:t>PRI-03(c): Choice &amp; Consent | Prohibition Of Selling Personal Data</w:t>
      </w:r>
      <w:bookmarkEnd w:id="1630"/>
      <w:r>
        <w:rPr/>
        <w:t xml:space="preserve"> </w:t>
      </w:r>
    </w:p>
    <w:p>
      <w:pPr>
        <w:pStyle w:val="Normal"/>
        <w:rPr/>
      </w:pPr>
      <w:r>
        <w:rPr>
          <w:u w:val="single"/>
        </w:rPr>
        <w:t>Control Objective</w:t>
      </w:r>
      <w:r>
        <w:rPr/>
        <w:t>: The organization does not sell Personal Data (PD) when instructed by the data subject.</w:t>
      </w:r>
    </w:p>
    <w:p>
      <w:pPr>
        <w:pStyle w:val="Normal"/>
        <w:rPr/>
      </w:pPr>
      <w:r>
        <w:rPr/>
      </w:r>
    </w:p>
    <w:p>
      <w:pPr>
        <w:pStyle w:val="Normal"/>
        <w:rPr/>
      </w:pPr>
      <w:r>
        <w:rPr>
          <w:u w:val="single"/>
        </w:rPr>
        <w:t>Standard</w:t>
      </w:r>
      <w:r>
        <w:rPr/>
        <w:t>: When instructed by a data subject, NFCC:</w:t>
      </w:r>
    </w:p>
    <w:p>
      <w:pPr>
        <w:pStyle w:val="ListParagraph"/>
        <w:numPr>
          <w:ilvl w:val="0"/>
          <w:numId w:val="676"/>
        </w:numPr>
        <w:rPr/>
      </w:pPr>
      <w:r>
        <w:rPr/>
        <w:t>Prohibits the sale of Personal Data (PD); and</w:t>
      </w:r>
    </w:p>
    <w:p>
      <w:pPr>
        <w:pStyle w:val="ListParagraph"/>
        <w:numPr>
          <w:ilvl w:val="0"/>
          <w:numId w:val="676"/>
        </w:numPr>
        <w:rPr/>
      </w:pPr>
      <w:r>
        <w:rPr/>
        <w:t>When applicable, informs applicable data processors of any changes from “do not sell” updates to data subject consent.</w:t>
      </w:r>
    </w:p>
    <w:p>
      <w:pPr>
        <w:pStyle w:val="Normal"/>
        <w:rPr/>
      </w:pPr>
      <w:r>
        <w:rPr/>
      </w:r>
    </w:p>
    <w:p>
      <w:pPr>
        <w:pStyle w:val="Normal"/>
        <w:rPr/>
      </w:pPr>
      <w:r>
        <w:rPr>
          <w:u w:val="single"/>
        </w:rPr>
        <w:t>Guidelines</w:t>
      </w:r>
      <w:r>
        <w:rPr/>
        <w:t>: Data subjects (e.g. consumers) have a right to opt-out of the sale of their personal data even after initial consent was provided, so mechanisms need to address</w:t>
      </w:r>
    </w:p>
    <w:p>
      <w:pPr>
        <w:pStyle w:val="Normal"/>
        <w:rPr/>
      </w:pPr>
      <w:r>
        <w:rPr/>
      </w:r>
    </w:p>
    <w:p>
      <w:pPr>
        <w:pStyle w:val="Normal"/>
        <w:rPr/>
      </w:pPr>
      <w:r>
        <w:rPr/>
      </w:r>
    </w:p>
    <w:p>
      <w:pPr>
        <w:pStyle w:val="Heading2"/>
        <w:rPr/>
      </w:pPr>
      <w:bookmarkStart w:id="1631" w:name="_Toc474075265"/>
      <w:bookmarkStart w:id="1632" w:name="_Toc474075754"/>
      <w:bookmarkStart w:id="1633" w:name="_Toc34921172"/>
      <w:r>
        <w:rPr/>
        <w:t>PRI-04: Collection</w:t>
      </w:r>
      <w:bookmarkEnd w:id="1631"/>
      <w:bookmarkEnd w:id="1632"/>
      <w:bookmarkEnd w:id="1633"/>
    </w:p>
    <w:p>
      <w:pPr>
        <w:pStyle w:val="Normal"/>
        <w:rPr/>
      </w:pPr>
      <w:r>
        <w:rPr>
          <w:u w:val="single"/>
        </w:rPr>
        <w:t>Control Objective</w:t>
      </w:r>
      <w:r>
        <w:rPr/>
        <w:t>: The organization collects Personal Data (PD) only for the purposes identified in the privacy notice.</w:t>
      </w:r>
      <w:r>
        <w:rPr>
          <w:rStyle w:val="FootnoteAnchor"/>
          <w:rStyle w:val="FootnoteAnchor"/>
        </w:rPr>
        <w:footnoteReference w:id="522"/>
      </w:r>
    </w:p>
    <w:p>
      <w:pPr>
        <w:pStyle w:val="Normal"/>
        <w:rPr/>
      </w:pPr>
      <w:r>
        <w:rPr/>
      </w:r>
    </w:p>
    <w:p>
      <w:pPr>
        <w:pStyle w:val="Normal"/>
        <w:rPr/>
      </w:pPr>
      <w:r>
        <w:rPr>
          <w:u w:val="single"/>
        </w:rPr>
        <w:t>Standard</w:t>
      </w:r>
      <w:r>
        <w:rPr/>
        <w:t>: Data / process owners are required to implement limitations on the collection, use and disclosure of personal information.</w:t>
      </w:r>
    </w:p>
    <w:p>
      <w:pPr>
        <w:pStyle w:val="Normal"/>
        <w:rPr/>
      </w:pPr>
      <w:r>
        <w:rPr/>
      </w:r>
    </w:p>
    <w:p>
      <w:pPr>
        <w:pStyle w:val="Normal"/>
        <w:rPr/>
      </w:pPr>
      <w:r>
        <w:rPr>
          <w:u w:val="single"/>
        </w:rPr>
        <w:t>Guidelines</w:t>
      </w:r>
      <w:r>
        <w:rPr/>
        <w:t>: Data privacy guidelines follow the Generally Accepted Privacy Principles (GAPP)</w:t>
      </w:r>
      <w:r>
        <w:rPr>
          <w:rStyle w:val="FootnoteAnchor"/>
          <w:rStyle w:val="FootnoteAnchor"/>
        </w:rPr>
        <w:footnoteReference w:id="523"/>
      </w:r>
      <w:r>
        <w:rPr>
          <w:rFonts w:cs="Calibri"/>
        </w:rPr>
        <w:t xml:space="preserve"> and Privacy Shield Framework.</w:t>
      </w:r>
      <w:r>
        <w:rPr>
          <w:rStyle w:val="FootnoteAnchor"/>
          <w:rStyle w:val="FootnoteAnchor"/>
          <w:rFonts w:cs="Calibri"/>
        </w:rPr>
        <w:footnoteReference w:id="524"/>
      </w:r>
    </w:p>
    <w:p>
      <w:pPr>
        <w:pStyle w:val="Normal"/>
        <w:rPr/>
      </w:pPr>
      <w:r>
        <w:rPr/>
      </w:r>
    </w:p>
    <w:p>
      <w:pPr>
        <w:pStyle w:val="Heading3"/>
        <w:rPr/>
      </w:pPr>
      <w:bookmarkStart w:id="1634" w:name="_Toc34921173"/>
      <w:bookmarkStart w:id="1635" w:name="_Toc474075266"/>
      <w:r>
        <w:rPr/>
        <w:t xml:space="preserve">PRI-04(a): Collection | </w:t>
      </w:r>
      <w:bookmarkEnd w:id="1635"/>
      <w:r>
        <w:rPr/>
        <w:t>Authority To Collect, Use, Maintain &amp; Share Personal Data (PD)</w:t>
      </w:r>
      <w:bookmarkEnd w:id="1634"/>
    </w:p>
    <w:p>
      <w:pPr>
        <w:pStyle w:val="Normal"/>
        <w:rPr/>
      </w:pPr>
      <w:r>
        <w:rPr>
          <w:u w:val="single"/>
        </w:rPr>
        <w:t>Control Objective</w:t>
      </w:r>
      <w:r>
        <w:rPr/>
        <w:t xml:space="preserve">: The organization determines and documents the legal authority that permits the collection, use, maintenance and sharing of Personal Data (PD), either generally or in support of a specific program or system need. </w:t>
      </w:r>
      <w:r>
        <w:rPr>
          <w:rStyle w:val="FootnoteAnchor"/>
          <w:rStyle w:val="FootnoteAnchor"/>
        </w:rPr>
        <w:footnoteReference w:id="525"/>
      </w:r>
    </w:p>
    <w:p>
      <w:pPr>
        <w:pStyle w:val="Normal"/>
        <w:rPr/>
      </w:pPr>
      <w:r>
        <w:rPr/>
      </w:r>
    </w:p>
    <w:p>
      <w:pPr>
        <w:pStyle w:val="Normal"/>
        <w:rPr/>
      </w:pPr>
      <w:r>
        <w:rPr>
          <w:u w:val="single"/>
        </w:rPr>
        <w:t>Standard</w:t>
      </w:r>
      <w:r>
        <w:rPr/>
        <w:t xml:space="preserve">: NFCC shall: </w:t>
      </w:r>
    </w:p>
    <w:p>
      <w:pPr>
        <w:pStyle w:val="ListParagraph"/>
        <w:numPr>
          <w:ilvl w:val="0"/>
          <w:numId w:val="445"/>
        </w:numPr>
        <w:rPr/>
      </w:pPr>
      <w:r>
        <w:rPr/>
        <w:t xml:space="preserve">Identify the authority to collect Personal Data (PD) and specify the purposes and / or activities for which PD is collected; and </w:t>
      </w:r>
    </w:p>
    <w:p>
      <w:pPr>
        <w:pStyle w:val="ListParagraph"/>
        <w:numPr>
          <w:ilvl w:val="0"/>
          <w:numId w:val="445"/>
        </w:numPr>
        <w:rPr/>
      </w:pPr>
      <w:r>
        <w:rPr/>
        <w:t>Before collecting PD, determine whether the contemplated collection of PD is legally authorized.</w:t>
      </w:r>
    </w:p>
    <w:p>
      <w:pPr>
        <w:pStyle w:val="Normal"/>
        <w:rPr/>
      </w:pPr>
      <w:r>
        <w:rPr/>
      </w:r>
    </w:p>
    <w:p>
      <w:pPr>
        <w:pStyle w:val="Normal"/>
        <w:rPr/>
      </w:pPr>
      <w:r>
        <w:rPr>
          <w:u w:val="single"/>
        </w:rPr>
        <w:t>Guidelines</w:t>
      </w:r>
      <w:r>
        <w:rPr/>
        <w:t>: Legal counsel should be engaged for determining the legal authority that permits the collection, use, maintenance and sharing of PD, in support of business operations.</w:t>
      </w:r>
    </w:p>
    <w:p>
      <w:pPr>
        <w:pStyle w:val="Normal"/>
        <w:rPr/>
      </w:pPr>
      <w:r>
        <w:rPr/>
      </w:r>
    </w:p>
    <w:p>
      <w:pPr>
        <w:pStyle w:val="Normal"/>
        <w:rPr/>
      </w:pPr>
      <w:r>
        <w:rPr/>
      </w:r>
    </w:p>
    <w:p>
      <w:pPr>
        <w:pStyle w:val="Heading2"/>
        <w:rPr/>
      </w:pPr>
      <w:bookmarkStart w:id="1636" w:name="_Toc474075267"/>
      <w:bookmarkStart w:id="1637" w:name="_Toc474075755"/>
      <w:bookmarkStart w:id="1638" w:name="_Toc34921174"/>
      <w:r>
        <w:rPr/>
        <w:t>PRI-05: Use, Retention &amp; Disposal</w:t>
      </w:r>
      <w:bookmarkEnd w:id="1636"/>
      <w:bookmarkEnd w:id="1637"/>
      <w:bookmarkEnd w:id="1638"/>
    </w:p>
    <w:p>
      <w:pPr>
        <w:pStyle w:val="Normal"/>
        <w:rPr/>
      </w:pPr>
      <w:r>
        <w:rPr>
          <w:u w:val="single"/>
        </w:rPr>
        <w:t>Control Objective</w:t>
      </w:r>
      <w:r>
        <w:rPr/>
        <w:t>: The organization:</w:t>
      </w:r>
    </w:p>
    <w:p>
      <w:pPr>
        <w:pStyle w:val="ListParagraph"/>
        <w:numPr>
          <w:ilvl w:val="0"/>
          <w:numId w:val="164"/>
        </w:numPr>
        <w:rPr>
          <w:rFonts w:eastAsia="Calibri"/>
        </w:rPr>
      </w:pPr>
      <w:r>
        <w:rPr>
          <w:rFonts w:eastAsia="Calibri"/>
        </w:rPr>
        <w:t>Retains PD for an organization-defined time period to fulfill the purpose(s) identified in the notice or as required by law;</w:t>
      </w:r>
    </w:p>
    <w:p>
      <w:pPr>
        <w:pStyle w:val="ListParagraph"/>
        <w:numPr>
          <w:ilvl w:val="0"/>
          <w:numId w:val="164"/>
        </w:numPr>
        <w:rPr>
          <w:rFonts w:eastAsia="Calibri"/>
        </w:rPr>
      </w:pPr>
      <w:r>
        <w:rPr>
          <w:rFonts w:eastAsia="Calibri"/>
        </w:rPr>
        <w:t>Disposes of, destroys, erases and / or anonymizes the PD, regardless of the method of storage; and</w:t>
      </w:r>
    </w:p>
    <w:p>
      <w:pPr>
        <w:pStyle w:val="ListParagraph"/>
        <w:numPr>
          <w:ilvl w:val="0"/>
          <w:numId w:val="164"/>
        </w:numPr>
        <w:rPr>
          <w:rFonts w:eastAsia="Calibri"/>
        </w:rPr>
      </w:pPr>
      <w:r>
        <w:rPr>
          <w:rFonts w:eastAsia="Calibri"/>
        </w:rPr>
        <w:t>Uses organization-defined techniques or methods to ensure secure deletion or destruction of PD (including originals, copies and archived records).</w:t>
      </w:r>
    </w:p>
    <w:p>
      <w:pPr>
        <w:pStyle w:val="Normal"/>
        <w:rPr>
          <w:rFonts w:eastAsia="Calibri"/>
        </w:rPr>
      </w:pPr>
      <w:r>
        <w:rPr>
          <w:rFonts w:eastAsia="Calibri"/>
        </w:rPr>
      </w:r>
    </w:p>
    <w:p>
      <w:pPr>
        <w:pStyle w:val="Normal"/>
        <w:rPr/>
      </w:pPr>
      <w:r>
        <w:rPr>
          <w:u w:val="single"/>
        </w:rPr>
        <w:t>Standard</w:t>
      </w:r>
      <w:r>
        <w:rPr/>
        <w:t>: NFCC shall implement controls to ensure Personal Data (PD) collected and maintained by is accurate, relevant, timely and complete for the purpose for which it is to be used.</w:t>
      </w:r>
    </w:p>
    <w:p>
      <w:pPr>
        <w:pStyle w:val="Normal"/>
        <w:rPr/>
      </w:pPr>
      <w:r>
        <w:rPr/>
      </w:r>
    </w:p>
    <w:p>
      <w:pPr>
        <w:pStyle w:val="Normal"/>
        <w:rPr/>
      </w:pPr>
      <w:r>
        <w:rPr>
          <w:u w:val="single"/>
        </w:rPr>
        <w:t>Guidelines</w:t>
      </w:r>
      <w:r>
        <w:rPr/>
        <w:t>: The purpose is to enhance public confidence that any PD collected and maintained by NFCC is accurate, relevant, timely and complete for the purpose for which it is to be used.</w:t>
      </w:r>
    </w:p>
    <w:p>
      <w:pPr>
        <w:pStyle w:val="Normal"/>
        <w:rPr/>
      </w:pPr>
      <w:r>
        <w:rPr/>
      </w:r>
    </w:p>
    <w:p>
      <w:pPr>
        <w:pStyle w:val="Heading3"/>
        <w:rPr/>
      </w:pPr>
      <w:bookmarkStart w:id="1639" w:name="_Toc34921175"/>
      <w:bookmarkStart w:id="1640" w:name="_Toc474075274"/>
      <w:r>
        <w:rPr/>
        <w:t xml:space="preserve">PRI-05(a): Use, Retention &amp; Disposal | </w:t>
      </w:r>
      <w:bookmarkEnd w:id="1640"/>
      <w:r>
        <w:rPr/>
        <w:t>Internal Use</w:t>
      </w:r>
      <w:bookmarkEnd w:id="1639"/>
      <w:r>
        <w:rPr/>
        <w:t xml:space="preserve"> </w:t>
      </w:r>
    </w:p>
    <w:p>
      <w:pPr>
        <w:pStyle w:val="Normal"/>
        <w:rPr/>
      </w:pPr>
      <w:r>
        <w:rPr>
          <w:u w:val="single"/>
        </w:rPr>
        <w:t>Control Objective</w:t>
      </w:r>
      <w:r>
        <w:rPr/>
        <w:t>: The organization addresses the use of Personal Data (PD) for internal testing, training and research by:</w:t>
      </w:r>
      <w:r>
        <w:rPr>
          <w:rStyle w:val="FootnoteCharacters"/>
          <w:rFonts w:cs="Calibri"/>
          <w:bCs w:val="false"/>
        </w:rPr>
        <w:t xml:space="preserve"> </w:t>
      </w:r>
      <w:r>
        <w:rPr>
          <w:rStyle w:val="FootnoteAnchor"/>
          <w:rStyle w:val="FootnoteAnchor"/>
          <w:rFonts w:cs="Calibri"/>
          <w:bCs w:val="false"/>
        </w:rPr>
        <w:footnoteReference w:id="526"/>
      </w:r>
    </w:p>
    <w:p>
      <w:pPr>
        <w:pStyle w:val="ListParagraph"/>
        <w:numPr>
          <w:ilvl w:val="0"/>
          <w:numId w:val="550"/>
        </w:numPr>
        <w:rPr/>
      </w:pPr>
      <w:r>
        <w:rPr/>
        <w:t>Taking measures to limit or minimize the amount of PD used for internal testing, training and research purposes; and</w:t>
      </w:r>
    </w:p>
    <w:p>
      <w:pPr>
        <w:pStyle w:val="ListParagraph"/>
        <w:numPr>
          <w:ilvl w:val="0"/>
          <w:numId w:val="550"/>
        </w:numPr>
        <w:rPr/>
      </w:pPr>
      <w:r>
        <w:rPr/>
        <w:t>Authorizing the use of PD when such information is required for internal testing, training and research.</w:t>
      </w:r>
    </w:p>
    <w:p>
      <w:pPr>
        <w:pStyle w:val="Normal"/>
        <w:rPr/>
      </w:pPr>
      <w:r>
        <w:rPr/>
      </w:r>
    </w:p>
    <w:p>
      <w:pPr>
        <w:pStyle w:val="Normal"/>
        <w:rPr/>
      </w:pPr>
      <w:r>
        <w:rPr>
          <w:u w:val="single"/>
        </w:rPr>
        <w:t>Standard</w:t>
      </w:r>
      <w:r>
        <w:rPr/>
        <w:t>: Data / process owners are required to implement processes to minimize and control the internal use of Personal Data (PD).</w:t>
      </w:r>
    </w:p>
    <w:p>
      <w:pPr>
        <w:pStyle w:val="Normal"/>
        <w:rPr/>
      </w:pPr>
      <w:r>
        <w:rPr/>
      </w:r>
    </w:p>
    <w:p>
      <w:pPr>
        <w:pStyle w:val="Normal"/>
        <w:rPr>
          <w:u w:val="single"/>
        </w:rPr>
      </w:pPr>
      <w:r>
        <w:rPr>
          <w:u w:val="single"/>
        </w:rPr>
        <w:t>Guidelines</w:t>
      </w:r>
      <w:r>
        <w:rPr/>
        <w:t>: Organizations often use PD for testing new applications or systems prior to deployment. Organizations also use PD for research purposes, such as statistical analysis and for training.</w:t>
      </w:r>
    </w:p>
    <w:p>
      <w:pPr>
        <w:pStyle w:val="Normal"/>
        <w:rPr/>
      </w:pPr>
      <w:r>
        <w:rPr/>
      </w:r>
    </w:p>
    <w:p>
      <w:pPr>
        <w:pStyle w:val="Heading3"/>
        <w:rPr/>
      </w:pPr>
      <w:bookmarkStart w:id="1641" w:name="_Toc474075269"/>
      <w:bookmarkStart w:id="1642" w:name="_Toc34921176"/>
      <w:r>
        <w:rPr/>
        <w:t>PRI-05(b): Use, Retention &amp; Disposal | Data Integrity</w:t>
      </w:r>
      <w:bookmarkEnd w:id="1641"/>
      <w:bookmarkEnd w:id="1642"/>
    </w:p>
    <w:p>
      <w:pPr>
        <w:pStyle w:val="Normal"/>
        <w:rPr>
          <w:i/>
          <w:i/>
          <w:iCs/>
        </w:rPr>
      </w:pPr>
      <w:r>
        <w:rPr>
          <w:u w:val="single"/>
        </w:rPr>
        <w:t>Control Objective</w:t>
      </w:r>
      <w:r>
        <w:rPr/>
        <w:t>: The organization ensure the integrity of Personal Data (PD) throughout the information life cycle.</w:t>
      </w:r>
      <w:r>
        <w:rPr>
          <w:rStyle w:val="FootnoteCharacters"/>
          <w:rFonts w:cs="Calibri"/>
        </w:rPr>
        <w:t xml:space="preserve"> </w:t>
      </w:r>
      <w:r>
        <w:rPr>
          <w:rStyle w:val="FootnoteAnchor"/>
          <w:rStyle w:val="FootnoteAnchor"/>
          <w:rFonts w:cs="Calibri"/>
        </w:rPr>
        <w:footnoteReference w:id="527"/>
      </w:r>
    </w:p>
    <w:p>
      <w:pPr>
        <w:pStyle w:val="Normal"/>
        <w:rPr/>
      </w:pPr>
      <w:r>
        <w:rPr/>
      </w:r>
    </w:p>
    <w:p>
      <w:pPr>
        <w:pStyle w:val="Normal"/>
        <w:rPr/>
      </w:pPr>
      <w:r>
        <w:rPr>
          <w:u w:val="single"/>
        </w:rPr>
        <w:t>Standard</w:t>
      </w:r>
      <w:r>
        <w:rPr/>
        <w:t>: NFCC’s security and privacy personnel are responsible for documenting existing security controls.</w:t>
      </w:r>
    </w:p>
    <w:p>
      <w:pPr>
        <w:pStyle w:val="Normal"/>
        <w:rPr/>
      </w:pPr>
      <w:r>
        <w:rPr/>
      </w:r>
    </w:p>
    <w:p>
      <w:pPr>
        <w:pStyle w:val="Normal"/>
        <w:rPr/>
      </w:pPr>
      <w:r>
        <w:rPr>
          <w:u w:val="single"/>
        </w:rPr>
        <w:t>Guidelines</w:t>
      </w:r>
      <w:r>
        <w:rPr/>
        <w:t>: None</w:t>
      </w:r>
    </w:p>
    <w:p>
      <w:pPr>
        <w:pStyle w:val="Normal"/>
        <w:rPr/>
      </w:pPr>
      <w:r>
        <w:rPr/>
      </w:r>
    </w:p>
    <w:p>
      <w:pPr>
        <w:pStyle w:val="Heading3"/>
        <w:rPr/>
      </w:pPr>
      <w:bookmarkStart w:id="1643" w:name="_Toc474075273"/>
      <w:bookmarkStart w:id="1644" w:name="_Toc34921177"/>
      <w:r>
        <w:rPr/>
        <w:t>PRI-05(c): Use, Retention &amp; Disposal | Data Masking</w:t>
      </w:r>
      <w:bookmarkEnd w:id="1643"/>
      <w:bookmarkEnd w:id="1644"/>
    </w:p>
    <w:p>
      <w:pPr>
        <w:pStyle w:val="Normal"/>
        <w:rPr/>
      </w:pPr>
      <w:r>
        <w:rPr>
          <w:u w:val="single"/>
        </w:rPr>
        <w:t>Control Objective</w:t>
      </w:r>
      <w:r>
        <w:rPr/>
        <w:t>: The organization applies data masking to sensitive information that is displayed or printed.</w:t>
      </w:r>
      <w:r>
        <w:rPr>
          <w:rStyle w:val="FootnoteAnchor"/>
          <w:rStyle w:val="FootnoteAnchor"/>
          <w:rFonts w:cs="Calibri"/>
          <w:bCs w:val="false"/>
        </w:rPr>
        <w:footnoteReference w:id="528"/>
      </w:r>
    </w:p>
    <w:p>
      <w:pPr>
        <w:pStyle w:val="Normal"/>
        <w:rPr/>
      </w:pPr>
      <w:r>
        <w:rPr/>
      </w:r>
    </w:p>
    <w:p>
      <w:pPr>
        <w:pStyle w:val="Normal"/>
        <w:rPr/>
      </w:pPr>
      <w:r>
        <w:rPr>
          <w:u w:val="single"/>
        </w:rPr>
        <w:t>Standard</w:t>
      </w:r>
      <w:r>
        <w:rPr/>
        <w:t>: Sensitive information that is displayed or printed is required to be masked. This includes, but is not limited to:</w:t>
      </w:r>
    </w:p>
    <w:p>
      <w:pPr>
        <w:pStyle w:val="ListParagraph"/>
        <w:numPr>
          <w:ilvl w:val="0"/>
          <w:numId w:val="446"/>
        </w:numPr>
        <w:rPr/>
      </w:pPr>
      <w:r>
        <w:rPr/>
        <w:t>Financial account numbers;</w:t>
      </w:r>
    </w:p>
    <w:p>
      <w:pPr>
        <w:pStyle w:val="ListParagraph"/>
        <w:numPr>
          <w:ilvl w:val="0"/>
          <w:numId w:val="446"/>
        </w:numPr>
        <w:rPr/>
      </w:pPr>
      <w:r>
        <w:rPr/>
        <w:t>Social Security Numbers (SSN); and</w:t>
      </w:r>
    </w:p>
    <w:p>
      <w:pPr>
        <w:pStyle w:val="ListParagraph"/>
        <w:numPr>
          <w:ilvl w:val="0"/>
          <w:numId w:val="446"/>
        </w:numPr>
        <w:rPr/>
      </w:pPr>
      <w:r>
        <w:rPr/>
        <w:t xml:space="preserve">Credit or debit Primary Account Numbers (PANs) (no more than the first six (6) and last four (4) digits allowed). </w:t>
      </w:r>
    </w:p>
    <w:p>
      <w:pPr>
        <w:pStyle w:val="Normal"/>
        <w:rPr/>
      </w:pPr>
      <w:r>
        <w:rPr/>
      </w:r>
    </w:p>
    <w:p>
      <w:pPr>
        <w:pStyle w:val="Normal"/>
        <w:rPr/>
      </w:pPr>
      <w:r>
        <w:rPr>
          <w:u w:val="single"/>
        </w:rPr>
        <w:t>Guidelines</w:t>
      </w:r>
      <w:r>
        <w:rPr/>
        <w:t>: None</w:t>
      </w:r>
    </w:p>
    <w:p>
      <w:pPr>
        <w:pStyle w:val="Normal"/>
        <w:rPr/>
      </w:pPr>
      <w:r>
        <w:rPr/>
      </w:r>
    </w:p>
    <w:p>
      <w:pPr>
        <w:pStyle w:val="Heading3"/>
        <w:rPr/>
      </w:pPr>
      <w:bookmarkStart w:id="1645" w:name="_Toc34921178"/>
      <w:bookmarkStart w:id="1646" w:name="_Toc474075275"/>
      <w:r>
        <w:rPr/>
        <w:t xml:space="preserve">PRI-05(d): Use, Retention &amp; Disposal | </w:t>
      </w:r>
      <w:bookmarkEnd w:id="1646"/>
      <w:r>
        <w:rPr/>
        <w:t>Usage Restrictions of Personal Data (PD)</w:t>
      </w:r>
      <w:bookmarkEnd w:id="1645"/>
    </w:p>
    <w:p>
      <w:pPr>
        <w:pStyle w:val="Normal"/>
        <w:rPr>
          <w:i/>
          <w:i/>
          <w:iCs/>
        </w:rPr>
      </w:pPr>
      <w:r>
        <w:rPr>
          <w:u w:val="single"/>
        </w:rPr>
        <w:t>Control Objective</w:t>
      </w:r>
      <w:r>
        <w:rPr/>
        <w:t>: The organization restricts the use of Personal Data (PD) to only the authorized purpose(s) consistent with applicable statutory, regulatory and contractual requirements and in privacy notices.</w:t>
      </w:r>
      <w:r>
        <w:rPr>
          <w:rStyle w:val="FootnoteCharacters"/>
          <w:rFonts w:cs="Calibri"/>
          <w:bCs w:val="false"/>
        </w:rPr>
        <w:t xml:space="preserve"> </w:t>
      </w:r>
      <w:r>
        <w:rPr>
          <w:rStyle w:val="FootnoteAnchor"/>
          <w:rStyle w:val="FootnoteAnchor"/>
          <w:rFonts w:cs="Calibri"/>
          <w:bCs w:val="false"/>
        </w:rPr>
        <w:footnoteReference w:id="529"/>
      </w:r>
    </w:p>
    <w:p>
      <w:pPr>
        <w:pStyle w:val="Normal"/>
        <w:rPr/>
      </w:pPr>
      <w:r>
        <w:rPr/>
      </w:r>
    </w:p>
    <w:p>
      <w:pPr>
        <w:pStyle w:val="Normal"/>
        <w:rPr/>
      </w:pPr>
      <w:r>
        <w:rPr>
          <w:u w:val="single"/>
        </w:rPr>
        <w:t>Standard</w:t>
      </w:r>
      <w:r>
        <w:rPr/>
        <w:t xml:space="preserve">: Sensitive Personal Data (PD) is authorized to be used only as the data was originally authorized to be used. </w:t>
      </w:r>
    </w:p>
    <w:p>
      <w:pPr>
        <w:pStyle w:val="Normal"/>
        <w:rPr/>
      </w:pPr>
      <w:r>
        <w:rPr/>
      </w:r>
    </w:p>
    <w:p>
      <w:pPr>
        <w:pStyle w:val="Normal"/>
        <w:rPr>
          <w:u w:val="single"/>
        </w:rPr>
      </w:pPr>
      <w:r>
        <w:rPr>
          <w:u w:val="single"/>
        </w:rPr>
        <w:t>Guidelines</w:t>
      </w:r>
      <w:r>
        <w:rPr/>
        <w:t>: Organizations take steps to ensure that they use PD only for legally authorized purposes and in a manner compatible with public notices. These steps include monitoring and auditing organizational use of PD and training organizational personnel on the authorized uses of PD.</w:t>
      </w:r>
    </w:p>
    <w:p>
      <w:pPr>
        <w:pStyle w:val="Normal"/>
        <w:rPr/>
      </w:pPr>
      <w:r>
        <w:rPr/>
      </w:r>
    </w:p>
    <w:p>
      <w:pPr>
        <w:pStyle w:val="Heading3"/>
        <w:rPr/>
      </w:pPr>
      <w:bookmarkStart w:id="1647" w:name="_Toc474075276"/>
      <w:bookmarkStart w:id="1648" w:name="_Toc34921179"/>
      <w:r>
        <w:rPr/>
        <w:t>PRI-05(e): Use, Retention &amp; Disposal | Inventory Of Personal Data (PD)</w:t>
      </w:r>
      <w:bookmarkEnd w:id="1647"/>
      <w:bookmarkEnd w:id="1648"/>
      <w:r>
        <w:rPr/>
        <w:t xml:space="preserve"> </w:t>
      </w:r>
    </w:p>
    <w:p>
      <w:pPr>
        <w:pStyle w:val="Normal"/>
        <w:rPr>
          <w:i/>
          <w:i/>
          <w:iCs/>
        </w:rPr>
      </w:pPr>
      <w:r>
        <w:rPr>
          <w:u w:val="single"/>
        </w:rPr>
        <w:t>Control Objective</w:t>
      </w:r>
      <w:r>
        <w:rPr/>
        <w:t>: The organization:</w:t>
      </w:r>
      <w:r>
        <w:rPr>
          <w:rStyle w:val="FootnoteCharacters"/>
          <w:rFonts w:cs="Calibri"/>
          <w:bCs w:val="false"/>
        </w:rPr>
        <w:t xml:space="preserve"> </w:t>
      </w:r>
      <w:r>
        <w:rPr>
          <w:rStyle w:val="FootnoteAnchor"/>
          <w:rStyle w:val="FootnoteAnchor"/>
          <w:rFonts w:cs="Calibri"/>
          <w:bCs w:val="false"/>
        </w:rPr>
        <w:footnoteReference w:id="530"/>
      </w:r>
    </w:p>
    <w:p>
      <w:pPr>
        <w:pStyle w:val="ListParagraph"/>
        <w:numPr>
          <w:ilvl w:val="0"/>
          <w:numId w:val="551"/>
        </w:numPr>
        <w:rPr/>
      </w:pPr>
      <w:r>
        <w:rPr/>
        <w:t>Establishes, maintains and regularly updates an inventory of all programs and systems that create, collect, use, process, store, maintain, disseminate, disclose or dispose of Personal Data (PD);</w:t>
      </w:r>
    </w:p>
    <w:p>
      <w:pPr>
        <w:pStyle w:val="ListParagraph"/>
        <w:numPr>
          <w:ilvl w:val="0"/>
          <w:numId w:val="551"/>
        </w:numPr>
        <w:rPr/>
      </w:pPr>
      <w:r>
        <w:rPr/>
        <w:t>Provides updates of the PD inventory to the Chief Information Officer (CIO), Chief Privacy Officer (CPO) and Chief Information Security Officer (CISO);</w:t>
      </w:r>
    </w:p>
    <w:p>
      <w:pPr>
        <w:pStyle w:val="ListParagraph"/>
        <w:numPr>
          <w:ilvl w:val="0"/>
          <w:numId w:val="551"/>
        </w:numPr>
        <w:rPr/>
      </w:pPr>
      <w:r>
        <w:rPr/>
        <w:t>Use the PD inventory to support the establishment of information security and privacy requirements for all new or modified systems containing Personal Data (PD);</w:t>
      </w:r>
    </w:p>
    <w:p>
      <w:pPr>
        <w:pStyle w:val="ListParagraph"/>
        <w:numPr>
          <w:ilvl w:val="0"/>
          <w:numId w:val="551"/>
        </w:numPr>
        <w:rPr/>
      </w:pPr>
      <w:r>
        <w:rPr/>
        <w:t>Reviews the PD inventory on an annual basis or as needed; and</w:t>
      </w:r>
    </w:p>
    <w:p>
      <w:pPr>
        <w:pStyle w:val="ListParagraph"/>
        <w:numPr>
          <w:ilvl w:val="0"/>
          <w:numId w:val="551"/>
        </w:numPr>
        <w:rPr/>
      </w:pPr>
      <w:r>
        <w:rPr/>
        <w:t>Ensures to the extent practicable, that PD is accurate, relevant, timely and complete; and</w:t>
      </w:r>
    </w:p>
    <w:p>
      <w:pPr>
        <w:pStyle w:val="ListParagraph"/>
        <w:numPr>
          <w:ilvl w:val="0"/>
          <w:numId w:val="551"/>
        </w:numPr>
        <w:rPr/>
      </w:pPr>
      <w:r>
        <w:rPr/>
        <w:t>Reduce PD to the minimum necessary for the proper performance of authorized organizational functions.</w:t>
      </w:r>
    </w:p>
    <w:p>
      <w:pPr>
        <w:pStyle w:val="Normal"/>
        <w:rPr/>
      </w:pPr>
      <w:r>
        <w:rPr/>
      </w:r>
    </w:p>
    <w:p>
      <w:pPr>
        <w:pStyle w:val="Normal"/>
        <w:rPr/>
      </w:pPr>
      <w:r>
        <w:rPr>
          <w:u w:val="single"/>
        </w:rPr>
        <w:t>Standard</w:t>
      </w:r>
      <w:r>
        <w:rPr/>
        <w:t>: Data / process owners are required to take due care in updating data inventories by identifying linkable data that could create sensitive Personal Data (PD).</w:t>
      </w:r>
    </w:p>
    <w:p>
      <w:pPr>
        <w:pStyle w:val="Normal"/>
        <w:rPr/>
      </w:pPr>
      <w:r>
        <w:rPr/>
      </w:r>
    </w:p>
    <w:p>
      <w:pPr>
        <w:pStyle w:val="Normal"/>
        <w:rPr/>
      </w:pPr>
      <w:r>
        <w:rPr>
          <w:u w:val="single"/>
        </w:rPr>
        <w:t>Guidelines</w:t>
      </w:r>
      <w:r>
        <w:rPr/>
        <w:t xml:space="preserve">: The PD inventory enables organizations to implement effective administrative, technical and physical security policies and procedures to protect PD and to mitigate risks of PD exposure. As one method of gathering information for its PD inventory, organizations may extract the following information elements from Privacy Impact Assessments (PIAs) of systems containing PD: </w:t>
      </w:r>
    </w:p>
    <w:p>
      <w:pPr>
        <w:pStyle w:val="ListParagraph"/>
        <w:numPr>
          <w:ilvl w:val="0"/>
          <w:numId w:val="108"/>
        </w:numPr>
        <w:rPr/>
      </w:pPr>
      <w:r>
        <w:rPr/>
        <w:t xml:space="preserve">The name and acronym for each system identified; </w:t>
      </w:r>
    </w:p>
    <w:p>
      <w:pPr>
        <w:pStyle w:val="ListParagraph"/>
        <w:numPr>
          <w:ilvl w:val="0"/>
          <w:numId w:val="108"/>
        </w:numPr>
        <w:rPr/>
      </w:pPr>
      <w:r>
        <w:rPr/>
        <w:t xml:space="preserve">The types of PD contained in that system; </w:t>
      </w:r>
    </w:p>
    <w:p>
      <w:pPr>
        <w:pStyle w:val="ListParagraph"/>
        <w:numPr>
          <w:ilvl w:val="0"/>
          <w:numId w:val="108"/>
        </w:numPr>
        <w:rPr/>
      </w:pPr>
      <w:r>
        <w:rPr/>
        <w:t xml:space="preserve">Classification of level of sensitivity of all types of PD, as combined in that system; and </w:t>
      </w:r>
    </w:p>
    <w:p>
      <w:pPr>
        <w:pStyle w:val="ListParagraph"/>
        <w:numPr>
          <w:ilvl w:val="0"/>
          <w:numId w:val="108"/>
        </w:numPr>
        <w:rPr>
          <w:u w:val="single"/>
        </w:rPr>
      </w:pPr>
      <w:r>
        <w:rPr/>
        <w:t>Classification of the level of potential risk of substantial harm, embarrassment, inconvenience or unfairness to affected individuals, as well as the financial or reputational risks to organizations, if PD is exposed.</w:t>
      </w:r>
    </w:p>
    <w:p>
      <w:pPr>
        <w:pStyle w:val="Normal"/>
        <w:rPr/>
      </w:pPr>
      <w:r>
        <w:rPr/>
      </w:r>
    </w:p>
    <w:p>
      <w:pPr>
        <w:pStyle w:val="Heading3"/>
        <w:rPr/>
      </w:pPr>
      <w:bookmarkStart w:id="1649" w:name="_Toc34921180"/>
      <w:r>
        <w:rPr/>
        <w:t>PRI-05(f): Use, Retention &amp; Disposal | Personal Data (PD) Inventory Automation Support</w:t>
      </w:r>
      <w:bookmarkEnd w:id="1649"/>
    </w:p>
    <w:p>
      <w:pPr>
        <w:pStyle w:val="Normal"/>
        <w:rPr>
          <w:i/>
          <w:i/>
          <w:iCs/>
        </w:rPr>
      </w:pPr>
      <w:r>
        <w:rPr>
          <w:u w:val="single"/>
        </w:rPr>
        <w:t>Control Objective</w:t>
      </w:r>
      <w:r>
        <w:rPr/>
        <w:t>: The organization employs automated mechanisms to determine if Personal Data (PD) is maintained in electronic form.</w:t>
      </w:r>
    </w:p>
    <w:p>
      <w:pPr>
        <w:pStyle w:val="Normal"/>
        <w:rPr/>
      </w:pPr>
      <w:r>
        <w:rPr/>
      </w:r>
    </w:p>
    <w:p>
      <w:pPr>
        <w:pStyle w:val="Normal"/>
        <w:rPr/>
      </w:pPr>
      <w:r>
        <w:rPr>
          <w:u w:val="single"/>
        </w:rPr>
        <w:t>Standard</w:t>
      </w:r>
      <w:r>
        <w:rPr/>
        <w:t>: When applicable, NFCC’s legal department is assigned the responsibility for governing mechanisms to employ automated means to determine if Personal Data (PD) is maintained in electronic form.</w:t>
      </w:r>
    </w:p>
    <w:p>
      <w:pPr>
        <w:pStyle w:val="Normal"/>
        <w:rPr/>
      </w:pPr>
      <w:r>
        <w:rPr/>
      </w:r>
    </w:p>
    <w:p>
      <w:pPr>
        <w:pStyle w:val="Normal"/>
        <w:rPr/>
      </w:pPr>
      <w:r>
        <w:rPr>
          <w:u w:val="single"/>
        </w:rPr>
        <w:t>Guidelines</w:t>
      </w:r>
      <w:r>
        <w:rPr/>
        <w:t>: Automated mechanisms include, for example, commercial services providing notifications and alerts to organizations about where Personal Data (PD) is stored.</w:t>
      </w:r>
    </w:p>
    <w:p>
      <w:pPr>
        <w:pStyle w:val="Normal"/>
        <w:rPr/>
      </w:pPr>
      <w:r>
        <w:rPr/>
      </w:r>
    </w:p>
    <w:p>
      <w:pPr>
        <w:pStyle w:val="Normal"/>
        <w:rPr/>
      </w:pPr>
      <w:r>
        <w:rPr/>
      </w:r>
    </w:p>
    <w:p>
      <w:pPr>
        <w:pStyle w:val="Heading2"/>
        <w:rPr/>
      </w:pPr>
      <w:bookmarkStart w:id="1650" w:name="_Toc34921181"/>
      <w:bookmarkStart w:id="1651" w:name="_Toc474075277"/>
      <w:bookmarkStart w:id="1652" w:name="_Toc474075756"/>
      <w:r>
        <w:rPr/>
        <w:t xml:space="preserve">PRI-06: </w:t>
      </w:r>
      <w:bookmarkEnd w:id="1651"/>
      <w:bookmarkEnd w:id="1652"/>
      <w:r>
        <w:rPr/>
        <w:t>Data Subject Access</w:t>
      </w:r>
      <w:bookmarkEnd w:id="1650"/>
    </w:p>
    <w:p>
      <w:pPr>
        <w:pStyle w:val="Normal"/>
        <w:rPr>
          <w:i/>
          <w:i/>
          <w:iCs/>
        </w:rPr>
      </w:pPr>
      <w:r>
        <w:rPr>
          <w:u w:val="single"/>
        </w:rPr>
        <w:t>Control Objective</w:t>
      </w:r>
      <w:r>
        <w:rPr/>
        <w:t>: The organization provides individuals with access to their personal information for review and update.</w:t>
      </w:r>
      <w:r>
        <w:rPr>
          <w:rStyle w:val="FootnoteAnchor"/>
          <w:rStyle w:val="FootnoteAnchor"/>
          <w:rFonts w:cs="Calibri"/>
        </w:rPr>
        <w:footnoteReference w:id="531"/>
      </w:r>
    </w:p>
    <w:p>
      <w:pPr>
        <w:pStyle w:val="Normal"/>
        <w:rPr/>
      </w:pPr>
      <w:r>
        <w:rPr/>
      </w:r>
    </w:p>
    <w:p>
      <w:pPr>
        <w:pStyle w:val="Normal"/>
        <w:rPr/>
      </w:pPr>
      <w:r>
        <w:rPr>
          <w:u w:val="single"/>
        </w:rPr>
        <w:t>Standard</w:t>
      </w:r>
      <w:r>
        <w:rPr/>
        <w:t>: NFCC must implement mechanisms to grant identified and authenticated data subjects the ability to access their stored personal information for review and, upon request, provides physical or electronic copies of that information to the data subject consistent with the entity’s privacy commitments and system requirements. If access is denied, the data subject must be informed of the denial and reason for such denial, as required, consistent with NFCC’s privacy commitments and system requirements.</w:t>
      </w:r>
    </w:p>
    <w:p>
      <w:pPr>
        <w:pStyle w:val="Normal"/>
        <w:rPr/>
      </w:pPr>
      <w:r>
        <w:rPr/>
      </w:r>
    </w:p>
    <w:p>
      <w:pPr>
        <w:pStyle w:val="Normal"/>
        <w:rPr>
          <w:u w:val="single"/>
        </w:rPr>
      </w:pPr>
      <w:r>
        <w:rPr>
          <w:u w:val="single"/>
        </w:rPr>
        <w:t>Guidelines</w:t>
      </w:r>
      <w:r>
        <w:rPr/>
        <w:t>: Access includes timely, simplified and inexpensive access to data. Organizational processes for allowing access to records may differ based on resources, legal requirements or other factors. Legal counsel should be consulted for record request processing.</w:t>
      </w:r>
    </w:p>
    <w:p>
      <w:pPr>
        <w:pStyle w:val="Normal"/>
        <w:rPr/>
      </w:pPr>
      <w:r>
        <w:rPr/>
      </w:r>
    </w:p>
    <w:p>
      <w:pPr>
        <w:pStyle w:val="Heading3"/>
        <w:rPr/>
      </w:pPr>
      <w:bookmarkStart w:id="1653" w:name="_Toc34921182"/>
      <w:bookmarkStart w:id="1654" w:name="_Toc474075278"/>
      <w:r>
        <w:rPr/>
        <w:t xml:space="preserve">PRI-06(a): Data Subject Access | </w:t>
      </w:r>
      <w:bookmarkEnd w:id="1654"/>
      <w:r>
        <w:rPr/>
        <w:t>Redress Inaccurate Information</w:t>
      </w:r>
      <w:bookmarkEnd w:id="1653"/>
    </w:p>
    <w:p>
      <w:pPr>
        <w:pStyle w:val="Normal"/>
        <w:rPr>
          <w:rFonts w:cs="Calibri"/>
        </w:rPr>
      </w:pPr>
      <w:r>
        <w:rPr>
          <w:u w:val="single"/>
        </w:rPr>
        <w:t>Control Objective</w:t>
      </w:r>
      <w:r>
        <w:rPr/>
        <w:t>: The organization establishes and implements a process for:</w:t>
      </w:r>
      <w:r>
        <w:rPr>
          <w:rStyle w:val="FootnoteCharacters"/>
          <w:rFonts w:cs="Calibri"/>
        </w:rPr>
        <w:t xml:space="preserve"> </w:t>
      </w:r>
      <w:r>
        <w:rPr>
          <w:rStyle w:val="FootnoteAnchor"/>
          <w:rStyle w:val="FootnoteAnchor"/>
          <w:rFonts w:cs="Calibri"/>
        </w:rPr>
        <w:footnoteReference w:id="532"/>
      </w:r>
    </w:p>
    <w:p>
      <w:pPr>
        <w:pStyle w:val="ListParagraph"/>
        <w:numPr>
          <w:ilvl w:val="0"/>
          <w:numId w:val="553"/>
        </w:numPr>
        <w:rPr/>
      </w:pPr>
      <w:r>
        <w:rPr/>
        <w:t>Individuals to have inaccurate Personal Data (PD) maintained by the organization corrected or amended; and</w:t>
      </w:r>
    </w:p>
    <w:p>
      <w:pPr>
        <w:pStyle w:val="ListParagraph"/>
        <w:numPr>
          <w:ilvl w:val="0"/>
          <w:numId w:val="553"/>
        </w:numPr>
        <w:rPr/>
      </w:pPr>
      <w:r>
        <w:rPr/>
        <w:t>Disseminating corrections or amendments of PD to other authorized users of the PD.</w:t>
      </w:r>
    </w:p>
    <w:p>
      <w:pPr>
        <w:pStyle w:val="Normal"/>
        <w:rPr/>
      </w:pPr>
      <w:r>
        <w:rPr/>
      </w:r>
    </w:p>
    <w:p>
      <w:pPr>
        <w:pStyle w:val="Normal"/>
        <w:rPr/>
      </w:pPr>
      <w:r>
        <w:rPr>
          <w:u w:val="single"/>
        </w:rPr>
        <w:t>Standard</w:t>
      </w:r>
      <w:r>
        <w:rPr/>
        <w:t>: NFCC must implement mechanisms to correct, amend or append personal information based on information provided by the data subjects and communicates such information to third-parties, as committed or required, consistent with NFCC’s privacy commitments and system requirements. If a request for correction is denied, the data subject must be informed of the denial and reason for such denial consistent with NFCC’s privacy commitments and system requirements.</w:t>
      </w:r>
    </w:p>
    <w:p>
      <w:pPr>
        <w:pStyle w:val="Normal"/>
        <w:rPr/>
      </w:pPr>
      <w:r>
        <w:rPr/>
      </w:r>
    </w:p>
    <w:p>
      <w:pPr>
        <w:pStyle w:val="Normal"/>
        <w:rPr>
          <w:u w:val="single"/>
        </w:rPr>
      </w:pPr>
      <w:r>
        <w:rPr>
          <w:u w:val="single"/>
        </w:rPr>
        <w:t>Guidelines</w:t>
      </w:r>
      <w:r>
        <w:rPr/>
        <w:t>: Effective redress processes demonstrate organizational commitment to data quality especially in those business functions where inaccurate data may result in inappropriate decisions or denial of benefits and services to individuals. Organizations apply discretion in determining if records are to be corrected or amended, based on the scope of redress requests, the changes sought and the impact of the changes.</w:t>
      </w:r>
    </w:p>
    <w:p>
      <w:pPr>
        <w:pStyle w:val="Normal"/>
        <w:rPr/>
      </w:pPr>
      <w:r>
        <w:rPr/>
      </w:r>
    </w:p>
    <w:p>
      <w:pPr>
        <w:pStyle w:val="Heading3"/>
        <w:rPr/>
      </w:pPr>
      <w:bookmarkStart w:id="1655" w:name="_Toc34921183"/>
      <w:r>
        <w:rPr/>
        <w:t>PRI-06(b): Data Subject Access | Notice of Correction or Processing Change</w:t>
      </w:r>
      <w:bookmarkEnd w:id="1655"/>
    </w:p>
    <w:p>
      <w:pPr>
        <w:pStyle w:val="Normal"/>
        <w:rPr>
          <w:i/>
          <w:i/>
          <w:iCs/>
        </w:rPr>
      </w:pPr>
      <w:r>
        <w:rPr>
          <w:u w:val="single"/>
        </w:rPr>
        <w:t>Control Objective</w:t>
      </w:r>
      <w:r>
        <w:rPr/>
        <w:t>: The organization notifies affected individuals if their Personal Data (PD) has been corrected or amended.</w:t>
      </w:r>
    </w:p>
    <w:p>
      <w:pPr>
        <w:pStyle w:val="Normal"/>
        <w:rPr/>
      </w:pPr>
      <w:r>
        <w:rPr/>
      </w:r>
    </w:p>
    <w:p>
      <w:pPr>
        <w:pStyle w:val="Normal"/>
        <w:rPr>
          <w:bCs w:val="false"/>
        </w:rPr>
      </w:pPr>
      <w:r>
        <w:rPr>
          <w:u w:val="single"/>
        </w:rPr>
        <w:t>Standard</w:t>
      </w:r>
      <w:r>
        <w:rPr/>
        <w:t xml:space="preserve">: Where technically feasible and justified by a valid business case, data/process owners are required to </w:t>
      </w:r>
      <w:r>
        <w:rPr>
          <w:bCs w:val="false"/>
        </w:rPr>
        <w:t>n</w:t>
      </w:r>
      <w:r>
        <w:rPr/>
        <w:t>otify affected individuals if their Personal Data (PD) has been corrected or amended.</w:t>
      </w:r>
    </w:p>
    <w:p>
      <w:pPr>
        <w:pStyle w:val="Normal"/>
        <w:rPr/>
      </w:pPr>
      <w:r>
        <w:rPr/>
      </w:r>
    </w:p>
    <w:p>
      <w:pPr>
        <w:pStyle w:val="Normal"/>
        <w:rPr/>
      </w:pPr>
      <w:r>
        <w:rPr>
          <w:u w:val="single"/>
        </w:rPr>
        <w:t>Guidelines</w:t>
      </w:r>
      <w:r>
        <w:rPr/>
        <w:t>: Where Personal Data (PD) is corrected or amended, organizations take steps to ensure that all authorized recipients of such information and the individual with which the information is associated, are informed of the corrected or amended information.</w:t>
      </w:r>
    </w:p>
    <w:p>
      <w:pPr>
        <w:pStyle w:val="Normal"/>
        <w:rPr/>
      </w:pPr>
      <w:r>
        <w:rPr/>
      </w:r>
    </w:p>
    <w:p>
      <w:pPr>
        <w:pStyle w:val="Heading3"/>
        <w:rPr/>
      </w:pPr>
      <w:bookmarkStart w:id="1656" w:name="_Toc34921184"/>
      <w:bookmarkStart w:id="1657" w:name="_Toc474075279"/>
      <w:r>
        <w:rPr/>
        <w:t xml:space="preserve">PRI-06(c): Data Subject Access | </w:t>
      </w:r>
      <w:bookmarkEnd w:id="1657"/>
      <w:r>
        <w:rPr/>
        <w:t>Appeal Adverse Decision</w:t>
      </w:r>
      <w:bookmarkEnd w:id="1656"/>
    </w:p>
    <w:p>
      <w:pPr>
        <w:pStyle w:val="Normal"/>
        <w:rPr>
          <w:i/>
          <w:i/>
          <w:iCs/>
        </w:rPr>
      </w:pPr>
      <w:r>
        <w:rPr>
          <w:u w:val="single"/>
        </w:rPr>
        <w:t>Control Objective</w:t>
      </w:r>
      <w:r>
        <w:rPr/>
        <w:t>: The organization provides an organization-defined process for individuals to appeal an adverse decision and have incorrect information amended.</w:t>
      </w:r>
    </w:p>
    <w:p>
      <w:pPr>
        <w:pStyle w:val="Normal"/>
        <w:rPr/>
      </w:pPr>
      <w:r>
        <w:rPr/>
      </w:r>
    </w:p>
    <w:p>
      <w:pPr>
        <w:pStyle w:val="Normal"/>
        <w:rPr>
          <w:bCs w:val="false"/>
        </w:rPr>
      </w:pPr>
      <w:r>
        <w:rPr>
          <w:u w:val="single"/>
        </w:rPr>
        <w:t>Standard</w:t>
      </w:r>
      <w:r>
        <w:rPr/>
        <w:t xml:space="preserve">: Where technically feasible and justified by a valid business case, data/process owners are required to </w:t>
      </w:r>
      <w:r>
        <w:rPr>
          <w:bCs w:val="false"/>
        </w:rPr>
        <w:t xml:space="preserve">provides </w:t>
      </w:r>
      <w:r>
        <w:rPr/>
        <w:t>a process for individuals to appeal an adverse decision and have incorrect information amended.</w:t>
      </w:r>
    </w:p>
    <w:p>
      <w:pPr>
        <w:pStyle w:val="Normal"/>
        <w:rPr/>
      </w:pPr>
      <w:r>
        <w:rPr/>
      </w:r>
    </w:p>
    <w:p>
      <w:pPr>
        <w:pStyle w:val="Normal"/>
        <w:rPr/>
      </w:pPr>
      <w:r>
        <w:rPr>
          <w:u w:val="single"/>
        </w:rPr>
        <w:t>Guidelines</w:t>
      </w:r>
      <w:r>
        <w:rPr/>
        <w:t>: The Senior Agency Official for Privacy ensures that practical means and mechanisms exist and are accessible for individuals to seek the correction or amendment of their Personal Data (PD). Redress processes are clearly defined and publicly available. Additionally, redress processes include the provision of responses to individuals of decisions to deny requests for correction or amendment. The responses include the reasons for the decisions, a means to record individual objections to the decisions and finally, a means of requesting reviews of the initial determinations.</w:t>
      </w:r>
    </w:p>
    <w:p>
      <w:pPr>
        <w:pStyle w:val="Normal"/>
        <w:rPr/>
      </w:pPr>
      <w:r>
        <w:rPr/>
      </w:r>
    </w:p>
    <w:p>
      <w:pPr>
        <w:pStyle w:val="Heading3"/>
        <w:rPr/>
      </w:pPr>
      <w:bookmarkStart w:id="1658" w:name="_Toc34921185"/>
      <w:r>
        <w:rPr/>
        <w:t>PRI-06(d): Data Subject Access | User Feedback Management</w:t>
      </w:r>
      <w:bookmarkEnd w:id="1658"/>
    </w:p>
    <w:p>
      <w:pPr>
        <w:pStyle w:val="Normal"/>
        <w:rPr>
          <w:iCs/>
        </w:rPr>
      </w:pPr>
      <w:r>
        <w:rPr>
          <w:u w:val="single"/>
        </w:rPr>
        <w:t>Control Objective</w:t>
      </w:r>
      <w:r>
        <w:rPr/>
        <w:t xml:space="preserve">: </w:t>
      </w:r>
      <w:r>
        <w:rPr>
          <w:iCs/>
        </w:rPr>
        <w:t>The organization implements a process for receiving and responding to complaints, concerns or questions from individuals about the organizational privacy practices that includes:</w:t>
      </w:r>
      <w:r>
        <w:rPr>
          <w:rStyle w:val="FootnoteCharacters"/>
          <w:rFonts w:cs="Calibri"/>
        </w:rPr>
        <w:t xml:space="preserve"> </w:t>
      </w:r>
      <w:r>
        <w:rPr>
          <w:rStyle w:val="FootnoteAnchor"/>
          <w:rStyle w:val="FootnoteAnchor"/>
          <w:rFonts w:cs="Calibri"/>
        </w:rPr>
        <w:footnoteReference w:id="533"/>
      </w:r>
    </w:p>
    <w:p>
      <w:pPr>
        <w:pStyle w:val="ListParagraph"/>
        <w:numPr>
          <w:ilvl w:val="0"/>
          <w:numId w:val="554"/>
        </w:numPr>
        <w:rPr>
          <w:iCs/>
        </w:rPr>
      </w:pPr>
      <w:r>
        <w:rPr>
          <w:iCs/>
        </w:rPr>
        <w:t>Mechanisms that are easy to use and readily accessible by the public;</w:t>
      </w:r>
    </w:p>
    <w:p>
      <w:pPr>
        <w:pStyle w:val="ListParagraph"/>
        <w:numPr>
          <w:ilvl w:val="0"/>
          <w:numId w:val="554"/>
        </w:numPr>
        <w:rPr>
          <w:iCs/>
        </w:rPr>
      </w:pPr>
      <w:r>
        <w:rPr>
          <w:iCs/>
        </w:rPr>
        <w:t>All information necessary for successfully filing complaints; and</w:t>
      </w:r>
    </w:p>
    <w:p>
      <w:pPr>
        <w:pStyle w:val="ListParagraph"/>
        <w:numPr>
          <w:ilvl w:val="0"/>
          <w:numId w:val="554"/>
        </w:numPr>
        <w:rPr>
          <w:iCs/>
        </w:rPr>
      </w:pPr>
      <w:r>
        <w:rPr>
          <w:iCs/>
        </w:rPr>
        <w:t>Tracking mechanisms to ensure all complaints received are reviewed and appropriately addressed in a timely manner.</w:t>
      </w:r>
    </w:p>
    <w:p>
      <w:pPr>
        <w:pStyle w:val="Normal"/>
        <w:rPr/>
      </w:pPr>
      <w:r>
        <w:rPr/>
      </w:r>
    </w:p>
    <w:p>
      <w:pPr>
        <w:pStyle w:val="Normal"/>
        <w:rPr/>
      </w:pPr>
      <w:r>
        <w:rPr>
          <w:u w:val="single"/>
        </w:rPr>
        <w:t>Standard</w:t>
      </w:r>
      <w:r>
        <w:rPr/>
        <w:t>: Where technically feasible and justified by a valid business case, data / process owners are required to implement mechanisms to address an end user feedback process. NFCC must implement mechanisms to:</w:t>
      </w:r>
    </w:p>
    <w:p>
      <w:pPr>
        <w:pStyle w:val="ListParagraph"/>
        <w:numPr>
          <w:ilvl w:val="0"/>
          <w:numId w:val="552"/>
        </w:numPr>
        <w:rPr/>
      </w:pPr>
      <w:r>
        <w:rPr/>
        <w:t>Receive, address, resolve and communicate the resolution of inquiries, complaints and disputes from data subjects and others in a timely manner; and</w:t>
      </w:r>
    </w:p>
    <w:p>
      <w:pPr>
        <w:pStyle w:val="ListParagraph"/>
        <w:numPr>
          <w:ilvl w:val="0"/>
          <w:numId w:val="552"/>
        </w:numPr>
        <w:rPr/>
      </w:pPr>
      <w:r>
        <w:rPr/>
        <w:t>Periodically monitors compliance with NFCC’s privacy commitments and system requirements.</w:t>
      </w:r>
    </w:p>
    <w:p>
      <w:pPr>
        <w:pStyle w:val="Normal"/>
        <w:rPr/>
      </w:pPr>
      <w:r>
        <w:rPr/>
      </w:r>
    </w:p>
    <w:p>
      <w:pPr>
        <w:pStyle w:val="Normal"/>
        <w:rPr>
          <w:u w:val="single"/>
        </w:rPr>
      </w:pPr>
      <w:r>
        <w:rPr>
          <w:u w:val="single"/>
        </w:rPr>
        <w:t>Guidelines</w:t>
      </w:r>
      <w:r>
        <w:rPr/>
        <w:t>: Complaints, concerns and questions from individuals can serve as a valuable source of external input that ultimately improves operational models, uses of technology, data collection practices and privacy and security safeguards.</w:t>
      </w:r>
    </w:p>
    <w:p>
      <w:pPr>
        <w:pStyle w:val="Normal"/>
        <w:rPr/>
      </w:pPr>
      <w:r>
        <w:rPr/>
      </w:r>
    </w:p>
    <w:p>
      <w:pPr>
        <w:pStyle w:val="Heading3"/>
        <w:rPr/>
      </w:pPr>
      <w:bookmarkStart w:id="1659" w:name="_Toc34921186"/>
      <w:r>
        <w:rPr/>
        <w:t>PRI-06(e): Data Subject Access | Right to Erasure</w:t>
      </w:r>
      <w:bookmarkEnd w:id="1659"/>
    </w:p>
    <w:p>
      <w:pPr>
        <w:pStyle w:val="Normal"/>
        <w:rPr>
          <w:i/>
          <w:i/>
          <w:iCs/>
        </w:rPr>
      </w:pPr>
      <w:r>
        <w:rPr>
          <w:u w:val="single"/>
        </w:rPr>
        <w:t>Control Objective</w:t>
      </w:r>
      <w:r>
        <w:rPr/>
        <w:t>: The organization provides the capability to erase personal data of an individual, without delay.</w:t>
      </w:r>
    </w:p>
    <w:p>
      <w:pPr>
        <w:pStyle w:val="Normal"/>
        <w:rPr/>
      </w:pPr>
      <w:r>
        <w:rPr/>
      </w:r>
    </w:p>
    <w:p>
      <w:pPr>
        <w:pStyle w:val="Normal"/>
        <w:rPr/>
      </w:pPr>
      <w:r>
        <w:rPr>
          <w:u w:val="single"/>
        </w:rPr>
        <w:t>Standard</w:t>
      </w:r>
      <w:r>
        <w:rPr/>
        <w:t>: Where technically feasible and justified by a valid business case, asset custodians and data / process owners are required to implement and manage the capability to erase personal data of an individual, without delay.</w:t>
      </w:r>
    </w:p>
    <w:p>
      <w:pPr>
        <w:pStyle w:val="Normal"/>
        <w:rPr/>
      </w:pPr>
      <w:r>
        <w:rPr/>
      </w:r>
    </w:p>
    <w:p>
      <w:pPr>
        <w:pStyle w:val="Normal"/>
        <w:rPr>
          <w:u w:val="single"/>
        </w:rPr>
      </w:pPr>
      <w:r>
        <w:rPr>
          <w:u w:val="single"/>
        </w:rPr>
        <w:t>Guidelines</w:t>
      </w:r>
      <w:r>
        <w:rPr/>
        <w:t>: None</w:t>
      </w:r>
    </w:p>
    <w:p>
      <w:pPr>
        <w:pStyle w:val="Normal"/>
        <w:rPr/>
      </w:pPr>
      <w:r>
        <w:rPr/>
      </w:r>
    </w:p>
    <w:p>
      <w:pPr>
        <w:pStyle w:val="Heading3"/>
        <w:rPr/>
      </w:pPr>
      <w:bookmarkStart w:id="1660" w:name="_Toc34921187"/>
      <w:r>
        <w:rPr/>
        <w:t>PRI-06(f): Data Subject Access | Data Portability</w:t>
      </w:r>
      <w:bookmarkEnd w:id="1660"/>
    </w:p>
    <w:p>
      <w:pPr>
        <w:pStyle w:val="Normal"/>
        <w:rPr>
          <w:i/>
          <w:i/>
          <w:iCs/>
        </w:rPr>
      </w:pPr>
      <w:r>
        <w:rPr>
          <w:u w:val="single"/>
        </w:rPr>
        <w:t>Control Objective</w:t>
      </w:r>
      <w:r>
        <w:rPr/>
        <w:t>: The organization provides the capability to export personal information in a structured, commonly used and machine-readable format that allows the data subject to transmit the data to another controller without hindrance.</w:t>
      </w:r>
    </w:p>
    <w:p>
      <w:pPr>
        <w:pStyle w:val="Normal"/>
        <w:rPr/>
      </w:pPr>
      <w:r>
        <w:rPr/>
      </w:r>
    </w:p>
    <w:p>
      <w:pPr>
        <w:pStyle w:val="Normal"/>
        <w:rPr/>
      </w:pPr>
      <w:r>
        <w:rPr>
          <w:u w:val="single"/>
        </w:rPr>
        <w:t>Standard</w:t>
      </w:r>
      <w:r>
        <w:rPr/>
        <w:t>: Where technically feasible and justified by a valid business case, asset custodians and data / process owners are required to implement and manage the capability to export personal information in a structured, commonly used and machine-readable format that allows the data subject to transmit the data to another controller without hindrance.</w:t>
      </w:r>
    </w:p>
    <w:p>
      <w:pPr>
        <w:pStyle w:val="Normal"/>
        <w:rPr/>
      </w:pPr>
      <w:r>
        <w:rPr/>
      </w:r>
    </w:p>
    <w:p>
      <w:pPr>
        <w:pStyle w:val="Normal"/>
        <w:rPr/>
      </w:pPr>
      <w:r>
        <w:rPr>
          <w:u w:val="single"/>
        </w:rPr>
        <w:t>Guidelines</w:t>
      </w:r>
      <w:r>
        <w:rPr/>
        <w:t>: None</w:t>
      </w:r>
    </w:p>
    <w:p>
      <w:pPr>
        <w:pStyle w:val="Normal"/>
        <w:rPr>
          <w:u w:val="single"/>
        </w:rPr>
      </w:pPr>
      <w:r>
        <w:rPr>
          <w:u w:val="single"/>
        </w:rPr>
      </w:r>
    </w:p>
    <w:p>
      <w:pPr>
        <w:pStyle w:val="Heading3"/>
        <w:rPr/>
      </w:pPr>
      <w:bookmarkStart w:id="1661" w:name="_Toc34921188"/>
      <w:r>
        <w:rPr/>
        <w:t>PRI-06(g): Data Subject Access | Personal Data Exportability</w:t>
      </w:r>
      <w:bookmarkEnd w:id="1661"/>
      <w:r>
        <w:rPr/>
        <w:t xml:space="preserve"> </w:t>
      </w:r>
    </w:p>
    <w:p>
      <w:pPr>
        <w:pStyle w:val="Normal"/>
        <w:rPr/>
      </w:pPr>
      <w:r>
        <w:rPr>
          <w:u w:val="single"/>
        </w:rPr>
        <w:t>Control Objective</w:t>
      </w:r>
      <w:r>
        <w:rPr/>
        <w:t>: The organization maintains the capability to export Personal Data (PD) upon request by a data subject.</w:t>
      </w:r>
    </w:p>
    <w:p>
      <w:pPr>
        <w:pStyle w:val="Normal"/>
        <w:rPr/>
      </w:pPr>
      <w:r>
        <w:rPr/>
      </w:r>
    </w:p>
    <w:p>
      <w:pPr>
        <w:pStyle w:val="Normal"/>
        <w:rPr/>
      </w:pPr>
      <w:r>
        <w:rPr>
          <w:u w:val="single"/>
        </w:rPr>
        <w:t>Standard</w:t>
      </w:r>
      <w:r>
        <w:rPr/>
        <w:t>: Data / process owners are required to:</w:t>
      </w:r>
    </w:p>
    <w:p>
      <w:pPr>
        <w:pStyle w:val="ListParagraph"/>
        <w:numPr>
          <w:ilvl w:val="0"/>
          <w:numId w:val="677"/>
        </w:numPr>
        <w:rPr/>
      </w:pPr>
      <w:r>
        <w:rPr/>
        <w:t>Maintain the capability to provide a copy of applicable Personal Data (PD) that is processed when requested by the data subject; and</w:t>
      </w:r>
    </w:p>
    <w:p>
      <w:pPr>
        <w:pStyle w:val="ListParagraph"/>
        <w:numPr>
          <w:ilvl w:val="0"/>
          <w:numId w:val="677"/>
        </w:numPr>
        <w:rPr/>
      </w:pPr>
      <w:r>
        <w:rPr/>
        <w:t xml:space="preserve">Support Service Level Agreements (SLAs) for processing PD exports to meet statutory, regulatory and contractual timelines. </w:t>
      </w:r>
    </w:p>
    <w:p>
      <w:pPr>
        <w:pStyle w:val="Normal"/>
        <w:rPr/>
      </w:pPr>
      <w:r>
        <w:rPr/>
      </w:r>
    </w:p>
    <w:p>
      <w:pPr>
        <w:pStyle w:val="Normal"/>
        <w:rPr/>
      </w:pPr>
      <w:r>
        <w:rPr>
          <w:u w:val="single"/>
        </w:rPr>
        <w:t>Guidelines</w:t>
      </w:r>
      <w:r>
        <w:rPr/>
        <w:t>: None</w:t>
      </w:r>
    </w:p>
    <w:p>
      <w:pPr>
        <w:pStyle w:val="Normal"/>
        <w:rPr>
          <w:u w:val="single"/>
        </w:rPr>
      </w:pPr>
      <w:r>
        <w:rPr>
          <w:u w:val="single"/>
        </w:rPr>
      </w:r>
    </w:p>
    <w:p>
      <w:pPr>
        <w:pStyle w:val="Normal"/>
        <w:rPr>
          <w:u w:val="single"/>
        </w:rPr>
      </w:pPr>
      <w:r>
        <w:rPr>
          <w:u w:val="single"/>
        </w:rPr>
      </w:r>
    </w:p>
    <w:p>
      <w:pPr>
        <w:pStyle w:val="Heading2"/>
        <w:rPr/>
      </w:pPr>
      <w:bookmarkStart w:id="1662" w:name="_Toc34921189"/>
      <w:bookmarkStart w:id="1663" w:name="_Toc474075280"/>
      <w:bookmarkStart w:id="1664" w:name="_Toc474075757"/>
      <w:r>
        <w:rPr/>
        <w:t xml:space="preserve">PRI-07: </w:t>
      </w:r>
      <w:bookmarkEnd w:id="1663"/>
      <w:bookmarkEnd w:id="1664"/>
      <w:r>
        <w:rPr/>
        <w:t>Information Sharing With Third Parties</w:t>
      </w:r>
      <w:bookmarkEnd w:id="1662"/>
    </w:p>
    <w:p>
      <w:pPr>
        <w:pStyle w:val="Normal"/>
        <w:rPr/>
      </w:pPr>
      <w:r>
        <w:rPr>
          <w:u w:val="single"/>
        </w:rPr>
        <w:t>Control Objective</w:t>
      </w:r>
      <w:r>
        <w:rPr/>
        <w:t>: The organization:</w:t>
      </w:r>
      <w:r>
        <w:rPr>
          <w:rStyle w:val="FootnoteAnchor"/>
          <w:rStyle w:val="FootnoteAnchor"/>
        </w:rPr>
        <w:footnoteReference w:id="534"/>
      </w:r>
    </w:p>
    <w:p>
      <w:pPr>
        <w:pStyle w:val="ListParagraph"/>
        <w:numPr>
          <w:ilvl w:val="0"/>
          <w:numId w:val="555"/>
        </w:numPr>
        <w:rPr/>
      </w:pPr>
      <w:r>
        <w:rPr/>
        <w:t>Develops, documents and disseminates guidelines to for the sharing of Personal Data (PD) externally, only for the authorized purposes identified in the Privacy Notice and / or described in its privacy policy; or for a purpose that is compatible with those purposes;</w:t>
      </w:r>
    </w:p>
    <w:p>
      <w:pPr>
        <w:pStyle w:val="ListParagraph"/>
        <w:numPr>
          <w:ilvl w:val="0"/>
          <w:numId w:val="555"/>
        </w:numPr>
        <w:rPr/>
      </w:pPr>
      <w:r>
        <w:rPr/>
        <w:t>Evaluates proposed new instances of sharing PD with external parties to assess whether:</w:t>
      </w:r>
    </w:p>
    <w:p>
      <w:pPr>
        <w:pStyle w:val="ListParagraph"/>
        <w:numPr>
          <w:ilvl w:val="1"/>
          <w:numId w:val="556"/>
        </w:numPr>
        <w:rPr/>
      </w:pPr>
      <w:r>
        <w:rPr/>
        <w:t>The sharing is authorized; and</w:t>
      </w:r>
    </w:p>
    <w:p>
      <w:pPr>
        <w:pStyle w:val="ListParagraph"/>
        <w:numPr>
          <w:ilvl w:val="1"/>
          <w:numId w:val="556"/>
        </w:numPr>
        <w:rPr/>
      </w:pPr>
      <w:r>
        <w:rPr/>
        <w:t>Additional or new public notice is required;</w:t>
      </w:r>
    </w:p>
    <w:p>
      <w:pPr>
        <w:pStyle w:val="ListParagraph"/>
        <w:numPr>
          <w:ilvl w:val="0"/>
          <w:numId w:val="555"/>
        </w:numPr>
        <w:rPr/>
      </w:pPr>
      <w:r>
        <w:rPr/>
        <w:t>Enter into information sharing agreements with external parties that specifically:</w:t>
      </w:r>
    </w:p>
    <w:p>
      <w:pPr>
        <w:pStyle w:val="ListParagraph"/>
        <w:numPr>
          <w:ilvl w:val="1"/>
          <w:numId w:val="557"/>
        </w:numPr>
        <w:rPr/>
      </w:pPr>
      <w:r>
        <w:rPr/>
        <w:t>Describe the PD covered;</w:t>
      </w:r>
    </w:p>
    <w:p>
      <w:pPr>
        <w:pStyle w:val="ListParagraph"/>
        <w:numPr>
          <w:ilvl w:val="1"/>
          <w:numId w:val="557"/>
        </w:numPr>
        <w:rPr/>
      </w:pPr>
      <w:r>
        <w:rPr/>
        <w:t>Enumerate the purpose(s) for which the PD may be used; and</w:t>
      </w:r>
    </w:p>
    <w:p>
      <w:pPr>
        <w:pStyle w:val="ListParagraph"/>
        <w:numPr>
          <w:ilvl w:val="1"/>
          <w:numId w:val="557"/>
        </w:numPr>
        <w:rPr/>
      </w:pPr>
      <w:r>
        <w:rPr/>
        <w:t>Include security requirements consistent with the information being shared; and</w:t>
      </w:r>
    </w:p>
    <w:p>
      <w:pPr>
        <w:pStyle w:val="ListParagraph"/>
        <w:numPr>
          <w:ilvl w:val="0"/>
          <w:numId w:val="555"/>
        </w:numPr>
        <w:rPr/>
      </w:pPr>
      <w:r>
        <w:rPr/>
        <w:t>Monitors and audits the authorized sharing of PD with external parties.</w:t>
      </w:r>
    </w:p>
    <w:p>
      <w:pPr>
        <w:pStyle w:val="Normal"/>
        <w:rPr/>
      </w:pPr>
      <w:r>
        <w:rPr/>
      </w:r>
    </w:p>
    <w:p>
      <w:pPr>
        <w:pStyle w:val="Normal"/>
        <w:rPr/>
      </w:pPr>
      <w:r>
        <w:rPr>
          <w:u w:val="single"/>
        </w:rPr>
        <w:t>Standard</w:t>
      </w:r>
      <w:r>
        <w:rPr/>
        <w:t>: NFCC discloses personal information to third-parties with the explicit consent of the data subject to meet NFCC’s privacy commitments and system requirements and such consent is obtained prior to disclosure. Data / process owners are required to:</w:t>
      </w:r>
    </w:p>
    <w:p>
      <w:pPr>
        <w:pStyle w:val="ListParagraph"/>
        <w:numPr>
          <w:ilvl w:val="0"/>
          <w:numId w:val="447"/>
        </w:numPr>
        <w:rPr/>
      </w:pPr>
      <w:r>
        <w:rPr/>
        <w:t>Prevent PD from being shared externally, except for authorized purposes or in a manner compatible with those purposes;</w:t>
      </w:r>
    </w:p>
    <w:p>
      <w:pPr>
        <w:pStyle w:val="ListParagraph"/>
        <w:numPr>
          <w:ilvl w:val="0"/>
          <w:numId w:val="447"/>
        </w:numPr>
        <w:rPr/>
      </w:pPr>
      <w:r>
        <w:rPr/>
        <w:t>Where appropriate, enter into a contract with third-parties that specifically describe the PD covered and specifically enumerate the purposes for which the PD may be used;</w:t>
      </w:r>
    </w:p>
    <w:p>
      <w:pPr>
        <w:pStyle w:val="ListParagraph"/>
        <w:numPr>
          <w:ilvl w:val="0"/>
          <w:numId w:val="447"/>
        </w:numPr>
        <w:rPr/>
      </w:pPr>
      <w:r>
        <w:rPr/>
        <w:t>Monitor, audit and train its staff on the authorized uses and sharing of PD with third-parties and on the consequences of unauthorized use or sharing of PD; and</w:t>
      </w:r>
    </w:p>
    <w:p>
      <w:pPr>
        <w:pStyle w:val="ListParagraph"/>
        <w:numPr>
          <w:ilvl w:val="0"/>
          <w:numId w:val="447"/>
        </w:numPr>
        <w:rPr>
          <w:iCs/>
        </w:rPr>
      </w:pPr>
      <w:r>
        <w:rPr/>
        <w:t>Evaluate any proposed new instances of sharing PD with third-parties to assess whether they are authorized and whether additional or new public notice is required.</w:t>
      </w:r>
    </w:p>
    <w:p>
      <w:pPr>
        <w:pStyle w:val="Normal"/>
        <w:rPr/>
      </w:pPr>
      <w:r>
        <w:rPr/>
      </w:r>
    </w:p>
    <w:p>
      <w:pPr>
        <w:pStyle w:val="Normal"/>
        <w:rPr/>
      </w:pPr>
      <w:r>
        <w:rPr>
          <w:u w:val="single"/>
        </w:rPr>
        <w:t>Guidelines</w:t>
      </w:r>
      <w:r>
        <w:rPr/>
        <w:t xml:space="preserve">: Information-sharing agreements also include security protections consistent with the sensitivity of the information being shared. </w:t>
      </w:r>
    </w:p>
    <w:p>
      <w:pPr>
        <w:pStyle w:val="Normal"/>
        <w:rPr>
          <w:u w:val="single"/>
        </w:rPr>
      </w:pPr>
      <w:r>
        <w:rPr>
          <w:u w:val="single"/>
        </w:rPr>
      </w:r>
    </w:p>
    <w:p>
      <w:pPr>
        <w:pStyle w:val="Heading3"/>
        <w:rPr/>
      </w:pPr>
      <w:bookmarkStart w:id="1665" w:name="_Toc474075281"/>
      <w:bookmarkStart w:id="1666" w:name="_Toc34921190"/>
      <w:r>
        <w:rPr/>
        <w:t>PRI-07(a): Information Sharing With Third Parties | Privacy Requirements For Contractors &amp; Service Providers</w:t>
      </w:r>
      <w:bookmarkEnd w:id="1665"/>
      <w:bookmarkEnd w:id="1666"/>
      <w:r>
        <w:rPr/>
        <w:t xml:space="preserve"> </w:t>
      </w:r>
    </w:p>
    <w:p>
      <w:pPr>
        <w:pStyle w:val="Normal"/>
        <w:rPr/>
      </w:pPr>
      <w:r>
        <w:rPr>
          <w:u w:val="single"/>
        </w:rPr>
        <w:t>Control Objective</w:t>
      </w:r>
      <w:r>
        <w:rPr/>
        <w:t>: The organization includes privacy requirements in contracts and other acquisition-related documents that establish privacy roles and responsibilities for contractors and service providers.</w:t>
      </w:r>
      <w:r>
        <w:rPr>
          <w:rStyle w:val="FootnoteAnchor"/>
          <w:rStyle w:val="FootnoteAnchor"/>
        </w:rPr>
        <w:footnoteReference w:id="535"/>
      </w:r>
    </w:p>
    <w:p>
      <w:pPr>
        <w:pStyle w:val="Normal"/>
        <w:rPr/>
      </w:pPr>
      <w:r>
        <w:rPr/>
      </w:r>
    </w:p>
    <w:p>
      <w:pPr>
        <w:pStyle w:val="Normal"/>
        <w:rPr/>
      </w:pPr>
      <w:r>
        <w:rPr>
          <w:u w:val="single"/>
        </w:rPr>
        <w:t>Standard</w:t>
      </w:r>
      <w:r>
        <w:rPr/>
        <w:t>: NFCC must:</w:t>
      </w:r>
    </w:p>
    <w:p>
      <w:pPr>
        <w:pStyle w:val="ListParagraph"/>
        <w:numPr>
          <w:ilvl w:val="0"/>
          <w:numId w:val="448"/>
        </w:numPr>
        <w:rPr/>
      </w:pPr>
      <w:r>
        <w:rPr/>
        <w:t xml:space="preserve">Include privacy requirements in contracts to establish privacy roles and responsibilities for contractors and service providers; </w:t>
      </w:r>
    </w:p>
    <w:p>
      <w:pPr>
        <w:pStyle w:val="ListParagraph"/>
        <w:numPr>
          <w:ilvl w:val="0"/>
          <w:numId w:val="448"/>
        </w:numPr>
        <w:rPr/>
      </w:pPr>
      <w:r>
        <w:rPr/>
        <w:t>Obtain commitments from vendors and other third-parties that may have access to personal information processed by the system, to notify NFCC in the event of actual or suspected unauthorized disclosures of personal information; and</w:t>
      </w:r>
    </w:p>
    <w:p>
      <w:pPr>
        <w:pStyle w:val="ListParagraph"/>
        <w:numPr>
          <w:ilvl w:val="0"/>
          <w:numId w:val="448"/>
        </w:numPr>
        <w:rPr/>
      </w:pPr>
      <w:r>
        <w:rPr/>
        <w:t>Communicate privacy commitments and the associated system requirements to external users, as appropriate, to enable them to carry out their responsibilities.</w:t>
      </w:r>
    </w:p>
    <w:p>
      <w:pPr>
        <w:pStyle w:val="Normal"/>
        <w:rPr/>
      </w:pPr>
      <w:r>
        <w:rPr/>
      </w:r>
    </w:p>
    <w:p>
      <w:pPr>
        <w:pStyle w:val="Normal"/>
        <w:rPr/>
      </w:pPr>
      <w:r>
        <w:rPr>
          <w:u w:val="single"/>
        </w:rPr>
        <w:t>Guidelines</w:t>
      </w:r>
      <w:r>
        <w:rPr/>
        <w:t xml:space="preserve">: Contractors and service providers include, but are not limited to, information providers, information processors and other organizations providing system development, information technology services and other outsourced applications. </w:t>
      </w:r>
    </w:p>
    <w:p>
      <w:pPr>
        <w:pStyle w:val="Normal"/>
        <w:rPr>
          <w:u w:val="single"/>
        </w:rPr>
      </w:pPr>
      <w:r>
        <w:rPr>
          <w:u w:val="single"/>
        </w:rPr>
      </w:r>
    </w:p>
    <w:p>
      <w:pPr>
        <w:pStyle w:val="Heading3"/>
        <w:rPr/>
      </w:pPr>
      <w:bookmarkStart w:id="1667" w:name="_Toc34921191"/>
      <w:r>
        <w:rPr/>
        <w:t>PRI-07(b): Information Sharing With Third Parties | Joint Processing of Personal Data</w:t>
      </w:r>
      <w:bookmarkEnd w:id="1667"/>
      <w:r>
        <w:rPr/>
        <w:t xml:space="preserve"> </w:t>
      </w:r>
    </w:p>
    <w:p>
      <w:pPr>
        <w:pStyle w:val="Normal"/>
        <w:rPr/>
      </w:pPr>
      <w:r>
        <w:rPr>
          <w:u w:val="single"/>
        </w:rPr>
        <w:t>Control Objective</w:t>
      </w:r>
      <w:r>
        <w:rPr/>
        <w:t xml:space="preserve">: The organization clearly defines and communicates its role with Personal Data (PD) in the data processing ecosystem. </w:t>
      </w:r>
    </w:p>
    <w:p>
      <w:pPr>
        <w:pStyle w:val="Normal"/>
        <w:rPr/>
      </w:pPr>
      <w:r>
        <w:rPr/>
      </w:r>
    </w:p>
    <w:p>
      <w:pPr>
        <w:pStyle w:val="Normal"/>
        <w:rPr/>
      </w:pPr>
      <w:r>
        <w:rPr>
          <w:u w:val="single"/>
        </w:rPr>
        <w:t>Standard</w:t>
      </w:r>
      <w:r>
        <w:rPr/>
        <w:t>: NFCC’s Chief Privacy Officer (CPO) shall:</w:t>
      </w:r>
    </w:p>
    <w:p>
      <w:pPr>
        <w:pStyle w:val="ListParagraph"/>
        <w:numPr>
          <w:ilvl w:val="0"/>
          <w:numId w:val="678"/>
        </w:numPr>
        <w:rPr/>
      </w:pPr>
      <w:r>
        <w:rPr/>
        <w:t xml:space="preserve">Define NFCC’s role for processing, storing and/or transmitting Personal Data (PD);  </w:t>
      </w:r>
    </w:p>
    <w:p>
      <w:pPr>
        <w:pStyle w:val="ListParagraph"/>
        <w:numPr>
          <w:ilvl w:val="0"/>
          <w:numId w:val="678"/>
        </w:numPr>
        <w:rPr/>
      </w:pPr>
      <w:r>
        <w:rPr/>
        <w:t>Document the roles and responsibilities for the processing of PD with any joint processor(s); and</w:t>
      </w:r>
    </w:p>
    <w:p>
      <w:pPr>
        <w:pStyle w:val="ListParagraph"/>
        <w:numPr>
          <w:ilvl w:val="0"/>
          <w:numId w:val="678"/>
        </w:numPr>
        <w:rPr/>
      </w:pPr>
      <w:r>
        <w:rPr/>
        <w:t>Formalize third-party requirements in legally-binding contracts.</w:t>
      </w:r>
    </w:p>
    <w:p>
      <w:pPr>
        <w:pStyle w:val="Normal"/>
        <w:rPr/>
      </w:pPr>
      <w:r>
        <w:rPr/>
      </w:r>
    </w:p>
    <w:p>
      <w:pPr>
        <w:pStyle w:val="Normal"/>
        <w:rPr/>
      </w:pPr>
      <w:r>
        <w:rPr/>
      </w:r>
    </w:p>
    <w:p>
      <w:pPr>
        <w:pStyle w:val="Normal"/>
        <w:rPr/>
      </w:pPr>
      <w:r>
        <w:rPr>
          <w:u w:val="single"/>
        </w:rPr>
        <w:t>Guidelines</w:t>
      </w:r>
      <w:r>
        <w:rPr/>
        <w:t>: None</w:t>
      </w:r>
    </w:p>
    <w:p>
      <w:pPr>
        <w:pStyle w:val="Normal"/>
        <w:rPr>
          <w:u w:val="single"/>
        </w:rPr>
      </w:pPr>
      <w:r>
        <w:rPr>
          <w:u w:val="single"/>
        </w:rPr>
      </w:r>
    </w:p>
    <w:p>
      <w:pPr>
        <w:pStyle w:val="Heading3"/>
        <w:rPr/>
      </w:pPr>
      <w:bookmarkStart w:id="1668" w:name="_Toc34921192"/>
      <w:r>
        <w:rPr/>
        <w:t>PRI-07(c): Information Sharing With Third Parties | Obligation To Inform Third Parties</w:t>
      </w:r>
      <w:bookmarkEnd w:id="1668"/>
      <w:r>
        <w:rPr/>
        <w:t xml:space="preserve"> </w:t>
      </w:r>
    </w:p>
    <w:p>
      <w:pPr>
        <w:pStyle w:val="Normal"/>
        <w:rPr/>
      </w:pPr>
      <w:r>
        <w:rPr>
          <w:u w:val="single"/>
        </w:rPr>
        <w:t>Control Objective</w:t>
      </w:r>
      <w:r>
        <w:rPr/>
        <w:t>: The organization informs applicable third-parties to any modification, deletion or other change that affects shared Personal Data (PD).</w:t>
      </w:r>
    </w:p>
    <w:p>
      <w:pPr>
        <w:pStyle w:val="Normal"/>
        <w:rPr/>
      </w:pPr>
      <w:r>
        <w:rPr/>
      </w:r>
    </w:p>
    <w:p>
      <w:pPr>
        <w:pStyle w:val="Normal"/>
        <w:rPr/>
      </w:pPr>
      <w:r>
        <w:rPr>
          <w:u w:val="single"/>
        </w:rPr>
        <w:t>Standard</w:t>
      </w:r>
      <w:r>
        <w:rPr/>
        <w:t>: Data Protection Officers (DPOs) are required to:</w:t>
      </w:r>
    </w:p>
    <w:p>
      <w:pPr>
        <w:pStyle w:val="ListParagraph"/>
        <w:numPr>
          <w:ilvl w:val="0"/>
          <w:numId w:val="680"/>
        </w:numPr>
        <w:rPr/>
      </w:pPr>
      <w:r>
        <w:rPr/>
        <w:t>Ensure processes exist to inform third-parties to any modification, deletion or other change that affects shared Personal Data (PD); and</w:t>
      </w:r>
    </w:p>
    <w:p>
      <w:pPr>
        <w:pStyle w:val="ListParagraph"/>
        <w:numPr>
          <w:ilvl w:val="0"/>
          <w:numId w:val="680"/>
        </w:numPr>
        <w:rPr/>
      </w:pPr>
      <w:r>
        <w:rPr/>
        <w:t>Notify PD processors if a processing instruction infringes an applicable law and/or regulation.</w:t>
      </w:r>
    </w:p>
    <w:p>
      <w:pPr>
        <w:pStyle w:val="Normal"/>
        <w:rPr/>
      </w:pPr>
      <w:r>
        <w:rPr/>
      </w:r>
    </w:p>
    <w:p>
      <w:pPr>
        <w:pStyle w:val="Normal"/>
        <w:rPr/>
      </w:pPr>
      <w:r>
        <w:rPr>
          <w:u w:val="single"/>
        </w:rPr>
        <w:t>Guidelines</w:t>
      </w:r>
      <w:r>
        <w:rPr/>
        <w:t>: None</w:t>
      </w:r>
    </w:p>
    <w:p>
      <w:pPr>
        <w:pStyle w:val="Normal"/>
        <w:rPr/>
      </w:pPr>
      <w:r>
        <w:rPr/>
      </w:r>
    </w:p>
    <w:p>
      <w:pPr>
        <w:pStyle w:val="Heading3"/>
        <w:rPr/>
      </w:pPr>
      <w:bookmarkStart w:id="1669" w:name="_Toc34921193"/>
      <w:r>
        <w:rPr/>
        <w:t>PRI-07(d): Information Sharing With Third Parties | Reject Unauthorized Disclosure Requests</w:t>
      </w:r>
      <w:bookmarkEnd w:id="1669"/>
      <w:r>
        <w:rPr/>
        <w:t xml:space="preserve"> </w:t>
      </w:r>
    </w:p>
    <w:p>
      <w:pPr>
        <w:pStyle w:val="Normal"/>
        <w:rPr/>
      </w:pPr>
      <w:r>
        <w:rPr>
          <w:u w:val="single"/>
        </w:rPr>
        <w:t>Control Objective</w:t>
      </w:r>
      <w:r>
        <w:rPr/>
        <w:t>: The organization rejects unauthorized disclosure requests.</w:t>
      </w:r>
    </w:p>
    <w:p>
      <w:pPr>
        <w:pStyle w:val="Normal"/>
        <w:rPr/>
      </w:pPr>
      <w:r>
        <w:rPr/>
      </w:r>
    </w:p>
    <w:p>
      <w:pPr>
        <w:pStyle w:val="Normal"/>
        <w:rPr/>
      </w:pPr>
      <w:r>
        <w:rPr>
          <w:u w:val="single"/>
        </w:rPr>
        <w:t>Standard</w:t>
      </w:r>
      <w:r>
        <w:rPr/>
        <w:t xml:space="preserve">: Data Protection Officers (DPOs) are required to </w:t>
      </w:r>
    </w:p>
    <w:p>
      <w:pPr>
        <w:pStyle w:val="ListParagraph"/>
        <w:numPr>
          <w:ilvl w:val="0"/>
          <w:numId w:val="679"/>
        </w:numPr>
        <w:rPr/>
      </w:pPr>
      <w:r>
        <w:rPr/>
        <w:t xml:space="preserve">Reject any requests for Personal Data (PD) disclosures that are not legally required; and </w:t>
      </w:r>
    </w:p>
    <w:p>
      <w:pPr>
        <w:pStyle w:val="ListParagraph"/>
        <w:numPr>
          <w:ilvl w:val="0"/>
          <w:numId w:val="679"/>
        </w:numPr>
        <w:rPr/>
      </w:pPr>
      <w:r>
        <w:rPr/>
        <w:t>Inform the data subject of the reason for the rejection.</w:t>
      </w:r>
    </w:p>
    <w:p>
      <w:pPr>
        <w:pStyle w:val="Normal"/>
        <w:rPr/>
      </w:pPr>
      <w:r>
        <w:rPr/>
      </w:r>
    </w:p>
    <w:p>
      <w:pPr>
        <w:pStyle w:val="Normal"/>
        <w:rPr/>
      </w:pPr>
      <w:r>
        <w:rPr>
          <w:u w:val="single"/>
        </w:rPr>
        <w:t>Guidelines</w:t>
      </w:r>
      <w:r>
        <w:rPr/>
        <w:t>: The organization’s ability to verify if the instruction infringes a law and/or regulation can depend on:</w:t>
      </w:r>
    </w:p>
    <w:p>
      <w:pPr>
        <w:pStyle w:val="ListParagraph"/>
        <w:numPr>
          <w:ilvl w:val="0"/>
          <w:numId w:val="555"/>
        </w:numPr>
        <w:rPr/>
      </w:pPr>
      <w:r>
        <w:rPr/>
        <w:t>The context of the request;</w:t>
      </w:r>
    </w:p>
    <w:p>
      <w:pPr>
        <w:pStyle w:val="ListParagraph"/>
        <w:numPr>
          <w:ilvl w:val="0"/>
          <w:numId w:val="555"/>
        </w:numPr>
        <w:rPr/>
      </w:pPr>
      <w:r>
        <w:rPr/>
        <w:t>The instructions from the data subject; and/or</w:t>
      </w:r>
    </w:p>
    <w:p>
      <w:pPr>
        <w:pStyle w:val="ListParagraph"/>
        <w:numPr>
          <w:ilvl w:val="0"/>
          <w:numId w:val="555"/>
        </w:numPr>
        <w:rPr/>
      </w:pPr>
      <w:r>
        <w:rPr/>
        <w:t>The contract between the organization and the data subject.</w:t>
      </w:r>
    </w:p>
    <w:p>
      <w:pPr>
        <w:pStyle w:val="Normal"/>
        <w:rPr>
          <w:u w:val="single"/>
        </w:rPr>
      </w:pPr>
      <w:r>
        <w:rPr>
          <w:u w:val="single"/>
        </w:rPr>
      </w:r>
    </w:p>
    <w:p>
      <w:pPr>
        <w:pStyle w:val="Normal"/>
        <w:rPr/>
      </w:pPr>
      <w:r>
        <w:rPr/>
      </w:r>
    </w:p>
    <w:p>
      <w:pPr>
        <w:pStyle w:val="Heading2"/>
        <w:rPr/>
      </w:pPr>
      <w:bookmarkStart w:id="1670" w:name="_Toc34921194"/>
      <w:bookmarkStart w:id="1671" w:name="_Toc474075282"/>
      <w:bookmarkStart w:id="1672" w:name="_Toc474075758"/>
      <w:r>
        <w:rPr/>
        <w:t xml:space="preserve">PRI-08: </w:t>
      </w:r>
      <w:bookmarkEnd w:id="1671"/>
      <w:bookmarkEnd w:id="1672"/>
      <w:r>
        <w:rPr/>
        <w:t>Testing, Training &amp; Monitoring</w:t>
      </w:r>
      <w:bookmarkEnd w:id="1670"/>
    </w:p>
    <w:p>
      <w:pPr>
        <w:pStyle w:val="Normal"/>
        <w:rPr/>
      </w:pPr>
      <w:r>
        <w:rPr>
          <w:u w:val="single"/>
        </w:rPr>
        <w:t>Control Objective</w:t>
      </w:r>
      <w:r>
        <w:rPr/>
        <w:t>: The organization:</w:t>
      </w:r>
      <w:r>
        <w:rPr>
          <w:rStyle w:val="FootnoteCharacters"/>
        </w:rPr>
        <w:t xml:space="preserve"> </w:t>
      </w:r>
      <w:r>
        <w:rPr>
          <w:rStyle w:val="FootnoteAnchor"/>
          <w:rStyle w:val="FootnoteAnchor"/>
        </w:rPr>
        <w:footnoteReference w:id="536"/>
      </w:r>
    </w:p>
    <w:p>
      <w:pPr>
        <w:pStyle w:val="ListParagraph"/>
        <w:numPr>
          <w:ilvl w:val="0"/>
          <w:numId w:val="559"/>
        </w:numPr>
        <w:rPr/>
      </w:pPr>
      <w:r>
        <w:rPr/>
        <w:t>Implements a process for ensuring that organizational plans for conducting security and privacy testing, training and monitoring activities associated with organizational systems:</w:t>
      </w:r>
    </w:p>
    <w:p>
      <w:pPr>
        <w:pStyle w:val="ListParagraph"/>
        <w:numPr>
          <w:ilvl w:val="1"/>
          <w:numId w:val="559"/>
        </w:numPr>
        <w:rPr/>
      </w:pPr>
      <w:r>
        <w:rPr/>
        <w:t>Are developed and maintained; and</w:t>
      </w:r>
    </w:p>
    <w:p>
      <w:pPr>
        <w:pStyle w:val="ListParagraph"/>
        <w:numPr>
          <w:ilvl w:val="1"/>
          <w:numId w:val="559"/>
        </w:numPr>
        <w:rPr/>
      </w:pPr>
      <w:r>
        <w:rPr/>
        <w:t>Continue to be executed in a timely manner;</w:t>
      </w:r>
    </w:p>
    <w:p>
      <w:pPr>
        <w:pStyle w:val="ListParagraph"/>
        <w:numPr>
          <w:ilvl w:val="0"/>
          <w:numId w:val="559"/>
        </w:numPr>
        <w:rPr/>
      </w:pPr>
      <w:r>
        <w:rPr/>
        <w:t>Reviews testing, training and monitoring plans for consistency with the organizational risk management strategy and organization-wide priorities for risk response actions.</w:t>
      </w:r>
    </w:p>
    <w:p>
      <w:pPr>
        <w:pStyle w:val="Normal"/>
        <w:rPr/>
      </w:pPr>
      <w:r>
        <w:rPr/>
      </w:r>
    </w:p>
    <w:p>
      <w:pPr>
        <w:pStyle w:val="Normal"/>
        <w:rPr/>
      </w:pPr>
      <w:r>
        <w:rPr>
          <w:u w:val="single"/>
        </w:rPr>
        <w:t>Standard</w:t>
      </w:r>
      <w:r>
        <w:rPr/>
        <w:t>: NFCC’s Data Protection Officer (DPO) is required to:</w:t>
      </w:r>
    </w:p>
    <w:p>
      <w:pPr>
        <w:pStyle w:val="ListParagraph"/>
        <w:numPr>
          <w:ilvl w:val="0"/>
          <w:numId w:val="592"/>
        </w:numPr>
        <w:rPr/>
      </w:pPr>
      <w:r>
        <w:rPr/>
        <w:t>Implement a process for ensuring that plans for conducting security and privacy testing, training and monitoring activities:</w:t>
      </w:r>
    </w:p>
    <w:p>
      <w:pPr>
        <w:pStyle w:val="ListParagraph"/>
        <w:numPr>
          <w:ilvl w:val="1"/>
          <w:numId w:val="592"/>
        </w:numPr>
        <w:rPr/>
      </w:pPr>
      <w:r>
        <w:rPr/>
        <w:t>Are developed and maintained; and</w:t>
      </w:r>
    </w:p>
    <w:p>
      <w:pPr>
        <w:pStyle w:val="ListParagraph"/>
        <w:numPr>
          <w:ilvl w:val="1"/>
          <w:numId w:val="592"/>
        </w:numPr>
        <w:rPr/>
      </w:pPr>
      <w:r>
        <w:rPr/>
        <w:t>Continue to be executed in a timely manner;</w:t>
      </w:r>
    </w:p>
    <w:p>
      <w:pPr>
        <w:pStyle w:val="ListParagraph"/>
        <w:numPr>
          <w:ilvl w:val="0"/>
          <w:numId w:val="592"/>
        </w:numPr>
        <w:rPr/>
      </w:pPr>
      <w:r>
        <w:rPr/>
        <w:t>Review testing, training and monitoring plans for consistency with NFCC’s risk management program.</w:t>
      </w:r>
    </w:p>
    <w:p>
      <w:pPr>
        <w:pStyle w:val="Normal"/>
        <w:rPr/>
      </w:pPr>
      <w:r>
        <w:rPr/>
      </w:r>
    </w:p>
    <w:p>
      <w:pPr>
        <w:pStyle w:val="Normal"/>
        <w:rPr/>
      </w:pPr>
      <w:r>
        <w:rPr>
          <w:u w:val="single"/>
        </w:rPr>
        <w:t>Guidelines</w:t>
      </w:r>
      <w:r>
        <w:rPr/>
        <w:t>: Compliance with NFCC’s privacy commitments and system requirements by vendors and others third-parties whose products and services are part of the system should be assessed on a periodic and as-needed basis and corrective action is taken, if necessary.</w:t>
      </w:r>
    </w:p>
    <w:p>
      <w:pPr>
        <w:pStyle w:val="Normal"/>
        <w:rPr/>
      </w:pPr>
      <w:r>
        <w:rPr/>
      </w:r>
    </w:p>
    <w:p>
      <w:pPr>
        <w:pStyle w:val="Normal"/>
        <w:rPr>
          <w:u w:val="single"/>
        </w:rPr>
      </w:pPr>
      <w:r>
        <w:rPr/>
        <w:t>To promote accountability, organizations identify and address gaps in privacy compliance, management, operational and technical controls by conducting regular assessments (e.g., internal risk assessments). These assessments can be self-assessments or third-party audits that result in reports on compliance gaps identified in programs, projects and systems.</w:t>
      </w:r>
    </w:p>
    <w:p>
      <w:pPr>
        <w:pStyle w:val="Normal"/>
        <w:rPr/>
      </w:pPr>
      <w:r>
        <w:rPr/>
      </w:r>
    </w:p>
    <w:p>
      <w:pPr>
        <w:pStyle w:val="Normal"/>
        <w:rPr/>
      </w:pPr>
      <w:r>
        <w:rPr/>
      </w:r>
    </w:p>
    <w:p>
      <w:pPr>
        <w:pStyle w:val="Heading2"/>
        <w:rPr/>
      </w:pPr>
      <w:bookmarkStart w:id="1673" w:name="_Toc34921195"/>
      <w:r>
        <w:rPr/>
        <w:t>PRI-09: Personal Data Lineage</w:t>
      </w:r>
      <w:bookmarkEnd w:id="1673"/>
    </w:p>
    <w:p>
      <w:pPr>
        <w:pStyle w:val="Normal"/>
        <w:rPr/>
      </w:pPr>
      <w:r>
        <w:rPr>
          <w:u w:val="single"/>
        </w:rPr>
        <w:t>Control Objective</w:t>
      </w:r>
      <w:r>
        <w:rPr/>
        <w:t>: As required by statutory or regulatory obligations, the organization:</w:t>
      </w:r>
    </w:p>
    <w:p>
      <w:pPr>
        <w:pStyle w:val="ListParagraph"/>
        <w:numPr>
          <w:ilvl w:val="0"/>
          <w:numId w:val="558"/>
        </w:numPr>
        <w:rPr/>
      </w:pPr>
      <w:r>
        <w:rPr/>
        <w:t>Publishes System of Records Notices (SORN), subject to required oversight processes, for systems containing Personal Data (PD); and</w:t>
      </w:r>
    </w:p>
    <w:p>
      <w:pPr>
        <w:pStyle w:val="ListParagraph"/>
        <w:numPr>
          <w:ilvl w:val="0"/>
          <w:numId w:val="558"/>
        </w:numPr>
        <w:rPr/>
      </w:pPr>
      <w:r>
        <w:rPr/>
        <w:t>Keep SORN current.</w:t>
      </w:r>
    </w:p>
    <w:p>
      <w:pPr>
        <w:pStyle w:val="Normal"/>
        <w:rPr/>
      </w:pPr>
      <w:r>
        <w:rPr/>
      </w:r>
    </w:p>
    <w:p>
      <w:pPr>
        <w:pStyle w:val="Normal"/>
        <w:rPr/>
      </w:pPr>
      <w:r>
        <w:rPr>
          <w:u w:val="single"/>
        </w:rPr>
        <w:t>Standard</w:t>
      </w:r>
      <w:r>
        <w:rPr/>
        <w:t>: Where applicable, NFCC shall utilize a System of Records Notices (SORN), or similar record of processing activities, to maintain a record of processing Personal Data (PD) under the organization's responsibility.</w:t>
      </w:r>
    </w:p>
    <w:p>
      <w:pPr>
        <w:pStyle w:val="Normal"/>
        <w:rPr/>
      </w:pPr>
      <w:r>
        <w:rPr/>
      </w:r>
    </w:p>
    <w:p>
      <w:pPr>
        <w:pStyle w:val="Normal"/>
        <w:rPr/>
      </w:pPr>
      <w:r>
        <w:rPr>
          <w:u w:val="single"/>
        </w:rPr>
        <w:t>Guidelines</w:t>
      </w:r>
      <w:r>
        <w:rPr/>
        <w:t>: A system of records is a group of any records under the control of any agency from which information is retrieved by the name of the individual or by some identifying number, symbol, or other identifier assigned to the individual. The Privacy Act requires each agency to publish notice of its systems of records in the Federal Register. This notice is generally referred to as a System of Records Notice (SORN).</w:t>
      </w:r>
      <w:r>
        <w:rPr>
          <w:rStyle w:val="FootnoteAnchor"/>
          <w:rStyle w:val="FootnoteAnchor"/>
        </w:rPr>
        <w:footnoteReference w:id="537"/>
      </w:r>
    </w:p>
    <w:p>
      <w:pPr>
        <w:pStyle w:val="Normal"/>
        <w:rPr/>
      </w:pPr>
      <w:r>
        <w:rPr/>
      </w:r>
    </w:p>
    <w:p>
      <w:pPr>
        <w:pStyle w:val="Normal"/>
        <w:rPr/>
      </w:pPr>
      <w:r>
        <w:rPr/>
        <w:t>Organizations issue SORNs to provide the public notice regarding Personal Data (PD) collected in a system of records. The Privacy Act defines a system of records as a group of any records under the control of any agency from which information is retrieved by the name of an individual or by some identifying number, symbol, or other identifier. SORNs explain how the information is used, retained and may be corrected and whether certain portions of the system are subject to Privacy Act exemptions for law enforcement or national security reasons.</w:t>
      </w:r>
    </w:p>
    <w:p>
      <w:pPr>
        <w:pStyle w:val="Normal"/>
        <w:rPr/>
      </w:pPr>
      <w:r>
        <w:rPr/>
      </w:r>
    </w:p>
    <w:p>
      <w:pPr>
        <w:pStyle w:val="Normal"/>
        <w:rPr/>
      </w:pPr>
      <w:r>
        <w:rPr/>
      </w:r>
    </w:p>
    <w:p>
      <w:pPr>
        <w:pStyle w:val="Heading2"/>
        <w:rPr/>
      </w:pPr>
      <w:bookmarkStart w:id="1674" w:name="_Toc34921196"/>
      <w:bookmarkStart w:id="1675" w:name="_Toc474075283"/>
      <w:bookmarkStart w:id="1676" w:name="_Toc474075759"/>
      <w:r>
        <w:rPr/>
        <w:t xml:space="preserve">PRI-10: </w:t>
      </w:r>
      <w:bookmarkEnd w:id="1675"/>
      <w:bookmarkEnd w:id="1676"/>
      <w:r>
        <w:rPr/>
        <w:t>Data Quality Management</w:t>
      </w:r>
      <w:bookmarkEnd w:id="1674"/>
    </w:p>
    <w:p>
      <w:pPr>
        <w:pStyle w:val="Normal"/>
        <w:rPr/>
      </w:pPr>
      <w:r>
        <w:rPr>
          <w:u w:val="single"/>
        </w:rPr>
        <w:t>Control Objective</w:t>
      </w:r>
      <w:r>
        <w:rPr/>
        <w:t>: The organization issues guidelines ensuring and maximizing the quality, utility, objectivity, integrity, impact determination and de-identification of Personal Data (PD) across the information life cycle.</w:t>
      </w:r>
      <w:r>
        <w:rPr>
          <w:rStyle w:val="FootnoteCharacters"/>
          <w:position w:val="0"/>
          <w:sz w:val="20"/>
          <w:sz w:val="20"/>
          <w:vertAlign w:val="baseline"/>
        </w:rPr>
        <w:t xml:space="preserve"> </w:t>
      </w:r>
      <w:r>
        <w:rPr>
          <w:rStyle w:val="FootnoteAnchor"/>
          <w:rStyle w:val="FootnoteAnchor"/>
        </w:rPr>
        <w:footnoteReference w:id="538"/>
      </w:r>
    </w:p>
    <w:p>
      <w:pPr>
        <w:pStyle w:val="Normal"/>
        <w:rPr/>
      </w:pPr>
      <w:r>
        <w:rPr/>
      </w:r>
    </w:p>
    <w:p>
      <w:pPr>
        <w:pStyle w:val="Normal"/>
        <w:rPr/>
      </w:pPr>
      <w:r>
        <w:rPr>
          <w:u w:val="single"/>
        </w:rPr>
        <w:t>Standard</w:t>
      </w:r>
      <w:r>
        <w:rPr/>
        <w:t xml:space="preserve">: Data / process owners are responsible for confirming the accuracy, relevance, timeliness and completeness of that information. This includes, but is not limited to </w:t>
      </w:r>
    </w:p>
    <w:p>
      <w:pPr>
        <w:pStyle w:val="ListParagraph"/>
        <w:numPr>
          <w:ilvl w:val="0"/>
          <w:numId w:val="516"/>
        </w:numPr>
        <w:rPr/>
      </w:pPr>
      <w:r>
        <w:rPr/>
        <w:t>Confirming to the greatest extent practicable upon collection or creation of Personal Data (PD), the accuracy, relevance, timeliness and completeness of that information;</w:t>
      </w:r>
    </w:p>
    <w:p>
      <w:pPr>
        <w:pStyle w:val="ListParagraph"/>
        <w:numPr>
          <w:ilvl w:val="0"/>
          <w:numId w:val="516"/>
        </w:numPr>
        <w:rPr/>
      </w:pPr>
      <w:r>
        <w:rPr/>
        <w:t>Collecting PD directly from the individual to the greatest extent practicable; and</w:t>
      </w:r>
    </w:p>
    <w:p>
      <w:pPr>
        <w:pStyle w:val="ListParagraph"/>
        <w:numPr>
          <w:ilvl w:val="0"/>
          <w:numId w:val="516"/>
        </w:numPr>
        <w:rPr/>
      </w:pPr>
      <w:r>
        <w:rPr/>
        <w:t>Checking for and correcting as necessary, any inaccurate or outdated PD used by its programs or systems.</w:t>
      </w:r>
    </w:p>
    <w:p>
      <w:pPr>
        <w:pStyle w:val="Normal"/>
        <w:rPr/>
      </w:pPr>
      <w:r>
        <w:rPr/>
      </w:r>
    </w:p>
    <w:p>
      <w:pPr>
        <w:pStyle w:val="Normal"/>
        <w:rPr>
          <w:u w:val="single"/>
        </w:rPr>
      </w:pPr>
      <w:r>
        <w:rPr>
          <w:u w:val="single"/>
        </w:rPr>
        <w:t>Guidelines</w:t>
      </w:r>
      <w:r>
        <w:rPr/>
        <w:t>: Organizations take reasonable steps to confirm the accuracy of PD. Such steps may include, for example, editing and validating addresses as they are collected or entered into systems using automated address verification look-up application programming interfaces (APIs). The types of measures taken to protect data quality may be based on the nature and context of the PD, how it is to be used and how it was obtained.</w:t>
      </w:r>
    </w:p>
    <w:p>
      <w:pPr>
        <w:pStyle w:val="Normal"/>
        <w:rPr/>
      </w:pPr>
      <w:r>
        <w:rPr/>
      </w:r>
    </w:p>
    <w:p>
      <w:pPr>
        <w:pStyle w:val="Heading3"/>
        <w:rPr/>
      </w:pPr>
      <w:bookmarkStart w:id="1677" w:name="_Toc34921197"/>
      <w:r>
        <w:rPr/>
        <w:t>PRI-10(a): Data Quality Management | Automation</w:t>
      </w:r>
      <w:bookmarkEnd w:id="1677"/>
    </w:p>
    <w:p>
      <w:pPr>
        <w:pStyle w:val="Normal"/>
        <w:rPr/>
      </w:pPr>
      <w:r>
        <w:rPr>
          <w:u w:val="single"/>
        </w:rPr>
        <w:t>Control Objective</w:t>
      </w:r>
      <w:r>
        <w:rPr/>
        <w:t>: The organization issues technical guidelines and documentation to support automated evaluation of data quality across the information life cycle.</w:t>
      </w:r>
    </w:p>
    <w:p>
      <w:pPr>
        <w:pStyle w:val="Normal"/>
        <w:rPr/>
      </w:pPr>
      <w:r>
        <w:rPr/>
      </w:r>
    </w:p>
    <w:p>
      <w:pPr>
        <w:pStyle w:val="Normal"/>
        <w:rPr/>
      </w:pPr>
      <w:r>
        <w:rPr>
          <w:u w:val="single"/>
        </w:rPr>
        <w:t>Standard</w:t>
      </w:r>
      <w:r>
        <w:rPr/>
        <w:t>: NFCC’s Data Protection Officer (DPO) is assigned the responsibility for governing mechanisms to support automated evaluation of data quality across the information life cycle.</w:t>
      </w:r>
    </w:p>
    <w:p>
      <w:pPr>
        <w:pStyle w:val="Normal"/>
        <w:rPr/>
      </w:pPr>
      <w:r>
        <w:rPr/>
      </w:r>
    </w:p>
    <w:p>
      <w:pPr>
        <w:pStyle w:val="Normal"/>
        <w:rPr>
          <w:u w:val="single"/>
        </w:rPr>
      </w:pPr>
      <w:r>
        <w:rPr>
          <w:u w:val="single"/>
        </w:rPr>
        <w:t>Guidelines</w:t>
      </w:r>
      <w:r>
        <w:rPr/>
        <w:t>: To the extent feasible when designing organizational systems, organizations employ technologies that automate privacy controls on the collection, use and disclosure of PD. By building privacy controls into system design, organizations mitigate privacy risks to PD, thereby reducing the likelihood of system breaches and other privacy-related incidents.</w:t>
      </w:r>
    </w:p>
    <w:p>
      <w:pPr>
        <w:pStyle w:val="Normal"/>
        <w:rPr/>
      </w:pPr>
      <w:r>
        <w:rPr/>
        <w:t>As data is obtained and used across the information life cycle, it is important to confirm the accuracy and relevance of Personal Data (PD). Automated tools and techniques can augment existing process and procedures and enable an organization to better identify and manage Personal Data (PD) in large-scale systems. For example, automated tools can greatly improve efforts to consistently normalize data or identify malformed data. Automated tools can also be used to improve auditing of data, to track how data is used across the information life cycle and to detect errors that may incorrectly alter Personal Data (PD) or incorrectly associate such information with the wrong individual. These automated capabilities backstop processes and procedures at-scale. They also enable more fine-grained detection and correction of data quality errors.</w:t>
      </w:r>
    </w:p>
    <w:p>
      <w:pPr>
        <w:pStyle w:val="Normal"/>
        <w:rPr>
          <w:u w:val="single"/>
        </w:rPr>
      </w:pPr>
      <w:r>
        <w:rPr>
          <w:u w:val="single"/>
        </w:rPr>
      </w:r>
    </w:p>
    <w:p>
      <w:pPr>
        <w:pStyle w:val="Heading3"/>
        <w:rPr/>
      </w:pPr>
      <w:bookmarkStart w:id="1678" w:name="_Toc34921198"/>
      <w:r>
        <w:rPr/>
        <w:t>PRI-10(b): Data Quality Management | Data Analytics Bias</w:t>
      </w:r>
      <w:bookmarkEnd w:id="1678"/>
      <w:r>
        <w:rPr/>
        <w:t xml:space="preserve"> </w:t>
      </w:r>
    </w:p>
    <w:p>
      <w:pPr>
        <w:pStyle w:val="Normal"/>
        <w:rPr/>
      </w:pPr>
      <w:r>
        <w:rPr>
          <w:u w:val="single"/>
        </w:rPr>
        <w:t>Control Objective</w:t>
      </w:r>
      <w:r>
        <w:rPr/>
        <w:t>: The organization evaluates its analytical processes for potential bias.</w:t>
      </w:r>
    </w:p>
    <w:p>
      <w:pPr>
        <w:pStyle w:val="Normal"/>
        <w:rPr/>
      </w:pPr>
      <w:r>
        <w:rPr/>
      </w:r>
    </w:p>
    <w:p>
      <w:pPr>
        <w:pStyle w:val="Normal"/>
        <w:rPr/>
      </w:pPr>
      <w:r>
        <w:rPr>
          <w:u w:val="single"/>
        </w:rPr>
        <w:t>Standard</w:t>
      </w:r>
      <w:r>
        <w:rPr/>
        <w:t>: Data / process owners shall:</w:t>
      </w:r>
    </w:p>
    <w:p>
      <w:pPr>
        <w:pStyle w:val="ListParagraph"/>
        <w:numPr>
          <w:ilvl w:val="0"/>
          <w:numId w:val="681"/>
        </w:numPr>
        <w:rPr/>
      </w:pPr>
      <w:r>
        <w:rPr/>
        <w:t>Develop processes to evaluate data analytic inputs and outputs for potential bias; and</w:t>
      </w:r>
    </w:p>
    <w:p>
      <w:pPr>
        <w:pStyle w:val="ListParagraph"/>
        <w:numPr>
          <w:ilvl w:val="0"/>
          <w:numId w:val="681"/>
        </w:numPr>
        <w:rPr/>
      </w:pPr>
      <w:r>
        <w:rPr/>
        <w:t xml:space="preserve">Implement corrective actions to remove potential bias, if discovered. </w:t>
      </w:r>
    </w:p>
    <w:p>
      <w:pPr>
        <w:pStyle w:val="Normal"/>
        <w:rPr/>
      </w:pPr>
      <w:r>
        <w:rPr/>
      </w:r>
    </w:p>
    <w:p>
      <w:pPr>
        <w:pStyle w:val="Normal"/>
        <w:rPr/>
      </w:pPr>
      <w:r>
        <w:rPr>
          <w:u w:val="single"/>
        </w:rPr>
        <w:t>Guidelines</w:t>
      </w:r>
      <w:r>
        <w:rPr/>
        <w:t>: None</w:t>
      </w:r>
    </w:p>
    <w:p>
      <w:pPr>
        <w:pStyle w:val="Normal"/>
        <w:rPr>
          <w:u w:val="single"/>
        </w:rPr>
      </w:pPr>
      <w:r>
        <w:rPr>
          <w:u w:val="single"/>
        </w:rPr>
      </w:r>
    </w:p>
    <w:p>
      <w:pPr>
        <w:pStyle w:val="Normal"/>
        <w:rPr/>
      </w:pPr>
      <w:r>
        <w:rPr/>
      </w:r>
    </w:p>
    <w:p>
      <w:pPr>
        <w:pStyle w:val="Heading2"/>
        <w:rPr/>
      </w:pPr>
      <w:bookmarkStart w:id="1679" w:name="_Toc34921199"/>
      <w:bookmarkStart w:id="1680" w:name="_Toc474075284"/>
      <w:bookmarkStart w:id="1681" w:name="_Toc474075760"/>
      <w:r>
        <w:rPr/>
        <w:t xml:space="preserve">PRI-11: </w:t>
      </w:r>
      <w:bookmarkEnd w:id="1680"/>
      <w:bookmarkEnd w:id="1681"/>
      <w:r>
        <w:rPr/>
        <w:t>Data Tagging</w:t>
      </w:r>
      <w:bookmarkEnd w:id="1679"/>
    </w:p>
    <w:p>
      <w:pPr>
        <w:pStyle w:val="Normal"/>
        <w:rPr/>
      </w:pPr>
      <w:r>
        <w:rPr>
          <w:u w:val="single"/>
        </w:rPr>
        <w:t>Control Objective</w:t>
      </w:r>
      <w:r>
        <w:rPr/>
        <w:t>: The organization issues data modeling guidelines to support tagging of Personal Data (PD).</w:t>
      </w:r>
    </w:p>
    <w:p>
      <w:pPr>
        <w:pStyle w:val="Normal"/>
        <w:rPr/>
      </w:pPr>
      <w:r>
        <w:rPr/>
      </w:r>
    </w:p>
    <w:p>
      <w:pPr>
        <w:pStyle w:val="Normal"/>
        <w:rPr/>
      </w:pPr>
      <w:r>
        <w:rPr>
          <w:u w:val="single"/>
        </w:rPr>
        <w:t>Standard</w:t>
      </w:r>
      <w:r>
        <w:rPr/>
        <w:t>: NFCC’s legal department is assigned the responsibility for issuing data modeling guidelines to support tagging of Personal Data (PD).</w:t>
      </w:r>
    </w:p>
    <w:p>
      <w:pPr>
        <w:pStyle w:val="Normal"/>
        <w:rPr/>
      </w:pPr>
      <w:r>
        <w:rPr/>
      </w:r>
    </w:p>
    <w:p>
      <w:pPr>
        <w:pStyle w:val="Normal"/>
        <w:rPr/>
      </w:pPr>
      <w:r>
        <w:rPr>
          <w:u w:val="single"/>
        </w:rPr>
        <w:t>Guidelines</w:t>
      </w:r>
      <w:r>
        <w:rPr/>
        <w:t>: Data tagging includes, for example, tags noting the authority to collect, usage, presence of Personal Data (PD), de-identification, impact level and information life cycle stage.</w:t>
      </w:r>
    </w:p>
    <w:p>
      <w:pPr>
        <w:pStyle w:val="Normal"/>
        <w:rPr/>
      </w:pPr>
      <w:r>
        <w:rPr/>
      </w:r>
    </w:p>
    <w:p>
      <w:pPr>
        <w:pStyle w:val="Normal"/>
        <w:rPr/>
      </w:pPr>
      <w:r>
        <w:rPr/>
      </w:r>
    </w:p>
    <w:p>
      <w:pPr>
        <w:pStyle w:val="Heading2"/>
        <w:rPr/>
      </w:pPr>
      <w:bookmarkStart w:id="1682" w:name="_Toc34921200"/>
      <w:r>
        <w:rPr/>
        <w:t>PRI-12: Updating Personal Data (PD)</w:t>
      </w:r>
      <w:bookmarkEnd w:id="1682"/>
    </w:p>
    <w:p>
      <w:pPr>
        <w:pStyle w:val="Normal"/>
        <w:rPr/>
      </w:pPr>
      <w:r>
        <w:rPr>
          <w:u w:val="single"/>
        </w:rPr>
        <w:t>Control Objective</w:t>
      </w:r>
      <w:r>
        <w:rPr/>
        <w:t>: The organization develops processes to identify and record the method under which Personal Data (PD) is updated and the frequency that such updates occur.</w:t>
      </w:r>
    </w:p>
    <w:p>
      <w:pPr>
        <w:pStyle w:val="Normal"/>
        <w:rPr/>
      </w:pPr>
      <w:r>
        <w:rPr/>
      </w:r>
    </w:p>
    <w:p>
      <w:pPr>
        <w:pStyle w:val="Normal"/>
        <w:rPr/>
      </w:pPr>
      <w:r>
        <w:rPr>
          <w:u w:val="single"/>
        </w:rPr>
        <w:t>Standard</w:t>
      </w:r>
      <w:r>
        <w:rPr/>
        <w:t>: NFCC’s legal department is assigned the responsibility for governing mechanisms to identify and record the method under which Personal Data (PD) is updated and the frequency that such updates occur.</w:t>
      </w:r>
    </w:p>
    <w:p>
      <w:pPr>
        <w:pStyle w:val="Normal"/>
        <w:rPr/>
      </w:pPr>
      <w:r>
        <w:rPr/>
      </w:r>
    </w:p>
    <w:p>
      <w:pPr>
        <w:pStyle w:val="Normal"/>
        <w:rPr>
          <w:b/>
          <w:b/>
        </w:rPr>
      </w:pPr>
      <w:r>
        <w:rPr>
          <w:u w:val="single"/>
        </w:rPr>
        <w:t>Guidelines</w:t>
      </w:r>
      <w:r>
        <w:rPr/>
        <w:t>: When managing Personal Data (PD) including, for example, health information and financial information, it is important to carefully track updates or changes to such data. Having the ability to track both the method and frequency of updates enhances transparency and individual participation. It also enables individuals to better understand how and when their information is changed and helps both individuals and the responsible organizations to know how and what PD was changed should erroneous information be identified.</w:t>
      </w:r>
    </w:p>
    <w:p>
      <w:pPr>
        <w:pStyle w:val="Normal"/>
        <w:rPr/>
      </w:pPr>
      <w:r>
        <w:rPr/>
      </w:r>
    </w:p>
    <w:p>
      <w:pPr>
        <w:pStyle w:val="Normal"/>
        <w:rPr/>
      </w:pPr>
      <w:r>
        <w:rPr/>
      </w:r>
    </w:p>
    <w:p>
      <w:pPr>
        <w:pStyle w:val="Heading2"/>
        <w:rPr/>
      </w:pPr>
      <w:bookmarkStart w:id="1683" w:name="_Toc34921201"/>
      <w:r>
        <w:rPr/>
        <w:t>PRI-13: Data Management Board</w:t>
      </w:r>
      <w:bookmarkEnd w:id="1683"/>
    </w:p>
    <w:p>
      <w:pPr>
        <w:pStyle w:val="Normal"/>
        <w:rPr/>
      </w:pPr>
      <w:r>
        <w:rPr>
          <w:u w:val="single"/>
        </w:rPr>
        <w:t>Control Objective</w:t>
      </w:r>
      <w:r>
        <w:rPr/>
        <w:t>: The organization:</w:t>
      </w:r>
    </w:p>
    <w:p>
      <w:pPr>
        <w:pStyle w:val="ListParagraph"/>
        <w:numPr>
          <w:ilvl w:val="0"/>
          <w:numId w:val="164"/>
        </w:numPr>
        <w:rPr/>
      </w:pPr>
      <w:r>
        <w:rPr/>
        <w:t>Establishes a written charter for a Data Management Board;</w:t>
      </w:r>
    </w:p>
    <w:p>
      <w:pPr>
        <w:pStyle w:val="ListParagraph"/>
        <w:numPr>
          <w:ilvl w:val="0"/>
          <w:numId w:val="164"/>
        </w:numPr>
        <w:rPr/>
      </w:pPr>
      <w:r>
        <w:rPr/>
        <w:t>Establishes the Data Management Board consisting of organization-defined roles with the following responsibilities:</w:t>
      </w:r>
    </w:p>
    <w:p>
      <w:pPr>
        <w:pStyle w:val="ListParagraph"/>
        <w:numPr>
          <w:ilvl w:val="1"/>
          <w:numId w:val="164"/>
        </w:numPr>
        <w:rPr/>
      </w:pPr>
      <w:r>
        <w:rPr/>
        <w:t>Develop and implement guidelines supporting data modeling, quality, integrity and de-identification needs of Personal Data (PD) across the information life cycle;</w:t>
      </w:r>
    </w:p>
    <w:p>
      <w:pPr>
        <w:pStyle w:val="ListParagraph"/>
        <w:numPr>
          <w:ilvl w:val="1"/>
          <w:numId w:val="164"/>
        </w:numPr>
        <w:rPr/>
      </w:pPr>
      <w:r>
        <w:rPr/>
        <w:t>Review and approve applications to release data outside of the organization, archiving the applications and the released data and performing post-release monitoring to ensure that the assumptions made as part of the data release continue to be valid;</w:t>
      </w:r>
    </w:p>
    <w:p>
      <w:pPr>
        <w:pStyle w:val="ListParagraph"/>
        <w:numPr>
          <w:ilvl w:val="0"/>
          <w:numId w:val="164"/>
        </w:numPr>
        <w:rPr/>
      </w:pPr>
      <w:r>
        <w:rPr/>
        <w:t>Includes requirements for personnel interaction with the Data Management Board in security and privacy awareness and / or role-based training.</w:t>
      </w:r>
    </w:p>
    <w:p>
      <w:pPr>
        <w:pStyle w:val="Normal"/>
        <w:rPr/>
      </w:pPr>
      <w:r>
        <w:rPr/>
      </w:r>
    </w:p>
    <w:p>
      <w:pPr>
        <w:pStyle w:val="Normal"/>
        <w:rPr/>
      </w:pPr>
      <w:r>
        <w:rPr>
          <w:u w:val="single"/>
        </w:rPr>
        <w:t>Standard</w:t>
      </w:r>
      <w:r>
        <w:rPr/>
        <w:t>: NFCC’s legal department is assigned the responsibility for governing mechanisms to:</w:t>
      </w:r>
    </w:p>
    <w:p>
      <w:pPr>
        <w:pStyle w:val="ListParagraph"/>
        <w:numPr>
          <w:ilvl w:val="0"/>
          <w:numId w:val="585"/>
        </w:numPr>
        <w:tabs>
          <w:tab w:val="clear" w:pos="360"/>
          <w:tab w:val="clear" w:pos="720"/>
          <w:tab w:val="clear" w:pos="1080"/>
        </w:tabs>
        <w:rPr/>
      </w:pPr>
      <w:r>
        <w:rPr/>
        <w:t>Establish a written charter for a Data Management Board (DMB);</w:t>
      </w:r>
    </w:p>
    <w:p>
      <w:pPr>
        <w:pStyle w:val="ListParagraph"/>
        <w:numPr>
          <w:ilvl w:val="0"/>
          <w:numId w:val="585"/>
        </w:numPr>
        <w:tabs>
          <w:tab w:val="clear" w:pos="360"/>
          <w:tab w:val="clear" w:pos="720"/>
          <w:tab w:val="clear" w:pos="1080"/>
        </w:tabs>
        <w:rPr/>
      </w:pPr>
      <w:r>
        <w:rPr/>
        <w:t>Establish the DMB consisting of business unit, privacy and security personnel with the following responsibilities:</w:t>
      </w:r>
    </w:p>
    <w:p>
      <w:pPr>
        <w:pStyle w:val="ListParagraph"/>
        <w:numPr>
          <w:ilvl w:val="1"/>
          <w:numId w:val="585"/>
        </w:numPr>
        <w:tabs>
          <w:tab w:val="clear" w:pos="360"/>
          <w:tab w:val="clear" w:pos="720"/>
          <w:tab w:val="clear" w:pos="1080"/>
        </w:tabs>
        <w:rPr/>
      </w:pPr>
      <w:r>
        <w:rPr/>
        <w:t>Develop and implement guidelines supporting data modeling, quality, integrity and de-identification needs of Personal Data (PD) across the information life cycle; and</w:t>
      </w:r>
    </w:p>
    <w:p>
      <w:pPr>
        <w:pStyle w:val="ListParagraph"/>
        <w:numPr>
          <w:ilvl w:val="1"/>
          <w:numId w:val="585"/>
        </w:numPr>
        <w:tabs>
          <w:tab w:val="clear" w:pos="360"/>
          <w:tab w:val="clear" w:pos="720"/>
          <w:tab w:val="clear" w:pos="1080"/>
        </w:tabs>
        <w:rPr/>
      </w:pPr>
      <w:r>
        <w:rPr/>
        <w:t>Review and approve applications to release data outside of the organization, archiving the applications and the released data and performing post-release monitoring to ensure that the assumptions made as part of the data release continue to be valid; and</w:t>
      </w:r>
    </w:p>
    <w:p>
      <w:pPr>
        <w:pStyle w:val="ListParagraph"/>
        <w:numPr>
          <w:ilvl w:val="0"/>
          <w:numId w:val="585"/>
        </w:numPr>
        <w:tabs>
          <w:tab w:val="clear" w:pos="360"/>
          <w:tab w:val="clear" w:pos="720"/>
          <w:tab w:val="clear" w:pos="1080"/>
        </w:tabs>
        <w:rPr/>
      </w:pPr>
      <w:r>
        <w:rPr/>
        <w:t>Include requirements for personnel interaction with the DMB in security and privacy awareness and/or role-based training.</w:t>
      </w:r>
    </w:p>
    <w:p>
      <w:pPr>
        <w:pStyle w:val="Normal"/>
        <w:rPr/>
      </w:pPr>
      <w:r>
        <w:rPr/>
      </w:r>
    </w:p>
    <w:p>
      <w:pPr>
        <w:pStyle w:val="Normal"/>
        <w:rPr/>
      </w:pPr>
      <w:r>
        <w:rPr>
          <w:u w:val="single"/>
        </w:rPr>
        <w:t>Guidelines</w:t>
      </w:r>
      <w:r>
        <w:rPr/>
        <w:t>: The guidelines established by Data Management Board establish policies, procedures and standards that enable data governance so that Personal Data (PD) is managed and maintained in accordance with any relevant statutes, regulations and guidance. Members may include the Chief Information Officer, Senior Agency Information Security Officer and Senior Agency Official for Privacy. With respect to data modeling and the quality, integrity and de-identification of PD, data and information needs are met through organization-wide data governance policies that establish the roles, responsibilities and processes by which personnel manage information as an asset across the information life cycle. The information life cycle includes creation, collection, use, processing, storage, maintenance, dissemination, disclosure and disposition. Members may include the Chief Information Officer, Senior Agency Official for Privacy and Senior Agency Information Security Officer.</w:t>
      </w:r>
    </w:p>
    <w:p>
      <w:pPr>
        <w:pStyle w:val="Normal"/>
        <w:rPr/>
      </w:pPr>
      <w:r>
        <w:rPr/>
      </w:r>
    </w:p>
    <w:p>
      <w:pPr>
        <w:pStyle w:val="Normal"/>
        <w:rPr/>
      </w:pPr>
      <w:r>
        <w:rPr/>
      </w:r>
    </w:p>
    <w:p>
      <w:pPr>
        <w:pStyle w:val="Heading2"/>
        <w:rPr/>
      </w:pPr>
      <w:bookmarkStart w:id="1684" w:name="_Toc34921202"/>
      <w:bookmarkStart w:id="1685" w:name="_Toc474075285"/>
      <w:r>
        <w:rPr/>
        <w:t xml:space="preserve">PRI-14: </w:t>
      </w:r>
      <w:bookmarkEnd w:id="1685"/>
      <w:r>
        <w:rPr/>
        <w:t>Privacy Records &amp; Reporting</w:t>
      </w:r>
      <w:bookmarkEnd w:id="1684"/>
    </w:p>
    <w:p>
      <w:pPr>
        <w:pStyle w:val="Normal"/>
        <w:rPr>
          <w:i/>
          <w:i/>
          <w:iCs/>
        </w:rPr>
      </w:pPr>
      <w:r>
        <w:rPr>
          <w:u w:val="single"/>
        </w:rPr>
        <w:t>Control Objective</w:t>
      </w:r>
      <w:r>
        <w:rPr/>
        <w:t>: The organization develops, disseminates and updates reports to oversight bodies, as appropriate, to demonstrate accountability with specific statutory and regulatory privacy program mandates and to senior management and other personnel with responsibility for monitoring privacy program progress and compliance.</w:t>
      </w:r>
    </w:p>
    <w:p>
      <w:pPr>
        <w:pStyle w:val="Normal"/>
        <w:rPr/>
      </w:pPr>
      <w:r>
        <w:rPr/>
      </w:r>
    </w:p>
    <w:p>
      <w:pPr>
        <w:pStyle w:val="Normal"/>
        <w:rPr/>
      </w:pPr>
      <w:r>
        <w:rPr>
          <w:u w:val="single"/>
        </w:rPr>
        <w:t>Standard</w:t>
      </w:r>
      <w:r>
        <w:rPr/>
        <w:t>: NFCC’s responsible business unit for privacy governance is required to develop, implement and update reports for senior management and other personnel with responsibility for monitoring privacy program progress and compliance.</w:t>
      </w:r>
    </w:p>
    <w:p>
      <w:pPr>
        <w:pStyle w:val="Normal"/>
        <w:rPr/>
      </w:pPr>
      <w:r>
        <w:rPr/>
      </w:r>
    </w:p>
    <w:p>
      <w:pPr>
        <w:pStyle w:val="Normal"/>
        <w:rPr>
          <w:u w:val="single"/>
        </w:rPr>
      </w:pPr>
      <w:r>
        <w:rPr>
          <w:u w:val="single"/>
        </w:rPr>
        <w:t>Guidelines</w:t>
      </w:r>
      <w:r>
        <w:rPr/>
        <w:t>: Through external and internal privacy reporting, organizations promote accountability and transparency in organizational privacy operations.</w:t>
      </w:r>
    </w:p>
    <w:p>
      <w:pPr>
        <w:pStyle w:val="Normal"/>
        <w:rPr>
          <w:u w:val="single"/>
        </w:rPr>
      </w:pPr>
      <w:r>
        <w:rPr>
          <w:u w:val="single"/>
        </w:rPr>
      </w:r>
    </w:p>
    <w:p>
      <w:pPr>
        <w:pStyle w:val="Heading3"/>
        <w:rPr/>
      </w:pPr>
      <w:bookmarkStart w:id="1686" w:name="_Toc474075286"/>
      <w:bookmarkStart w:id="1687" w:name="_Toc34921203"/>
      <w:r>
        <w:rPr/>
        <w:t>PRI-14(a): Privacy Records &amp; Reporting | Accounting of Disclosures</w:t>
      </w:r>
      <w:bookmarkEnd w:id="1686"/>
      <w:bookmarkEnd w:id="1687"/>
      <w:r>
        <w:rPr/>
        <w:t xml:space="preserve"> </w:t>
      </w:r>
    </w:p>
    <w:p>
      <w:pPr>
        <w:pStyle w:val="Normal"/>
        <w:rPr/>
      </w:pPr>
      <w:r>
        <w:rPr>
          <w:u w:val="single"/>
        </w:rPr>
        <w:t>Control Objective</w:t>
      </w:r>
      <w:r>
        <w:rPr/>
        <w:t>: The organization:</w:t>
      </w:r>
      <w:r>
        <w:rPr>
          <w:rStyle w:val="FootnoteAnchor"/>
          <w:rStyle w:val="FootnoteAnchor"/>
        </w:rPr>
        <w:footnoteReference w:id="539"/>
      </w:r>
    </w:p>
    <w:p>
      <w:pPr>
        <w:pStyle w:val="ListParagraph"/>
        <w:numPr>
          <w:ilvl w:val="0"/>
          <w:numId w:val="560"/>
        </w:numPr>
        <w:rPr/>
      </w:pPr>
      <w:r>
        <w:rPr/>
        <w:t>Develops and maintains an accounting of disclosures of Personal Data (PD) held in each system of records under its control, including:</w:t>
      </w:r>
    </w:p>
    <w:p>
      <w:pPr>
        <w:pStyle w:val="ListParagraph"/>
        <w:numPr>
          <w:ilvl w:val="1"/>
          <w:numId w:val="560"/>
        </w:numPr>
        <w:rPr/>
      </w:pPr>
      <w:r>
        <w:rPr/>
        <w:t>Date, nature and purpose of each disclosure of a record; and</w:t>
      </w:r>
    </w:p>
    <w:p>
      <w:pPr>
        <w:pStyle w:val="ListParagraph"/>
        <w:numPr>
          <w:ilvl w:val="1"/>
          <w:numId w:val="560"/>
        </w:numPr>
        <w:rPr/>
      </w:pPr>
      <w:r>
        <w:rPr/>
        <w:t>Name and address of the person or organization to which the disclosure was made;</w:t>
      </w:r>
    </w:p>
    <w:p>
      <w:pPr>
        <w:pStyle w:val="ListParagraph"/>
        <w:numPr>
          <w:ilvl w:val="0"/>
          <w:numId w:val="560"/>
        </w:numPr>
        <w:rPr/>
      </w:pPr>
      <w:r>
        <w:rPr/>
        <w:t>Retains the accounting of disclosures for the life of the record or five (5) years after the disclosure is made, whichever is longer; and</w:t>
      </w:r>
    </w:p>
    <w:p>
      <w:pPr>
        <w:pStyle w:val="ListParagraph"/>
        <w:numPr>
          <w:ilvl w:val="0"/>
          <w:numId w:val="560"/>
        </w:numPr>
        <w:rPr/>
      </w:pPr>
      <w:r>
        <w:rPr/>
        <w:t>Makes the accounting of disclosures available to the person named in the record upon request.</w:t>
      </w:r>
    </w:p>
    <w:p>
      <w:pPr>
        <w:pStyle w:val="Normal"/>
        <w:rPr/>
      </w:pPr>
      <w:r>
        <w:rPr/>
      </w:r>
    </w:p>
    <w:p>
      <w:pPr>
        <w:pStyle w:val="Normal"/>
        <w:rPr/>
      </w:pPr>
      <w:r>
        <w:rPr>
          <w:u w:val="single"/>
        </w:rPr>
        <w:t>Standard</w:t>
      </w:r>
      <w:r>
        <w:rPr/>
        <w:t>: NFCC’s legal department is assigned the responsibility for governing mechanisms to:</w:t>
      </w:r>
    </w:p>
    <w:p>
      <w:pPr>
        <w:pStyle w:val="ListParagraph"/>
        <w:numPr>
          <w:ilvl w:val="0"/>
          <w:numId w:val="586"/>
        </w:numPr>
        <w:tabs>
          <w:tab w:val="clear" w:pos="360"/>
          <w:tab w:val="clear" w:pos="720"/>
          <w:tab w:val="clear" w:pos="1080"/>
        </w:tabs>
        <w:rPr/>
      </w:pPr>
      <w:r>
        <w:rPr/>
        <w:t>Develop and maintain an accounting of disclosures of Personal Data (PD) held in each system of records under its control, including:</w:t>
      </w:r>
    </w:p>
    <w:p>
      <w:pPr>
        <w:pStyle w:val="ListParagraph"/>
        <w:numPr>
          <w:ilvl w:val="1"/>
          <w:numId w:val="586"/>
        </w:numPr>
        <w:tabs>
          <w:tab w:val="clear" w:pos="360"/>
          <w:tab w:val="clear" w:pos="720"/>
          <w:tab w:val="clear" w:pos="1080"/>
        </w:tabs>
        <w:rPr/>
      </w:pPr>
      <w:r>
        <w:rPr/>
        <w:t>Date, nature and purpose of each disclosure of a record; and</w:t>
      </w:r>
    </w:p>
    <w:p>
      <w:pPr>
        <w:pStyle w:val="ListParagraph"/>
        <w:numPr>
          <w:ilvl w:val="1"/>
          <w:numId w:val="586"/>
        </w:numPr>
        <w:tabs>
          <w:tab w:val="clear" w:pos="360"/>
          <w:tab w:val="clear" w:pos="720"/>
          <w:tab w:val="clear" w:pos="1080"/>
        </w:tabs>
        <w:rPr/>
      </w:pPr>
      <w:r>
        <w:rPr/>
        <w:t>Name and address of the person or organization to which the disclosure was made;</w:t>
      </w:r>
    </w:p>
    <w:p>
      <w:pPr>
        <w:pStyle w:val="ListParagraph"/>
        <w:numPr>
          <w:ilvl w:val="0"/>
          <w:numId w:val="586"/>
        </w:numPr>
        <w:tabs>
          <w:tab w:val="clear" w:pos="360"/>
          <w:tab w:val="clear" w:pos="720"/>
          <w:tab w:val="clear" w:pos="1080"/>
        </w:tabs>
        <w:rPr/>
      </w:pPr>
      <w:r>
        <w:rPr/>
        <w:t>Retain the accounting of disclosures for the life of the record or five years after the disclosure is made, whichever is longer; and</w:t>
      </w:r>
    </w:p>
    <w:p>
      <w:pPr>
        <w:pStyle w:val="ListParagraph"/>
        <w:numPr>
          <w:ilvl w:val="0"/>
          <w:numId w:val="586"/>
        </w:numPr>
        <w:tabs>
          <w:tab w:val="clear" w:pos="360"/>
          <w:tab w:val="clear" w:pos="720"/>
          <w:tab w:val="clear" w:pos="1080"/>
        </w:tabs>
        <w:rPr/>
      </w:pPr>
      <w:r>
        <w:rPr/>
        <w:t>Make the accounting of disclosures available to the person named in the record upon request.</w:t>
      </w:r>
    </w:p>
    <w:p>
      <w:pPr>
        <w:pStyle w:val="Normal"/>
        <w:rPr/>
      </w:pPr>
      <w:r>
        <w:rPr/>
      </w:r>
    </w:p>
    <w:p>
      <w:pPr>
        <w:pStyle w:val="Normal"/>
        <w:rPr/>
      </w:pPr>
      <w:r>
        <w:rPr/>
      </w:r>
    </w:p>
    <w:p>
      <w:pPr>
        <w:pStyle w:val="Normal"/>
        <w:rPr>
          <w:b/>
          <w:b/>
        </w:rPr>
      </w:pPr>
      <w:r>
        <w:rPr>
          <w:u w:val="single"/>
        </w:rPr>
        <w:t>Guidelines</w:t>
      </w:r>
      <w:r>
        <w:rPr/>
        <w:t>: This control addresses disclosure accounting requirements in the Privacy Act. The purpose of disclosure accounting requirements is to allow individuals to learn to whom records about them have been disclosed; to provide a basis for subsequently advising recipients of records of any corrected or disputed records; and to provide an audit trail for subsequent reviews of organizational compliance with conditions for disclosures. Organizations can use any system for keeping notations of disclosures, if it can construct from such a system, a document listing of all disclosures. Automated mechanisms can be used by organizations to determine when such information is disclosed, including, for example, commercial services providing notifications and alerts. Accounting of disclosures may also be used to help organizations verify compliance with applicable privacy statutes and policies governing disclosure or dissemination of information and dissemination restrictions.</w:t>
      </w:r>
    </w:p>
    <w:p>
      <w:pPr>
        <w:pStyle w:val="Normal"/>
        <w:rPr/>
      </w:pPr>
      <w:r>
        <w:rPr/>
      </w:r>
    </w:p>
    <w:p>
      <w:pPr>
        <w:pStyle w:val="Heading3"/>
        <w:rPr/>
      </w:pPr>
      <w:bookmarkStart w:id="1688" w:name="_Toc34921204"/>
      <w:r>
        <w:rPr/>
        <w:t>PRI-14(b): Privacy Records &amp; Reporting | Notification of Disclosure Request To Data Subject</w:t>
      </w:r>
      <w:bookmarkEnd w:id="1688"/>
      <w:r>
        <w:rPr/>
        <w:t xml:space="preserve"> </w:t>
      </w:r>
    </w:p>
    <w:p>
      <w:pPr>
        <w:pStyle w:val="Normal"/>
        <w:rPr/>
      </w:pPr>
      <w:r>
        <w:rPr>
          <w:u w:val="single"/>
        </w:rPr>
        <w:t>Control Objective</w:t>
      </w:r>
      <w:r>
        <w:rPr/>
        <w:t>: The organization notifies data subjects of legal requests to disclose Personal Data (PD).</w:t>
      </w:r>
    </w:p>
    <w:p>
      <w:pPr>
        <w:pStyle w:val="Normal"/>
        <w:rPr/>
      </w:pPr>
      <w:r>
        <w:rPr/>
      </w:r>
    </w:p>
    <w:p>
      <w:pPr>
        <w:pStyle w:val="Normal"/>
        <w:rPr/>
      </w:pPr>
      <w:r>
        <w:rPr>
          <w:u w:val="single"/>
        </w:rPr>
        <w:t>Standard</w:t>
      </w:r>
      <w:r>
        <w:rPr/>
        <w:t xml:space="preserve">: NFCC’s Chief Privacy Officer (CPO) is required to develop processes to notify data subjects of legal requests to disclose their Personal Data (PD), unless NFCC is expressly prohibited by the regulator or law enforcement agency from notifying the data subject to the release of PD.  </w:t>
      </w:r>
    </w:p>
    <w:p>
      <w:pPr>
        <w:pStyle w:val="Normal"/>
        <w:rPr/>
      </w:pPr>
      <w:r>
        <w:rPr/>
      </w:r>
    </w:p>
    <w:p>
      <w:pPr>
        <w:pStyle w:val="Normal"/>
        <w:rPr/>
      </w:pPr>
      <w:r>
        <w:rPr>
          <w:u w:val="single"/>
        </w:rPr>
        <w:t>Guidelines</w:t>
      </w:r>
      <w:r>
        <w:rPr/>
        <w:t>: Personal Data (PD) requests may be court ordered as part of a criminal case, so there may be scenarios where law enforcement does not want to alert a data subject.</w:t>
      </w:r>
    </w:p>
    <w:p>
      <w:pPr>
        <w:pStyle w:val="Normal"/>
        <w:rPr/>
      </w:pPr>
      <w:r>
        <w:rPr/>
      </w:r>
    </w:p>
    <w:p>
      <w:pPr>
        <w:pStyle w:val="Normal"/>
        <w:rPr/>
      </w:pPr>
      <w:r>
        <w:rPr/>
      </w:r>
    </w:p>
    <w:p>
      <w:pPr>
        <w:pStyle w:val="Heading2"/>
        <w:rPr/>
      </w:pPr>
      <w:bookmarkStart w:id="1689" w:name="_Toc34921205"/>
      <w:r>
        <w:rPr/>
        <w:t>PRI-15: Register Database</w:t>
      </w:r>
      <w:bookmarkEnd w:id="1689"/>
    </w:p>
    <w:p>
      <w:pPr>
        <w:pStyle w:val="Normal"/>
        <w:rPr/>
      </w:pPr>
      <w:r>
        <w:rPr>
          <w:u w:val="single"/>
        </w:rPr>
        <w:t>Control Objective</w:t>
      </w:r>
      <w:r>
        <w:rPr/>
        <w:t>: The organization registers databases containing Personal Data (PD) with appropriate Data Authority.</w:t>
      </w:r>
    </w:p>
    <w:p>
      <w:pPr>
        <w:pStyle w:val="Normal"/>
        <w:rPr/>
      </w:pPr>
      <w:r>
        <w:rPr/>
      </w:r>
    </w:p>
    <w:p>
      <w:pPr>
        <w:pStyle w:val="Normal"/>
        <w:rPr/>
      </w:pPr>
      <w:r>
        <w:rPr>
          <w:u w:val="single"/>
        </w:rPr>
        <w:t>Standard</w:t>
      </w:r>
      <w:r>
        <w:rPr/>
        <w:t>: As required by applicable statutory or regulatory requirements, data / process owners are required to register databases containing Personal Data (PD) with appropriate Data Authority.</w:t>
      </w:r>
    </w:p>
    <w:p>
      <w:pPr>
        <w:pStyle w:val="Normal"/>
        <w:rPr/>
      </w:pPr>
      <w:r>
        <w:rPr/>
      </w:r>
    </w:p>
    <w:p>
      <w:pPr>
        <w:pStyle w:val="Normal"/>
        <w:rPr/>
      </w:pPr>
      <w:r>
        <w:rPr>
          <w:u w:val="single"/>
        </w:rPr>
        <w:t>Guidelines</w:t>
      </w:r>
      <w:r>
        <w:rPr/>
        <w:t>: None</w:t>
      </w:r>
    </w:p>
    <w:p>
      <w:pPr>
        <w:pStyle w:val="Normal"/>
        <w:rPr/>
      </w:pPr>
      <w:r>
        <w:rPr/>
      </w:r>
    </w:p>
    <w:p>
      <w:pPr>
        <w:pStyle w:val="Normal"/>
        <w:rPr/>
      </w:pPr>
      <w:r>
        <w:rPr/>
      </w:r>
    </w:p>
    <w:p>
      <w:pPr>
        <w:pStyle w:val="Normal"/>
        <w:rPr/>
      </w:pPr>
      <w:r>
        <w:rPr/>
      </w:r>
    </w:p>
    <w:p>
      <w:pPr>
        <w:pStyle w:val="Normal"/>
        <w:rPr>
          <w:rFonts w:eastAsia="Calibri" w:cs="Calibri"/>
          <w:sz w:val="24"/>
        </w:rPr>
      </w:pPr>
      <w:r>
        <w:rPr>
          <w:rFonts w:eastAsia="Calibri" w:cs="Calibri"/>
          <w:sz w:val="24"/>
        </w:rPr>
      </w:r>
      <w:r>
        <w:br w:type="page"/>
      </w:r>
    </w:p>
    <w:p>
      <w:pPr>
        <w:pStyle w:val="Heading1"/>
        <w:rPr/>
      </w:pPr>
      <w:bookmarkStart w:id="1690" w:name="_Toc34921206"/>
      <w:bookmarkStart w:id="1691" w:name="_Toc474075290"/>
      <w:bookmarkStart w:id="1692" w:name="_Toc474075763"/>
      <w:r>
        <w:rPr/>
        <w:t>Project &amp; Resource Management (PRM)</w:t>
      </w:r>
      <w:bookmarkEnd w:id="1691"/>
      <w:bookmarkEnd w:id="1692"/>
      <w:r>
        <w:rPr/>
        <w:t xml:space="preserve"> Policy &amp; Standards</w:t>
      </w:r>
      <w:bookmarkEnd w:id="1690"/>
    </w:p>
    <w:p>
      <w:pPr>
        <w:pStyle w:val="Normal"/>
        <w:rPr/>
      </w:pPr>
      <w:r>
        <w:rPr/>
      </w:r>
    </w:p>
    <w:p>
      <w:pPr>
        <w:pStyle w:val="Normal"/>
        <w:rPr/>
      </w:pPr>
      <w:r>
        <w:rPr>
          <w:u w:val="single"/>
        </w:rPr>
        <w:t>Management Intent</w:t>
      </w:r>
      <w:r>
        <w:rPr/>
        <w:t>: The purpose of the Project &amp; Resource Management (PRM) policy is to ensure resource management addresses cybersecurity requirements across project and program management enterprise-wide, regardless of the type of the project.</w:t>
      </w:r>
    </w:p>
    <w:p>
      <w:pPr>
        <w:pStyle w:val="Normal"/>
        <w:rPr/>
      </w:pPr>
      <w:r>
        <w:rPr/>
      </w:r>
    </w:p>
    <w:p>
      <w:pPr>
        <w:pStyle w:val="Normal"/>
        <w:shd w:val="clear" w:color="auto" w:fill="DDD9C3" w:themeFill="background2" w:themeFillShade="e6"/>
        <w:rPr/>
      </w:pPr>
      <w:r>
        <w:rPr>
          <w:u w:val="single"/>
        </w:rPr>
        <w:t>Policy</w:t>
      </w:r>
      <w:r>
        <w:rPr/>
        <w:t xml:space="preserve">: Risk must be managed throughout the Secure Development Life Cycle (SDLC). Therefore, all technology projects and programs shall address resource requirements to implement and maintain appropriate security controls through the life cycle of the asset(s) or service(s). </w:t>
      </w:r>
    </w:p>
    <w:p>
      <w:pPr>
        <w:pStyle w:val="Normal"/>
        <w:rPr>
          <w:u w:val="single"/>
        </w:rPr>
      </w:pPr>
      <w:r>
        <w:rPr>
          <w:u w:val="single"/>
        </w:rPr>
      </w:r>
    </w:p>
    <w:p>
      <w:pPr>
        <w:pStyle w:val="Normal"/>
        <w:rPr/>
      </w:pPr>
      <w:r>
        <w:rPr>
          <w:u w:val="single"/>
        </w:rPr>
        <w:t>Supporting Documentation</w:t>
      </w:r>
      <w:r>
        <w:rPr/>
        <w:t xml:space="preserve">: This policy is supported by the following control objectives, standards and guidelines. </w:t>
      </w:r>
    </w:p>
    <w:p>
      <w:pPr>
        <w:pStyle w:val="Normal"/>
        <w:rPr/>
      </w:pPr>
      <w:r>
        <w:rPr/>
      </w:r>
    </w:p>
    <w:p>
      <w:pPr>
        <w:pStyle w:val="Normal"/>
        <w:rPr/>
      </w:pPr>
      <w:r>
        <w:rPr/>
      </w:r>
    </w:p>
    <w:p>
      <w:pPr>
        <w:pStyle w:val="Heading2"/>
        <w:rPr/>
      </w:pPr>
      <w:bookmarkStart w:id="1693" w:name="_Toc474075291"/>
      <w:bookmarkStart w:id="1694" w:name="_Toc474075764"/>
      <w:bookmarkStart w:id="1695" w:name="_Toc34921207"/>
      <w:bookmarkStart w:id="1696" w:name="_Toc346202639"/>
      <w:r>
        <w:rPr/>
        <w:t xml:space="preserve">PRM-01: </w:t>
      </w:r>
      <w:bookmarkEnd w:id="1696"/>
      <w:r>
        <w:rPr/>
        <w:t>Security Portfolio Management</w:t>
      </w:r>
      <w:bookmarkEnd w:id="1693"/>
      <w:bookmarkEnd w:id="1694"/>
      <w:bookmarkEnd w:id="1695"/>
    </w:p>
    <w:p>
      <w:pPr>
        <w:pStyle w:val="Normal"/>
        <w:rPr/>
      </w:pPr>
      <w:r>
        <w:rPr>
          <w:u w:val="single"/>
        </w:rPr>
        <w:t>Control Objective</w:t>
      </w:r>
      <w:r>
        <w:rPr/>
        <w:t>: The organization develops, implements and governs processes and documentation to facilitate the implementation of an enterprise-wide project and resource management policy, as well as associated standards, controls and procedures.</w:t>
      </w:r>
      <w:r>
        <w:rPr>
          <w:rStyle w:val="FootnoteAnchor"/>
          <w:rStyle w:val="FootnoteAnchor"/>
        </w:rPr>
        <w:footnoteReference w:id="540"/>
      </w:r>
    </w:p>
    <w:p>
      <w:pPr>
        <w:pStyle w:val="Normal"/>
        <w:rPr/>
      </w:pPr>
      <w:r>
        <w:rPr/>
      </w:r>
    </w:p>
    <w:p>
      <w:pPr>
        <w:pStyle w:val="Normal"/>
        <w:rPr/>
      </w:pPr>
      <w:r>
        <w:rPr>
          <w:u w:val="single"/>
        </w:rPr>
        <w:t>Standard</w:t>
      </w:r>
      <w:r>
        <w:rPr/>
        <w:t>: NFCC is required to develop, implement and keep current processes to facilitate the implementation of the security resource planning and associated security planning controls.</w:t>
      </w:r>
    </w:p>
    <w:p>
      <w:pPr>
        <w:pStyle w:val="Normal"/>
        <w:rPr/>
      </w:pPr>
      <w:r>
        <w:rPr/>
      </w:r>
    </w:p>
    <w:p>
      <w:pPr>
        <w:pStyle w:val="Normal"/>
        <w:rPr/>
      </w:pPr>
      <w:r>
        <w:rPr>
          <w:u w:val="single"/>
        </w:rPr>
        <w:t>Guidelines</w:t>
      </w:r>
      <w:r>
        <w:rPr/>
        <w:t>: This should be based on the understanding of the enterprise environment and requirements; the assessment of the current business process and IT environment and issues; and consideration of reference standards, good practices and validated emerging technologies or innovation proposals.</w:t>
      </w:r>
    </w:p>
    <w:p>
      <w:pPr>
        <w:pStyle w:val="Normal"/>
        <w:rPr/>
      </w:pPr>
      <w:r>
        <w:rPr/>
      </w:r>
    </w:p>
    <w:p>
      <w:pPr>
        <w:pStyle w:val="Heading3"/>
        <w:rPr/>
      </w:pPr>
      <w:bookmarkStart w:id="1697" w:name="_Toc34921208"/>
      <w:r>
        <w:rPr/>
        <w:t>PRM-01(a): Security Portfolio Management | Strategic Plan &amp; Objectives</w:t>
      </w:r>
      <w:bookmarkEnd w:id="1697"/>
      <w:r>
        <w:rPr/>
        <w:t xml:space="preserve"> </w:t>
      </w:r>
    </w:p>
    <w:p>
      <w:pPr>
        <w:pStyle w:val="Normal"/>
        <w:rPr/>
      </w:pPr>
      <w:r>
        <w:rPr>
          <w:u w:val="single"/>
        </w:rPr>
        <w:t>Control Objective</w:t>
      </w:r>
      <w:r>
        <w:rPr/>
        <w:t>: The organization establishes a strategic plan and set of objectives to achieve that plan.</w:t>
      </w:r>
    </w:p>
    <w:p>
      <w:pPr>
        <w:pStyle w:val="Normal"/>
        <w:rPr/>
      </w:pPr>
      <w:r>
        <w:rPr/>
      </w:r>
    </w:p>
    <w:p>
      <w:pPr>
        <w:pStyle w:val="Normal"/>
        <w:rPr/>
      </w:pPr>
      <w:r>
        <w:rPr>
          <w:u w:val="single"/>
        </w:rPr>
        <w:t>Standard</w:t>
      </w:r>
      <w:r>
        <w:rPr/>
        <w:t>: The Chief Information Security Officer (CISO) and his / her designated representatives shall:</w:t>
      </w:r>
    </w:p>
    <w:p>
      <w:pPr>
        <w:pStyle w:val="ListParagraph"/>
        <w:numPr>
          <w:ilvl w:val="0"/>
          <w:numId w:val="682"/>
        </w:numPr>
        <w:rPr/>
      </w:pPr>
      <w:r>
        <w:rPr/>
        <w:t xml:space="preserve">Develop a holistic strategy, in cooperation with relevant stakeholders; </w:t>
      </w:r>
    </w:p>
    <w:p>
      <w:pPr>
        <w:pStyle w:val="ListParagraph"/>
        <w:numPr>
          <w:ilvl w:val="0"/>
          <w:numId w:val="682"/>
        </w:numPr>
        <w:rPr/>
      </w:pPr>
      <w:r>
        <w:rPr/>
        <w:t>Define strategic objectives that defines the incremental steps required to achieve the strategic plan; and</w:t>
      </w:r>
    </w:p>
    <w:p>
      <w:pPr>
        <w:pStyle w:val="ListParagraph"/>
        <w:numPr>
          <w:ilvl w:val="0"/>
          <w:numId w:val="682"/>
        </w:numPr>
        <w:rPr/>
      </w:pPr>
      <w:r>
        <w:rPr/>
        <w:t>Document the strategy and objectives in a cybersecurity and privacy-focused business plan format.</w:t>
      </w:r>
    </w:p>
    <w:p>
      <w:pPr>
        <w:pStyle w:val="Normal"/>
        <w:rPr/>
      </w:pPr>
      <w:r>
        <w:rPr/>
        <w:t xml:space="preserve"> </w:t>
      </w:r>
    </w:p>
    <w:p>
      <w:pPr>
        <w:pStyle w:val="Normal"/>
        <w:rPr/>
      </w:pPr>
      <w:r>
        <w:rPr>
          <w:u w:val="single"/>
        </w:rPr>
        <w:t>Guidelines</w:t>
      </w:r>
      <w:r>
        <w:rPr/>
        <w:t xml:space="preserve">: General objectives include mission, vision and values, while specific objectives are goal-oriented and outline the targets the organization is attempting to reach.  </w:t>
      </w:r>
    </w:p>
    <w:p>
      <w:pPr>
        <w:pStyle w:val="Normal"/>
        <w:rPr/>
      </w:pPr>
      <w:r>
        <w:rPr/>
      </w:r>
    </w:p>
    <w:p>
      <w:pPr>
        <w:pStyle w:val="Heading3"/>
        <w:rPr/>
      </w:pPr>
      <w:bookmarkStart w:id="1698" w:name="_Toc34921209"/>
      <w:r>
        <w:rPr/>
        <w:t>PRM-01(b): Security Portfolio Management | Targeted Capability Maturity Levels</w:t>
      </w:r>
      <w:bookmarkEnd w:id="1698"/>
      <w:r>
        <w:rPr/>
        <w:t xml:space="preserve"> </w:t>
      </w:r>
    </w:p>
    <w:p>
      <w:pPr>
        <w:pStyle w:val="Normal"/>
        <w:rPr/>
      </w:pPr>
      <w:r>
        <w:rPr>
          <w:u w:val="single"/>
        </w:rPr>
        <w:t>Control Objective</w:t>
      </w:r>
      <w:r>
        <w:rPr/>
        <w:t>: The organization defines and identifies targeted capability maturity levels.</w:t>
      </w:r>
    </w:p>
    <w:p>
      <w:pPr>
        <w:pStyle w:val="Normal"/>
        <w:rPr/>
      </w:pPr>
      <w:r>
        <w:rPr/>
      </w:r>
    </w:p>
    <w:p>
      <w:pPr>
        <w:pStyle w:val="Normal"/>
        <w:rPr/>
      </w:pPr>
      <w:r>
        <w:rPr>
          <w:u w:val="single"/>
        </w:rPr>
        <w:t>Standard</w:t>
      </w:r>
      <w:r>
        <w:rPr/>
        <w:t>: The Chief Information Security Officer (CISO) and his / her designated representatives shall:</w:t>
      </w:r>
      <w:r>
        <w:rPr>
          <w:rStyle w:val="FootnoteAnchor"/>
          <w:rStyle w:val="FootnoteAnchor"/>
        </w:rPr>
        <w:footnoteReference w:id="541"/>
      </w:r>
    </w:p>
    <w:p>
      <w:pPr>
        <w:pStyle w:val="ListParagraph"/>
        <w:numPr>
          <w:ilvl w:val="0"/>
          <w:numId w:val="683"/>
        </w:numPr>
        <w:rPr/>
      </w:pPr>
      <w:r>
        <w:rPr/>
        <w:t>Leverage the Secure Controls Framework (SCF) Security &amp; Privacy Capability Maturity Model (SP-CMM) to identify criteria for capability maturity modeling; and</w:t>
      </w:r>
    </w:p>
    <w:p>
      <w:pPr>
        <w:pStyle w:val="ListParagraph"/>
        <w:numPr>
          <w:ilvl w:val="0"/>
          <w:numId w:val="683"/>
        </w:numPr>
        <w:rPr/>
      </w:pPr>
      <w:r>
        <w:rPr/>
        <w:t>Define NFCC’s target capability maturity for its cybersecurity and privacy-related people, processes and technologies.</w:t>
      </w:r>
    </w:p>
    <w:p>
      <w:pPr>
        <w:pStyle w:val="Normal"/>
        <w:rPr/>
      </w:pPr>
      <w:r>
        <w:rPr/>
      </w:r>
    </w:p>
    <w:p>
      <w:pPr>
        <w:pStyle w:val="Normal"/>
        <w:rPr/>
      </w:pPr>
      <w:r>
        <w:rPr>
          <w:u w:val="single"/>
        </w:rPr>
        <w:t>Guidelines</w:t>
      </w:r>
      <w:r>
        <w:rPr/>
        <w:t>: None</w:t>
      </w:r>
    </w:p>
    <w:p>
      <w:pPr>
        <w:pStyle w:val="Normal"/>
        <w:rPr/>
      </w:pPr>
      <w:r>
        <w:rPr/>
      </w:r>
    </w:p>
    <w:p>
      <w:pPr>
        <w:pStyle w:val="Normal"/>
        <w:rPr/>
      </w:pPr>
      <w:r>
        <w:rPr/>
      </w:r>
    </w:p>
    <w:p>
      <w:pPr>
        <w:pStyle w:val="Heading2"/>
        <w:rPr>
          <w:u w:val="single"/>
        </w:rPr>
      </w:pPr>
      <w:bookmarkStart w:id="1699" w:name="_Toc474075292"/>
      <w:bookmarkStart w:id="1700" w:name="_Toc474075765"/>
      <w:bookmarkStart w:id="1701" w:name="_Toc34921210"/>
      <w:r>
        <w:rPr/>
        <w:t>PRM-02: Security &amp; Privacy Resource Management</w:t>
      </w:r>
      <w:bookmarkEnd w:id="1699"/>
      <w:bookmarkEnd w:id="1700"/>
      <w:bookmarkEnd w:id="1701"/>
    </w:p>
    <w:p>
      <w:pPr>
        <w:pStyle w:val="Normal"/>
        <w:rPr/>
      </w:pPr>
      <w:r>
        <w:rPr>
          <w:u w:val="single"/>
        </w:rPr>
        <w:t>Control Objective</w:t>
      </w:r>
      <w:r>
        <w:rPr/>
        <w:t>: The organization addresses all capital planning and investment requests, including the resources needed to implement the cybersecurity program and documents all exceptions to this requirement.</w:t>
      </w:r>
      <w:r>
        <w:rPr>
          <w:rStyle w:val="FootnoteAnchor"/>
          <w:rStyle w:val="FootnoteAnchor"/>
        </w:rPr>
        <w:footnoteReference w:id="542"/>
      </w:r>
    </w:p>
    <w:p>
      <w:pPr>
        <w:pStyle w:val="Normal"/>
        <w:rPr/>
      </w:pPr>
      <w:r>
        <w:rPr/>
      </w:r>
    </w:p>
    <w:p>
      <w:pPr>
        <w:pStyle w:val="Normal"/>
        <w:rPr/>
      </w:pPr>
      <w:r>
        <w:rPr>
          <w:u w:val="single"/>
        </w:rPr>
        <w:t>Standard</w:t>
      </w:r>
      <w:r>
        <w:rPr/>
        <w:t xml:space="preserve">: The Chief Information Security Officer (CISO) and his / her designated representatives are responsible for managing and providing oversight for the cybersecurity-related aspects of the planning and service / tool selection process. </w:t>
      </w:r>
    </w:p>
    <w:p>
      <w:pPr>
        <w:pStyle w:val="Normal"/>
        <w:rPr/>
      </w:pPr>
      <w:r>
        <w:rPr/>
      </w:r>
    </w:p>
    <w:p>
      <w:pPr>
        <w:pStyle w:val="Normal"/>
        <w:rPr/>
      </w:pPr>
      <w:r>
        <w:rPr>
          <w:u w:val="single"/>
        </w:rPr>
        <w:t>Guidelines</w:t>
      </w:r>
      <w:r>
        <w:rPr/>
        <w:t>: None</w:t>
      </w:r>
    </w:p>
    <w:p>
      <w:pPr>
        <w:pStyle w:val="Normal"/>
        <w:rPr/>
      </w:pPr>
      <w:r>
        <w:rPr/>
      </w:r>
    </w:p>
    <w:p>
      <w:pPr>
        <w:pStyle w:val="Normal"/>
        <w:rPr/>
      </w:pPr>
      <w:r>
        <w:rPr/>
      </w:r>
    </w:p>
    <w:p>
      <w:pPr>
        <w:pStyle w:val="Heading2"/>
        <w:rPr/>
      </w:pPr>
      <w:bookmarkStart w:id="1702" w:name="_Toc474075293"/>
      <w:bookmarkStart w:id="1703" w:name="_Toc474075766"/>
      <w:bookmarkStart w:id="1704" w:name="_Toc34921211"/>
      <w:r>
        <w:rPr/>
        <w:t>PRM-03: Allocation of Resources</w:t>
      </w:r>
      <w:bookmarkEnd w:id="1702"/>
      <w:bookmarkEnd w:id="1703"/>
      <w:bookmarkEnd w:id="1704"/>
      <w:r>
        <w:rPr/>
        <w:t xml:space="preserve"> </w:t>
      </w:r>
    </w:p>
    <w:p>
      <w:pPr>
        <w:pStyle w:val="Normal"/>
        <w:rPr/>
      </w:pPr>
      <w:r>
        <w:rPr>
          <w:u w:val="single"/>
        </w:rPr>
        <w:t>Control Objective</w:t>
      </w:r>
      <w:r>
        <w:rPr/>
        <w:t>: The organization:</w:t>
      </w:r>
      <w:r>
        <w:rPr>
          <w:rStyle w:val="FootnoteAnchor"/>
          <w:rStyle w:val="FootnoteAnchor"/>
          <w:rFonts w:cs="Calibri"/>
        </w:rPr>
        <w:footnoteReference w:id="543"/>
      </w:r>
      <w:r>
        <w:rPr/>
        <w:t xml:space="preserve"> </w:t>
      </w:r>
    </w:p>
    <w:p>
      <w:pPr>
        <w:pStyle w:val="ListParagraph"/>
        <w:numPr>
          <w:ilvl w:val="0"/>
          <w:numId w:val="126"/>
        </w:numPr>
        <w:rPr/>
      </w:pPr>
      <w:r>
        <w:rPr/>
        <w:t>Includes a determination of cybersecurity requirements for systems in business process planning;</w:t>
      </w:r>
    </w:p>
    <w:p>
      <w:pPr>
        <w:pStyle w:val="ListParagraph"/>
        <w:numPr>
          <w:ilvl w:val="0"/>
          <w:numId w:val="126"/>
        </w:numPr>
        <w:rPr/>
      </w:pPr>
      <w:r>
        <w:rPr/>
        <w:t>Determines, documents and allocates the resources required to protect systems as part of its capital planning and investment control process; and</w:t>
      </w:r>
    </w:p>
    <w:p>
      <w:pPr>
        <w:pStyle w:val="ListParagraph"/>
        <w:numPr>
          <w:ilvl w:val="0"/>
          <w:numId w:val="126"/>
        </w:numPr>
        <w:rPr/>
      </w:pPr>
      <w:r>
        <w:rPr/>
        <w:t>Establishes a discrete line item for cybersecurity in organizational programming and budgeting documentation.</w:t>
      </w:r>
    </w:p>
    <w:p>
      <w:pPr>
        <w:pStyle w:val="Normal"/>
        <w:rPr/>
      </w:pPr>
      <w:r>
        <w:rPr/>
      </w:r>
    </w:p>
    <w:p>
      <w:pPr>
        <w:pStyle w:val="Normal"/>
        <w:rPr/>
      </w:pPr>
      <w:r>
        <w:rPr>
          <w:u w:val="single"/>
        </w:rPr>
        <w:t>Standard</w:t>
      </w:r>
      <w:r>
        <w:rPr/>
        <w:t>: The Chief Information Security Officer (CISO) and his / her designated representatives are responsible for managing and providing oversight for the cybersecurity-related aspects of the planning and service / tool selection process. The CISO is required to:</w:t>
      </w:r>
    </w:p>
    <w:p>
      <w:pPr>
        <w:pStyle w:val="ListParagraph"/>
        <w:numPr>
          <w:ilvl w:val="0"/>
          <w:numId w:val="450"/>
        </w:numPr>
        <w:rPr/>
      </w:pPr>
      <w:r>
        <w:rPr/>
        <w:t>Include cybersecurity requirements in business process planning; and</w:t>
      </w:r>
    </w:p>
    <w:p>
      <w:pPr>
        <w:pStyle w:val="ListParagraph"/>
        <w:numPr>
          <w:ilvl w:val="0"/>
          <w:numId w:val="450"/>
        </w:numPr>
        <w:rPr/>
      </w:pPr>
      <w:r>
        <w:rPr/>
        <w:t>Allocate resources required to protect its systems and data, as part of its capital planning process.</w:t>
      </w:r>
    </w:p>
    <w:p>
      <w:pPr>
        <w:pStyle w:val="Normal"/>
        <w:rPr/>
      </w:pPr>
      <w:r>
        <w:rPr/>
      </w:r>
    </w:p>
    <w:p>
      <w:pPr>
        <w:pStyle w:val="Normal"/>
        <w:rPr/>
      </w:pPr>
      <w:r>
        <w:rPr>
          <w:u w:val="single"/>
        </w:rPr>
        <w:t>Guidelines</w:t>
      </w:r>
      <w:r>
        <w:rPr/>
        <w:t>: To apply needed security controls within the Secure Development Life Cycle (SDLC) (including the acquisition process), it requires a basic understanding of cybersecurity, threats, vulnerabilities and risk to critical missions / business functions. Security engineering principles cannot be properly applied if individuals that design, code and test systems and system components (including information technology products that are used to build those systems / components) do not understand security. Therefore, NFCC should include qualified cybersecurity personnel in SDLC activities to ensure that security requirements are incorporated into organizational systems.</w:t>
      </w:r>
    </w:p>
    <w:p>
      <w:pPr>
        <w:pStyle w:val="Normal"/>
        <w:rPr/>
      </w:pPr>
      <w:r>
        <w:rPr/>
      </w:r>
    </w:p>
    <w:p>
      <w:pPr>
        <w:pStyle w:val="Normal"/>
        <w:rPr/>
      </w:pPr>
      <w:r>
        <w:rPr/>
      </w:r>
    </w:p>
    <w:p>
      <w:pPr>
        <w:pStyle w:val="Heading2"/>
        <w:rPr/>
      </w:pPr>
      <w:bookmarkStart w:id="1705" w:name="_Toc34921212"/>
      <w:bookmarkStart w:id="1706" w:name="_Toc474075294"/>
      <w:bookmarkStart w:id="1707" w:name="_Toc474075767"/>
      <w:bookmarkStart w:id="1708" w:name="_Toc398527098"/>
      <w:r>
        <w:rPr/>
        <w:t xml:space="preserve">PRM-04: </w:t>
      </w:r>
      <w:bookmarkEnd w:id="1706"/>
      <w:bookmarkEnd w:id="1707"/>
      <w:bookmarkEnd w:id="1708"/>
      <w:r>
        <w:rPr/>
        <w:t>Security &amp; Privacy In Project Management</w:t>
      </w:r>
      <w:bookmarkEnd w:id="1705"/>
    </w:p>
    <w:p>
      <w:pPr>
        <w:pStyle w:val="Normal"/>
        <w:rPr/>
      </w:pPr>
      <w:r>
        <w:rPr>
          <w:u w:val="single"/>
        </w:rPr>
        <w:t>Control Objective</w:t>
      </w:r>
      <w:r>
        <w:rPr/>
        <w:t xml:space="preserve">: The organization: </w:t>
      </w:r>
      <w:r>
        <w:rPr>
          <w:rStyle w:val="FootnoteAnchor"/>
          <w:rStyle w:val="FootnoteAnchor"/>
        </w:rPr>
        <w:footnoteReference w:id="544"/>
      </w:r>
    </w:p>
    <w:p>
      <w:pPr>
        <w:pStyle w:val="ListParagraph"/>
        <w:numPr>
          <w:ilvl w:val="0"/>
          <w:numId w:val="184"/>
        </w:numPr>
        <w:rPr/>
      </w:pPr>
      <w:r>
        <w:rPr/>
        <w:t>Assesses the security controls in system project management to determine the extent to which the controls are implemented correctly, operating as intended and producing the desired outcome with respect to meeting the security requirements for the system;</w:t>
      </w:r>
    </w:p>
    <w:p>
      <w:pPr>
        <w:pStyle w:val="ListParagraph"/>
        <w:numPr>
          <w:ilvl w:val="0"/>
          <w:numId w:val="184"/>
        </w:numPr>
        <w:rPr/>
      </w:pPr>
      <w:r>
        <w:rPr/>
        <w:t>Produces a security assessment report that documents the results of the assessment; and</w:t>
      </w:r>
    </w:p>
    <w:p>
      <w:pPr>
        <w:pStyle w:val="ListParagraph"/>
        <w:numPr>
          <w:ilvl w:val="0"/>
          <w:numId w:val="184"/>
        </w:numPr>
        <w:rPr/>
      </w:pPr>
      <w:r>
        <w:rPr/>
        <w:t>Provides the results of the security control assessment, in writing, to the senior cybersecurity official or officially designated representative.</w:t>
      </w:r>
    </w:p>
    <w:p>
      <w:pPr>
        <w:pStyle w:val="Normal"/>
        <w:rPr/>
      </w:pPr>
      <w:r>
        <w:rPr/>
      </w:r>
    </w:p>
    <w:p>
      <w:pPr>
        <w:pStyle w:val="Normal"/>
        <w:rPr/>
      </w:pPr>
      <w:r>
        <w:rPr>
          <w:rFonts w:cs="Calibri"/>
          <w:u w:val="single"/>
        </w:rPr>
        <w:t>Standard</w:t>
      </w:r>
      <w:r>
        <w:rPr>
          <w:rFonts w:cs="Calibri"/>
        </w:rPr>
        <w:t xml:space="preserve">: </w:t>
      </w:r>
      <w:r>
        <w:rPr/>
        <w:t>A formal cybersecurity risk analysis must be performed on all significant development and / or acquisitions, prior to systems being placed into production:</w:t>
      </w:r>
      <w:r>
        <w:rPr>
          <w:rStyle w:val="FootnoteCharacters"/>
          <w:rFonts w:cs="Calibri"/>
        </w:rPr>
        <w:t xml:space="preserve"> </w:t>
      </w:r>
    </w:p>
    <w:p>
      <w:pPr>
        <w:pStyle w:val="ListParagraph"/>
        <w:numPr>
          <w:ilvl w:val="0"/>
          <w:numId w:val="451"/>
        </w:numPr>
        <w:rPr>
          <w:rFonts w:cs="Calibri"/>
        </w:rPr>
      </w:pPr>
      <w:r>
        <w:rPr/>
        <w:t>New systems and applications must be appropriately tested for functionality prior to being placed in production; and</w:t>
      </w:r>
    </w:p>
    <w:p>
      <w:pPr>
        <w:pStyle w:val="ListParagraph"/>
        <w:numPr>
          <w:ilvl w:val="0"/>
          <w:numId w:val="451"/>
        </w:numPr>
        <w:rPr/>
      </w:pPr>
      <w:r>
        <w:rPr/>
        <w:t xml:space="preserve">Data/process owners and asset custodians are required to perform a gap analysis, at least once per year, to determine any deviations from their systems’ current state of compliance and that which is required. </w:t>
      </w:r>
    </w:p>
    <w:p>
      <w:pPr>
        <w:pStyle w:val="Normal"/>
        <w:rPr/>
      </w:pPr>
      <w:r>
        <w:rPr/>
      </w:r>
    </w:p>
    <w:p>
      <w:pPr>
        <w:pStyle w:val="Normal"/>
        <w:rPr/>
      </w:pPr>
      <w:r>
        <w:rPr>
          <w:u w:val="single"/>
        </w:rPr>
        <w:t>Guidelines</w:t>
      </w:r>
      <w:r>
        <w:rPr/>
        <w:t>: Control evaluators should have sufficient independence to provide confidence that the assessment results produced are sound and can be used to make a credible, risk-based decision.</w:t>
      </w:r>
    </w:p>
    <w:p>
      <w:pPr>
        <w:pStyle w:val="Normal"/>
        <w:rPr/>
      </w:pPr>
      <w:r>
        <w:rPr/>
      </w:r>
    </w:p>
    <w:p>
      <w:pPr>
        <w:pStyle w:val="Normal"/>
        <w:tabs>
          <w:tab w:val="clear" w:pos="360"/>
          <w:tab w:val="clear" w:pos="720"/>
          <w:tab w:val="clear" w:pos="1080"/>
        </w:tabs>
        <w:jc w:val="left"/>
        <w:rPr/>
      </w:pPr>
      <w:r>
        <w:rPr/>
      </w:r>
    </w:p>
    <w:p>
      <w:pPr>
        <w:pStyle w:val="Heading2"/>
        <w:rPr/>
      </w:pPr>
      <w:bookmarkStart w:id="1709" w:name="_Toc34921213"/>
      <w:bookmarkStart w:id="1710" w:name="_Toc474075295"/>
      <w:bookmarkStart w:id="1711" w:name="_Toc474075768"/>
      <w:bookmarkStart w:id="1712" w:name="_Toc462992766"/>
      <w:r>
        <w:rPr/>
        <w:t xml:space="preserve">PRM-05: </w:t>
      </w:r>
      <w:bookmarkEnd w:id="1710"/>
      <w:bookmarkEnd w:id="1711"/>
      <w:bookmarkEnd w:id="1712"/>
      <w:r>
        <w:rPr/>
        <w:t>Security &amp; Privacy Requirements Definition</w:t>
      </w:r>
      <w:bookmarkEnd w:id="1709"/>
    </w:p>
    <w:p>
      <w:pPr>
        <w:pStyle w:val="Normal"/>
        <w:rPr/>
      </w:pPr>
      <w:r>
        <w:rPr>
          <w:u w:val="single"/>
        </w:rPr>
        <w:t>Control Objective</w:t>
      </w:r>
      <w:r>
        <w:rPr/>
        <w:t>: The organization identifies security requirements for systems, system components and services at pre-defined decision points in the Secure Development Life Cycle (SDLC).</w:t>
      </w:r>
      <w:r>
        <w:rPr>
          <w:rStyle w:val="FootnoteAnchor"/>
          <w:rStyle w:val="FootnoteAnchor"/>
          <w:rFonts w:cs="Calibri"/>
        </w:rPr>
        <w:footnoteReference w:id="545"/>
      </w:r>
    </w:p>
    <w:p>
      <w:pPr>
        <w:pStyle w:val="Normal"/>
        <w:rPr/>
      </w:pPr>
      <w:r>
        <w:rPr/>
      </w:r>
    </w:p>
    <w:p>
      <w:pPr>
        <w:pStyle w:val="Normal"/>
        <w:rPr/>
      </w:pPr>
      <w:r>
        <w:rPr>
          <w:u w:val="single"/>
        </w:rPr>
        <w:t>Standard</w:t>
      </w:r>
      <w:r>
        <w:rPr/>
        <w:t>: Asset custodians, conjunction with data / process owners, are required to:</w:t>
      </w:r>
    </w:p>
    <w:p>
      <w:pPr>
        <w:pStyle w:val="ListParagraph"/>
        <w:numPr>
          <w:ilvl w:val="0"/>
          <w:numId w:val="593"/>
        </w:numPr>
        <w:rPr/>
      </w:pPr>
      <w:r>
        <w:rPr/>
        <w:t>Identify, define and document security requirements for systems, system components and services; and</w:t>
      </w:r>
    </w:p>
    <w:p>
      <w:pPr>
        <w:pStyle w:val="ListParagraph"/>
        <w:numPr>
          <w:ilvl w:val="0"/>
          <w:numId w:val="593"/>
        </w:numPr>
        <w:rPr/>
      </w:pPr>
      <w:r>
        <w:rPr/>
        <w:t>Update security requirements as business processes or other conditions change.</w:t>
      </w:r>
    </w:p>
    <w:p>
      <w:pPr>
        <w:pStyle w:val="Normal"/>
        <w:rPr/>
      </w:pPr>
      <w:r>
        <w:rPr/>
      </w:r>
    </w:p>
    <w:p>
      <w:pPr>
        <w:pStyle w:val="Normal"/>
        <w:rPr/>
      </w:pPr>
      <w:r>
        <w:rPr>
          <w:u w:val="single"/>
        </w:rPr>
        <w:t>Guidelines</w:t>
      </w:r>
      <w:r>
        <w:rPr/>
        <w:t xml:space="preserve">: None </w:t>
      </w:r>
    </w:p>
    <w:p>
      <w:pPr>
        <w:pStyle w:val="Normal"/>
        <w:rPr/>
      </w:pPr>
      <w:r>
        <w:rPr/>
      </w:r>
    </w:p>
    <w:p>
      <w:pPr>
        <w:pStyle w:val="Normal"/>
        <w:rPr/>
      </w:pPr>
      <w:r>
        <w:rPr/>
      </w:r>
    </w:p>
    <w:p>
      <w:pPr>
        <w:pStyle w:val="Heading2"/>
        <w:rPr/>
      </w:pPr>
      <w:bookmarkStart w:id="1713" w:name="_Toc474075296"/>
      <w:bookmarkStart w:id="1714" w:name="_Toc474075769"/>
      <w:bookmarkStart w:id="1715" w:name="_Toc34921214"/>
      <w:bookmarkStart w:id="1716" w:name="_Toc346202628"/>
      <w:r>
        <w:rPr/>
        <w:t>PRM-06: Business Process Definition</w:t>
      </w:r>
      <w:bookmarkEnd w:id="1713"/>
      <w:bookmarkEnd w:id="1714"/>
      <w:bookmarkEnd w:id="1715"/>
      <w:bookmarkEnd w:id="1716"/>
      <w:r>
        <w:rPr/>
        <w:t xml:space="preserve"> </w:t>
      </w:r>
    </w:p>
    <w:p>
      <w:pPr>
        <w:pStyle w:val="Normal"/>
        <w:rPr/>
      </w:pPr>
      <w:r>
        <w:rPr>
          <w:u w:val="single"/>
        </w:rPr>
        <w:t>Control Objective</w:t>
      </w:r>
      <w:r>
        <w:rPr/>
        <w:t>: The organization:</w:t>
      </w:r>
      <w:r>
        <w:rPr>
          <w:rStyle w:val="FootnoteAnchor"/>
          <w:rStyle w:val="FootnoteAnchor"/>
          <w:rFonts w:cs="Calibri"/>
        </w:rPr>
        <w:footnoteReference w:id="546"/>
      </w:r>
      <w:r>
        <w:rPr/>
        <w:t xml:space="preserve"> </w:t>
      </w:r>
    </w:p>
    <w:p>
      <w:pPr>
        <w:pStyle w:val="ListParagraph"/>
        <w:numPr>
          <w:ilvl w:val="0"/>
          <w:numId w:val="112"/>
        </w:numPr>
        <w:rPr/>
      </w:pPr>
      <w:r>
        <w:rPr/>
        <w:t>Defines business processes with consideration for cybersecurity and the resulting risk to organizational operations, organizational assets, individuals and other organizations; and</w:t>
      </w:r>
    </w:p>
    <w:p>
      <w:pPr>
        <w:pStyle w:val="ListParagraph"/>
        <w:numPr>
          <w:ilvl w:val="0"/>
          <w:numId w:val="112"/>
        </w:numPr>
        <w:rPr/>
      </w:pPr>
      <w:r>
        <w:rPr/>
        <w:t>Determines information protection needs arising from the defined business processes and revises the processes as necessary, until an achievable set of protection needs is obtained.</w:t>
      </w:r>
    </w:p>
    <w:p>
      <w:pPr>
        <w:pStyle w:val="Normal"/>
        <w:rPr/>
      </w:pPr>
      <w:r>
        <w:rPr/>
      </w:r>
    </w:p>
    <w:p>
      <w:pPr>
        <w:pStyle w:val="Normal"/>
        <w:rPr/>
      </w:pPr>
      <w:r>
        <w:rPr>
          <w:u w:val="single"/>
        </w:rPr>
        <w:t>Standard</w:t>
      </w:r>
      <w:r>
        <w:rPr/>
        <w:t>: Managers are required to work with asset custodians and data / process owners to formally document the established businesses processes to ensure that security considerations are addressed early in the Secure Development Life Cycle (SDLC), in order to integrate cybersecurity requirements and associated security controls into the enterprise architecture.</w:t>
      </w:r>
    </w:p>
    <w:p>
      <w:pPr>
        <w:pStyle w:val="Normal"/>
        <w:rPr/>
      </w:pPr>
      <w:r>
        <w:rPr/>
      </w:r>
    </w:p>
    <w:p>
      <w:pPr>
        <w:pStyle w:val="Normal"/>
        <w:rPr/>
      </w:pPr>
      <w:r>
        <w:rPr>
          <w:u w:val="single"/>
        </w:rPr>
        <w:t>Guidelines</w:t>
      </w:r>
      <w:r>
        <w:rPr/>
        <w:t xml:space="preserve">: Information protection needs are technology-independent, required capabilities to counter threats to organizations through the compromise of information (e.g., loss of confidentiality, integrity or availability). Information protection needs are derived from the mission / business needs defined by the organization, the mission / business processes selected to meet the stated needs and the organizational risk management strategy. </w:t>
      </w:r>
    </w:p>
    <w:p>
      <w:pPr>
        <w:pStyle w:val="Normal"/>
        <w:rPr/>
      </w:pPr>
      <w:r>
        <w:rPr/>
      </w:r>
    </w:p>
    <w:p>
      <w:pPr>
        <w:pStyle w:val="Normal"/>
        <w:rPr/>
      </w:pPr>
      <w:r>
        <w:rPr/>
      </w:r>
    </w:p>
    <w:p>
      <w:pPr>
        <w:pStyle w:val="Heading2"/>
        <w:rPr/>
      </w:pPr>
      <w:bookmarkStart w:id="1717" w:name="_Toc34921215"/>
      <w:bookmarkStart w:id="1718" w:name="_Toc474075297"/>
      <w:bookmarkStart w:id="1719" w:name="_Toc474075770"/>
      <w:r>
        <w:rPr/>
        <w:t>PRM-07: Secure Development Life Cycle (SDLC)</w:t>
      </w:r>
      <w:bookmarkEnd w:id="1718"/>
      <w:bookmarkEnd w:id="1719"/>
      <w:r>
        <w:rPr/>
        <w:t xml:space="preserve"> Management</w:t>
      </w:r>
      <w:bookmarkEnd w:id="1717"/>
    </w:p>
    <w:p>
      <w:pPr>
        <w:pStyle w:val="Normal"/>
        <w:rPr/>
      </w:pPr>
      <w:r>
        <w:rPr>
          <w:u w:val="single"/>
        </w:rPr>
        <w:t>Control Objective</w:t>
      </w:r>
      <w:r>
        <w:rPr/>
        <w:t xml:space="preserve">: The organization controls changes to systems within the Secure Development Life Cycle (SDLC) through formal change control procedures. </w:t>
      </w:r>
      <w:r>
        <w:rPr>
          <w:rStyle w:val="FootnoteAnchor"/>
          <w:rStyle w:val="FootnoteAnchor"/>
          <w:rFonts w:cs="Calibri"/>
        </w:rPr>
        <w:footnoteReference w:id="547"/>
      </w:r>
    </w:p>
    <w:p>
      <w:pPr>
        <w:pStyle w:val="Normal"/>
        <w:rPr/>
      </w:pPr>
      <w:r>
        <w:rPr/>
      </w:r>
    </w:p>
    <w:p>
      <w:pPr>
        <w:pStyle w:val="Normal"/>
        <w:rPr/>
      </w:pPr>
      <w:r>
        <w:rPr>
          <w:u w:val="single"/>
        </w:rPr>
        <w:t>Standard</w:t>
      </w:r>
      <w:r>
        <w:rPr/>
        <w:t>: For all significant development and / or acquisitions, asset custodians and data / process owners are required to:</w:t>
      </w:r>
    </w:p>
    <w:p>
      <w:pPr>
        <w:pStyle w:val="ListParagraph"/>
        <w:numPr>
          <w:ilvl w:val="0"/>
          <w:numId w:val="452"/>
        </w:numPr>
        <w:rPr/>
      </w:pPr>
      <w:r>
        <w:rPr/>
        <w:t>Manage systems using a Secure Development Life Cycle (SDLC) that includes cybersecurity considerations; and</w:t>
      </w:r>
    </w:p>
    <w:p>
      <w:pPr>
        <w:pStyle w:val="ListParagraph"/>
        <w:numPr>
          <w:ilvl w:val="0"/>
          <w:numId w:val="452"/>
        </w:numPr>
        <w:rPr/>
      </w:pPr>
      <w:r>
        <w:rPr/>
        <w:t>Define and document cybersecurity roles and responsibilities throughout the SDLC.</w:t>
      </w:r>
    </w:p>
    <w:p>
      <w:pPr>
        <w:pStyle w:val="Normal"/>
        <w:rPr/>
      </w:pPr>
      <w:r>
        <w:rPr/>
      </w:r>
    </w:p>
    <w:p>
      <w:pPr>
        <w:pStyle w:val="Normal"/>
        <w:rPr/>
      </w:pPr>
      <w:r>
        <w:rPr>
          <w:u w:val="single"/>
        </w:rPr>
        <w:t>Guidelines</w:t>
      </w:r>
      <w:r>
        <w:rPr/>
        <w:t xml:space="preserve">: The level of detail required in security-related documentation is based on the security category or classification level of the system and the degree to which organizations depend on the stated security capability to meet overall risk response expectations, as defined in the organizational risk management strategy. </w:t>
      </w:r>
    </w:p>
    <w:p>
      <w:pPr>
        <w:pStyle w:val="Normal"/>
        <w:rPr/>
      </w:pPr>
      <w:r>
        <w:rPr/>
      </w:r>
    </w:p>
    <w:p>
      <w:pPr>
        <w:pStyle w:val="Normal"/>
        <w:rPr/>
      </w:pPr>
      <w:r>
        <w:rPr/>
      </w:r>
    </w:p>
    <w:p>
      <w:pPr>
        <w:pStyle w:val="Heading2"/>
        <w:rPr/>
      </w:pPr>
      <w:bookmarkStart w:id="1720" w:name="_Toc34921216"/>
      <w:r>
        <w:rPr/>
        <w:t>PRM-08: Manage Organizational Knowledge</w:t>
      </w:r>
      <w:bookmarkEnd w:id="1720"/>
      <w:r>
        <w:rPr/>
        <w:t xml:space="preserve"> </w:t>
      </w:r>
    </w:p>
    <w:p>
      <w:pPr>
        <w:pStyle w:val="Normal"/>
        <w:rPr/>
      </w:pPr>
      <w:r>
        <w:rPr>
          <w:u w:val="single"/>
        </w:rPr>
        <w:t>Control Objective</w:t>
      </w:r>
      <w:r>
        <w:rPr/>
        <w:t>: The organization manages the organizational knowledge of its staff.</w:t>
      </w:r>
    </w:p>
    <w:p>
      <w:pPr>
        <w:pStyle w:val="Normal"/>
        <w:rPr/>
      </w:pPr>
      <w:r>
        <w:rPr/>
      </w:r>
    </w:p>
    <w:p>
      <w:pPr>
        <w:pStyle w:val="Normal"/>
        <w:rPr/>
      </w:pPr>
      <w:r>
        <w:rPr>
          <w:u w:val="single"/>
        </w:rPr>
        <w:t>Standard</w:t>
      </w:r>
      <w:r>
        <w:rPr/>
        <w:t>: The Chief Information Security Officer (CISO) and his / her designated representatives shall:</w:t>
      </w:r>
    </w:p>
    <w:p>
      <w:pPr>
        <w:pStyle w:val="ListParagraph"/>
        <w:numPr>
          <w:ilvl w:val="0"/>
          <w:numId w:val="684"/>
        </w:numPr>
        <w:rPr/>
      </w:pPr>
      <w:r>
        <w:rPr/>
        <w:t>Develop a process to identify and document the organizational and intellectual knowledge of the cybersecurity and privacy staff; and</w:t>
      </w:r>
    </w:p>
    <w:p>
      <w:pPr>
        <w:pStyle w:val="ListParagraph"/>
        <w:numPr>
          <w:ilvl w:val="0"/>
          <w:numId w:val="684"/>
        </w:numPr>
        <w:rPr/>
      </w:pPr>
      <w:r>
        <w:rPr/>
        <w:t xml:space="preserve">Document: </w:t>
      </w:r>
    </w:p>
    <w:p>
      <w:pPr>
        <w:pStyle w:val="ListParagraph"/>
        <w:numPr>
          <w:ilvl w:val="1"/>
          <w:numId w:val="684"/>
        </w:numPr>
        <w:rPr/>
      </w:pPr>
      <w:r>
        <w:rPr/>
        <w:t>Vital staff and related institutional knowledge;</w:t>
      </w:r>
    </w:p>
    <w:p>
      <w:pPr>
        <w:pStyle w:val="ListParagraph"/>
        <w:numPr>
          <w:ilvl w:val="1"/>
          <w:numId w:val="684"/>
        </w:numPr>
        <w:rPr/>
      </w:pPr>
      <w:r>
        <w:rPr/>
        <w:t>Information assets related to institutional knowledge; and</w:t>
      </w:r>
    </w:p>
    <w:p>
      <w:pPr>
        <w:pStyle w:val="ListParagraph"/>
        <w:numPr>
          <w:ilvl w:val="1"/>
          <w:numId w:val="684"/>
        </w:numPr>
        <w:rPr/>
      </w:pPr>
      <w:r>
        <w:rPr/>
        <w:t>The location of the information asset repository.</w:t>
      </w:r>
    </w:p>
    <w:p>
      <w:pPr>
        <w:pStyle w:val="Normal"/>
        <w:rPr/>
      </w:pPr>
      <w:r>
        <w:rPr/>
      </w:r>
    </w:p>
    <w:p>
      <w:pPr>
        <w:pStyle w:val="Normal"/>
        <w:rPr/>
      </w:pPr>
      <w:r>
        <w:rPr>
          <w:u w:val="single"/>
        </w:rPr>
        <w:t>Guidelines</w:t>
      </w:r>
      <w:r>
        <w:rPr/>
        <w:t xml:space="preserve">: The intellectual property of the organization is often tangible (e.g., reports, research documents, plans, etc.). However, the organization also possesses institutional information that is less visible because it represents the knowledge of skilled, experienced people in the organization. Much of this institutional knowledge is often not documented, but is vitally important to NFCC’s business functions. </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tabs>
          <w:tab w:val="clear" w:pos="360"/>
          <w:tab w:val="clear" w:pos="720"/>
          <w:tab w:val="clear" w:pos="1080"/>
        </w:tabs>
        <w:jc w:val="left"/>
        <w:rPr>
          <w:rFonts w:eastAsia="Calibri" w:cs="Calibri"/>
          <w:b/>
          <w:b/>
          <w:bCs w:val="false"/>
          <w:smallCaps/>
          <w:sz w:val="24"/>
        </w:rPr>
      </w:pPr>
      <w:r>
        <w:rPr>
          <w:rFonts w:eastAsia="Calibri" w:cs="Calibri"/>
          <w:b/>
          <w:bCs w:val="false"/>
          <w:smallCaps/>
          <w:sz w:val="24"/>
        </w:rPr>
      </w:r>
      <w:r>
        <w:br w:type="page"/>
      </w:r>
    </w:p>
    <w:p>
      <w:pPr>
        <w:pStyle w:val="Heading1"/>
        <w:rPr/>
      </w:pPr>
      <w:bookmarkStart w:id="1721" w:name="_Toc34921217"/>
      <w:bookmarkStart w:id="1722" w:name="_Toc474075298"/>
      <w:bookmarkStart w:id="1723" w:name="_Toc474075771"/>
      <w:r>
        <w:rPr/>
        <w:t>Risk Management (RSK)</w:t>
      </w:r>
      <w:bookmarkEnd w:id="1722"/>
      <w:bookmarkEnd w:id="1723"/>
      <w:r>
        <w:rPr/>
        <w:t xml:space="preserve"> Policy &amp; Standards</w:t>
      </w:r>
      <w:bookmarkEnd w:id="1721"/>
    </w:p>
    <w:p>
      <w:pPr>
        <w:pStyle w:val="Normal"/>
        <w:rPr/>
      </w:pPr>
      <w:r>
        <w:rPr/>
      </w:r>
    </w:p>
    <w:p>
      <w:pPr>
        <w:pStyle w:val="Normal"/>
        <w:rPr/>
      </w:pPr>
      <w:r>
        <w:rPr>
          <w:u w:val="single"/>
        </w:rPr>
        <w:t>Management Intent</w:t>
      </w:r>
      <w:r>
        <w:rPr/>
        <w:t xml:space="preserve">: The purpose of the Risk Management (RSK) policy is to ensure that cybersecurity-related risk is visible to and understood by the business unit(s) that own the assets and / or processes involved. Since the cybersecurity team merely facilitates and educates the management of risk, business units and other key stakeholders are expected to be active participants in NFCC’s risk discussions. </w:t>
      </w:r>
    </w:p>
    <w:p>
      <w:pPr>
        <w:pStyle w:val="Normal"/>
        <w:rPr/>
      </w:pPr>
      <w:r>
        <w:rPr/>
      </w:r>
    </w:p>
    <w:p>
      <w:pPr>
        <w:pStyle w:val="Normal"/>
        <w:shd w:val="clear" w:color="auto" w:fill="DDD9C3" w:themeFill="background2" w:themeFillShade="e6"/>
        <w:rPr/>
      </w:pPr>
      <w:r>
        <w:rPr>
          <w:u w:val="single"/>
        </w:rPr>
        <w:t>Policy</w:t>
      </w:r>
      <w:r>
        <w:rPr/>
        <w:t xml:space="preserve">: The management of risk at the appropriate level of corporate management is of critical importance to NFCC’s long-term success. Therefore, NFCC shall periodically assess the risk to operations, assets and data that are associated the processing, storage or transmission of information to support NFCC’s business processes and take appropriate action to remediate unacceptable risks. </w:t>
      </w:r>
    </w:p>
    <w:p>
      <w:pPr>
        <w:pStyle w:val="Normal"/>
        <w:rPr>
          <w:u w:val="single"/>
        </w:rPr>
      </w:pPr>
      <w:r>
        <w:rPr>
          <w:u w:val="single"/>
        </w:rPr>
      </w:r>
    </w:p>
    <w:p>
      <w:pPr>
        <w:pStyle w:val="Normal"/>
        <w:rPr/>
      </w:pPr>
      <w:r>
        <w:rPr>
          <w:u w:val="single"/>
        </w:rPr>
        <w:t>Supporting Documentation</w:t>
      </w:r>
      <w:r>
        <w:rPr/>
        <w:t xml:space="preserve">: This policy is supported by the following control objectives, standards and guidelines. </w:t>
      </w:r>
    </w:p>
    <w:p>
      <w:pPr>
        <w:pStyle w:val="Normal"/>
        <w:rPr/>
      </w:pPr>
      <w:r>
        <w:rPr/>
      </w:r>
    </w:p>
    <w:p>
      <w:pPr>
        <w:pStyle w:val="Normal"/>
        <w:rPr/>
      </w:pPr>
      <w:r>
        <w:rPr/>
      </w:r>
    </w:p>
    <w:p>
      <w:pPr>
        <w:pStyle w:val="Heading2"/>
        <w:rPr/>
      </w:pPr>
      <w:bookmarkStart w:id="1724" w:name="_Toc474075299"/>
      <w:bookmarkStart w:id="1725" w:name="_Toc474075772"/>
      <w:bookmarkStart w:id="1726" w:name="_Toc34921218"/>
      <w:r>
        <w:rPr/>
        <w:t>RSK-01: Risk Management Program</w:t>
      </w:r>
      <w:bookmarkEnd w:id="1726"/>
      <w:r>
        <w:rPr/>
        <w:t xml:space="preserve"> </w:t>
      </w:r>
      <w:bookmarkEnd w:id="1724"/>
      <w:bookmarkEnd w:id="1725"/>
    </w:p>
    <w:p>
      <w:pPr>
        <w:pStyle w:val="Normal"/>
        <w:rPr/>
      </w:pPr>
      <w:r>
        <w:rPr>
          <w:u w:val="single"/>
        </w:rPr>
        <w:t>Control Objective</w:t>
      </w:r>
      <w:r>
        <w:rPr/>
        <w:t xml:space="preserve">: The organization develops, implements and governs processes and documentation to facilitate the implementation of an enterprise-wide risk management policy, as well as associated standards, controls and procedures. </w:t>
      </w:r>
      <w:r>
        <w:rPr>
          <w:rStyle w:val="FootnoteAnchor"/>
          <w:rStyle w:val="FootnoteAnchor"/>
          <w:rFonts w:cs="Calibri"/>
        </w:rPr>
        <w:footnoteReference w:id="548"/>
      </w:r>
      <w:r>
        <w:rPr>
          <w:iCs/>
        </w:rPr>
        <w:t xml:space="preserve"> </w:t>
      </w:r>
      <w:r>
        <w:fldChar w:fldCharType="begin"/>
      </w:r>
      <w:r>
        <w:rPr/>
        <w:instrText> XE "Risk Management: : " </w:instrText>
      </w:r>
      <w:r>
        <w:rPr/>
        <w:fldChar w:fldCharType="separate"/>
      </w:r>
      <w:r>
        <w:rPr/>
      </w:r>
      <w:r>
        <w:rPr/>
        <w:fldChar w:fldCharType="end"/>
      </w:r>
    </w:p>
    <w:p>
      <w:pPr>
        <w:pStyle w:val="Normal"/>
        <w:rPr/>
      </w:pPr>
      <w:r>
        <w:rPr/>
      </w:r>
    </w:p>
    <w:p>
      <w:pPr>
        <w:pStyle w:val="Normal"/>
        <w:rPr/>
      </w:pPr>
      <w:r>
        <w:rPr>
          <w:u w:val="single"/>
        </w:rPr>
        <w:t>Standard</w:t>
      </w:r>
      <w:r>
        <w:rPr/>
        <w:t>: NFCC is required to develop and implement an enterprise-wide cybersecurity risk management strategy that includes:</w:t>
      </w:r>
    </w:p>
    <w:p>
      <w:pPr>
        <w:pStyle w:val="ListParagraph"/>
        <w:numPr>
          <w:ilvl w:val="0"/>
          <w:numId w:val="161"/>
        </w:numPr>
        <w:rPr/>
      </w:pPr>
      <w:r>
        <w:rPr/>
        <w:t>A formal risk assessment that is performed at least annually and upon significant changes to the corporate environment (e.g., acquisition, merger, relocation);</w:t>
      </w:r>
    </w:p>
    <w:p>
      <w:pPr>
        <w:pStyle w:val="ListParagraph"/>
        <w:numPr>
          <w:ilvl w:val="0"/>
          <w:numId w:val="161"/>
        </w:numPr>
        <w:rPr/>
      </w:pPr>
      <w:r>
        <w:rPr/>
        <w:t xml:space="preserve">Identification of critical assets, current safeguards, effectiveness of safeguards, threats and vulnerabilities; </w:t>
      </w:r>
    </w:p>
    <w:p>
      <w:pPr>
        <w:pStyle w:val="ListParagraph"/>
        <w:numPr>
          <w:ilvl w:val="0"/>
          <w:numId w:val="161"/>
        </w:numPr>
        <w:rPr/>
      </w:pPr>
      <w:r>
        <w:rPr/>
        <w:t>A review of all processes involving creating, receiving, maintaining and transmitting of sensitive data; and</w:t>
      </w:r>
    </w:p>
    <w:p>
      <w:pPr>
        <w:pStyle w:val="ListParagraph"/>
        <w:numPr>
          <w:ilvl w:val="0"/>
          <w:numId w:val="161"/>
        </w:numPr>
        <w:rPr>
          <w:rFonts w:ascii="Times New Roman" w:hAnsi="Times New Roman" w:eastAsia="Calibri"/>
          <w:color w:val="000000"/>
          <w:sz w:val="24"/>
          <w:szCs w:val="24"/>
        </w:rPr>
      </w:pPr>
      <w:r>
        <w:rPr/>
        <w:t>Assigning responsibility to validate security controls.</w:t>
      </w:r>
    </w:p>
    <w:p>
      <w:pPr>
        <w:pStyle w:val="ListParagraph"/>
        <w:rPr>
          <w:rFonts w:eastAsia="Calibri"/>
        </w:rPr>
      </w:pPr>
      <w:r>
        <w:rPr>
          <w:rFonts w:eastAsia="Calibri"/>
        </w:rPr>
      </w:r>
    </w:p>
    <w:p>
      <w:pPr>
        <w:pStyle w:val="Normal"/>
        <w:rPr/>
      </w:pPr>
      <w:r>
        <w:rPr>
          <w:u w:val="single"/>
        </w:rPr>
        <w:t>Guidelines</w:t>
      </w:r>
      <w:r>
        <w:rPr/>
        <w:t xml:space="preserve">: NFCC’s cybersecurity-specific risk management strategy should include an unambiguous expression of the risk tolerance for the organization, acceptable risk assessment methodologies, risk mitigation strategies, a process for consistently evaluating risk across the organization with respect to the organization’s risk tolerance and approaches for monitoring risk over time. </w:t>
      </w:r>
    </w:p>
    <w:p>
      <w:pPr>
        <w:pStyle w:val="Normal"/>
        <w:rPr/>
      </w:pPr>
      <w:r>
        <w:rPr/>
      </w:r>
    </w:p>
    <w:p>
      <w:pPr>
        <w:pStyle w:val="Normal"/>
        <w:rPr/>
      </w:pPr>
      <w:r>
        <w:rPr/>
        <w:t xml:space="preserve">Examples of risk assessment methodologies include but are not limited to </w:t>
      </w:r>
    </w:p>
    <w:p>
      <w:pPr>
        <w:pStyle w:val="ListParagraph"/>
        <w:numPr>
          <w:ilvl w:val="0"/>
          <w:numId w:val="180"/>
        </w:numPr>
        <w:rPr/>
      </w:pPr>
      <w:r>
        <w:rPr/>
        <w:t>OCTAVE;</w:t>
      </w:r>
    </w:p>
    <w:p>
      <w:pPr>
        <w:pStyle w:val="ListParagraph"/>
        <w:numPr>
          <w:ilvl w:val="0"/>
          <w:numId w:val="180"/>
        </w:numPr>
        <w:rPr/>
      </w:pPr>
      <w:r>
        <w:rPr/>
        <w:t>ISO 27005; and</w:t>
      </w:r>
    </w:p>
    <w:p>
      <w:pPr>
        <w:pStyle w:val="ListParagraph"/>
        <w:numPr>
          <w:ilvl w:val="0"/>
          <w:numId w:val="180"/>
        </w:numPr>
        <w:rPr/>
      </w:pPr>
      <w:r>
        <w:rPr/>
        <w:t>NIST SP 800-30.</w:t>
      </w:r>
    </w:p>
    <w:p>
      <w:pPr>
        <w:pStyle w:val="Normal"/>
        <w:rPr/>
      </w:pPr>
      <w:r>
        <w:rPr/>
      </w:r>
    </w:p>
    <w:p>
      <w:pPr>
        <w:pStyle w:val="Heading3"/>
        <w:rPr/>
      </w:pPr>
      <w:bookmarkStart w:id="1727" w:name="_Toc34921219"/>
      <w:r>
        <w:rPr/>
        <w:t>RSK-01(a): Risk Management Program (RMP) | Risk Framing</w:t>
      </w:r>
      <w:bookmarkEnd w:id="1727"/>
    </w:p>
    <w:p>
      <w:pPr>
        <w:pStyle w:val="Normal"/>
        <w:rPr/>
      </w:pPr>
      <w:r>
        <w:rPr>
          <w:u w:val="single"/>
        </w:rPr>
        <w:t>Control Objective</w:t>
      </w:r>
      <w:r>
        <w:rPr/>
        <w:t>: The organization identifies:</w:t>
      </w:r>
    </w:p>
    <w:p>
      <w:pPr>
        <w:pStyle w:val="ListParagraph"/>
        <w:numPr>
          <w:ilvl w:val="0"/>
          <w:numId w:val="561"/>
        </w:numPr>
        <w:rPr/>
      </w:pPr>
      <w:r>
        <w:rPr/>
        <w:t>Assumptions affecting risk assessments, risk response and risk monitoring;</w:t>
      </w:r>
    </w:p>
    <w:p>
      <w:pPr>
        <w:pStyle w:val="ListParagraph"/>
        <w:numPr>
          <w:ilvl w:val="0"/>
          <w:numId w:val="561"/>
        </w:numPr>
        <w:rPr/>
      </w:pPr>
      <w:r>
        <w:rPr/>
        <w:t>Constraints affecting risk assessments, risk response and risk monitoring;</w:t>
      </w:r>
    </w:p>
    <w:p>
      <w:pPr>
        <w:pStyle w:val="ListParagraph"/>
        <w:numPr>
          <w:ilvl w:val="0"/>
          <w:numId w:val="561"/>
        </w:numPr>
        <w:rPr/>
      </w:pPr>
      <w:r>
        <w:rPr/>
        <w:t>The organizational risk tolerance; and</w:t>
      </w:r>
    </w:p>
    <w:p>
      <w:pPr>
        <w:pStyle w:val="ListParagraph"/>
        <w:numPr>
          <w:ilvl w:val="0"/>
          <w:numId w:val="561"/>
        </w:numPr>
        <w:rPr/>
      </w:pPr>
      <w:r>
        <w:rPr/>
        <w:t>Priorities and trade-offs considered by the organization for managing risk.</w:t>
      </w:r>
    </w:p>
    <w:p>
      <w:pPr>
        <w:pStyle w:val="Normal"/>
        <w:rPr/>
      </w:pPr>
      <w:r>
        <w:rPr/>
      </w:r>
    </w:p>
    <w:p>
      <w:pPr>
        <w:pStyle w:val="Normal"/>
        <w:rPr/>
      </w:pPr>
      <w:r>
        <w:rPr>
          <w:u w:val="single"/>
        </w:rPr>
        <w:t>Standard</w:t>
      </w:r>
      <w:r>
        <w:rPr/>
        <w:t>: NFCC’s Chief Risk Officer (CRO) is assigned the responsibility for governing the Risk Management Program (RMP) to identify:</w:t>
      </w:r>
    </w:p>
    <w:p>
      <w:pPr>
        <w:pStyle w:val="ListParagraph"/>
        <w:numPr>
          <w:ilvl w:val="0"/>
          <w:numId w:val="581"/>
        </w:numPr>
        <w:tabs>
          <w:tab w:val="clear" w:pos="360"/>
          <w:tab w:val="clear" w:pos="720"/>
          <w:tab w:val="clear" w:pos="1080"/>
        </w:tabs>
        <w:rPr/>
      </w:pPr>
      <w:r>
        <w:rPr/>
        <w:t>Assumptions affecting risk assessments, risk response and risk monitoring;</w:t>
      </w:r>
    </w:p>
    <w:p>
      <w:pPr>
        <w:pStyle w:val="ListParagraph"/>
        <w:numPr>
          <w:ilvl w:val="0"/>
          <w:numId w:val="581"/>
        </w:numPr>
        <w:tabs>
          <w:tab w:val="clear" w:pos="360"/>
          <w:tab w:val="clear" w:pos="720"/>
          <w:tab w:val="clear" w:pos="1080"/>
        </w:tabs>
        <w:rPr/>
      </w:pPr>
      <w:r>
        <w:rPr/>
        <w:t>Constraints affecting risk assessments, risk response and risk monitoring;</w:t>
      </w:r>
    </w:p>
    <w:p>
      <w:pPr>
        <w:pStyle w:val="ListParagraph"/>
        <w:numPr>
          <w:ilvl w:val="0"/>
          <w:numId w:val="581"/>
        </w:numPr>
        <w:tabs>
          <w:tab w:val="clear" w:pos="360"/>
          <w:tab w:val="clear" w:pos="720"/>
          <w:tab w:val="clear" w:pos="1080"/>
        </w:tabs>
        <w:rPr/>
      </w:pPr>
      <w:r>
        <w:rPr/>
        <w:t>The organizational risk tolerance; and</w:t>
      </w:r>
    </w:p>
    <w:p>
      <w:pPr>
        <w:pStyle w:val="ListParagraph"/>
        <w:numPr>
          <w:ilvl w:val="0"/>
          <w:numId w:val="581"/>
        </w:numPr>
        <w:tabs>
          <w:tab w:val="clear" w:pos="360"/>
          <w:tab w:val="clear" w:pos="720"/>
          <w:tab w:val="clear" w:pos="1080"/>
        </w:tabs>
        <w:rPr/>
      </w:pPr>
      <w:r>
        <w:rPr/>
        <w:t>Priorities and trade-offs considered by NFCC for managing risk.</w:t>
      </w:r>
    </w:p>
    <w:p>
      <w:pPr>
        <w:pStyle w:val="Normal"/>
        <w:rPr/>
      </w:pPr>
      <w:r>
        <w:rPr/>
      </w:r>
    </w:p>
    <w:p>
      <w:pPr>
        <w:pStyle w:val="Normal"/>
        <w:rPr/>
      </w:pPr>
      <w:r>
        <w:rPr>
          <w:u w:val="single"/>
        </w:rPr>
        <w:t>Guidelines</w:t>
      </w:r>
      <w:r>
        <w:rPr/>
        <w:t>: Risk framing is most effectively conducted at the organization-wide level. The assumptions, constraints, organizational risk tolerance and priorities and trade-offs identified for this control inform the organizational risk management strategy which in turn, informs the conduct of risk assessment, risk response and risk monitoring.</w:t>
      </w:r>
    </w:p>
    <w:p>
      <w:pPr>
        <w:pStyle w:val="Normal"/>
        <w:rPr/>
      </w:pPr>
      <w:r>
        <w:rPr/>
      </w:r>
    </w:p>
    <w:p>
      <w:pPr>
        <w:pStyle w:val="Normal"/>
        <w:rPr/>
      </w:pPr>
      <w:r>
        <w:rPr/>
      </w:r>
    </w:p>
    <w:p>
      <w:pPr>
        <w:pStyle w:val="Heading2"/>
        <w:rPr/>
      </w:pPr>
      <w:bookmarkStart w:id="1728" w:name="_Toc474075300"/>
      <w:bookmarkStart w:id="1729" w:name="_Toc474075773"/>
      <w:bookmarkStart w:id="1730" w:name="_Toc34921220"/>
      <w:r>
        <w:rPr/>
        <w:t>RSK-02: Risk-Based Security Categorization</w:t>
      </w:r>
      <w:bookmarkEnd w:id="1728"/>
      <w:bookmarkEnd w:id="1729"/>
      <w:bookmarkEnd w:id="1730"/>
      <w:r>
        <w:rPr/>
        <w:t xml:space="preserve"> </w:t>
      </w:r>
    </w:p>
    <w:p>
      <w:pPr>
        <w:pStyle w:val="Normal"/>
        <w:rPr/>
      </w:pPr>
      <w:r>
        <w:rPr>
          <w:u w:val="single"/>
        </w:rPr>
        <w:t>Control Objective</w:t>
      </w:r>
      <w:r>
        <w:rPr/>
        <w:t>: The organization:</w:t>
      </w:r>
      <w:r>
        <w:rPr>
          <w:rStyle w:val="FootnoteAnchor"/>
          <w:rStyle w:val="FootnoteAnchor"/>
          <w:rFonts w:cs="Calibri"/>
        </w:rPr>
        <w:footnoteReference w:id="549"/>
      </w:r>
    </w:p>
    <w:p>
      <w:pPr>
        <w:pStyle w:val="ListParagraph"/>
        <w:numPr>
          <w:ilvl w:val="0"/>
          <w:numId w:val="119"/>
        </w:numPr>
        <w:rPr/>
      </w:pPr>
      <w:r>
        <w:rPr/>
        <w:t>Categorizes systems and data in accordance with applicable local, state and Federal laws;</w:t>
      </w:r>
    </w:p>
    <w:p>
      <w:pPr>
        <w:pStyle w:val="ListParagraph"/>
        <w:numPr>
          <w:ilvl w:val="0"/>
          <w:numId w:val="119"/>
        </w:numPr>
        <w:rPr/>
      </w:pPr>
      <w:r>
        <w:rPr/>
        <w:t>Documents the security categorization results (including supporting rationale) in the security plan for systems; and</w:t>
      </w:r>
    </w:p>
    <w:p>
      <w:pPr>
        <w:pStyle w:val="ListParagraph"/>
        <w:numPr>
          <w:ilvl w:val="0"/>
          <w:numId w:val="119"/>
        </w:numPr>
        <w:rPr/>
      </w:pPr>
      <w:r>
        <w:rPr/>
        <w:t>Ensures the security categorization decision is reviewed and approved by the asset owner.</w:t>
      </w:r>
    </w:p>
    <w:p>
      <w:pPr>
        <w:pStyle w:val="Normal"/>
        <w:rPr/>
      </w:pPr>
      <w:r>
        <w:rPr/>
      </w:r>
    </w:p>
    <w:p>
      <w:pPr>
        <w:pStyle w:val="Normal"/>
        <w:rPr/>
      </w:pPr>
      <w:r>
        <w:rPr>
          <w:u w:val="single"/>
        </w:rPr>
        <w:t>Standard</w:t>
      </w:r>
      <w:r>
        <w:rPr/>
        <w:t>: Based on the System Criticality and Data Sensitivity of a system (</w:t>
      </w:r>
      <w:r>
        <w:rPr>
          <w:i/>
          <w:u w:val="single"/>
        </w:rPr>
        <w:t>Annex 4: Baseline Security Categorization Guidelines</w:t>
      </w:r>
      <w:r>
        <w:rPr/>
        <w:t>), asset custodians and data / process owners are required to:</w:t>
      </w:r>
    </w:p>
    <w:p>
      <w:pPr>
        <w:pStyle w:val="ListParagraph"/>
        <w:numPr>
          <w:ilvl w:val="0"/>
          <w:numId w:val="453"/>
        </w:numPr>
        <w:rPr/>
      </w:pPr>
      <w:r>
        <w:rPr/>
        <w:t>Categorize the system and data; and</w:t>
      </w:r>
    </w:p>
    <w:p>
      <w:pPr>
        <w:pStyle w:val="ListParagraph"/>
        <w:numPr>
          <w:ilvl w:val="0"/>
          <w:numId w:val="453"/>
        </w:numPr>
        <w:rPr/>
      </w:pPr>
      <w:r>
        <w:rPr/>
        <w:t>Where applicable, document the security categorization results (including supporting rationale) in a System Security Plan (SSP) for the system.</w:t>
      </w:r>
    </w:p>
    <w:p>
      <w:pPr>
        <w:pStyle w:val="Normal"/>
        <w:rPr/>
      </w:pPr>
      <w:r>
        <w:rPr/>
      </w:r>
    </w:p>
    <w:p>
      <w:pPr>
        <w:pStyle w:val="Normal"/>
        <w:rPr/>
      </w:pPr>
      <w:r>
        <w:rPr>
          <w:u w:val="single"/>
        </w:rPr>
        <w:t>Guidelines</w:t>
      </w:r>
      <w:r>
        <w:rPr/>
        <w:t xml:space="preserve">: Clearly defined authorization boundaries are a prerequisite for effective security categorization decisions. Security categories describe the potential adverse impacts on organizational operations, organizational assets and individuals if organizational information and systems are compromised through a loss of confidentiality, integrity or availability. Security categorization processes carried out by business units, facilitates the development of inventories of information assets mappings to specific system components where information is processed, stored or transmitted. </w:t>
      </w:r>
    </w:p>
    <w:p>
      <w:pPr>
        <w:pStyle w:val="Normal"/>
        <w:rPr/>
      </w:pPr>
      <w:r>
        <w:rPr/>
      </w:r>
    </w:p>
    <w:p>
      <w:pPr>
        <w:pStyle w:val="Normal"/>
        <w:rPr/>
      </w:pPr>
      <w:r>
        <w:rPr/>
      </w:r>
    </w:p>
    <w:p>
      <w:pPr>
        <w:pStyle w:val="Heading2"/>
        <w:rPr/>
      </w:pPr>
      <w:bookmarkStart w:id="1731" w:name="_Toc34921221"/>
      <w:r>
        <w:rPr/>
        <w:t>RSK-03: Risk Identification</w:t>
      </w:r>
      <w:bookmarkEnd w:id="1731"/>
      <w:r>
        <w:rPr/>
        <w:t xml:space="preserve"> </w:t>
      </w:r>
    </w:p>
    <w:p>
      <w:pPr>
        <w:pStyle w:val="Normal"/>
        <w:rPr/>
      </w:pPr>
      <w:r>
        <w:rPr>
          <w:u w:val="single"/>
        </w:rPr>
        <w:t>Control Objective</w:t>
      </w:r>
      <w:r>
        <w:rPr/>
        <w:t>: The organization identifies and documents risks, both internal and external.</w:t>
      </w:r>
      <w:r>
        <w:rPr>
          <w:rStyle w:val="FootnoteCharacters"/>
          <w:rFonts w:cs="Calibri"/>
        </w:rPr>
        <w:t xml:space="preserve"> </w:t>
      </w:r>
      <w:r>
        <w:rPr>
          <w:rStyle w:val="FootnoteAnchor"/>
          <w:rStyle w:val="FootnoteAnchor"/>
          <w:rFonts w:cs="Calibri"/>
        </w:rPr>
        <w:footnoteReference w:id="550"/>
      </w:r>
      <w:r>
        <w:rPr/>
        <w:t xml:space="preserve"> </w:t>
      </w:r>
    </w:p>
    <w:p>
      <w:pPr>
        <w:pStyle w:val="Normal"/>
        <w:rPr/>
      </w:pPr>
      <w:r>
        <w:rPr/>
      </w:r>
    </w:p>
    <w:p>
      <w:pPr>
        <w:pStyle w:val="Normal"/>
        <w:rPr/>
      </w:pPr>
      <w:r>
        <w:rPr>
          <w:u w:val="single"/>
        </w:rPr>
        <w:t>Standard</w:t>
      </w:r>
      <w:r>
        <w:rPr/>
        <w:t>: In accordance with NFCC’s Risk Management Program (RMP), risks must be:</w:t>
      </w:r>
    </w:p>
    <w:p>
      <w:pPr>
        <w:pStyle w:val="ListParagraph"/>
        <w:numPr>
          <w:ilvl w:val="0"/>
          <w:numId w:val="454"/>
        </w:numPr>
        <w:rPr/>
      </w:pPr>
      <w:r>
        <w:rPr/>
        <w:t>Identified;</w:t>
      </w:r>
    </w:p>
    <w:p>
      <w:pPr>
        <w:pStyle w:val="ListParagraph"/>
        <w:numPr>
          <w:ilvl w:val="0"/>
          <w:numId w:val="454"/>
        </w:numPr>
        <w:rPr/>
      </w:pPr>
      <w:r>
        <w:rPr/>
        <w:t>Documented; and</w:t>
      </w:r>
    </w:p>
    <w:p>
      <w:pPr>
        <w:pStyle w:val="ListParagraph"/>
        <w:numPr>
          <w:ilvl w:val="0"/>
          <w:numId w:val="454"/>
        </w:numPr>
        <w:rPr/>
      </w:pPr>
      <w:r>
        <w:rPr/>
        <w:t>Assigned to the appropriate personnel for remediation action.</w:t>
      </w:r>
    </w:p>
    <w:p>
      <w:pPr>
        <w:pStyle w:val="Normal"/>
        <w:rPr/>
      </w:pPr>
      <w:r>
        <w:rPr/>
      </w:r>
    </w:p>
    <w:p>
      <w:pPr>
        <w:pStyle w:val="Normal"/>
        <w:rPr/>
      </w:pPr>
      <w:r>
        <w:rPr>
          <w:u w:val="single"/>
        </w:rPr>
        <w:t>Guidelines</w:t>
      </w:r>
      <w:r>
        <w:rPr/>
        <w:t>: None</w:t>
      </w:r>
    </w:p>
    <w:p>
      <w:pPr>
        <w:pStyle w:val="Normal"/>
        <w:rPr/>
      </w:pPr>
      <w:r>
        <w:rPr/>
      </w:r>
    </w:p>
    <w:p>
      <w:pPr>
        <w:pStyle w:val="Normal"/>
        <w:rPr/>
      </w:pPr>
      <w:r>
        <w:rPr/>
      </w:r>
    </w:p>
    <w:p>
      <w:pPr>
        <w:pStyle w:val="Heading2"/>
        <w:rPr/>
      </w:pPr>
      <w:bookmarkStart w:id="1732" w:name="_Toc474075301"/>
      <w:bookmarkStart w:id="1733" w:name="_Toc474075774"/>
      <w:bookmarkStart w:id="1734" w:name="_Toc34921222"/>
      <w:r>
        <w:rPr/>
        <w:t>RSK-04: Risk Assessment</w:t>
      </w:r>
      <w:bookmarkEnd w:id="1732"/>
      <w:bookmarkEnd w:id="1733"/>
      <w:bookmarkEnd w:id="1734"/>
      <w:r>
        <w:rPr/>
        <w:t xml:space="preserve"> </w:t>
      </w:r>
    </w:p>
    <w:p>
      <w:pPr>
        <w:pStyle w:val="Normal"/>
        <w:rPr/>
      </w:pPr>
      <w:r>
        <w:rPr>
          <w:u w:val="single"/>
        </w:rPr>
        <w:t>Control Objective</w:t>
      </w:r>
      <w:r>
        <w:rPr/>
        <w:t>: The organization:</w:t>
      </w:r>
      <w:r>
        <w:rPr>
          <w:rStyle w:val="FootnoteCharacters"/>
          <w:rFonts w:cs="Calibri"/>
        </w:rPr>
        <w:t xml:space="preserve"> </w:t>
      </w:r>
      <w:r>
        <w:rPr>
          <w:rStyle w:val="FootnoteAnchor"/>
          <w:rStyle w:val="FootnoteAnchor"/>
          <w:rFonts w:cs="Calibri"/>
        </w:rPr>
        <w:footnoteReference w:id="551"/>
      </w:r>
      <w:r>
        <w:rPr/>
        <w:t xml:space="preserve"> </w:t>
      </w:r>
    </w:p>
    <w:p>
      <w:pPr>
        <w:pStyle w:val="ListParagraph"/>
        <w:numPr>
          <w:ilvl w:val="0"/>
          <w:numId w:val="120"/>
        </w:numPr>
        <w:rPr/>
      </w:pPr>
      <w:r>
        <w:rPr/>
        <w:t>Conducts an annual assessment of risk, including the likelihood and magnitude of harm, from the unauthorized access, use, disclosure, disruption, modification or destruction of the system and the information it processes, stores or transmits;</w:t>
      </w:r>
      <w:r>
        <w:rPr>
          <w:rStyle w:val="FootnoteCharacters"/>
          <w:rFonts w:cs="Calibri"/>
        </w:rPr>
        <w:t xml:space="preserve"> </w:t>
      </w:r>
    </w:p>
    <w:p>
      <w:pPr>
        <w:pStyle w:val="ListParagraph"/>
        <w:numPr>
          <w:ilvl w:val="0"/>
          <w:numId w:val="120"/>
        </w:numPr>
        <w:rPr/>
      </w:pPr>
      <w:r>
        <w:rPr/>
        <w:t>Documents risk assessment results in an organization-approved format; and</w:t>
      </w:r>
    </w:p>
    <w:p>
      <w:pPr>
        <w:pStyle w:val="ListParagraph"/>
        <w:numPr>
          <w:ilvl w:val="0"/>
          <w:numId w:val="120"/>
        </w:numPr>
        <w:rPr/>
      </w:pPr>
      <w:r>
        <w:rPr/>
        <w:t>Reviews risk assessment results.</w:t>
      </w:r>
    </w:p>
    <w:p>
      <w:pPr>
        <w:pStyle w:val="Normal"/>
        <w:rPr/>
      </w:pPr>
      <w:r>
        <w:rPr/>
      </w:r>
    </w:p>
    <w:p>
      <w:pPr>
        <w:pStyle w:val="Normal"/>
        <w:rPr/>
      </w:pPr>
      <w:r>
        <w:rPr>
          <w:u w:val="single"/>
        </w:rPr>
        <w:t>Standard</w:t>
      </w:r>
      <w:r>
        <w:rPr/>
        <w:t>: At least once per year or upon significant changes to the networks, NFCC is required to conduct a formal cybersecurity risk assessment for the enterprise that, at the very least, covers the following:</w:t>
      </w:r>
    </w:p>
    <w:p>
      <w:pPr>
        <w:pStyle w:val="ListParagraph"/>
        <w:numPr>
          <w:ilvl w:val="0"/>
          <w:numId w:val="455"/>
        </w:numPr>
        <w:rPr/>
      </w:pPr>
      <w:r>
        <w:rPr/>
        <w:t>Identifies:</w:t>
      </w:r>
    </w:p>
    <w:p>
      <w:pPr>
        <w:pStyle w:val="ListParagraph"/>
        <w:numPr>
          <w:ilvl w:val="1"/>
          <w:numId w:val="455"/>
        </w:numPr>
        <w:rPr/>
      </w:pPr>
      <w:r>
        <w:rPr/>
        <w:t>Critical assets;</w:t>
      </w:r>
    </w:p>
    <w:p>
      <w:pPr>
        <w:pStyle w:val="ListParagraph"/>
        <w:numPr>
          <w:ilvl w:val="1"/>
          <w:numId w:val="455"/>
        </w:numPr>
        <w:rPr/>
      </w:pPr>
      <w:r>
        <w:rPr/>
        <w:t xml:space="preserve">Potential natural and man-made threats; </w:t>
      </w:r>
    </w:p>
    <w:p>
      <w:pPr>
        <w:pStyle w:val="ListParagraph"/>
        <w:numPr>
          <w:ilvl w:val="1"/>
          <w:numId w:val="455"/>
        </w:numPr>
        <w:rPr/>
      </w:pPr>
      <w:r>
        <w:rPr/>
        <w:t>Vulnerabilities;</w:t>
      </w:r>
    </w:p>
    <w:p>
      <w:pPr>
        <w:pStyle w:val="ListParagraph"/>
        <w:numPr>
          <w:ilvl w:val="0"/>
          <w:numId w:val="455"/>
        </w:numPr>
        <w:rPr/>
      </w:pPr>
      <w:r>
        <w:rPr/>
        <w:t xml:space="preserve">Documents known vulnerabilities in a formal risk assessment; </w:t>
      </w:r>
    </w:p>
    <w:p>
      <w:pPr>
        <w:pStyle w:val="ListParagraph"/>
        <w:numPr>
          <w:ilvl w:val="0"/>
          <w:numId w:val="455"/>
        </w:numPr>
        <w:rPr/>
      </w:pPr>
      <w:r>
        <w:rPr/>
        <w:t>Considers data governance:</w:t>
      </w:r>
    </w:p>
    <w:p>
      <w:pPr>
        <w:pStyle w:val="ListParagraph"/>
        <w:numPr>
          <w:ilvl w:val="1"/>
          <w:numId w:val="455"/>
        </w:numPr>
        <w:rPr/>
      </w:pPr>
      <w:r>
        <w:rPr/>
        <w:t>Awareness of where sensitive data is stored and transmitted across applications, databases, servers and network infrastructure;</w:t>
      </w:r>
    </w:p>
    <w:p>
      <w:pPr>
        <w:pStyle w:val="ListParagraph"/>
        <w:numPr>
          <w:ilvl w:val="1"/>
          <w:numId w:val="455"/>
        </w:numPr>
        <w:rPr/>
      </w:pPr>
      <w:r>
        <w:rPr/>
        <w:t>Compliance with defined retention periods and end-of-life disposal requirements; and</w:t>
      </w:r>
    </w:p>
    <w:p>
      <w:pPr>
        <w:pStyle w:val="ListParagraph"/>
        <w:numPr>
          <w:ilvl w:val="1"/>
          <w:numId w:val="455"/>
        </w:numPr>
        <w:rPr/>
      </w:pPr>
      <w:r>
        <w:rPr/>
        <w:t>Data classification and protection from unauthorized use, access, loss, destruction and falsification;</w:t>
      </w:r>
    </w:p>
    <w:p>
      <w:pPr>
        <w:pStyle w:val="ListParagraph"/>
        <w:numPr>
          <w:ilvl w:val="0"/>
          <w:numId w:val="455"/>
        </w:numPr>
        <w:rPr/>
      </w:pPr>
      <w:r>
        <w:rPr/>
        <w:t>Assesses current controls affecting the confidentiality, integrity and availability of critical data; and</w:t>
      </w:r>
    </w:p>
    <w:p>
      <w:pPr>
        <w:pStyle w:val="ListParagraph"/>
        <w:numPr>
          <w:ilvl w:val="0"/>
          <w:numId w:val="455"/>
        </w:numPr>
        <w:rPr/>
      </w:pPr>
      <w:r>
        <w:rPr/>
        <w:t>Assesses current controls affecting safety-related risks for embedded technology.</w:t>
      </w:r>
    </w:p>
    <w:p>
      <w:pPr>
        <w:pStyle w:val="Normal"/>
        <w:rPr/>
      </w:pPr>
      <w:r>
        <w:rPr/>
      </w:r>
    </w:p>
    <w:p>
      <w:pPr>
        <w:pStyle w:val="Normal"/>
        <w:rPr/>
      </w:pPr>
      <w:r>
        <w:rPr>
          <w:u w:val="single"/>
        </w:rPr>
        <w:t>Guidelines</w:t>
      </w:r>
      <w:r>
        <w:rPr/>
        <w:t xml:space="preserve">: Risk assessments take into account threats, vulnerabilities, likelihood and impact to organizational operations and assets, individuals and other organizations based on the operation and use of systems. Risk assessments also take into account risk from external parties (e.g., service providers, contractors operating systems on behalf of the organization, individuals accessing organizational systems, outsourcing entities). </w:t>
      </w:r>
    </w:p>
    <w:p>
      <w:pPr>
        <w:pStyle w:val="Normal"/>
        <w:rPr/>
      </w:pPr>
      <w:r>
        <w:rPr/>
      </w:r>
    </w:p>
    <w:p>
      <w:pPr>
        <w:pStyle w:val="Normal"/>
        <w:rPr/>
      </w:pPr>
      <w:r>
        <w:rPr/>
        <w:t>Physical protection against damage from natural causes and disasters, as well as deliberate attacks, including fire, flood, atmospheric electrical discharge, solar-induced geomagnetic storm, wind, earthquake, tsunami, explosion, nuclear accident, volcanic activity, biological hazard, civil unrest, mudslide, tectonic activity and other forms of natural or man-made disaster should be anticipated, designed and have countermeasures applied.</w:t>
      </w:r>
    </w:p>
    <w:p>
      <w:pPr>
        <w:pStyle w:val="Normal"/>
        <w:rPr/>
      </w:pPr>
      <w:r>
        <w:rPr/>
      </w:r>
    </w:p>
    <w:p>
      <w:pPr>
        <w:pStyle w:val="Heading3"/>
        <w:rPr/>
      </w:pPr>
      <w:bookmarkStart w:id="1735" w:name="_Toc34921223"/>
      <w:r>
        <w:rPr/>
        <w:t>RSK-04(a): Risk Assessment | Risk Register</w:t>
      </w:r>
      <w:bookmarkEnd w:id="1735"/>
      <w:r>
        <w:rPr/>
        <w:t xml:space="preserve"> </w:t>
      </w:r>
    </w:p>
    <w:p>
      <w:pPr>
        <w:pStyle w:val="Normal"/>
        <w:rPr/>
      </w:pPr>
      <w:r>
        <w:rPr>
          <w:u w:val="single"/>
        </w:rPr>
        <w:t>Control Objective</w:t>
      </w:r>
      <w:r>
        <w:rPr/>
        <w:t>: The organization maintains a risk register to facilitate monitoring and reporting of risks.</w:t>
      </w:r>
    </w:p>
    <w:p>
      <w:pPr>
        <w:pStyle w:val="Normal"/>
        <w:rPr/>
      </w:pPr>
      <w:r>
        <w:rPr/>
      </w:r>
    </w:p>
    <w:p>
      <w:pPr>
        <w:pStyle w:val="Normal"/>
        <w:rPr/>
      </w:pPr>
      <w:r>
        <w:rPr>
          <w:u w:val="single"/>
        </w:rPr>
        <w:t>Standard</w:t>
      </w:r>
      <w:r>
        <w:rPr/>
        <w:t>: In accordance with NFCC’s Risk Management Program (RMP), unremediated risks must be tracked in a risk register or some other form of tracking mechanism.</w:t>
      </w:r>
    </w:p>
    <w:p>
      <w:pPr>
        <w:pStyle w:val="Normal"/>
        <w:rPr/>
      </w:pPr>
      <w:r>
        <w:rPr/>
      </w:r>
    </w:p>
    <w:p>
      <w:pPr>
        <w:pStyle w:val="Normal"/>
        <w:rPr/>
      </w:pPr>
      <w:r>
        <w:rPr>
          <w:u w:val="single"/>
        </w:rPr>
        <w:t>Guidelines</w:t>
      </w:r>
      <w:r>
        <w:rPr/>
        <w:t>: None</w:t>
      </w:r>
    </w:p>
    <w:p>
      <w:pPr>
        <w:pStyle w:val="Normal"/>
        <w:rPr/>
      </w:pPr>
      <w:r>
        <w:rPr/>
      </w:r>
    </w:p>
    <w:p>
      <w:pPr>
        <w:pStyle w:val="Normal"/>
        <w:rPr/>
      </w:pPr>
      <w:r>
        <w:rPr/>
      </w:r>
    </w:p>
    <w:p>
      <w:pPr>
        <w:pStyle w:val="Heading2"/>
        <w:rPr/>
      </w:pPr>
      <w:bookmarkStart w:id="1736" w:name="_Toc474075302"/>
      <w:bookmarkStart w:id="1737" w:name="_Toc474075775"/>
      <w:bookmarkStart w:id="1738" w:name="_Toc34921224"/>
      <w:r>
        <w:rPr/>
        <w:t>RSK-05: Risk Ranking</w:t>
      </w:r>
      <w:bookmarkEnd w:id="1736"/>
      <w:bookmarkEnd w:id="1737"/>
      <w:bookmarkEnd w:id="1738"/>
      <w:r>
        <w:rPr/>
        <w:t xml:space="preserve"> </w:t>
      </w:r>
    </w:p>
    <w:p>
      <w:pPr>
        <w:pStyle w:val="Normal"/>
        <w:rPr/>
      </w:pPr>
      <w:r>
        <w:rPr>
          <w:u w:val="single"/>
        </w:rPr>
        <w:t>Control Objective</w:t>
      </w:r>
      <w:r>
        <w:rPr/>
        <w:t>: The organization utilizes a process to identify and assign a risk ranking to newly discovered security vulnerabilities that is based on industry-recognized leading practices.</w:t>
      </w:r>
      <w:r>
        <w:rPr>
          <w:rStyle w:val="FootnoteCharacters"/>
          <w:rFonts w:cs="Calibri"/>
        </w:rPr>
        <w:t xml:space="preserve"> </w:t>
      </w:r>
      <w:r>
        <w:rPr>
          <w:rStyle w:val="FootnoteAnchor"/>
          <w:rStyle w:val="FootnoteAnchor"/>
          <w:rFonts w:cs="Calibri"/>
        </w:rPr>
        <w:footnoteReference w:id="552"/>
      </w:r>
      <w:r>
        <w:rPr/>
        <w:t xml:space="preserve"> </w:t>
      </w:r>
    </w:p>
    <w:p>
      <w:pPr>
        <w:pStyle w:val="Normal"/>
        <w:rPr/>
      </w:pPr>
      <w:r>
        <w:rPr/>
      </w:r>
    </w:p>
    <w:p>
      <w:pPr>
        <w:pStyle w:val="Normal"/>
        <w:rPr/>
      </w:pPr>
      <w:r>
        <w:rPr>
          <w:u w:val="single"/>
        </w:rPr>
        <w:t>Standard</w:t>
      </w:r>
      <w:r>
        <w:rPr/>
        <w:t>: In accordance with NFCC’s Risk Management Program (RMP), risks must be:</w:t>
      </w:r>
    </w:p>
    <w:p>
      <w:pPr>
        <w:pStyle w:val="ListParagraph"/>
        <w:numPr>
          <w:ilvl w:val="0"/>
          <w:numId w:val="456"/>
        </w:numPr>
        <w:rPr/>
      </w:pPr>
      <w:r>
        <w:rPr/>
        <w:t>Ranked; and</w:t>
      </w:r>
    </w:p>
    <w:p>
      <w:pPr>
        <w:pStyle w:val="ListParagraph"/>
        <w:numPr>
          <w:ilvl w:val="0"/>
          <w:numId w:val="456"/>
        </w:numPr>
        <w:rPr/>
      </w:pPr>
      <w:r>
        <w:rPr/>
        <w:t xml:space="preserve">Prioritized accordingly for remediation. </w:t>
      </w:r>
    </w:p>
    <w:p>
      <w:pPr>
        <w:pStyle w:val="Normal"/>
        <w:rPr/>
      </w:pPr>
      <w:r>
        <w:rPr/>
      </w:r>
    </w:p>
    <w:p>
      <w:pPr>
        <w:pStyle w:val="Normal"/>
        <w:rPr/>
      </w:pPr>
      <w:r>
        <w:rPr>
          <w:u w:val="single"/>
        </w:rPr>
        <w:t>Guidelines</w:t>
      </w:r>
      <w:r>
        <w:rPr/>
        <w:t xml:space="preserve">: Data/process owners and asset custodians should reference the National Vulnerability Database (NVD) Common Vulnerability Scoring System Support (CVSS) system to assist in ranking vulnerabilities. The NVD provides severity rankings of "Low," "Medium," and "High" in addition to the numeric CVSS scores. </w:t>
      </w:r>
    </w:p>
    <w:p>
      <w:pPr>
        <w:pStyle w:val="ListParagraph"/>
        <w:numPr>
          <w:ilvl w:val="0"/>
          <w:numId w:val="121"/>
        </w:numPr>
        <w:rPr/>
      </w:pPr>
      <w:r>
        <w:rPr/>
        <w:t>Vulnerabilities are labeled "Low" severity if they have a CVSS base score of 0.0-3.9.</w:t>
      </w:r>
    </w:p>
    <w:p>
      <w:pPr>
        <w:pStyle w:val="ListParagraph"/>
        <w:numPr>
          <w:ilvl w:val="0"/>
          <w:numId w:val="121"/>
        </w:numPr>
        <w:rPr/>
      </w:pPr>
      <w:r>
        <w:rPr/>
        <w:t>Vulnerabilities will be labeled "Medium" severity if they have a base CVSS score of 4.0-6.9.</w:t>
      </w:r>
    </w:p>
    <w:p>
      <w:pPr>
        <w:pStyle w:val="ListParagraph"/>
        <w:numPr>
          <w:ilvl w:val="0"/>
          <w:numId w:val="121"/>
        </w:numPr>
        <w:rPr/>
      </w:pPr>
      <w:r>
        <w:rPr/>
        <w:t>Vulnerabilities will be labeled "High" severity if they have a CVSS base score of 7.0-10.0.</w:t>
      </w:r>
    </w:p>
    <w:p>
      <w:pPr>
        <w:pStyle w:val="Normal"/>
        <w:rPr/>
      </w:pPr>
      <w:r>
        <w:rPr/>
      </w:r>
    </w:p>
    <w:p>
      <w:pPr>
        <w:pStyle w:val="Normal"/>
        <w:rPr/>
      </w:pPr>
      <w:r>
        <w:rPr/>
      </w:r>
    </w:p>
    <w:p>
      <w:pPr>
        <w:pStyle w:val="Heading2"/>
        <w:rPr/>
      </w:pPr>
      <w:bookmarkStart w:id="1739" w:name="_Toc474075303"/>
      <w:bookmarkStart w:id="1740" w:name="_Toc474075776"/>
      <w:bookmarkStart w:id="1741" w:name="_Toc34921225"/>
      <w:r>
        <w:rPr/>
        <w:t>RSK-06: Risk Remediation</w:t>
      </w:r>
      <w:bookmarkEnd w:id="1739"/>
      <w:bookmarkEnd w:id="1740"/>
      <w:bookmarkEnd w:id="1741"/>
      <w:r>
        <w:rPr/>
        <w:t xml:space="preserve"> </w:t>
      </w:r>
    </w:p>
    <w:p>
      <w:pPr>
        <w:pStyle w:val="Normal"/>
        <w:rPr/>
      </w:pPr>
      <w:r>
        <w:rPr>
          <w:u w:val="single"/>
        </w:rPr>
        <w:t>Control Objective</w:t>
      </w:r>
      <w:r>
        <w:rPr/>
        <w:t>: The organization remediates risks to an acceptable level.</w:t>
      </w:r>
      <w:r>
        <w:rPr>
          <w:rStyle w:val="FootnoteCharacters"/>
        </w:rPr>
        <w:t xml:space="preserve"> </w:t>
      </w:r>
      <w:r>
        <w:rPr>
          <w:rStyle w:val="FootnoteAnchor"/>
          <w:rStyle w:val="FootnoteAnchor"/>
        </w:rPr>
        <w:footnoteReference w:id="553"/>
      </w:r>
    </w:p>
    <w:p>
      <w:pPr>
        <w:pStyle w:val="Normal"/>
        <w:rPr/>
      </w:pPr>
      <w:r>
        <w:rPr/>
      </w:r>
    </w:p>
    <w:p>
      <w:pPr>
        <w:pStyle w:val="Normal"/>
        <w:rPr/>
      </w:pPr>
      <w:r>
        <w:rPr>
          <w:u w:val="single"/>
        </w:rPr>
        <w:t>Standard</w:t>
      </w:r>
      <w:r>
        <w:rPr/>
        <w:t>: NFCC requires that:</w:t>
      </w:r>
    </w:p>
    <w:p>
      <w:pPr>
        <w:pStyle w:val="ListParagraph"/>
        <w:numPr>
          <w:ilvl w:val="0"/>
          <w:numId w:val="457"/>
        </w:numPr>
        <w:rPr/>
      </w:pPr>
      <w:r>
        <w:rPr/>
        <w:t>Risks shall be mitigated to an acceptable level; and</w:t>
      </w:r>
    </w:p>
    <w:p>
      <w:pPr>
        <w:pStyle w:val="ListParagraph"/>
        <w:numPr>
          <w:ilvl w:val="0"/>
          <w:numId w:val="457"/>
        </w:numPr>
        <w:rPr/>
      </w:pPr>
      <w:r>
        <w:rPr/>
        <w:t>Remediation actions, based on risk criteria, are established and documented in accordance with reasonable resolution time frames and stakeholder approval.</w:t>
      </w:r>
    </w:p>
    <w:p>
      <w:pPr>
        <w:pStyle w:val="Normal"/>
        <w:rPr/>
      </w:pPr>
      <w:r>
        <w:rPr/>
      </w:r>
    </w:p>
    <w:p>
      <w:pPr>
        <w:pStyle w:val="Normal"/>
        <w:rPr/>
      </w:pPr>
      <w:r>
        <w:rPr>
          <w:u w:val="single"/>
        </w:rPr>
        <w:t>Guidelines</w:t>
      </w:r>
      <w:r>
        <w:rPr/>
        <w:t>: None</w:t>
      </w:r>
    </w:p>
    <w:p>
      <w:pPr>
        <w:pStyle w:val="Normal"/>
        <w:rPr/>
      </w:pPr>
      <w:r>
        <w:rPr/>
      </w:r>
    </w:p>
    <w:p>
      <w:pPr>
        <w:pStyle w:val="Heading3"/>
        <w:rPr/>
      </w:pPr>
      <w:bookmarkStart w:id="1742" w:name="_Toc34921226"/>
      <w:r>
        <w:rPr/>
        <w:t>RSK-06(a): Risk Remediation | Risk Response</w:t>
      </w:r>
      <w:bookmarkEnd w:id="1742"/>
    </w:p>
    <w:p>
      <w:pPr>
        <w:pStyle w:val="Normal"/>
        <w:rPr/>
      </w:pPr>
      <w:r>
        <w:rPr>
          <w:u w:val="single"/>
        </w:rPr>
        <w:t>Control Objective</w:t>
      </w:r>
      <w:r>
        <w:rPr/>
        <w:t>: The organization responds to findings from security and privacy assessments, monitoring and audits.</w:t>
      </w:r>
    </w:p>
    <w:p>
      <w:pPr>
        <w:pStyle w:val="Normal"/>
        <w:rPr/>
      </w:pPr>
      <w:r>
        <w:rPr/>
      </w:r>
    </w:p>
    <w:p>
      <w:pPr>
        <w:pStyle w:val="Normal"/>
        <w:rPr>
          <w:bCs w:val="false"/>
        </w:rPr>
      </w:pPr>
      <w:r>
        <w:rPr>
          <w:bCs w:val="false"/>
          <w:u w:val="single"/>
        </w:rPr>
        <w:t>Standard</w:t>
      </w:r>
      <w:r>
        <w:rPr>
          <w:bCs w:val="false"/>
        </w:rPr>
        <w:t>: NFCC responds to risks based on the potential severity the risk poses to the organization:</w:t>
      </w:r>
    </w:p>
    <w:p>
      <w:pPr>
        <w:pStyle w:val="ListParagraph"/>
        <w:numPr>
          <w:ilvl w:val="0"/>
          <w:numId w:val="582"/>
        </w:numPr>
        <w:tabs>
          <w:tab w:val="clear" w:pos="360"/>
          <w:tab w:val="clear" w:pos="720"/>
          <w:tab w:val="clear" w:pos="1080"/>
        </w:tabs>
        <w:rPr/>
      </w:pPr>
      <w:r>
        <w:rPr/>
        <w:t>The Chief Risk Officer (CRO) is assigned the responsibility for</w:t>
      </w:r>
      <w:r>
        <w:rPr>
          <w:bCs w:val="false"/>
        </w:rPr>
        <w:t xml:space="preserve"> e</w:t>
      </w:r>
      <w:r>
        <w:rPr/>
        <w:t>stablishing and maintaining processes to identify and assign a risk ranking to newly discovered security vulnerabilities;</w:t>
      </w:r>
    </w:p>
    <w:p>
      <w:pPr>
        <w:pStyle w:val="ListParagraph"/>
        <w:numPr>
          <w:ilvl w:val="0"/>
          <w:numId w:val="582"/>
        </w:numPr>
        <w:tabs>
          <w:tab w:val="clear" w:pos="360"/>
          <w:tab w:val="clear" w:pos="720"/>
          <w:tab w:val="clear" w:pos="1080"/>
        </w:tabs>
        <w:rPr/>
      </w:pPr>
      <w:r>
        <w:rPr/>
        <w:t>Risk rankings should be based on industry-recognized leading practices; and</w:t>
      </w:r>
    </w:p>
    <w:p>
      <w:pPr>
        <w:pStyle w:val="ListParagraph"/>
        <w:numPr>
          <w:ilvl w:val="0"/>
          <w:numId w:val="582"/>
        </w:numPr>
        <w:tabs>
          <w:tab w:val="clear" w:pos="360"/>
          <w:tab w:val="clear" w:pos="720"/>
          <w:tab w:val="clear" w:pos="1080"/>
        </w:tabs>
        <w:rPr/>
      </w:pPr>
      <w:r>
        <w:rPr>
          <w:bCs w:val="false"/>
        </w:rPr>
        <w:t xml:space="preserve">Asset custodians and data/process owners are required to </w:t>
      </w:r>
      <w:r>
        <w:rPr/>
        <w:t xml:space="preserve">rank vulnerabilities according to the National Vulnerability Database (NVD) Common Vulnerability Scoring System Support (CVSS) system. </w:t>
      </w:r>
    </w:p>
    <w:p>
      <w:pPr>
        <w:pStyle w:val="Normal"/>
        <w:rPr/>
      </w:pPr>
      <w:r>
        <w:rPr/>
      </w:r>
    </w:p>
    <w:p>
      <w:pPr>
        <w:pStyle w:val="Normal"/>
        <w:rPr/>
      </w:pPr>
      <w:r>
        <w:rPr>
          <w:u w:val="single"/>
        </w:rPr>
        <w:t>Guidelines</w:t>
      </w:r>
      <w:r>
        <w:rPr/>
        <w:t xml:space="preserve">: The NVD provides severity rankings of "Low," "Medium," and "High" in addition to the numeric CVSS scores. </w:t>
      </w:r>
    </w:p>
    <w:p>
      <w:pPr>
        <w:pStyle w:val="ListParagraph"/>
        <w:numPr>
          <w:ilvl w:val="0"/>
          <w:numId w:val="121"/>
        </w:numPr>
        <w:tabs>
          <w:tab w:val="clear" w:pos="360"/>
          <w:tab w:val="clear" w:pos="720"/>
          <w:tab w:val="clear" w:pos="1080"/>
        </w:tabs>
        <w:rPr/>
      </w:pPr>
      <w:r>
        <w:rPr/>
        <w:t>Vulnerabilities are labeled "Low" severity if they have a CVSS base score of 0.0-3.9.</w:t>
      </w:r>
    </w:p>
    <w:p>
      <w:pPr>
        <w:pStyle w:val="ListParagraph"/>
        <w:numPr>
          <w:ilvl w:val="0"/>
          <w:numId w:val="121"/>
        </w:numPr>
        <w:tabs>
          <w:tab w:val="clear" w:pos="360"/>
          <w:tab w:val="clear" w:pos="720"/>
          <w:tab w:val="clear" w:pos="1080"/>
        </w:tabs>
        <w:rPr/>
      </w:pPr>
      <w:r>
        <w:rPr/>
        <w:t>Vulnerabilities will be labeled "Medium" severity if they have a base CVSS score of 4.0-6.9.</w:t>
      </w:r>
    </w:p>
    <w:p>
      <w:pPr>
        <w:pStyle w:val="ListParagraph"/>
        <w:numPr>
          <w:ilvl w:val="0"/>
          <w:numId w:val="121"/>
        </w:numPr>
        <w:tabs>
          <w:tab w:val="clear" w:pos="360"/>
          <w:tab w:val="clear" w:pos="720"/>
          <w:tab w:val="clear" w:pos="1080"/>
        </w:tabs>
        <w:rPr/>
      </w:pPr>
      <w:r>
        <w:rPr/>
        <w:t>Vulnerabilities will be labeled "High" severity if they have a CVSS base score of 7.0-10.0.</w:t>
      </w:r>
    </w:p>
    <w:p>
      <w:pPr>
        <w:pStyle w:val="Normal"/>
        <w:rPr/>
      </w:pPr>
      <w:r>
        <w:rPr/>
      </w:r>
    </w:p>
    <w:p>
      <w:pPr>
        <w:pStyle w:val="Normal"/>
        <w:rPr/>
      </w:pPr>
      <w:r>
        <w:rPr/>
        <w:t>Organizations have a variety of options for responding to risk including: mitigating the risk by implementing new controls or strengthening existing controls; accepting the risk with appropriate justification or rationale; sharing or transferring the risk; or rejecting the risk. Organizational risk tolerance influences risk response decisions and actions. Risk response is also known as risk treatment. This control addresses the need to determine an appropriate response to risk before a plan of action and milestones entry is generated. For example, the response may be to accept risk or reject risk, or it may be possible to mitigate the risk immediately so a plan of action and milestones entry is not needed. However, if the risk response is to mitigate the risk and the mitigation cannot be completed immediately, a plan of action and milestones entry is generated.</w:t>
      </w:r>
    </w:p>
    <w:p>
      <w:pPr>
        <w:pStyle w:val="Normal"/>
        <w:rPr/>
      </w:pPr>
      <w:r>
        <w:rPr/>
      </w:r>
    </w:p>
    <w:p>
      <w:pPr>
        <w:pStyle w:val="Normal"/>
        <w:rPr/>
      </w:pPr>
      <w:r>
        <w:rPr/>
      </w:r>
    </w:p>
    <w:p>
      <w:pPr>
        <w:pStyle w:val="Heading2"/>
        <w:rPr/>
      </w:pPr>
      <w:bookmarkStart w:id="1743" w:name="_Toc474075304"/>
      <w:bookmarkStart w:id="1744" w:name="_Toc474075777"/>
      <w:bookmarkStart w:id="1745" w:name="_Toc34921227"/>
      <w:r>
        <w:rPr/>
        <w:t>RSK-07: Risk Assessment Update</w:t>
      </w:r>
      <w:bookmarkEnd w:id="1743"/>
      <w:bookmarkEnd w:id="1744"/>
      <w:bookmarkEnd w:id="1745"/>
    </w:p>
    <w:p>
      <w:pPr>
        <w:pStyle w:val="Normal"/>
        <w:rPr/>
      </w:pPr>
      <w:r>
        <w:rPr>
          <w:u w:val="single"/>
        </w:rPr>
        <w:t>Control Objective</w:t>
      </w:r>
      <w:r>
        <w:rPr/>
        <w:t>: The organization routinely updates its risk assessments and reacts accordingly upon identifying new security vulnerabilities, including using outside sources for security vulnerability information.</w:t>
      </w:r>
    </w:p>
    <w:p>
      <w:pPr>
        <w:pStyle w:val="Normal"/>
        <w:rPr/>
      </w:pPr>
      <w:r>
        <w:rPr/>
      </w:r>
    </w:p>
    <w:p>
      <w:pPr>
        <w:pStyle w:val="Normal"/>
        <w:rPr/>
      </w:pPr>
      <w:r>
        <w:rPr>
          <w:u w:val="single"/>
        </w:rPr>
        <w:t>Standard</w:t>
      </w:r>
      <w:r>
        <w:rPr/>
        <w:t xml:space="preserve">: NFCC is required to update risk assessments whenever there are significant changes to systems, the environment of operation or other conditions that may impact the security state of the system. </w:t>
      </w:r>
    </w:p>
    <w:p>
      <w:pPr>
        <w:pStyle w:val="Normal"/>
        <w:rPr/>
      </w:pPr>
      <w:r>
        <w:rPr/>
      </w:r>
    </w:p>
    <w:p>
      <w:pPr>
        <w:pStyle w:val="Normal"/>
        <w:rPr/>
      </w:pPr>
      <w:r>
        <w:rPr>
          <w:u w:val="single"/>
        </w:rPr>
        <w:t>Guidelines</w:t>
      </w:r>
      <w:r>
        <w:rPr/>
        <w:t>: None</w:t>
      </w:r>
    </w:p>
    <w:p>
      <w:pPr>
        <w:pStyle w:val="Normal"/>
        <w:rPr/>
      </w:pPr>
      <w:r>
        <w:rPr/>
      </w:r>
    </w:p>
    <w:p>
      <w:pPr>
        <w:pStyle w:val="Normal"/>
        <w:tabs>
          <w:tab w:val="clear" w:pos="360"/>
          <w:tab w:val="clear" w:pos="720"/>
          <w:tab w:val="clear" w:pos="1080"/>
        </w:tabs>
        <w:jc w:val="left"/>
        <w:rPr/>
      </w:pPr>
      <w:r>
        <w:rPr/>
      </w:r>
    </w:p>
    <w:p>
      <w:pPr>
        <w:pStyle w:val="Heading2"/>
        <w:rPr/>
      </w:pPr>
      <w:bookmarkStart w:id="1746" w:name="_Toc34921228"/>
      <w:bookmarkStart w:id="1747" w:name="_Toc474075305"/>
      <w:bookmarkStart w:id="1748" w:name="_Toc474075778"/>
      <w:r>
        <w:rPr/>
        <w:t>RSK-08: Business Impact Analysis (BIAs)</w:t>
      </w:r>
      <w:bookmarkEnd w:id="1746"/>
      <w:bookmarkEnd w:id="1747"/>
      <w:bookmarkEnd w:id="1748"/>
      <w:r>
        <w:rPr/>
        <w:t xml:space="preserve"> </w:t>
      </w:r>
    </w:p>
    <w:p>
      <w:pPr>
        <w:pStyle w:val="Normal"/>
        <w:rPr/>
      </w:pPr>
      <w:r>
        <w:rPr>
          <w:u w:val="single"/>
        </w:rPr>
        <w:t>Control Objective</w:t>
      </w:r>
      <w:r>
        <w:rPr/>
        <w:t>: The organization conducts Business Impact Analysis (BIAs) according to organization-defined criteria.</w:t>
      </w:r>
      <w:r>
        <w:rPr>
          <w:rStyle w:val="FootnoteCharacters"/>
        </w:rPr>
        <w:t xml:space="preserve"> </w:t>
      </w:r>
      <w:r>
        <w:rPr>
          <w:rStyle w:val="FootnoteAnchor"/>
          <w:rStyle w:val="FootnoteAnchor"/>
        </w:rPr>
        <w:footnoteReference w:id="554"/>
      </w:r>
    </w:p>
    <w:p>
      <w:pPr>
        <w:pStyle w:val="Normal"/>
        <w:rPr/>
      </w:pPr>
      <w:r>
        <w:rPr/>
      </w:r>
    </w:p>
    <w:p>
      <w:pPr>
        <w:pStyle w:val="Normal"/>
        <w:rPr/>
      </w:pPr>
      <w:r>
        <w:rPr>
          <w:u w:val="single"/>
        </w:rPr>
        <w:t>Standard</w:t>
      </w:r>
      <w:r>
        <w:rPr/>
        <w:t xml:space="preserve">: NFCC requires: </w:t>
      </w:r>
    </w:p>
    <w:p>
      <w:pPr>
        <w:pStyle w:val="ListParagraph"/>
        <w:numPr>
          <w:ilvl w:val="0"/>
          <w:numId w:val="458"/>
        </w:numPr>
        <w:rPr>
          <w:rFonts w:eastAsia="Calibri" w:cs="Calibri"/>
          <w:sz w:val="24"/>
        </w:rPr>
      </w:pPr>
      <w:r>
        <w:rPr/>
        <w:t>A defined and documented method for determining the impact of any disruption to NFCC’s business operations (e.g., Business Impact Analysis (BIA)) that must incorporate the following:</w:t>
      </w:r>
    </w:p>
    <w:p>
      <w:pPr>
        <w:pStyle w:val="ListParagraph"/>
        <w:numPr>
          <w:ilvl w:val="1"/>
          <w:numId w:val="458"/>
        </w:numPr>
        <w:rPr/>
      </w:pPr>
      <w:r>
        <w:rPr/>
        <w:t>Identify critical products and services;</w:t>
      </w:r>
    </w:p>
    <w:p>
      <w:pPr>
        <w:pStyle w:val="ListParagraph"/>
        <w:numPr>
          <w:ilvl w:val="1"/>
          <w:numId w:val="458"/>
        </w:numPr>
        <w:rPr/>
      </w:pPr>
      <w:r>
        <w:rPr/>
        <w:t>Identify all dependencies, including processes, applications, business partners and third-party service providers;</w:t>
      </w:r>
    </w:p>
    <w:p>
      <w:pPr>
        <w:pStyle w:val="ListParagraph"/>
        <w:numPr>
          <w:ilvl w:val="1"/>
          <w:numId w:val="458"/>
        </w:numPr>
        <w:rPr/>
      </w:pPr>
      <w:r>
        <w:rPr/>
        <w:t>Understand threats to critical products and services;</w:t>
      </w:r>
    </w:p>
    <w:p>
      <w:pPr>
        <w:pStyle w:val="ListParagraph"/>
        <w:numPr>
          <w:ilvl w:val="1"/>
          <w:numId w:val="458"/>
        </w:numPr>
        <w:rPr/>
      </w:pPr>
      <w:r>
        <w:rPr/>
        <w:t>Determine impacts resulting from planned or unplanned disruptions and how these vary over time;</w:t>
      </w:r>
    </w:p>
    <w:p>
      <w:pPr>
        <w:pStyle w:val="ListParagraph"/>
        <w:numPr>
          <w:ilvl w:val="1"/>
          <w:numId w:val="458"/>
        </w:numPr>
        <w:rPr/>
      </w:pPr>
      <w:r>
        <w:rPr/>
        <w:t>Establish the maximum tolerable period of disruption;</w:t>
      </w:r>
    </w:p>
    <w:p>
      <w:pPr>
        <w:pStyle w:val="ListParagraph"/>
        <w:numPr>
          <w:ilvl w:val="1"/>
          <w:numId w:val="458"/>
        </w:numPr>
        <w:rPr/>
      </w:pPr>
      <w:r>
        <w:rPr/>
        <w:t>Establish priorities for recovery;</w:t>
      </w:r>
    </w:p>
    <w:p>
      <w:pPr>
        <w:pStyle w:val="ListParagraph"/>
        <w:numPr>
          <w:ilvl w:val="1"/>
          <w:numId w:val="458"/>
        </w:numPr>
        <w:rPr/>
      </w:pPr>
      <w:r>
        <w:rPr/>
        <w:t>Establish recovery time objectives for resumption of critical products and services within their maximum tolerable period of disruption; and</w:t>
      </w:r>
    </w:p>
    <w:p>
      <w:pPr>
        <w:pStyle w:val="ListParagraph"/>
        <w:numPr>
          <w:ilvl w:val="1"/>
          <w:numId w:val="458"/>
        </w:numPr>
        <w:rPr/>
      </w:pPr>
      <w:r>
        <w:rPr/>
        <w:t>Estimate the resources required for resumption; and</w:t>
      </w:r>
    </w:p>
    <w:p>
      <w:pPr>
        <w:pStyle w:val="ListParagraph"/>
        <w:numPr>
          <w:ilvl w:val="0"/>
          <w:numId w:val="458"/>
        </w:numPr>
        <w:rPr/>
      </w:pPr>
      <w:r>
        <w:rPr/>
        <w:t>Protection measures shall be put in place to react to natural and man-made threats based upon a geographically-specific BIA.</w:t>
      </w:r>
    </w:p>
    <w:p>
      <w:pPr>
        <w:pStyle w:val="Normal"/>
        <w:rPr/>
      </w:pPr>
      <w:r>
        <w:rPr/>
      </w:r>
    </w:p>
    <w:p>
      <w:pPr>
        <w:pStyle w:val="Normal"/>
        <w:rPr/>
      </w:pPr>
      <w:r>
        <w:rPr>
          <w:u w:val="single"/>
        </w:rPr>
        <w:t>Guidelines</w:t>
      </w:r>
      <w:r>
        <w:rPr/>
        <w:t>: None</w:t>
      </w:r>
    </w:p>
    <w:p>
      <w:pPr>
        <w:pStyle w:val="Normal"/>
        <w:rPr/>
      </w:pPr>
      <w:r>
        <w:rPr/>
      </w:r>
    </w:p>
    <w:p>
      <w:pPr>
        <w:pStyle w:val="Normal"/>
        <w:tabs>
          <w:tab w:val="clear" w:pos="360"/>
          <w:tab w:val="clear" w:pos="720"/>
          <w:tab w:val="clear" w:pos="1080"/>
        </w:tabs>
        <w:jc w:val="left"/>
        <w:rPr/>
      </w:pPr>
      <w:r>
        <w:rPr/>
      </w:r>
    </w:p>
    <w:p>
      <w:pPr>
        <w:pStyle w:val="Heading2"/>
        <w:rPr/>
      </w:pPr>
      <w:bookmarkStart w:id="1749" w:name="_Toc34921229"/>
      <w:r>
        <w:rPr/>
        <w:t>RSK-09: Supply Chain Risk Management (SCRM)</w:t>
      </w:r>
      <w:bookmarkEnd w:id="1749"/>
      <w:r>
        <w:rPr/>
        <w:t xml:space="preserve"> </w:t>
      </w:r>
    </w:p>
    <w:p>
      <w:pPr>
        <w:pStyle w:val="Normal"/>
        <w:rPr/>
      </w:pPr>
      <w:r>
        <w:rPr>
          <w:u w:val="single"/>
        </w:rPr>
        <w:t>Control Objective</w:t>
      </w:r>
      <w:r>
        <w:rPr/>
        <w:t>: The organization:</w:t>
      </w:r>
    </w:p>
    <w:p>
      <w:pPr>
        <w:pStyle w:val="ListParagraph"/>
        <w:numPr>
          <w:ilvl w:val="0"/>
          <w:numId w:val="561"/>
        </w:numPr>
        <w:rPr/>
      </w:pPr>
      <w:r>
        <w:rPr/>
        <w:t>Develops a plan for managing supply chain risks associated with the development, acquisition, maintenance and disposal of systems, system components and services;</w:t>
      </w:r>
    </w:p>
    <w:p>
      <w:pPr>
        <w:pStyle w:val="ListParagraph"/>
        <w:numPr>
          <w:ilvl w:val="0"/>
          <w:numId w:val="561"/>
        </w:numPr>
        <w:rPr/>
      </w:pPr>
      <w:r>
        <w:rPr/>
        <w:t>Implements the supply chain risk management plan consistently across the organization; and</w:t>
      </w:r>
    </w:p>
    <w:p>
      <w:pPr>
        <w:pStyle w:val="ListParagraph"/>
        <w:numPr>
          <w:ilvl w:val="0"/>
          <w:numId w:val="561"/>
        </w:numPr>
        <w:rPr/>
      </w:pPr>
      <w:r>
        <w:rPr/>
        <w:t>Reviews and updates the supply chain risk management plan annually or as required, to address organizational changes.</w:t>
      </w:r>
    </w:p>
    <w:p>
      <w:pPr>
        <w:pStyle w:val="Normal"/>
        <w:rPr/>
      </w:pPr>
      <w:r>
        <w:rPr/>
      </w:r>
    </w:p>
    <w:p>
      <w:pPr>
        <w:pStyle w:val="Normal"/>
        <w:rPr/>
      </w:pPr>
      <w:r>
        <w:rPr>
          <w:u w:val="single"/>
        </w:rPr>
        <w:t>Standard</w:t>
      </w:r>
      <w:r>
        <w:rPr/>
        <w:t>: Responsible parties within NFCC are required to:</w:t>
      </w:r>
    </w:p>
    <w:p>
      <w:pPr>
        <w:pStyle w:val="ListParagraph"/>
        <w:numPr>
          <w:ilvl w:val="0"/>
          <w:numId w:val="587"/>
        </w:numPr>
        <w:tabs>
          <w:tab w:val="clear" w:pos="360"/>
          <w:tab w:val="clear" w:pos="720"/>
          <w:tab w:val="clear" w:pos="1080"/>
        </w:tabs>
        <w:rPr/>
      </w:pPr>
      <w:r>
        <w:rPr/>
        <w:t>Conduct a due care review of suppliers prior to entering into contractual agreements to acquire system hardware, software, firmware, or services to protect against supply chain risks to the system, system component, or system service and to limit the harm or consequences from supply chain-related events; and</w:t>
      </w:r>
    </w:p>
    <w:p>
      <w:pPr>
        <w:pStyle w:val="ListParagraph"/>
        <w:numPr>
          <w:ilvl w:val="0"/>
          <w:numId w:val="587"/>
        </w:numPr>
        <w:tabs>
          <w:tab w:val="clear" w:pos="360"/>
          <w:tab w:val="clear" w:pos="720"/>
          <w:tab w:val="clear" w:pos="1080"/>
        </w:tabs>
        <w:rPr/>
      </w:pPr>
      <w:r>
        <w:rPr/>
        <w:t>Document the selected and implemented supply chain safeguards in:</w:t>
      </w:r>
    </w:p>
    <w:p>
      <w:pPr>
        <w:pStyle w:val="ListParagraph"/>
        <w:numPr>
          <w:ilvl w:val="1"/>
          <w:numId w:val="587"/>
        </w:numPr>
        <w:tabs>
          <w:tab w:val="clear" w:pos="360"/>
          <w:tab w:val="clear" w:pos="720"/>
          <w:tab w:val="clear" w:pos="1080"/>
        </w:tabs>
        <w:rPr/>
      </w:pPr>
      <w:r>
        <w:rPr/>
        <w:t>Security and privacy plans; and</w:t>
      </w:r>
    </w:p>
    <w:p>
      <w:pPr>
        <w:pStyle w:val="ListParagraph"/>
        <w:numPr>
          <w:ilvl w:val="1"/>
          <w:numId w:val="587"/>
        </w:numPr>
        <w:tabs>
          <w:tab w:val="clear" w:pos="360"/>
          <w:tab w:val="clear" w:pos="720"/>
          <w:tab w:val="clear" w:pos="1080"/>
        </w:tabs>
        <w:rPr/>
      </w:pPr>
      <w:r>
        <w:rPr/>
        <w:t xml:space="preserve">Supply chain risk management plans. </w:t>
      </w:r>
    </w:p>
    <w:p>
      <w:pPr>
        <w:pStyle w:val="Normal"/>
        <w:rPr/>
      </w:pPr>
      <w:r>
        <w:rPr/>
      </w:r>
    </w:p>
    <w:p>
      <w:pPr>
        <w:pStyle w:val="Normal"/>
        <w:rPr/>
      </w:pPr>
      <w:r>
        <w:rPr>
          <w:u w:val="single"/>
        </w:rPr>
        <w:t>Guidelines</w:t>
      </w:r>
      <w:r>
        <w:rPr/>
        <w:t>: Supply chain-related events including, for example, disruption, theft, insertion of counterfeits, insertion of malicious code, malicious development practices, improper delivery practices and use of defective components, can adversely impact the confidentiality, integrity, or availability of information processed, stored, or transmitted by a system. Such events can also adversely impact organizational operations (including mission, functions, image, or reputation), organizational assets, individuals, other organizations and the Nation. Supply chain-related events may be unintentional or malicious and occur at any point during the system life cycle. Managing supply chain risks involves gaining visibility and understanding of the processes and procedures used to protect the system, system component, or system service throughout the system life cycle. This allows organizations to make appropriate acquisition decisions and to identify appropriate mitigation strategies. A supply chain risk management plan includes, for example, an unambiguous expression of the supply chain risk tolerance for the system, acceptable supply chain risk mitigation strategies or controls, a description of and justification for supply chain protection measures taken, a process for consistently evaluating and monitoring supply chain risk, approaches for implementing and communicating the supply chain risk management plan and associated roles and responsibilities.</w:t>
      </w:r>
    </w:p>
    <w:p>
      <w:pPr>
        <w:pStyle w:val="Normal"/>
        <w:rPr>
          <w:bCs w:val="false"/>
        </w:rPr>
      </w:pPr>
      <w:r>
        <w:rPr>
          <w:bCs w:val="false"/>
        </w:rPr>
      </w:r>
    </w:p>
    <w:p>
      <w:pPr>
        <w:pStyle w:val="Normal"/>
        <w:rPr/>
      </w:pPr>
      <w:r>
        <w:rPr>
          <w:bCs w:val="false"/>
        </w:rPr>
        <w:t xml:space="preserve">The scope of the due care review should cover all anticipated system components and spares over the life of the system. </w:t>
      </w:r>
      <w:r>
        <w:rPr/>
        <w:t xml:space="preserve">Systems, system components and information technology products include hardware, software and firmware. Supplier reviews include, for example: </w:t>
      </w:r>
    </w:p>
    <w:p>
      <w:pPr>
        <w:pStyle w:val="ListParagraph"/>
        <w:numPr>
          <w:ilvl w:val="0"/>
          <w:numId w:val="16"/>
        </w:numPr>
        <w:tabs>
          <w:tab w:val="clear" w:pos="360"/>
          <w:tab w:val="clear" w:pos="720"/>
          <w:tab w:val="clear" w:pos="1080"/>
        </w:tabs>
        <w:rPr/>
      </w:pPr>
      <w:r>
        <w:rPr/>
        <w:t xml:space="preserve">Analysis of supplier processes used to design, develop, test, implement, verify, deliver and support systems, products and services; and </w:t>
      </w:r>
    </w:p>
    <w:p>
      <w:pPr>
        <w:pStyle w:val="ListParagraph"/>
        <w:numPr>
          <w:ilvl w:val="0"/>
          <w:numId w:val="16"/>
        </w:numPr>
        <w:tabs>
          <w:tab w:val="clear" w:pos="360"/>
          <w:tab w:val="clear" w:pos="720"/>
          <w:tab w:val="clear" w:pos="1080"/>
        </w:tabs>
        <w:rPr/>
      </w:pPr>
      <w:r>
        <w:rPr/>
        <w:t xml:space="preserve">Assessment of supplier training and experience in developing systems, components, products, or services with the required security capability. </w:t>
      </w:r>
    </w:p>
    <w:p>
      <w:pPr>
        <w:pStyle w:val="Normal"/>
        <w:rPr/>
      </w:pPr>
      <w:r>
        <w:rPr/>
      </w:r>
    </w:p>
    <w:p>
      <w:pPr>
        <w:pStyle w:val="Normal"/>
        <w:rPr/>
      </w:pPr>
      <w:r>
        <w:rPr/>
        <w:t>These reviews provide NFCC with increased levels of visibility into supplier activities during the Secure Development Life Cycle (SDLC) to promote more effective supply chain risk management. Supplier reviews can also help determine whether primary suppliers have security safeguards in place and in practice for vetting second and third tier providers and any other subcontractors.</w:t>
      </w:r>
    </w:p>
    <w:p>
      <w:pPr>
        <w:pStyle w:val="Normal"/>
        <w:rPr/>
      </w:pPr>
      <w:r>
        <w:rPr/>
      </w:r>
    </w:p>
    <w:p>
      <w:pPr>
        <w:pStyle w:val="Heading3"/>
        <w:rPr/>
      </w:pPr>
      <w:bookmarkStart w:id="1750" w:name="_Toc34921230"/>
      <w:r>
        <w:rPr/>
        <w:t>RSK-09(a): Supply Chain Risk Management (SCRM) | Supply Chain Risk Assessment</w:t>
      </w:r>
      <w:bookmarkEnd w:id="1750"/>
    </w:p>
    <w:p>
      <w:pPr>
        <w:pStyle w:val="Normal"/>
        <w:rPr/>
      </w:pPr>
      <w:r>
        <w:rPr>
          <w:u w:val="single"/>
        </w:rPr>
        <w:t>Control Objective</w:t>
      </w:r>
      <w:r>
        <w:rPr/>
        <w:t>: The organization:</w:t>
      </w:r>
    </w:p>
    <w:p>
      <w:pPr>
        <w:pStyle w:val="ListParagraph"/>
        <w:numPr>
          <w:ilvl w:val="0"/>
          <w:numId w:val="561"/>
        </w:numPr>
        <w:rPr/>
      </w:pPr>
      <w:r>
        <w:rPr/>
        <w:t>Assesses supply chain risks associated with systems, system components and services; and</w:t>
      </w:r>
    </w:p>
    <w:p>
      <w:pPr>
        <w:pStyle w:val="ListParagraph"/>
        <w:numPr>
          <w:ilvl w:val="0"/>
          <w:numId w:val="561"/>
        </w:numPr>
        <w:rPr/>
      </w:pPr>
      <w:r>
        <w:rPr/>
        <w:t>Updates the supply chain risk assessment:</w:t>
      </w:r>
    </w:p>
    <w:p>
      <w:pPr>
        <w:pStyle w:val="ListParagraph"/>
        <w:numPr>
          <w:ilvl w:val="1"/>
          <w:numId w:val="561"/>
        </w:numPr>
        <w:rPr/>
      </w:pPr>
      <w:r>
        <w:rPr/>
        <w:t>Annually:</w:t>
      </w:r>
    </w:p>
    <w:p>
      <w:pPr>
        <w:pStyle w:val="ListParagraph"/>
        <w:numPr>
          <w:ilvl w:val="1"/>
          <w:numId w:val="561"/>
        </w:numPr>
        <w:rPr/>
      </w:pPr>
      <w:r>
        <w:rPr/>
        <w:t>When there are significant changes to the relevant supply chain; or</w:t>
      </w:r>
    </w:p>
    <w:p>
      <w:pPr>
        <w:pStyle w:val="ListParagraph"/>
        <w:numPr>
          <w:ilvl w:val="1"/>
          <w:numId w:val="561"/>
        </w:numPr>
        <w:rPr/>
      </w:pPr>
      <w:r>
        <w:rPr/>
        <w:t>When changes to the system, environments of operation or other conditions may necessitate a change in the supply chain.</w:t>
      </w:r>
    </w:p>
    <w:p>
      <w:pPr>
        <w:pStyle w:val="Normal"/>
        <w:rPr/>
      </w:pPr>
      <w:r>
        <w:rPr/>
      </w:r>
    </w:p>
    <w:p>
      <w:pPr>
        <w:pStyle w:val="Normal"/>
        <w:rPr/>
      </w:pPr>
      <w:r>
        <w:rPr>
          <w:u w:val="single"/>
        </w:rPr>
        <w:t>Standard</w:t>
      </w:r>
      <w:r>
        <w:rPr/>
        <w:t>: To minimize supply chain risks, NFCC risk, security and privacy personnel must:</w:t>
      </w:r>
    </w:p>
    <w:p>
      <w:pPr>
        <w:pStyle w:val="ListParagraph"/>
        <w:numPr>
          <w:ilvl w:val="0"/>
          <w:numId w:val="588"/>
        </w:numPr>
        <w:tabs>
          <w:tab w:val="clear" w:pos="360"/>
          <w:tab w:val="clear" w:pos="720"/>
          <w:tab w:val="clear" w:pos="1080"/>
        </w:tabs>
        <w:rPr>
          <w:bCs w:val="false"/>
        </w:rPr>
      </w:pPr>
      <w:r>
        <w:rPr>
          <w:bCs w:val="false"/>
        </w:rPr>
        <w:t>Assess supply chain risks associated with NFCC systems, system components and system services; and</w:t>
      </w:r>
    </w:p>
    <w:p>
      <w:pPr>
        <w:pStyle w:val="ListParagraph"/>
        <w:numPr>
          <w:ilvl w:val="0"/>
          <w:numId w:val="588"/>
        </w:numPr>
        <w:tabs>
          <w:tab w:val="clear" w:pos="360"/>
          <w:tab w:val="clear" w:pos="720"/>
          <w:tab w:val="clear" w:pos="1080"/>
        </w:tabs>
        <w:rPr>
          <w:bCs w:val="false"/>
        </w:rPr>
      </w:pPr>
      <w:r>
        <w:rPr>
          <w:bCs w:val="false"/>
        </w:rPr>
        <w:t>Update the supply chain risk assessments:</w:t>
      </w:r>
    </w:p>
    <w:p>
      <w:pPr>
        <w:pStyle w:val="ListParagraph"/>
        <w:numPr>
          <w:ilvl w:val="1"/>
          <w:numId w:val="588"/>
        </w:numPr>
        <w:tabs>
          <w:tab w:val="clear" w:pos="360"/>
          <w:tab w:val="clear" w:pos="720"/>
          <w:tab w:val="clear" w:pos="1080"/>
        </w:tabs>
        <w:rPr>
          <w:bCs w:val="false"/>
        </w:rPr>
      </w:pPr>
      <w:r>
        <w:rPr>
          <w:bCs w:val="false"/>
        </w:rPr>
        <w:t>Annually;</w:t>
      </w:r>
    </w:p>
    <w:p>
      <w:pPr>
        <w:pStyle w:val="ListParagraph"/>
        <w:numPr>
          <w:ilvl w:val="1"/>
          <w:numId w:val="588"/>
        </w:numPr>
        <w:tabs>
          <w:tab w:val="clear" w:pos="360"/>
          <w:tab w:val="clear" w:pos="720"/>
          <w:tab w:val="clear" w:pos="1080"/>
        </w:tabs>
        <w:rPr>
          <w:bCs w:val="false"/>
        </w:rPr>
      </w:pPr>
      <w:r>
        <w:rPr>
          <w:bCs w:val="false"/>
        </w:rPr>
        <w:t xml:space="preserve">When there are significant changes to the relevant supply chain; or </w:t>
      </w:r>
    </w:p>
    <w:p>
      <w:pPr>
        <w:pStyle w:val="ListParagraph"/>
        <w:numPr>
          <w:ilvl w:val="1"/>
          <w:numId w:val="588"/>
        </w:numPr>
        <w:tabs>
          <w:tab w:val="clear" w:pos="360"/>
          <w:tab w:val="clear" w:pos="720"/>
          <w:tab w:val="clear" w:pos="1080"/>
        </w:tabs>
        <w:rPr>
          <w:bCs w:val="false"/>
        </w:rPr>
      </w:pPr>
      <w:r>
        <w:rPr>
          <w:bCs w:val="false"/>
        </w:rPr>
        <w:t>When changes to the system, environments of operation, or other conditions may necessitate a change in the supply chain.</w:t>
      </w:r>
    </w:p>
    <w:p>
      <w:pPr>
        <w:pStyle w:val="Normal"/>
        <w:rPr/>
      </w:pPr>
      <w:r>
        <w:rPr/>
      </w:r>
    </w:p>
    <w:p>
      <w:pPr>
        <w:pStyle w:val="Normal"/>
        <w:rPr/>
      </w:pPr>
      <w:r>
        <w:rPr>
          <w:u w:val="single"/>
        </w:rPr>
        <w:t>Guidelines</w:t>
      </w:r>
      <w:r>
        <w:rPr/>
        <w:t xml:space="preserve">: </w:t>
      </w:r>
      <w:r>
        <w:rPr>
          <w:bCs w:val="false"/>
        </w:rPr>
        <w:t>Supply chain-related events include, for example, disruption, theft, use of defective components, insertion of counterfeits, malicious development practices, improper delivery practices and insertion of malicious code. These events can have a significant impact on the confidentiality, integrity, or availability of a system and its information and therefore, can also adversely impact organizational operations (including mission, functions, image, or reputation), organizational assets, individuals, other organizations and the Nation. The supply chain-related events may be unintentional or malicious and can occur at any point during the system life cycle. An analysis of supply chain risk can help an organization identify systems or components for which additional supply chain risk mitigations are required.</w:t>
      </w:r>
    </w:p>
    <w:p>
      <w:pPr>
        <w:pStyle w:val="Normal"/>
        <w:tabs>
          <w:tab w:val="clear" w:pos="360"/>
          <w:tab w:val="clear" w:pos="720"/>
          <w:tab w:val="clear" w:pos="1080"/>
        </w:tabs>
        <w:jc w:val="left"/>
        <w:rPr/>
      </w:pPr>
      <w:r>
        <w:rPr/>
      </w:r>
    </w:p>
    <w:p>
      <w:pPr>
        <w:pStyle w:val="Normal"/>
        <w:tabs>
          <w:tab w:val="clear" w:pos="360"/>
          <w:tab w:val="clear" w:pos="720"/>
          <w:tab w:val="clear" w:pos="1080"/>
        </w:tabs>
        <w:jc w:val="left"/>
        <w:rPr/>
      </w:pPr>
      <w:r>
        <w:rPr/>
      </w:r>
    </w:p>
    <w:p>
      <w:pPr>
        <w:pStyle w:val="Heading2"/>
        <w:rPr/>
      </w:pPr>
      <w:bookmarkStart w:id="1751" w:name="_Toc474075288"/>
      <w:bookmarkStart w:id="1752" w:name="_Toc474075761"/>
      <w:bookmarkStart w:id="1753" w:name="_Toc34921231"/>
      <w:r>
        <w:rPr/>
        <w:t>RSK-10: Data Protection Impact Assessment (DPIA)</w:t>
      </w:r>
      <w:bookmarkEnd w:id="1751"/>
      <w:bookmarkEnd w:id="1752"/>
      <w:bookmarkEnd w:id="1753"/>
      <w:r>
        <w:rPr/>
        <w:t xml:space="preserve"> </w:t>
      </w:r>
    </w:p>
    <w:p>
      <w:pPr>
        <w:pStyle w:val="Normal"/>
        <w:rPr/>
      </w:pPr>
      <w:r>
        <w:rPr>
          <w:u w:val="single"/>
        </w:rPr>
        <w:t>Control Objective</w:t>
      </w:r>
      <w:r>
        <w:rPr/>
        <w:t>: The organization conducts a Data Protection Impact Assessment (DPIA) to evaluate privacy concerns in systems and services.</w:t>
      </w:r>
      <w:r>
        <w:rPr>
          <w:rStyle w:val="FootnoteAnchor"/>
          <w:rStyle w:val="FootnoteAnchor"/>
          <w:rFonts w:cs="Calibri"/>
        </w:rPr>
        <w:footnoteReference w:id="555"/>
      </w:r>
    </w:p>
    <w:p>
      <w:pPr>
        <w:pStyle w:val="Normal"/>
        <w:rPr/>
      </w:pPr>
      <w:r>
        <w:rPr/>
      </w:r>
    </w:p>
    <w:p>
      <w:pPr>
        <w:pStyle w:val="Normal"/>
        <w:rPr/>
      </w:pPr>
      <w:r>
        <w:rPr>
          <w:u w:val="single"/>
        </w:rPr>
        <w:t>Standard</w:t>
      </w:r>
      <w:r>
        <w:rPr/>
        <w:t>: Data/process owners and asset custodians of new systems, systems under development or systems undergoing major modifications that potentially impact customer privacy are required to complete a Data Protection Impact Assessment (DPIA) to evaluate privacy concerns.</w:t>
      </w:r>
    </w:p>
    <w:p>
      <w:pPr>
        <w:pStyle w:val="Normal"/>
        <w:rPr/>
      </w:pPr>
      <w:r>
        <w:rPr/>
      </w:r>
    </w:p>
    <w:p>
      <w:pPr>
        <w:pStyle w:val="Normal"/>
        <w:rPr/>
      </w:pPr>
      <w:r>
        <w:rPr>
          <w:u w:val="single"/>
        </w:rPr>
        <w:t>Guidelines</w:t>
      </w:r>
      <w:r>
        <w:rPr/>
        <w:t xml:space="preserve">: The PIA process does not have to be complex, but it can be complex if a business need exists. The process is designed to guide system owners and developers in assessing privacy through the early stages of development. </w:t>
      </w:r>
    </w:p>
    <w:p>
      <w:pPr>
        <w:pStyle w:val="Normal"/>
        <w:rPr/>
      </w:pPr>
      <w:r>
        <w:rPr/>
      </w:r>
    </w:p>
    <w:p>
      <w:pPr>
        <w:pStyle w:val="Normal"/>
        <w:rPr/>
      </w:pPr>
      <w:r>
        <w:rPr/>
        <w:t>The PIA process is required to consist of gathering data from a project on privacy issues, identifying and resolving the privacy risks and approval. Specifically:</w:t>
      </w:r>
    </w:p>
    <w:p>
      <w:pPr>
        <w:pStyle w:val="ListParagraph"/>
        <w:numPr>
          <w:ilvl w:val="0"/>
          <w:numId w:val="4"/>
        </w:numPr>
        <w:rPr/>
      </w:pPr>
      <w:r>
        <w:rPr>
          <w:u w:val="single"/>
        </w:rPr>
        <w:t>New Systems</w:t>
      </w:r>
      <w:r>
        <w:rPr/>
        <w:t xml:space="preserve">. New systems and systems under development or undergoing major modifications are required to complete a DPIA. </w:t>
      </w:r>
    </w:p>
    <w:p>
      <w:pPr>
        <w:pStyle w:val="ListParagraph"/>
        <w:numPr>
          <w:ilvl w:val="0"/>
          <w:numId w:val="4"/>
        </w:numPr>
        <w:rPr/>
      </w:pPr>
      <w:r>
        <w:rPr>
          <w:u w:val="single"/>
        </w:rPr>
        <w:t>Legacy Systems</w:t>
      </w:r>
      <w:r>
        <w:rPr/>
        <w:t>. Legacy systems, as they exist today, do not need a DPIA. However, if the upgrading of these systems puts the data at risk, a DPIA should be performed.</w:t>
      </w:r>
    </w:p>
    <w:p>
      <w:pPr>
        <w:pStyle w:val="ListParagraph"/>
        <w:numPr>
          <w:ilvl w:val="0"/>
          <w:numId w:val="4"/>
        </w:numPr>
        <w:rPr/>
      </w:pPr>
      <w:r>
        <w:rPr>
          <w:u w:val="single"/>
        </w:rPr>
        <w:t>Current Systems</w:t>
      </w:r>
      <w:r>
        <w:rPr/>
        <w:t xml:space="preserve">: Currently operational systems are not required to have a DPIA. However, if privacy is a concern, a DPIA be completed. </w:t>
      </w:r>
    </w:p>
    <w:p>
      <w:pPr>
        <w:pStyle w:val="Normal"/>
        <w:rPr/>
      </w:pPr>
      <w:r>
        <w:rPr/>
      </w:r>
    </w:p>
    <w:p>
      <w:pPr>
        <w:pStyle w:val="Normal"/>
        <w:rPr/>
      </w:pPr>
      <w:r>
        <w:rPr/>
        <w:t>The following websites offer examples of DPIAs, with varying levels of complexity. It is up to the asset custodian and data owner to determine the proper level of complexity for the DPIA:</w:t>
      </w:r>
    </w:p>
    <w:p>
      <w:pPr>
        <w:pStyle w:val="ListParagraph"/>
        <w:numPr>
          <w:ilvl w:val="0"/>
          <w:numId w:val="134"/>
        </w:numPr>
        <w:rPr>
          <w:rFonts w:cs="Calibri"/>
        </w:rPr>
      </w:pPr>
      <w:hyperlink r:id="rId9">
        <w:r>
          <w:rPr>
            <w:rStyle w:val="InternetLink"/>
            <w:rFonts w:cs="Calibri"/>
          </w:rPr>
          <w:t>http://www.justice.gov/opcl/docs/doj-pia-template.pdf</w:t>
        </w:r>
      </w:hyperlink>
      <w:r>
        <w:rPr>
          <w:rFonts w:cs="Calibri"/>
        </w:rPr>
        <w:t xml:space="preserve"> </w:t>
      </w:r>
    </w:p>
    <w:p>
      <w:pPr>
        <w:pStyle w:val="ListParagraph"/>
        <w:numPr>
          <w:ilvl w:val="0"/>
          <w:numId w:val="134"/>
        </w:numPr>
        <w:rPr>
          <w:rFonts w:cs="Calibri"/>
        </w:rPr>
      </w:pPr>
      <w:hyperlink r:id="rId10">
        <w:r>
          <w:rPr>
            <w:rStyle w:val="InternetLink"/>
            <w:rFonts w:cs="Calibri"/>
          </w:rPr>
          <w:t>http://www.gsa.gov/portal/content/102237</w:t>
        </w:r>
      </w:hyperlink>
      <w:r>
        <w:rPr>
          <w:rFonts w:cs="Calibri"/>
        </w:rPr>
        <w:t xml:space="preserve"> </w:t>
      </w:r>
    </w:p>
    <w:p>
      <w:pPr>
        <w:pStyle w:val="Normal"/>
        <w:rPr/>
      </w:pPr>
      <w:r>
        <w:rPr/>
      </w:r>
    </w:p>
    <w:p>
      <w:pPr>
        <w:pStyle w:val="Normal"/>
        <w:rPr/>
      </w:pPr>
      <w:r>
        <w:rPr/>
      </w:r>
    </w:p>
    <w:p>
      <w:pPr>
        <w:pStyle w:val="Normal"/>
        <w:tabs>
          <w:tab w:val="clear" w:pos="360"/>
          <w:tab w:val="clear" w:pos="720"/>
          <w:tab w:val="clear" w:pos="1080"/>
        </w:tabs>
        <w:jc w:val="left"/>
        <w:rPr/>
      </w:pPr>
      <w:r>
        <w:rPr/>
      </w:r>
      <w:r>
        <w:br w:type="page"/>
      </w:r>
    </w:p>
    <w:p>
      <w:pPr>
        <w:pStyle w:val="Normal"/>
        <w:rPr>
          <w:rFonts w:eastAsia="Calibri" w:cs="Calibri"/>
          <w:sz w:val="24"/>
        </w:rPr>
      </w:pPr>
      <w:r>
        <w:rPr>
          <w:rFonts w:eastAsia="Calibri" w:cs="Calibri"/>
          <w:sz w:val="24"/>
        </w:rPr>
      </w:r>
    </w:p>
    <w:p>
      <w:pPr>
        <w:pStyle w:val="Heading1"/>
        <w:rPr/>
      </w:pPr>
      <w:bookmarkStart w:id="1754" w:name="_Toc34921232"/>
      <w:bookmarkStart w:id="1755" w:name="_Toc474075306"/>
      <w:bookmarkStart w:id="1756" w:name="_Toc474075779"/>
      <w:r>
        <w:rPr/>
        <w:t>Secure Engineering &amp; Architecture (SEA)</w:t>
      </w:r>
      <w:bookmarkEnd w:id="1755"/>
      <w:bookmarkEnd w:id="1756"/>
      <w:r>
        <w:rPr/>
        <w:t xml:space="preserve"> Policy &amp; Standards</w:t>
      </w:r>
      <w:bookmarkEnd w:id="1754"/>
    </w:p>
    <w:p>
      <w:pPr>
        <w:pStyle w:val="Normal"/>
        <w:rPr/>
      </w:pPr>
      <w:r>
        <w:rPr/>
      </w:r>
    </w:p>
    <w:p>
      <w:pPr>
        <w:pStyle w:val="Normal"/>
        <w:rPr/>
      </w:pPr>
      <w:r>
        <w:rPr>
          <w:u w:val="single"/>
        </w:rPr>
        <w:t>Management Intent</w:t>
      </w:r>
      <w:r>
        <w:rPr/>
        <w:t xml:space="preserve">: The purpose of the Secure Engineering &amp; Architecture (SEA) policy is to align cybersecurity decisions with the corporate architectural strategy and industry-recognized leading practices for secure engineering. </w:t>
      </w:r>
    </w:p>
    <w:p>
      <w:pPr>
        <w:pStyle w:val="Normal"/>
        <w:rPr/>
      </w:pPr>
      <w:r>
        <w:rPr/>
      </w:r>
    </w:p>
    <w:p>
      <w:pPr>
        <w:pStyle w:val="Normal"/>
        <w:shd w:val="clear" w:color="auto" w:fill="DDD9C3" w:themeFill="background2" w:themeFillShade="e6"/>
        <w:rPr/>
      </w:pPr>
      <w:r>
        <w:rPr>
          <w:u w:val="single"/>
        </w:rPr>
        <w:t>Policy</w:t>
      </w:r>
      <w:r>
        <w:rPr/>
        <w:t>: NFCC relies on its technology strategy and architecture to ensure its success in the long-term. This requires its cybersecurity architecture to support both its technology architectural direction and business strategy. Furthermore, NFCC’s secure engineering principles must address applicable statutory, regulatory and contractual obligations to implement and manage reasonable security measures, as defined by industry-recognized leading practices.</w:t>
      </w:r>
    </w:p>
    <w:p>
      <w:pPr>
        <w:pStyle w:val="Normal"/>
        <w:rPr>
          <w:u w:val="single"/>
        </w:rPr>
      </w:pPr>
      <w:r>
        <w:rPr>
          <w:u w:val="single"/>
        </w:rPr>
      </w:r>
    </w:p>
    <w:p>
      <w:pPr>
        <w:pStyle w:val="Normal"/>
        <w:rPr/>
      </w:pPr>
      <w:r>
        <w:rPr>
          <w:u w:val="single"/>
        </w:rPr>
        <w:t>Supporting Documentation</w:t>
      </w:r>
      <w:r>
        <w:rPr/>
        <w:t xml:space="preserve">: This policy is supported by the following control objectives, standards and guidelines. </w:t>
      </w:r>
    </w:p>
    <w:p>
      <w:pPr>
        <w:pStyle w:val="Normal"/>
        <w:rPr/>
      </w:pPr>
      <w:r>
        <w:rPr/>
      </w:r>
    </w:p>
    <w:p>
      <w:pPr>
        <w:pStyle w:val="Normal"/>
        <w:rPr/>
      </w:pPr>
      <w:r>
        <w:rPr/>
      </w:r>
    </w:p>
    <w:p>
      <w:pPr>
        <w:pStyle w:val="Heading2"/>
        <w:rPr/>
      </w:pPr>
      <w:bookmarkStart w:id="1757" w:name="_Toc474075307"/>
      <w:bookmarkStart w:id="1758" w:name="_Toc474075780"/>
      <w:bookmarkStart w:id="1759" w:name="_Toc34921233"/>
      <w:r>
        <w:rPr/>
        <w:t>SEA-01: Secure Engineering Principles</w:t>
      </w:r>
      <w:bookmarkEnd w:id="1757"/>
      <w:bookmarkEnd w:id="1758"/>
      <w:bookmarkEnd w:id="1759"/>
      <w:r>
        <w:rPr/>
        <w:t xml:space="preserve"> </w:t>
      </w:r>
    </w:p>
    <w:p>
      <w:pPr>
        <w:pStyle w:val="Normal"/>
        <w:rPr/>
      </w:pPr>
      <w:r>
        <w:rPr>
          <w:u w:val="single"/>
        </w:rPr>
        <w:t>Control Objective</w:t>
      </w:r>
      <w:r>
        <w:rPr/>
        <w:t>: The organization develops, implements and governs processes and documentation to facilitate the implementation of an enterprise-wide secure engineering and architecture policy, as well as associated standards, controls and procedures.</w:t>
      </w:r>
      <w:r>
        <w:rPr>
          <w:rStyle w:val="FootnoteAnchor"/>
          <w:rStyle w:val="FootnoteAnchor"/>
          <w:rFonts w:cs="Calibri"/>
        </w:rPr>
        <w:footnoteReference w:id="556"/>
      </w:r>
      <w:r>
        <w:rPr/>
        <w:t xml:space="preserve"> </w:t>
      </w:r>
    </w:p>
    <w:p>
      <w:pPr>
        <w:pStyle w:val="Normal"/>
        <w:rPr/>
      </w:pPr>
      <w:r>
        <w:rPr/>
      </w:r>
    </w:p>
    <w:p>
      <w:pPr>
        <w:pStyle w:val="Normal"/>
        <w:rPr/>
      </w:pPr>
      <w:r>
        <w:rPr>
          <w:u w:val="single"/>
        </w:rPr>
        <w:t>Standard</w:t>
      </w:r>
      <w:r>
        <w:rPr/>
        <w:t xml:space="preserve">: Data/process owners and asset custodians are required to implement processes to design, build and maintain systems, system components and services that are consistent with industry-accepted secure engineering and privacy principles. </w:t>
      </w:r>
    </w:p>
    <w:p>
      <w:pPr>
        <w:pStyle w:val="Normal"/>
        <w:rPr/>
      </w:pPr>
      <w:r>
        <w:rPr/>
      </w:r>
    </w:p>
    <w:p>
      <w:pPr>
        <w:pStyle w:val="Normal"/>
        <w:rPr/>
      </w:pPr>
      <w:r>
        <w:rPr>
          <w:u w:val="single"/>
        </w:rPr>
        <w:t>Guidelines</w:t>
      </w:r>
      <w:r>
        <w:rPr/>
        <w:t xml:space="preserve">: NFCC applies security engineering principles primarily to new development systems or systems undergoing major upgrades. For legacy systems, security engineering principles must be applied to system upgrades and modifications to the extent feasible, given the current state of hardware, software and firmware within those systems. Security engineering principles include, for example: </w:t>
      </w:r>
    </w:p>
    <w:p>
      <w:pPr>
        <w:pStyle w:val="ListParagraph"/>
        <w:numPr>
          <w:ilvl w:val="0"/>
          <w:numId w:val="6"/>
        </w:numPr>
        <w:rPr/>
      </w:pPr>
      <w:r>
        <w:rPr/>
        <w:t xml:space="preserve">Developing layered protections; </w:t>
      </w:r>
    </w:p>
    <w:p>
      <w:pPr>
        <w:pStyle w:val="ListParagraph"/>
        <w:numPr>
          <w:ilvl w:val="0"/>
          <w:numId w:val="6"/>
        </w:numPr>
        <w:rPr/>
      </w:pPr>
      <w:r>
        <w:rPr/>
        <w:t xml:space="preserve">Establishing sound security policy, architecture and controls as the foundation for design; </w:t>
      </w:r>
    </w:p>
    <w:p>
      <w:pPr>
        <w:pStyle w:val="ListParagraph"/>
        <w:numPr>
          <w:ilvl w:val="0"/>
          <w:numId w:val="6"/>
        </w:numPr>
        <w:rPr/>
      </w:pPr>
      <w:r>
        <w:rPr/>
        <w:t xml:space="preserve">Incorporating security requirements into the Secure Development Life Cycle; </w:t>
      </w:r>
    </w:p>
    <w:p>
      <w:pPr>
        <w:pStyle w:val="ListParagraph"/>
        <w:numPr>
          <w:ilvl w:val="0"/>
          <w:numId w:val="6"/>
        </w:numPr>
        <w:rPr/>
      </w:pPr>
      <w:r>
        <w:rPr/>
        <w:t xml:space="preserve">Delineating physical and logical security boundaries; </w:t>
      </w:r>
    </w:p>
    <w:p>
      <w:pPr>
        <w:pStyle w:val="ListParagraph"/>
        <w:numPr>
          <w:ilvl w:val="0"/>
          <w:numId w:val="6"/>
        </w:numPr>
        <w:rPr/>
      </w:pPr>
      <w:r>
        <w:rPr/>
        <w:t xml:space="preserve">Ensuring system developers are trained on how to build secure software; </w:t>
      </w:r>
    </w:p>
    <w:p>
      <w:pPr>
        <w:pStyle w:val="ListParagraph"/>
        <w:numPr>
          <w:ilvl w:val="0"/>
          <w:numId w:val="6"/>
        </w:numPr>
        <w:rPr/>
      </w:pPr>
      <w:r>
        <w:rPr/>
        <w:t xml:space="preserve">Tailoring security controls to meet organizational and operational needs; </w:t>
      </w:r>
    </w:p>
    <w:p>
      <w:pPr>
        <w:pStyle w:val="ListParagraph"/>
        <w:numPr>
          <w:ilvl w:val="0"/>
          <w:numId w:val="6"/>
        </w:numPr>
        <w:rPr/>
      </w:pPr>
      <w:r>
        <w:rPr/>
        <w:t xml:space="preserve">Performing threat modeling to identify use cases, threat agents, attack vectors and attack patterns as well as compensating controls and design patterns needed to mitigate risk; and </w:t>
      </w:r>
    </w:p>
    <w:p>
      <w:pPr>
        <w:pStyle w:val="ListParagraph"/>
        <w:numPr>
          <w:ilvl w:val="0"/>
          <w:numId w:val="6"/>
        </w:numPr>
        <w:rPr/>
      </w:pPr>
      <w:r>
        <w:rPr/>
        <w:t xml:space="preserve">Reducing risk to acceptable levels, thus enabling informed risk management decisions. </w:t>
      </w:r>
    </w:p>
    <w:p>
      <w:pPr>
        <w:pStyle w:val="Normal"/>
        <w:rPr/>
      </w:pPr>
      <w:r>
        <w:rPr/>
      </w:r>
    </w:p>
    <w:p>
      <w:pPr>
        <w:pStyle w:val="Normal"/>
        <w:rPr/>
      </w:pPr>
      <w:r>
        <w:rPr/>
        <w:t xml:space="preserve">Sources of industry-accepted system hardening standards include, but are not limited to: </w:t>
      </w:r>
    </w:p>
    <w:p>
      <w:pPr>
        <w:pStyle w:val="ListParagraph"/>
        <w:numPr>
          <w:ilvl w:val="0"/>
          <w:numId w:val="2"/>
        </w:numPr>
        <w:rPr/>
      </w:pPr>
      <w:r>
        <w:rPr/>
        <w:t>Center for Internet Security (CIS);</w:t>
      </w:r>
    </w:p>
    <w:p>
      <w:pPr>
        <w:pStyle w:val="ListParagraph"/>
        <w:numPr>
          <w:ilvl w:val="0"/>
          <w:numId w:val="2"/>
        </w:numPr>
        <w:rPr/>
      </w:pPr>
      <w:r>
        <w:rPr/>
        <w:t>International Organization for Standardization (ISO);</w:t>
      </w:r>
    </w:p>
    <w:p>
      <w:pPr>
        <w:pStyle w:val="ListParagraph"/>
        <w:numPr>
          <w:ilvl w:val="0"/>
          <w:numId w:val="2"/>
        </w:numPr>
        <w:rPr/>
      </w:pPr>
      <w:r>
        <w:rPr/>
        <w:t>SysAdmin Audit Network Security (SANS) Institute; and</w:t>
      </w:r>
    </w:p>
    <w:p>
      <w:pPr>
        <w:pStyle w:val="ListParagraph"/>
        <w:numPr>
          <w:ilvl w:val="0"/>
          <w:numId w:val="2"/>
        </w:numPr>
        <w:rPr/>
      </w:pPr>
      <w:r>
        <w:rPr/>
        <w:t>National Institute of Standards Technology (NIST)</w:t>
      </w:r>
    </w:p>
    <w:p>
      <w:pPr>
        <w:pStyle w:val="Normal"/>
        <w:rPr/>
      </w:pPr>
      <w:r>
        <w:rPr/>
      </w:r>
    </w:p>
    <w:p>
      <w:pPr>
        <w:pStyle w:val="Normal"/>
        <w:rPr/>
      </w:pPr>
      <w:r>
        <w:rPr/>
        <w:t xml:space="preserve">This control helps organizations to make explicit trustworthiness decisions when designing, developing and implementing systems that are needed to conduct critical organizational missions / business functions. Trustworthy systems are important to mission / business success. Factors affecting the trustworthiness of systems include: </w:t>
      </w:r>
    </w:p>
    <w:p>
      <w:pPr>
        <w:pStyle w:val="ListParagraph"/>
        <w:numPr>
          <w:ilvl w:val="0"/>
          <w:numId w:val="140"/>
        </w:numPr>
        <w:rPr/>
      </w:pPr>
      <w:r>
        <w:rPr/>
        <w:t xml:space="preserve">Security functionality (e.g., the security features, functions and / or mechanisms employed within the system and its environment of operation); and </w:t>
      </w:r>
    </w:p>
    <w:p>
      <w:pPr>
        <w:pStyle w:val="ListParagraph"/>
        <w:numPr>
          <w:ilvl w:val="0"/>
          <w:numId w:val="140"/>
        </w:numPr>
        <w:rPr/>
      </w:pPr>
      <w:r>
        <w:rPr/>
        <w:t xml:space="preserve">Security assurance (e.g., the grounds for confidence that the security functionality is effective in its application). </w:t>
      </w:r>
    </w:p>
    <w:p>
      <w:pPr>
        <w:pStyle w:val="Normal"/>
        <w:rPr/>
      </w:pPr>
      <w:r>
        <w:rPr/>
      </w:r>
    </w:p>
    <w:p>
      <w:pPr>
        <w:pStyle w:val="Normal"/>
        <w:rPr/>
      </w:pPr>
      <w:r>
        <w:rPr/>
        <w:t>Developers, implementers, operators and maintainers of organizational systems can increase the level of trustworthiness by employing well-defined security policy models, structured and rigorous hardware, software and firmware development techniques, sound system / security engineering principles and secure configuration settings.</w:t>
      </w:r>
    </w:p>
    <w:p>
      <w:pPr>
        <w:pStyle w:val="Normal"/>
        <w:rPr/>
      </w:pPr>
      <w:r>
        <w:rPr/>
      </w:r>
    </w:p>
    <w:p>
      <w:pPr>
        <w:pStyle w:val="Normal"/>
        <w:rPr/>
      </w:pPr>
      <w:r>
        <w:rPr/>
        <w:t xml:space="preserve">The National Institute of Standards and Technology (NIST) Special Publication (SP) 800-160, </w:t>
      </w:r>
      <w:r>
        <w:rPr>
          <w:i/>
        </w:rPr>
        <w:t>Systems Security Engineering</w:t>
      </w:r>
      <w:r>
        <w:rPr/>
        <w:t>, is the default guide for security related to engineering trustworthy, secure systems.</w:t>
      </w:r>
      <w:r>
        <w:rPr>
          <w:rStyle w:val="FootnoteAnchor"/>
          <w:rStyle w:val="FootnoteAnchor"/>
        </w:rPr>
        <w:footnoteReference w:id="557"/>
      </w:r>
    </w:p>
    <w:p>
      <w:pPr>
        <w:pStyle w:val="Normal"/>
        <w:rPr/>
      </w:pPr>
      <w:r>
        <w:rPr/>
      </w:r>
    </w:p>
    <w:p>
      <w:pPr>
        <w:pStyle w:val="Heading3"/>
        <w:rPr/>
      </w:pPr>
      <w:bookmarkStart w:id="1760" w:name="_Toc34921234"/>
      <w:bookmarkStart w:id="1761" w:name="_Toc398527160"/>
      <w:bookmarkEnd w:id="1761"/>
      <w:r>
        <w:rPr/>
        <w:t>SEA-01(a): Secure Engineering Principles | Centralized Management of Cybersecurity &amp; Privacy Controls</w:t>
      </w:r>
      <w:bookmarkEnd w:id="1760"/>
    </w:p>
    <w:p>
      <w:pPr>
        <w:pStyle w:val="Normal"/>
        <w:rPr>
          <w:u w:val="single"/>
        </w:rPr>
      </w:pPr>
      <w:r>
        <w:rPr>
          <w:u w:val="single"/>
        </w:rPr>
        <w:t>Control Objective</w:t>
      </w:r>
      <w:r>
        <w:rPr/>
        <w:t>: The organization centrally manages the organization-wide management and implementation of cybersecurity and privacy controls, as well as related processes.</w:t>
      </w:r>
    </w:p>
    <w:p>
      <w:pPr>
        <w:pStyle w:val="Normal"/>
        <w:rPr/>
      </w:pPr>
      <w:r>
        <w:rPr/>
      </w:r>
    </w:p>
    <w:p>
      <w:pPr>
        <w:pStyle w:val="Normal"/>
        <w:rPr/>
      </w:pPr>
      <w:r>
        <w:rPr>
          <w:u w:val="single"/>
        </w:rPr>
        <w:t>Standard</w:t>
      </w:r>
      <w:r>
        <w:rPr/>
        <w:t>: NFCC’s Chief Information Security Officer (CISO) is assigned the responsibility for developing and governing enterprise-wide cybersecurity and privacy controls, as well as related processes.</w:t>
      </w:r>
    </w:p>
    <w:p>
      <w:pPr>
        <w:pStyle w:val="Normal"/>
        <w:rPr/>
      </w:pPr>
      <w:r>
        <w:rPr/>
      </w:r>
    </w:p>
    <w:p>
      <w:pPr>
        <w:pStyle w:val="Normal"/>
        <w:rPr>
          <w:u w:val="single"/>
        </w:rPr>
      </w:pPr>
      <w:r>
        <w:rPr>
          <w:u w:val="single"/>
        </w:rPr>
        <w:t>Guidelines</w:t>
      </w:r>
      <w:r>
        <w:rPr/>
        <w:t>: None</w:t>
      </w:r>
    </w:p>
    <w:p>
      <w:pPr>
        <w:pStyle w:val="Normal"/>
        <w:rPr/>
      </w:pPr>
      <w:r>
        <w:rPr/>
      </w:r>
    </w:p>
    <w:p>
      <w:pPr>
        <w:pStyle w:val="Normal"/>
        <w:rPr/>
      </w:pPr>
      <w:r>
        <w:rPr/>
      </w:r>
    </w:p>
    <w:p>
      <w:pPr>
        <w:pStyle w:val="Heading2"/>
        <w:rPr/>
      </w:pPr>
      <w:bookmarkStart w:id="1762" w:name="_Toc474075308"/>
      <w:bookmarkStart w:id="1763" w:name="_Toc474075781"/>
      <w:bookmarkStart w:id="1764" w:name="_Toc34921235"/>
      <w:bookmarkStart w:id="1765" w:name="_Toc346202624"/>
      <w:r>
        <w:rPr/>
        <w:t>SEA-02: Alignment With Enterprise Architecture</w:t>
      </w:r>
      <w:bookmarkEnd w:id="1762"/>
      <w:bookmarkEnd w:id="1763"/>
      <w:bookmarkEnd w:id="1764"/>
      <w:bookmarkEnd w:id="1765"/>
      <w:r>
        <w:rPr/>
        <w:t xml:space="preserve"> </w:t>
      </w:r>
    </w:p>
    <w:p>
      <w:pPr>
        <w:pStyle w:val="Normal"/>
        <w:rPr/>
      </w:pPr>
      <w:r>
        <w:rPr>
          <w:u w:val="single"/>
        </w:rPr>
        <w:t>Control Objective</w:t>
      </w:r>
      <w:r>
        <w:rPr/>
        <w:t xml:space="preserve">: The organization develops an enterprise architecture, aligned with industry-recognized leading practices, with consideration for cybersecurity and the resulting risk to organizational operations, organizational assets, individuals, other organizations. </w:t>
      </w:r>
      <w:r>
        <w:rPr>
          <w:rStyle w:val="FootnoteAnchor"/>
          <w:rStyle w:val="FootnoteAnchor"/>
        </w:rPr>
        <w:footnoteReference w:id="558"/>
      </w:r>
    </w:p>
    <w:p>
      <w:pPr>
        <w:pStyle w:val="Normal"/>
        <w:rPr/>
      </w:pPr>
      <w:r>
        <w:rPr/>
      </w:r>
    </w:p>
    <w:p>
      <w:pPr>
        <w:pStyle w:val="Normal"/>
        <w:rPr/>
      </w:pPr>
      <w:r>
        <w:rPr>
          <w:u w:val="single"/>
        </w:rPr>
        <w:t>Standard</w:t>
      </w:r>
      <w:r>
        <w:rPr/>
        <w:t>: NFCC’s enterprise architecture process shall be:</w:t>
      </w:r>
    </w:p>
    <w:p>
      <w:pPr>
        <w:pStyle w:val="ListParagraph"/>
        <w:numPr>
          <w:ilvl w:val="0"/>
          <w:numId w:val="459"/>
        </w:numPr>
        <w:rPr/>
      </w:pPr>
      <w:r>
        <w:rPr/>
        <w:t xml:space="preserve">Aligned with the industry-recognized leading practices; </w:t>
      </w:r>
    </w:p>
    <w:p>
      <w:pPr>
        <w:pStyle w:val="ListParagraph"/>
        <w:numPr>
          <w:ilvl w:val="0"/>
          <w:numId w:val="459"/>
        </w:numPr>
        <w:rPr/>
      </w:pPr>
      <w:r>
        <w:rPr/>
        <w:t>Utilized in all system development and acquisition activities; and</w:t>
      </w:r>
    </w:p>
    <w:p>
      <w:pPr>
        <w:pStyle w:val="ListParagraph"/>
        <w:numPr>
          <w:ilvl w:val="0"/>
          <w:numId w:val="459"/>
        </w:numPr>
        <w:rPr/>
      </w:pPr>
      <w:r>
        <w:rPr/>
        <w:t xml:space="preserve">Inclusive of security architecture requirements. </w:t>
      </w:r>
    </w:p>
    <w:p>
      <w:pPr>
        <w:pStyle w:val="Normal"/>
        <w:rPr/>
      </w:pPr>
      <w:r>
        <w:rPr/>
      </w:r>
    </w:p>
    <w:p>
      <w:pPr>
        <w:pStyle w:val="Normal"/>
        <w:rPr/>
      </w:pPr>
      <w:r>
        <w:rPr>
          <w:u w:val="single"/>
        </w:rPr>
        <w:t>Guidelines</w:t>
      </w:r>
      <w:r>
        <w:rPr/>
        <w:t>: The cybersecurity architecture at the individual system level is consistent with and complements the more global, organization-wide cybersecurity architecture that is integral to and developed as part of the enterprise architecture</w:t>
      </w:r>
    </w:p>
    <w:p>
      <w:pPr>
        <w:pStyle w:val="Normal"/>
        <w:rPr/>
      </w:pPr>
      <w:r>
        <w:rPr/>
      </w:r>
    </w:p>
    <w:p>
      <w:pPr>
        <w:pStyle w:val="Normal"/>
        <w:rPr/>
      </w:pPr>
      <w:r>
        <w:rPr/>
        <w:t>The integration of cybersecurity requirements and associated security controls into NFCC’s enterprise architecture helps to ensure that security considerations are addressed early in the Secure Development Life Cycle (SDLC) and are directly and explicitly related to NFCC’s mission / business processes. This also embeds into and links with the enterprise architecture and integral cybersecurity architecture consistent with organizational risk management and cybersecurity strategies. In support of industry-recognized leading practices:</w:t>
      </w:r>
    </w:p>
    <w:p>
      <w:pPr>
        <w:pStyle w:val="ListParagraph"/>
        <w:numPr>
          <w:ilvl w:val="0"/>
          <w:numId w:val="111"/>
        </w:numPr>
        <w:rPr/>
      </w:pPr>
      <w:r>
        <w:rPr/>
        <w:t>Implementation of vendors’ security industry-recognized leading practices should be used when configuring a vendor’s product, unless there is a valid business or security requirement to deviate from the recommended industry-recognized leading practices in deploying and operating those solutions; and</w:t>
      </w:r>
    </w:p>
    <w:p>
      <w:pPr>
        <w:pStyle w:val="ListParagraph"/>
        <w:numPr>
          <w:ilvl w:val="0"/>
          <w:numId w:val="111"/>
        </w:numPr>
        <w:rPr/>
      </w:pPr>
      <w:r>
        <w:rPr/>
        <w:t>If a best practice cannot be implemented, compensating controls should be employed and documented accordingly.</w:t>
      </w:r>
    </w:p>
    <w:p>
      <w:pPr>
        <w:pStyle w:val="Normal"/>
        <w:rPr/>
      </w:pPr>
      <w:r>
        <w:rPr/>
      </w:r>
    </w:p>
    <w:p>
      <w:pPr>
        <w:pStyle w:val="Heading3"/>
        <w:rPr/>
      </w:pPr>
      <w:bookmarkStart w:id="1766" w:name="_Toc474075309"/>
      <w:bookmarkStart w:id="1767" w:name="_Toc34921236"/>
      <w:r>
        <w:rPr/>
        <w:t>SEA-02(a): Alignment With Enterprise Architecture | Standardized Terminology</w:t>
      </w:r>
      <w:bookmarkEnd w:id="1766"/>
      <w:bookmarkEnd w:id="1767"/>
    </w:p>
    <w:p>
      <w:pPr>
        <w:pStyle w:val="Normal"/>
        <w:rPr/>
      </w:pPr>
      <w:r>
        <w:rPr>
          <w:u w:val="single"/>
        </w:rPr>
        <w:t>Control Objective</w:t>
      </w:r>
      <w:r>
        <w:rPr/>
        <w:t>: The organization uses standardized terminology to reduce confusion amongst groups and departments.</w:t>
      </w:r>
      <w:r>
        <w:rPr>
          <w:rStyle w:val="FootnoteCharacters"/>
          <w:rFonts w:eastAsia="Calibri" w:cs="Calibri"/>
        </w:rPr>
        <w:t xml:space="preserve"> </w:t>
      </w:r>
      <w:r>
        <w:rPr>
          <w:rStyle w:val="FootnoteAnchor"/>
          <w:rStyle w:val="FootnoteAnchor"/>
          <w:rFonts w:eastAsia="Calibri" w:cs="Calibri"/>
        </w:rPr>
        <w:footnoteReference w:id="559"/>
      </w:r>
    </w:p>
    <w:p>
      <w:pPr>
        <w:pStyle w:val="Normal"/>
        <w:rPr/>
      </w:pPr>
      <w:r>
        <w:rPr/>
      </w:r>
    </w:p>
    <w:p>
      <w:pPr>
        <w:pStyle w:val="Normal"/>
        <w:rPr/>
      </w:pPr>
      <w:r>
        <w:rPr>
          <w:u w:val="single"/>
        </w:rPr>
        <w:t>Standard</w:t>
      </w:r>
      <w:r>
        <w:rPr/>
        <w:t xml:space="preserve">: NFCC shall use the National Institute of Standards and Technology (NIST) IR 7298, </w:t>
      </w:r>
      <w:r>
        <w:rPr>
          <w:i/>
        </w:rPr>
        <w:t>Glossary of Key Information Security Terms</w:t>
      </w:r>
      <w:r>
        <w:rPr/>
        <w:t>, as the primary reference document to define common cybersecurity terms.</w:t>
      </w:r>
    </w:p>
    <w:p>
      <w:pPr>
        <w:pStyle w:val="Normal"/>
        <w:rPr/>
      </w:pPr>
      <w:r>
        <w:rPr/>
      </w:r>
    </w:p>
    <w:p>
      <w:pPr>
        <w:pStyle w:val="Normal"/>
        <w:rPr/>
      </w:pPr>
      <w:r>
        <w:rPr>
          <w:u w:val="single"/>
        </w:rPr>
        <w:t>Guidelines</w:t>
      </w:r>
      <w:r>
        <w:rPr/>
        <w:t>: None</w:t>
      </w:r>
    </w:p>
    <w:p>
      <w:pPr>
        <w:pStyle w:val="Normal"/>
        <w:rPr/>
      </w:pPr>
      <w:r>
        <w:rPr/>
      </w:r>
    </w:p>
    <w:p>
      <w:pPr>
        <w:pStyle w:val="Normal"/>
        <w:rPr/>
      </w:pPr>
      <w:r>
        <w:rPr/>
      </w:r>
    </w:p>
    <w:p>
      <w:pPr>
        <w:pStyle w:val="Heading2"/>
        <w:rPr/>
      </w:pPr>
      <w:bookmarkStart w:id="1768" w:name="_Toc34921237"/>
      <w:bookmarkStart w:id="1769" w:name="_Toc474075313"/>
      <w:bookmarkStart w:id="1770" w:name="_Toc474075312"/>
      <w:bookmarkStart w:id="1771" w:name="_Toc474075784"/>
      <w:bookmarkStart w:id="1772" w:name="_Toc3985271601"/>
      <w:bookmarkEnd w:id="1770"/>
      <w:bookmarkEnd w:id="1771"/>
      <w:bookmarkEnd w:id="1772"/>
      <w:r>
        <w:rPr/>
        <w:t xml:space="preserve">SEA-03: </w:t>
      </w:r>
      <w:bookmarkEnd w:id="1769"/>
      <w:r>
        <w:rPr/>
        <w:t>Defense-In-Depth (DiD) Architecture</w:t>
      </w:r>
      <w:bookmarkEnd w:id="1768"/>
    </w:p>
    <w:p>
      <w:pPr>
        <w:pStyle w:val="Normal"/>
        <w:rPr/>
      </w:pPr>
      <w:r>
        <w:rPr>
          <w:u w:val="single"/>
        </w:rPr>
        <w:t>Control Objective</w:t>
      </w:r>
      <w:r>
        <w:rPr/>
        <w:t>: The organization designs the security and privacy architectures for the system using a Defense-in-Depth (DiD) approach that:</w:t>
      </w:r>
      <w:r>
        <w:rPr>
          <w:rStyle w:val="FootnoteCharacters"/>
          <w:rFonts w:cs="Calibri"/>
          <w:bCs w:val="false"/>
        </w:rPr>
        <w:t xml:space="preserve"> </w:t>
      </w:r>
    </w:p>
    <w:p>
      <w:pPr>
        <w:pStyle w:val="ListParagraph"/>
        <w:numPr>
          <w:ilvl w:val="0"/>
          <w:numId w:val="562"/>
        </w:numPr>
        <w:rPr/>
      </w:pPr>
      <w:r>
        <w:rPr/>
        <w:t>Allocates security and privacy safeguards to organization-defined locations and architectural layers; and</w:t>
      </w:r>
    </w:p>
    <w:p>
      <w:pPr>
        <w:pStyle w:val="ListParagraph"/>
        <w:numPr>
          <w:ilvl w:val="0"/>
          <w:numId w:val="562"/>
        </w:numPr>
        <w:rPr>
          <w:u w:val="single"/>
        </w:rPr>
      </w:pPr>
      <w:r>
        <w:rPr/>
        <w:t>Ensures that the allocated security and privacy safeguards operate in a coordinated and mutually reinforcing manner.</w:t>
      </w:r>
    </w:p>
    <w:p>
      <w:pPr>
        <w:pStyle w:val="Normal"/>
        <w:rPr/>
      </w:pPr>
      <w:r>
        <w:rPr/>
      </w:r>
    </w:p>
    <w:p>
      <w:pPr>
        <w:pStyle w:val="Normal"/>
        <w:rPr/>
      </w:pPr>
      <w:r>
        <w:rPr>
          <w:u w:val="single"/>
        </w:rPr>
        <w:t>Standard</w:t>
      </w:r>
      <w:r>
        <w:rPr/>
        <w:t>: NFCC is required to use a Defense-in-Depth (DiD) architecture to protect the Confidentiality, Integrity and Availability of systems and data, placing systems that contain sensitive data in an internal network zone, segregated from the DMZ and other untrusted networks.</w:t>
      </w:r>
      <w:r>
        <w:rPr>
          <w:rStyle w:val="FootnoteCharacters"/>
          <w:rFonts w:cs="Calibri"/>
          <w:bCs w:val="false"/>
        </w:rPr>
        <w:t xml:space="preserve"> </w:t>
      </w:r>
    </w:p>
    <w:p>
      <w:pPr>
        <w:pStyle w:val="Normal"/>
        <w:rPr/>
      </w:pPr>
      <w:r>
        <w:rPr/>
      </w:r>
    </w:p>
    <w:p>
      <w:pPr>
        <w:pStyle w:val="Normal"/>
        <w:rPr>
          <w:u w:val="single"/>
        </w:rPr>
      </w:pPr>
      <w:r>
        <w:rPr>
          <w:u w:val="single"/>
        </w:rPr>
        <w:t>Guidelines</w:t>
      </w:r>
      <w:r>
        <w:rPr/>
        <w:t>: The implementation of layered structures with minimized interactions among security functions and non-looping layers (e.g., lower-layer functions do not depend on higher-layer functions) further enables the isolation of security functions and management of complexity.</w:t>
      </w:r>
    </w:p>
    <w:p>
      <w:pPr>
        <w:pStyle w:val="Normal"/>
        <w:tabs>
          <w:tab w:val="clear" w:pos="360"/>
          <w:tab w:val="clear" w:pos="720"/>
          <w:tab w:val="clear" w:pos="1080"/>
        </w:tabs>
        <w:jc w:val="left"/>
        <w:rPr>
          <w:rFonts w:eastAsia="Calibri" w:cs="Calibri"/>
          <w:b/>
          <w:b/>
          <w:bCs w:val="false"/>
          <w:smallCaps/>
          <w:color w:val="C00000"/>
          <w:sz w:val="24"/>
        </w:rPr>
      </w:pPr>
      <w:r>
        <w:rPr>
          <w:rFonts w:eastAsia="Calibri" w:cs="Calibri"/>
          <w:b/>
          <w:bCs w:val="false"/>
          <w:smallCaps/>
          <w:color w:val="C00000"/>
          <w:sz w:val="24"/>
        </w:rPr>
      </w:r>
    </w:p>
    <w:p>
      <w:pPr>
        <w:pStyle w:val="Heading3"/>
        <w:rPr/>
      </w:pPr>
      <w:bookmarkStart w:id="1773" w:name="_Toc34921238"/>
      <w:bookmarkStart w:id="1774" w:name="_Toc474075342"/>
      <w:bookmarkStart w:id="1775" w:name="_Toc474075807"/>
      <w:bookmarkEnd w:id="1774"/>
      <w:bookmarkEnd w:id="1775"/>
      <w:r>
        <w:rPr/>
        <w:t>SEA-03(a): Defense-In-Depth (DiD) Architecture | System Partitioning</w:t>
      </w:r>
      <w:bookmarkEnd w:id="1773"/>
      <w:r>
        <w:rPr/>
        <w:t xml:space="preserve"> </w:t>
      </w:r>
    </w:p>
    <w:p>
      <w:pPr>
        <w:pStyle w:val="Normal"/>
        <w:rPr/>
      </w:pPr>
      <w:r>
        <w:rPr>
          <w:u w:val="single"/>
        </w:rPr>
        <w:t>Control Objective</w:t>
      </w:r>
      <w:r>
        <w:rPr/>
        <w:t>: The organization partitions the system so that partitions reside in separate physical domains or environments.</w:t>
      </w:r>
      <w:r>
        <w:rPr>
          <w:rStyle w:val="FootnoteAnchor"/>
          <w:rStyle w:val="FootnoteAnchor"/>
        </w:rPr>
        <w:footnoteReference w:id="560"/>
      </w:r>
    </w:p>
    <w:p>
      <w:pPr>
        <w:pStyle w:val="Normal"/>
        <w:rPr/>
      </w:pPr>
      <w:r>
        <w:rPr/>
      </w:r>
    </w:p>
    <w:p>
      <w:pPr>
        <w:pStyle w:val="Normal"/>
        <w:rPr/>
      </w:pPr>
      <w:r>
        <w:rPr>
          <w:u w:val="single"/>
        </w:rPr>
        <w:t>Standard</w:t>
      </w:r>
      <w:r>
        <w:rPr/>
        <w:t>: Where technically feasible and a business need exists, asset custodians are required to partition critical systems to reside in separate physical domains or environments:</w:t>
      </w:r>
    </w:p>
    <w:p>
      <w:pPr>
        <w:pStyle w:val="ListParagraph"/>
        <w:numPr>
          <w:ilvl w:val="0"/>
          <w:numId w:val="466"/>
        </w:numPr>
        <w:rPr/>
      </w:pPr>
      <w:r>
        <w:rPr/>
        <w:t>Virtual machines and / or air-gapped systems should be used to isolate and run applications that are required for business operations but based on higher risk should not be installed within a networked environment; and</w:t>
      </w:r>
    </w:p>
    <w:p>
      <w:pPr>
        <w:pStyle w:val="ListParagraph"/>
        <w:numPr>
          <w:ilvl w:val="0"/>
          <w:numId w:val="466"/>
        </w:numPr>
        <w:rPr/>
      </w:pPr>
      <w:r>
        <w:rPr/>
        <w:t>Critical services should operate on separate physical or logical host machines, such as DNS, file, mail, web and database servers.</w:t>
      </w:r>
    </w:p>
    <w:p>
      <w:pPr>
        <w:pStyle w:val="Normal"/>
        <w:rPr/>
      </w:pPr>
      <w:r>
        <w:rPr/>
      </w:r>
    </w:p>
    <w:p>
      <w:pPr>
        <w:pStyle w:val="Normal"/>
        <w:rPr/>
      </w:pPr>
      <w:r>
        <w:rPr>
          <w:u w:val="single"/>
        </w:rPr>
        <w:t>Guidelines</w:t>
      </w:r>
      <w:r>
        <w:rPr/>
        <w:t xml:space="preserve">: System partitioning is a part of a defense-in-depth protection strategy. Organizations determine the degree of physical separation of system components from physically distinct components in separate racks in the same room, to components in separate rooms for the more critical components, to more significant geographical separation of the most critical components. Security categorization can guide the selection of appropriate candidates for domain partitioning. Managed interfaces restrict or prohibit network access and information flow among partitioned system components. </w:t>
      </w:r>
    </w:p>
    <w:p>
      <w:pPr>
        <w:pStyle w:val="Normal"/>
        <w:rPr/>
      </w:pPr>
      <w:r>
        <w:rPr/>
      </w:r>
    </w:p>
    <w:p>
      <w:pPr>
        <w:pStyle w:val="Heading3"/>
        <w:rPr/>
      </w:pPr>
      <w:bookmarkStart w:id="1776" w:name="_Toc474075317"/>
      <w:bookmarkStart w:id="1777" w:name="_Toc474075786"/>
      <w:bookmarkStart w:id="1778" w:name="_Toc34921239"/>
      <w:r>
        <w:rPr/>
        <w:t>SEA-03(b): Defense-In-Depth (DiD) Architecture | Application Partitioning</w:t>
      </w:r>
      <w:bookmarkEnd w:id="1776"/>
      <w:bookmarkEnd w:id="1777"/>
      <w:bookmarkEnd w:id="1778"/>
    </w:p>
    <w:p>
      <w:pPr>
        <w:pStyle w:val="Normal"/>
        <w:rPr/>
      </w:pPr>
      <w:r>
        <w:rPr>
          <w:u w:val="single"/>
        </w:rPr>
        <w:t>Control Objective</w:t>
      </w:r>
      <w:r>
        <w:rPr/>
        <w:t>: Information system configurations separate user functionality (including user interface services) from system management functionality.</w:t>
      </w:r>
      <w:r>
        <w:rPr>
          <w:rStyle w:val="FootnoteCharacters"/>
          <w:rFonts w:cs="Calibri"/>
        </w:rPr>
        <w:t xml:space="preserve"> </w:t>
      </w:r>
      <w:r>
        <w:rPr>
          <w:rStyle w:val="FootnoteAnchor"/>
          <w:rStyle w:val="FootnoteAnchor"/>
          <w:rFonts w:cs="Calibri"/>
        </w:rPr>
        <w:footnoteReference w:id="561"/>
      </w:r>
    </w:p>
    <w:p>
      <w:pPr>
        <w:pStyle w:val="Normal"/>
        <w:rPr/>
      </w:pPr>
      <w:r>
        <w:rPr/>
      </w:r>
    </w:p>
    <w:p>
      <w:pPr>
        <w:pStyle w:val="Normal"/>
        <w:rPr/>
      </w:pPr>
      <w:r>
        <w:rPr>
          <w:u w:val="single"/>
        </w:rPr>
        <w:t>Standard</w:t>
      </w:r>
      <w:r>
        <w:rPr/>
        <w:t>: Where technically feasible, physically or logically separate user interface services (e.g., public Web pages) are required to be implemented separately from storage and management services (e.g., administrative or database management). Separation may be accomplished through the use of one or more of the following:</w:t>
      </w:r>
      <w:r>
        <w:rPr>
          <w:rStyle w:val="FootnoteCharacters"/>
          <w:rFonts w:cs="Calibri"/>
        </w:rPr>
        <w:t xml:space="preserve"> </w:t>
      </w:r>
    </w:p>
    <w:p>
      <w:pPr>
        <w:pStyle w:val="ListParagraph"/>
        <w:numPr>
          <w:ilvl w:val="0"/>
          <w:numId w:val="461"/>
        </w:numPr>
        <w:rPr/>
      </w:pPr>
      <w:r>
        <w:rPr/>
        <w:t>Network segmentation;</w:t>
      </w:r>
    </w:p>
    <w:p>
      <w:pPr>
        <w:pStyle w:val="ListParagraph"/>
        <w:numPr>
          <w:ilvl w:val="0"/>
          <w:numId w:val="461"/>
        </w:numPr>
        <w:rPr/>
      </w:pPr>
      <w:r>
        <w:rPr/>
        <w:t>Different computers;</w:t>
      </w:r>
    </w:p>
    <w:p>
      <w:pPr>
        <w:pStyle w:val="ListParagraph"/>
        <w:numPr>
          <w:ilvl w:val="0"/>
          <w:numId w:val="461"/>
        </w:numPr>
        <w:rPr/>
      </w:pPr>
      <w:r>
        <w:rPr/>
        <w:t>Different central processing units;</w:t>
      </w:r>
    </w:p>
    <w:p>
      <w:pPr>
        <w:pStyle w:val="ListParagraph"/>
        <w:numPr>
          <w:ilvl w:val="0"/>
          <w:numId w:val="461"/>
        </w:numPr>
        <w:rPr/>
      </w:pPr>
      <w:r>
        <w:rPr/>
        <w:t>Different instances of the operating system;</w:t>
      </w:r>
    </w:p>
    <w:p>
      <w:pPr>
        <w:pStyle w:val="ListParagraph"/>
        <w:numPr>
          <w:ilvl w:val="0"/>
          <w:numId w:val="461"/>
        </w:numPr>
        <w:rPr/>
      </w:pPr>
      <w:r>
        <w:rPr/>
        <w:t>Different network addresses; or</w:t>
      </w:r>
    </w:p>
    <w:p>
      <w:pPr>
        <w:pStyle w:val="ListParagraph"/>
        <w:numPr>
          <w:ilvl w:val="0"/>
          <w:numId w:val="461"/>
        </w:numPr>
        <w:rPr/>
      </w:pPr>
      <w:r>
        <w:rPr/>
        <w:t>Other methods as appropriate.</w:t>
      </w:r>
    </w:p>
    <w:p>
      <w:pPr>
        <w:pStyle w:val="Normal"/>
        <w:rPr/>
      </w:pPr>
      <w:r>
        <w:rPr/>
      </w:r>
    </w:p>
    <w:p>
      <w:pPr>
        <w:pStyle w:val="Normal"/>
        <w:rPr>
          <w:u w:val="single"/>
        </w:rPr>
      </w:pPr>
      <w:r>
        <w:rPr>
          <w:u w:val="single"/>
        </w:rPr>
        <w:t>Guidelines</w:t>
      </w:r>
      <w:r>
        <w:rPr/>
        <w:t>: Information system management functionality includes, for example, functions necessary to administer databases, network components, workstations or servers and typically requires privileged user access. The separation of user functionality from system management functionality is either physical or logical. Organizations implement separation of system management-related functionality from user functionality by using different computers, different central processing units, different instances of operating systems, different network addresses, virtualization techniques or combinations of these or other methods, as appropriate. This type of separation includes, for example, web administrative interfaces that use separate authentication methods for users of any other system resources. Separation of system and user functionality may include isolating administrative interfaces on different domains and with additional access controls.</w:t>
      </w:r>
      <w:r>
        <w:rPr>
          <w:u w:val="single"/>
        </w:rPr>
        <w:t xml:space="preserve"> </w:t>
      </w:r>
    </w:p>
    <w:p>
      <w:pPr>
        <w:pStyle w:val="Normal"/>
        <w:rPr/>
      </w:pPr>
      <w:r>
        <w:rPr/>
      </w:r>
    </w:p>
    <w:p>
      <w:pPr>
        <w:pStyle w:val="Normal"/>
        <w:rPr>
          <w:rFonts w:eastAsia="Calibri"/>
        </w:rPr>
      </w:pPr>
      <w:r>
        <w:rPr>
          <w:rFonts w:eastAsia="Calibri"/>
        </w:rPr>
      </w:r>
    </w:p>
    <w:p>
      <w:pPr>
        <w:pStyle w:val="Heading2"/>
        <w:rPr/>
      </w:pPr>
      <w:bookmarkStart w:id="1779" w:name="_Toc474075314"/>
      <w:bookmarkStart w:id="1780" w:name="_Toc474075785"/>
      <w:bookmarkStart w:id="1781" w:name="_Toc34921240"/>
      <w:bookmarkStart w:id="1782" w:name="_Toc4740753421"/>
      <w:bookmarkStart w:id="1783" w:name="_Toc4740758071"/>
      <w:bookmarkStart w:id="1784" w:name="_Toc4740753121"/>
      <w:bookmarkStart w:id="1785" w:name="_Toc4740757841"/>
      <w:bookmarkEnd w:id="1782"/>
      <w:bookmarkEnd w:id="1783"/>
      <w:bookmarkEnd w:id="1784"/>
      <w:bookmarkEnd w:id="1785"/>
      <w:r>
        <w:rPr/>
        <w:t>SEA-04: Process Isolation</w:t>
      </w:r>
      <w:bookmarkEnd w:id="1779"/>
      <w:bookmarkEnd w:id="1780"/>
      <w:bookmarkEnd w:id="1781"/>
      <w:r>
        <w:rPr/>
        <w:t xml:space="preserve"> </w:t>
      </w:r>
    </w:p>
    <w:p>
      <w:pPr>
        <w:pStyle w:val="Normal"/>
        <w:rPr/>
      </w:pPr>
      <w:r>
        <w:rPr>
          <w:u w:val="single"/>
        </w:rPr>
        <w:t>Control Objective</w:t>
      </w:r>
      <w:r>
        <w:rPr/>
        <w:t>: Systems maintain a separate execution domain for each executing process.</w:t>
      </w:r>
      <w:r>
        <w:rPr>
          <w:rStyle w:val="FootnoteAnchor"/>
          <w:rStyle w:val="FootnoteAnchor"/>
          <w:rFonts w:cs="Calibri"/>
        </w:rPr>
        <w:footnoteReference w:id="562"/>
      </w:r>
    </w:p>
    <w:p>
      <w:pPr>
        <w:pStyle w:val="Normal"/>
        <w:rPr/>
      </w:pPr>
      <w:r>
        <w:rPr/>
      </w:r>
    </w:p>
    <w:p>
      <w:pPr>
        <w:pStyle w:val="Normal"/>
        <w:rPr/>
      </w:pPr>
      <w:r>
        <w:rPr>
          <w:u w:val="single"/>
        </w:rPr>
        <w:t>Standard</w:t>
      </w:r>
      <w:r>
        <w:rPr/>
        <w:t>: Where technically feasible and a strong business need exists, asset custodians are required to implement a separate execution domain for each executing process.</w:t>
      </w:r>
    </w:p>
    <w:p>
      <w:pPr>
        <w:pStyle w:val="Normal"/>
        <w:rPr/>
      </w:pPr>
      <w:r>
        <w:rPr/>
      </w:r>
    </w:p>
    <w:p>
      <w:pPr>
        <w:pStyle w:val="Normal"/>
        <w:rPr/>
      </w:pPr>
      <w:r>
        <w:rPr>
          <w:u w:val="single"/>
        </w:rPr>
        <w:t>Guidelines</w:t>
      </w:r>
      <w:r>
        <w:rPr/>
        <w:t>: Systems can maintain separate execution domains for each executing process by assigning each process a separate address space. Each system process has a distinct address space so that communication between processes is performed in a manner controlled by the security functions and one process cannot modify the executing code of another process. Maintaining separate execution domains for executing processes can be achieved, for example, by implementing separate address spaces. This capability is available in most commercial operating systems that employ multi-state processor technologies.</w:t>
      </w:r>
    </w:p>
    <w:p>
      <w:pPr>
        <w:pStyle w:val="Normal"/>
        <w:rPr/>
      </w:pPr>
      <w:r>
        <w:rPr/>
      </w:r>
    </w:p>
    <w:p>
      <w:pPr>
        <w:pStyle w:val="Heading3"/>
        <w:rPr/>
      </w:pPr>
      <w:bookmarkStart w:id="1786" w:name="_Toc34921241"/>
      <w:r>
        <w:rPr/>
        <w:t>SEA-04(a): Process Isolation | Security Function Isolation</w:t>
      </w:r>
      <w:bookmarkEnd w:id="1786"/>
      <w:r>
        <w:rPr/>
        <w:t xml:space="preserve"> </w:t>
      </w:r>
    </w:p>
    <w:p>
      <w:pPr>
        <w:pStyle w:val="Normal"/>
        <w:rPr/>
      </w:pPr>
      <w:r>
        <w:rPr>
          <w:u w:val="single"/>
        </w:rPr>
        <w:t>Control Objective</w:t>
      </w:r>
      <w:r>
        <w:rPr/>
        <w:t>: System configurations isolate security functions from non-security functions.</w:t>
      </w:r>
      <w:r>
        <w:rPr>
          <w:rStyle w:val="FootnoteAnchor"/>
          <w:rStyle w:val="FootnoteAnchor"/>
          <w:rFonts w:cs="Calibri"/>
        </w:rPr>
        <w:footnoteReference w:id="563"/>
      </w:r>
      <w:r>
        <w:rPr/>
        <w:t xml:space="preserve"> </w:t>
      </w:r>
    </w:p>
    <w:p>
      <w:pPr>
        <w:pStyle w:val="Normal"/>
        <w:rPr/>
      </w:pPr>
      <w:r>
        <w:rPr/>
      </w:r>
    </w:p>
    <w:p>
      <w:pPr>
        <w:pStyle w:val="Normal"/>
        <w:rPr/>
      </w:pPr>
      <w:r>
        <w:rPr>
          <w:u w:val="single"/>
        </w:rPr>
        <w:t>Standard</w:t>
      </w:r>
      <w:r>
        <w:rPr/>
        <w:t>: Data/process owners and asset custodians are required to implement isolation techniques to prevent functions that require different security levels from co-existing on the same server. Isolation techniques include, but are not limited to:</w:t>
      </w:r>
    </w:p>
    <w:p>
      <w:pPr>
        <w:pStyle w:val="ListParagraph"/>
        <w:numPr>
          <w:ilvl w:val="0"/>
          <w:numId w:val="460"/>
        </w:numPr>
        <w:rPr/>
      </w:pPr>
      <w:r>
        <w:rPr/>
        <w:t>Implement only one primary function per server to prevent functions that require different security levels from co-existing on the same server;</w:t>
      </w:r>
    </w:p>
    <w:p>
      <w:pPr>
        <w:pStyle w:val="ListParagraph"/>
        <w:numPr>
          <w:ilvl w:val="0"/>
          <w:numId w:val="460"/>
        </w:numPr>
        <w:rPr/>
      </w:pPr>
      <w:r>
        <w:rPr/>
        <w:t>Firewall and router configurations need to be configured to restrict connections between untrusted networks and any system components in NFCC’s trusted, internal network;</w:t>
      </w:r>
    </w:p>
    <w:p>
      <w:pPr>
        <w:pStyle w:val="ListParagraph"/>
        <w:numPr>
          <w:ilvl w:val="0"/>
          <w:numId w:val="460"/>
        </w:numPr>
        <w:rPr/>
      </w:pPr>
      <w:r>
        <w:rPr/>
        <w:t>Firewalls need to be installed at all connections from an internal to any other internal or external network;</w:t>
      </w:r>
    </w:p>
    <w:p>
      <w:pPr>
        <w:pStyle w:val="ListParagraph"/>
        <w:numPr>
          <w:ilvl w:val="0"/>
          <w:numId w:val="460"/>
        </w:numPr>
        <w:rPr/>
      </w:pPr>
      <w:r>
        <w:rPr/>
        <w:t>Demilitarized Zones (DMZs) need to be implemented to limit inbound traffic to only system components that provide authorized publicly accessible services, protocols and ports;</w:t>
      </w:r>
    </w:p>
    <w:p>
      <w:pPr>
        <w:pStyle w:val="ListParagraph"/>
        <w:numPr>
          <w:ilvl w:val="0"/>
          <w:numId w:val="460"/>
        </w:numPr>
        <w:rPr/>
      </w:pPr>
      <w:r>
        <w:rPr/>
        <w:t>Servers which access external networks or are accessed from external networks need to be logically isolated from the private intranet;</w:t>
      </w:r>
    </w:p>
    <w:p>
      <w:pPr>
        <w:pStyle w:val="ListParagraph"/>
        <w:numPr>
          <w:ilvl w:val="0"/>
          <w:numId w:val="460"/>
        </w:numPr>
        <w:rPr/>
      </w:pPr>
      <w:r>
        <w:rPr/>
        <w:t>Networks need to be segregated or divided into separate logical domains, so access between domains can be controlled by means of secure devices;</w:t>
      </w:r>
    </w:p>
    <w:p>
      <w:pPr>
        <w:pStyle w:val="ListParagraph"/>
        <w:numPr>
          <w:ilvl w:val="0"/>
          <w:numId w:val="460"/>
        </w:numPr>
        <w:rPr/>
      </w:pPr>
      <w:r>
        <w:rPr/>
        <w:t>Switched network technology needs to be utilized, when possible, to prevent eavesdropping, session stealing or other exploits based on the accessibility of network traffic;</w:t>
      </w:r>
    </w:p>
    <w:p>
      <w:pPr>
        <w:pStyle w:val="ListParagraph"/>
        <w:numPr>
          <w:ilvl w:val="0"/>
          <w:numId w:val="460"/>
        </w:numPr>
        <w:rPr/>
      </w:pPr>
      <w:r>
        <w:rPr/>
        <w:t>Information resources with higher protection requirements for confidentiality should not have a trusted relationship with a system that has lower protection requirements; and</w:t>
      </w:r>
    </w:p>
    <w:p>
      <w:pPr>
        <w:pStyle w:val="ListParagraph"/>
        <w:numPr>
          <w:ilvl w:val="0"/>
          <w:numId w:val="460"/>
        </w:numPr>
        <w:rPr/>
      </w:pPr>
      <w:r>
        <w:rPr/>
        <w:t>If segmentation is used to isolate the sensitive networks from other networks, penetration tests must be performed at least annually and after any changes to segmentation controls / methods to verify that the segmentation methods are operational and effective and isolate all out-of-scope systems from in-scope systems.</w:t>
      </w:r>
      <w:r>
        <w:rPr>
          <w:rStyle w:val="FootnoteCharacters"/>
          <w:rFonts w:cs="Calibri"/>
        </w:rPr>
        <w:t xml:space="preserve"> </w:t>
      </w:r>
    </w:p>
    <w:p>
      <w:pPr>
        <w:pStyle w:val="Normal"/>
        <w:rPr/>
      </w:pPr>
      <w:r>
        <w:rPr/>
      </w:r>
    </w:p>
    <w:p>
      <w:pPr>
        <w:pStyle w:val="Normal"/>
        <w:rPr/>
      </w:pPr>
      <w:r>
        <w:rPr>
          <w:u w:val="single"/>
        </w:rPr>
        <w:t>Guidelines</w:t>
      </w:r>
      <w:r>
        <w:rPr/>
        <w:t xml:space="preserve">: The system isolates security functions from non-security functions by means of an isolation boundary (implemented via partitions and domains) that controls access to and protects the integrity of the hardware, software and firmware that perform those security functions. An “untrusted network” is any network that is external to the networks belonging to the entity under review and / or which is out of the entity's ability to control or manage. Systems restrict access to security functions through the use of access control mechanisms and by implementing least privilege capabilities. </w:t>
      </w:r>
    </w:p>
    <w:p>
      <w:pPr>
        <w:pStyle w:val="Heading3"/>
        <w:rPr/>
      </w:pPr>
      <w:r>
        <w:rPr/>
        <w:br/>
      </w:r>
      <w:bookmarkStart w:id="1787" w:name="_Toc474075315"/>
      <w:bookmarkStart w:id="1788" w:name="_Toc34921242"/>
      <w:r>
        <w:rPr/>
        <w:t>SEA-04(b): Process Isolation | Hardware Separation</w:t>
      </w:r>
      <w:bookmarkEnd w:id="1787"/>
      <w:bookmarkEnd w:id="1788"/>
    </w:p>
    <w:p>
      <w:pPr>
        <w:pStyle w:val="Normal"/>
        <w:rPr/>
      </w:pPr>
      <w:r>
        <w:rPr>
          <w:u w:val="single"/>
        </w:rPr>
        <w:t>Control Objective</w:t>
      </w:r>
      <w:r>
        <w:rPr/>
        <w:t>: Systems implement underlying hardware separation mechanisms to facilitate process separation.</w:t>
      </w:r>
      <w:r>
        <w:rPr>
          <w:rStyle w:val="FootnoteAnchor"/>
          <w:rStyle w:val="FootnoteAnchor"/>
        </w:rPr>
        <w:footnoteReference w:id="564"/>
      </w:r>
    </w:p>
    <w:p>
      <w:pPr>
        <w:pStyle w:val="Normal"/>
        <w:rPr/>
      </w:pPr>
      <w:r>
        <w:rPr/>
      </w:r>
    </w:p>
    <w:p>
      <w:pPr>
        <w:pStyle w:val="Normal"/>
        <w:rPr/>
      </w:pPr>
      <w:r>
        <w:rPr>
          <w:u w:val="single"/>
        </w:rPr>
        <w:t>Standard</w:t>
      </w:r>
      <w:r>
        <w:rPr/>
        <w:t>: Where technically feasible and a strong business need exists, asset custodians are required to configure systems to implement underlying hardware separation mechanisms to facilitate process separation.</w:t>
      </w:r>
    </w:p>
    <w:p>
      <w:pPr>
        <w:pStyle w:val="Normal"/>
        <w:rPr/>
      </w:pPr>
      <w:r>
        <w:rPr/>
      </w:r>
    </w:p>
    <w:p>
      <w:pPr>
        <w:pStyle w:val="Normal"/>
        <w:rPr/>
      </w:pPr>
      <w:r>
        <w:rPr>
          <w:u w:val="single"/>
        </w:rPr>
        <w:t>Guidelines</w:t>
      </w:r>
      <w:r>
        <w:rPr/>
        <w:t>: Hardware-based separation of system processes is generally less susceptible to compromise than software-based separation, thus providing greater assurance that the separation will be enforced. Underlying hardware separation mechanisms include, for example, hardware memory management.</w:t>
      </w:r>
    </w:p>
    <w:p>
      <w:pPr>
        <w:pStyle w:val="Normal"/>
        <w:rPr/>
      </w:pPr>
      <w:r>
        <w:rPr/>
      </w:r>
    </w:p>
    <w:p>
      <w:pPr>
        <w:pStyle w:val="Heading3"/>
        <w:rPr/>
      </w:pPr>
      <w:bookmarkStart w:id="1789" w:name="_Toc474075316"/>
      <w:bookmarkStart w:id="1790" w:name="_Toc34921243"/>
      <w:r>
        <w:rPr/>
        <w:t>SEA-04(c): Process Isolation | Thread Separation</w:t>
      </w:r>
      <w:bookmarkEnd w:id="1789"/>
      <w:bookmarkEnd w:id="1790"/>
    </w:p>
    <w:p>
      <w:pPr>
        <w:pStyle w:val="Normal"/>
        <w:rPr/>
      </w:pPr>
      <w:r>
        <w:rPr>
          <w:u w:val="single"/>
        </w:rPr>
        <w:t>Control Objective</w:t>
      </w:r>
      <w:r>
        <w:rPr/>
        <w:t>: Systems maintain a separate execution domain for each thread in multi-threaded processing.</w:t>
      </w:r>
      <w:r>
        <w:rPr>
          <w:rStyle w:val="FootnoteAnchor"/>
          <w:rStyle w:val="FootnoteAnchor"/>
        </w:rPr>
        <w:footnoteReference w:id="565"/>
      </w:r>
    </w:p>
    <w:p>
      <w:pPr>
        <w:pStyle w:val="Normal"/>
        <w:rPr/>
      </w:pPr>
      <w:r>
        <w:rPr/>
      </w:r>
    </w:p>
    <w:p>
      <w:pPr>
        <w:pStyle w:val="Normal"/>
        <w:rPr/>
      </w:pPr>
      <w:r>
        <w:rPr>
          <w:u w:val="single"/>
        </w:rPr>
        <w:t>Standard</w:t>
      </w:r>
      <w:r>
        <w:rPr/>
        <w:t>: Where technically feasible and a strong business need exists, asset custodians are required to configure systems to maintain a separate execution domain for each thread in multi-threaded processing.</w:t>
      </w:r>
    </w:p>
    <w:p>
      <w:pPr>
        <w:pStyle w:val="Normal"/>
        <w:rPr/>
      </w:pPr>
      <w:r>
        <w:rPr/>
      </w:r>
    </w:p>
    <w:p>
      <w:pPr>
        <w:pStyle w:val="Normal"/>
        <w:rPr/>
      </w:pPr>
      <w:r>
        <w:rPr>
          <w:u w:val="single"/>
        </w:rPr>
        <w:t>Guidelines</w:t>
      </w:r>
      <w:r>
        <w:rPr/>
        <w:t>: None</w:t>
      </w:r>
    </w:p>
    <w:p>
      <w:pPr>
        <w:pStyle w:val="Normal"/>
        <w:rPr/>
      </w:pPr>
      <w:r>
        <w:rPr/>
      </w:r>
    </w:p>
    <w:p>
      <w:pPr>
        <w:pStyle w:val="Normal"/>
        <w:rPr/>
      </w:pPr>
      <w:r>
        <w:rPr/>
      </w:r>
    </w:p>
    <w:p>
      <w:pPr>
        <w:pStyle w:val="Heading2"/>
        <w:rPr/>
      </w:pPr>
      <w:bookmarkStart w:id="1791" w:name="_Toc474075318"/>
      <w:bookmarkStart w:id="1792" w:name="_Toc474075787"/>
      <w:bookmarkStart w:id="1793" w:name="_Toc34921244"/>
      <w:r>
        <w:rPr/>
        <w:t>SEA-05: Information In Shared Resources</w:t>
      </w:r>
      <w:bookmarkEnd w:id="1791"/>
      <w:bookmarkEnd w:id="1792"/>
      <w:bookmarkEnd w:id="1793"/>
      <w:r>
        <w:rPr/>
        <w:t xml:space="preserve"> </w:t>
      </w:r>
    </w:p>
    <w:p>
      <w:pPr>
        <w:pStyle w:val="Normal"/>
        <w:rPr/>
      </w:pPr>
      <w:r>
        <w:rPr>
          <w:u w:val="single"/>
        </w:rPr>
        <w:t>Control Objective</w:t>
      </w:r>
      <w:r>
        <w:rPr/>
        <w:t>: Systems prevent unauthorized and unintended information transfer via shared system resources.</w:t>
      </w:r>
      <w:r>
        <w:rPr>
          <w:rStyle w:val="FootnoteAnchor"/>
          <w:rStyle w:val="FootnoteAnchor"/>
          <w:rFonts w:cs="Calibri"/>
        </w:rPr>
        <w:footnoteReference w:id="566"/>
      </w:r>
    </w:p>
    <w:p>
      <w:pPr>
        <w:pStyle w:val="Normal"/>
        <w:rPr/>
      </w:pPr>
      <w:r>
        <w:rPr/>
      </w:r>
    </w:p>
    <w:p>
      <w:pPr>
        <w:pStyle w:val="Normal"/>
        <w:rPr/>
      </w:pPr>
      <w:r>
        <w:rPr>
          <w:u w:val="single"/>
        </w:rPr>
        <w:t>Standard</w:t>
      </w:r>
      <w:r>
        <w:rPr/>
        <w:t xml:space="preserve">: Data/process owners and asset custodians are required to ensure that systems are configured to require privilege levels for access. The levels must ensure data is not exposed to individuals or processes with a lower privilege level. </w:t>
      </w:r>
    </w:p>
    <w:p>
      <w:pPr>
        <w:pStyle w:val="Normal"/>
        <w:rPr/>
      </w:pPr>
      <w:r>
        <w:rPr/>
      </w:r>
    </w:p>
    <w:p>
      <w:pPr>
        <w:pStyle w:val="Normal"/>
        <w:rPr/>
      </w:pPr>
      <w:r>
        <w:rPr>
          <w:u w:val="single"/>
        </w:rPr>
        <w:t>Guidelines</w:t>
      </w:r>
      <w:r>
        <w:rPr/>
        <w:t xml:space="preserve">: This control prevents information, including encrypted representations of information, produced by the actions of prior users / roles (or the actions of processes acting on behalf of prior users / roles) from being available to any current users / roles (or current processes) that obtain access to shared system resources (e.g., registers, main memory, hard disks) after those resources have been released back to systems. The control of information in shared system resources is also referred to as object reuse. </w:t>
      </w:r>
    </w:p>
    <w:p>
      <w:pPr>
        <w:pStyle w:val="Normal"/>
        <w:rPr/>
      </w:pPr>
      <w:r>
        <w:rPr/>
      </w:r>
    </w:p>
    <w:p>
      <w:pPr>
        <w:pStyle w:val="Normal"/>
        <w:rPr/>
      </w:pPr>
      <w:r>
        <w:rPr/>
      </w:r>
    </w:p>
    <w:p>
      <w:pPr>
        <w:pStyle w:val="Heading2"/>
        <w:rPr/>
      </w:pPr>
      <w:bookmarkStart w:id="1794" w:name="_Toc474075319"/>
      <w:bookmarkStart w:id="1795" w:name="_Toc474075788"/>
      <w:bookmarkStart w:id="1796" w:name="_Toc34921245"/>
      <w:r>
        <w:rPr/>
        <w:t>SEA-06: Prevent Program Execution</w:t>
      </w:r>
      <w:bookmarkEnd w:id="1794"/>
      <w:bookmarkEnd w:id="1795"/>
      <w:bookmarkEnd w:id="1796"/>
    </w:p>
    <w:p>
      <w:pPr>
        <w:pStyle w:val="Normal"/>
        <w:rPr/>
      </w:pPr>
      <w:r>
        <w:rPr>
          <w:u w:val="single"/>
        </w:rPr>
        <w:t>Control Objective</w:t>
      </w:r>
      <w:r>
        <w:rPr/>
        <w:t>: Systems employ automated mechanisms to prevent program execution of unauthorized software programs.</w:t>
      </w:r>
      <w:r>
        <w:rPr>
          <w:rStyle w:val="FootnoteAnchor"/>
          <w:rStyle w:val="FootnoteAnchor"/>
        </w:rPr>
        <w:footnoteReference w:id="567"/>
      </w:r>
    </w:p>
    <w:p>
      <w:pPr>
        <w:pStyle w:val="Normal"/>
        <w:rPr/>
      </w:pPr>
      <w:r>
        <w:rPr/>
      </w:r>
    </w:p>
    <w:p>
      <w:pPr>
        <w:pStyle w:val="Normal"/>
        <w:rPr/>
      </w:pPr>
      <w:r>
        <w:rPr>
          <w:u w:val="single"/>
        </w:rPr>
        <w:t>Standard</w:t>
      </w:r>
      <w:r>
        <w:rPr/>
        <w:t>: Asset custodians are required to configuring systems to employ automated mechanisms to prevent program execution of unauthorized software programs.</w:t>
      </w:r>
    </w:p>
    <w:p>
      <w:pPr>
        <w:pStyle w:val="Normal"/>
        <w:rPr>
          <w:rFonts w:eastAsia="Calibri"/>
        </w:rPr>
      </w:pPr>
      <w:r>
        <w:rPr>
          <w:rFonts w:eastAsia="Calibri"/>
        </w:rPr>
      </w:r>
    </w:p>
    <w:p>
      <w:pPr>
        <w:pStyle w:val="Normal"/>
        <w:rPr>
          <w:b/>
          <w:b/>
        </w:rPr>
      </w:pPr>
      <w:r>
        <w:rPr>
          <w:u w:val="single"/>
        </w:rPr>
        <w:t>Guidelines</w:t>
      </w:r>
      <w:r>
        <w:rPr/>
        <w:t>: None</w:t>
      </w:r>
    </w:p>
    <w:p>
      <w:pPr>
        <w:pStyle w:val="Normal"/>
        <w:rPr/>
      </w:pPr>
      <w:r>
        <w:rPr/>
      </w:r>
    </w:p>
    <w:p>
      <w:pPr>
        <w:pStyle w:val="Normal"/>
        <w:rPr/>
      </w:pPr>
      <w:r>
        <w:rPr/>
      </w:r>
    </w:p>
    <w:p>
      <w:pPr>
        <w:pStyle w:val="Heading2"/>
        <w:rPr/>
      </w:pPr>
      <w:bookmarkStart w:id="1797" w:name="_Toc34921246"/>
      <w:bookmarkStart w:id="1798" w:name="_Toc474075321"/>
      <w:bookmarkStart w:id="1799" w:name="_Toc474075790"/>
      <w:r>
        <w:rPr/>
        <w:t>SEA-07: Predictable Failure Analysis</w:t>
      </w:r>
      <w:bookmarkEnd w:id="1797"/>
      <w:bookmarkEnd w:id="1798"/>
      <w:bookmarkEnd w:id="1799"/>
      <w:r>
        <w:rPr/>
        <w:t xml:space="preserve"> </w:t>
      </w:r>
    </w:p>
    <w:p>
      <w:pPr>
        <w:pStyle w:val="Normal"/>
        <w:rPr/>
      </w:pPr>
      <w:r>
        <w:rPr>
          <w:u w:val="single"/>
        </w:rPr>
        <w:t>Control Objective</w:t>
      </w:r>
      <w:r>
        <w:rPr/>
        <w:t>: The organization:</w:t>
      </w:r>
      <w:r>
        <w:rPr>
          <w:rStyle w:val="FootnoteCharacters"/>
          <w:rFonts w:cs="Calibri"/>
        </w:rPr>
        <w:t xml:space="preserve"> </w:t>
      </w:r>
      <w:r>
        <w:rPr>
          <w:rStyle w:val="FootnoteAnchor"/>
          <w:rStyle w:val="FootnoteAnchor"/>
          <w:rFonts w:cs="Calibri"/>
        </w:rPr>
        <w:footnoteReference w:id="568"/>
      </w:r>
    </w:p>
    <w:p>
      <w:pPr>
        <w:pStyle w:val="ListParagraph"/>
        <w:numPr>
          <w:ilvl w:val="0"/>
          <w:numId w:val="144"/>
        </w:numPr>
        <w:rPr/>
      </w:pPr>
      <w:r>
        <w:rPr/>
        <w:t>Determines the Mean Time To Failure (MTTF) for system components in specific environments of operation; and</w:t>
      </w:r>
    </w:p>
    <w:p>
      <w:pPr>
        <w:pStyle w:val="ListParagraph"/>
        <w:numPr>
          <w:ilvl w:val="0"/>
          <w:numId w:val="144"/>
        </w:numPr>
        <w:rPr/>
      </w:pPr>
      <w:r>
        <w:rPr/>
        <w:t>Provides substitute system components and a means to exchange active and standby components at organization-defined MTTF substitution criteria.</w:t>
      </w:r>
    </w:p>
    <w:p>
      <w:pPr>
        <w:pStyle w:val="Normal"/>
        <w:rPr/>
      </w:pPr>
      <w:r>
        <w:rPr/>
      </w:r>
    </w:p>
    <w:p>
      <w:pPr>
        <w:pStyle w:val="Normal"/>
        <w:rPr/>
      </w:pPr>
      <w:r>
        <w:rPr>
          <w:u w:val="single"/>
        </w:rPr>
        <w:t>Standard</w:t>
      </w:r>
      <w:r>
        <w:rPr/>
        <w:t>: The responsible parties for NFCC’s technology infrastructure are required to take proactive steps to prevent downtime associated with predictable failure of system components. System components where protection takes into consideration Mean Time Between Failure (MTBF) includes, but is not limited to:</w:t>
      </w:r>
    </w:p>
    <w:p>
      <w:pPr>
        <w:pStyle w:val="ListParagraph"/>
        <w:numPr>
          <w:ilvl w:val="0"/>
          <w:numId w:val="462"/>
        </w:numPr>
        <w:rPr/>
      </w:pPr>
      <w:r>
        <w:rPr/>
        <w:t>Hard Disk Drives (HDD);</w:t>
      </w:r>
    </w:p>
    <w:p>
      <w:pPr>
        <w:pStyle w:val="ListParagraph"/>
        <w:numPr>
          <w:ilvl w:val="0"/>
          <w:numId w:val="462"/>
        </w:numPr>
        <w:rPr/>
      </w:pPr>
      <w:r>
        <w:rPr/>
        <w:t>Network Interface Cards (NICs);</w:t>
      </w:r>
    </w:p>
    <w:p>
      <w:pPr>
        <w:pStyle w:val="ListParagraph"/>
        <w:numPr>
          <w:ilvl w:val="0"/>
          <w:numId w:val="462"/>
        </w:numPr>
        <w:rPr/>
      </w:pPr>
      <w:r>
        <w:rPr/>
        <w:t xml:space="preserve">Monitors (including video cards); </w:t>
      </w:r>
    </w:p>
    <w:p>
      <w:pPr>
        <w:pStyle w:val="ListParagraph"/>
        <w:numPr>
          <w:ilvl w:val="0"/>
          <w:numId w:val="462"/>
        </w:numPr>
        <w:rPr/>
      </w:pPr>
      <w:r>
        <w:rPr/>
        <w:t>Motherboard (including fans, CPUs and RAM);</w:t>
      </w:r>
    </w:p>
    <w:p>
      <w:pPr>
        <w:pStyle w:val="ListParagraph"/>
        <w:numPr>
          <w:ilvl w:val="0"/>
          <w:numId w:val="462"/>
        </w:numPr>
        <w:rPr/>
      </w:pPr>
      <w:r>
        <w:rPr/>
        <w:t>Power Supply Units (PSUs);</w:t>
      </w:r>
    </w:p>
    <w:p>
      <w:pPr>
        <w:pStyle w:val="ListParagraph"/>
        <w:numPr>
          <w:ilvl w:val="0"/>
          <w:numId w:val="462"/>
        </w:numPr>
        <w:rPr/>
      </w:pPr>
      <w:r>
        <w:rPr/>
        <w:t>Networking equipment (including firewalls, routers, switches and Wireless Access Points (WAPs)); and</w:t>
      </w:r>
    </w:p>
    <w:p>
      <w:pPr>
        <w:pStyle w:val="ListParagraph"/>
        <w:numPr>
          <w:ilvl w:val="0"/>
          <w:numId w:val="462"/>
        </w:numPr>
        <w:rPr/>
      </w:pPr>
      <w:r>
        <w:rPr/>
        <w:t>Direct output devices (including printers, fax machines and copiers).</w:t>
      </w:r>
    </w:p>
    <w:p>
      <w:pPr>
        <w:pStyle w:val="Normal"/>
        <w:rPr/>
      </w:pPr>
      <w:r>
        <w:rPr/>
      </w:r>
    </w:p>
    <w:p>
      <w:pPr>
        <w:pStyle w:val="Normal"/>
        <w:rPr/>
      </w:pPr>
      <w:r>
        <w:rPr>
          <w:u w:val="single"/>
        </w:rPr>
        <w:t>Guidelines</w:t>
      </w:r>
      <w:r>
        <w:rPr/>
        <w:t xml:space="preserve">: While MTBF is primarily a reliability issue, this addresses potential failures of specific system components that provide security capability. Failure rates reflect installation-specific consideration, not industry-average. Organizations define criteria for substitution of system components based on MTBF value with consideration for resulting potential harm from component failures. Transfer of responsibilities between active and standby components does not compromise safety, operational readiness or security capability (e.g., preservation of state variables). </w:t>
      </w:r>
    </w:p>
    <w:p>
      <w:pPr>
        <w:pStyle w:val="Normal"/>
        <w:rPr/>
      </w:pPr>
      <w:r>
        <w:rPr/>
      </w:r>
    </w:p>
    <w:p>
      <w:pPr>
        <w:pStyle w:val="Normal"/>
        <w:rPr/>
      </w:pPr>
      <w:r>
        <w:rPr/>
        <w:t>On critical systems, NFCC should ensure that the standby component(s) successfully and transparently assumes the primary role in the event of component failure (e.g., RAID array) or through a manual transfer between active and standby components, in an effort to reduce downtime.</w:t>
      </w:r>
    </w:p>
    <w:p>
      <w:pPr>
        <w:pStyle w:val="Normal"/>
        <w:rPr/>
      </w:pPr>
      <w:r>
        <w:rPr/>
      </w:r>
    </w:p>
    <w:p>
      <w:pPr>
        <w:pStyle w:val="Heading3"/>
        <w:rPr/>
      </w:pPr>
      <w:bookmarkStart w:id="1800" w:name="_Toc34921247"/>
      <w:bookmarkStart w:id="1801" w:name="_Toc474075322"/>
      <w:r>
        <w:rPr/>
        <w:t xml:space="preserve">SEA-07(a): Predictable Failure Analysis | </w:t>
      </w:r>
      <w:bookmarkEnd w:id="1801"/>
      <w:r>
        <w:rPr/>
        <w:t>Technology Lifecycle Management</w:t>
      </w:r>
      <w:bookmarkEnd w:id="1800"/>
    </w:p>
    <w:p>
      <w:pPr>
        <w:pStyle w:val="Normal"/>
        <w:rPr/>
      </w:pPr>
      <w:r>
        <w:rPr>
          <w:u w:val="single"/>
        </w:rPr>
        <w:t>Control Objective</w:t>
      </w:r>
      <w:r>
        <w:rPr/>
        <w:t>: The organization manages the lifecycles of systems.</w:t>
      </w:r>
      <w:r>
        <w:rPr>
          <w:rStyle w:val="FootnoteAnchor"/>
          <w:rStyle w:val="FootnoteAnchor"/>
        </w:rPr>
        <w:footnoteReference w:id="569"/>
      </w:r>
    </w:p>
    <w:p>
      <w:pPr>
        <w:pStyle w:val="Normal"/>
        <w:rPr/>
      </w:pPr>
      <w:r>
        <w:rPr/>
      </w:r>
    </w:p>
    <w:p>
      <w:pPr>
        <w:pStyle w:val="Normal"/>
        <w:rPr/>
      </w:pPr>
      <w:r>
        <w:rPr>
          <w:u w:val="single"/>
        </w:rPr>
        <w:t>Standard</w:t>
      </w:r>
      <w:r>
        <w:rPr/>
        <w:t>: Computer Lifecycle Plans (CLPs) are required to be developed for critical systems prior to asset’s expected end of useful life, since that will reduce unexpected downtime from systems reaching the likely point of component failure, based on component Mean Time Between Failure (MTBF).</w:t>
      </w:r>
    </w:p>
    <w:p>
      <w:pPr>
        <w:pStyle w:val="Normal"/>
        <w:rPr/>
      </w:pPr>
      <w:r>
        <w:rPr/>
      </w:r>
    </w:p>
    <w:p>
      <w:pPr>
        <w:pStyle w:val="Normal"/>
        <w:rPr/>
      </w:pPr>
      <w:r>
        <w:rPr>
          <w:u w:val="single"/>
        </w:rPr>
        <w:t>Guidelines</w:t>
      </w:r>
      <w:r>
        <w:rPr/>
        <w:t>: NFCC recognizes that not all users have the same processing requirements, so asset lifespans will vary based on the type of work performed on the system. Routine clerical workers requiring little more than word processing and e-mail capabilities should be categorized on the later part of the spectrum, as compared to “power users” who require cutting-edge technologies based on their performance requirements.</w:t>
      </w:r>
    </w:p>
    <w:p>
      <w:pPr>
        <w:pStyle w:val="Normal"/>
        <w:rPr/>
      </w:pPr>
      <w:r>
        <w:rPr/>
      </w:r>
    </w:p>
    <w:p>
      <w:pPr>
        <w:pStyle w:val="Normal"/>
        <w:rPr/>
      </w:pPr>
      <w:r>
        <w:rPr/>
        <w:t xml:space="preserve">It is recommended to follow these system lifecycle criteria: </w:t>
      </w:r>
    </w:p>
    <w:p>
      <w:pPr>
        <w:pStyle w:val="ListParagraph"/>
        <w:numPr>
          <w:ilvl w:val="0"/>
          <w:numId w:val="34"/>
        </w:numPr>
        <w:rPr/>
      </w:pPr>
      <w:r>
        <w:rPr/>
        <w:t>Desktops: 3-5 years</w:t>
      </w:r>
    </w:p>
    <w:p>
      <w:pPr>
        <w:pStyle w:val="ListParagraph"/>
        <w:numPr>
          <w:ilvl w:val="0"/>
          <w:numId w:val="34"/>
        </w:numPr>
        <w:rPr/>
      </w:pPr>
      <w:r>
        <w:rPr/>
        <w:t>Laptops: 2-3 years</w:t>
      </w:r>
    </w:p>
    <w:p>
      <w:pPr>
        <w:pStyle w:val="ListParagraph"/>
        <w:numPr>
          <w:ilvl w:val="0"/>
          <w:numId w:val="34"/>
        </w:numPr>
        <w:rPr/>
      </w:pPr>
      <w:r>
        <w:rPr/>
        <w:t>Servers: 3-5 years</w:t>
      </w:r>
    </w:p>
    <w:p>
      <w:pPr>
        <w:pStyle w:val="ListParagraph"/>
        <w:numPr>
          <w:ilvl w:val="0"/>
          <w:numId w:val="34"/>
        </w:numPr>
        <w:rPr/>
      </w:pPr>
      <w:r>
        <w:rPr/>
        <w:t>Peripherals (e.g., printers): 4-5 years</w:t>
      </w:r>
    </w:p>
    <w:p>
      <w:pPr>
        <w:pStyle w:val="ListParagraph"/>
        <w:numPr>
          <w:ilvl w:val="0"/>
          <w:numId w:val="34"/>
        </w:numPr>
        <w:rPr/>
      </w:pPr>
      <w:r>
        <w:rPr/>
        <w:t>Software: 3-5 years</w:t>
      </w:r>
    </w:p>
    <w:p>
      <w:pPr>
        <w:pStyle w:val="Normal"/>
        <w:rPr/>
      </w:pPr>
      <w:r>
        <w:rPr/>
      </w:r>
    </w:p>
    <w:p>
      <w:pPr>
        <w:pStyle w:val="Heading3"/>
        <w:rPr/>
      </w:pPr>
      <w:bookmarkStart w:id="1802" w:name="_Toc474075320"/>
      <w:bookmarkStart w:id="1803" w:name="_Toc474075789"/>
      <w:bookmarkStart w:id="1804" w:name="_Toc34921248"/>
      <w:r>
        <w:rPr/>
        <w:t>SEA-07(b): Predictable Failure Analysis | Fail Secure</w:t>
      </w:r>
      <w:bookmarkEnd w:id="1804"/>
      <w:r>
        <w:rPr/>
        <w:t xml:space="preserve"> </w:t>
      </w:r>
      <w:bookmarkEnd w:id="1802"/>
      <w:bookmarkEnd w:id="1803"/>
    </w:p>
    <w:p>
      <w:pPr>
        <w:pStyle w:val="Normal"/>
        <w:rPr/>
      </w:pPr>
      <w:r>
        <w:rPr>
          <w:u w:val="single"/>
        </w:rPr>
        <w:t>Control Objective</w:t>
      </w:r>
      <w:r>
        <w:rPr/>
        <w:t>: Systems fail to an organization-defined known-state for types of failures, preserving system state information in failure.</w:t>
      </w:r>
      <w:r>
        <w:rPr>
          <w:rStyle w:val="FootnoteAnchor"/>
          <w:rStyle w:val="FootnoteAnchor"/>
          <w:rFonts w:cs="Calibri"/>
        </w:rPr>
        <w:footnoteReference w:id="570"/>
      </w:r>
    </w:p>
    <w:p>
      <w:pPr>
        <w:pStyle w:val="Normal"/>
        <w:rPr/>
      </w:pPr>
      <w:r>
        <w:rPr/>
      </w:r>
    </w:p>
    <w:p>
      <w:pPr>
        <w:pStyle w:val="Normal"/>
        <w:rPr/>
      </w:pPr>
      <w:r>
        <w:rPr>
          <w:u w:val="single"/>
        </w:rPr>
        <w:t>Standard</w:t>
      </w:r>
      <w:r>
        <w:rPr/>
        <w:t xml:space="preserve">: Where technically feasible, asset custodians and data / process owners are required to configure assets to fail in a known state or safe mode, for types of failures in order to preserve system state information at the time of the failure. </w:t>
      </w:r>
    </w:p>
    <w:p>
      <w:pPr>
        <w:pStyle w:val="Normal"/>
        <w:rPr/>
      </w:pPr>
      <w:r>
        <w:rPr/>
      </w:r>
    </w:p>
    <w:p>
      <w:pPr>
        <w:pStyle w:val="Normal"/>
        <w:rPr>
          <w:rFonts w:cs="Calibri"/>
        </w:rPr>
      </w:pPr>
      <w:r>
        <w:rPr>
          <w:u w:val="single"/>
        </w:rPr>
        <w:t>Guidelines</w:t>
      </w:r>
      <w:r>
        <w:rPr/>
        <w:t xml:space="preserve">: </w:t>
      </w:r>
      <w:r>
        <w:rPr>
          <w:rFonts w:cs="Calibri"/>
        </w:rPr>
        <w:t>Fail secure is a condition achieved by employing system mechanisms to ensure that in the event of operational failures of boundary protection devices at managed interfaces (e.g., routers, firewalls, guards and application gateways residing on protected subnetworks commonly referred to as demilitarized zones), systems do not enter insecure states where intended security properties no longer hold. Failures of boundary protection devices cannot lead to or cause information external to the devices to enter the devices, nor can failures permit unauthorized information releases.</w:t>
      </w:r>
    </w:p>
    <w:p>
      <w:pPr>
        <w:pStyle w:val="Normal"/>
        <w:rPr/>
      </w:pPr>
      <w:r>
        <w:rPr/>
      </w:r>
    </w:p>
    <w:p>
      <w:pPr>
        <w:pStyle w:val="Normal"/>
        <w:rPr/>
      </w:pPr>
      <w:r>
        <w:rPr/>
        <w:t xml:space="preserve">Failure in a known state addresses security concerns in accordance with the mission/business needs of organizations. Failure in a known secure state helps prevents the loss of confidentiality, integrity, or availability of information in the event of failures of organizational systems or system components. Failure in a known safe state helps prevent systems from failing to a state that may cause injury to individuals or destruction to property. Preserving system state information facilitates system restart and return to the operational mode of organizations with less disruption of mission/business processes. </w:t>
      </w:r>
    </w:p>
    <w:p>
      <w:pPr>
        <w:pStyle w:val="Normal"/>
        <w:rPr/>
      </w:pPr>
      <w:r>
        <w:rPr/>
      </w:r>
    </w:p>
    <w:p>
      <w:pPr>
        <w:pStyle w:val="Normal"/>
        <w:rPr/>
      </w:pPr>
      <w:r>
        <w:rPr/>
        <w:t>Any controls that are implemented should be documented and retained across the life cycle of the system to document the process for failing to a known state. This is used to manage risk to specialized systems, including operational technology (e.g., ICS, SCADA, DCS and PLC) consistent with risk analysis.</w:t>
      </w:r>
    </w:p>
    <w:p>
      <w:pPr>
        <w:pStyle w:val="Normal"/>
        <w:rPr/>
      </w:pPr>
      <w:r>
        <w:rPr/>
      </w:r>
    </w:p>
    <w:p>
      <w:pPr>
        <w:pStyle w:val="Heading3"/>
        <w:rPr/>
      </w:pPr>
      <w:bookmarkStart w:id="1805" w:name="_Toc474075326"/>
      <w:bookmarkStart w:id="1806" w:name="_Toc474075794"/>
      <w:bookmarkStart w:id="1807" w:name="_Toc34921249"/>
      <w:r>
        <w:rPr/>
        <w:t>SEA-07(c): Predictable Failure Analysis | Fail Safe</w:t>
      </w:r>
      <w:bookmarkEnd w:id="1807"/>
      <w:r>
        <w:rPr/>
        <w:t xml:space="preserve"> </w:t>
      </w:r>
      <w:bookmarkEnd w:id="1805"/>
      <w:bookmarkEnd w:id="1806"/>
    </w:p>
    <w:p>
      <w:pPr>
        <w:pStyle w:val="Normal"/>
        <w:rPr/>
      </w:pPr>
      <w:r>
        <w:rPr>
          <w:u w:val="single"/>
        </w:rPr>
        <w:t>Control Objective</w:t>
      </w:r>
      <w:r>
        <w:rPr/>
        <w:t>: The organization implements organization-defined fail-safe processes when failure conditions occur.</w:t>
      </w:r>
      <w:r>
        <w:rPr>
          <w:rStyle w:val="FootnoteCharacters"/>
        </w:rPr>
        <w:t xml:space="preserve"> </w:t>
      </w:r>
      <w:r>
        <w:rPr>
          <w:rStyle w:val="FootnoteAnchor"/>
          <w:rStyle w:val="FootnoteAnchor"/>
        </w:rPr>
        <w:footnoteReference w:id="571"/>
      </w:r>
    </w:p>
    <w:p>
      <w:pPr>
        <w:pStyle w:val="Normal"/>
        <w:rPr/>
      </w:pPr>
      <w:r>
        <w:rPr/>
      </w:r>
    </w:p>
    <w:p>
      <w:pPr>
        <w:pStyle w:val="Normal"/>
        <w:rPr/>
      </w:pPr>
      <w:r>
        <w:rPr>
          <w:u w:val="single"/>
        </w:rPr>
        <w:t>Standard</w:t>
      </w:r>
      <w:r>
        <w:rPr/>
        <w:t>: Where technically feasible and justified by a valid business case, asset custodians and data / process owners are required to implement processes to configure critical systems to implement fail-safe procedures for when failure conditions occur.</w:t>
      </w:r>
    </w:p>
    <w:p>
      <w:pPr>
        <w:pStyle w:val="Normal"/>
        <w:rPr/>
      </w:pPr>
      <w:r>
        <w:rPr/>
      </w:r>
    </w:p>
    <w:p>
      <w:pPr>
        <w:pStyle w:val="Normal"/>
        <w:rPr/>
      </w:pPr>
      <w:r>
        <w:rPr>
          <w:u w:val="single"/>
        </w:rPr>
        <w:t>Guidelines</w:t>
      </w:r>
      <w:r>
        <w:rPr/>
        <w:t>: Failure conditions include, for example, loss of communications among critical system components or between system components and operational facilities. Fail-safe procedures include, for example, alerting operator personnel and providing specific instructions on subsequent steps to take. These steps include, for example, doing nothing, reestablishing system settings, shutting down processes, restarting the system, or contacting designated organizational personnel.</w:t>
      </w:r>
    </w:p>
    <w:p>
      <w:pPr>
        <w:pStyle w:val="Normal"/>
        <w:rPr/>
      </w:pPr>
      <w:r>
        <w:rPr/>
      </w:r>
    </w:p>
    <w:p>
      <w:pPr>
        <w:pStyle w:val="Normal"/>
        <w:rPr/>
      </w:pPr>
      <w:r>
        <w:rPr/>
      </w:r>
    </w:p>
    <w:p>
      <w:pPr>
        <w:pStyle w:val="Heading2"/>
        <w:rPr/>
      </w:pPr>
      <w:bookmarkStart w:id="1808" w:name="_Toc474075323"/>
      <w:bookmarkStart w:id="1809" w:name="_Toc474075791"/>
      <w:bookmarkStart w:id="1810" w:name="_Toc34921250"/>
      <w:r>
        <w:rPr/>
        <w:t>SEA-08: Non-Persistence</w:t>
      </w:r>
      <w:bookmarkEnd w:id="1808"/>
      <w:bookmarkEnd w:id="1809"/>
      <w:bookmarkEnd w:id="1810"/>
      <w:r>
        <w:rPr/>
        <w:t xml:space="preserve"> </w:t>
      </w:r>
    </w:p>
    <w:p>
      <w:pPr>
        <w:pStyle w:val="Normal"/>
        <w:rPr/>
      </w:pPr>
      <w:r>
        <w:rPr>
          <w:u w:val="single"/>
        </w:rPr>
        <w:t>Control Objective</w:t>
      </w:r>
      <w:r>
        <w:rPr/>
        <w:t>: The organization implements non-persistent system components and services that are initiated in a known state and terminated upon the end of the session of use or periodically at an organization-defined frequency.</w:t>
      </w:r>
      <w:r>
        <w:rPr>
          <w:rStyle w:val="FootnoteCharacters"/>
        </w:rPr>
        <w:t xml:space="preserve"> </w:t>
      </w:r>
      <w:r>
        <w:rPr>
          <w:rStyle w:val="FootnoteAnchor"/>
          <w:rStyle w:val="FootnoteAnchor"/>
        </w:rPr>
        <w:footnoteReference w:id="572"/>
      </w:r>
    </w:p>
    <w:p>
      <w:pPr>
        <w:pStyle w:val="Normal"/>
        <w:rPr/>
      </w:pPr>
      <w:r>
        <w:rPr/>
      </w:r>
    </w:p>
    <w:p>
      <w:pPr>
        <w:pStyle w:val="Normal"/>
        <w:rPr/>
      </w:pPr>
      <w:r>
        <w:rPr>
          <w:u w:val="single"/>
        </w:rPr>
        <w:t>Standard</w:t>
      </w:r>
      <w:r>
        <w:rPr/>
        <w:t>: Data/process owners and asset custodians are required to ensure that software and data employed during system component and service refreshes are obtained from trusted sources.</w:t>
      </w:r>
    </w:p>
    <w:p>
      <w:pPr>
        <w:pStyle w:val="Normal"/>
        <w:rPr/>
      </w:pPr>
      <w:r>
        <w:rPr/>
      </w:r>
    </w:p>
    <w:p>
      <w:pPr>
        <w:pStyle w:val="Normal"/>
        <w:rPr/>
      </w:pPr>
      <w:r>
        <w:rPr>
          <w:u w:val="single"/>
        </w:rPr>
        <w:t>Guidelines</w:t>
      </w:r>
      <w:r>
        <w:rPr/>
        <w:t>: Trusted sources include, for example, software / data from write-once, read-only media or from selected off-line secure storage facilities. This control mitigates risk from advanced persistent threats (APTs) by significantly reducing the targeting capability of adversaries (e.g., the window of opportunity and available attack surface) to initiate and complete cyber-attacks. Non-persistence increases the work factor of adversaries in attempting to compromise or breach organizational systems. Non-persistent system components can be implemented, for example, by periodically re-imaging components or by using a variety of common virtualization techniques. Non-persistent services can be implemented using virtualization techniques as part of virtual machines or as new instances of processes on physical machines (either persistent or non-persistent).</w:t>
      </w:r>
    </w:p>
    <w:p>
      <w:pPr>
        <w:pStyle w:val="Normal"/>
        <w:rPr/>
      </w:pPr>
      <w:r>
        <w:rPr/>
      </w:r>
    </w:p>
    <w:p>
      <w:pPr>
        <w:pStyle w:val="Heading3"/>
        <w:rPr/>
      </w:pPr>
      <w:bookmarkStart w:id="1811" w:name="_Toc23242260"/>
      <w:bookmarkStart w:id="1812" w:name="_Toc34921251"/>
      <w:r>
        <w:rPr/>
        <w:t>SEA-08(a): Non-Persistence | Refresh from Trusted Sources</w:t>
      </w:r>
      <w:bookmarkEnd w:id="1811"/>
      <w:bookmarkEnd w:id="1812"/>
      <w:r>
        <w:rPr/>
        <w:t xml:space="preserve"> </w:t>
      </w:r>
    </w:p>
    <w:p>
      <w:pPr>
        <w:pStyle w:val="Normal"/>
        <w:rPr>
          <w:rFonts w:cs="Calibri"/>
        </w:rPr>
      </w:pPr>
      <w:r>
        <w:rPr>
          <w:rFonts w:cs="Calibri"/>
          <w:u w:val="single"/>
        </w:rPr>
        <w:t>Control Objective</w:t>
      </w:r>
      <w:r>
        <w:rPr>
          <w:rFonts w:cs="Calibri"/>
        </w:rPr>
        <w:t>: The organization ensures that software and data employed during information system component and service refreshes are obtained from organization-defined trusted sources.</w:t>
      </w:r>
    </w:p>
    <w:p>
      <w:pPr>
        <w:pStyle w:val="Normal"/>
        <w:rPr>
          <w:rFonts w:cs="Calibri"/>
        </w:rPr>
      </w:pPr>
      <w:r>
        <w:rPr>
          <w:rFonts w:cs="Calibri"/>
        </w:rPr>
      </w:r>
    </w:p>
    <w:p>
      <w:pPr>
        <w:pStyle w:val="Normal"/>
        <w:rPr>
          <w:rFonts w:cs="Calibri"/>
        </w:rPr>
      </w:pPr>
      <w:r>
        <w:rPr>
          <w:rFonts w:cs="Calibri"/>
          <w:bCs w:val="false"/>
          <w:u w:val="single"/>
        </w:rPr>
        <w:t>Standard</w:t>
      </w:r>
      <w:r>
        <w:rPr>
          <w:rFonts w:cs="Calibri"/>
          <w:bCs w:val="false"/>
        </w:rPr>
        <w:t>:</w:t>
      </w:r>
      <w:r>
        <w:rPr>
          <w:rFonts w:cs="Calibri"/>
        </w:rPr>
        <w:t xml:space="preserve"> NFCC’s configuration management process must include processes for how system administrators obtain software and data from trusted, authoritative internal repositories.</w:t>
      </w:r>
    </w:p>
    <w:p>
      <w:pPr>
        <w:pStyle w:val="Normal"/>
        <w:rPr>
          <w:rFonts w:cs="Calibri"/>
        </w:rPr>
      </w:pPr>
      <w:r>
        <w:rPr>
          <w:rFonts w:cs="Calibri"/>
        </w:rPr>
      </w:r>
    </w:p>
    <w:p>
      <w:pPr>
        <w:pStyle w:val="Normal"/>
        <w:rPr>
          <w:rFonts w:cs="Calibri"/>
        </w:rPr>
      </w:pPr>
      <w:r>
        <w:rPr>
          <w:rFonts w:cs="Calibri"/>
          <w:u w:val="single"/>
        </w:rPr>
        <w:t>Guidelines</w:t>
      </w:r>
      <w:r>
        <w:rPr>
          <w:rFonts w:cs="Calibri"/>
        </w:rPr>
        <w:t>: Trusted sources include, for example, software/data from write-once, read-only media or from selected off-line secure storage facilities.</w:t>
      </w:r>
      <w:bookmarkStart w:id="1813" w:name="_Hlk27580456"/>
      <w:bookmarkEnd w:id="1813"/>
    </w:p>
    <w:p>
      <w:pPr>
        <w:pStyle w:val="Normal"/>
        <w:rPr/>
      </w:pPr>
      <w:r>
        <w:rPr/>
      </w:r>
    </w:p>
    <w:p>
      <w:pPr>
        <w:pStyle w:val="Normal"/>
        <w:rPr/>
      </w:pPr>
      <w:r>
        <w:rPr/>
      </w:r>
    </w:p>
    <w:p>
      <w:pPr>
        <w:pStyle w:val="Heading2"/>
        <w:rPr/>
      </w:pPr>
      <w:bookmarkStart w:id="1814" w:name="_Toc474075324"/>
      <w:bookmarkStart w:id="1815" w:name="_Toc474075792"/>
      <w:bookmarkStart w:id="1816" w:name="_Toc34921252"/>
      <w:r>
        <w:rPr/>
        <w:t>SEA-09: Information Output Filtering</w:t>
      </w:r>
      <w:bookmarkEnd w:id="1816"/>
      <w:r>
        <w:rPr/>
        <w:t xml:space="preserve"> </w:t>
      </w:r>
      <w:bookmarkEnd w:id="1814"/>
      <w:bookmarkEnd w:id="1815"/>
    </w:p>
    <w:p>
      <w:pPr>
        <w:pStyle w:val="Normal"/>
        <w:rPr/>
      </w:pPr>
      <w:r>
        <w:rPr>
          <w:u w:val="single"/>
        </w:rPr>
        <w:t>Control Objective</w:t>
      </w:r>
      <w:r>
        <w:rPr/>
        <w:t>: Systems validate information output from software programs and / or applications to ensure that the information is consistent with the expected content.</w:t>
      </w:r>
      <w:r>
        <w:rPr>
          <w:rStyle w:val="FootnoteCharacters"/>
        </w:rPr>
        <w:t xml:space="preserve"> </w:t>
      </w:r>
      <w:r>
        <w:rPr>
          <w:rStyle w:val="FootnoteAnchor"/>
          <w:rStyle w:val="FootnoteAnchor"/>
        </w:rPr>
        <w:footnoteReference w:id="573"/>
      </w:r>
    </w:p>
    <w:p>
      <w:pPr>
        <w:pStyle w:val="Normal"/>
        <w:rPr/>
      </w:pPr>
      <w:r>
        <w:rPr/>
      </w:r>
    </w:p>
    <w:p>
      <w:pPr>
        <w:pStyle w:val="Normal"/>
        <w:rPr/>
      </w:pPr>
      <w:r>
        <w:rPr>
          <w:u w:val="single"/>
        </w:rPr>
        <w:t>Standard</w:t>
      </w:r>
      <w:r>
        <w:rPr/>
        <w:t>: Data/process owners and asset custodians are required to configure critical systems to:</w:t>
      </w:r>
    </w:p>
    <w:p>
      <w:pPr>
        <w:pStyle w:val="ListParagraph"/>
        <w:numPr>
          <w:ilvl w:val="0"/>
          <w:numId w:val="518"/>
        </w:numPr>
        <w:rPr/>
      </w:pPr>
      <w:r>
        <w:rPr/>
        <w:t>Validate information output from software programs and / or applications to ensure that the information is consistent with the expected content; and</w:t>
      </w:r>
    </w:p>
    <w:p>
      <w:pPr>
        <w:pStyle w:val="ListParagraph"/>
        <w:numPr>
          <w:ilvl w:val="0"/>
          <w:numId w:val="518"/>
        </w:numPr>
        <w:rPr/>
      </w:pPr>
      <w:r>
        <w:rPr/>
        <w:t>Implement integrity routines (e.g., reconciliation and edit checks) for application interfaces and databases to prevent manual or systematic processing errors, corruption of data or misuse.</w:t>
      </w:r>
    </w:p>
    <w:p>
      <w:pPr>
        <w:pStyle w:val="Normal"/>
        <w:rPr/>
      </w:pPr>
      <w:r>
        <w:rPr/>
      </w:r>
    </w:p>
    <w:p>
      <w:pPr>
        <w:pStyle w:val="Normal"/>
        <w:rPr/>
      </w:pPr>
      <w:r>
        <w:rPr>
          <w:u w:val="single"/>
        </w:rPr>
        <w:t>Guidelines</w:t>
      </w:r>
      <w:r>
        <w:rPr/>
        <w:t xml:space="preserve">: Certain types of cyber-attacks (e.g., SQL injections) produce output results that are unexpected or inconsistent with the output results that would normally be expected from software programs or applications. This standard focuses on detecting extraneous content, preventing such extraneous content from being displayed and alerting monitoring tools that anomalous behavior has been discovered. </w:t>
      </w:r>
    </w:p>
    <w:p>
      <w:pPr>
        <w:pStyle w:val="Normal"/>
        <w:rPr/>
      </w:pPr>
      <w:r>
        <w:rPr/>
      </w:r>
    </w:p>
    <w:p>
      <w:pPr>
        <w:pStyle w:val="Heading3"/>
        <w:rPr/>
      </w:pPr>
      <w:bookmarkStart w:id="1817" w:name="_Toc34921253"/>
      <w:r>
        <w:rPr/>
        <w:t>SEA-09(a): Information Output Filtering | Limit Personal Data (PD) Dissemination</w:t>
      </w:r>
      <w:bookmarkEnd w:id="1817"/>
    </w:p>
    <w:p>
      <w:pPr>
        <w:pStyle w:val="Normal"/>
        <w:rPr/>
      </w:pPr>
      <w:r>
        <w:rPr>
          <w:u w:val="single"/>
        </w:rPr>
        <w:t>Control Objective</w:t>
      </w:r>
      <w:r>
        <w:rPr/>
        <w:t>: The organization limits the dissemination of Personal Information to organization-defined elements identified in the Privacy Risk Assessment (PRA) and consistent with authorized purposes.</w:t>
      </w:r>
    </w:p>
    <w:p>
      <w:pPr>
        <w:pStyle w:val="Normal"/>
        <w:rPr/>
      </w:pPr>
      <w:r>
        <w:rPr/>
      </w:r>
    </w:p>
    <w:p>
      <w:pPr>
        <w:pStyle w:val="Normal"/>
        <w:rPr/>
      </w:pPr>
      <w:r>
        <w:rPr>
          <w:u w:val="single"/>
        </w:rPr>
        <w:t>Standard</w:t>
      </w:r>
      <w:r>
        <w:rPr/>
        <w:t>: Data / process owners are required to limit the dissemination of Personal Data (PD) to:</w:t>
      </w:r>
    </w:p>
    <w:p>
      <w:pPr>
        <w:pStyle w:val="ListParagraph"/>
        <w:numPr>
          <w:ilvl w:val="0"/>
          <w:numId w:val="583"/>
        </w:numPr>
        <w:rPr/>
      </w:pPr>
      <w:r>
        <w:rPr/>
        <w:t xml:space="preserve">Elements identified in the Privacy Risk Assessment (PRA); and </w:t>
      </w:r>
    </w:p>
    <w:p>
      <w:pPr>
        <w:pStyle w:val="ListParagraph"/>
        <w:numPr>
          <w:ilvl w:val="0"/>
          <w:numId w:val="583"/>
        </w:numPr>
        <w:rPr/>
      </w:pPr>
      <w:r>
        <w:rPr/>
        <w:t>Be consistent with authorized purposes.</w:t>
      </w:r>
    </w:p>
    <w:p>
      <w:pPr>
        <w:pStyle w:val="Normal"/>
        <w:rPr/>
      </w:pPr>
      <w:r>
        <w:rPr/>
      </w:r>
    </w:p>
    <w:p>
      <w:pPr>
        <w:pStyle w:val="Normal"/>
        <w:rPr/>
      </w:pPr>
      <w:r>
        <w:rPr>
          <w:u w:val="single"/>
        </w:rPr>
        <w:t>Guidelines</w:t>
      </w:r>
      <w:r>
        <w:rPr/>
        <w:t>: Preventing the sharing of Personal Information outside of explicitly determined elements helps mitigate privacy risks that may arise from using such information to detect anomalous system behavior. Organizations weigh the risks created by using Personal Information for information output filtering (as either signature or heuristic information) against the security risks they help mitigate and the established privacy posture in the privacy program plan.</w:t>
      </w:r>
      <w:bookmarkStart w:id="1818" w:name="_Hlk505235477"/>
      <w:bookmarkEnd w:id="1818"/>
    </w:p>
    <w:p>
      <w:pPr>
        <w:pStyle w:val="Normal"/>
        <w:rPr/>
      </w:pPr>
      <w:r>
        <w:rPr/>
      </w:r>
    </w:p>
    <w:p>
      <w:pPr>
        <w:pStyle w:val="Normal"/>
        <w:rPr/>
      </w:pPr>
      <w:r>
        <w:rPr/>
      </w:r>
    </w:p>
    <w:p>
      <w:pPr>
        <w:pStyle w:val="Heading2"/>
        <w:rPr/>
      </w:pPr>
      <w:bookmarkStart w:id="1819" w:name="_Toc474075325"/>
      <w:bookmarkStart w:id="1820" w:name="_Toc474075793"/>
      <w:bookmarkStart w:id="1821" w:name="_Toc34921254"/>
      <w:r>
        <w:rPr/>
        <w:t>SEA-10: Memory Protection</w:t>
      </w:r>
      <w:bookmarkEnd w:id="1819"/>
      <w:bookmarkEnd w:id="1820"/>
      <w:bookmarkEnd w:id="1821"/>
      <w:r>
        <w:rPr/>
        <w:t xml:space="preserve"> </w:t>
      </w:r>
    </w:p>
    <w:p>
      <w:pPr>
        <w:pStyle w:val="Normal"/>
        <w:rPr/>
      </w:pPr>
      <w:r>
        <w:rPr>
          <w:u w:val="single"/>
        </w:rPr>
        <w:t>Control Objective</w:t>
      </w:r>
      <w:r>
        <w:rPr/>
        <w:t>: Systems implement security safeguards to protect system memory from unauthorized code execution.</w:t>
      </w:r>
      <w:r>
        <w:rPr>
          <w:rStyle w:val="FootnoteAnchor"/>
          <w:rStyle w:val="FootnoteAnchor"/>
          <w:rFonts w:cs="Calibri"/>
        </w:rPr>
        <w:footnoteReference w:id="574"/>
      </w:r>
    </w:p>
    <w:p>
      <w:pPr>
        <w:pStyle w:val="Normal"/>
        <w:rPr/>
      </w:pPr>
      <w:r>
        <w:rPr/>
      </w:r>
    </w:p>
    <w:p>
      <w:pPr>
        <w:pStyle w:val="Normal"/>
        <w:rPr/>
      </w:pPr>
      <w:r>
        <w:rPr>
          <w:u w:val="single"/>
        </w:rPr>
        <w:t>Standard</w:t>
      </w:r>
      <w:r>
        <w:rPr/>
        <w:t>: Data/process owners and asset custodians are required to configure critical systems to protect system memory from unauthorized code execution.</w:t>
      </w:r>
    </w:p>
    <w:p>
      <w:pPr>
        <w:pStyle w:val="Normal"/>
        <w:rPr/>
      </w:pPr>
      <w:r>
        <w:rPr/>
      </w:r>
    </w:p>
    <w:p>
      <w:pPr>
        <w:pStyle w:val="Normal"/>
        <w:rPr/>
      </w:pPr>
      <w:r>
        <w:rPr>
          <w:u w:val="single"/>
        </w:rPr>
        <w:t>Guidelines</w:t>
      </w:r>
      <w:r>
        <w:rPr/>
        <w:t xml:space="preserve">: Some adversaries launch attacks with the intent of executing code in non-executable regions of memory or in memory locations that are prohibited. Security safeguards employed to protect memory include, for example, data execution prevention and address space layout randomization. </w:t>
      </w:r>
    </w:p>
    <w:p>
      <w:pPr>
        <w:pStyle w:val="Normal"/>
        <w:rPr/>
      </w:pPr>
      <w:r>
        <w:rPr/>
      </w:r>
    </w:p>
    <w:p>
      <w:pPr>
        <w:pStyle w:val="Normal"/>
        <w:rPr/>
      </w:pPr>
      <w:r>
        <w:rPr/>
      </w:r>
    </w:p>
    <w:p>
      <w:pPr>
        <w:pStyle w:val="Heading2"/>
        <w:rPr/>
      </w:pPr>
      <w:bookmarkStart w:id="1822" w:name="_Toc474075327"/>
      <w:bookmarkStart w:id="1823" w:name="_Toc474075795"/>
      <w:bookmarkStart w:id="1824" w:name="_Toc34921255"/>
      <w:r>
        <w:rPr/>
        <w:t>SEA-11: Honeypots</w:t>
      </w:r>
      <w:bookmarkEnd w:id="1822"/>
      <w:bookmarkEnd w:id="1823"/>
      <w:bookmarkEnd w:id="1824"/>
      <w:r>
        <w:rPr/>
        <w:t xml:space="preserve"> </w:t>
      </w:r>
    </w:p>
    <w:p>
      <w:pPr>
        <w:pStyle w:val="Normal"/>
        <w:rPr/>
      </w:pPr>
      <w:bookmarkStart w:id="1825" w:name="_Toc274039498"/>
      <w:bookmarkStart w:id="1826" w:name="_Toc274039674"/>
      <w:bookmarkStart w:id="1827" w:name="_Toc274039850"/>
      <w:bookmarkStart w:id="1828" w:name="_Toc274040412"/>
      <w:bookmarkStart w:id="1829" w:name="_Toc274039500"/>
      <w:bookmarkStart w:id="1830" w:name="_Toc274039676"/>
      <w:bookmarkStart w:id="1831" w:name="_Toc274039852"/>
      <w:bookmarkStart w:id="1832" w:name="_Toc274040414"/>
      <w:bookmarkStart w:id="1833" w:name="_Toc274039501"/>
      <w:bookmarkStart w:id="1834" w:name="_Toc274039677"/>
      <w:bookmarkStart w:id="1835" w:name="_Toc274039853"/>
      <w:bookmarkStart w:id="1836" w:name="_Toc274040415"/>
      <w:bookmarkStart w:id="1837" w:name="_Toc274039502"/>
      <w:bookmarkStart w:id="1838" w:name="_Toc274039678"/>
      <w:bookmarkStart w:id="1839" w:name="_Toc274039854"/>
      <w:bookmarkStart w:id="1840" w:name="_Toc274040416"/>
      <w:bookmarkStart w:id="1841" w:name="_Toc274039506"/>
      <w:bookmarkStart w:id="1842" w:name="_Toc274039682"/>
      <w:bookmarkStart w:id="1843" w:name="_Toc274039858"/>
      <w:bookmarkStart w:id="1844" w:name="_Toc274040420"/>
      <w:bookmarkStart w:id="1845" w:name="_Toc274039507"/>
      <w:bookmarkStart w:id="1846" w:name="_Toc274039683"/>
      <w:bookmarkStart w:id="1847" w:name="_Toc274039859"/>
      <w:bookmarkStart w:id="1848" w:name="_Toc274040421"/>
      <w:bookmarkStart w:id="1849" w:name="_Toc274039508"/>
      <w:bookmarkStart w:id="1850" w:name="_Toc274039684"/>
      <w:bookmarkStart w:id="1851" w:name="_Toc274039860"/>
      <w:bookmarkStart w:id="1852" w:name="_Toc274040422"/>
      <w:bookmarkStart w:id="1853" w:name="_Toc274039509"/>
      <w:bookmarkStart w:id="1854" w:name="_Toc274039685"/>
      <w:bookmarkStart w:id="1855" w:name="_Toc274039861"/>
      <w:bookmarkStart w:id="1856" w:name="_Toc274040423"/>
      <w:bookmarkStart w:id="1857" w:name="_Toc274039510"/>
      <w:bookmarkStart w:id="1858" w:name="_Toc274039686"/>
      <w:bookmarkStart w:id="1859" w:name="_Toc274039862"/>
      <w:bookmarkStart w:id="1860" w:name="_Toc274040424"/>
      <w:bookmarkStart w:id="1861" w:name="_Toc274039511"/>
      <w:bookmarkStart w:id="1862" w:name="_Toc274039687"/>
      <w:bookmarkStart w:id="1863" w:name="_Toc274039863"/>
      <w:bookmarkStart w:id="1864" w:name="_Toc274040425"/>
      <w:bookmarkStart w:id="1865" w:name="_Toc274039516"/>
      <w:bookmarkStart w:id="1866" w:name="_Toc274039692"/>
      <w:bookmarkStart w:id="1867" w:name="_Toc274039868"/>
      <w:bookmarkStart w:id="1868" w:name="_Toc274040430"/>
      <w:bookmarkStart w:id="1869" w:name="_Toc274039518"/>
      <w:bookmarkStart w:id="1870" w:name="_Toc274039694"/>
      <w:bookmarkStart w:id="1871" w:name="_Toc274039870"/>
      <w:bookmarkStart w:id="1872" w:name="_Toc274040432"/>
      <w:bookmarkStart w:id="1873" w:name="_Toc274039521"/>
      <w:bookmarkStart w:id="1874" w:name="_Toc274039697"/>
      <w:bookmarkStart w:id="1875" w:name="_Toc274039873"/>
      <w:bookmarkStart w:id="1876" w:name="_Toc274040435"/>
      <w:bookmarkStart w:id="1877" w:name="_Toc274039523"/>
      <w:bookmarkStart w:id="1878" w:name="_Toc274039699"/>
      <w:bookmarkStart w:id="1879" w:name="_Toc274039875"/>
      <w:bookmarkStart w:id="1880" w:name="_Toc274040437"/>
      <w:bookmarkStart w:id="1881" w:name="_Toc274039524"/>
      <w:bookmarkStart w:id="1882" w:name="_Toc274039700"/>
      <w:bookmarkStart w:id="1883" w:name="_Toc274039876"/>
      <w:bookmarkStart w:id="1884" w:name="_Toc274040438"/>
      <w:bookmarkStart w:id="1885" w:name="_Toc274039526"/>
      <w:bookmarkStart w:id="1886" w:name="_Toc274039702"/>
      <w:bookmarkStart w:id="1887" w:name="_Toc274039878"/>
      <w:bookmarkStart w:id="1888" w:name="_Toc274040440"/>
      <w:bookmarkStart w:id="1889" w:name="_Toc274039529"/>
      <w:bookmarkStart w:id="1890" w:name="_Toc274039705"/>
      <w:bookmarkStart w:id="1891" w:name="_Toc274039881"/>
      <w:bookmarkStart w:id="1892" w:name="_Toc274040443"/>
      <w:bookmarkStart w:id="1893" w:name="_Toc274039532"/>
      <w:bookmarkStart w:id="1894" w:name="_Toc274039708"/>
      <w:bookmarkStart w:id="1895" w:name="_Toc274039884"/>
      <w:bookmarkStart w:id="1896" w:name="_Toc274040446"/>
      <w:bookmarkStart w:id="1897" w:name="_Toc274039534"/>
      <w:bookmarkStart w:id="1898" w:name="_Toc274039710"/>
      <w:bookmarkStart w:id="1899" w:name="_Toc274039886"/>
      <w:bookmarkStart w:id="1900" w:name="_Toc274040448"/>
      <w:bookmarkStart w:id="1901" w:name="_Toc274039535"/>
      <w:bookmarkStart w:id="1902" w:name="_Toc274039711"/>
      <w:bookmarkStart w:id="1903" w:name="_Toc274039887"/>
      <w:bookmarkStart w:id="1904" w:name="_Toc274040449"/>
      <w:bookmarkStart w:id="1905" w:name="_Toc274039536"/>
      <w:bookmarkStart w:id="1906" w:name="_Toc274039712"/>
      <w:bookmarkStart w:id="1907" w:name="_Toc274039888"/>
      <w:bookmarkStart w:id="1908" w:name="_Toc274040450"/>
      <w:bookmarkStart w:id="1909" w:name="_Toc274039537"/>
      <w:bookmarkStart w:id="1910" w:name="_Toc274039713"/>
      <w:bookmarkStart w:id="1911" w:name="_Toc274039889"/>
      <w:bookmarkStart w:id="1912" w:name="_Toc274040451"/>
      <w:bookmarkStart w:id="1913" w:name="_Toc274039538"/>
      <w:bookmarkStart w:id="1914" w:name="_Toc274039714"/>
      <w:bookmarkStart w:id="1915" w:name="_Toc274039890"/>
      <w:bookmarkStart w:id="1916" w:name="_Toc274040452"/>
      <w:bookmarkStart w:id="1917" w:name="_Toc274039539"/>
      <w:bookmarkStart w:id="1918" w:name="_Toc274039715"/>
      <w:bookmarkStart w:id="1919" w:name="_Toc274039891"/>
      <w:bookmarkStart w:id="1920" w:name="_Toc274040453"/>
      <w:bookmarkStart w:id="1921" w:name="_Toc274039540"/>
      <w:bookmarkStart w:id="1922" w:name="_Toc274039716"/>
      <w:bookmarkStart w:id="1923" w:name="_Toc274039892"/>
      <w:bookmarkStart w:id="1924" w:name="_Toc274040454"/>
      <w:bookmarkStart w:id="1925" w:name="_Toc274039541"/>
      <w:bookmarkStart w:id="1926" w:name="_Toc274039717"/>
      <w:bookmarkStart w:id="1927" w:name="_Toc274039893"/>
      <w:bookmarkStart w:id="1928" w:name="_Toc274040455"/>
      <w:bookmarkStart w:id="1929" w:name="_Toc274039542"/>
      <w:bookmarkStart w:id="1930" w:name="_Toc274039718"/>
      <w:bookmarkStart w:id="1931" w:name="_Toc274039894"/>
      <w:bookmarkStart w:id="1932" w:name="_Toc274040456"/>
      <w:bookmarkStart w:id="1933" w:name="_Toc274039544"/>
      <w:bookmarkStart w:id="1934" w:name="_Toc274039720"/>
      <w:bookmarkStart w:id="1935" w:name="_Toc274039896"/>
      <w:bookmarkStart w:id="1936" w:name="_Toc274040458"/>
      <w:bookmarkStart w:id="1937" w:name="_Toc274039545"/>
      <w:bookmarkStart w:id="1938" w:name="_Toc274039721"/>
      <w:bookmarkStart w:id="1939" w:name="_Toc274039897"/>
      <w:bookmarkStart w:id="1940" w:name="_Toc274040459"/>
      <w:bookmarkStart w:id="1941" w:name="_Toc274039547"/>
      <w:bookmarkStart w:id="1942" w:name="_Toc274039723"/>
      <w:bookmarkStart w:id="1943" w:name="_Toc274039899"/>
      <w:bookmarkStart w:id="1944" w:name="_Toc274040461"/>
      <w:bookmarkStart w:id="1945" w:name="_Toc274039549"/>
      <w:bookmarkStart w:id="1946" w:name="_Toc274039725"/>
      <w:bookmarkStart w:id="1947" w:name="_Toc274039901"/>
      <w:bookmarkStart w:id="1948" w:name="_Toc274040463"/>
      <w:bookmarkStart w:id="1949" w:name="_Toc274039550"/>
      <w:bookmarkStart w:id="1950" w:name="_Toc274039726"/>
      <w:bookmarkStart w:id="1951" w:name="_Toc274039902"/>
      <w:bookmarkStart w:id="1952" w:name="_Toc274040464"/>
      <w:bookmarkStart w:id="1953" w:name="_Toc274039551"/>
      <w:bookmarkStart w:id="1954" w:name="_Toc274039727"/>
      <w:bookmarkStart w:id="1955" w:name="_Toc274039903"/>
      <w:bookmarkStart w:id="1956" w:name="_Toc274040465"/>
      <w:bookmarkStart w:id="1957" w:name="_Toc274039553"/>
      <w:bookmarkStart w:id="1958" w:name="_Toc274039729"/>
      <w:bookmarkStart w:id="1959" w:name="_Toc274039905"/>
      <w:bookmarkStart w:id="1960" w:name="_Toc274040467"/>
      <w:bookmarkStart w:id="1961" w:name="_Toc274039554"/>
      <w:bookmarkStart w:id="1962" w:name="_Toc274039730"/>
      <w:bookmarkStart w:id="1963" w:name="_Toc274039906"/>
      <w:bookmarkStart w:id="1964" w:name="_Toc274040468"/>
      <w:bookmarkStart w:id="1965" w:name="_Toc274039557"/>
      <w:bookmarkStart w:id="1966" w:name="_Toc274039733"/>
      <w:bookmarkStart w:id="1967" w:name="_Toc274039909"/>
      <w:bookmarkStart w:id="1968" w:name="_Toc274040471"/>
      <w:bookmarkStart w:id="1969" w:name="_Toc274039559"/>
      <w:bookmarkStart w:id="1970" w:name="_Toc274039735"/>
      <w:bookmarkStart w:id="1971" w:name="_Toc274039911"/>
      <w:bookmarkStart w:id="1972" w:name="_Toc274040473"/>
      <w:bookmarkStart w:id="1973" w:name="_Toc274039560"/>
      <w:bookmarkStart w:id="1974" w:name="_Toc274039736"/>
      <w:bookmarkStart w:id="1975" w:name="_Toc274039912"/>
      <w:bookmarkStart w:id="1976" w:name="_Toc274040474"/>
      <w:bookmarkStart w:id="1977" w:name="_Toc274039561"/>
      <w:bookmarkStart w:id="1978" w:name="_Toc274039737"/>
      <w:bookmarkStart w:id="1979" w:name="_Toc274039913"/>
      <w:bookmarkStart w:id="1980" w:name="_Toc274040475"/>
      <w:bookmarkStart w:id="1981" w:name="_Toc274039562"/>
      <w:bookmarkStart w:id="1982" w:name="_Toc274039738"/>
      <w:bookmarkStart w:id="1983" w:name="_Toc274039914"/>
      <w:bookmarkStart w:id="1984" w:name="_Toc274040476"/>
      <w:bookmarkStart w:id="1985" w:name="_Toc274039563"/>
      <w:bookmarkStart w:id="1986" w:name="_Toc274039739"/>
      <w:bookmarkStart w:id="1987" w:name="_Toc274039915"/>
      <w:bookmarkStart w:id="1988" w:name="_Toc274040477"/>
      <w:bookmarkStart w:id="1989" w:name="_Toc274039564"/>
      <w:bookmarkStart w:id="1990" w:name="_Toc274039740"/>
      <w:bookmarkStart w:id="1991" w:name="_Toc274039916"/>
      <w:bookmarkStart w:id="1992" w:name="_Toc274040478"/>
      <w:bookmarkStart w:id="1993" w:name="_Toc274039565"/>
      <w:bookmarkStart w:id="1994" w:name="_Toc274039741"/>
      <w:bookmarkStart w:id="1995" w:name="_Toc274039917"/>
      <w:bookmarkStart w:id="1996" w:name="_Toc274040479"/>
      <w:bookmarkStart w:id="1997" w:name="_Toc274039566"/>
      <w:bookmarkStart w:id="1998" w:name="_Toc274039742"/>
      <w:bookmarkStart w:id="1999" w:name="_Toc274039918"/>
      <w:bookmarkStart w:id="2000" w:name="_Toc274040480"/>
      <w:bookmarkStart w:id="2001" w:name="_Toc274039569"/>
      <w:bookmarkStart w:id="2002" w:name="_Toc274039745"/>
      <w:bookmarkStart w:id="2003" w:name="_Toc274039921"/>
      <w:bookmarkStart w:id="2004" w:name="_Toc274040483"/>
      <w:bookmarkStart w:id="2005" w:name="_Toc274039570"/>
      <w:bookmarkStart w:id="2006" w:name="_Toc274039746"/>
      <w:bookmarkStart w:id="2007" w:name="_Toc274039922"/>
      <w:bookmarkStart w:id="2008" w:name="_Toc274040484"/>
      <w:bookmarkStart w:id="2009" w:name="_Toc274039571"/>
      <w:bookmarkStart w:id="2010" w:name="_Toc274039747"/>
      <w:bookmarkStart w:id="2011" w:name="_Toc274039923"/>
      <w:bookmarkStart w:id="2012" w:name="_Toc274040485"/>
      <w:bookmarkStart w:id="2013" w:name="_Toc274039572"/>
      <w:bookmarkStart w:id="2014" w:name="_Toc274039748"/>
      <w:bookmarkStart w:id="2015" w:name="_Toc274039924"/>
      <w:bookmarkStart w:id="2016" w:name="_Toc274040486"/>
      <w:bookmarkStart w:id="2017" w:name="_Toc274039573"/>
      <w:bookmarkStart w:id="2018" w:name="_Toc274039749"/>
      <w:bookmarkStart w:id="2019" w:name="_Toc274039925"/>
      <w:bookmarkStart w:id="2020" w:name="_Toc274040487"/>
      <w:bookmarkStart w:id="2021" w:name="_Toc274039575"/>
      <w:bookmarkStart w:id="2022" w:name="_Toc274039751"/>
      <w:bookmarkStart w:id="2023" w:name="_Toc274039927"/>
      <w:bookmarkStart w:id="2024" w:name="_Toc274040489"/>
      <w:bookmarkStart w:id="2025" w:name="_Toc274039576"/>
      <w:bookmarkStart w:id="2026" w:name="_Toc274039752"/>
      <w:bookmarkStart w:id="2027" w:name="_Toc274039928"/>
      <w:bookmarkStart w:id="2028" w:name="_Toc274040490"/>
      <w:bookmarkStart w:id="2029" w:name="_Toc274039577"/>
      <w:bookmarkStart w:id="2030" w:name="_Toc274039753"/>
      <w:bookmarkStart w:id="2031" w:name="_Toc274039929"/>
      <w:bookmarkStart w:id="2032" w:name="_Toc274040491"/>
      <w:bookmarkStart w:id="2033" w:name="_Toc274039579"/>
      <w:bookmarkStart w:id="2034" w:name="_Toc274039755"/>
      <w:bookmarkStart w:id="2035" w:name="_Toc274039931"/>
      <w:bookmarkStart w:id="2036" w:name="_Toc274040493"/>
      <w:bookmarkStart w:id="2037" w:name="_Toc274039581"/>
      <w:bookmarkStart w:id="2038" w:name="_Toc274039757"/>
      <w:bookmarkStart w:id="2039" w:name="_Toc274039933"/>
      <w:bookmarkStart w:id="2040" w:name="_Toc274040495"/>
      <w:bookmarkStart w:id="2041" w:name="_Toc274039584"/>
      <w:bookmarkStart w:id="2042" w:name="_Toc274039760"/>
      <w:bookmarkStart w:id="2043" w:name="_Toc274039936"/>
      <w:bookmarkStart w:id="2044" w:name="_Toc274040498"/>
      <w:bookmarkStart w:id="2045" w:name="_Toc274039585"/>
      <w:bookmarkStart w:id="2046" w:name="_Toc274039761"/>
      <w:bookmarkStart w:id="2047" w:name="_Toc274039937"/>
      <w:bookmarkStart w:id="2048" w:name="_Toc274040499"/>
      <w:bookmarkStart w:id="2049" w:name="_Toc274039588"/>
      <w:bookmarkStart w:id="2050" w:name="_Toc274039764"/>
      <w:bookmarkStart w:id="2051" w:name="_Toc274039940"/>
      <w:bookmarkStart w:id="2052" w:name="_Toc274040502"/>
      <w:bookmarkStart w:id="2053" w:name="_Toc274039589"/>
      <w:bookmarkStart w:id="2054" w:name="_Toc274039765"/>
      <w:bookmarkStart w:id="2055" w:name="_Toc274039941"/>
      <w:bookmarkStart w:id="2056" w:name="_Toc274040503"/>
      <w:bookmarkStart w:id="2057" w:name="_Toc274039590"/>
      <w:bookmarkStart w:id="2058" w:name="_Toc274039766"/>
      <w:bookmarkStart w:id="2059" w:name="_Toc274039942"/>
      <w:bookmarkStart w:id="2060" w:name="_Toc274040504"/>
      <w:bookmarkStart w:id="2061" w:name="_Toc274039592"/>
      <w:bookmarkStart w:id="2062" w:name="_Toc274039768"/>
      <w:bookmarkStart w:id="2063" w:name="_Toc274039944"/>
      <w:bookmarkStart w:id="2064" w:name="_Toc274040506"/>
      <w:bookmarkStart w:id="2065" w:name="_Toc274039593"/>
      <w:bookmarkStart w:id="2066" w:name="_Toc274039769"/>
      <w:bookmarkStart w:id="2067" w:name="_Toc274039945"/>
      <w:bookmarkStart w:id="2068" w:name="_Toc274040507"/>
      <w:bookmarkStart w:id="2069" w:name="_Toc274039595"/>
      <w:bookmarkStart w:id="2070" w:name="_Toc274039771"/>
      <w:bookmarkStart w:id="2071" w:name="_Toc274039947"/>
      <w:bookmarkStart w:id="2072" w:name="_Toc274040509"/>
      <w:bookmarkStart w:id="2073" w:name="_Toc274039596"/>
      <w:bookmarkStart w:id="2074" w:name="_Toc274039772"/>
      <w:bookmarkStart w:id="2075" w:name="_Toc274039948"/>
      <w:bookmarkStart w:id="2076" w:name="_Toc274040510"/>
      <w:bookmarkStart w:id="2077" w:name="_Toc274039599"/>
      <w:bookmarkStart w:id="2078" w:name="_Toc274039775"/>
      <w:bookmarkStart w:id="2079" w:name="_Toc274039951"/>
      <w:bookmarkStart w:id="2080" w:name="_Toc274040513"/>
      <w:bookmarkStart w:id="2081" w:name="_Toc274039600"/>
      <w:bookmarkStart w:id="2082" w:name="_Toc274039776"/>
      <w:bookmarkStart w:id="2083" w:name="_Toc274039952"/>
      <w:bookmarkStart w:id="2084" w:name="_Toc274040514"/>
      <w:bookmarkStart w:id="2085" w:name="_Toc274039601"/>
      <w:bookmarkStart w:id="2086" w:name="_Toc274039777"/>
      <w:bookmarkStart w:id="2087" w:name="_Toc274039953"/>
      <w:bookmarkStart w:id="2088" w:name="_Toc274040515"/>
      <w:bookmarkStart w:id="2089" w:name="_Toc274039602"/>
      <w:bookmarkStart w:id="2090" w:name="_Toc274039778"/>
      <w:bookmarkStart w:id="2091" w:name="_Toc274039954"/>
      <w:bookmarkStart w:id="2092" w:name="_Toc274040516"/>
      <w:bookmarkStart w:id="2093" w:name="_Toc274039603"/>
      <w:bookmarkStart w:id="2094" w:name="_Toc274039779"/>
      <w:bookmarkStart w:id="2095" w:name="_Toc274039955"/>
      <w:bookmarkStart w:id="2096" w:name="_Toc274040517"/>
      <w:bookmarkStart w:id="2097" w:name="_Toc274039607"/>
      <w:bookmarkStart w:id="2098" w:name="_Toc274039783"/>
      <w:bookmarkStart w:id="2099" w:name="_Toc274039959"/>
      <w:bookmarkStart w:id="2100" w:name="_Toc274040521"/>
      <w:bookmarkStart w:id="2101" w:name="_Toc274039609"/>
      <w:bookmarkStart w:id="2102" w:name="_Toc274039785"/>
      <w:bookmarkStart w:id="2103" w:name="_Toc274039961"/>
      <w:bookmarkStart w:id="2104" w:name="_Toc274040523"/>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r>
        <w:rPr>
          <w:u w:val="single"/>
        </w:rPr>
        <w:t>Control Objective</w:t>
      </w:r>
      <w:r>
        <w:rPr/>
        <w:t>: Systems include components specifically designed to be the target of malicious attacks for the purpose of detecting, deflecting and analyzing such attacks.</w:t>
      </w:r>
      <w:r>
        <w:rPr>
          <w:rStyle w:val="FootnoteCharacters"/>
        </w:rPr>
        <w:t xml:space="preserve"> </w:t>
      </w:r>
      <w:r>
        <w:rPr>
          <w:rStyle w:val="FootnoteAnchor"/>
          <w:rStyle w:val="FootnoteAnchor"/>
        </w:rPr>
        <w:footnoteReference w:id="575"/>
      </w:r>
    </w:p>
    <w:p>
      <w:pPr>
        <w:pStyle w:val="Normal"/>
        <w:rPr/>
      </w:pPr>
      <w:r>
        <w:rPr/>
      </w:r>
    </w:p>
    <w:p>
      <w:pPr>
        <w:pStyle w:val="Normal"/>
        <w:rPr/>
      </w:pPr>
      <w:r>
        <w:rPr>
          <w:u w:val="single"/>
        </w:rPr>
        <w:t>Standard</w:t>
      </w:r>
      <w:r>
        <w:rPr/>
        <w:t>: Where technically feasible and justified by a valid business case, NFCC approves the use of honeypots on an “as needed” basis with the requirement that prior to the use of a honeypot in a production environment, a comprehensive methodology governing its use is developed and implemented that covers:</w:t>
      </w:r>
    </w:p>
    <w:p>
      <w:pPr>
        <w:pStyle w:val="ListParagraph"/>
        <w:numPr>
          <w:ilvl w:val="0"/>
          <w:numId w:val="463"/>
        </w:numPr>
        <w:rPr/>
      </w:pPr>
      <w:r>
        <w:rPr/>
        <w:t>Clear objectives;</w:t>
      </w:r>
    </w:p>
    <w:p>
      <w:pPr>
        <w:pStyle w:val="ListParagraph"/>
        <w:numPr>
          <w:ilvl w:val="0"/>
          <w:numId w:val="463"/>
        </w:numPr>
        <w:rPr/>
      </w:pPr>
      <w:r>
        <w:rPr/>
        <w:t>Responsible design of the honey pot system:</w:t>
      </w:r>
    </w:p>
    <w:p>
      <w:pPr>
        <w:pStyle w:val="ListParagraph"/>
        <w:numPr>
          <w:ilvl w:val="1"/>
          <w:numId w:val="463"/>
        </w:numPr>
        <w:rPr/>
      </w:pPr>
      <w:r>
        <w:rPr/>
        <w:t xml:space="preserve"> </w:t>
      </w:r>
      <w:r>
        <w:rPr/>
        <w:t>Minimize negative exposures; and</w:t>
      </w:r>
    </w:p>
    <w:p>
      <w:pPr>
        <w:pStyle w:val="ListParagraph"/>
        <w:numPr>
          <w:ilvl w:val="1"/>
          <w:numId w:val="463"/>
        </w:numPr>
        <w:rPr/>
      </w:pPr>
      <w:r>
        <w:rPr/>
        <w:t xml:space="preserve"> </w:t>
      </w:r>
      <w:r>
        <w:rPr/>
        <w:t>Maximize data collection capabilities; and</w:t>
      </w:r>
    </w:p>
    <w:p>
      <w:pPr>
        <w:pStyle w:val="ListParagraph"/>
        <w:numPr>
          <w:ilvl w:val="0"/>
          <w:numId w:val="463"/>
        </w:numPr>
        <w:rPr/>
      </w:pPr>
      <w:r>
        <w:rPr/>
        <w:t>Sufficient resources and proper training.</w:t>
      </w:r>
    </w:p>
    <w:p>
      <w:pPr>
        <w:pStyle w:val="Normal"/>
        <w:rPr/>
      </w:pPr>
      <w:r>
        <w:rPr/>
      </w:r>
    </w:p>
    <w:p>
      <w:pPr>
        <w:pStyle w:val="Normal"/>
        <w:rPr/>
      </w:pPr>
      <w:r>
        <w:rPr>
          <w:u w:val="single"/>
        </w:rPr>
        <w:t>Guidelines</w:t>
      </w:r>
      <w:r>
        <w:rPr/>
        <w:t>: A honey pot is a computer system set up expressly to attract and "trap" individuals who are attempting to penetrate a network. Honey pots serve their purpose by diverting intruders away from legitimate production systems, which increases the amount of time IT personnel have to identify the activity and develop countermeasures. Honey pots are not recommended for the purpose of intrusion prevention, since they do not prevent exploits from happening.</w:t>
      </w:r>
    </w:p>
    <w:p>
      <w:pPr>
        <w:pStyle w:val="Normal"/>
        <w:rPr/>
      </w:pPr>
      <w:r>
        <w:rPr/>
      </w:r>
    </w:p>
    <w:p>
      <w:pPr>
        <w:pStyle w:val="Normal"/>
        <w:rPr/>
      </w:pPr>
      <w:r>
        <w:rPr/>
        <w:t>Should an individual wish to proceed with implementing a honeypot, both NFCC &amp; legal counsel should review the proposed solution, since it could have legal implications.</w:t>
      </w:r>
    </w:p>
    <w:p>
      <w:pPr>
        <w:pStyle w:val="Normal"/>
        <w:rPr/>
      </w:pPr>
      <w:r>
        <w:rPr/>
      </w:r>
    </w:p>
    <w:p>
      <w:pPr>
        <w:pStyle w:val="Normal"/>
        <w:rPr/>
      </w:pPr>
      <w:r>
        <w:rPr/>
      </w:r>
    </w:p>
    <w:p>
      <w:pPr>
        <w:pStyle w:val="Heading2"/>
        <w:rPr/>
      </w:pPr>
      <w:bookmarkStart w:id="2105" w:name="_Toc474075328"/>
      <w:bookmarkStart w:id="2106" w:name="_Toc474075796"/>
      <w:bookmarkStart w:id="2107" w:name="_Toc34921256"/>
      <w:r>
        <w:rPr/>
        <w:t>SEA-12: Honeyclients</w:t>
      </w:r>
      <w:bookmarkEnd w:id="2105"/>
      <w:bookmarkEnd w:id="2106"/>
      <w:bookmarkEnd w:id="2107"/>
      <w:r>
        <w:rPr/>
        <w:t xml:space="preserve"> </w:t>
      </w:r>
    </w:p>
    <w:p>
      <w:pPr>
        <w:pStyle w:val="Normal"/>
        <w:rPr/>
      </w:pPr>
      <w:r>
        <w:rPr>
          <w:u w:val="single"/>
        </w:rPr>
        <w:t>Control Objective</w:t>
      </w:r>
      <w:r>
        <w:rPr/>
        <w:t>: Systems include components that proactively seek to identify malicious websites and / or web-based malicious code.</w:t>
      </w:r>
      <w:r>
        <w:rPr>
          <w:rStyle w:val="FootnoteCharacters"/>
        </w:rPr>
        <w:t xml:space="preserve"> </w:t>
      </w:r>
      <w:r>
        <w:rPr>
          <w:rStyle w:val="FootnoteAnchor"/>
          <w:rStyle w:val="FootnoteAnchor"/>
        </w:rPr>
        <w:footnoteReference w:id="576"/>
      </w:r>
    </w:p>
    <w:p>
      <w:pPr>
        <w:pStyle w:val="Normal"/>
        <w:rPr/>
      </w:pPr>
      <w:r>
        <w:rPr/>
      </w:r>
    </w:p>
    <w:p>
      <w:pPr>
        <w:pStyle w:val="Normal"/>
        <w:rPr/>
      </w:pPr>
      <w:r>
        <w:rPr>
          <w:u w:val="single"/>
        </w:rPr>
        <w:t>Standard</w:t>
      </w:r>
      <w:r>
        <w:rPr/>
        <w:t>: Where technically feasible and justified by a valid business case, NFCC approves the use of honeyclients on an “as needed” basis with the requirement that prior to the use of a honeyclient in a production environment, a comprehensive methodology governing its use is developed and implemented that covers:</w:t>
      </w:r>
    </w:p>
    <w:p>
      <w:pPr>
        <w:pStyle w:val="ListParagraph"/>
        <w:numPr>
          <w:ilvl w:val="0"/>
          <w:numId w:val="464"/>
        </w:numPr>
        <w:rPr/>
      </w:pPr>
      <w:r>
        <w:rPr/>
        <w:t>Clear objectives;</w:t>
      </w:r>
    </w:p>
    <w:p>
      <w:pPr>
        <w:pStyle w:val="ListParagraph"/>
        <w:numPr>
          <w:ilvl w:val="0"/>
          <w:numId w:val="464"/>
        </w:numPr>
        <w:rPr/>
      </w:pPr>
      <w:r>
        <w:rPr/>
        <w:t>Responsible design of the honeyclient system:</w:t>
      </w:r>
    </w:p>
    <w:p>
      <w:pPr>
        <w:pStyle w:val="ListParagraph"/>
        <w:numPr>
          <w:ilvl w:val="1"/>
          <w:numId w:val="464"/>
        </w:numPr>
        <w:rPr/>
      </w:pPr>
      <w:r>
        <w:rPr/>
        <w:t>minimize negative exposures; and</w:t>
      </w:r>
    </w:p>
    <w:p>
      <w:pPr>
        <w:pStyle w:val="ListParagraph"/>
        <w:numPr>
          <w:ilvl w:val="1"/>
          <w:numId w:val="464"/>
        </w:numPr>
        <w:rPr/>
      </w:pPr>
      <w:r>
        <w:rPr/>
        <w:t>maximize data collection capabilities; and</w:t>
      </w:r>
    </w:p>
    <w:p>
      <w:pPr>
        <w:pStyle w:val="ListParagraph"/>
        <w:numPr>
          <w:ilvl w:val="0"/>
          <w:numId w:val="464"/>
        </w:numPr>
        <w:rPr/>
      </w:pPr>
      <w:r>
        <w:rPr/>
        <w:t>Sufficient resources and proper training.</w:t>
      </w:r>
    </w:p>
    <w:p>
      <w:pPr>
        <w:pStyle w:val="Normal"/>
        <w:rPr/>
      </w:pPr>
      <w:r>
        <w:rPr/>
      </w:r>
    </w:p>
    <w:p>
      <w:pPr>
        <w:pStyle w:val="Normal"/>
        <w:rPr/>
      </w:pPr>
      <w:r>
        <w:rPr>
          <w:u w:val="single"/>
        </w:rPr>
        <w:t>Guidelines</w:t>
      </w:r>
      <w:r>
        <w:rPr/>
        <w:t xml:space="preserve">: Honeyclients differ from honeypots in that the components actively probe the Internet in search of malicious code (e.g., worms) contained on external websites. As with honeypots, honeyclients require some supporting isolation measures (e.g., virtualization) to ensure that any malicious code discovered during the search and subsequently executed does not infect organizational systems. </w:t>
      </w:r>
    </w:p>
    <w:p>
      <w:pPr>
        <w:pStyle w:val="Normal"/>
        <w:rPr/>
      </w:pPr>
      <w:r>
        <w:rPr/>
      </w:r>
    </w:p>
    <w:p>
      <w:pPr>
        <w:pStyle w:val="Normal"/>
        <w:rPr/>
      </w:pPr>
      <w:r>
        <w:rPr/>
      </w:r>
    </w:p>
    <w:p>
      <w:pPr>
        <w:pStyle w:val="Heading2"/>
        <w:rPr/>
      </w:pPr>
      <w:bookmarkStart w:id="2108" w:name="_Toc474075329"/>
      <w:bookmarkStart w:id="2109" w:name="_Toc474075797"/>
      <w:bookmarkStart w:id="2110" w:name="_Toc34921257"/>
      <w:r>
        <w:rPr/>
        <w:t>SEA-13: Heterogeneity</w:t>
      </w:r>
      <w:bookmarkEnd w:id="2108"/>
      <w:bookmarkEnd w:id="2109"/>
      <w:bookmarkEnd w:id="2110"/>
      <w:r>
        <w:rPr/>
        <w:t xml:space="preserve"> </w:t>
      </w:r>
    </w:p>
    <w:p>
      <w:pPr>
        <w:pStyle w:val="Normal"/>
        <w:rPr/>
      </w:pPr>
      <w:r>
        <w:rPr>
          <w:u w:val="single"/>
        </w:rPr>
        <w:t>Control Objective</w:t>
      </w:r>
      <w:r>
        <w:rPr/>
        <w:t>: The organization employs a diverse set of technologies for system components in the implementation of the system.</w:t>
      </w:r>
      <w:r>
        <w:rPr>
          <w:rStyle w:val="FootnoteCharacters"/>
        </w:rPr>
        <w:t xml:space="preserve"> </w:t>
      </w:r>
      <w:r>
        <w:rPr>
          <w:rStyle w:val="FootnoteAnchor"/>
          <w:rStyle w:val="FootnoteAnchor"/>
        </w:rPr>
        <w:footnoteReference w:id="577"/>
      </w:r>
    </w:p>
    <w:p>
      <w:pPr>
        <w:pStyle w:val="Normal"/>
        <w:rPr/>
      </w:pPr>
      <w:r>
        <w:rPr/>
      </w:r>
    </w:p>
    <w:p>
      <w:pPr>
        <w:pStyle w:val="Normal"/>
        <w:rPr/>
      </w:pPr>
      <w:r>
        <w:rPr>
          <w:u w:val="single"/>
        </w:rPr>
        <w:t>Standard</w:t>
      </w:r>
      <w:r>
        <w:rPr/>
        <w:t>: NFCC’s network and cybersecurity architects are required to develop solutions that implement defense-in-depth architecture that follow industry-recognized leading practices.</w:t>
      </w:r>
    </w:p>
    <w:p>
      <w:pPr>
        <w:pStyle w:val="Normal"/>
        <w:rPr/>
      </w:pPr>
      <w:r>
        <w:rPr/>
      </w:r>
    </w:p>
    <w:p>
      <w:pPr>
        <w:pStyle w:val="Normal"/>
        <w:rPr/>
      </w:pPr>
      <w:r>
        <w:rPr>
          <w:u w:val="single"/>
        </w:rPr>
        <w:t>Guidelines</w:t>
      </w:r>
      <w:r>
        <w:rPr/>
        <w:t xml:space="preserve">: Increasing the diversity of information technologies within organizational systems reduces the impact of potential exploitations of specific technologies and also defends against common mode failures, including those failures induced by supply chain attacks. Diversity in information technologies also reduces the likelihood that the means adversaries use to compromise one system component will be equally effective against other system components, thus further increasing the adversary work factor to successfully complete planned cyber attacks. An increase in diversity may add complexity and management overhead which could ultimately lead to mistakes and unauthorized configurations. </w:t>
      </w:r>
    </w:p>
    <w:p>
      <w:pPr>
        <w:pStyle w:val="Normal"/>
        <w:rPr/>
      </w:pPr>
      <w:r>
        <w:rPr/>
      </w:r>
    </w:p>
    <w:p>
      <w:pPr>
        <w:pStyle w:val="Heading3"/>
        <w:rPr/>
      </w:pPr>
      <w:bookmarkStart w:id="2111" w:name="_Toc474075330"/>
      <w:bookmarkStart w:id="2112" w:name="_Toc34921258"/>
      <w:r>
        <w:rPr/>
        <w:t>SEA-13(a): Heterogeneity | Virtualization Techniques</w:t>
      </w:r>
      <w:bookmarkEnd w:id="2111"/>
      <w:bookmarkEnd w:id="2112"/>
      <w:r>
        <w:rPr/>
        <w:t xml:space="preserve"> </w:t>
      </w:r>
    </w:p>
    <w:p>
      <w:pPr>
        <w:pStyle w:val="Normal"/>
        <w:rPr/>
      </w:pPr>
      <w:r>
        <w:rPr>
          <w:u w:val="single"/>
        </w:rPr>
        <w:t>Control Objective</w:t>
      </w:r>
      <w:r>
        <w:rPr/>
        <w:t>: The organization employs virtualization techniques to support the deployment of a diversity of operating systems and applications.</w:t>
      </w:r>
      <w:r>
        <w:rPr>
          <w:rStyle w:val="FootnoteCharacters"/>
        </w:rPr>
        <w:t xml:space="preserve"> </w:t>
      </w:r>
      <w:r>
        <w:rPr>
          <w:rStyle w:val="FootnoteAnchor"/>
          <w:rStyle w:val="FootnoteAnchor"/>
        </w:rPr>
        <w:footnoteReference w:id="578"/>
      </w:r>
    </w:p>
    <w:p>
      <w:pPr>
        <w:pStyle w:val="Normal"/>
        <w:rPr/>
      </w:pPr>
      <w:r>
        <w:rPr/>
      </w:r>
    </w:p>
    <w:p>
      <w:pPr>
        <w:pStyle w:val="Normal"/>
        <w:rPr/>
      </w:pPr>
      <w:r>
        <w:rPr>
          <w:u w:val="single"/>
        </w:rPr>
        <w:t>Standard</w:t>
      </w:r>
      <w:r>
        <w:rPr/>
        <w:t>: NFCC’s network and cybersecurity architects must approve virtualization techniques.</w:t>
      </w:r>
    </w:p>
    <w:p>
      <w:pPr>
        <w:pStyle w:val="Normal"/>
        <w:rPr/>
      </w:pPr>
      <w:r>
        <w:rPr/>
      </w:r>
    </w:p>
    <w:p>
      <w:pPr>
        <w:pStyle w:val="Normal"/>
        <w:rPr/>
      </w:pPr>
      <w:r>
        <w:rPr>
          <w:u w:val="single"/>
        </w:rPr>
        <w:t>Guidelines</w:t>
      </w:r>
      <w:r>
        <w:rPr/>
        <w:t>: Changing virtual operating systems or applications, as opposed to changing actual operating systems / applications, provide virtual changes that impede attacker success while reducing configuration management efforts. In addition, virtualization techniques can assist organizations in isolating untrustworthy software and / or software of dubious provenance into confined execution environments.</w:t>
      </w:r>
    </w:p>
    <w:p>
      <w:pPr>
        <w:pStyle w:val="Normal"/>
        <w:rPr/>
      </w:pPr>
      <w:r>
        <w:rPr/>
      </w:r>
    </w:p>
    <w:p>
      <w:pPr>
        <w:pStyle w:val="Normal"/>
        <w:rPr/>
      </w:pPr>
      <w:r>
        <w:rPr/>
      </w:r>
    </w:p>
    <w:p>
      <w:pPr>
        <w:pStyle w:val="Heading2"/>
        <w:rPr/>
      </w:pPr>
      <w:bookmarkStart w:id="2113" w:name="_Toc474075331"/>
      <w:bookmarkStart w:id="2114" w:name="_Toc474075798"/>
      <w:bookmarkStart w:id="2115" w:name="_Toc34921259"/>
      <w:r>
        <w:rPr/>
        <w:t>SEA-14: Concealment &amp; Misdirection</w:t>
      </w:r>
      <w:bookmarkEnd w:id="2113"/>
      <w:bookmarkEnd w:id="2114"/>
      <w:bookmarkEnd w:id="2115"/>
      <w:r>
        <w:rPr/>
        <w:t xml:space="preserve"> </w:t>
      </w:r>
    </w:p>
    <w:p>
      <w:pPr>
        <w:pStyle w:val="Normal"/>
        <w:rPr/>
      </w:pPr>
      <w:r>
        <w:rPr>
          <w:u w:val="single"/>
        </w:rPr>
        <w:t>Control Objective</w:t>
      </w:r>
      <w:r>
        <w:rPr/>
        <w:t>: The organization employs concealment and misdirection techniques for systems to confuse and mislead adversaries.</w:t>
      </w:r>
      <w:r>
        <w:rPr>
          <w:rStyle w:val="FootnoteCharacters"/>
        </w:rPr>
        <w:t xml:space="preserve"> </w:t>
      </w:r>
      <w:r>
        <w:rPr>
          <w:rStyle w:val="FootnoteAnchor"/>
          <w:rStyle w:val="FootnoteAnchor"/>
        </w:rPr>
        <w:footnoteReference w:id="579"/>
      </w:r>
    </w:p>
    <w:p>
      <w:pPr>
        <w:pStyle w:val="Normal"/>
        <w:rPr/>
      </w:pPr>
      <w:r>
        <w:rPr/>
      </w:r>
    </w:p>
    <w:p>
      <w:pPr>
        <w:pStyle w:val="Normal"/>
        <w:rPr/>
      </w:pPr>
      <w:r>
        <w:rPr>
          <w:u w:val="single"/>
        </w:rPr>
        <w:t>Standard</w:t>
      </w:r>
      <w:r>
        <w:rPr/>
        <w:t>: Where technically feasible and a strong business need exists, NFCC’s cybersecurity personnel may employ concealment and misdirection techniques for systems at organization-defined time periods to confuse and mislead adversaries.</w:t>
      </w:r>
    </w:p>
    <w:p>
      <w:pPr>
        <w:pStyle w:val="Normal"/>
        <w:rPr/>
      </w:pPr>
      <w:r>
        <w:rPr/>
      </w:r>
    </w:p>
    <w:p>
      <w:pPr>
        <w:pStyle w:val="Normal"/>
        <w:rPr/>
      </w:pPr>
      <w:r>
        <w:rPr>
          <w:u w:val="single"/>
        </w:rPr>
        <w:t>Guidelines</w:t>
      </w:r>
      <w:r>
        <w:rPr/>
        <w:t xml:space="preserve">: Concealment and misdirection techniques can significantly reduce the targeting capability of adversaries (e.g., the window of opportunity and available attack surface) to initiate and complete cyber-attacks. For example, virtualization techniques provide organizations with the ability to disguise systems, potentially reducing the likelihood of successful attacks without the cost of having multiple platforms. Increased use of concealment / misdirection techniques including, for example, randomness, uncertainty and virtualization, may sufficiently confuse and mislead adversaries and subsequently increase the risk of discovery and / or expose tradecraft. </w:t>
      </w:r>
    </w:p>
    <w:p>
      <w:pPr>
        <w:pStyle w:val="Normal"/>
        <w:rPr/>
      </w:pPr>
      <w:r>
        <w:rPr/>
      </w:r>
    </w:p>
    <w:p>
      <w:pPr>
        <w:pStyle w:val="Heading3"/>
        <w:rPr/>
      </w:pPr>
      <w:bookmarkStart w:id="2116" w:name="_Toc23242188"/>
      <w:bookmarkStart w:id="2117" w:name="_Toc34921260"/>
      <w:r>
        <w:rPr/>
        <w:t>SEA-14(a): Concealment &amp; Misdirection | Randomness</w:t>
      </w:r>
      <w:bookmarkEnd w:id="2116"/>
      <w:bookmarkEnd w:id="2117"/>
      <w:r>
        <w:rPr/>
        <w:t xml:space="preserve"> </w:t>
      </w:r>
    </w:p>
    <w:p>
      <w:pPr>
        <w:pStyle w:val="Normal"/>
        <w:rPr>
          <w:rFonts w:cs="Calibri"/>
          <w:bCs w:val="false"/>
        </w:rPr>
      </w:pPr>
      <w:r>
        <w:rPr>
          <w:rFonts w:cs="Calibri"/>
          <w:u w:val="single"/>
        </w:rPr>
        <w:t>Control Objective</w:t>
      </w:r>
      <w:r>
        <w:rPr>
          <w:rFonts w:cs="Calibri"/>
        </w:rPr>
        <w:t>:</w:t>
      </w:r>
      <w:r>
        <w:rPr>
          <w:rFonts w:cs="Calibri"/>
          <w:bCs w:val="false"/>
        </w:rPr>
        <w:t xml:space="preserve"> The organization employs organization-defined techniques to introduce randomness into organizational operations and assets.</w:t>
      </w:r>
      <w:r>
        <w:rPr>
          <w:rStyle w:val="FootnoteCharacters"/>
        </w:rPr>
        <w:t xml:space="preserve"> </w:t>
      </w:r>
      <w:r>
        <w:rPr>
          <w:rStyle w:val="FootnoteAnchor"/>
          <w:rStyle w:val="FootnoteAnchor"/>
        </w:rPr>
        <w:footnoteReference w:id="580"/>
      </w:r>
    </w:p>
    <w:p>
      <w:pPr>
        <w:pStyle w:val="Normal"/>
        <w:rPr>
          <w:rFonts w:cs="Calibri"/>
          <w:bCs w:val="false"/>
          <w:u w:val="single"/>
        </w:rPr>
      </w:pPr>
      <w:r>
        <w:rPr>
          <w:rFonts w:cs="Calibri"/>
          <w:bCs w:val="false"/>
          <w:u w:val="single"/>
        </w:rPr>
      </w:r>
    </w:p>
    <w:p>
      <w:pPr>
        <w:pStyle w:val="Normal"/>
        <w:rPr>
          <w:rFonts w:cs="Calibri"/>
          <w:bCs w:val="false"/>
        </w:rPr>
      </w:pPr>
      <w:r>
        <w:rPr>
          <w:rFonts w:cs="Calibri"/>
          <w:bCs w:val="false"/>
          <w:u w:val="single"/>
        </w:rPr>
        <w:t>Standard</w:t>
      </w:r>
      <w:r>
        <w:rPr>
          <w:rFonts w:cs="Calibri"/>
          <w:bCs w:val="false"/>
        </w:rPr>
        <w:t>: Where technically feasible and justified by a valid business case, NFCC will configure systems, applications and/or processes to employs industry-recognized secure practices for introducing randomness into organizational operations and assets by:</w:t>
      </w:r>
    </w:p>
    <w:p>
      <w:pPr>
        <w:pStyle w:val="ListParagraph"/>
        <w:numPr>
          <w:ilvl w:val="0"/>
          <w:numId w:val="659"/>
        </w:numPr>
        <w:rPr>
          <w:rFonts w:cs="Calibri"/>
        </w:rPr>
      </w:pPr>
      <w:r>
        <w:rPr>
          <w:rFonts w:cs="Calibri"/>
        </w:rPr>
        <w:t xml:space="preserve">Performing certain routine actions at different times of day, </w:t>
      </w:r>
    </w:p>
    <w:p>
      <w:pPr>
        <w:pStyle w:val="ListParagraph"/>
        <w:numPr>
          <w:ilvl w:val="0"/>
          <w:numId w:val="659"/>
        </w:numPr>
        <w:rPr>
          <w:rFonts w:cs="Calibri"/>
        </w:rPr>
      </w:pPr>
      <w:r>
        <w:rPr>
          <w:rFonts w:cs="Calibri"/>
        </w:rPr>
        <w:t>Employing different information technologies (e.g., browsers, search engines); and/or</w:t>
      </w:r>
    </w:p>
    <w:p>
      <w:pPr>
        <w:pStyle w:val="ListParagraph"/>
        <w:numPr>
          <w:ilvl w:val="0"/>
          <w:numId w:val="659"/>
        </w:numPr>
        <w:rPr>
          <w:rFonts w:cs="Calibri"/>
        </w:rPr>
      </w:pPr>
      <w:r>
        <w:rPr>
          <w:rFonts w:cs="Calibri"/>
        </w:rPr>
        <w:t>Using different suppliers and rotating roles and responsibilities of organizational personnel.</w:t>
      </w:r>
    </w:p>
    <w:p>
      <w:pPr>
        <w:pStyle w:val="Normal"/>
        <w:rPr>
          <w:rFonts w:cs="Calibri"/>
          <w:u w:val="single"/>
        </w:rPr>
      </w:pPr>
      <w:r>
        <w:rPr>
          <w:rFonts w:cs="Calibri"/>
          <w:u w:val="single"/>
        </w:rPr>
      </w:r>
    </w:p>
    <w:p>
      <w:pPr>
        <w:pStyle w:val="Normal"/>
        <w:rPr>
          <w:rFonts w:cs="Calibri"/>
        </w:rPr>
      </w:pPr>
      <w:r>
        <w:rPr>
          <w:rFonts w:cs="Calibri"/>
          <w:u w:val="single"/>
        </w:rPr>
        <w:t>Guidelines</w:t>
      </w:r>
      <w:r>
        <w:rPr>
          <w:rFonts w:cs="Calibri"/>
        </w:rPr>
        <w:t xml:space="preserve">: </w:t>
      </w:r>
      <w:r>
        <w:rPr>
          <w:rFonts w:cs="Calibri"/>
          <w:bCs w:val="false"/>
        </w:rPr>
        <w:t xml:space="preserve">Randomness introduces increased levels of uncertainty for adversaries regarding the actions organizations take in defending against cyber attacks. Such actions may impede the ability of adversaries to correctly target information resources of organizations supporting critical missions/business functions. Uncertainty may also cause adversaries to hesitate before initiating or continuing attacks. </w:t>
      </w:r>
    </w:p>
    <w:p>
      <w:pPr>
        <w:pStyle w:val="Normal"/>
        <w:rPr>
          <w:rFonts w:cs="Calibri"/>
        </w:rPr>
      </w:pPr>
      <w:r>
        <w:rPr>
          <w:rFonts w:cs="Calibri"/>
        </w:rPr>
      </w:r>
    </w:p>
    <w:p>
      <w:pPr>
        <w:pStyle w:val="Heading3"/>
        <w:rPr/>
      </w:pPr>
      <w:bookmarkStart w:id="2118" w:name="_Toc23242189"/>
      <w:bookmarkStart w:id="2119" w:name="_Toc34921261"/>
      <w:r>
        <w:rPr/>
        <w:t>SEA-14(b): Concealment &amp; Misdirection | Change Processing &amp; Storage Locations</w:t>
      </w:r>
      <w:bookmarkEnd w:id="2118"/>
      <w:bookmarkEnd w:id="2119"/>
      <w:r>
        <w:rPr/>
        <w:t xml:space="preserve"> </w:t>
      </w:r>
    </w:p>
    <w:p>
      <w:pPr>
        <w:pStyle w:val="Normal"/>
        <w:rPr>
          <w:rFonts w:cs="Calibri"/>
          <w:bCs w:val="false"/>
        </w:rPr>
      </w:pPr>
      <w:r>
        <w:rPr>
          <w:rFonts w:cs="Calibri"/>
          <w:u w:val="single"/>
        </w:rPr>
        <w:t>Control Objective</w:t>
      </w:r>
      <w:r>
        <w:rPr>
          <w:rFonts w:cs="Calibri"/>
        </w:rPr>
        <w:t>:</w:t>
      </w:r>
      <w:r>
        <w:rPr>
          <w:rFonts w:cs="Calibri"/>
          <w:bCs w:val="false"/>
        </w:rPr>
        <w:t xml:space="preserve"> The organization changes the location of organization-defined processing and/or storage at an organization-defined time frequency at random time intervals.</w:t>
      </w:r>
      <w:r>
        <w:rPr>
          <w:rStyle w:val="FootnoteCharacters"/>
        </w:rPr>
        <w:t xml:space="preserve"> </w:t>
      </w:r>
      <w:r>
        <w:rPr>
          <w:rStyle w:val="FootnoteAnchor"/>
          <w:rStyle w:val="FootnoteAnchor"/>
        </w:rPr>
        <w:footnoteReference w:id="581"/>
      </w:r>
    </w:p>
    <w:p>
      <w:pPr>
        <w:pStyle w:val="Normal"/>
        <w:rPr>
          <w:rFonts w:cs="Calibri"/>
          <w:bCs w:val="false"/>
          <w:u w:val="single"/>
        </w:rPr>
      </w:pPr>
      <w:r>
        <w:rPr>
          <w:rFonts w:cs="Calibri"/>
          <w:bCs w:val="false"/>
          <w:u w:val="single"/>
        </w:rPr>
      </w:r>
    </w:p>
    <w:p>
      <w:pPr>
        <w:pStyle w:val="Normal"/>
        <w:rPr>
          <w:rFonts w:cs="Calibri"/>
          <w:bCs w:val="false"/>
        </w:rPr>
      </w:pPr>
      <w:r>
        <w:rPr>
          <w:rFonts w:cs="Calibri"/>
          <w:bCs w:val="false"/>
          <w:u w:val="single"/>
        </w:rPr>
        <w:t>Standard</w:t>
      </w:r>
      <w:r>
        <w:rPr>
          <w:rFonts w:cs="Calibri"/>
          <w:bCs w:val="false"/>
        </w:rPr>
        <w:t>: Where technically feasible and justified by a valid business case, critical NFCC assets must implement a process to perform unpredictable cutovers from primary to alternate processing and/or storage locations.</w:t>
      </w:r>
    </w:p>
    <w:p>
      <w:pPr>
        <w:pStyle w:val="Normal"/>
        <w:rPr>
          <w:rFonts w:cs="Calibri"/>
          <w:u w:val="single"/>
        </w:rPr>
      </w:pPr>
      <w:r>
        <w:rPr>
          <w:rFonts w:cs="Calibri"/>
          <w:u w:val="single"/>
        </w:rPr>
      </w:r>
    </w:p>
    <w:p>
      <w:pPr>
        <w:pStyle w:val="Normal"/>
        <w:rPr>
          <w:rFonts w:cs="Calibri"/>
          <w:bCs w:val="false"/>
        </w:rPr>
      </w:pPr>
      <w:r>
        <w:rPr>
          <w:rFonts w:cs="Calibri"/>
          <w:u w:val="single"/>
        </w:rPr>
        <w:t>Guidelines</w:t>
      </w:r>
      <w:r>
        <w:rPr>
          <w:rFonts w:cs="Calibri"/>
        </w:rPr>
        <w:t xml:space="preserve">: </w:t>
      </w:r>
      <w:r>
        <w:rPr>
          <w:rFonts w:cs="Calibri"/>
          <w:bCs w:val="false"/>
        </w:rPr>
        <w:t>Adversaries target critical organizational missions/business functions and the information resources supporting those missions and functions while at the same time, trying to minimize exposure of their existence and tradecraft. The static, homogeneous and deterministic nature of organizational information systems targeted by adversaries, make such systems more susceptible to cyber attacks with less adversary cost and effort to be successful. Changing organizational processing and storage locations (sometimes referred to as moving target defense) addresses the advanced persistent threat (APT) using techniques such as virtualization, distributed processing and replication. This enables organizations to relocate the information resources (e.g., processing and/or storage) supporting critical missions and business functions. Changing locations of processing activities and/or storage sites introduces uncertainty into the targeting activities by adversaries. This uncertainty increases the work factor of adversaries making compromises or breaches to organizational information systems much more difficult and time-consuming and increases the chances that adversaries may inadvertently disclose aspects of tradecraft while attempting to locate critical organizational resources.</w:t>
      </w:r>
      <w:bookmarkStart w:id="2120" w:name="_Hlk27580478"/>
      <w:bookmarkEnd w:id="2120"/>
    </w:p>
    <w:p>
      <w:pPr>
        <w:pStyle w:val="Normal"/>
        <w:rPr/>
      </w:pPr>
      <w:r>
        <w:rPr/>
      </w:r>
    </w:p>
    <w:p>
      <w:pPr>
        <w:pStyle w:val="Normal"/>
        <w:rPr/>
      </w:pPr>
      <w:r>
        <w:rPr/>
      </w:r>
    </w:p>
    <w:p>
      <w:pPr>
        <w:pStyle w:val="Heading2"/>
        <w:rPr/>
      </w:pPr>
      <w:bookmarkStart w:id="2121" w:name="_Toc474075332"/>
      <w:bookmarkStart w:id="2122" w:name="_Toc474075799"/>
      <w:bookmarkStart w:id="2123" w:name="_Toc34921262"/>
      <w:r>
        <w:rPr/>
        <w:t>SEA-15: Distributed Processing &amp; Storage</w:t>
      </w:r>
      <w:bookmarkEnd w:id="2121"/>
      <w:bookmarkEnd w:id="2122"/>
      <w:bookmarkEnd w:id="2123"/>
      <w:r>
        <w:rPr/>
        <w:t xml:space="preserve"> </w:t>
      </w:r>
    </w:p>
    <w:p>
      <w:pPr>
        <w:pStyle w:val="Normal"/>
        <w:rPr/>
      </w:pPr>
      <w:r>
        <w:rPr>
          <w:u w:val="single"/>
        </w:rPr>
        <w:t>Control Objective</w:t>
      </w:r>
      <w:r>
        <w:rPr/>
        <w:t>: The organization distributes processing and storage across multiple physical locations.</w:t>
      </w:r>
      <w:r>
        <w:rPr>
          <w:rStyle w:val="FootnoteCharacters"/>
        </w:rPr>
        <w:t xml:space="preserve"> </w:t>
      </w:r>
      <w:r>
        <w:rPr>
          <w:rStyle w:val="FootnoteAnchor"/>
          <w:rStyle w:val="FootnoteAnchor"/>
        </w:rPr>
        <w:footnoteReference w:id="582"/>
      </w:r>
    </w:p>
    <w:p>
      <w:pPr>
        <w:pStyle w:val="Normal"/>
        <w:rPr/>
      </w:pPr>
      <w:r>
        <w:rPr/>
      </w:r>
    </w:p>
    <w:p>
      <w:pPr>
        <w:pStyle w:val="Normal"/>
        <w:rPr/>
      </w:pPr>
      <w:r>
        <w:rPr>
          <w:u w:val="single"/>
        </w:rPr>
        <w:t>Standard</w:t>
      </w:r>
      <w:r>
        <w:rPr/>
        <w:t>: Where technically feasible and a strong business need exists, NFCC shall employ polling techniques to identify potential faults, errors or compromises to distributed processing and storage components.</w:t>
      </w:r>
    </w:p>
    <w:p>
      <w:pPr>
        <w:pStyle w:val="Normal"/>
        <w:rPr/>
      </w:pPr>
      <w:r>
        <w:rPr/>
      </w:r>
    </w:p>
    <w:p>
      <w:pPr>
        <w:pStyle w:val="Normal"/>
        <w:rPr/>
      </w:pPr>
      <w:r>
        <w:rPr>
          <w:u w:val="single"/>
        </w:rPr>
        <w:t>Guidelines</w:t>
      </w:r>
      <w:r>
        <w:rPr/>
        <w:t xml:space="preserve">: Distributing processing and storage across multiple physical locations provide some degree of redundancy or overlap for organizations and therefore increases the work factor of adversaries to adversely impact organizational operations, assets and individuals. This control does not assume a single primary processing or storage location and thus allows for parallel processing and storage. </w:t>
      </w:r>
    </w:p>
    <w:p>
      <w:pPr>
        <w:pStyle w:val="Normal"/>
        <w:rPr/>
      </w:pPr>
      <w:r>
        <w:rPr/>
      </w:r>
    </w:p>
    <w:p>
      <w:pPr>
        <w:pStyle w:val="Normal"/>
        <w:rPr/>
      </w:pPr>
      <w:r>
        <w:rPr/>
      </w:r>
    </w:p>
    <w:p>
      <w:pPr>
        <w:pStyle w:val="Heading2"/>
        <w:rPr/>
      </w:pPr>
      <w:bookmarkStart w:id="2124" w:name="_Toc474075333"/>
      <w:bookmarkStart w:id="2125" w:name="_Toc474075800"/>
      <w:bookmarkStart w:id="2126" w:name="_Toc34921263"/>
      <w:r>
        <w:rPr/>
        <w:t>SEA-16: Non-Modifiable Executable Programs</w:t>
      </w:r>
      <w:bookmarkEnd w:id="2124"/>
      <w:bookmarkEnd w:id="2125"/>
      <w:bookmarkEnd w:id="2126"/>
      <w:r>
        <w:rPr/>
        <w:t xml:space="preserve"> </w:t>
      </w:r>
    </w:p>
    <w:p>
      <w:pPr>
        <w:pStyle w:val="Normal"/>
        <w:rPr/>
      </w:pPr>
      <w:r>
        <w:rPr>
          <w:u w:val="single"/>
        </w:rPr>
        <w:t>Control Objective</w:t>
      </w:r>
      <w:r>
        <w:rPr/>
        <w:t>: Systems load and execute:</w:t>
      </w:r>
      <w:r>
        <w:rPr>
          <w:rStyle w:val="FootnoteCharacters"/>
        </w:rPr>
        <w:t xml:space="preserve"> </w:t>
      </w:r>
      <w:r>
        <w:rPr>
          <w:rStyle w:val="FootnoteAnchor"/>
          <w:rStyle w:val="FootnoteAnchor"/>
        </w:rPr>
        <w:footnoteReference w:id="583"/>
      </w:r>
    </w:p>
    <w:p>
      <w:pPr>
        <w:pStyle w:val="ListParagraph"/>
        <w:numPr>
          <w:ilvl w:val="0"/>
          <w:numId w:val="147"/>
        </w:numPr>
        <w:rPr/>
      </w:pPr>
      <w:r>
        <w:rPr/>
        <w:t>The operating environment from hardware-enforced, read-only media; and</w:t>
      </w:r>
    </w:p>
    <w:p>
      <w:pPr>
        <w:pStyle w:val="ListParagraph"/>
        <w:numPr>
          <w:ilvl w:val="0"/>
          <w:numId w:val="147"/>
        </w:numPr>
        <w:rPr/>
      </w:pPr>
      <w:r>
        <w:rPr/>
        <w:t>Applications from hardware-enforced, read-only media.</w:t>
      </w:r>
    </w:p>
    <w:p>
      <w:pPr>
        <w:pStyle w:val="Normal"/>
        <w:rPr/>
      </w:pPr>
      <w:r>
        <w:rPr/>
      </w:r>
    </w:p>
    <w:p>
      <w:pPr>
        <w:pStyle w:val="Normal"/>
        <w:rPr>
          <w:color w:val="FF0000"/>
        </w:rPr>
      </w:pPr>
      <w:r>
        <w:rPr>
          <w:u w:val="single"/>
        </w:rPr>
        <w:t>Standard</w:t>
      </w:r>
      <w:r>
        <w:rPr/>
        <w:t xml:space="preserve">: Where technically feasible and a business need exists, NFCC may employ systems with no writeable storage that is persistent across component restart or power on / off. </w:t>
      </w:r>
    </w:p>
    <w:p>
      <w:pPr>
        <w:pStyle w:val="Normal"/>
        <w:rPr/>
      </w:pPr>
      <w:r>
        <w:rPr/>
      </w:r>
    </w:p>
    <w:p>
      <w:pPr>
        <w:pStyle w:val="Normal"/>
        <w:rPr/>
      </w:pPr>
      <w:r>
        <w:rPr>
          <w:u w:val="single"/>
        </w:rPr>
        <w:t>Guidelines</w:t>
      </w:r>
      <w:r>
        <w:rPr/>
        <w:t xml:space="preserve">: The term operating environment is defined as the specific code that hosts applications, for example, operating systems, executives or monitors including virtual machine monitors (e.g., hypervisors). It can also include certain applications running directly on hardware platforms. The use of non-modifiable storage ensures the integrity of software from the point of creation of the read-only image. </w:t>
      </w:r>
    </w:p>
    <w:p>
      <w:pPr>
        <w:pStyle w:val="Normal"/>
        <w:rPr/>
      </w:pPr>
      <w:r>
        <w:rPr/>
      </w:r>
    </w:p>
    <w:p>
      <w:pPr>
        <w:pStyle w:val="Normal"/>
        <w:rPr/>
      </w:pPr>
      <w:r>
        <w:rPr/>
      </w:r>
    </w:p>
    <w:p>
      <w:pPr>
        <w:pStyle w:val="Heading2"/>
        <w:rPr/>
      </w:pPr>
      <w:bookmarkStart w:id="2127" w:name="_Toc474075334"/>
      <w:bookmarkStart w:id="2128" w:name="_Toc474075801"/>
      <w:bookmarkStart w:id="2129" w:name="_Toc34921264"/>
      <w:r>
        <w:rPr/>
        <w:t>SEA-17: Secure Log-On Procedures</w:t>
      </w:r>
      <w:bookmarkEnd w:id="2127"/>
      <w:bookmarkEnd w:id="2128"/>
      <w:bookmarkEnd w:id="2129"/>
      <w:r>
        <w:rPr/>
        <w:t xml:space="preserve"> </w:t>
      </w:r>
    </w:p>
    <w:p>
      <w:pPr>
        <w:pStyle w:val="Normal"/>
        <w:rPr/>
      </w:pPr>
      <w:r>
        <w:rPr>
          <w:u w:val="single"/>
        </w:rPr>
        <w:t>Control Objective</w:t>
      </w:r>
      <w:r>
        <w:rPr/>
        <w:t>: Systems establish a trusted communications path between the user and the security functions of the system.</w:t>
      </w:r>
      <w:r>
        <w:rPr>
          <w:rStyle w:val="FootnoteCharacters"/>
          <w:rFonts w:cs="Calibri"/>
        </w:rPr>
        <w:t xml:space="preserve"> </w:t>
      </w:r>
      <w:r>
        <w:rPr>
          <w:rStyle w:val="FootnoteAnchor"/>
          <w:rStyle w:val="FootnoteAnchor"/>
          <w:rFonts w:cs="Calibri"/>
        </w:rPr>
        <w:footnoteReference w:id="584"/>
      </w:r>
    </w:p>
    <w:p>
      <w:pPr>
        <w:pStyle w:val="Normal"/>
        <w:rPr/>
      </w:pPr>
      <w:r>
        <w:rPr/>
      </w:r>
    </w:p>
    <w:p>
      <w:pPr>
        <w:pStyle w:val="Normal"/>
        <w:rPr/>
      </w:pPr>
      <w:r>
        <w:rPr>
          <w:u w:val="single"/>
        </w:rPr>
        <w:t>Standard</w:t>
      </w:r>
      <w:r>
        <w:rPr/>
        <w:t>: Where technically feasible, systems must authenticate with Active Directory (AD).</w:t>
      </w:r>
    </w:p>
    <w:p>
      <w:pPr>
        <w:pStyle w:val="Normal"/>
        <w:rPr/>
      </w:pPr>
      <w:r>
        <w:rPr/>
      </w:r>
    </w:p>
    <w:p>
      <w:pPr>
        <w:pStyle w:val="Normal"/>
        <w:rPr/>
      </w:pPr>
      <w:r>
        <w:rPr>
          <w:u w:val="single"/>
        </w:rPr>
        <w:t>Guidelines</w:t>
      </w:r>
      <w:r>
        <w:rPr/>
        <w:t xml:space="preserve">: A trusted path is simply some mechanism that provides confidence that the user is communicating with what the user intended to communicate with, ensuring that attackers can't intercept or modify whatever information is being communicated. The traditional example is a "fake login" program (e.g., a program is written to look like the login screen of a system) where users try to log in, the fake login program can then capture user passwords for later use. </w:t>
      </w:r>
    </w:p>
    <w:p>
      <w:pPr>
        <w:pStyle w:val="Normal"/>
        <w:rPr/>
      </w:pPr>
      <w:r>
        <w:rPr/>
      </w:r>
    </w:p>
    <w:p>
      <w:pPr>
        <w:pStyle w:val="Normal"/>
        <w:rPr/>
      </w:pPr>
      <w:r>
        <w:rPr/>
        <w:t>Microsoft’s Active Directory provides a trusted path to its login window by requiring the user to press Ctrl+Alt+Del. This key sequence causes a non-maskable interrupt that can only be intercepted by the operating system, thus guaranteeing that the login window cannot be spoofed by any application.</w:t>
      </w:r>
    </w:p>
    <w:p>
      <w:pPr>
        <w:pStyle w:val="Normal"/>
        <w:rPr/>
      </w:pPr>
      <w:r>
        <w:rPr/>
      </w:r>
    </w:p>
    <w:p>
      <w:pPr>
        <w:pStyle w:val="Normal"/>
        <w:rPr/>
      </w:pPr>
      <w:r>
        <w:rPr/>
      </w:r>
    </w:p>
    <w:p>
      <w:pPr>
        <w:pStyle w:val="Heading2"/>
        <w:rPr/>
      </w:pPr>
      <w:bookmarkStart w:id="2130" w:name="_Toc474075336"/>
      <w:bookmarkStart w:id="2131" w:name="_Toc474075803"/>
      <w:bookmarkStart w:id="2132" w:name="_Toc34921265"/>
      <w:r>
        <w:rPr/>
        <w:t>SEA-18: System Use Notification (Logon Banner)</w:t>
      </w:r>
      <w:bookmarkEnd w:id="2130"/>
      <w:bookmarkEnd w:id="2131"/>
      <w:bookmarkEnd w:id="2132"/>
    </w:p>
    <w:p>
      <w:pPr>
        <w:pStyle w:val="Normal"/>
        <w:rPr/>
      </w:pPr>
      <w:r>
        <w:rPr>
          <w:u w:val="single"/>
        </w:rPr>
        <w:t>Control Objective</w:t>
      </w:r>
      <w:r>
        <w:rPr/>
        <w:t>: Systems:</w:t>
      </w:r>
      <w:r>
        <w:rPr>
          <w:rStyle w:val="FootnoteAnchor"/>
          <w:rStyle w:val="FootnoteAnchor"/>
          <w:rFonts w:cs="Calibri"/>
        </w:rPr>
        <w:footnoteReference w:id="585"/>
      </w:r>
      <w:r>
        <w:fldChar w:fldCharType="begin"/>
      </w:r>
      <w:r>
        <w:rPr/>
        <w:instrText> XE "System Use Notification:Logon Banner: : " </w:instrText>
      </w:r>
      <w:r>
        <w:rPr/>
        <w:fldChar w:fldCharType="separate"/>
      </w:r>
      <w:r>
        <w:rPr/>
      </w:r>
      <w:r>
        <w:rPr/>
        <w:fldChar w:fldCharType="end"/>
      </w:r>
    </w:p>
    <w:p>
      <w:pPr>
        <w:pStyle w:val="ListParagraph"/>
        <w:numPr>
          <w:ilvl w:val="0"/>
          <w:numId w:val="153"/>
        </w:numPr>
        <w:rPr/>
      </w:pPr>
      <w:r>
        <w:rPr/>
        <w:t>Display an approved system use notification message or banner before granting access to the system that provides privacy and security notices; and</w:t>
      </w:r>
    </w:p>
    <w:p>
      <w:pPr>
        <w:pStyle w:val="ListParagraph"/>
        <w:numPr>
          <w:ilvl w:val="0"/>
          <w:numId w:val="153"/>
        </w:numPr>
        <w:rPr/>
      </w:pPr>
      <w:r>
        <w:rPr/>
        <w:t>Retain the notification message or banner on the screen until users take explicit actions to log on to or further access the system.</w:t>
      </w:r>
    </w:p>
    <w:p>
      <w:pPr>
        <w:pStyle w:val="Normal"/>
        <w:rPr/>
      </w:pPr>
      <w:r>
        <w:rPr/>
      </w:r>
    </w:p>
    <w:p>
      <w:pPr>
        <w:pStyle w:val="Normal"/>
        <w:rPr/>
      </w:pPr>
      <w:r>
        <w:rPr>
          <w:u w:val="single"/>
        </w:rPr>
        <w:t>Standard</w:t>
      </w:r>
      <w:r>
        <w:rPr/>
        <w:t>: Where technically feasible, system use notifications are required to be presented to users on systems.</w:t>
      </w:r>
    </w:p>
    <w:p>
      <w:pPr>
        <w:pStyle w:val="Normal"/>
        <w:rPr/>
      </w:pPr>
      <w:r>
        <w:rPr/>
      </w:r>
    </w:p>
    <w:p>
      <w:pPr>
        <w:pStyle w:val="Normal"/>
        <w:rPr>
          <w:u w:val="single"/>
        </w:rPr>
      </w:pPr>
      <w:r>
        <w:rPr>
          <w:u w:val="single"/>
        </w:rPr>
        <w:t>Guidelines</w:t>
      </w:r>
      <w:r>
        <w:rPr/>
        <w:t>: System use notifications can be implemented using warning banners displayed when individuals log in to systems. System use notifications are only used for access via interactive login interfaces with human users and are not required when interactive login interfaces do not exist.</w:t>
      </w:r>
    </w:p>
    <w:p>
      <w:pPr>
        <w:pStyle w:val="Normal"/>
        <w:rPr/>
      </w:pPr>
      <w:r>
        <w:rPr/>
      </w:r>
    </w:p>
    <w:p>
      <w:pPr>
        <w:pStyle w:val="Heading3"/>
        <w:rPr>
          <w:color w:val="FF0000"/>
        </w:rPr>
      </w:pPr>
      <w:bookmarkStart w:id="2133" w:name="_Toc474075337"/>
      <w:bookmarkStart w:id="2134" w:name="_Toc34921266"/>
      <w:r>
        <w:rPr/>
        <w:t>SEA-18(a): System Use Notification | Standardized Microsoft Windows Banner</w:t>
      </w:r>
      <w:bookmarkEnd w:id="2133"/>
      <w:bookmarkEnd w:id="2134"/>
    </w:p>
    <w:p>
      <w:pPr>
        <w:pStyle w:val="Normal"/>
        <w:rPr/>
      </w:pPr>
      <w:r>
        <w:rPr>
          <w:u w:val="single"/>
        </w:rPr>
        <w:t>Control Objective</w:t>
      </w:r>
      <w:r>
        <w:rPr/>
        <w:t xml:space="preserve">: The organization configures Microsoft Windows-based systems to </w:t>
      </w:r>
      <w:r>
        <w:fldChar w:fldCharType="begin"/>
      </w:r>
      <w:r>
        <w:rPr/>
        <w:instrText> XE "System Use Notification:Logon Banner: : " </w:instrText>
      </w:r>
      <w:r>
        <w:rPr/>
        <w:fldChar w:fldCharType="separate"/>
      </w:r>
      <w:r>
        <w:rPr/>
      </w:r>
      <w:r>
        <w:rPr/>
        <w:fldChar w:fldCharType="end"/>
      </w:r>
      <w:r>
        <w:rPr/>
        <w:t>display an approved logon banner before granting access to the system that provides privacy and security notices.</w:t>
      </w:r>
    </w:p>
    <w:p>
      <w:pPr>
        <w:pStyle w:val="Normal"/>
        <w:rPr/>
      </w:pPr>
      <w:r>
        <w:rPr/>
      </w:r>
    </w:p>
    <w:p>
      <w:pPr>
        <w:pStyle w:val="Normal"/>
        <w:rPr/>
      </w:pPr>
      <w:r>
        <w:rPr>
          <w:u w:val="single"/>
        </w:rPr>
        <w:t>Standard</w:t>
      </w:r>
      <w:r>
        <w:rPr/>
        <w:t>: The standard banner (shown below) shall be configured for all Microsoft Windows-based workstations &amp; servers to present presented every time a user logs onto a workstation or server:</w:t>
      </w:r>
    </w:p>
    <w:p>
      <w:pPr>
        <w:pStyle w:val="Normal"/>
        <w:rPr/>
      </w:pPr>
      <w:r>
        <w:rPr/>
      </w:r>
    </w:p>
    <w:p>
      <w:pPr>
        <w:pStyle w:val="Normal"/>
        <w:rPr>
          <w:i/>
          <w:i/>
        </w:rPr>
      </w:pPr>
      <w:r>
        <w:rPr>
          <w:i/>
        </w:rPr>
        <w:t xml:space="preserve">WARNING: You are accessing a protected computer system that is provided for authorized use only. </w:t>
      </w:r>
    </w:p>
    <w:p>
      <w:pPr>
        <w:pStyle w:val="Normal"/>
        <w:rPr>
          <w:i/>
          <w:i/>
        </w:rPr>
      </w:pPr>
      <w:r>
        <w:rPr>
          <w:i/>
        </w:rPr>
      </w:r>
    </w:p>
    <w:p>
      <w:pPr>
        <w:pStyle w:val="Normal"/>
        <w:rPr>
          <w:i/>
          <w:i/>
        </w:rPr>
      </w:pPr>
      <w:r>
        <w:rPr>
          <w:i/>
        </w:rPr>
        <w:t>Your continued use of this protected computer system consents to the following conditions:</w:t>
      </w:r>
    </w:p>
    <w:p>
      <w:pPr>
        <w:pStyle w:val="Normal"/>
        <w:rPr>
          <w:i/>
          <w:i/>
        </w:rPr>
      </w:pPr>
      <w:r>
        <w:rPr>
          <w:i/>
        </w:rPr>
        <w:t>- You have no expectation of privacy on this protected computer system or network. Communications are routinely intercepted and monitored for authorized purposes including, but not limited to vulnerability testing, communications monitoring, network operations and personnel misconduct investigations.</w:t>
      </w:r>
    </w:p>
    <w:p>
      <w:pPr>
        <w:pStyle w:val="Normal"/>
        <w:rPr>
          <w:i/>
          <w:i/>
        </w:rPr>
      </w:pPr>
      <w:r>
        <w:rPr>
          <w:i/>
        </w:rPr>
        <w:t>- At any time, data on this protected computer system or any attached device, may be seized and inspected. By using this protected computer system, you consent to interception and seizure of all communications and data for any authorized purpose.</w:t>
      </w:r>
    </w:p>
    <w:p>
      <w:pPr>
        <w:pStyle w:val="Normal"/>
        <w:rPr>
          <w:i/>
          <w:i/>
        </w:rPr>
      </w:pPr>
      <w:r>
        <w:rPr>
          <w:i/>
        </w:rPr>
        <w:t xml:space="preserve">- Whether any particular communication or data qualifies for the protection by a privilege or is covered by a duty of confidentiality, is determined in accordance with established legal standards. You are strongly encouraged to seek personal legal counsel on such matters prior to using a protected computer system if you intend to rely on the protections of a privilege or confidentiality. </w:t>
      </w:r>
    </w:p>
    <w:p>
      <w:pPr>
        <w:pStyle w:val="Normal"/>
        <w:rPr>
          <w:i/>
          <w:i/>
        </w:rPr>
      </w:pPr>
      <w:r>
        <w:rPr>
          <w:i/>
        </w:rPr>
        <w:t>- Misuse will be prosecuted to the full extent of the law.</w:t>
      </w:r>
    </w:p>
    <w:p>
      <w:pPr>
        <w:pStyle w:val="Normal"/>
        <w:rPr/>
      </w:pPr>
      <w:r>
        <w:rPr/>
      </w:r>
    </w:p>
    <w:p>
      <w:pPr>
        <w:pStyle w:val="Normal"/>
        <w:rPr/>
      </w:pPr>
      <w:r>
        <w:rPr>
          <w:u w:val="single"/>
        </w:rPr>
        <w:t>Guidelines</w:t>
      </w:r>
      <w:r>
        <w:rPr/>
        <w:t>: The standard banner is designed to be distributed via Group Policy Object (GPO) in Active Directory.</w:t>
      </w:r>
    </w:p>
    <w:p>
      <w:pPr>
        <w:pStyle w:val="Normal"/>
        <w:rPr/>
      </w:pPr>
      <w:r>
        <w:rPr/>
      </w:r>
    </w:p>
    <w:p>
      <w:pPr>
        <w:pStyle w:val="Heading3"/>
        <w:rPr>
          <w:color w:val="FF0000"/>
        </w:rPr>
      </w:pPr>
      <w:bookmarkStart w:id="2135" w:name="_Toc474075338"/>
      <w:bookmarkStart w:id="2136" w:name="_Toc34921267"/>
      <w:r>
        <w:rPr/>
        <w:t>SEA-18(b): System Use Notification | Truncated Banner</w:t>
      </w:r>
      <w:bookmarkEnd w:id="2135"/>
      <w:bookmarkEnd w:id="2136"/>
    </w:p>
    <w:p>
      <w:pPr>
        <w:pStyle w:val="Normal"/>
        <w:rPr/>
      </w:pPr>
      <w:r>
        <w:rPr>
          <w:u w:val="single"/>
        </w:rPr>
        <w:t>Control Objective</w:t>
      </w:r>
      <w:r>
        <w:rPr/>
        <w:t xml:space="preserve">: Systems not capable of displaying a logon banner from a centralized source, such as Active Directory, </w:t>
      </w:r>
      <w:r>
        <w:fldChar w:fldCharType="begin"/>
      </w:r>
      <w:r>
        <w:rPr/>
        <w:instrText> XE "System Use Notification:Logon Banner: : " </w:instrText>
      </w:r>
      <w:r>
        <w:rPr/>
        <w:fldChar w:fldCharType="separate"/>
      </w:r>
      <w:r>
        <w:rPr/>
      </w:r>
      <w:r>
        <w:rPr/>
        <w:fldChar w:fldCharType="end"/>
      </w:r>
      <w:r>
        <w:rPr/>
        <w:t>display an approved logon banner before granting access to the system that provides privacy and security notices.</w:t>
      </w:r>
    </w:p>
    <w:p>
      <w:pPr>
        <w:pStyle w:val="Normal"/>
        <w:rPr/>
      </w:pPr>
      <w:r>
        <w:rPr/>
      </w:r>
    </w:p>
    <w:p>
      <w:pPr>
        <w:pStyle w:val="Normal"/>
        <w:rPr/>
      </w:pPr>
      <w:r>
        <w:rPr>
          <w:u w:val="single"/>
        </w:rPr>
        <w:t>Standard</w:t>
      </w:r>
      <w:r>
        <w:rPr/>
        <w:t>: Where technically feasible, the truncated banner (shown below) shall be used on network devices and non-Microsoft Windows workstation and server logons presented every time a user logs onto the device:</w:t>
      </w:r>
    </w:p>
    <w:p>
      <w:pPr>
        <w:pStyle w:val="Normal"/>
        <w:rPr/>
      </w:pPr>
      <w:r>
        <w:rPr/>
        <w:t xml:space="preserve"> </w:t>
      </w:r>
    </w:p>
    <w:p>
      <w:pPr>
        <w:pStyle w:val="Normal"/>
        <w:rPr>
          <w:i/>
          <w:i/>
        </w:rPr>
      </w:pPr>
      <w:r>
        <w:rPr>
          <w:i/>
        </w:rPr>
        <w:t>This is a protected computer system for authorized use only. Continued use constitutes permission to monitor with no expectation of privacy. Misuse will be prosecuted to the full extent of the law.</w:t>
      </w:r>
    </w:p>
    <w:p>
      <w:pPr>
        <w:pStyle w:val="Normal"/>
        <w:rPr/>
      </w:pPr>
      <w:r>
        <w:rPr/>
      </w:r>
    </w:p>
    <w:p>
      <w:pPr>
        <w:pStyle w:val="Normal"/>
        <w:rPr/>
      </w:pPr>
      <w:r>
        <w:rPr>
          <w:u w:val="single"/>
        </w:rPr>
        <w:t>Guidelines</w:t>
      </w:r>
      <w:r>
        <w:rPr/>
        <w:t>: None</w:t>
      </w:r>
    </w:p>
    <w:p>
      <w:pPr>
        <w:pStyle w:val="Normal"/>
        <w:rPr/>
      </w:pPr>
      <w:r>
        <w:rPr/>
      </w:r>
    </w:p>
    <w:p>
      <w:pPr>
        <w:pStyle w:val="Normal"/>
        <w:tabs>
          <w:tab w:val="clear" w:pos="360"/>
          <w:tab w:val="clear" w:pos="720"/>
          <w:tab w:val="clear" w:pos="1080"/>
        </w:tabs>
        <w:jc w:val="left"/>
        <w:rPr/>
      </w:pPr>
      <w:r>
        <w:rPr/>
      </w:r>
    </w:p>
    <w:p>
      <w:pPr>
        <w:pStyle w:val="Heading2"/>
        <w:rPr/>
      </w:pPr>
      <w:bookmarkStart w:id="2137" w:name="_Toc34921268"/>
      <w:bookmarkStart w:id="2138" w:name="_Toc474075339"/>
      <w:bookmarkStart w:id="2139" w:name="_Toc474075804"/>
      <w:r>
        <w:rPr/>
        <w:t>SEA-19: Previous Logon Notification</w:t>
      </w:r>
      <w:bookmarkEnd w:id="2137"/>
      <w:bookmarkEnd w:id="2138"/>
      <w:bookmarkEnd w:id="2139"/>
    </w:p>
    <w:p>
      <w:pPr>
        <w:pStyle w:val="Normal"/>
        <w:rPr/>
      </w:pPr>
      <w:r>
        <w:rPr>
          <w:u w:val="single"/>
        </w:rPr>
        <w:t>Control Objective</w:t>
      </w:r>
      <w:r>
        <w:rPr/>
        <w:t>: Systems notify the user, upon successful logon or system access, of the date and time of the last logon or access.</w:t>
      </w:r>
      <w:r>
        <w:rPr>
          <w:rStyle w:val="FootnoteAnchor"/>
          <w:rStyle w:val="FootnoteAnchor"/>
        </w:rPr>
        <w:footnoteReference w:id="586"/>
      </w:r>
    </w:p>
    <w:p>
      <w:pPr>
        <w:pStyle w:val="Normal"/>
        <w:rPr/>
      </w:pPr>
      <w:r>
        <w:rPr/>
      </w:r>
    </w:p>
    <w:p>
      <w:pPr>
        <w:pStyle w:val="Normal"/>
        <w:rPr/>
      </w:pPr>
      <w:r>
        <w:rPr>
          <w:u w:val="single"/>
        </w:rPr>
        <w:t>Standard</w:t>
      </w:r>
      <w:r>
        <w:rPr/>
        <w:t>: Where technically feasible, asset custodians are required to configure systems that process, store or transmit sensitive data to notify the user, upon successful logon / access, of the number of unsuccessful logon / access attempts since the last successful logon / access.</w:t>
      </w:r>
    </w:p>
    <w:p>
      <w:pPr>
        <w:pStyle w:val="Normal"/>
        <w:rPr/>
      </w:pPr>
      <w:r>
        <w:rPr/>
      </w:r>
    </w:p>
    <w:p>
      <w:pPr>
        <w:pStyle w:val="Normal"/>
        <w:rPr/>
      </w:pPr>
      <w:r>
        <w:rPr>
          <w:u w:val="single"/>
        </w:rPr>
        <w:t>Guidelines</w:t>
      </w:r>
      <w:r>
        <w:rPr/>
        <w:t>: This control is intended to cover both traditional logons to systems and accesses to systems that occur in other types of architectural configurations (e.g., service-oriented architectures).</w:t>
      </w:r>
    </w:p>
    <w:p>
      <w:pPr>
        <w:pStyle w:val="Normal"/>
        <w:rPr/>
      </w:pPr>
      <w:r>
        <w:rPr/>
      </w:r>
    </w:p>
    <w:p>
      <w:pPr>
        <w:pStyle w:val="Normal"/>
        <w:rPr/>
      </w:pPr>
      <w:r>
        <w:rPr/>
      </w:r>
    </w:p>
    <w:p>
      <w:pPr>
        <w:pStyle w:val="Heading2"/>
        <w:rPr/>
      </w:pPr>
      <w:bookmarkStart w:id="2140" w:name="_Toc474075340"/>
      <w:bookmarkStart w:id="2141" w:name="_Toc474075805"/>
      <w:bookmarkStart w:id="2142" w:name="_Toc34921269"/>
      <w:r>
        <w:rPr/>
        <w:t>SEA-20: Clock Synchronization</w:t>
      </w:r>
      <w:bookmarkEnd w:id="2140"/>
      <w:bookmarkEnd w:id="2141"/>
      <w:bookmarkEnd w:id="2142"/>
    </w:p>
    <w:p>
      <w:pPr>
        <w:pStyle w:val="Normal"/>
        <w:rPr/>
      </w:pPr>
      <w:r>
        <w:rPr>
          <w:u w:val="single"/>
        </w:rPr>
        <w:t>Control Objective</w:t>
      </w:r>
      <w:r>
        <w:rPr/>
        <w:t>: The organization utilizes time-synchronization technology to synchronize all critical system clocks.</w:t>
      </w:r>
      <w:r>
        <w:rPr>
          <w:rStyle w:val="FootnoteAnchor"/>
          <w:rStyle w:val="FootnoteAnchor"/>
          <w:rFonts w:cs="Calibri"/>
        </w:rPr>
        <w:footnoteReference w:id="587"/>
      </w:r>
    </w:p>
    <w:p>
      <w:pPr>
        <w:pStyle w:val="Normal"/>
        <w:rPr/>
      </w:pPr>
      <w:r>
        <w:rPr/>
      </w:r>
    </w:p>
    <w:p>
      <w:pPr>
        <w:pStyle w:val="Normal"/>
        <w:rPr/>
      </w:pPr>
      <w:r>
        <w:rPr>
          <w:u w:val="single"/>
        </w:rPr>
        <w:t>Standard</w:t>
      </w:r>
      <w:r>
        <w:rPr/>
        <w:t>: Network Time Protocol (NTP) is NFCC’s official method of synchronizing all system clocks and times and ensure that the following is implemented for acquiring, distributing and storing time:</w:t>
      </w:r>
    </w:p>
    <w:p>
      <w:pPr>
        <w:pStyle w:val="ListParagraph"/>
        <w:numPr>
          <w:ilvl w:val="0"/>
          <w:numId w:val="465"/>
        </w:numPr>
        <w:rPr/>
      </w:pPr>
      <w:r>
        <w:rPr/>
        <w:t>Asset custodians are responsible for configuring NFCC’s NTP servers so that they are receiving time from industry-accepted time sources;</w:t>
      </w:r>
      <w:r>
        <w:rPr>
          <w:rStyle w:val="FootnoteCharacters"/>
          <w:rFonts w:cs="Calibri"/>
        </w:rPr>
        <w:t xml:space="preserve"> </w:t>
      </w:r>
      <w:r>
        <w:rPr/>
        <w:t>and</w:t>
      </w:r>
    </w:p>
    <w:p>
      <w:pPr>
        <w:pStyle w:val="ListParagraph"/>
        <w:numPr>
          <w:ilvl w:val="0"/>
          <w:numId w:val="465"/>
        </w:numPr>
        <w:rPr/>
      </w:pPr>
      <w:r>
        <w:rPr/>
        <w:t xml:space="preserve">Data / process owners must ensure NTP on their systems is configured properly and validate the following: </w:t>
      </w:r>
    </w:p>
    <w:p>
      <w:pPr>
        <w:pStyle w:val="ListParagraph"/>
        <w:numPr>
          <w:ilvl w:val="1"/>
          <w:numId w:val="465"/>
        </w:numPr>
        <w:rPr/>
      </w:pPr>
      <w:r>
        <w:rPr/>
        <w:t>Systems are configured to synchronize time with NFCC’s NTP servers;</w:t>
      </w:r>
    </w:p>
    <w:p>
      <w:pPr>
        <w:pStyle w:val="ListParagraph"/>
        <w:numPr>
          <w:ilvl w:val="1"/>
          <w:numId w:val="465"/>
        </w:numPr>
        <w:rPr/>
      </w:pPr>
      <w:r>
        <w:rPr/>
        <w:t>Information systems have the correct and consistent time;</w:t>
      </w:r>
      <w:r>
        <w:rPr>
          <w:rStyle w:val="FootnoteCharacters"/>
          <w:rFonts w:cs="Calibri"/>
        </w:rPr>
        <w:t xml:space="preserve"> </w:t>
      </w:r>
      <w:r>
        <w:rPr/>
        <w:t>and</w:t>
      </w:r>
    </w:p>
    <w:p>
      <w:pPr>
        <w:pStyle w:val="ListParagraph"/>
        <w:numPr>
          <w:ilvl w:val="1"/>
          <w:numId w:val="465"/>
        </w:numPr>
        <w:rPr/>
      </w:pPr>
      <w:r>
        <w:rPr/>
        <w:t>Time data is protected from unauthorized modification.</w:t>
      </w:r>
      <w:r>
        <w:rPr>
          <w:rStyle w:val="FootnoteCharacters"/>
          <w:rFonts w:cs="Calibri"/>
        </w:rPr>
        <w:t xml:space="preserve"> </w:t>
      </w:r>
    </w:p>
    <w:p>
      <w:pPr>
        <w:pStyle w:val="Normal"/>
        <w:rPr/>
      </w:pPr>
      <w:r>
        <w:rPr/>
      </w:r>
    </w:p>
    <w:p>
      <w:pPr>
        <w:pStyle w:val="Normal"/>
        <w:rPr/>
      </w:pPr>
      <w:r>
        <w:rPr>
          <w:u w:val="single"/>
        </w:rPr>
        <w:t>Guidelines</w:t>
      </w:r>
      <w:r>
        <w:rPr/>
        <w:t>: Time is commonly expressed in Coordinated Universal Time (UTC), a modern continuation of Greenwich Mean Time (GMT) or local time with an offset from UTC. NTP is an Internet standard protocol which enables client computers to maintain system time synchronization to the US Naval Observatory (USNO) Master Clocks in Washington, DC and Colorado Springs, CO.</w:t>
      </w:r>
      <w:r>
        <w:rPr>
          <w:rStyle w:val="FootnoteAnchor"/>
          <w:rStyle w:val="FootnoteAnchor"/>
          <w:rFonts w:cs="Calibri"/>
        </w:rPr>
        <w:footnoteReference w:id="588"/>
      </w:r>
      <w:r>
        <w:rPr/>
        <w:t xml:space="preserve"> Official NIST or USNO Internet Time Service (ITS) that can to be used for system time synchronization include, but are not limited to:</w:t>
      </w:r>
    </w:p>
    <w:p>
      <w:pPr>
        <w:pStyle w:val="ListParagraph"/>
        <w:numPr>
          <w:ilvl w:val="0"/>
          <w:numId w:val="199"/>
        </w:numPr>
        <w:rPr>
          <w:rFonts w:eastAsia="Calibri"/>
        </w:rPr>
      </w:pPr>
      <w:r>
        <w:rPr>
          <w:rFonts w:eastAsia="Calibri"/>
        </w:rPr>
        <w:t xml:space="preserve">time.nist.gov 192.43.244.18 </w:t>
      </w:r>
      <w:r>
        <w:rPr>
          <w:rFonts w:cs="Calibri"/>
        </w:rPr>
        <w:t>[primary]; and</w:t>
      </w:r>
    </w:p>
    <w:p>
      <w:pPr>
        <w:pStyle w:val="ListParagraph"/>
        <w:numPr>
          <w:ilvl w:val="0"/>
          <w:numId w:val="199"/>
        </w:numPr>
        <w:rPr>
          <w:rFonts w:eastAsia="Calibri"/>
        </w:rPr>
      </w:pPr>
      <w:r>
        <w:rPr>
          <w:rFonts w:eastAsia="Calibri"/>
        </w:rPr>
        <w:t>time-nw.nist.gov 131.107.13.100</w:t>
      </w:r>
      <w:r>
        <w:rPr>
          <w:rFonts w:cs="Calibri"/>
        </w:rPr>
        <w:t xml:space="preserve"> [alternate]</w:t>
      </w:r>
    </w:p>
    <w:p>
      <w:pPr>
        <w:pStyle w:val="Normal"/>
        <w:rPr/>
      </w:pPr>
      <w:r>
        <w:rPr/>
      </w:r>
    </w:p>
    <w:p>
      <w:pPr>
        <w:pStyle w:val="Normal"/>
        <w:rPr/>
      </w:pPr>
      <w:r>
        <w:rPr/>
      </w:r>
    </w:p>
    <w:p>
      <w:pPr>
        <w:pStyle w:val="Normal"/>
        <w:tabs>
          <w:tab w:val="clear" w:pos="360"/>
          <w:tab w:val="clear" w:pos="720"/>
          <w:tab w:val="clear" w:pos="1080"/>
        </w:tabs>
        <w:jc w:val="left"/>
        <w:rPr/>
      </w:pPr>
      <w:r>
        <w:rPr/>
      </w:r>
      <w:r>
        <w:br w:type="page"/>
      </w:r>
    </w:p>
    <w:p>
      <w:pPr>
        <w:pStyle w:val="Heading1"/>
        <w:rPr/>
      </w:pPr>
      <w:bookmarkStart w:id="2143" w:name="_Toc34921270"/>
      <w:bookmarkStart w:id="2144" w:name="_Toc474075344"/>
      <w:bookmarkStart w:id="2145" w:name="_Toc474075809"/>
      <w:r>
        <w:rPr/>
        <w:t>Security Operations (OPS)</w:t>
      </w:r>
      <w:bookmarkEnd w:id="2144"/>
      <w:bookmarkEnd w:id="2145"/>
      <w:r>
        <w:rPr/>
        <w:t xml:space="preserve"> Policy &amp; Standards</w:t>
      </w:r>
      <w:bookmarkEnd w:id="2143"/>
    </w:p>
    <w:p>
      <w:pPr>
        <w:pStyle w:val="Normal"/>
        <w:rPr>
          <w:u w:val="single"/>
        </w:rPr>
      </w:pPr>
      <w:r>
        <w:rPr>
          <w:u w:val="single"/>
        </w:rPr>
      </w:r>
    </w:p>
    <w:p>
      <w:pPr>
        <w:pStyle w:val="Normal"/>
        <w:rPr/>
      </w:pPr>
      <w:r>
        <w:rPr>
          <w:u w:val="single"/>
        </w:rPr>
        <w:t>Management Intent</w:t>
      </w:r>
      <w:r>
        <w:rPr/>
        <w:t>: The purpose of the Security Operations (OPS) policy is to address the service delivery of cybersecurity operations.</w:t>
      </w:r>
    </w:p>
    <w:p>
      <w:pPr>
        <w:pStyle w:val="Normal"/>
        <w:rPr/>
      </w:pPr>
      <w:r>
        <w:rPr/>
      </w:r>
    </w:p>
    <w:p>
      <w:pPr>
        <w:pStyle w:val="Normal"/>
        <w:shd w:val="clear" w:color="auto" w:fill="DDD9C3" w:themeFill="background2" w:themeFillShade="e6"/>
        <w:rPr/>
      </w:pPr>
      <w:r>
        <w:rPr>
          <w:u w:val="single"/>
        </w:rPr>
        <w:t>Policy</w:t>
      </w:r>
      <w:r>
        <w:rPr/>
        <w:t xml:space="preserve">: NFCC’s cybersecurity operations shall be staffed by appropriately qualified personnel to provide the protective, detective and response services to support NFCC’s security program. </w:t>
      </w:r>
    </w:p>
    <w:p>
      <w:pPr>
        <w:pStyle w:val="Normal"/>
        <w:rPr>
          <w:u w:val="single"/>
        </w:rPr>
      </w:pPr>
      <w:r>
        <w:rPr>
          <w:u w:val="single"/>
        </w:rPr>
      </w:r>
    </w:p>
    <w:p>
      <w:pPr>
        <w:pStyle w:val="Normal"/>
        <w:rPr/>
      </w:pPr>
      <w:r>
        <w:rPr>
          <w:u w:val="single"/>
        </w:rPr>
        <w:t>Supporting Documentation</w:t>
      </w:r>
      <w:r>
        <w:rPr/>
        <w:t xml:space="preserve">: This policy is supported by the following control objectives, standards and guidelines. </w:t>
      </w:r>
    </w:p>
    <w:p>
      <w:pPr>
        <w:pStyle w:val="Normal"/>
        <w:rPr/>
      </w:pPr>
      <w:r>
        <w:rPr/>
      </w:r>
    </w:p>
    <w:p>
      <w:pPr>
        <w:pStyle w:val="Normal"/>
        <w:rPr/>
      </w:pPr>
      <w:r>
        <w:rPr/>
      </w:r>
    </w:p>
    <w:p>
      <w:pPr>
        <w:pStyle w:val="Heading2"/>
        <w:rPr/>
      </w:pPr>
      <w:bookmarkStart w:id="2146" w:name="_Toc474075345"/>
      <w:bookmarkStart w:id="2147" w:name="_Toc474075810"/>
      <w:bookmarkStart w:id="2148" w:name="_Toc34921271"/>
      <w:r>
        <w:rPr/>
        <w:t>OPS-01: Operations Security</w:t>
      </w:r>
      <w:bookmarkEnd w:id="2146"/>
      <w:bookmarkEnd w:id="2147"/>
      <w:bookmarkEnd w:id="2148"/>
      <w:r>
        <w:rPr/>
        <w:t xml:space="preserve"> </w:t>
      </w:r>
    </w:p>
    <w:p>
      <w:pPr>
        <w:pStyle w:val="Normal"/>
        <w:rPr/>
      </w:pPr>
      <w:r>
        <w:rPr>
          <w:u w:val="single"/>
        </w:rPr>
        <w:t>Control Objective</w:t>
      </w:r>
      <w:r>
        <w:rPr/>
        <w:t xml:space="preserve">: The organization develops, implements and governs processes and documentation to facilitate the implementation of an enterprise-wide security operations policy, as well as associated standards, controls and procedures. </w:t>
      </w:r>
      <w:r>
        <w:rPr>
          <w:rStyle w:val="FootnoteAnchor"/>
          <w:rStyle w:val="FootnoteAnchor"/>
        </w:rPr>
        <w:footnoteReference w:id="589"/>
      </w:r>
    </w:p>
    <w:p>
      <w:pPr>
        <w:pStyle w:val="Normal"/>
        <w:rPr/>
      </w:pPr>
      <w:r>
        <w:rPr/>
      </w:r>
    </w:p>
    <w:p>
      <w:pPr>
        <w:pStyle w:val="Normal"/>
        <w:rPr/>
      </w:pPr>
      <w:r>
        <w:rPr>
          <w:rFonts w:cs="Calibri"/>
          <w:u w:val="single"/>
        </w:rPr>
        <w:t>Standard</w:t>
      </w:r>
      <w:r>
        <w:rPr>
          <w:rFonts w:cs="Calibri"/>
        </w:rPr>
        <w:t xml:space="preserve">: The </w:t>
      </w:r>
      <w:r>
        <w:rPr/>
        <w:t>Chief Information Security Officer (CISO) and his / her designated representatives are responsible for developing, publishing and governing Operational Security (OPSEC) controls.</w:t>
      </w:r>
    </w:p>
    <w:p>
      <w:pPr>
        <w:pStyle w:val="Normal"/>
        <w:rPr/>
      </w:pPr>
      <w:r>
        <w:rPr/>
      </w:r>
    </w:p>
    <w:p>
      <w:pPr>
        <w:pStyle w:val="Normal"/>
        <w:rPr/>
      </w:pPr>
      <w:r>
        <w:rPr>
          <w:u w:val="single"/>
        </w:rPr>
        <w:t>Guidelines</w:t>
      </w:r>
      <w:r>
        <w:rPr/>
        <w:t xml:space="preserve">: Operations security (OPSEC) is a systematic process by which potential adversaries can be denied information about the capabilities and intentions of organizations by identifying, controlling and protecting generally unclassified information that specifically relates to the planning and execution of sensitive organizational activities. The OPSEC process involves five steps: </w:t>
      </w:r>
    </w:p>
    <w:p>
      <w:pPr>
        <w:pStyle w:val="ListParagraph"/>
        <w:numPr>
          <w:ilvl w:val="0"/>
          <w:numId w:val="154"/>
        </w:numPr>
        <w:rPr/>
      </w:pPr>
      <w:r>
        <w:rPr/>
        <w:t xml:space="preserve">Identification of critical information (e.g., the security categorization process); </w:t>
      </w:r>
    </w:p>
    <w:p>
      <w:pPr>
        <w:pStyle w:val="ListParagraph"/>
        <w:numPr>
          <w:ilvl w:val="0"/>
          <w:numId w:val="154"/>
        </w:numPr>
        <w:rPr/>
      </w:pPr>
      <w:r>
        <w:rPr/>
        <w:t xml:space="preserve">Analysis of threats; </w:t>
      </w:r>
    </w:p>
    <w:p>
      <w:pPr>
        <w:pStyle w:val="ListParagraph"/>
        <w:numPr>
          <w:ilvl w:val="0"/>
          <w:numId w:val="154"/>
        </w:numPr>
        <w:rPr/>
      </w:pPr>
      <w:r>
        <w:rPr/>
        <w:t xml:space="preserve">Analysis of vulnerabilities; </w:t>
      </w:r>
    </w:p>
    <w:p>
      <w:pPr>
        <w:pStyle w:val="ListParagraph"/>
        <w:numPr>
          <w:ilvl w:val="0"/>
          <w:numId w:val="154"/>
        </w:numPr>
        <w:rPr/>
      </w:pPr>
      <w:r>
        <w:rPr/>
        <w:t xml:space="preserve">Assessment of risks; and </w:t>
      </w:r>
    </w:p>
    <w:p>
      <w:pPr>
        <w:pStyle w:val="ListParagraph"/>
        <w:numPr>
          <w:ilvl w:val="0"/>
          <w:numId w:val="154"/>
        </w:numPr>
        <w:rPr/>
      </w:pPr>
      <w:r>
        <w:rPr/>
        <w:t xml:space="preserve">The application of appropriate countermeasures. </w:t>
      </w:r>
    </w:p>
    <w:p>
      <w:pPr>
        <w:pStyle w:val="Normal"/>
        <w:rPr/>
      </w:pPr>
      <w:r>
        <w:rPr/>
      </w:r>
    </w:p>
    <w:p>
      <w:pPr>
        <w:pStyle w:val="Heading3"/>
        <w:rPr>
          <w:color w:val="FF0000"/>
        </w:rPr>
      </w:pPr>
      <w:bookmarkStart w:id="2149" w:name="_Toc34921272"/>
      <w:bookmarkStart w:id="2150" w:name="_Toc474075346"/>
      <w:r>
        <w:rPr/>
        <w:t xml:space="preserve">OPS-01(a): Operations Security | </w:t>
      </w:r>
      <w:bookmarkEnd w:id="2150"/>
      <w:r>
        <w:rPr/>
        <w:t>Standardized Operating Procedures (SOP)</w:t>
      </w:r>
      <w:bookmarkEnd w:id="2149"/>
    </w:p>
    <w:p>
      <w:pPr>
        <w:pStyle w:val="Normal"/>
        <w:rPr/>
      </w:pPr>
      <w:r>
        <w:rPr>
          <w:u w:val="single"/>
        </w:rPr>
        <w:t>Control Objective</w:t>
      </w:r>
      <w:r>
        <w:rPr/>
        <w:t>: The organization require operating procedures to be documented and made available to all users who need them.</w:t>
      </w:r>
      <w:r>
        <w:rPr>
          <w:rStyle w:val="FootnoteAnchor"/>
          <w:rStyle w:val="FootnoteAnchor"/>
          <w:rFonts w:cs="Calibri"/>
        </w:rPr>
        <w:footnoteReference w:id="590"/>
      </w:r>
    </w:p>
    <w:p>
      <w:pPr>
        <w:pStyle w:val="Normal"/>
        <w:rPr/>
      </w:pPr>
      <w:r>
        <w:rPr/>
      </w:r>
    </w:p>
    <w:p>
      <w:pPr>
        <w:pStyle w:val="Normal"/>
        <w:rPr/>
      </w:pPr>
      <w:r>
        <w:rPr>
          <w:u w:val="single"/>
        </w:rPr>
        <w:t>Standard</w:t>
      </w:r>
      <w:r>
        <w:rPr/>
        <w:t>: NFCC’s management is required to ensure the following operating procedures are executed:</w:t>
      </w:r>
      <w:r>
        <w:rPr>
          <w:rStyle w:val="FootnoteCharacters"/>
          <w:rFonts w:cs="Calibri"/>
        </w:rPr>
        <w:t xml:space="preserve"> </w:t>
      </w:r>
    </w:p>
    <w:p>
      <w:pPr>
        <w:pStyle w:val="ListParagraph"/>
        <w:numPr>
          <w:ilvl w:val="0"/>
          <w:numId w:val="467"/>
        </w:numPr>
        <w:rPr/>
      </w:pPr>
      <w:r>
        <w:rPr/>
        <w:t>Perform reviews at least quarterly to confirm personnel are following security policies and operational procedures. Reviews must cover the following processes:</w:t>
      </w:r>
    </w:p>
    <w:p>
      <w:pPr>
        <w:pStyle w:val="ListParagraph"/>
        <w:numPr>
          <w:ilvl w:val="1"/>
          <w:numId w:val="467"/>
        </w:numPr>
        <w:rPr/>
      </w:pPr>
      <w:r>
        <w:rPr/>
        <w:t>Daily log reviews;</w:t>
      </w:r>
    </w:p>
    <w:p>
      <w:pPr>
        <w:pStyle w:val="ListParagraph"/>
        <w:numPr>
          <w:ilvl w:val="1"/>
          <w:numId w:val="467"/>
        </w:numPr>
        <w:rPr/>
      </w:pPr>
      <w:r>
        <w:rPr/>
        <w:t>Firewall ruleset reviews;</w:t>
      </w:r>
    </w:p>
    <w:p>
      <w:pPr>
        <w:pStyle w:val="ListParagraph"/>
        <w:numPr>
          <w:ilvl w:val="1"/>
          <w:numId w:val="467"/>
        </w:numPr>
        <w:rPr/>
      </w:pPr>
      <w:r>
        <w:rPr/>
        <w:t>Applying configuration standards to new systems;</w:t>
      </w:r>
    </w:p>
    <w:p>
      <w:pPr>
        <w:pStyle w:val="ListParagraph"/>
        <w:numPr>
          <w:ilvl w:val="1"/>
          <w:numId w:val="467"/>
        </w:numPr>
        <w:rPr/>
      </w:pPr>
      <w:r>
        <w:rPr/>
        <w:t>Responding to security alerts; and</w:t>
      </w:r>
    </w:p>
    <w:p>
      <w:pPr>
        <w:pStyle w:val="ListParagraph"/>
        <w:numPr>
          <w:ilvl w:val="1"/>
          <w:numId w:val="467"/>
        </w:numPr>
        <w:rPr/>
      </w:pPr>
      <w:r>
        <w:rPr/>
        <w:t>Change management processes; and</w:t>
      </w:r>
    </w:p>
    <w:p>
      <w:pPr>
        <w:pStyle w:val="ListParagraph"/>
        <w:numPr>
          <w:ilvl w:val="0"/>
          <w:numId w:val="467"/>
        </w:numPr>
        <w:rPr/>
      </w:pPr>
      <w:r>
        <w:rPr/>
        <w:t>Maintain documentation of the quarterly review process to include:</w:t>
      </w:r>
    </w:p>
    <w:p>
      <w:pPr>
        <w:pStyle w:val="ListParagraph"/>
        <w:numPr>
          <w:ilvl w:val="1"/>
          <w:numId w:val="467"/>
        </w:numPr>
        <w:rPr/>
      </w:pPr>
      <w:r>
        <w:rPr/>
        <w:t>Documenting results of the reviews; and</w:t>
      </w:r>
    </w:p>
    <w:p>
      <w:pPr>
        <w:pStyle w:val="ListParagraph"/>
        <w:numPr>
          <w:ilvl w:val="1"/>
          <w:numId w:val="467"/>
        </w:numPr>
        <w:rPr/>
      </w:pPr>
      <w:r>
        <w:rPr/>
        <w:t>Review and sign-off of results by personnel assigned responsibility for the compliance program.</w:t>
      </w:r>
    </w:p>
    <w:p>
      <w:pPr>
        <w:pStyle w:val="Normal"/>
        <w:rPr/>
      </w:pPr>
      <w:r>
        <w:rPr/>
      </w:r>
    </w:p>
    <w:p>
      <w:pPr>
        <w:pStyle w:val="Normal"/>
        <w:rPr/>
      </w:pPr>
      <w:r>
        <w:rPr>
          <w:u w:val="single"/>
        </w:rPr>
        <w:t>Guidelines</w:t>
      </w:r>
      <w:r>
        <w:rPr/>
        <w:t xml:space="preserve">: Operations security (OPSEC) is a systematic process by which potential adversaries can be denied information about the capabilities and intentions of organizations by identifying, controlling and protecting generally unclassified information that specifically relates to the planning and execution of sensitive organizational activities. The OPSEC process involves five steps: </w:t>
      </w:r>
    </w:p>
    <w:p>
      <w:pPr>
        <w:pStyle w:val="ListParagraph"/>
        <w:numPr>
          <w:ilvl w:val="0"/>
          <w:numId w:val="154"/>
        </w:numPr>
        <w:rPr/>
      </w:pPr>
      <w:r>
        <w:rPr/>
        <w:t xml:space="preserve">Identification of critical information (e.g., the security categorization process); </w:t>
      </w:r>
    </w:p>
    <w:p>
      <w:pPr>
        <w:pStyle w:val="ListParagraph"/>
        <w:numPr>
          <w:ilvl w:val="0"/>
          <w:numId w:val="154"/>
        </w:numPr>
        <w:rPr/>
      </w:pPr>
      <w:r>
        <w:rPr/>
        <w:t xml:space="preserve">Analysis of threats; </w:t>
      </w:r>
    </w:p>
    <w:p>
      <w:pPr>
        <w:pStyle w:val="ListParagraph"/>
        <w:numPr>
          <w:ilvl w:val="0"/>
          <w:numId w:val="154"/>
        </w:numPr>
        <w:rPr/>
      </w:pPr>
      <w:r>
        <w:rPr/>
        <w:t xml:space="preserve">Analysis of vulnerabilities; </w:t>
      </w:r>
    </w:p>
    <w:p>
      <w:pPr>
        <w:pStyle w:val="ListParagraph"/>
        <w:numPr>
          <w:ilvl w:val="0"/>
          <w:numId w:val="154"/>
        </w:numPr>
        <w:rPr/>
      </w:pPr>
      <w:r>
        <w:rPr/>
        <w:t xml:space="preserve">Assessment of risks; and </w:t>
      </w:r>
    </w:p>
    <w:p>
      <w:pPr>
        <w:pStyle w:val="ListParagraph"/>
        <w:numPr>
          <w:ilvl w:val="0"/>
          <w:numId w:val="154"/>
        </w:numPr>
        <w:rPr/>
      </w:pPr>
      <w:r>
        <w:rPr/>
        <w:t xml:space="preserve">The application of appropriate countermeasures. </w:t>
      </w:r>
    </w:p>
    <w:p>
      <w:pPr>
        <w:pStyle w:val="Normal"/>
        <w:rPr/>
      </w:pPr>
      <w:r>
        <w:rPr/>
      </w:r>
    </w:p>
    <w:p>
      <w:pPr>
        <w:pStyle w:val="Normal"/>
        <w:rPr/>
      </w:pPr>
      <w:r>
        <w:rPr/>
      </w:r>
    </w:p>
    <w:p>
      <w:pPr>
        <w:pStyle w:val="Heading2"/>
        <w:rPr/>
      </w:pPr>
      <w:bookmarkStart w:id="2151" w:name="_Toc474075347"/>
      <w:bookmarkStart w:id="2152" w:name="_Toc474075811"/>
      <w:bookmarkStart w:id="2153" w:name="_Toc34921273"/>
      <w:r>
        <w:rPr/>
        <w:t>OPS-02: Security Concept Of Operations (CONOPS)</w:t>
      </w:r>
      <w:bookmarkEnd w:id="2151"/>
      <w:bookmarkEnd w:id="2152"/>
      <w:bookmarkEnd w:id="2153"/>
      <w:r>
        <w:rPr/>
        <w:t xml:space="preserve"> </w:t>
      </w:r>
    </w:p>
    <w:p>
      <w:pPr>
        <w:pStyle w:val="Normal"/>
        <w:rPr/>
      </w:pPr>
      <w:r>
        <w:rPr>
          <w:u w:val="single"/>
        </w:rPr>
        <w:t>Control Objective</w:t>
      </w:r>
      <w:r>
        <w:rPr/>
        <w:t>: The organization:</w:t>
      </w:r>
      <w:r>
        <w:rPr>
          <w:rStyle w:val="FootnoteAnchor"/>
          <w:rStyle w:val="FootnoteAnchor"/>
        </w:rPr>
        <w:footnoteReference w:id="591"/>
      </w:r>
    </w:p>
    <w:p>
      <w:pPr>
        <w:pStyle w:val="ListParagraph"/>
        <w:numPr>
          <w:ilvl w:val="0"/>
          <w:numId w:val="118"/>
        </w:numPr>
        <w:rPr/>
      </w:pPr>
      <w:r>
        <w:rPr/>
        <w:t xml:space="preserve">Develops a security Concept of Operations (CONOPS) for systems containing at a minimum, how the organization intends to operate the systems from the perspective of cybersecurity; </w:t>
      </w:r>
    </w:p>
    <w:p>
      <w:pPr>
        <w:pStyle w:val="ListParagraph"/>
        <w:numPr>
          <w:ilvl w:val="0"/>
          <w:numId w:val="118"/>
        </w:numPr>
        <w:rPr/>
      </w:pPr>
      <w:r>
        <w:rPr/>
        <w:t>Documents technical measures implemented to apply defense-in-depth techniques (e.g., deep packet analysis, traffic throttling and black-holing) for detection and timely response to network-based attacks associated with anomalous ingress or egress traffic patterns (e.g., MAC spoofing and ARP poisoning attacks) and / or distributed denial-of-service (DDoS) attacks; and</w:t>
      </w:r>
    </w:p>
    <w:p>
      <w:pPr>
        <w:pStyle w:val="ListParagraph"/>
        <w:numPr>
          <w:ilvl w:val="0"/>
          <w:numId w:val="118"/>
        </w:numPr>
        <w:rPr/>
      </w:pPr>
      <w:r>
        <w:rPr/>
        <w:t xml:space="preserve">Reviews and updates the CONOPS at least annually. </w:t>
      </w:r>
    </w:p>
    <w:p>
      <w:pPr>
        <w:pStyle w:val="Normal"/>
        <w:rPr/>
      </w:pPr>
      <w:r>
        <w:rPr/>
      </w:r>
    </w:p>
    <w:p>
      <w:pPr>
        <w:pStyle w:val="Normal"/>
        <w:rPr/>
      </w:pPr>
      <w:r>
        <w:rPr>
          <w:u w:val="single"/>
        </w:rPr>
        <w:t>Standard</w:t>
      </w:r>
      <w:r>
        <w:rPr/>
        <w:t>: NFCC is assigned the responsibility for developing and implementing a security Concept of Operations (CONOPS) that includes documenting and implementing mechanisms to:</w:t>
      </w:r>
    </w:p>
    <w:p>
      <w:pPr>
        <w:pStyle w:val="ListParagraph"/>
        <w:numPr>
          <w:ilvl w:val="0"/>
          <w:numId w:val="519"/>
        </w:numPr>
        <w:rPr/>
      </w:pPr>
      <w:r>
        <w:rPr/>
        <w:t xml:space="preserve">Apply defense-in-depth techniques (e.g., deep packet analysis, traffic throttling and black-holing) for detection; and </w:t>
      </w:r>
    </w:p>
    <w:p>
      <w:pPr>
        <w:pStyle w:val="ListParagraph"/>
        <w:numPr>
          <w:ilvl w:val="0"/>
          <w:numId w:val="519"/>
        </w:numPr>
        <w:rPr/>
      </w:pPr>
      <w:r>
        <w:rPr/>
        <w:t>Quickly respond to network-based attacks associated with anomalous ingress or egress traffic patterns (e.g., MAC spoofing and ARP poisoning attacks) and / or distributed denial-of-service (DDoS) attacks.</w:t>
      </w:r>
    </w:p>
    <w:p>
      <w:pPr>
        <w:pStyle w:val="Normal"/>
        <w:rPr/>
      </w:pPr>
      <w:r>
        <w:rPr/>
      </w:r>
    </w:p>
    <w:p>
      <w:pPr>
        <w:pStyle w:val="Normal"/>
        <w:rPr/>
      </w:pPr>
      <w:r>
        <w:rPr>
          <w:u w:val="single"/>
        </w:rPr>
        <w:t>Guidelines</w:t>
      </w:r>
      <w:r>
        <w:rPr/>
        <w:t>: A COPNOPS is simply a documented understanding of how NFCC intends to operate from the perspective of cybersecurity. The security CONOPS may be included in the security plan for the system or in other Secure Development Life Cycle-related documents, as appropriate.</w:t>
      </w:r>
    </w:p>
    <w:p>
      <w:pPr>
        <w:pStyle w:val="Normal"/>
        <w:rPr/>
      </w:pPr>
      <w:r>
        <w:rPr/>
      </w:r>
    </w:p>
    <w:p>
      <w:pPr>
        <w:pStyle w:val="Normal"/>
        <w:rPr/>
      </w:pPr>
      <w:r>
        <w:rPr/>
      </w:r>
    </w:p>
    <w:p>
      <w:pPr>
        <w:pStyle w:val="Heading2"/>
        <w:rPr/>
      </w:pPr>
      <w:bookmarkStart w:id="2154" w:name="_Toc34921274"/>
      <w:bookmarkStart w:id="2155" w:name="_Toc474075348"/>
      <w:bookmarkStart w:id="2156" w:name="_Toc474075812"/>
      <w:r>
        <w:rPr/>
        <w:t xml:space="preserve">OPS-03: </w:t>
      </w:r>
      <w:bookmarkEnd w:id="2155"/>
      <w:bookmarkEnd w:id="2156"/>
      <w:r>
        <w:rPr/>
        <w:t>Service Delivery (Business Process Support)</w:t>
      </w:r>
      <w:bookmarkEnd w:id="2154"/>
    </w:p>
    <w:p>
      <w:pPr>
        <w:pStyle w:val="Normal"/>
        <w:rPr/>
      </w:pPr>
      <w:r>
        <w:rPr>
          <w:u w:val="single"/>
        </w:rPr>
        <w:t>Control Objective</w:t>
      </w:r>
      <w:r>
        <w:rPr/>
        <w:t>: The organization establishes supporting business processes and implements appropriate governance and service management to ensure appropriate planning, delivery and support of the organization's technology capabilities supporting business functions, workforce and / or customers based on industry recognized standards.</w:t>
      </w:r>
    </w:p>
    <w:p>
      <w:pPr>
        <w:pStyle w:val="Normal"/>
        <w:rPr/>
      </w:pPr>
      <w:r>
        <w:rPr/>
      </w:r>
    </w:p>
    <w:p>
      <w:pPr>
        <w:pStyle w:val="Normal"/>
        <w:rPr/>
      </w:pPr>
      <w:r>
        <w:rPr>
          <w:u w:val="single"/>
        </w:rPr>
        <w:t>Standard</w:t>
      </w:r>
      <w:r>
        <w:rPr/>
        <w:t>: NFCC’s security program must:</w:t>
      </w:r>
    </w:p>
    <w:p>
      <w:pPr>
        <w:pStyle w:val="ListParagraph"/>
        <w:numPr>
          <w:ilvl w:val="0"/>
          <w:numId w:val="468"/>
        </w:numPr>
        <w:rPr/>
      </w:pPr>
      <w:r>
        <w:rPr/>
        <w:t xml:space="preserve">Maintain a service catalog; </w:t>
      </w:r>
    </w:p>
    <w:p>
      <w:pPr>
        <w:pStyle w:val="ListParagraph"/>
        <w:numPr>
          <w:ilvl w:val="0"/>
          <w:numId w:val="468"/>
        </w:numPr>
        <w:rPr/>
      </w:pPr>
      <w:r>
        <w:rPr/>
        <w:t>Develop Service Level Agreements (SLAs) for items within its service catalog; and</w:t>
      </w:r>
    </w:p>
    <w:p>
      <w:pPr>
        <w:pStyle w:val="ListParagraph"/>
        <w:numPr>
          <w:ilvl w:val="0"/>
          <w:numId w:val="468"/>
        </w:numPr>
        <w:rPr/>
      </w:pPr>
      <w:r>
        <w:rPr/>
        <w:t>Govern metrics associated with service delivery to ensure expectations are met.</w:t>
      </w:r>
    </w:p>
    <w:p>
      <w:pPr>
        <w:pStyle w:val="Normal"/>
        <w:rPr/>
      </w:pPr>
      <w:r>
        <w:rPr/>
      </w:r>
    </w:p>
    <w:p>
      <w:pPr>
        <w:pStyle w:val="Normal"/>
        <w:rPr/>
      </w:pPr>
      <w:r>
        <w:rPr>
          <w:u w:val="single"/>
        </w:rPr>
        <w:t>Guidelines</w:t>
      </w:r>
      <w:r>
        <w:rPr/>
        <w:t>: None</w:t>
      </w:r>
    </w:p>
    <w:p>
      <w:pPr>
        <w:pStyle w:val="Normal"/>
        <w:rPr/>
      </w:pPr>
      <w:r>
        <w:rPr/>
      </w:r>
    </w:p>
    <w:p>
      <w:pPr>
        <w:pStyle w:val="Normal"/>
        <w:tabs>
          <w:tab w:val="clear" w:pos="360"/>
          <w:tab w:val="clear" w:pos="720"/>
          <w:tab w:val="clear" w:pos="1080"/>
        </w:tabs>
        <w:jc w:val="left"/>
        <w:rPr>
          <w:rFonts w:eastAsia="Calibri" w:cs="Calibri"/>
          <w:b/>
          <w:b/>
          <w:bCs w:val="false"/>
          <w:smallCaps/>
          <w:color w:val="C00000"/>
          <w:sz w:val="24"/>
        </w:rPr>
      </w:pPr>
      <w:r>
        <w:rPr>
          <w:rFonts w:eastAsia="Calibri" w:cs="Calibri"/>
          <w:b/>
          <w:bCs w:val="false"/>
          <w:smallCaps/>
          <w:color w:val="C00000"/>
          <w:sz w:val="24"/>
        </w:rPr>
      </w:r>
    </w:p>
    <w:p>
      <w:pPr>
        <w:pStyle w:val="Heading2"/>
        <w:rPr/>
      </w:pPr>
      <w:bookmarkStart w:id="2157" w:name="_Toc34921275"/>
      <w:r>
        <w:rPr/>
        <w:t>OPS-04: Security Operations Center (SOC)</w:t>
      </w:r>
      <w:bookmarkEnd w:id="2157"/>
      <w:r>
        <w:rPr/>
        <w:t xml:space="preserve"> </w:t>
      </w:r>
    </w:p>
    <w:p>
      <w:pPr>
        <w:pStyle w:val="Normal"/>
        <w:rPr/>
      </w:pPr>
      <w:r>
        <w:rPr>
          <w:rFonts w:cs="Calibri"/>
          <w:u w:val="single"/>
        </w:rPr>
        <w:t>Control Objective</w:t>
      </w:r>
      <w:r>
        <w:rPr>
          <w:rFonts w:cs="Calibri"/>
        </w:rPr>
        <w:t xml:space="preserve">: </w:t>
      </w:r>
      <w:r>
        <w:rPr/>
        <w:t>The organization establishes and maintains a Security Operations Center (SOC), or comparable capability, that facilitates a managed 24x7 detection and response capability.</w:t>
      </w:r>
    </w:p>
    <w:p>
      <w:pPr>
        <w:pStyle w:val="Normal"/>
        <w:rPr/>
      </w:pPr>
      <w:r>
        <w:rPr/>
      </w:r>
    </w:p>
    <w:p>
      <w:pPr>
        <w:pStyle w:val="Normal"/>
        <w:rPr/>
      </w:pPr>
      <w:r>
        <w:rPr>
          <w:u w:val="single"/>
        </w:rPr>
        <w:t>Standard</w:t>
      </w:r>
      <w:r>
        <w:rPr/>
        <w:t xml:space="preserve">: NFCC shall: </w:t>
      </w:r>
    </w:p>
    <w:p>
      <w:pPr>
        <w:pStyle w:val="ListParagraph"/>
        <w:numPr>
          <w:ilvl w:val="0"/>
          <w:numId w:val="689"/>
        </w:numPr>
        <w:rPr/>
      </w:pPr>
      <w:r>
        <w:rPr/>
        <w:t>Establish and maintain a Security Operations Center (SOC) capability that facilitates a 24/7 response capability that is:</w:t>
      </w:r>
    </w:p>
    <w:p>
      <w:pPr>
        <w:pStyle w:val="ListParagraph"/>
        <w:numPr>
          <w:ilvl w:val="1"/>
          <w:numId w:val="689"/>
        </w:numPr>
        <w:rPr/>
      </w:pPr>
      <w:r>
        <w:rPr/>
        <w:t>Staffed internally by qualified cybersecurity personnel; or</w:t>
      </w:r>
    </w:p>
    <w:p>
      <w:pPr>
        <w:pStyle w:val="ListParagraph"/>
        <w:numPr>
          <w:ilvl w:val="1"/>
          <w:numId w:val="689"/>
        </w:numPr>
        <w:rPr/>
      </w:pPr>
      <w:r>
        <w:rPr/>
        <w:t>Outsourced to a Managed Security Services Provider (MSSP);</w:t>
      </w:r>
    </w:p>
    <w:p>
      <w:pPr>
        <w:pStyle w:val="ListParagraph"/>
        <w:numPr>
          <w:ilvl w:val="0"/>
          <w:numId w:val="689"/>
        </w:numPr>
        <w:rPr/>
      </w:pPr>
      <w:r>
        <w:rPr/>
        <w:t>Define the mission and expected functions of the SOC, according to NFCC’s security-related service catalog;</w:t>
      </w:r>
    </w:p>
    <w:p>
      <w:pPr>
        <w:pStyle w:val="ListParagraph"/>
        <w:numPr>
          <w:ilvl w:val="0"/>
          <w:numId w:val="689"/>
        </w:numPr>
        <w:rPr/>
      </w:pPr>
      <w:r>
        <w:rPr/>
        <w:t>Develop metrics associated with SOC operations;</w:t>
      </w:r>
    </w:p>
    <w:p>
      <w:pPr>
        <w:pStyle w:val="ListParagraph"/>
        <w:numPr>
          <w:ilvl w:val="0"/>
          <w:numId w:val="689"/>
        </w:numPr>
        <w:rPr/>
      </w:pPr>
      <w:r>
        <w:rPr/>
        <w:t>Ensure the SOC is capable of detecting and responding to potential incidents through:</w:t>
      </w:r>
    </w:p>
    <w:p>
      <w:pPr>
        <w:pStyle w:val="ListParagraph"/>
        <w:numPr>
          <w:ilvl w:val="1"/>
          <w:numId w:val="689"/>
        </w:numPr>
        <w:rPr/>
      </w:pPr>
      <w:r>
        <w:rPr/>
        <w:t>A formalized intake of security-related tickets;</w:t>
      </w:r>
    </w:p>
    <w:p>
      <w:pPr>
        <w:pStyle w:val="ListParagraph"/>
        <w:numPr>
          <w:ilvl w:val="1"/>
          <w:numId w:val="689"/>
        </w:numPr>
        <w:rPr/>
      </w:pPr>
      <w:r>
        <w:rPr/>
        <w:t>Log monitoring; and</w:t>
      </w:r>
    </w:p>
    <w:p>
      <w:pPr>
        <w:pStyle w:val="ListParagraph"/>
        <w:numPr>
          <w:ilvl w:val="1"/>
          <w:numId w:val="689"/>
        </w:numPr>
        <w:rPr/>
      </w:pPr>
      <w:r>
        <w:rPr/>
        <w:t xml:space="preserve">Analyzing threat intelligence feeds; </w:t>
      </w:r>
    </w:p>
    <w:p>
      <w:pPr>
        <w:pStyle w:val="ListParagraph"/>
        <w:numPr>
          <w:ilvl w:val="0"/>
          <w:numId w:val="689"/>
        </w:numPr>
        <w:rPr/>
      </w:pPr>
      <w:r>
        <w:rPr/>
        <w:t>Respond to cybersecurity and privacy incidents according to documented procedures;</w:t>
      </w:r>
    </w:p>
    <w:p>
      <w:pPr>
        <w:pStyle w:val="ListParagraph"/>
        <w:numPr>
          <w:ilvl w:val="0"/>
          <w:numId w:val="689"/>
        </w:numPr>
        <w:rPr/>
      </w:pPr>
      <w:r>
        <w:rPr/>
        <w:t>Maintain a documented "knowledge management" repository to assist in SOC operations; and</w:t>
      </w:r>
    </w:p>
    <w:p>
      <w:pPr>
        <w:pStyle w:val="ListParagraph"/>
        <w:numPr>
          <w:ilvl w:val="0"/>
          <w:numId w:val="689"/>
        </w:numPr>
        <w:rPr/>
      </w:pPr>
      <w:r>
        <w:rPr/>
        <w:t>Assign appropriate roles and responsibilities to SOC personnel so they can properly assist Integrated Security Incident Response Team (ISIRT) personnel in incident response operations.</w:t>
      </w:r>
      <w:bookmarkStart w:id="2158" w:name="_Hlk31643337"/>
      <w:bookmarkEnd w:id="2158"/>
    </w:p>
    <w:p>
      <w:pPr>
        <w:pStyle w:val="ListParagraph"/>
        <w:rPr/>
      </w:pPr>
      <w:r>
        <w:rPr/>
      </w:r>
    </w:p>
    <w:p>
      <w:pPr>
        <w:pStyle w:val="Normal"/>
        <w:rPr/>
      </w:pPr>
      <w:r>
        <w:rPr>
          <w:u w:val="single"/>
        </w:rPr>
        <w:t>Guidelines</w:t>
      </w:r>
      <w:r>
        <w:rPr/>
        <w:t>: None</w:t>
      </w:r>
    </w:p>
    <w:p>
      <w:pPr>
        <w:pStyle w:val="Normal"/>
        <w:rPr/>
      </w:pPr>
      <w:r>
        <w:rPr/>
      </w:r>
    </w:p>
    <w:p>
      <w:pPr>
        <w:pStyle w:val="Normal"/>
        <w:rPr/>
      </w:pPr>
      <w:r>
        <w:rPr/>
      </w:r>
    </w:p>
    <w:p>
      <w:pPr>
        <w:pStyle w:val="Heading1"/>
        <w:rPr/>
      </w:pPr>
      <w:bookmarkStart w:id="2159" w:name="_Toc34921276"/>
      <w:bookmarkStart w:id="2160" w:name="_Toc474075349"/>
      <w:bookmarkStart w:id="2161" w:name="_Toc474075813"/>
      <w:r>
        <w:rPr/>
        <w:t>Security Awareness &amp; Training (SAT)</w:t>
      </w:r>
      <w:bookmarkEnd w:id="2160"/>
      <w:bookmarkEnd w:id="2161"/>
      <w:r>
        <w:rPr/>
        <w:t xml:space="preserve"> Policy &amp; Standards</w:t>
      </w:r>
      <w:bookmarkEnd w:id="2159"/>
    </w:p>
    <w:p>
      <w:pPr>
        <w:pStyle w:val="Normal"/>
        <w:rPr/>
      </w:pPr>
      <w:r>
        <w:rPr/>
      </w:r>
    </w:p>
    <w:p>
      <w:pPr>
        <w:pStyle w:val="Normal"/>
        <w:rPr/>
      </w:pPr>
      <w:r>
        <w:rPr>
          <w:u w:val="single"/>
        </w:rPr>
        <w:t>Management Intent</w:t>
      </w:r>
      <w:r>
        <w:rPr/>
        <w:t>: The purpose of the Security Awareness &amp; Training (SAT) policy is to develop a security and privacy-minded workforce.</w:t>
      </w:r>
    </w:p>
    <w:p>
      <w:pPr>
        <w:pStyle w:val="Normal"/>
        <w:rPr/>
      </w:pPr>
      <w:r>
        <w:rPr/>
      </w:r>
    </w:p>
    <w:p>
      <w:pPr>
        <w:pStyle w:val="Normal"/>
        <w:shd w:val="clear" w:color="auto" w:fill="DDD9C3" w:themeFill="background2" w:themeFillShade="e6"/>
        <w:rPr/>
      </w:pPr>
      <w:r>
        <w:rPr>
          <w:u w:val="single"/>
        </w:rPr>
        <w:t>Policy</w:t>
      </w:r>
      <w:r>
        <w:rPr/>
        <w:t xml:space="preserve">: </w:t>
      </w:r>
      <w:r>
        <w:rPr>
          <w:rFonts w:cs="Calibri"/>
        </w:rPr>
        <w:t xml:space="preserve">NFCC shall ensure that users are made aware of the security and privacy risks associated with their roles and that users understand the applicable </w:t>
      </w:r>
      <w:r>
        <w:rPr>
          <w:rStyle w:val="BodyTextChar"/>
          <w:rFonts w:eastAsia="Calibri"/>
          <w:sz w:val="20"/>
          <w:szCs w:val="20"/>
        </w:rPr>
        <w:t xml:space="preserve">statutory, regulatory and contractual compliance requirements </w:t>
      </w:r>
      <w:r>
        <w:rPr>
          <w:rFonts w:cs="Calibri"/>
        </w:rPr>
        <w:t>related to the security and privacy of systems and data within their sphere of influence.</w:t>
      </w:r>
    </w:p>
    <w:p>
      <w:pPr>
        <w:pStyle w:val="Normal"/>
        <w:rPr>
          <w:u w:val="single"/>
        </w:rPr>
      </w:pPr>
      <w:r>
        <w:rPr>
          <w:u w:val="single"/>
        </w:rPr>
      </w:r>
    </w:p>
    <w:p>
      <w:pPr>
        <w:pStyle w:val="Normal"/>
        <w:rPr/>
      </w:pPr>
      <w:r>
        <w:rPr>
          <w:u w:val="single"/>
        </w:rPr>
        <w:t>Supporting Documentation</w:t>
      </w:r>
      <w:r>
        <w:rPr/>
        <w:t xml:space="preserve">: This policy is supported by the following control objectives, standards and guidelines. </w:t>
      </w:r>
    </w:p>
    <w:p>
      <w:pPr>
        <w:pStyle w:val="Normal"/>
        <w:rPr/>
      </w:pPr>
      <w:r>
        <w:rPr/>
      </w:r>
    </w:p>
    <w:p>
      <w:pPr>
        <w:pStyle w:val="Normal"/>
        <w:rPr/>
      </w:pPr>
      <w:r>
        <w:rPr/>
      </w:r>
    </w:p>
    <w:p>
      <w:pPr>
        <w:pStyle w:val="Heading2"/>
        <w:rPr/>
      </w:pPr>
      <w:bookmarkStart w:id="2162" w:name="_Toc474075350"/>
      <w:bookmarkStart w:id="2163" w:name="_Toc474075814"/>
      <w:bookmarkStart w:id="2164" w:name="_Toc34921277"/>
      <w:r>
        <w:rPr/>
        <w:t>SAT-01: Security &amp; Privacy-Minded Workforce</w:t>
      </w:r>
      <w:bookmarkEnd w:id="2162"/>
      <w:bookmarkEnd w:id="2163"/>
      <w:bookmarkEnd w:id="2164"/>
      <w:r>
        <w:rPr/>
        <w:t xml:space="preserve"> </w:t>
      </w:r>
    </w:p>
    <w:p>
      <w:pPr>
        <w:pStyle w:val="Normal"/>
        <w:rPr/>
      </w:pPr>
      <w:r>
        <w:rPr>
          <w:u w:val="single"/>
        </w:rPr>
        <w:t>Control Objective</w:t>
      </w:r>
      <w:r>
        <w:rPr/>
        <w:t>: The organization develops, implements and governs processes and documentation to facilitate the implementation of an enterprise-wide security and privacy awareness and training policy, as well as associated standards, controls and procedures.</w:t>
      </w:r>
      <w:r>
        <w:rPr>
          <w:rStyle w:val="FootnoteAnchor"/>
          <w:rStyle w:val="FootnoteAnchor"/>
          <w:rFonts w:cs="Calibri"/>
        </w:rPr>
        <w:footnoteReference w:id="592"/>
      </w:r>
      <w:r>
        <w:rPr/>
        <w:t xml:space="preserve"> </w:t>
      </w:r>
    </w:p>
    <w:p>
      <w:pPr>
        <w:pStyle w:val="Normal"/>
        <w:rPr/>
      </w:pPr>
      <w:r>
        <w:rPr/>
      </w:r>
    </w:p>
    <w:p>
      <w:pPr>
        <w:pStyle w:val="Normal"/>
        <w:rPr/>
      </w:pPr>
      <w:r>
        <w:rPr>
          <w:u w:val="single"/>
        </w:rPr>
        <w:t>Standard</w:t>
      </w:r>
      <w:r>
        <w:rPr/>
        <w:t>: The Chief Information Security Officer (CISO) and his / her designated representatives are responsible for developing and implementing a cybersecurity and privacy workforce development and improvement program. This includes but is not limited to:</w:t>
      </w:r>
    </w:p>
    <w:p>
      <w:pPr>
        <w:pStyle w:val="ListParagraph"/>
        <w:numPr>
          <w:ilvl w:val="0"/>
          <w:numId w:val="469"/>
        </w:numPr>
        <w:rPr/>
      </w:pPr>
      <w:r>
        <w:rPr/>
        <w:t>A security awareness training regimen shall be established for all contractors, third-party users and employees; and</w:t>
      </w:r>
    </w:p>
    <w:p>
      <w:pPr>
        <w:pStyle w:val="ListParagraph"/>
        <w:numPr>
          <w:ilvl w:val="0"/>
          <w:numId w:val="469"/>
        </w:numPr>
        <w:rPr/>
      </w:pPr>
      <w:r>
        <w:rPr/>
        <w:t>All individuals with access to NFCC data shall receive appropriate awareness training and regular updates in procedures, processes and policies relating to their professional function relative to NFCC.</w:t>
      </w:r>
    </w:p>
    <w:p>
      <w:pPr>
        <w:pStyle w:val="Normal"/>
        <w:rPr/>
      </w:pPr>
      <w:r>
        <w:rPr/>
      </w:r>
    </w:p>
    <w:p>
      <w:pPr>
        <w:pStyle w:val="Normal"/>
        <w:rPr/>
      </w:pPr>
      <w:r>
        <w:rPr>
          <w:u w:val="single"/>
        </w:rPr>
        <w:t>Guidelines</w:t>
      </w:r>
      <w:r>
        <w:rPr/>
        <w:t xml:space="preserve">: Information security workforce development and improvement programs are complementary to organizational security awareness and training programs. Information security workforce development and improvement programs focus on developing and institutionalizing core cybersecurity capabilities of selected personnel needed to protect organizational operations, assets and individuals. </w:t>
      </w:r>
    </w:p>
    <w:p>
      <w:pPr>
        <w:pStyle w:val="Normal"/>
        <w:rPr/>
      </w:pPr>
      <w:r>
        <w:rPr/>
      </w:r>
    </w:p>
    <w:p>
      <w:pPr>
        <w:pStyle w:val="Normal"/>
        <w:rPr/>
      </w:pPr>
      <w:r>
        <w:rPr/>
        <w:t xml:space="preserve">Information security workforce development and improvement programs include, for example: </w:t>
      </w:r>
    </w:p>
    <w:p>
      <w:pPr>
        <w:pStyle w:val="ListParagraph"/>
        <w:numPr>
          <w:ilvl w:val="0"/>
          <w:numId w:val="135"/>
        </w:numPr>
        <w:rPr/>
      </w:pPr>
      <w:r>
        <w:rPr/>
        <w:t xml:space="preserve">Defining the knowledge and skill levels needed to perform cybersecurity duties and tasks; </w:t>
      </w:r>
    </w:p>
    <w:p>
      <w:pPr>
        <w:pStyle w:val="ListParagraph"/>
        <w:numPr>
          <w:ilvl w:val="0"/>
          <w:numId w:val="135"/>
        </w:numPr>
        <w:rPr/>
      </w:pPr>
      <w:r>
        <w:rPr/>
        <w:t xml:space="preserve">Developing role-based training programs for individuals assigned cybersecurity roles and responsibilities; and </w:t>
      </w:r>
    </w:p>
    <w:p>
      <w:pPr>
        <w:pStyle w:val="ListParagraph"/>
        <w:numPr>
          <w:ilvl w:val="0"/>
          <w:numId w:val="135"/>
        </w:numPr>
        <w:rPr/>
      </w:pPr>
      <w:r>
        <w:rPr/>
        <w:t xml:space="preserve">Providing standards for measuring and building individual qualifications for incumbents and applicants for cybersecurity-related positions. </w:t>
      </w:r>
    </w:p>
    <w:p>
      <w:pPr>
        <w:pStyle w:val="Normal"/>
        <w:rPr/>
      </w:pPr>
      <w:r>
        <w:rPr/>
      </w:r>
    </w:p>
    <w:p>
      <w:pPr>
        <w:pStyle w:val="Normal"/>
        <w:rPr/>
      </w:pPr>
      <w:r>
        <w:rPr/>
        <w:t>Initial orientation and ongoing security training should include the following topics:</w:t>
      </w:r>
    </w:p>
    <w:p>
      <w:pPr>
        <w:pStyle w:val="ListParagraph"/>
        <w:numPr>
          <w:ilvl w:val="0"/>
          <w:numId w:val="19"/>
        </w:numPr>
        <w:rPr/>
      </w:pPr>
      <w:r>
        <w:rPr/>
        <w:t>Information security basics</w:t>
      </w:r>
    </w:p>
    <w:p>
      <w:pPr>
        <w:pStyle w:val="ListParagraph"/>
        <w:numPr>
          <w:ilvl w:val="0"/>
          <w:numId w:val="19"/>
        </w:numPr>
        <w:rPr/>
      </w:pPr>
      <w:r>
        <w:rPr/>
        <w:t>Company cybersecurity policies</w:t>
      </w:r>
    </w:p>
    <w:p>
      <w:pPr>
        <w:pStyle w:val="ListParagraph"/>
        <w:numPr>
          <w:ilvl w:val="0"/>
          <w:numId w:val="19"/>
        </w:numPr>
        <w:rPr/>
      </w:pPr>
      <w:r>
        <w:rPr/>
        <w:t>Email policy</w:t>
      </w:r>
    </w:p>
    <w:p>
      <w:pPr>
        <w:pStyle w:val="ListParagraph"/>
        <w:numPr>
          <w:ilvl w:val="0"/>
          <w:numId w:val="19"/>
        </w:numPr>
        <w:rPr/>
      </w:pPr>
      <w:r>
        <w:rPr/>
        <w:t>Acceptable usage policy</w:t>
      </w:r>
    </w:p>
    <w:p>
      <w:pPr>
        <w:pStyle w:val="ListParagraph"/>
        <w:numPr>
          <w:ilvl w:val="0"/>
          <w:numId w:val="19"/>
        </w:numPr>
        <w:rPr/>
      </w:pPr>
      <w:r>
        <w:rPr/>
        <w:t>Data classification &amp; handling</w:t>
      </w:r>
    </w:p>
    <w:p>
      <w:pPr>
        <w:pStyle w:val="ListParagraph"/>
        <w:numPr>
          <w:ilvl w:val="0"/>
          <w:numId w:val="19"/>
        </w:numPr>
        <w:rPr/>
      </w:pPr>
      <w:r>
        <w:rPr/>
        <w:t>Malicious software &amp; spam</w:t>
      </w:r>
    </w:p>
    <w:p>
      <w:pPr>
        <w:pStyle w:val="ListParagraph"/>
        <w:numPr>
          <w:ilvl w:val="0"/>
          <w:numId w:val="19"/>
        </w:numPr>
        <w:rPr/>
      </w:pPr>
      <w:r>
        <w:rPr/>
        <w:t>Offsite security / security at home</w:t>
      </w:r>
    </w:p>
    <w:p>
      <w:pPr>
        <w:pStyle w:val="ListParagraph"/>
        <w:numPr>
          <w:ilvl w:val="0"/>
          <w:numId w:val="19"/>
        </w:numPr>
        <w:rPr/>
      </w:pPr>
      <w:r>
        <w:rPr/>
        <w:t>Wireless security</w:t>
      </w:r>
    </w:p>
    <w:p>
      <w:pPr>
        <w:pStyle w:val="ListParagraph"/>
        <w:numPr>
          <w:ilvl w:val="0"/>
          <w:numId w:val="19"/>
        </w:numPr>
        <w:rPr/>
      </w:pPr>
      <w:r>
        <w:rPr/>
        <w:t>Third-Party security (outsourced vendors)</w:t>
      </w:r>
    </w:p>
    <w:p>
      <w:pPr>
        <w:pStyle w:val="ListParagraph"/>
        <w:numPr>
          <w:ilvl w:val="0"/>
          <w:numId w:val="19"/>
        </w:numPr>
        <w:rPr/>
      </w:pPr>
      <w:r>
        <w:rPr/>
        <w:t>Visitor security procedures</w:t>
      </w:r>
    </w:p>
    <w:p>
      <w:pPr>
        <w:pStyle w:val="ListParagraph"/>
        <w:numPr>
          <w:ilvl w:val="0"/>
          <w:numId w:val="19"/>
        </w:numPr>
        <w:rPr/>
      </w:pPr>
      <w:r>
        <w:rPr/>
        <w:t>Incident response procedures</w:t>
      </w:r>
    </w:p>
    <w:p>
      <w:pPr>
        <w:pStyle w:val="ListParagraph"/>
        <w:numPr>
          <w:ilvl w:val="0"/>
          <w:numId w:val="19"/>
        </w:numPr>
        <w:rPr/>
      </w:pPr>
      <w:r>
        <w:rPr/>
        <w:t>Business continuity roles and procedures</w:t>
      </w:r>
    </w:p>
    <w:p>
      <w:pPr>
        <w:pStyle w:val="Normal"/>
        <w:rPr/>
      </w:pPr>
      <w:r>
        <w:rPr/>
      </w:r>
    </w:p>
    <w:p>
      <w:pPr>
        <w:pStyle w:val="Normal"/>
        <w:rPr/>
      </w:pPr>
      <w:r>
        <w:rPr/>
      </w:r>
    </w:p>
    <w:p>
      <w:pPr>
        <w:pStyle w:val="Normal"/>
        <w:tabs>
          <w:tab w:val="clear" w:pos="360"/>
          <w:tab w:val="clear" w:pos="720"/>
          <w:tab w:val="clear" w:pos="1080"/>
        </w:tabs>
        <w:jc w:val="left"/>
        <w:rPr/>
      </w:pPr>
      <w:r>
        <w:rPr/>
      </w:r>
    </w:p>
    <w:p>
      <w:pPr>
        <w:pStyle w:val="Normal"/>
        <w:tabs>
          <w:tab w:val="clear" w:pos="360"/>
          <w:tab w:val="clear" w:pos="720"/>
          <w:tab w:val="clear" w:pos="1080"/>
        </w:tabs>
        <w:jc w:val="left"/>
        <w:rPr>
          <w:rFonts w:eastAsia="Calibri" w:cs="Calibri"/>
          <w:b/>
          <w:b/>
          <w:bCs w:val="false"/>
          <w:smallCaps/>
          <w:color w:val="C00000"/>
          <w:sz w:val="24"/>
        </w:rPr>
      </w:pPr>
      <w:r>
        <w:rPr>
          <w:rFonts w:eastAsia="Calibri" w:cs="Calibri"/>
          <w:b/>
          <w:bCs w:val="false"/>
          <w:smallCaps/>
          <w:color w:val="C00000"/>
          <w:sz w:val="24"/>
        </w:rPr>
      </w:r>
    </w:p>
    <w:p>
      <w:pPr>
        <w:pStyle w:val="Heading2"/>
        <w:rPr/>
      </w:pPr>
      <w:bookmarkStart w:id="2165" w:name="_Toc34921278"/>
      <w:bookmarkStart w:id="2166" w:name="_Toc474075351"/>
      <w:bookmarkStart w:id="2167" w:name="_Toc474075815"/>
      <w:r>
        <w:rPr/>
        <w:t xml:space="preserve">SAT-02: </w:t>
      </w:r>
      <w:bookmarkEnd w:id="2166"/>
      <w:bookmarkEnd w:id="2167"/>
      <w:r>
        <w:rPr/>
        <w:t>Security &amp; Privacy Awareness</w:t>
      </w:r>
      <w:bookmarkEnd w:id="2165"/>
    </w:p>
    <w:p>
      <w:pPr>
        <w:pStyle w:val="Normal"/>
        <w:rPr/>
      </w:pPr>
      <w:r>
        <w:rPr>
          <w:u w:val="single"/>
        </w:rPr>
        <w:t>Control Objective</w:t>
      </w:r>
      <w:r>
        <w:rPr/>
        <w:t>: All employees of the organization and, where relevant, contractors receive appropriate security and privacy awareness education and training and regular updates in organizational policies and procedures, as relevant for their job function.</w:t>
      </w:r>
      <w:r>
        <w:rPr>
          <w:rStyle w:val="FootnoteCharacters"/>
          <w:rFonts w:cs="Calibri"/>
        </w:rPr>
        <w:t xml:space="preserve"> </w:t>
      </w:r>
      <w:r>
        <w:rPr>
          <w:rStyle w:val="FootnoteAnchor"/>
          <w:rStyle w:val="FootnoteAnchor"/>
          <w:rFonts w:cs="Calibri"/>
        </w:rPr>
        <w:footnoteReference w:id="593"/>
      </w:r>
      <w:r>
        <w:rPr/>
        <w:t xml:space="preserve"> </w:t>
      </w:r>
    </w:p>
    <w:p>
      <w:pPr>
        <w:pStyle w:val="Normal"/>
        <w:rPr/>
      </w:pPr>
      <w:r>
        <w:rPr/>
      </w:r>
    </w:p>
    <w:p>
      <w:pPr>
        <w:pStyle w:val="Normal"/>
        <w:rPr/>
      </w:pPr>
      <w:r>
        <w:rPr>
          <w:u w:val="single"/>
        </w:rPr>
        <w:t>Standard</w:t>
      </w:r>
      <w:r>
        <w:rPr/>
        <w:t xml:space="preserve">: NFCC’s security personnel are responsible for developing and implementing a formal security awareness program to make all NFCC users aware of the importance of cybersecurity. </w:t>
      </w:r>
    </w:p>
    <w:p>
      <w:pPr>
        <w:pStyle w:val="Normal"/>
        <w:rPr/>
      </w:pPr>
      <w:r>
        <w:rPr/>
      </w:r>
    </w:p>
    <w:p>
      <w:pPr>
        <w:pStyle w:val="Normal"/>
        <w:rPr>
          <w:u w:val="single"/>
        </w:rPr>
      </w:pPr>
      <w:r>
        <w:rPr>
          <w:u w:val="single"/>
        </w:rPr>
        <w:t>Guidelines</w:t>
      </w:r>
      <w:r>
        <w:rPr/>
        <w:t xml:space="preserve">: Organizations generally determine the appropriate content of security awareness training and security awareness techniques based on the specific organizational requirements and the systems to which personnel have authorized access. The content includes a basic understanding of the need for cybersecurity and user actions to maintain security and to respond to suspected security incidents. </w:t>
      </w:r>
    </w:p>
    <w:p>
      <w:pPr>
        <w:pStyle w:val="Normal"/>
        <w:rPr/>
      </w:pPr>
      <w:r>
        <w:rPr/>
      </w:r>
    </w:p>
    <w:p>
      <w:pPr>
        <w:pStyle w:val="Heading3"/>
        <w:rPr/>
      </w:pPr>
      <w:bookmarkStart w:id="2168" w:name="_Toc474075352"/>
      <w:bookmarkStart w:id="2169" w:name="_Toc34921279"/>
      <w:bookmarkStart w:id="2170" w:name="_Toc398527149"/>
      <w:bookmarkEnd w:id="2170"/>
      <w:r>
        <w:rPr/>
        <w:t>SAT-02(a): Security Awareness | Practical Exercises</w:t>
      </w:r>
      <w:bookmarkEnd w:id="2168"/>
      <w:bookmarkEnd w:id="2169"/>
      <w:r>
        <w:rPr/>
        <w:t xml:space="preserve"> </w:t>
      </w:r>
    </w:p>
    <w:p>
      <w:pPr>
        <w:pStyle w:val="Normal"/>
        <w:rPr/>
      </w:pPr>
      <w:r>
        <w:rPr>
          <w:u w:val="single"/>
        </w:rPr>
        <w:t>Control Objective</w:t>
      </w:r>
      <w:r>
        <w:rPr/>
        <w:t>: The organization includes practical exercises in security awareness training that simulate actual cyber-attacks.</w:t>
      </w:r>
    </w:p>
    <w:p>
      <w:pPr>
        <w:pStyle w:val="Normal"/>
        <w:rPr/>
      </w:pPr>
      <w:r>
        <w:rPr/>
      </w:r>
    </w:p>
    <w:p>
      <w:pPr>
        <w:pStyle w:val="Normal"/>
        <w:rPr/>
      </w:pPr>
      <w:r>
        <w:rPr>
          <w:u w:val="single"/>
        </w:rPr>
        <w:t>Standard</w:t>
      </w:r>
      <w:r>
        <w:rPr/>
        <w:t>: NFCC’s cybersecurity personnel are responsible for:</w:t>
      </w:r>
    </w:p>
    <w:p>
      <w:pPr>
        <w:pStyle w:val="ListParagraph"/>
        <w:numPr>
          <w:ilvl w:val="0"/>
          <w:numId w:val="217"/>
        </w:numPr>
        <w:rPr/>
      </w:pPr>
      <w:r>
        <w:rPr/>
        <w:t>Developing and implementing practical exercises in security awareness training that simulate actual cyber-attacks;</w:t>
      </w:r>
    </w:p>
    <w:p>
      <w:pPr>
        <w:pStyle w:val="ListParagraph"/>
        <w:numPr>
          <w:ilvl w:val="0"/>
          <w:numId w:val="217"/>
        </w:numPr>
        <w:rPr/>
      </w:pPr>
      <w:r>
        <w:rPr/>
        <w:t xml:space="preserve">Validating and improving awareness levels through periodic tests to see whether employees will click on a link from a suspicious e-mail or provide sensitive information on the telephone without following appropriate procedures for authenticating a caller; and </w:t>
      </w:r>
    </w:p>
    <w:p>
      <w:pPr>
        <w:pStyle w:val="ListParagraph"/>
        <w:numPr>
          <w:ilvl w:val="0"/>
          <w:numId w:val="217"/>
        </w:numPr>
        <w:rPr/>
      </w:pPr>
      <w:r>
        <w:rPr/>
        <w:t>Using security skills assessments for each of the mission-critical roles to identify skills gaps.</w:t>
      </w:r>
    </w:p>
    <w:p>
      <w:pPr>
        <w:pStyle w:val="Normal"/>
        <w:rPr/>
      </w:pPr>
      <w:r>
        <w:rPr/>
      </w:r>
    </w:p>
    <w:p>
      <w:pPr>
        <w:pStyle w:val="Normal"/>
        <w:rPr/>
      </w:pPr>
      <w:r>
        <w:rPr>
          <w:u w:val="single"/>
        </w:rPr>
        <w:t>Guidelines</w:t>
      </w:r>
      <w:r>
        <w:rPr/>
        <w:t>: Practical exercises may include, for example, no-notice social engineering attempts to collect information, gain unauthorized access or simulate the adverse impact of opening malicious email attachments or invoking malicious web links.</w:t>
      </w:r>
    </w:p>
    <w:p>
      <w:pPr>
        <w:pStyle w:val="Normal"/>
        <w:rPr/>
      </w:pPr>
      <w:r>
        <w:rPr/>
      </w:r>
    </w:p>
    <w:p>
      <w:pPr>
        <w:pStyle w:val="Heading3"/>
        <w:rPr/>
      </w:pPr>
      <w:bookmarkStart w:id="2171" w:name="_Toc34921280"/>
      <w:bookmarkStart w:id="2172" w:name="_Toc474075353"/>
      <w:r>
        <w:rPr/>
        <w:t xml:space="preserve">SAT-02(b): Security Awareness | </w:t>
      </w:r>
      <w:bookmarkEnd w:id="2172"/>
      <w:r>
        <w:rPr/>
        <w:t>Social Engineering &amp; Mining</w:t>
      </w:r>
      <w:bookmarkEnd w:id="2171"/>
    </w:p>
    <w:p>
      <w:pPr>
        <w:pStyle w:val="Normal"/>
        <w:rPr/>
      </w:pPr>
      <w:r>
        <w:rPr>
          <w:u w:val="single"/>
        </w:rPr>
        <w:t>Control Objective</w:t>
      </w:r>
      <w:r>
        <w:rPr/>
        <w:t>: The organization includes awareness training on recognizing and reporting potential and actual instances of social engineering and social mining.</w:t>
      </w:r>
    </w:p>
    <w:p>
      <w:pPr>
        <w:pStyle w:val="Normal"/>
        <w:rPr/>
      </w:pPr>
      <w:r>
        <w:rPr/>
      </w:r>
    </w:p>
    <w:p>
      <w:pPr>
        <w:pStyle w:val="Normal"/>
        <w:rPr/>
      </w:pPr>
      <w:r>
        <w:rPr>
          <w:u w:val="single"/>
        </w:rPr>
        <w:t>Standard</w:t>
      </w:r>
      <w:r>
        <w:rPr/>
        <w:t>: NFCC’s cybersecurity personnel are required to implement security awareness training that includes awareness training on recognizing and reporting potential and actual instances of social engineering and social mining.</w:t>
      </w:r>
    </w:p>
    <w:p>
      <w:pPr>
        <w:pStyle w:val="Normal"/>
        <w:rPr/>
      </w:pPr>
      <w:r>
        <w:rPr/>
      </w:r>
    </w:p>
    <w:p>
      <w:pPr>
        <w:pStyle w:val="Normal"/>
        <w:rPr/>
      </w:pPr>
      <w:r>
        <w:rPr>
          <w:u w:val="single"/>
        </w:rPr>
        <w:t>Guidelines</w:t>
      </w:r>
      <w:r>
        <w:rPr/>
        <w:t>: Social engineering is an attempt to trick someone into revealing information or taking an action that can be used to attack or compromise systems. Examples of social engineering include phishing, pretexting, baiting, quid pro quo and tailgating. Social mining is an attempt, in a social setting, to gather information about the organization that may support future attacks. Security and privacy awareness training includes information on how to communicate concerns of employees and management regarding potential and actual instances of social engineering and mining through organizational channels based on established policies and procedures.</w:t>
      </w:r>
    </w:p>
    <w:p>
      <w:pPr>
        <w:pStyle w:val="Normal"/>
        <w:rPr/>
      </w:pPr>
      <w:r>
        <w:rPr/>
      </w:r>
    </w:p>
    <w:p>
      <w:pPr>
        <w:pStyle w:val="Normal"/>
        <w:tabs>
          <w:tab w:val="clear" w:pos="360"/>
          <w:tab w:val="clear" w:pos="720"/>
          <w:tab w:val="clear" w:pos="1080"/>
        </w:tabs>
        <w:jc w:val="left"/>
        <w:rPr/>
      </w:pPr>
      <w:r>
        <w:rPr/>
      </w:r>
    </w:p>
    <w:p>
      <w:pPr>
        <w:pStyle w:val="Heading2"/>
        <w:rPr/>
      </w:pPr>
      <w:bookmarkStart w:id="2173" w:name="_Toc34921281"/>
      <w:bookmarkStart w:id="2174" w:name="_Toc474075354"/>
      <w:bookmarkStart w:id="2175" w:name="_Toc474075816"/>
      <w:r>
        <w:rPr/>
        <w:t>SAT-03: Security &amp; Privacy Training</w:t>
      </w:r>
      <w:bookmarkEnd w:id="2173"/>
      <w:bookmarkEnd w:id="2174"/>
      <w:bookmarkEnd w:id="2175"/>
      <w:r>
        <w:rPr/>
        <w:t xml:space="preserve"> </w:t>
      </w:r>
    </w:p>
    <w:p>
      <w:pPr>
        <w:pStyle w:val="Normal"/>
        <w:rPr/>
      </w:pPr>
      <w:r>
        <w:rPr>
          <w:u w:val="single"/>
        </w:rPr>
        <w:t>Control Objective</w:t>
      </w:r>
      <w:r>
        <w:rPr/>
        <w:t>: The organization provides role-based security and privacy-related training:</w:t>
      </w:r>
      <w:r>
        <w:rPr>
          <w:rStyle w:val="FootnoteAnchor"/>
          <w:rStyle w:val="FootnoteAnchor"/>
          <w:rFonts w:cs="Calibri"/>
        </w:rPr>
        <w:footnoteReference w:id="594"/>
      </w:r>
      <w:r>
        <w:rPr/>
        <w:t xml:space="preserve"> </w:t>
      </w:r>
    </w:p>
    <w:p>
      <w:pPr>
        <w:pStyle w:val="ListParagraph"/>
        <w:numPr>
          <w:ilvl w:val="0"/>
          <w:numId w:val="18"/>
        </w:numPr>
        <w:rPr/>
      </w:pPr>
      <w:r>
        <w:rPr/>
        <w:t xml:space="preserve">Before authorizing access to the system or performing assigned duties; </w:t>
      </w:r>
    </w:p>
    <w:p>
      <w:pPr>
        <w:pStyle w:val="ListParagraph"/>
        <w:numPr>
          <w:ilvl w:val="0"/>
          <w:numId w:val="18"/>
        </w:numPr>
        <w:rPr/>
      </w:pPr>
      <w:r>
        <w:rPr/>
        <w:t xml:space="preserve">When required by system changes; and </w:t>
      </w:r>
    </w:p>
    <w:p>
      <w:pPr>
        <w:pStyle w:val="ListParagraph"/>
        <w:numPr>
          <w:ilvl w:val="0"/>
          <w:numId w:val="18"/>
        </w:numPr>
        <w:rPr/>
      </w:pPr>
      <w:r>
        <w:rPr/>
        <w:t>Annually thereafter.</w:t>
      </w:r>
    </w:p>
    <w:p>
      <w:pPr>
        <w:pStyle w:val="Normal"/>
        <w:rPr/>
      </w:pPr>
      <w:r>
        <w:rPr/>
      </w:r>
    </w:p>
    <w:p>
      <w:pPr>
        <w:pStyle w:val="Normal"/>
        <w:rPr/>
      </w:pPr>
      <w:r>
        <w:rPr>
          <w:u w:val="single"/>
        </w:rPr>
        <w:t>Standard</w:t>
      </w:r>
      <w:r>
        <w:rPr/>
        <w:t>: At a minimum, security training shall consist of:</w:t>
      </w:r>
    </w:p>
    <w:p>
      <w:pPr>
        <w:pStyle w:val="ListParagraph"/>
        <w:numPr>
          <w:ilvl w:val="0"/>
          <w:numId w:val="470"/>
        </w:numPr>
        <w:rPr/>
      </w:pPr>
      <w:r>
        <w:rPr/>
        <w:t>All users must sign an acknowledgment form stating they have read and understood NFCC’s requirements regarding cybersecurity policies, standards, procedures and guidelines prior to having access to NFCC systems or data;</w:t>
      </w:r>
    </w:p>
    <w:p>
      <w:pPr>
        <w:pStyle w:val="ListParagraph"/>
        <w:numPr>
          <w:ilvl w:val="0"/>
          <w:numId w:val="470"/>
        </w:numPr>
        <w:rPr/>
      </w:pPr>
      <w:r>
        <w:rPr/>
        <w:t>All new users must attend a security awareness training class within thirty (30) days of, being granted access to any system;</w:t>
      </w:r>
    </w:p>
    <w:p>
      <w:pPr>
        <w:pStyle w:val="ListParagraph"/>
        <w:numPr>
          <w:ilvl w:val="0"/>
          <w:numId w:val="470"/>
        </w:numPr>
        <w:rPr/>
      </w:pPr>
      <w:r>
        <w:rPr/>
        <w:t>All users shall undergo at least one (1) hour of security awareness training annually;</w:t>
      </w:r>
    </w:p>
    <w:p>
      <w:pPr>
        <w:pStyle w:val="ListParagraph"/>
        <w:numPr>
          <w:ilvl w:val="0"/>
          <w:numId w:val="470"/>
        </w:numPr>
        <w:rPr/>
      </w:pPr>
      <w:r>
        <w:rPr/>
        <w:t>All users must be provided with sufficient training and supporting reference materials to allow them to properly protect NFCC’s systems and data; and</w:t>
      </w:r>
    </w:p>
    <w:p>
      <w:pPr>
        <w:pStyle w:val="ListParagraph"/>
        <w:numPr>
          <w:ilvl w:val="0"/>
          <w:numId w:val="470"/>
        </w:numPr>
        <w:rPr/>
      </w:pPr>
      <w:r>
        <w:rPr/>
        <w:t>NFCC’s management must develop and maintain a communications process to be able to communicate new Information Security program information, such as an informational security bulletin or email about security items of interest.</w:t>
      </w:r>
    </w:p>
    <w:p>
      <w:pPr>
        <w:pStyle w:val="Normal"/>
        <w:rPr/>
      </w:pPr>
      <w:r>
        <w:rPr/>
      </w:r>
    </w:p>
    <w:p>
      <w:pPr>
        <w:pStyle w:val="Normal"/>
        <w:rPr/>
      </w:pPr>
      <w:r>
        <w:rPr>
          <w:u w:val="single"/>
        </w:rPr>
        <w:t>Guidelines</w:t>
      </w:r>
      <w:r>
        <w:rPr/>
        <w:t>: Methods can vary depending on the role of the personnel and their level of access to sensitive data. The security awareness and training program should include, at a minimum, the following components:</w:t>
      </w:r>
    </w:p>
    <w:p>
      <w:pPr>
        <w:pStyle w:val="ListParagraph"/>
        <w:numPr>
          <w:ilvl w:val="0"/>
          <w:numId w:val="17"/>
        </w:numPr>
        <w:rPr/>
      </w:pPr>
      <w:r>
        <w:rPr/>
        <w:t>Training goals;</w:t>
      </w:r>
    </w:p>
    <w:p>
      <w:pPr>
        <w:pStyle w:val="ListParagraph"/>
        <w:numPr>
          <w:ilvl w:val="0"/>
          <w:numId w:val="17"/>
        </w:numPr>
        <w:rPr/>
      </w:pPr>
      <w:r>
        <w:rPr/>
        <w:t>Target audience(s);</w:t>
      </w:r>
    </w:p>
    <w:p>
      <w:pPr>
        <w:pStyle w:val="ListParagraph"/>
        <w:numPr>
          <w:ilvl w:val="0"/>
          <w:numId w:val="17"/>
        </w:numPr>
        <w:rPr/>
      </w:pPr>
      <w:r>
        <w:rPr/>
        <w:t>Learning objectives;</w:t>
      </w:r>
    </w:p>
    <w:p>
      <w:pPr>
        <w:pStyle w:val="ListParagraph"/>
        <w:numPr>
          <w:ilvl w:val="0"/>
          <w:numId w:val="17"/>
        </w:numPr>
        <w:rPr/>
      </w:pPr>
      <w:r>
        <w:rPr/>
        <w:t>Deployment methods;</w:t>
      </w:r>
    </w:p>
    <w:p>
      <w:pPr>
        <w:pStyle w:val="ListParagraph"/>
        <w:numPr>
          <w:ilvl w:val="0"/>
          <w:numId w:val="17"/>
        </w:numPr>
        <w:rPr/>
      </w:pPr>
      <w:r>
        <w:rPr/>
        <w:t>Evaluation method to determine training effectiveness;</w:t>
      </w:r>
    </w:p>
    <w:p>
      <w:pPr>
        <w:pStyle w:val="ListParagraph"/>
        <w:numPr>
          <w:ilvl w:val="0"/>
          <w:numId w:val="17"/>
        </w:numPr>
        <w:rPr/>
      </w:pPr>
      <w:r>
        <w:rPr/>
        <w:t>Frequency;</w:t>
      </w:r>
    </w:p>
    <w:p>
      <w:pPr>
        <w:pStyle w:val="ListParagraph"/>
        <w:numPr>
          <w:ilvl w:val="0"/>
          <w:numId w:val="17"/>
        </w:numPr>
        <w:rPr/>
      </w:pPr>
      <w:r>
        <w:rPr/>
        <w:t>Duration;</w:t>
      </w:r>
    </w:p>
    <w:p>
      <w:pPr>
        <w:pStyle w:val="ListParagraph"/>
        <w:numPr>
          <w:ilvl w:val="0"/>
          <w:numId w:val="17"/>
        </w:numPr>
        <w:rPr/>
      </w:pPr>
      <w:r>
        <w:rPr/>
        <w:t>Deliverables or handouts; and</w:t>
      </w:r>
    </w:p>
    <w:p>
      <w:pPr>
        <w:pStyle w:val="ListParagraph"/>
        <w:numPr>
          <w:ilvl w:val="0"/>
          <w:numId w:val="17"/>
        </w:numPr>
        <w:rPr/>
      </w:pPr>
      <w:r>
        <w:rPr/>
        <w:t>Attendance tracking</w:t>
      </w:r>
    </w:p>
    <w:p>
      <w:pPr>
        <w:pStyle w:val="Normal"/>
        <w:rPr/>
      </w:pPr>
      <w:r>
        <w:rPr/>
      </w:r>
    </w:p>
    <w:p>
      <w:pPr>
        <w:pStyle w:val="Heading3"/>
        <w:rPr/>
      </w:pPr>
      <w:bookmarkStart w:id="2176" w:name="_Toc34921282"/>
      <w:r>
        <w:rPr/>
        <w:t>SAT-03(a): Security &amp; Privacy Training | Practical Exercises</w:t>
      </w:r>
      <w:bookmarkEnd w:id="2176"/>
    </w:p>
    <w:p>
      <w:pPr>
        <w:pStyle w:val="Normal"/>
        <w:rPr/>
      </w:pPr>
      <w:r>
        <w:rPr>
          <w:u w:val="single"/>
        </w:rPr>
        <w:t>Control Objective</w:t>
      </w:r>
      <w:r>
        <w:rPr/>
        <w:t>: The organization includes practical exercises in security and privacy training that reinforce training objectives.</w:t>
      </w:r>
      <w:r>
        <w:rPr>
          <w:rStyle w:val="FootnoteCharacters"/>
          <w:rFonts w:cs="Calibri"/>
        </w:rPr>
        <w:t xml:space="preserve"> </w:t>
      </w:r>
      <w:r>
        <w:rPr>
          <w:rStyle w:val="FootnoteAnchor"/>
          <w:rStyle w:val="FootnoteAnchor"/>
          <w:rFonts w:cs="Calibri"/>
        </w:rPr>
        <w:footnoteReference w:id="595"/>
      </w:r>
    </w:p>
    <w:p>
      <w:pPr>
        <w:pStyle w:val="Normal"/>
        <w:rPr/>
      </w:pPr>
      <w:r>
        <w:rPr/>
      </w:r>
    </w:p>
    <w:p>
      <w:pPr>
        <w:pStyle w:val="Normal"/>
        <w:rPr/>
      </w:pPr>
      <w:r>
        <w:rPr>
          <w:u w:val="single"/>
        </w:rPr>
        <w:t>Standard</w:t>
      </w:r>
      <w:r>
        <w:rPr/>
        <w:t>: NFCC’s cybersecurity personnel are required to implement security awareness training that includes practical exercises in security and privacy training that reinforce training objectives.</w:t>
      </w:r>
    </w:p>
    <w:p>
      <w:pPr>
        <w:pStyle w:val="Normal"/>
        <w:rPr/>
      </w:pPr>
      <w:r>
        <w:rPr/>
      </w:r>
    </w:p>
    <w:p>
      <w:pPr>
        <w:pStyle w:val="Normal"/>
        <w:rPr/>
      </w:pPr>
      <w:r>
        <w:rPr>
          <w:u w:val="single"/>
        </w:rPr>
        <w:t>Guidelines</w:t>
      </w:r>
      <w:r>
        <w:rPr/>
        <w:t>: Practical exercises for security may include, for example, security training for software developers that includes simulated cyber-attacks exploiting common software vulnerabilities, or spear/whale phishing attacks targeted at senior leaders/executives. Practical exercises for privacy may include, for example, practice modules with quizzes on handling Personal Data (PD) in various scenarios and model scenarios on conducting privacy impact assessments.</w:t>
      </w:r>
    </w:p>
    <w:p>
      <w:pPr>
        <w:pStyle w:val="Normal"/>
        <w:rPr>
          <w:rFonts w:eastAsia="Calibri"/>
        </w:rPr>
      </w:pPr>
      <w:r>
        <w:rPr>
          <w:rFonts w:eastAsia="Calibri"/>
        </w:rPr>
      </w:r>
    </w:p>
    <w:p>
      <w:pPr>
        <w:pStyle w:val="Heading3"/>
        <w:rPr/>
      </w:pPr>
      <w:bookmarkStart w:id="2177" w:name="_Toc34921283"/>
      <w:r>
        <w:rPr/>
        <w:t>SAT-03(b): Security &amp; Privacy Training | Suspicious Communications &amp; Anomalous System Behavior</w:t>
      </w:r>
      <w:bookmarkEnd w:id="2177"/>
      <w:r>
        <w:rPr/>
        <w:t xml:space="preserve"> </w:t>
      </w:r>
    </w:p>
    <w:p>
      <w:pPr>
        <w:pStyle w:val="Normal"/>
        <w:rPr/>
      </w:pPr>
      <w:r>
        <w:rPr>
          <w:u w:val="single"/>
        </w:rPr>
        <w:t>Control Objective</w:t>
      </w:r>
      <w:r>
        <w:rPr/>
        <w:t>: The organization provide training to personnel on organization-defined indicators of malicious code to recognize suspicious communications and anomalous behavior in organizational systems.</w:t>
      </w:r>
      <w:r>
        <w:rPr>
          <w:rStyle w:val="FootnoteCharacters"/>
        </w:rPr>
        <w:t xml:space="preserve"> </w:t>
      </w:r>
      <w:r>
        <w:rPr>
          <w:rStyle w:val="FootnoteAnchor"/>
          <w:rStyle w:val="FootnoteAnchor"/>
        </w:rPr>
        <w:footnoteReference w:id="596"/>
      </w:r>
    </w:p>
    <w:p>
      <w:pPr>
        <w:pStyle w:val="Normal"/>
        <w:rPr/>
      </w:pPr>
      <w:r>
        <w:rPr/>
      </w:r>
    </w:p>
    <w:p>
      <w:pPr>
        <w:pStyle w:val="Normal"/>
        <w:rPr/>
      </w:pPr>
      <w:r>
        <w:rPr>
          <w:u w:val="single"/>
        </w:rPr>
        <w:t>Standard</w:t>
      </w:r>
      <w:r>
        <w:rPr/>
        <w:t>: NFCC’s cybersecurity personnel are required to implement security awareness training that includes training to personnel on indicators of malicious code to recognize suspicious communications and anomalous behavior in all aspects of NFCC’s technical business processes.</w:t>
      </w:r>
    </w:p>
    <w:p>
      <w:pPr>
        <w:pStyle w:val="Normal"/>
        <w:rPr/>
      </w:pPr>
      <w:r>
        <w:rPr/>
      </w:r>
    </w:p>
    <w:p>
      <w:pPr>
        <w:pStyle w:val="Normal"/>
        <w:rPr/>
      </w:pPr>
      <w:r>
        <w:rPr>
          <w:u w:val="single"/>
        </w:rPr>
        <w:t>Guidelines</w:t>
      </w:r>
      <w:r>
        <w:rPr/>
        <w:t>: A well-trained workforce provides another organizational safeguard that can be employed as part of a defense-in-depth strategy to protect organizations against malicious code coming in to organizations via email or the web applications. Personnel are trained to look for indications of potentially suspicious email for example, receiving an unexpected email, receiving an email containing strange or poor grammar, or receiving an email from an unfamiliar sender but who appears to be from a known sponsor or contractor. Personnel are also trained on how to respond to suspicious email or web communications. For this process to work effectively, organizational personnel are trained and made aware of what constitutes suspicious communications. Training personnel on how to recognize anomalous behaviors in organizational systems can potentially provide early warning for the presence of malicious code. Recognition of such anomalous behavior by organizational personnel can supplement automated malicious code detection and protection tools and systems employed by organizations.</w:t>
      </w:r>
    </w:p>
    <w:p>
      <w:pPr>
        <w:pStyle w:val="Normal"/>
        <w:rPr/>
      </w:pPr>
      <w:r>
        <w:rPr/>
      </w:r>
    </w:p>
    <w:p>
      <w:pPr>
        <w:pStyle w:val="Heading3"/>
        <w:rPr/>
      </w:pPr>
      <w:r>
        <w:rPr/>
        <w:t xml:space="preserve"> </w:t>
      </w:r>
      <w:bookmarkStart w:id="2178" w:name="_Toc34921284"/>
      <w:bookmarkStart w:id="2179" w:name="_Toc474075355"/>
      <w:r>
        <w:rPr/>
        <w:t xml:space="preserve">SAT-03(c): Security &amp; Privacy Training | </w:t>
      </w:r>
      <w:bookmarkEnd w:id="2179"/>
      <w:r>
        <w:rPr/>
        <w:t>Sensitive Information Storage, Handling &amp; Processing</w:t>
      </w:r>
      <w:bookmarkEnd w:id="2178"/>
    </w:p>
    <w:p>
      <w:pPr>
        <w:pStyle w:val="Normal"/>
        <w:rPr>
          <w:rFonts w:cs="Calibri"/>
        </w:rPr>
      </w:pPr>
      <w:r>
        <w:rPr>
          <w:u w:val="single"/>
        </w:rPr>
        <w:t>Control Objective</w:t>
      </w:r>
      <w:r>
        <w:rPr/>
        <w:t>: The organization ensures that every user accessing a system processing, storing or transmitting types of sensitive information is formally trained in handling procedures for all of the relevant types of information on the system.</w:t>
      </w:r>
      <w:r>
        <w:rPr>
          <w:rStyle w:val="FootnoteCharacters"/>
          <w:rFonts w:cs="Calibri"/>
        </w:rPr>
        <w:t xml:space="preserve"> </w:t>
      </w:r>
    </w:p>
    <w:p>
      <w:pPr>
        <w:pStyle w:val="Normal"/>
        <w:rPr/>
      </w:pPr>
      <w:r>
        <w:rPr/>
      </w:r>
    </w:p>
    <w:p>
      <w:pPr>
        <w:pStyle w:val="Normal"/>
        <w:rPr/>
      </w:pPr>
      <w:r>
        <w:rPr>
          <w:u w:val="single"/>
        </w:rPr>
        <w:t>Standard</w:t>
      </w:r>
      <w:r>
        <w:rPr/>
        <w:t xml:space="preserve">: NFCC’s management is required to ensure that every user accessing a system that processes, stores or transmits sensitive information is formally trained in handling procedures for all of the relevant types of sensitive information. </w:t>
      </w:r>
    </w:p>
    <w:p>
      <w:pPr>
        <w:pStyle w:val="Normal"/>
        <w:rPr/>
      </w:pPr>
      <w:r>
        <w:rPr/>
      </w:r>
    </w:p>
    <w:p>
      <w:pPr>
        <w:pStyle w:val="Normal"/>
        <w:rPr/>
      </w:pPr>
      <w:r>
        <w:rPr>
          <w:u w:val="single"/>
        </w:rPr>
        <w:t>Guidelines</w:t>
      </w:r>
      <w:r>
        <w:rPr/>
        <w:t>: None</w:t>
      </w:r>
    </w:p>
    <w:p>
      <w:pPr>
        <w:pStyle w:val="Normal"/>
        <w:rPr/>
      </w:pPr>
      <w:r>
        <w:rPr/>
      </w:r>
    </w:p>
    <w:p>
      <w:pPr>
        <w:pStyle w:val="Heading3"/>
        <w:rPr/>
      </w:pPr>
      <w:bookmarkStart w:id="2180" w:name="_Toc474075356"/>
      <w:bookmarkStart w:id="2181" w:name="_Toc34921285"/>
      <w:r>
        <w:rPr/>
        <w:t>SAT-03(d): Security &amp; Privacy Training | Vendor Security Training</w:t>
      </w:r>
      <w:bookmarkEnd w:id="2180"/>
      <w:bookmarkEnd w:id="2181"/>
      <w:r>
        <w:rPr/>
        <w:t xml:space="preserve"> </w:t>
      </w:r>
    </w:p>
    <w:p>
      <w:pPr>
        <w:pStyle w:val="Normal"/>
        <w:rPr/>
      </w:pPr>
      <w:r>
        <w:rPr>
          <w:u w:val="single"/>
        </w:rPr>
        <w:t>Control Objective</w:t>
      </w:r>
      <w:r>
        <w:rPr/>
        <w:t xml:space="preserve">: The organization incorporates vendor-specific security training in support of new technology initiatives. </w:t>
      </w:r>
    </w:p>
    <w:p>
      <w:pPr>
        <w:pStyle w:val="Normal"/>
        <w:rPr/>
      </w:pPr>
      <w:r>
        <w:rPr/>
      </w:r>
    </w:p>
    <w:p>
      <w:pPr>
        <w:pStyle w:val="Normal"/>
        <w:rPr/>
      </w:pPr>
      <w:r>
        <w:rPr>
          <w:u w:val="single"/>
        </w:rPr>
        <w:t>Standard</w:t>
      </w:r>
      <w:r>
        <w:rPr/>
        <w:t xml:space="preserve">: NFCC is required to incorporate vendor-provided security training to all employees and / or contractors that are involved in the deployment of security-oriented solutions. </w:t>
      </w:r>
    </w:p>
    <w:p>
      <w:pPr>
        <w:pStyle w:val="Normal"/>
        <w:rPr/>
      </w:pPr>
      <w:r>
        <w:rPr/>
      </w:r>
    </w:p>
    <w:p>
      <w:pPr>
        <w:pStyle w:val="Normal"/>
        <w:rPr/>
      </w:pPr>
      <w:r>
        <w:rPr>
          <w:u w:val="single"/>
        </w:rPr>
        <w:t>Guidelines</w:t>
      </w:r>
      <w:r>
        <w:rPr/>
        <w:t xml:space="preserve">: Training should focus on implementing vendor-recommended practices associated with the use of a vendor product or service. A record of this training should be saved as a log sheet or sign in sheet from the session or a certificate of completion from the vendor and documentation for specialized training should be maintained by individual supervisors. </w:t>
      </w:r>
    </w:p>
    <w:p>
      <w:pPr>
        <w:pStyle w:val="Normal"/>
        <w:rPr/>
      </w:pPr>
      <w:r>
        <w:rPr/>
      </w:r>
    </w:p>
    <w:p>
      <w:pPr>
        <w:pStyle w:val="Heading3"/>
        <w:rPr/>
      </w:pPr>
      <w:bookmarkStart w:id="2182" w:name="_Toc34921286"/>
      <w:r>
        <w:rPr/>
        <w:t>SAT-03(e): Security &amp; Privacy Training | Privileged Users</w:t>
      </w:r>
      <w:bookmarkEnd w:id="2182"/>
      <w:r>
        <w:rPr/>
        <w:t xml:space="preserve"> </w:t>
      </w:r>
    </w:p>
    <w:p>
      <w:pPr>
        <w:pStyle w:val="Normal"/>
        <w:rPr/>
      </w:pPr>
      <w:r>
        <w:rPr>
          <w:u w:val="single"/>
        </w:rPr>
        <w:t>Control Objective</w:t>
      </w:r>
      <w:r>
        <w:rPr/>
        <w:t xml:space="preserve">: The organization provides specific training for privileged users to ensure privileged users understand their roles and responsibilities </w:t>
      </w:r>
      <w:r>
        <w:rPr>
          <w:rStyle w:val="FootnoteAnchor"/>
          <w:rStyle w:val="FootnoteAnchor"/>
        </w:rPr>
        <w:footnoteReference w:id="597"/>
      </w:r>
    </w:p>
    <w:p>
      <w:pPr>
        <w:pStyle w:val="Normal"/>
        <w:rPr/>
      </w:pPr>
      <w:r>
        <w:rPr/>
      </w:r>
    </w:p>
    <w:p>
      <w:pPr>
        <w:pStyle w:val="Normal"/>
        <w:rPr/>
      </w:pPr>
      <w:r>
        <w:rPr>
          <w:u w:val="single"/>
        </w:rPr>
        <w:t>Standard</w:t>
      </w:r>
      <w:r>
        <w:rPr/>
        <w:t>: NFCC is required to incorporate enhanced security training to all employees and / or contractors that have privileged access.</w:t>
      </w:r>
    </w:p>
    <w:p>
      <w:pPr>
        <w:pStyle w:val="Normal"/>
        <w:rPr/>
      </w:pPr>
      <w:r>
        <w:rPr/>
      </w:r>
    </w:p>
    <w:p>
      <w:pPr>
        <w:pStyle w:val="Normal"/>
        <w:rPr/>
      </w:pPr>
      <w:r>
        <w:rPr>
          <w:u w:val="single"/>
        </w:rPr>
        <w:t>Guidelines</w:t>
      </w:r>
      <w:r>
        <w:rPr/>
        <w:t xml:space="preserve">: None </w:t>
      </w:r>
    </w:p>
    <w:p>
      <w:pPr>
        <w:pStyle w:val="Normal"/>
        <w:rPr/>
      </w:pPr>
      <w:r>
        <w:rPr/>
      </w:r>
    </w:p>
    <w:p>
      <w:pPr>
        <w:pStyle w:val="Normal"/>
        <w:rPr/>
      </w:pPr>
      <w:r>
        <w:rPr/>
      </w:r>
    </w:p>
    <w:p>
      <w:pPr>
        <w:pStyle w:val="Heading2"/>
        <w:rPr/>
      </w:pPr>
      <w:bookmarkStart w:id="2183" w:name="_Toc474075357"/>
      <w:bookmarkStart w:id="2184" w:name="_Toc474075817"/>
      <w:bookmarkStart w:id="2185" w:name="_Toc34921287"/>
      <w:r>
        <w:rPr/>
        <w:t>SAT-04: Security &amp; Privacy Training Records</w:t>
      </w:r>
      <w:bookmarkEnd w:id="2183"/>
      <w:bookmarkEnd w:id="2184"/>
      <w:bookmarkEnd w:id="2185"/>
      <w:r>
        <w:rPr/>
        <w:t xml:space="preserve"> </w:t>
      </w:r>
    </w:p>
    <w:p>
      <w:pPr>
        <w:pStyle w:val="Normal"/>
        <w:rPr/>
      </w:pPr>
      <w:r>
        <w:rPr>
          <w:u w:val="single"/>
        </w:rPr>
        <w:t>Control Objective</w:t>
      </w:r>
      <w:r>
        <w:rPr/>
        <w:t>: The organization:</w:t>
      </w:r>
      <w:r>
        <w:rPr>
          <w:rStyle w:val="FootnoteCharacters"/>
          <w:rFonts w:cs="Calibri"/>
        </w:rPr>
        <w:t xml:space="preserve"> </w:t>
      </w:r>
      <w:r>
        <w:rPr>
          <w:rStyle w:val="FootnoteAnchor"/>
          <w:rStyle w:val="FootnoteAnchor"/>
          <w:rFonts w:cs="Calibri"/>
        </w:rPr>
        <w:footnoteReference w:id="598"/>
      </w:r>
      <w:r>
        <w:rPr/>
        <w:t xml:space="preserve"> </w:t>
      </w:r>
    </w:p>
    <w:p>
      <w:pPr>
        <w:pStyle w:val="ListParagraph"/>
        <w:numPr>
          <w:ilvl w:val="0"/>
          <w:numId w:val="20"/>
        </w:numPr>
        <w:rPr/>
      </w:pPr>
      <w:r>
        <w:rPr/>
        <w:t>Documents and monitors individual system security training activities including basic security awareness training and specific system security training; and</w:t>
      </w:r>
    </w:p>
    <w:p>
      <w:pPr>
        <w:pStyle w:val="ListParagraph"/>
        <w:numPr>
          <w:ilvl w:val="0"/>
          <w:numId w:val="20"/>
        </w:numPr>
        <w:rPr/>
      </w:pPr>
      <w:r>
        <w:rPr/>
        <w:t>Retains individual training records.</w:t>
      </w:r>
    </w:p>
    <w:p>
      <w:pPr>
        <w:pStyle w:val="Normal"/>
        <w:rPr/>
      </w:pPr>
      <w:r>
        <w:rPr/>
      </w:r>
    </w:p>
    <w:p>
      <w:pPr>
        <w:pStyle w:val="Normal"/>
        <w:rPr/>
      </w:pPr>
      <w:r>
        <w:rPr>
          <w:u w:val="single"/>
        </w:rPr>
        <w:t>Standard</w:t>
      </w:r>
      <w:r>
        <w:rPr/>
        <w:t xml:space="preserve">: NFCC requires personnel to acknowledge in writing or electronically, at least annually, that they have read and understood NFCC’s cybersecurity policies. </w:t>
      </w:r>
    </w:p>
    <w:p>
      <w:pPr>
        <w:pStyle w:val="Normal"/>
        <w:rPr/>
      </w:pPr>
      <w:r>
        <w:rPr/>
      </w:r>
    </w:p>
    <w:p>
      <w:pPr>
        <w:pStyle w:val="Normal"/>
        <w:rPr/>
      </w:pPr>
      <w:r>
        <w:rPr>
          <w:u w:val="single"/>
        </w:rPr>
        <w:t>Guidelines</w:t>
      </w:r>
      <w:r>
        <w:rPr/>
        <w:t>: Any security bulletins or awareness training information should be archived as evidence of training. If possible, the individuals who received training or distribution list recipients should be documented. A record of the acknowledgment of cybersecurity training shall be maintained by Human Resources (HR) as evidence of training.</w:t>
      </w:r>
    </w:p>
    <w:p>
      <w:pPr>
        <w:pStyle w:val="Normal"/>
        <w:rPr/>
      </w:pPr>
      <w:r>
        <w:rPr/>
      </w:r>
    </w:p>
    <w:p>
      <w:pPr>
        <w:pStyle w:val="Normal"/>
        <w:rPr/>
      </w:pPr>
      <w:r>
        <w:rPr/>
      </w:r>
      <w:bookmarkStart w:id="2186" w:name="_Toc398527151"/>
      <w:bookmarkStart w:id="2187" w:name="_Toc398527151"/>
      <w:bookmarkEnd w:id="2187"/>
    </w:p>
    <w:p>
      <w:pPr>
        <w:pStyle w:val="Normal"/>
        <w:rPr/>
      </w:pPr>
      <w:r>
        <w:rPr/>
      </w:r>
    </w:p>
    <w:p>
      <w:pPr>
        <w:pStyle w:val="Normal"/>
        <w:rPr/>
      </w:pPr>
      <w:r>
        <w:rPr/>
      </w:r>
      <w:r>
        <w:br w:type="page"/>
      </w:r>
    </w:p>
    <w:p>
      <w:pPr>
        <w:pStyle w:val="Heading1"/>
        <w:rPr/>
      </w:pPr>
      <w:bookmarkStart w:id="2188" w:name="_Toc34921288"/>
      <w:bookmarkStart w:id="2189" w:name="_Toc474075358"/>
      <w:bookmarkStart w:id="2190" w:name="_Toc474075818"/>
      <w:r>
        <w:rPr/>
        <w:t>Technology Development &amp; Acquisition (TDA)</w:t>
      </w:r>
      <w:bookmarkEnd w:id="2189"/>
      <w:bookmarkEnd w:id="2190"/>
      <w:r>
        <w:rPr/>
        <w:t xml:space="preserve"> Policy &amp; Standards</w:t>
      </w:r>
      <w:bookmarkEnd w:id="2188"/>
    </w:p>
    <w:p>
      <w:pPr>
        <w:pStyle w:val="Normal"/>
        <w:rPr/>
      </w:pPr>
      <w:r>
        <w:rPr/>
      </w:r>
    </w:p>
    <w:p>
      <w:pPr>
        <w:pStyle w:val="Normal"/>
        <w:rPr/>
      </w:pPr>
      <w:r>
        <w:rPr>
          <w:u w:val="single"/>
        </w:rPr>
        <w:t>Management Intent</w:t>
      </w:r>
      <w:r>
        <w:rPr/>
        <w:t xml:space="preserve">: The purpose of the Technology Development &amp; Acquisition (TDA) policy is to ensure secure technologies are developed and / or acquired. </w:t>
      </w:r>
    </w:p>
    <w:p>
      <w:pPr>
        <w:pStyle w:val="Normal"/>
        <w:rPr/>
      </w:pPr>
      <w:r>
        <w:rPr/>
      </w:r>
    </w:p>
    <w:p>
      <w:pPr>
        <w:pStyle w:val="Normal"/>
        <w:shd w:val="clear" w:color="auto" w:fill="DDD9C3" w:themeFill="background2" w:themeFillShade="e6"/>
        <w:rPr/>
      </w:pPr>
      <w:r>
        <w:rPr>
          <w:u w:val="single"/>
        </w:rPr>
        <w:t>Policy</w:t>
      </w:r>
      <w:r>
        <w:rPr/>
        <w:t xml:space="preserve">: NFCC shall implement the principles of “least privilege” and “least functionality in the development and implementation of technology, regardless if it is internally-developed or acquired from a third party. Technology development and acquisition must employ adequate security measures during all phases of the Secure Development Life Cycle (SDLC) to ensure security and privacy-related risks are identified and appropriately remediated. </w:t>
      </w:r>
    </w:p>
    <w:p>
      <w:pPr>
        <w:pStyle w:val="Normal"/>
        <w:rPr>
          <w:u w:val="single"/>
        </w:rPr>
      </w:pPr>
      <w:r>
        <w:rPr>
          <w:u w:val="single"/>
        </w:rPr>
      </w:r>
    </w:p>
    <w:p>
      <w:pPr>
        <w:pStyle w:val="Normal"/>
        <w:rPr/>
      </w:pPr>
      <w:r>
        <w:rPr>
          <w:u w:val="single"/>
        </w:rPr>
        <w:t>Supporting Documentation</w:t>
      </w:r>
      <w:r>
        <w:rPr/>
        <w:t xml:space="preserve">: This policy is supported by the following control objectives, standards and guidelines. </w:t>
      </w:r>
    </w:p>
    <w:p>
      <w:pPr>
        <w:pStyle w:val="Normal"/>
        <w:rPr/>
      </w:pPr>
      <w:r>
        <w:rPr/>
      </w:r>
    </w:p>
    <w:p>
      <w:pPr>
        <w:pStyle w:val="Normal"/>
        <w:rPr/>
      </w:pPr>
      <w:r>
        <w:rPr/>
      </w:r>
    </w:p>
    <w:p>
      <w:pPr>
        <w:pStyle w:val="Heading2"/>
        <w:rPr/>
      </w:pPr>
      <w:bookmarkStart w:id="2191" w:name="_Toc474075359"/>
      <w:bookmarkStart w:id="2192" w:name="_Toc474075819"/>
      <w:bookmarkStart w:id="2193" w:name="_Toc34921289"/>
      <w:r>
        <w:rPr/>
        <w:t>TDA-01: Technology Development &amp; Acquisition</w:t>
      </w:r>
      <w:bookmarkEnd w:id="2191"/>
      <w:bookmarkEnd w:id="2192"/>
      <w:bookmarkEnd w:id="2193"/>
      <w:r>
        <w:rPr/>
        <w:t xml:space="preserve"> </w:t>
      </w:r>
    </w:p>
    <w:p>
      <w:pPr>
        <w:pStyle w:val="Normal"/>
        <w:rPr/>
      </w:pPr>
      <w:r>
        <w:rPr>
          <w:u w:val="single"/>
        </w:rPr>
        <w:t>Control Objective</w:t>
      </w:r>
      <w:r>
        <w:rPr/>
        <w:t>: The organization develops, implements and governs processes and documentation to facilitate the implementation of an enterprise-wide technology development and acquisition policy, as well as associated standards, controls and procedures.</w:t>
      </w:r>
      <w:r>
        <w:rPr>
          <w:rStyle w:val="FootnoteAnchor"/>
          <w:rStyle w:val="FootnoteAnchor"/>
        </w:rPr>
        <w:footnoteReference w:id="599"/>
      </w:r>
    </w:p>
    <w:p>
      <w:pPr>
        <w:pStyle w:val="Normal"/>
        <w:rPr/>
      </w:pPr>
      <w:r>
        <w:rPr/>
      </w:r>
    </w:p>
    <w:p>
      <w:pPr>
        <w:pStyle w:val="Normal"/>
        <w:rPr/>
      </w:pPr>
      <w:r>
        <w:rPr>
          <w:u w:val="single"/>
        </w:rPr>
        <w:t>Standard</w:t>
      </w:r>
      <w:r>
        <w:rPr/>
        <w:t>: NFCC’s Procurement Department, in conjunction with the Chief Information Security Officer (CISO), is required to develop, implement and govern a formal acquisition program that:</w:t>
      </w:r>
    </w:p>
    <w:p>
      <w:pPr>
        <w:pStyle w:val="ListParagraph"/>
        <w:numPr>
          <w:ilvl w:val="0"/>
          <w:numId w:val="594"/>
        </w:numPr>
        <w:rPr/>
      </w:pPr>
      <w:r>
        <w:rPr/>
        <w:t>Incorporates cybersecurity and privacy principles; requirements; and</w:t>
      </w:r>
    </w:p>
    <w:p>
      <w:pPr>
        <w:pStyle w:val="ListParagraph"/>
        <w:numPr>
          <w:ilvl w:val="0"/>
          <w:numId w:val="594"/>
        </w:numPr>
        <w:rPr/>
      </w:pPr>
      <w:r>
        <w:rPr/>
        <w:t>Tailors acquisitions, contract tools and procurement methods to ensure compliance with applicable statutory, regulatory and contractual obligations.</w:t>
      </w:r>
    </w:p>
    <w:p>
      <w:pPr>
        <w:pStyle w:val="Normal"/>
        <w:rPr/>
      </w:pPr>
      <w:r>
        <w:rPr/>
      </w:r>
    </w:p>
    <w:p>
      <w:pPr>
        <w:pStyle w:val="Normal"/>
        <w:rPr/>
      </w:pPr>
      <w:r>
        <w:rPr>
          <w:u w:val="single"/>
        </w:rPr>
        <w:t>Guidelines</w:t>
      </w:r>
      <w:r>
        <w:rPr/>
        <w:t>: None</w:t>
      </w:r>
    </w:p>
    <w:p>
      <w:pPr>
        <w:pStyle w:val="Normal"/>
        <w:rPr/>
      </w:pPr>
      <w:r>
        <w:rPr/>
      </w:r>
    </w:p>
    <w:p>
      <w:pPr>
        <w:pStyle w:val="Heading3"/>
        <w:rPr/>
      </w:pPr>
      <w:bookmarkStart w:id="2194" w:name="_Toc34921290"/>
      <w:r>
        <w:rPr/>
        <w:t>TDA-01(a): Technology Development &amp; Acquisition | Product Management</w:t>
      </w:r>
      <w:bookmarkEnd w:id="2194"/>
      <w:r>
        <w:rPr/>
        <w:t xml:space="preserve"> </w:t>
      </w:r>
    </w:p>
    <w:p>
      <w:pPr>
        <w:pStyle w:val="Normal"/>
        <w:rPr/>
      </w:pPr>
      <w:r>
        <w:rPr>
          <w:u w:val="single"/>
        </w:rPr>
        <w:t>Control Objective</w:t>
      </w:r>
      <w:r>
        <w:rPr/>
        <w:t>: The organization designs and implements products, applications and services to allow for security updates to correct security deficiencies.</w:t>
      </w:r>
    </w:p>
    <w:p>
      <w:pPr>
        <w:pStyle w:val="Normal"/>
        <w:rPr/>
      </w:pPr>
      <w:r>
        <w:rPr/>
      </w:r>
    </w:p>
    <w:p>
      <w:pPr>
        <w:pStyle w:val="Normal"/>
        <w:rPr/>
      </w:pPr>
      <w:r>
        <w:rPr>
          <w:u w:val="single"/>
        </w:rPr>
        <w:t>Standard</w:t>
      </w:r>
      <w:r>
        <w:rPr/>
        <w:t>: NFCC requires that products are designed and implemented to:</w:t>
      </w:r>
    </w:p>
    <w:p>
      <w:pPr>
        <w:pStyle w:val="ListParagraph"/>
        <w:numPr>
          <w:ilvl w:val="0"/>
          <w:numId w:val="471"/>
        </w:numPr>
        <w:rPr/>
      </w:pPr>
      <w:r>
        <w:rPr/>
        <w:t>Maintain appropriate documentation on how NFCC provides validated software updates / patches throughout the product life cycle to assure its continued security;</w:t>
      </w:r>
    </w:p>
    <w:p>
      <w:pPr>
        <w:pStyle w:val="ListParagraph"/>
        <w:numPr>
          <w:ilvl w:val="0"/>
          <w:numId w:val="471"/>
        </w:numPr>
        <w:rPr/>
      </w:pPr>
      <w:r>
        <w:rPr/>
        <w:t>Allow for the application of security updates to the products software and firmware:</w:t>
      </w:r>
    </w:p>
    <w:p>
      <w:pPr>
        <w:pStyle w:val="ListParagraph"/>
        <w:numPr>
          <w:ilvl w:val="1"/>
          <w:numId w:val="471"/>
        </w:numPr>
        <w:rPr/>
      </w:pPr>
      <w:r>
        <w:rPr/>
        <w:t>Processes must support reverting to a previously-installed version if the update fails; and</w:t>
      </w:r>
    </w:p>
    <w:p>
      <w:pPr>
        <w:pStyle w:val="ListParagraph"/>
        <w:numPr>
          <w:ilvl w:val="1"/>
          <w:numId w:val="471"/>
        </w:numPr>
        <w:rPr/>
      </w:pPr>
      <w:r>
        <w:rPr/>
        <w:t>The roll-back would revert to the most recent installed version.</w:t>
      </w:r>
    </w:p>
    <w:p>
      <w:pPr>
        <w:pStyle w:val="ListParagraph"/>
        <w:numPr>
          <w:ilvl w:val="0"/>
          <w:numId w:val="471"/>
        </w:numPr>
        <w:rPr/>
      </w:pPr>
      <w:r>
        <w:rPr/>
        <w:t>Verify the authenticity and integrity of any software update through cryptographic means, prior to the installation of the update:</w:t>
      </w:r>
    </w:p>
    <w:p>
      <w:pPr>
        <w:pStyle w:val="ListParagraph"/>
        <w:numPr>
          <w:ilvl w:val="1"/>
          <w:numId w:val="471"/>
        </w:numPr>
        <w:rPr/>
      </w:pPr>
      <w:r>
        <w:rPr/>
        <w:t>Product updates must be possible in an offline environment; and</w:t>
      </w:r>
    </w:p>
    <w:p>
      <w:pPr>
        <w:pStyle w:val="ListParagraph"/>
        <w:numPr>
          <w:ilvl w:val="1"/>
          <w:numId w:val="471"/>
        </w:numPr>
        <w:rPr/>
      </w:pPr>
      <w:r>
        <w:rPr/>
        <w:t>Offline updates must also support the same authenticity and integrity validation process.</w:t>
      </w:r>
    </w:p>
    <w:p>
      <w:pPr>
        <w:pStyle w:val="ListParagraph"/>
        <w:numPr>
          <w:ilvl w:val="0"/>
          <w:numId w:val="471"/>
        </w:numPr>
        <w:rPr/>
      </w:pPr>
      <w:r>
        <w:rPr/>
        <w:t>Maintain at least one security-related event log that at a minimum contains the following events:</w:t>
      </w:r>
    </w:p>
    <w:p>
      <w:pPr>
        <w:pStyle w:val="ListParagraph"/>
        <w:numPr>
          <w:ilvl w:val="1"/>
          <w:numId w:val="471"/>
        </w:numPr>
        <w:rPr/>
      </w:pPr>
      <w:r>
        <w:rPr/>
        <w:t>Successful and unsuccessful login attempts;</w:t>
      </w:r>
    </w:p>
    <w:p>
      <w:pPr>
        <w:pStyle w:val="ListParagraph"/>
        <w:numPr>
          <w:ilvl w:val="1"/>
          <w:numId w:val="471"/>
        </w:numPr>
        <w:rPr/>
      </w:pPr>
      <w:r>
        <w:rPr/>
        <w:t>Change of user authentication credentials;</w:t>
      </w:r>
    </w:p>
    <w:p>
      <w:pPr>
        <w:pStyle w:val="ListParagraph"/>
        <w:numPr>
          <w:ilvl w:val="1"/>
          <w:numId w:val="471"/>
        </w:numPr>
        <w:rPr/>
      </w:pPr>
      <w:r>
        <w:rPr/>
        <w:t>Changes in the list of valid user accounts (e.g., addition, modification or deletion of accounts); and</w:t>
      </w:r>
    </w:p>
    <w:p>
      <w:pPr>
        <w:pStyle w:val="ListParagraph"/>
        <w:numPr>
          <w:ilvl w:val="1"/>
          <w:numId w:val="471"/>
        </w:numPr>
        <w:rPr/>
      </w:pPr>
      <w:r>
        <w:rPr/>
        <w:t>Successful and unsuccessful software updates.</w:t>
      </w:r>
    </w:p>
    <w:p>
      <w:pPr>
        <w:pStyle w:val="ListParagraph"/>
        <w:numPr>
          <w:ilvl w:val="0"/>
          <w:numId w:val="471"/>
        </w:numPr>
        <w:rPr/>
      </w:pPr>
      <w:r>
        <w:rPr/>
        <w:t>Prevent tampering of security-related event logs through transmitting logs to an external data storage location or security store the logs in non-volatile memory that prevents non-privileged users from deleting, moving or altering log file contents; and</w:t>
      </w:r>
    </w:p>
    <w:p>
      <w:pPr>
        <w:pStyle w:val="ListParagraph"/>
        <w:numPr>
          <w:ilvl w:val="0"/>
          <w:numId w:val="471"/>
        </w:numPr>
        <w:rPr/>
      </w:pPr>
      <w:r>
        <w:rPr/>
        <w:t>Enable secure decommissioning of the product by allowing users to securely purge or erase (e.g., zeroization) all user-defined data that includes:</w:t>
      </w:r>
    </w:p>
    <w:p>
      <w:pPr>
        <w:pStyle w:val="ListParagraph"/>
        <w:numPr>
          <w:ilvl w:val="1"/>
          <w:numId w:val="471"/>
        </w:numPr>
        <w:rPr/>
      </w:pPr>
      <w:r>
        <w:rPr/>
        <w:t>Configuration data; and</w:t>
      </w:r>
    </w:p>
    <w:p>
      <w:pPr>
        <w:pStyle w:val="ListParagraph"/>
        <w:numPr>
          <w:ilvl w:val="1"/>
          <w:numId w:val="471"/>
        </w:numPr>
        <w:rPr/>
      </w:pPr>
      <w:r>
        <w:rPr/>
        <w:t xml:space="preserve">Sensitive data. </w:t>
      </w:r>
    </w:p>
    <w:p>
      <w:pPr>
        <w:pStyle w:val="Normal"/>
        <w:rPr/>
      </w:pPr>
      <w:r>
        <w:rPr/>
      </w:r>
    </w:p>
    <w:p>
      <w:pPr>
        <w:pStyle w:val="Normal"/>
        <w:rPr>
          <w:u w:val="single"/>
        </w:rPr>
      </w:pPr>
      <w:r>
        <w:rPr>
          <w:u w:val="single"/>
        </w:rPr>
        <w:t>Guidelines</w:t>
      </w:r>
      <w:r>
        <w:rPr/>
        <w:t>: None</w:t>
      </w:r>
    </w:p>
    <w:p>
      <w:pPr>
        <w:pStyle w:val="Normal"/>
        <w:rPr/>
      </w:pPr>
      <w:r>
        <w:rPr/>
      </w:r>
    </w:p>
    <w:p>
      <w:pPr>
        <w:pStyle w:val="Normal"/>
        <w:rPr/>
      </w:pPr>
      <w:r>
        <w:rPr/>
      </w:r>
    </w:p>
    <w:p>
      <w:pPr>
        <w:pStyle w:val="Heading3"/>
        <w:rPr/>
      </w:pPr>
      <w:bookmarkStart w:id="2195" w:name="_Toc34921291"/>
      <w:r>
        <w:rPr/>
        <w:t>TDA-01(b): Technology Development &amp; Acquisition | Integrity Mechanisms for Software / Firmware Updates</w:t>
      </w:r>
      <w:bookmarkEnd w:id="2195"/>
      <w:r>
        <w:rPr/>
        <w:t xml:space="preserve"> </w:t>
      </w:r>
    </w:p>
    <w:p>
      <w:pPr>
        <w:pStyle w:val="Normal"/>
        <w:rPr/>
      </w:pPr>
      <w:r>
        <w:rPr>
          <w:u w:val="single"/>
        </w:rPr>
        <w:t>Control Objective</w:t>
      </w:r>
      <w:r>
        <w:rPr/>
        <w:t>: The organization employs integrity validation mechanisms for security updates.</w:t>
      </w:r>
    </w:p>
    <w:p>
      <w:pPr>
        <w:pStyle w:val="Normal"/>
        <w:rPr/>
      </w:pPr>
      <w:r>
        <w:rPr/>
      </w:r>
    </w:p>
    <w:p>
      <w:pPr>
        <w:pStyle w:val="Normal"/>
        <w:rPr/>
      </w:pPr>
      <w:r>
        <w:rPr>
          <w:u w:val="single"/>
        </w:rPr>
        <w:t>Standard</w:t>
      </w:r>
      <w:r>
        <w:rPr/>
        <w:t>: NFCC requires that products incorporate integrity mechanisms for software / firmware updates that include:</w:t>
      </w:r>
    </w:p>
    <w:p>
      <w:pPr>
        <w:pStyle w:val="ListParagraph"/>
        <w:numPr>
          <w:ilvl w:val="0"/>
          <w:numId w:val="523"/>
        </w:numPr>
        <w:rPr/>
      </w:pPr>
      <w:r>
        <w:rPr/>
        <w:t>Using a NFCC code signing digital certificate to sign the software / firmware components; and</w:t>
      </w:r>
    </w:p>
    <w:p>
      <w:pPr>
        <w:pStyle w:val="ListParagraph"/>
        <w:numPr>
          <w:ilvl w:val="0"/>
          <w:numId w:val="523"/>
        </w:numPr>
        <w:rPr/>
      </w:pPr>
      <w:r>
        <w:rPr/>
        <w:t>Generating and publishing a Keyed-Hash Message Authentication Code (HMAC) value to provide assurance of the integrity of the following components:</w:t>
      </w:r>
    </w:p>
    <w:p>
      <w:pPr>
        <w:pStyle w:val="ListParagraph"/>
        <w:numPr>
          <w:ilvl w:val="1"/>
          <w:numId w:val="523"/>
        </w:numPr>
        <w:rPr/>
      </w:pPr>
      <w:r>
        <w:rPr/>
        <w:t>Binaries;</w:t>
      </w:r>
    </w:p>
    <w:p>
      <w:pPr>
        <w:pStyle w:val="ListParagraph"/>
        <w:numPr>
          <w:ilvl w:val="1"/>
          <w:numId w:val="523"/>
        </w:numPr>
        <w:rPr/>
      </w:pPr>
      <w:r>
        <w:rPr/>
        <w:t>Executables; and</w:t>
      </w:r>
    </w:p>
    <w:p>
      <w:pPr>
        <w:pStyle w:val="ListParagraph"/>
        <w:numPr>
          <w:ilvl w:val="1"/>
          <w:numId w:val="523"/>
        </w:numPr>
        <w:rPr/>
      </w:pPr>
      <w:r>
        <w:rPr/>
        <w:t>Libraries.</w:t>
      </w:r>
    </w:p>
    <w:p>
      <w:pPr>
        <w:pStyle w:val="Normal"/>
        <w:rPr/>
      </w:pPr>
      <w:r>
        <w:rPr/>
        <w:t xml:space="preserve"> </w:t>
      </w:r>
    </w:p>
    <w:p>
      <w:pPr>
        <w:pStyle w:val="Normal"/>
        <w:rPr>
          <w:u w:val="single"/>
        </w:rPr>
      </w:pPr>
      <w:r>
        <w:rPr>
          <w:u w:val="single"/>
        </w:rPr>
        <w:t>Guidelines</w:t>
      </w:r>
      <w:r>
        <w:rPr/>
        <w:t>: None</w:t>
      </w:r>
    </w:p>
    <w:p>
      <w:pPr>
        <w:pStyle w:val="Normal"/>
        <w:rPr/>
      </w:pPr>
      <w:r>
        <w:rPr/>
      </w:r>
    </w:p>
    <w:p>
      <w:pPr>
        <w:pStyle w:val="Heading3"/>
        <w:rPr/>
      </w:pPr>
      <w:bookmarkStart w:id="2196" w:name="_Toc34921292"/>
      <w:r>
        <w:rPr/>
        <w:t>TDA-01(c): Technology Development &amp; Acquisition | Malware Testing Prior To Release</w:t>
      </w:r>
      <w:bookmarkEnd w:id="2196"/>
    </w:p>
    <w:p>
      <w:pPr>
        <w:pStyle w:val="Normal"/>
        <w:rPr/>
      </w:pPr>
      <w:r>
        <w:rPr>
          <w:u w:val="single"/>
        </w:rPr>
        <w:t>Control Objective</w:t>
      </w:r>
      <w:r>
        <w:rPr/>
        <w:t>: The organization employs at least one (1) malware detection tool to identify if any known malware exists in the final binaries of the product or security update.</w:t>
      </w:r>
    </w:p>
    <w:p>
      <w:pPr>
        <w:pStyle w:val="Normal"/>
        <w:rPr/>
      </w:pPr>
      <w:r>
        <w:rPr/>
      </w:r>
    </w:p>
    <w:p>
      <w:pPr>
        <w:pStyle w:val="Normal"/>
        <w:rPr/>
      </w:pPr>
      <w:r>
        <w:rPr>
          <w:u w:val="single"/>
        </w:rPr>
        <w:t>Standard</w:t>
      </w:r>
      <w:r>
        <w:rPr/>
        <w:t>: NFCC requires that products and updates incorporate malware testing by at least two (2) different malware detection tools in order to identify the existence of any known malware in the final deliverable:</w:t>
      </w:r>
    </w:p>
    <w:p>
      <w:pPr>
        <w:pStyle w:val="ListParagraph"/>
        <w:numPr>
          <w:ilvl w:val="0"/>
          <w:numId w:val="524"/>
        </w:numPr>
        <w:rPr/>
      </w:pPr>
      <w:r>
        <w:rPr/>
        <w:t>The malware tool must be applicable to for operating system that the software will be used on.</w:t>
      </w:r>
    </w:p>
    <w:p>
      <w:pPr>
        <w:pStyle w:val="ListParagraph"/>
        <w:numPr>
          <w:ilvl w:val="0"/>
          <w:numId w:val="524"/>
        </w:numPr>
        <w:rPr/>
      </w:pPr>
      <w:r>
        <w:rPr/>
        <w:t xml:space="preserve">All binary code and bytecode must be inspected for malware by automated tools. </w:t>
      </w:r>
    </w:p>
    <w:p>
      <w:pPr>
        <w:pStyle w:val="Normal"/>
        <w:rPr/>
      </w:pPr>
      <w:r>
        <w:rPr/>
        <w:t xml:space="preserve"> </w:t>
      </w:r>
    </w:p>
    <w:p>
      <w:pPr>
        <w:pStyle w:val="Normal"/>
        <w:rPr>
          <w:u w:val="single"/>
        </w:rPr>
      </w:pPr>
      <w:r>
        <w:rPr>
          <w:u w:val="single"/>
        </w:rPr>
        <w:t>Guidelines</w:t>
      </w:r>
      <w:r>
        <w:rPr/>
        <w:t>: None</w:t>
      </w:r>
    </w:p>
    <w:p>
      <w:pPr>
        <w:pStyle w:val="Normal"/>
        <w:rPr/>
      </w:pPr>
      <w:r>
        <w:rPr/>
      </w:r>
    </w:p>
    <w:p>
      <w:pPr>
        <w:pStyle w:val="Normal"/>
        <w:rPr/>
      </w:pPr>
      <w:r>
        <w:rPr/>
      </w:r>
    </w:p>
    <w:p>
      <w:pPr>
        <w:pStyle w:val="Heading2"/>
        <w:rPr/>
      </w:pPr>
      <w:bookmarkStart w:id="2197" w:name="_Toc474075360"/>
      <w:bookmarkStart w:id="2198" w:name="_Toc474075820"/>
      <w:bookmarkStart w:id="2199" w:name="_Toc34921293"/>
      <w:r>
        <w:rPr/>
        <w:t>TDA-02: Security Requirements</w:t>
      </w:r>
      <w:bookmarkEnd w:id="2197"/>
      <w:bookmarkEnd w:id="2198"/>
      <w:bookmarkEnd w:id="2199"/>
      <w:r>
        <w:rPr/>
        <w:t xml:space="preserve"> </w:t>
      </w:r>
    </w:p>
    <w:p>
      <w:pPr>
        <w:pStyle w:val="Normal"/>
        <w:rPr/>
      </w:pPr>
      <w:r>
        <w:rPr>
          <w:u w:val="single"/>
        </w:rPr>
        <w:t>Control Objective</w:t>
      </w:r>
      <w:r>
        <w:rPr/>
        <w:t>: The organization includes the following requirements and / or specifications, explicitly or by reference, in system acquisitions based on an assessment of risk:</w:t>
      </w:r>
      <w:r>
        <w:rPr>
          <w:rStyle w:val="FootnoteAnchor"/>
          <w:rStyle w:val="FootnoteAnchor"/>
          <w:rFonts w:cs="Calibri"/>
        </w:rPr>
        <w:footnoteReference w:id="600"/>
      </w:r>
      <w:r>
        <w:rPr/>
        <w:t xml:space="preserve"> </w:t>
      </w:r>
    </w:p>
    <w:p>
      <w:pPr>
        <w:pStyle w:val="ListParagraph"/>
        <w:numPr>
          <w:ilvl w:val="0"/>
          <w:numId w:val="127"/>
        </w:numPr>
        <w:rPr/>
      </w:pPr>
      <w:r>
        <w:rPr/>
        <w:t>Security functional requirements / specifications;</w:t>
      </w:r>
    </w:p>
    <w:p>
      <w:pPr>
        <w:pStyle w:val="ListParagraph"/>
        <w:numPr>
          <w:ilvl w:val="0"/>
          <w:numId w:val="127"/>
        </w:numPr>
        <w:rPr/>
      </w:pPr>
      <w:r>
        <w:rPr/>
        <w:t>Security-related documentation requirements; and</w:t>
      </w:r>
    </w:p>
    <w:p>
      <w:pPr>
        <w:pStyle w:val="ListParagraph"/>
        <w:numPr>
          <w:ilvl w:val="0"/>
          <w:numId w:val="127"/>
        </w:numPr>
        <w:rPr/>
      </w:pPr>
      <w:r>
        <w:rPr/>
        <w:t>Developmental and evaluation-related security requirements.</w:t>
      </w:r>
    </w:p>
    <w:p>
      <w:pPr>
        <w:pStyle w:val="Normal"/>
        <w:rPr/>
      </w:pPr>
      <w:r>
        <w:rPr/>
      </w:r>
    </w:p>
    <w:p>
      <w:pPr>
        <w:pStyle w:val="Normal"/>
        <w:rPr/>
      </w:pPr>
      <w:r>
        <w:rPr>
          <w:u w:val="single"/>
        </w:rPr>
        <w:t>Standard</w:t>
      </w:r>
      <w:r>
        <w:rPr/>
        <w:t>: Data/process owners and asset custodians are required to take security requirements into account when purchasing systems or outsourcing solutions.</w:t>
      </w:r>
    </w:p>
    <w:p>
      <w:pPr>
        <w:pStyle w:val="Normal"/>
        <w:rPr/>
      </w:pPr>
      <w:r>
        <w:rPr/>
      </w:r>
    </w:p>
    <w:p>
      <w:pPr>
        <w:pStyle w:val="Normal"/>
        <w:rPr/>
      </w:pPr>
      <w:r>
        <w:rPr>
          <w:u w:val="single"/>
        </w:rPr>
        <w:t>Guidelines</w:t>
      </w:r>
      <w:r>
        <w:rPr/>
        <w:t>: None</w:t>
      </w:r>
    </w:p>
    <w:p>
      <w:pPr>
        <w:pStyle w:val="Normal"/>
        <w:rPr/>
      </w:pPr>
      <w:r>
        <w:rPr/>
      </w:r>
    </w:p>
    <w:p>
      <w:pPr>
        <w:pStyle w:val="Heading3"/>
        <w:rPr/>
      </w:pPr>
      <w:bookmarkStart w:id="2200" w:name="_Toc474075361"/>
      <w:bookmarkStart w:id="2201" w:name="_Toc34921294"/>
      <w:r>
        <w:rPr/>
        <w:t>TDA-02(a): Security Requirements | Ports, Protocols &amp; Services In Use</w:t>
      </w:r>
      <w:bookmarkEnd w:id="2200"/>
      <w:bookmarkEnd w:id="2201"/>
      <w:r>
        <w:rPr/>
        <w:t xml:space="preserve"> </w:t>
      </w:r>
    </w:p>
    <w:p>
      <w:pPr>
        <w:pStyle w:val="Normal"/>
        <w:rPr/>
      </w:pPr>
      <w:r>
        <w:rPr>
          <w:u w:val="single"/>
        </w:rPr>
        <w:t>Control Objective</w:t>
      </w:r>
      <w:r>
        <w:rPr/>
        <w:t>: The organization requires the developers of systems, system components or services to identify early in the Secure Development Life Cycle (SDLC), the functions, ports, protocols and services intended for use.</w:t>
      </w:r>
      <w:r>
        <w:rPr>
          <w:rStyle w:val="FootnoteAnchor"/>
          <w:rStyle w:val="FootnoteAnchor"/>
          <w:rFonts w:cs="Calibri"/>
        </w:rPr>
        <w:footnoteReference w:id="601"/>
      </w:r>
    </w:p>
    <w:p>
      <w:pPr>
        <w:pStyle w:val="Normal"/>
        <w:rPr/>
      </w:pPr>
      <w:r>
        <w:rPr/>
      </w:r>
    </w:p>
    <w:p>
      <w:pPr>
        <w:pStyle w:val="Normal"/>
        <w:rPr/>
      </w:pPr>
      <w:r>
        <w:rPr>
          <w:u w:val="single"/>
        </w:rPr>
        <w:t>Standard</w:t>
      </w:r>
      <w:r>
        <w:rPr/>
        <w:t>: NFCC requires that developers of systems, system components or services identify early in the Secure Development Life Cycle (SDLC), the functions, ports, protocols and services intended that will be enabled for use in a production environment.</w:t>
      </w:r>
    </w:p>
    <w:p>
      <w:pPr>
        <w:pStyle w:val="Normal"/>
        <w:rPr/>
      </w:pPr>
      <w:r>
        <w:rPr/>
      </w:r>
    </w:p>
    <w:p>
      <w:pPr>
        <w:pStyle w:val="Normal"/>
        <w:rPr>
          <w:u w:val="single"/>
        </w:rPr>
      </w:pPr>
      <w:r>
        <w:rPr>
          <w:u w:val="single"/>
        </w:rPr>
        <w:t>Guidelines</w:t>
      </w:r>
      <w:r>
        <w:rPr/>
        <w:t>: The identification of functions, ports, protocols and services early in the Secure Development Life Cycle (e.g., during the initial requirements definition and design phases) allows organizations to influence the design of the system, system component or system service. This early involvement in the life cycle helps organizations to avoid or minimize the use of functions, ports, protocols or services that pose unnecessarily high risks and understand the trade-offs involved in blocking specific ports, protocols or services (or when requiring system service providers to do so). Early identification of functions, ports, protocols and services avoids costly retrofitting of security controls after the system, system component or system service has been implemented.</w:t>
      </w:r>
    </w:p>
    <w:p>
      <w:pPr>
        <w:pStyle w:val="Normal"/>
        <w:rPr/>
      </w:pPr>
      <w:r>
        <w:rPr/>
      </w:r>
    </w:p>
    <w:p>
      <w:pPr>
        <w:pStyle w:val="Heading3"/>
        <w:rPr/>
      </w:pPr>
      <w:bookmarkStart w:id="2202" w:name="_Toc474075362"/>
      <w:bookmarkStart w:id="2203" w:name="_Toc34921295"/>
      <w:r>
        <w:rPr/>
        <w:t>TDA-02(b): Security Requirements | Use of Approved PIV Products</w:t>
      </w:r>
      <w:bookmarkEnd w:id="2202"/>
      <w:bookmarkEnd w:id="2203"/>
      <w:r>
        <w:rPr/>
        <w:t xml:space="preserve"> </w:t>
      </w:r>
    </w:p>
    <w:p>
      <w:pPr>
        <w:pStyle w:val="Normal"/>
        <w:rPr/>
      </w:pPr>
      <w:r>
        <w:rPr>
          <w:u w:val="single"/>
        </w:rPr>
        <w:t>Control Objective</w:t>
      </w:r>
      <w:r>
        <w:rPr/>
        <w:t>: The organization employs only information technology products on the FIPS 201-approved products list for Personal Identity Verification (PIV) capability implemented within organizational systems.</w:t>
      </w:r>
      <w:r>
        <w:rPr>
          <w:rStyle w:val="FootnoteAnchor"/>
          <w:rStyle w:val="FootnoteAnchor"/>
          <w:rFonts w:cs="Calibri"/>
        </w:rPr>
        <w:footnoteReference w:id="602"/>
      </w:r>
    </w:p>
    <w:p>
      <w:pPr>
        <w:pStyle w:val="Normal"/>
        <w:rPr/>
      </w:pPr>
      <w:r>
        <w:rPr/>
      </w:r>
    </w:p>
    <w:p>
      <w:pPr>
        <w:pStyle w:val="Normal"/>
        <w:rPr/>
      </w:pPr>
      <w:r>
        <w:rPr>
          <w:u w:val="single"/>
        </w:rPr>
        <w:t>Standard</w:t>
      </w:r>
      <w:r>
        <w:rPr/>
        <w:t>: Where technically feasible, NFCC employs only information technology products on the FIPS 201-approved products list for Personal Identity Verification (PIV) capability implemented within organizational systems.</w:t>
      </w:r>
    </w:p>
    <w:p>
      <w:pPr>
        <w:pStyle w:val="Normal"/>
        <w:rPr/>
      </w:pPr>
      <w:r>
        <w:rPr/>
      </w:r>
    </w:p>
    <w:p>
      <w:pPr>
        <w:pStyle w:val="Normal"/>
        <w:rPr/>
      </w:pPr>
      <w:r>
        <w:rPr>
          <w:u w:val="single"/>
        </w:rPr>
        <w:t>Guidelines</w:t>
      </w:r>
      <w:r>
        <w:rPr/>
        <w:t>: None</w:t>
      </w:r>
    </w:p>
    <w:p>
      <w:pPr>
        <w:pStyle w:val="Normal"/>
        <w:rPr/>
      </w:pPr>
      <w:r>
        <w:rPr/>
      </w:r>
    </w:p>
    <w:p>
      <w:pPr>
        <w:pStyle w:val="Heading3"/>
        <w:rPr/>
      </w:pPr>
      <w:bookmarkStart w:id="2204" w:name="_Toc34921296"/>
      <w:r>
        <w:rPr/>
        <w:t xml:space="preserve">TDA-02(c): Security Requirements | </w:t>
      </w:r>
      <w:bookmarkStart w:id="2205" w:name="_Toc23241702"/>
      <w:r>
        <w:rPr/>
        <w:t>Development Methods, Techniques &amp; Processes</w:t>
      </w:r>
      <w:bookmarkEnd w:id="2204"/>
      <w:bookmarkEnd w:id="2205"/>
      <w:r>
        <w:rPr/>
        <w:t xml:space="preserve"> </w:t>
      </w:r>
    </w:p>
    <w:p>
      <w:pPr>
        <w:pStyle w:val="Normal"/>
        <w:rPr>
          <w:rFonts w:cs="Calibri"/>
          <w:bCs w:val="false"/>
        </w:rPr>
      </w:pPr>
      <w:r>
        <w:rPr>
          <w:rFonts w:cs="Calibri"/>
          <w:u w:val="single"/>
        </w:rPr>
        <w:t>Control Objective</w:t>
      </w:r>
      <w:r>
        <w:rPr>
          <w:rFonts w:cs="Calibri"/>
        </w:rPr>
        <w:t xml:space="preserve">: The organization </w:t>
      </w:r>
      <w:r>
        <w:rPr>
          <w:rFonts w:cs="Calibri"/>
          <w:bCs w:val="false"/>
        </w:rPr>
        <w:t>requires software vendors/manufacturers to demonstrate that their software development processes employ industry-recognized secure practices for secure programming, engineering methods, quality control processes and validation techniques to minimize flawed or malformed software.</w:t>
      </w:r>
      <w:r>
        <w:rPr>
          <w:rStyle w:val="FootnoteCharacters"/>
          <w:rFonts w:cs="Calibri"/>
        </w:rPr>
        <w:t xml:space="preserve"> </w:t>
      </w:r>
      <w:r>
        <w:rPr>
          <w:rStyle w:val="FootnoteAnchor"/>
          <w:rStyle w:val="FootnoteAnchor"/>
          <w:rFonts w:cs="Calibri"/>
        </w:rPr>
        <w:footnoteReference w:id="603"/>
      </w:r>
    </w:p>
    <w:p>
      <w:pPr>
        <w:pStyle w:val="Normal"/>
        <w:rPr>
          <w:rFonts w:cs="Calibri"/>
          <w:bCs w:val="false"/>
          <w:u w:val="single"/>
        </w:rPr>
      </w:pPr>
      <w:r>
        <w:rPr>
          <w:rFonts w:cs="Calibri"/>
          <w:bCs w:val="false"/>
          <w:u w:val="single"/>
        </w:rPr>
      </w:r>
    </w:p>
    <w:p>
      <w:pPr>
        <w:pStyle w:val="Normal"/>
        <w:rPr>
          <w:rFonts w:cs="Calibri"/>
          <w:bCs w:val="false"/>
        </w:rPr>
      </w:pPr>
      <w:r>
        <w:rPr>
          <w:rFonts w:cs="Calibri"/>
          <w:bCs w:val="false"/>
          <w:u w:val="single"/>
        </w:rPr>
        <w:t>Standard</w:t>
      </w:r>
      <w:r>
        <w:rPr>
          <w:rFonts w:cs="Calibri"/>
          <w:bCs w:val="false"/>
        </w:rPr>
        <w:t>: Software vendors are required to demonstrate that their software development processes employ:</w:t>
      </w:r>
    </w:p>
    <w:p>
      <w:pPr>
        <w:pStyle w:val="ListParagraph"/>
        <w:numPr>
          <w:ilvl w:val="0"/>
          <w:numId w:val="599"/>
        </w:numPr>
        <w:rPr>
          <w:rFonts w:cs="Calibri"/>
          <w:bCs w:val="false"/>
        </w:rPr>
      </w:pPr>
      <w:r>
        <w:rPr>
          <w:rFonts w:cs="Calibri"/>
        </w:rPr>
        <w:t>Industry-recognized secure practices for secure programming;</w:t>
      </w:r>
    </w:p>
    <w:p>
      <w:pPr>
        <w:pStyle w:val="ListParagraph"/>
        <w:numPr>
          <w:ilvl w:val="0"/>
          <w:numId w:val="599"/>
        </w:numPr>
        <w:rPr>
          <w:rFonts w:cs="Calibri"/>
          <w:bCs w:val="false"/>
        </w:rPr>
      </w:pPr>
      <w:r>
        <w:rPr>
          <w:rFonts w:cs="Calibri"/>
        </w:rPr>
        <w:t>Secure engineering methods;</w:t>
      </w:r>
    </w:p>
    <w:p>
      <w:pPr>
        <w:pStyle w:val="ListParagraph"/>
        <w:numPr>
          <w:ilvl w:val="0"/>
          <w:numId w:val="599"/>
        </w:numPr>
        <w:rPr>
          <w:rFonts w:cs="Calibri"/>
          <w:bCs w:val="false"/>
        </w:rPr>
      </w:pPr>
      <w:r>
        <w:rPr>
          <w:rFonts w:cs="Calibri"/>
        </w:rPr>
        <w:t xml:space="preserve">Quality control processes; and </w:t>
      </w:r>
    </w:p>
    <w:p>
      <w:pPr>
        <w:pStyle w:val="ListParagraph"/>
        <w:numPr>
          <w:ilvl w:val="0"/>
          <w:numId w:val="599"/>
        </w:numPr>
        <w:rPr>
          <w:rFonts w:cs="Calibri"/>
          <w:bCs w:val="false"/>
        </w:rPr>
      </w:pPr>
      <w:r>
        <w:rPr>
          <w:rFonts w:cs="Calibri"/>
        </w:rPr>
        <w:t>Testing processes to minimize flawed or malformed software.</w:t>
      </w:r>
    </w:p>
    <w:p>
      <w:pPr>
        <w:pStyle w:val="Normal"/>
        <w:rPr>
          <w:rFonts w:cs="Calibri"/>
        </w:rPr>
      </w:pPr>
      <w:r>
        <w:rPr>
          <w:rFonts w:cs="Calibri"/>
        </w:rPr>
      </w:r>
    </w:p>
    <w:p>
      <w:pPr>
        <w:pStyle w:val="Normal"/>
        <w:rPr>
          <w:rFonts w:cs="Calibri"/>
          <w:u w:val="single"/>
        </w:rPr>
      </w:pPr>
      <w:r>
        <w:rPr>
          <w:rFonts w:cs="Calibri"/>
          <w:u w:val="single"/>
        </w:rPr>
        <w:t>Guidelines</w:t>
      </w:r>
      <w:r>
        <w:rPr>
          <w:rFonts w:cs="Calibri"/>
        </w:rPr>
        <w:t>: None</w:t>
      </w:r>
      <w:bookmarkStart w:id="2206" w:name="_Hlk27580558"/>
      <w:bookmarkEnd w:id="2206"/>
    </w:p>
    <w:p>
      <w:pPr>
        <w:pStyle w:val="Normal"/>
        <w:rPr/>
      </w:pPr>
      <w:r>
        <w:rPr/>
      </w:r>
    </w:p>
    <w:p>
      <w:pPr>
        <w:pStyle w:val="Normal"/>
        <w:rPr/>
      </w:pPr>
      <w:r>
        <w:rPr/>
      </w:r>
    </w:p>
    <w:p>
      <w:pPr>
        <w:pStyle w:val="Heading2"/>
        <w:rPr/>
      </w:pPr>
      <w:bookmarkStart w:id="2207" w:name="_Toc474075363"/>
      <w:bookmarkStart w:id="2208" w:name="_Toc474075821"/>
      <w:bookmarkStart w:id="2209" w:name="_Toc34921297"/>
      <w:r>
        <w:rPr/>
        <w:t>TDA-03: Commercial Off-The-Shelf (COTS) Security Solutions</w:t>
      </w:r>
      <w:bookmarkEnd w:id="2207"/>
      <w:bookmarkEnd w:id="2208"/>
      <w:bookmarkEnd w:id="2209"/>
      <w:r>
        <w:rPr/>
        <w:t xml:space="preserve"> </w:t>
      </w:r>
    </w:p>
    <w:p>
      <w:pPr>
        <w:pStyle w:val="Normal"/>
        <w:rPr/>
      </w:pPr>
      <w:r>
        <w:rPr>
          <w:u w:val="single"/>
        </w:rPr>
        <w:t>Control Objective</w:t>
      </w:r>
      <w:r>
        <w:rPr/>
        <w:t>: The organization employs only Commercial Off-the-Shelf (COTS) cybersecurity products.</w:t>
      </w:r>
      <w:r>
        <w:rPr>
          <w:rStyle w:val="FootnoteAnchor"/>
          <w:rStyle w:val="FootnoteAnchor"/>
        </w:rPr>
        <w:footnoteReference w:id="604"/>
      </w:r>
    </w:p>
    <w:p>
      <w:pPr>
        <w:pStyle w:val="Normal"/>
        <w:rPr/>
      </w:pPr>
      <w:r>
        <w:rPr/>
      </w:r>
    </w:p>
    <w:p>
      <w:pPr>
        <w:pStyle w:val="Normal"/>
        <w:rPr/>
      </w:pPr>
      <w:r>
        <w:rPr>
          <w:u w:val="single"/>
        </w:rPr>
        <w:t>Standard</w:t>
      </w:r>
      <w:r>
        <w:rPr/>
        <w:t>: NFCC is required to use only Commercial Off-the-Shelf (COTS) products for cybersecurity requirements.</w:t>
      </w:r>
    </w:p>
    <w:p>
      <w:pPr>
        <w:pStyle w:val="Normal"/>
        <w:rPr/>
      </w:pPr>
      <w:r>
        <w:rPr/>
      </w:r>
    </w:p>
    <w:p>
      <w:pPr>
        <w:pStyle w:val="Normal"/>
        <w:rPr>
          <w:u w:val="single"/>
        </w:rPr>
      </w:pPr>
      <w:r>
        <w:rPr>
          <w:u w:val="single"/>
        </w:rPr>
        <w:t>Guidelines</w:t>
      </w:r>
      <w:r>
        <w:rPr/>
        <w:t xml:space="preserve">: COTS cybersecurity products used to protect sensitive information by cryptographic means may be required to use approved key management. </w:t>
      </w:r>
    </w:p>
    <w:p>
      <w:pPr>
        <w:pStyle w:val="Normal"/>
        <w:rPr>
          <w:u w:val="single"/>
        </w:rPr>
      </w:pPr>
      <w:r>
        <w:rPr>
          <w:u w:val="single"/>
        </w:rPr>
      </w:r>
    </w:p>
    <w:p>
      <w:pPr>
        <w:pStyle w:val="Heading3"/>
        <w:rPr/>
      </w:pPr>
      <w:bookmarkStart w:id="2210" w:name="_Toc34921298"/>
      <w:r>
        <w:rPr/>
        <w:t>TDA-03(a): Commercial Off-The-Shelf (COTS) Security Solutions | Supplier Diversity</w:t>
      </w:r>
      <w:bookmarkEnd w:id="2210"/>
    </w:p>
    <w:p>
      <w:pPr>
        <w:pStyle w:val="Normal"/>
        <w:rPr/>
      </w:pPr>
      <w:r>
        <w:rPr>
          <w:u w:val="single"/>
        </w:rPr>
        <w:t>Control Objective</w:t>
      </w:r>
      <w:r>
        <w:rPr/>
        <w:t>: The organization requires that organization-defined security and privacy safeguards allocated to are obtained from different suppliers.</w:t>
      </w:r>
    </w:p>
    <w:p>
      <w:pPr>
        <w:pStyle w:val="Normal"/>
        <w:rPr/>
      </w:pPr>
      <w:r>
        <w:rPr/>
      </w:r>
    </w:p>
    <w:p>
      <w:pPr>
        <w:pStyle w:val="Normal"/>
        <w:rPr/>
      </w:pPr>
      <w:r>
        <w:rPr>
          <w:u w:val="single"/>
        </w:rPr>
        <w:t>Standard</w:t>
      </w:r>
      <w:r>
        <w:rPr/>
        <w:t xml:space="preserve">: Where technically feasible and justified by a valid business case, NFCC requires supplier diversity to be included in all security and privacy architecture. </w:t>
      </w:r>
    </w:p>
    <w:p>
      <w:pPr>
        <w:pStyle w:val="Normal"/>
        <w:rPr/>
      </w:pPr>
      <w:r>
        <w:rPr/>
      </w:r>
    </w:p>
    <w:p>
      <w:pPr>
        <w:pStyle w:val="Normal"/>
        <w:rPr/>
      </w:pPr>
      <w:r>
        <w:rPr>
          <w:u w:val="single"/>
        </w:rPr>
        <w:t>Guidelines</w:t>
      </w:r>
      <w:r>
        <w:rPr/>
        <w:t>: Different information technology products have different strengths and weaknesses. Providing a broad spectrum of products complements the individual offerings. For example, vendors offering malicious code protection typically update their products at different times, often developing solutions for known viruses, Trojans, or worms based on their priorities and development schedules. By having different products at different locations there is an increased likelihood that at least one will detect the malicious code.</w:t>
      </w:r>
    </w:p>
    <w:p>
      <w:pPr>
        <w:pStyle w:val="Normal"/>
        <w:rPr>
          <w:u w:val="single"/>
        </w:rPr>
      </w:pPr>
      <w:r>
        <w:rPr>
          <w:u w:val="single"/>
        </w:rPr>
      </w:r>
    </w:p>
    <w:p>
      <w:pPr>
        <w:pStyle w:val="Normal"/>
        <w:rPr/>
      </w:pPr>
      <w:r>
        <w:rPr/>
      </w:r>
    </w:p>
    <w:p>
      <w:pPr>
        <w:pStyle w:val="Heading2"/>
        <w:rPr/>
      </w:pPr>
      <w:bookmarkStart w:id="2211" w:name="_Toc34921299"/>
      <w:bookmarkStart w:id="2212" w:name="_Toc474075370"/>
      <w:bookmarkStart w:id="2213" w:name="_Toc474075827"/>
      <w:r>
        <w:rPr/>
        <w:t xml:space="preserve">TDA-04: </w:t>
      </w:r>
      <w:bookmarkEnd w:id="2212"/>
      <w:bookmarkEnd w:id="2213"/>
      <w:r>
        <w:rPr/>
        <w:t>Documentation Requirements</w:t>
      </w:r>
      <w:bookmarkEnd w:id="2211"/>
      <w:r>
        <w:rPr/>
        <w:t xml:space="preserve"> </w:t>
      </w:r>
    </w:p>
    <w:p>
      <w:pPr>
        <w:pStyle w:val="Normal"/>
        <w:rPr/>
      </w:pPr>
      <w:r>
        <w:rPr>
          <w:u w:val="single"/>
        </w:rPr>
        <w:t>Control Objective</w:t>
      </w:r>
      <w:r>
        <w:rPr/>
        <w:t>: The organization:</w:t>
      </w:r>
      <w:r>
        <w:rPr>
          <w:rStyle w:val="FootnoteAnchor"/>
          <w:rStyle w:val="FootnoteAnchor"/>
          <w:rFonts w:cs="Calibri"/>
        </w:rPr>
        <w:footnoteReference w:id="605"/>
      </w:r>
    </w:p>
    <w:p>
      <w:pPr>
        <w:pStyle w:val="ListParagraph"/>
        <w:numPr>
          <w:ilvl w:val="0"/>
          <w:numId w:val="128"/>
        </w:numPr>
        <w:rPr/>
      </w:pPr>
      <w:r>
        <w:rPr/>
        <w:t>Obtains, protects as required and makes available to authorized personnel, administrator documentation for systems that describes:</w:t>
      </w:r>
    </w:p>
    <w:p>
      <w:pPr>
        <w:pStyle w:val="ListParagraph"/>
        <w:numPr>
          <w:ilvl w:val="1"/>
          <w:numId w:val="128"/>
        </w:numPr>
        <w:rPr/>
      </w:pPr>
      <w:r>
        <w:rPr/>
        <w:t>Secure configuration, installation and operation of the system;</w:t>
      </w:r>
    </w:p>
    <w:p>
      <w:pPr>
        <w:pStyle w:val="ListParagraph"/>
        <w:numPr>
          <w:ilvl w:val="1"/>
          <w:numId w:val="128"/>
        </w:numPr>
        <w:rPr/>
      </w:pPr>
      <w:r>
        <w:rPr/>
        <w:t>Effective use and maintenance of security features / functions; and</w:t>
      </w:r>
    </w:p>
    <w:p>
      <w:pPr>
        <w:pStyle w:val="ListParagraph"/>
        <w:numPr>
          <w:ilvl w:val="1"/>
          <w:numId w:val="128"/>
        </w:numPr>
        <w:rPr/>
      </w:pPr>
      <w:r>
        <w:rPr/>
        <w:t>Known vulnerabilities regarding configuration and use of administrative (e.g., privileged) functions; and</w:t>
      </w:r>
    </w:p>
    <w:p>
      <w:pPr>
        <w:pStyle w:val="ListParagraph"/>
        <w:numPr>
          <w:ilvl w:val="0"/>
          <w:numId w:val="128"/>
        </w:numPr>
        <w:rPr/>
      </w:pPr>
      <w:r>
        <w:rPr/>
        <w:t>Obtains, protects as required and makes available to authorized personnel, user documentation for systems that describes:</w:t>
      </w:r>
    </w:p>
    <w:p>
      <w:pPr>
        <w:pStyle w:val="ListParagraph"/>
        <w:numPr>
          <w:ilvl w:val="1"/>
          <w:numId w:val="128"/>
        </w:numPr>
        <w:rPr/>
      </w:pPr>
      <w:r>
        <w:rPr/>
        <w:t>User-accessible security features / functions and how to effectively use those security features / functions;</w:t>
      </w:r>
    </w:p>
    <w:p>
      <w:pPr>
        <w:pStyle w:val="ListParagraph"/>
        <w:numPr>
          <w:ilvl w:val="1"/>
          <w:numId w:val="128"/>
        </w:numPr>
        <w:rPr/>
      </w:pPr>
      <w:r>
        <w:rPr/>
        <w:t>Methods for user interaction with systems, which enables individuals to use the system in a more secure manner; and</w:t>
      </w:r>
    </w:p>
    <w:p>
      <w:pPr>
        <w:pStyle w:val="ListParagraph"/>
        <w:numPr>
          <w:ilvl w:val="1"/>
          <w:numId w:val="128"/>
        </w:numPr>
        <w:rPr/>
      </w:pPr>
      <w:r>
        <w:rPr/>
        <w:t>User responsibilities in maintaining the security of the information and system; and</w:t>
      </w:r>
    </w:p>
    <w:p>
      <w:pPr>
        <w:pStyle w:val="ListParagraph"/>
        <w:numPr>
          <w:ilvl w:val="0"/>
          <w:numId w:val="128"/>
        </w:numPr>
        <w:rPr/>
      </w:pPr>
      <w:r>
        <w:rPr/>
        <w:t>Documents attempts to obtain system documentation when such documentation is either unavailable or nonexistent.</w:t>
      </w:r>
    </w:p>
    <w:p>
      <w:pPr>
        <w:pStyle w:val="Normal"/>
        <w:rPr/>
      </w:pPr>
      <w:r>
        <w:rPr/>
      </w:r>
    </w:p>
    <w:p>
      <w:pPr>
        <w:pStyle w:val="Normal"/>
        <w:rPr/>
      </w:pPr>
      <w:r>
        <w:rPr>
          <w:u w:val="single"/>
        </w:rPr>
        <w:t>Standard</w:t>
      </w:r>
      <w:r>
        <w:rPr/>
        <w:t>: Data/process owners and asset custodians are required to obtain:</w:t>
      </w:r>
    </w:p>
    <w:p>
      <w:pPr>
        <w:pStyle w:val="ListParagraph"/>
        <w:numPr>
          <w:ilvl w:val="0"/>
          <w:numId w:val="473"/>
        </w:numPr>
        <w:rPr/>
      </w:pPr>
      <w:r>
        <w:rPr/>
        <w:t>Administrator documentation for systems that describes:</w:t>
      </w:r>
    </w:p>
    <w:p>
      <w:pPr>
        <w:pStyle w:val="ListParagraph"/>
        <w:numPr>
          <w:ilvl w:val="1"/>
          <w:numId w:val="473"/>
        </w:numPr>
        <w:rPr/>
      </w:pPr>
      <w:r>
        <w:rPr/>
        <w:t>Secure configuration, installation and operation of the system;</w:t>
      </w:r>
    </w:p>
    <w:p>
      <w:pPr>
        <w:pStyle w:val="ListParagraph"/>
        <w:numPr>
          <w:ilvl w:val="1"/>
          <w:numId w:val="473"/>
        </w:numPr>
        <w:rPr/>
      </w:pPr>
      <w:r>
        <w:rPr/>
        <w:t>Effective use and maintenance of security features / functions; and</w:t>
      </w:r>
    </w:p>
    <w:p>
      <w:pPr>
        <w:pStyle w:val="ListParagraph"/>
        <w:numPr>
          <w:ilvl w:val="1"/>
          <w:numId w:val="473"/>
        </w:numPr>
        <w:rPr/>
      </w:pPr>
      <w:r>
        <w:rPr/>
        <w:t xml:space="preserve">Known vulnerabilities regarding configuration and use of administrative (e.g., privileged) functions; </w:t>
      </w:r>
    </w:p>
    <w:p>
      <w:pPr>
        <w:pStyle w:val="ListParagraph"/>
        <w:numPr>
          <w:ilvl w:val="0"/>
          <w:numId w:val="473"/>
        </w:numPr>
        <w:rPr/>
      </w:pPr>
      <w:r>
        <w:rPr/>
        <w:t>User documentation for systems that describes:</w:t>
      </w:r>
    </w:p>
    <w:p>
      <w:pPr>
        <w:pStyle w:val="ListParagraph"/>
        <w:numPr>
          <w:ilvl w:val="1"/>
          <w:numId w:val="473"/>
        </w:numPr>
        <w:rPr/>
      </w:pPr>
      <w:r>
        <w:rPr/>
        <w:t>User-accessible security features / functions and how to effectively use those security features / functions;</w:t>
      </w:r>
    </w:p>
    <w:p>
      <w:pPr>
        <w:pStyle w:val="ListParagraph"/>
        <w:numPr>
          <w:ilvl w:val="1"/>
          <w:numId w:val="473"/>
        </w:numPr>
        <w:rPr/>
      </w:pPr>
      <w:r>
        <w:rPr/>
        <w:t>Methods for user interaction with the system, which enables individuals to use the system in a more secure manner; and</w:t>
      </w:r>
    </w:p>
    <w:p>
      <w:pPr>
        <w:pStyle w:val="ListParagraph"/>
        <w:numPr>
          <w:ilvl w:val="1"/>
          <w:numId w:val="473"/>
        </w:numPr>
        <w:rPr/>
      </w:pPr>
      <w:r>
        <w:rPr/>
        <w:t>User responsibilities in maintaining the security of the information and system.</w:t>
      </w:r>
    </w:p>
    <w:p>
      <w:pPr>
        <w:pStyle w:val="Normal"/>
        <w:rPr/>
      </w:pPr>
      <w:r>
        <w:rPr/>
      </w:r>
    </w:p>
    <w:p>
      <w:pPr>
        <w:pStyle w:val="Normal"/>
        <w:rPr/>
      </w:pPr>
      <w:r>
        <w:rPr>
          <w:u w:val="single"/>
        </w:rPr>
        <w:t>Guidelines</w:t>
      </w:r>
      <w:r>
        <w:rPr/>
        <w:t>: The purpose of this control is to help personnel understand the implementation and operation of security controls associated with systems. The inability to obtain needed system documentation may occur, for example, due to the age of the systems or lack of support from developers and contractors. In those situations, organizations may need to recreate selected system documentation if such documentation is essential to the effective implementation and / or operation of security controls. The level of protection provided for selected system documentation is commensurate with the security category of the system. For example, documentation associated with a critical communications system would typically require stronger safeguards than a routine administrative system.</w:t>
      </w:r>
    </w:p>
    <w:p>
      <w:pPr>
        <w:pStyle w:val="Normal"/>
        <w:rPr/>
      </w:pPr>
      <w:r>
        <w:rPr/>
      </w:r>
    </w:p>
    <w:p>
      <w:pPr>
        <w:pStyle w:val="Heading3"/>
        <w:rPr/>
      </w:pPr>
      <w:bookmarkStart w:id="2214" w:name="_Toc34921300"/>
      <w:bookmarkStart w:id="2215" w:name="_Toc474075364"/>
      <w:bookmarkStart w:id="2216" w:name="_Toc474075822"/>
      <w:r>
        <w:rPr/>
        <w:t>TDA-04(a): Documentation Requirements</w:t>
      </w:r>
      <w:bookmarkEnd w:id="2215"/>
      <w:bookmarkEnd w:id="2216"/>
      <w:r>
        <w:rPr/>
        <w:t xml:space="preserve"> | Functional Properties</w:t>
      </w:r>
      <w:bookmarkEnd w:id="2214"/>
    </w:p>
    <w:p>
      <w:pPr>
        <w:pStyle w:val="Normal"/>
        <w:rPr/>
      </w:pPr>
      <w:r>
        <w:rPr>
          <w:u w:val="single"/>
        </w:rPr>
        <w:t>Control Objective</w:t>
      </w:r>
      <w:r>
        <w:rPr/>
        <w:t>: The organization requires, in acquisition documents, that vendors / contractors provide information describing the functional properties of the security controls to be employed within systems, system components or services. in sufficient detail to permit analysis and testing of the controls.</w:t>
      </w:r>
      <w:r>
        <w:rPr>
          <w:rStyle w:val="FootnoteAnchor"/>
          <w:rStyle w:val="FootnoteAnchor"/>
          <w:rFonts w:cs="Calibri"/>
          <w:bCs w:val="false"/>
        </w:rPr>
        <w:footnoteReference w:id="606"/>
      </w:r>
    </w:p>
    <w:p>
      <w:pPr>
        <w:pStyle w:val="Normal"/>
        <w:rPr/>
      </w:pPr>
      <w:r>
        <w:rPr/>
      </w:r>
    </w:p>
    <w:p>
      <w:pPr>
        <w:pStyle w:val="Normal"/>
        <w:rPr/>
      </w:pPr>
      <w:r>
        <w:rPr>
          <w:u w:val="single"/>
        </w:rPr>
        <w:t>Standard</w:t>
      </w:r>
      <w:r>
        <w:rPr/>
        <w:t>: Vendors are required to provide documentation describing the design and implementation the security controls employed within systems, system components or services in sufficient detail to permit analysis and testing of the controls.</w:t>
      </w:r>
    </w:p>
    <w:p>
      <w:pPr>
        <w:pStyle w:val="Normal"/>
        <w:rPr/>
      </w:pPr>
      <w:r>
        <w:rPr/>
      </w:r>
    </w:p>
    <w:p>
      <w:pPr>
        <w:pStyle w:val="Normal"/>
        <w:rPr/>
      </w:pPr>
      <w:r>
        <w:rPr>
          <w:u w:val="single"/>
        </w:rPr>
        <w:t>Guidelines</w:t>
      </w:r>
      <w:r>
        <w:rPr/>
        <w:t xml:space="preserve">: NFCC may require different levels of detail in design and implementation documentation for security controls employed in systems, system components and / or services based on mission / business requirements, requirements for trustworthiness and resiliency and requirements for analysis and testing. The purpose of this control enhancement is to ensure that development processes produce a design that increases the likelihood of greater security strength. </w:t>
      </w:r>
    </w:p>
    <w:p>
      <w:pPr>
        <w:pStyle w:val="Normal"/>
        <w:rPr/>
      </w:pPr>
      <w:r>
        <w:rPr/>
      </w:r>
    </w:p>
    <w:p>
      <w:pPr>
        <w:pStyle w:val="Normal"/>
        <w:rPr/>
      </w:pPr>
      <w:r>
        <w:rPr/>
      </w:r>
    </w:p>
    <w:p>
      <w:pPr>
        <w:pStyle w:val="Heading2"/>
        <w:rPr/>
      </w:pPr>
      <w:bookmarkStart w:id="2217" w:name="_Toc34921301"/>
      <w:bookmarkStart w:id="2218" w:name="_Toc474075368"/>
      <w:bookmarkStart w:id="2219" w:name="_Toc474075825"/>
      <w:r>
        <w:rPr/>
        <w:t xml:space="preserve">TDA-05: </w:t>
      </w:r>
      <w:bookmarkEnd w:id="2218"/>
      <w:bookmarkEnd w:id="2219"/>
      <w:r>
        <w:rPr/>
        <w:t>Developer Architecture &amp; Design</w:t>
      </w:r>
      <w:bookmarkEnd w:id="2217"/>
    </w:p>
    <w:p>
      <w:pPr>
        <w:pStyle w:val="Normal"/>
        <w:rPr/>
      </w:pPr>
      <w:r>
        <w:rPr>
          <w:u w:val="single"/>
        </w:rPr>
        <w:t>Control Objective</w:t>
      </w:r>
      <w:r>
        <w:rPr/>
        <w:t>: The organization requires the developers of systems, system components or services to produce a design specification and security architecture that:</w:t>
      </w:r>
      <w:r>
        <w:rPr>
          <w:rStyle w:val="FootnoteAnchor"/>
          <w:rStyle w:val="FootnoteAnchor"/>
          <w:rFonts w:cs="Calibri"/>
        </w:rPr>
        <w:footnoteReference w:id="607"/>
      </w:r>
      <w:r>
        <w:rPr/>
        <w:t xml:space="preserve"> </w:t>
      </w:r>
    </w:p>
    <w:p>
      <w:pPr>
        <w:pStyle w:val="ListParagraph"/>
        <w:numPr>
          <w:ilvl w:val="0"/>
          <w:numId w:val="141"/>
        </w:numPr>
        <w:rPr/>
      </w:pPr>
      <w:r>
        <w:rPr/>
        <w:t>Is consistent with and supportive of the organization’s security architecture which is established within and is an integrated part of the organization’s enterprise architecture;</w:t>
      </w:r>
    </w:p>
    <w:p>
      <w:pPr>
        <w:pStyle w:val="ListParagraph"/>
        <w:numPr>
          <w:ilvl w:val="0"/>
          <w:numId w:val="141"/>
        </w:numPr>
        <w:rPr/>
      </w:pPr>
      <w:r>
        <w:rPr/>
        <w:t>Accurately and completely describes the required security functionality and the allocation of security controls among physical and logical components; and</w:t>
      </w:r>
    </w:p>
    <w:p>
      <w:pPr>
        <w:pStyle w:val="ListParagraph"/>
        <w:numPr>
          <w:ilvl w:val="0"/>
          <w:numId w:val="141"/>
        </w:numPr>
        <w:rPr/>
      </w:pPr>
      <w:r>
        <w:rPr/>
        <w:t>Expresses how individual security functions, mechanisms and services work together to provide required security capabilities and a unified approach to protection.</w:t>
      </w:r>
    </w:p>
    <w:p>
      <w:pPr>
        <w:pStyle w:val="Normal"/>
        <w:rPr/>
      </w:pPr>
      <w:r>
        <w:rPr/>
      </w:r>
    </w:p>
    <w:p>
      <w:pPr>
        <w:pStyle w:val="Normal"/>
        <w:rPr/>
      </w:pPr>
      <w:r>
        <w:rPr>
          <w:u w:val="single"/>
        </w:rPr>
        <w:t>Standard</w:t>
      </w:r>
      <w:r>
        <w:rPr/>
        <w:t>: External business partners (e.g., developers) shall:</w:t>
      </w:r>
    </w:p>
    <w:p>
      <w:pPr>
        <w:pStyle w:val="ListParagraph"/>
        <w:numPr>
          <w:ilvl w:val="0"/>
          <w:numId w:val="472"/>
        </w:numPr>
        <w:rPr/>
      </w:pPr>
      <w:r>
        <w:rPr/>
        <w:t xml:space="preserve">Adhere to the same policies and procedures for change management, release and testing as internal developers within NFCC (e.g., ITIL service management processes); </w:t>
      </w:r>
    </w:p>
    <w:p>
      <w:pPr>
        <w:pStyle w:val="ListParagraph"/>
        <w:numPr>
          <w:ilvl w:val="0"/>
          <w:numId w:val="472"/>
        </w:numPr>
        <w:rPr/>
      </w:pPr>
      <w:r>
        <w:rPr/>
        <w:t>Demonstrate that their software development processes employ:</w:t>
      </w:r>
    </w:p>
    <w:p>
      <w:pPr>
        <w:pStyle w:val="ListParagraph"/>
        <w:numPr>
          <w:ilvl w:val="1"/>
          <w:numId w:val="472"/>
        </w:numPr>
        <w:rPr/>
      </w:pPr>
      <w:r>
        <w:rPr/>
        <w:t>Industry-recognized leading practices for secure programming;</w:t>
      </w:r>
    </w:p>
    <w:p>
      <w:pPr>
        <w:pStyle w:val="ListParagraph"/>
        <w:numPr>
          <w:ilvl w:val="1"/>
          <w:numId w:val="472"/>
        </w:numPr>
        <w:rPr/>
      </w:pPr>
      <w:r>
        <w:rPr/>
        <w:t>Secure engineering methods;</w:t>
      </w:r>
    </w:p>
    <w:p>
      <w:pPr>
        <w:pStyle w:val="ListParagraph"/>
        <w:numPr>
          <w:ilvl w:val="1"/>
          <w:numId w:val="472"/>
        </w:numPr>
        <w:rPr/>
      </w:pPr>
      <w:r>
        <w:rPr/>
        <w:t xml:space="preserve">Quality control processes; and </w:t>
      </w:r>
    </w:p>
    <w:p>
      <w:pPr>
        <w:pStyle w:val="ListParagraph"/>
        <w:numPr>
          <w:ilvl w:val="1"/>
          <w:numId w:val="472"/>
        </w:numPr>
        <w:rPr/>
      </w:pPr>
      <w:r>
        <w:rPr/>
        <w:t>Testing processes to minimize flawed or malformed software; and</w:t>
      </w:r>
    </w:p>
    <w:p>
      <w:pPr>
        <w:pStyle w:val="ListParagraph"/>
        <w:numPr>
          <w:ilvl w:val="0"/>
          <w:numId w:val="472"/>
        </w:numPr>
        <w:rPr/>
      </w:pPr>
      <w:r>
        <w:rPr/>
        <w:t>Implement security configuration standards that:</w:t>
      </w:r>
    </w:p>
    <w:p>
      <w:pPr>
        <w:pStyle w:val="ListParagraph"/>
        <w:numPr>
          <w:ilvl w:val="1"/>
          <w:numId w:val="472"/>
        </w:numPr>
        <w:rPr/>
      </w:pPr>
      <w:r>
        <w:rPr/>
        <w:t xml:space="preserve">Address known security vulnerabilities; and </w:t>
      </w:r>
    </w:p>
    <w:p>
      <w:pPr>
        <w:pStyle w:val="ListParagraph"/>
        <w:numPr>
          <w:ilvl w:val="1"/>
          <w:numId w:val="472"/>
        </w:numPr>
        <w:rPr/>
      </w:pPr>
      <w:r>
        <w:rPr/>
        <w:t>Are consistent with industry-accepted system hardening standards.</w:t>
      </w:r>
    </w:p>
    <w:p>
      <w:pPr>
        <w:pStyle w:val="Normal"/>
        <w:rPr/>
      </w:pPr>
      <w:r>
        <w:rPr/>
      </w:r>
    </w:p>
    <w:p>
      <w:pPr>
        <w:pStyle w:val="Normal"/>
        <w:rPr/>
      </w:pPr>
      <w:r>
        <w:rPr>
          <w:u w:val="single"/>
        </w:rPr>
        <w:t>Guidelines</w:t>
      </w:r>
      <w:r>
        <w:rPr/>
        <w:t xml:space="preserve">: This control is primarily directed at external developers, although it could also be used for internal (in-house) development. </w:t>
      </w:r>
    </w:p>
    <w:p>
      <w:pPr>
        <w:pStyle w:val="Normal"/>
        <w:rPr/>
      </w:pPr>
      <w:r>
        <w:rPr/>
      </w:r>
    </w:p>
    <w:p>
      <w:pPr>
        <w:pStyle w:val="Normal"/>
        <w:rPr/>
      </w:pPr>
      <w:r>
        <w:rPr/>
      </w:r>
    </w:p>
    <w:p>
      <w:pPr>
        <w:pStyle w:val="Heading2"/>
        <w:rPr/>
      </w:pPr>
      <w:bookmarkStart w:id="2220" w:name="_Toc474075369"/>
      <w:bookmarkStart w:id="2221" w:name="_Toc474075826"/>
      <w:bookmarkStart w:id="2222" w:name="_Toc34921302"/>
      <w:r>
        <w:rPr/>
        <w:t>TDA-06: Secure Coding</w:t>
      </w:r>
      <w:bookmarkEnd w:id="2220"/>
      <w:bookmarkEnd w:id="2221"/>
      <w:bookmarkEnd w:id="2222"/>
      <w:r>
        <w:rPr/>
        <w:t xml:space="preserve"> </w:t>
      </w:r>
    </w:p>
    <w:p>
      <w:pPr>
        <w:pStyle w:val="Normal"/>
        <w:rPr/>
      </w:pPr>
      <w:r>
        <w:rPr>
          <w:u w:val="single"/>
        </w:rPr>
        <w:t>Control Objective</w:t>
      </w:r>
      <w:r>
        <w:rPr/>
        <w:t>: The organization develops applications based on secure coding principles.</w:t>
      </w:r>
      <w:r>
        <w:rPr>
          <w:rStyle w:val="FootnoteCharacters"/>
          <w:rFonts w:cs="Calibri"/>
        </w:rPr>
        <w:t xml:space="preserve"> </w:t>
      </w:r>
      <w:r>
        <w:rPr>
          <w:rStyle w:val="FootnoteAnchor"/>
          <w:rStyle w:val="FootnoteAnchor"/>
          <w:rFonts w:cs="Calibri"/>
        </w:rPr>
        <w:footnoteReference w:id="608"/>
      </w:r>
      <w:r>
        <w:rPr>
          <w:rFonts w:cs="Calibri"/>
        </w:rPr>
        <w:t xml:space="preserve"> </w:t>
      </w:r>
    </w:p>
    <w:p>
      <w:pPr>
        <w:pStyle w:val="Normal"/>
        <w:rPr/>
      </w:pPr>
      <w:r>
        <w:rPr/>
      </w:r>
    </w:p>
    <w:p>
      <w:pPr>
        <w:pStyle w:val="Normal"/>
        <w:rPr/>
      </w:pPr>
      <w:r>
        <w:rPr>
          <w:u w:val="single"/>
        </w:rPr>
        <w:t>Standard</w:t>
      </w:r>
      <w:r>
        <w:rPr/>
        <w:t>: NFCC requires:</w:t>
      </w:r>
    </w:p>
    <w:p>
      <w:pPr>
        <w:pStyle w:val="ListParagraph"/>
        <w:numPr>
          <w:ilvl w:val="0"/>
          <w:numId w:val="595"/>
        </w:numPr>
        <w:rPr/>
      </w:pPr>
      <w:r>
        <w:rPr/>
        <w:t>Application owners to address common coding vulnerabilities in the software development process by ensuring the following:</w:t>
      </w:r>
    </w:p>
    <w:p>
      <w:pPr>
        <w:pStyle w:val="ListParagraph"/>
        <w:numPr>
          <w:ilvl w:val="1"/>
          <w:numId w:val="595"/>
        </w:numPr>
        <w:rPr/>
      </w:pPr>
      <w:r>
        <w:rPr/>
        <w:t xml:space="preserve">For in-house developed applications, developer must ensure that development artifacts (e.g., sample data and scripts, unused libraries, components, debug code or tools) are not included in the deployed software or accessible in the production environment; </w:t>
      </w:r>
    </w:p>
    <w:p>
      <w:pPr>
        <w:pStyle w:val="ListParagraph"/>
        <w:numPr>
          <w:ilvl w:val="1"/>
          <w:numId w:val="595"/>
        </w:numPr>
        <w:rPr/>
      </w:pPr>
      <w:r>
        <w:rPr/>
        <w:t>At least annually, developers are properly trained in current, secure coding techniques, including:</w:t>
      </w:r>
      <w:r>
        <w:rPr>
          <w:rStyle w:val="FootnoteCharacters"/>
          <w:rFonts w:cs="Calibri"/>
        </w:rPr>
        <w:t xml:space="preserve"> </w:t>
      </w:r>
    </w:p>
    <w:p>
      <w:pPr>
        <w:pStyle w:val="ListParagraph"/>
        <w:numPr>
          <w:ilvl w:val="2"/>
          <w:numId w:val="595"/>
        </w:numPr>
        <w:rPr/>
      </w:pPr>
      <w:r>
        <w:rPr/>
        <w:t xml:space="preserve">How to avoid common coding vulnerabilities; and </w:t>
      </w:r>
    </w:p>
    <w:p>
      <w:pPr>
        <w:pStyle w:val="ListParagraph"/>
        <w:numPr>
          <w:ilvl w:val="2"/>
          <w:numId w:val="595"/>
        </w:numPr>
        <w:rPr/>
      </w:pPr>
      <w:r>
        <w:rPr/>
        <w:t>Understanding how sensitive data is handled in memory; and</w:t>
      </w:r>
    </w:p>
    <w:p>
      <w:pPr>
        <w:pStyle w:val="ListParagraph"/>
        <w:numPr>
          <w:ilvl w:val="2"/>
          <w:numId w:val="595"/>
        </w:numPr>
        <w:rPr/>
      </w:pPr>
      <w:r>
        <w:rPr/>
        <w:t>Applications are developed based on secure coding guidelines.</w:t>
      </w:r>
    </w:p>
    <w:p>
      <w:pPr>
        <w:pStyle w:val="ListParagraph"/>
        <w:numPr>
          <w:ilvl w:val="0"/>
          <w:numId w:val="595"/>
        </w:numPr>
        <w:rPr/>
      </w:pPr>
      <w:r>
        <w:rPr/>
        <w:t xml:space="preserve">The implementation of industry-recognized leading practices throughout the Software Development Life Cycle (SDLC) that address the following cybersecurity issues: </w:t>
      </w:r>
    </w:p>
    <w:p>
      <w:pPr>
        <w:pStyle w:val="ListParagraph"/>
        <w:numPr>
          <w:ilvl w:val="1"/>
          <w:numId w:val="595"/>
        </w:numPr>
        <w:rPr/>
      </w:pPr>
      <w:r>
        <w:rPr/>
        <w:t>Injection flaws (e.g., SQL injection, OS Command Injection, LDAP and XPath injection flaws);</w:t>
      </w:r>
    </w:p>
    <w:p>
      <w:pPr>
        <w:pStyle w:val="ListParagraph"/>
        <w:numPr>
          <w:ilvl w:val="1"/>
          <w:numId w:val="595"/>
        </w:numPr>
        <w:rPr/>
      </w:pPr>
      <w:r>
        <w:rPr/>
        <w:t>Buffer overflow;</w:t>
      </w:r>
    </w:p>
    <w:p>
      <w:pPr>
        <w:pStyle w:val="ListParagraph"/>
        <w:numPr>
          <w:ilvl w:val="1"/>
          <w:numId w:val="595"/>
        </w:numPr>
        <w:rPr/>
      </w:pPr>
      <w:r>
        <w:rPr/>
        <w:t>Insecure cryptographic storage;</w:t>
      </w:r>
    </w:p>
    <w:p>
      <w:pPr>
        <w:pStyle w:val="ListParagraph"/>
        <w:numPr>
          <w:ilvl w:val="1"/>
          <w:numId w:val="595"/>
        </w:numPr>
        <w:rPr/>
      </w:pPr>
      <w:r>
        <w:rPr/>
        <w:t>Insecure communications;</w:t>
      </w:r>
    </w:p>
    <w:p>
      <w:pPr>
        <w:pStyle w:val="ListParagraph"/>
        <w:numPr>
          <w:ilvl w:val="1"/>
          <w:numId w:val="595"/>
        </w:numPr>
        <w:rPr/>
      </w:pPr>
      <w:r>
        <w:rPr/>
        <w:t>Improper error handling;</w:t>
      </w:r>
    </w:p>
    <w:p>
      <w:pPr>
        <w:pStyle w:val="ListParagraph"/>
        <w:numPr>
          <w:ilvl w:val="1"/>
          <w:numId w:val="595"/>
        </w:numPr>
        <w:rPr/>
      </w:pPr>
      <w:r>
        <w:rPr/>
        <w:t>All “High” vulnerabilities identified in the vulnerability identification process;</w:t>
      </w:r>
    </w:p>
    <w:p>
      <w:pPr>
        <w:pStyle w:val="ListParagraph"/>
        <w:numPr>
          <w:ilvl w:val="1"/>
          <w:numId w:val="595"/>
        </w:numPr>
        <w:rPr/>
      </w:pPr>
      <w:r>
        <w:rPr/>
        <w:t>Cross-site scripting (XSS);</w:t>
      </w:r>
    </w:p>
    <w:p>
      <w:pPr>
        <w:pStyle w:val="ListParagraph"/>
        <w:numPr>
          <w:ilvl w:val="1"/>
          <w:numId w:val="595"/>
        </w:numPr>
        <w:rPr/>
      </w:pPr>
      <w:r>
        <w:rPr/>
        <w:t>Improper Access Control (such as insecure direct object references, failure to restrict URL access and directory traversal); and</w:t>
      </w:r>
    </w:p>
    <w:p>
      <w:pPr>
        <w:pStyle w:val="ListParagraph"/>
        <w:numPr>
          <w:ilvl w:val="1"/>
          <w:numId w:val="595"/>
        </w:numPr>
        <w:rPr/>
      </w:pPr>
      <w:r>
        <w:rPr/>
        <w:t>Cross-site request forgery (CSRF)</w:t>
      </w:r>
    </w:p>
    <w:p>
      <w:pPr>
        <w:pStyle w:val="ListParagraph"/>
        <w:numPr>
          <w:ilvl w:val="0"/>
          <w:numId w:val="595"/>
        </w:numPr>
        <w:rPr/>
      </w:pPr>
      <w:r>
        <w:rPr/>
        <w:t>Software applications are developed in accordance with industry-recognized leading practices;</w:t>
      </w:r>
      <w:r>
        <w:rPr>
          <w:rStyle w:val="FootnoteCharacters"/>
          <w:rFonts w:cs="Calibri"/>
        </w:rPr>
        <w:t xml:space="preserve"> </w:t>
      </w:r>
    </w:p>
    <w:p>
      <w:pPr>
        <w:pStyle w:val="ListParagraph"/>
        <w:numPr>
          <w:ilvl w:val="0"/>
          <w:numId w:val="595"/>
        </w:numPr>
        <w:rPr/>
      </w:pPr>
      <w:r>
        <w:rPr/>
        <w:t xml:space="preserve">Cybersecurity and privacy principles are incorporated throughout the SDLC; </w:t>
      </w:r>
    </w:p>
    <w:p>
      <w:pPr>
        <w:pStyle w:val="ListParagraph"/>
        <w:numPr>
          <w:ilvl w:val="0"/>
          <w:numId w:val="595"/>
        </w:numPr>
        <w:rPr/>
      </w:pPr>
      <w:r>
        <w:rPr/>
        <w:t>Custom application accounts, user IDs and passwords are removed before applications become active or are released to customers;</w:t>
      </w:r>
      <w:r>
        <w:rPr>
          <w:rStyle w:val="FootnoteCharacters"/>
          <w:rFonts w:cs="Calibri"/>
        </w:rPr>
        <w:t xml:space="preserve"> </w:t>
      </w:r>
      <w:r>
        <w:rPr/>
        <w:t xml:space="preserve">and </w:t>
      </w:r>
    </w:p>
    <w:p>
      <w:pPr>
        <w:pStyle w:val="ListParagraph"/>
        <w:numPr>
          <w:ilvl w:val="0"/>
          <w:numId w:val="595"/>
        </w:numPr>
        <w:rPr/>
      </w:pPr>
      <w:r>
        <w:rPr/>
        <w:t>Custom code is reviewed prior to release to production or customers in order to identify any potential coding vulnerability (using either manual or automated processes) to include at least the following:</w:t>
      </w:r>
      <w:r>
        <w:rPr>
          <w:rStyle w:val="FootnoteCharacters"/>
          <w:rFonts w:cs="Calibri"/>
        </w:rPr>
        <w:t xml:space="preserve"> </w:t>
      </w:r>
    </w:p>
    <w:p>
      <w:pPr>
        <w:pStyle w:val="ListParagraph"/>
        <w:numPr>
          <w:ilvl w:val="1"/>
          <w:numId w:val="595"/>
        </w:numPr>
        <w:rPr/>
      </w:pPr>
      <w:r>
        <w:rPr/>
        <w:t>Code changes must be reviewed by individuals other than the originating code author and by individuals knowledgeable about code review techniques and secure coding practices;</w:t>
      </w:r>
    </w:p>
    <w:p>
      <w:pPr>
        <w:pStyle w:val="ListParagraph"/>
        <w:numPr>
          <w:ilvl w:val="1"/>
          <w:numId w:val="595"/>
        </w:numPr>
        <w:rPr/>
      </w:pPr>
      <w:r>
        <w:rPr/>
        <w:t>Code reviews must ensure code is developed according to secure coding guidelines;</w:t>
      </w:r>
    </w:p>
    <w:p>
      <w:pPr>
        <w:pStyle w:val="ListParagraph"/>
        <w:numPr>
          <w:ilvl w:val="1"/>
          <w:numId w:val="595"/>
        </w:numPr>
        <w:rPr/>
      </w:pPr>
      <w:r>
        <w:rPr/>
        <w:t>Appropriate corrections must be implemented prior to release; and</w:t>
      </w:r>
    </w:p>
    <w:p>
      <w:pPr>
        <w:pStyle w:val="ListParagraph"/>
        <w:numPr>
          <w:ilvl w:val="1"/>
          <w:numId w:val="595"/>
        </w:numPr>
        <w:rPr/>
      </w:pPr>
      <w:r>
        <w:rPr/>
        <w:t>Code-review results must be reviewed and approved by management prior to release.</w:t>
      </w:r>
    </w:p>
    <w:p>
      <w:pPr>
        <w:pStyle w:val="Normal"/>
        <w:rPr/>
      </w:pPr>
      <w:r>
        <w:rPr/>
      </w:r>
    </w:p>
    <w:p>
      <w:pPr>
        <w:pStyle w:val="Normal"/>
        <w:rPr/>
      </w:pPr>
      <w:r>
        <w:rPr>
          <w:u w:val="single"/>
        </w:rPr>
        <w:t>Guidelines</w:t>
      </w:r>
      <w:r>
        <w:rPr/>
        <w:t>: Secure coding guidelines are based on the Open Web Application Security Project (OWASP) guide.</w:t>
      </w:r>
      <w:r>
        <w:rPr>
          <w:rStyle w:val="FootnoteAnchor"/>
          <w:rStyle w:val="FootnoteAnchor"/>
          <w:rFonts w:cs="Calibri"/>
        </w:rPr>
        <w:footnoteReference w:id="609"/>
      </w:r>
    </w:p>
    <w:p>
      <w:pPr>
        <w:pStyle w:val="Normal"/>
        <w:rPr/>
      </w:pPr>
      <w:r>
        <w:rPr/>
      </w:r>
    </w:p>
    <w:p>
      <w:pPr>
        <w:pStyle w:val="Heading3"/>
        <w:rPr/>
      </w:pPr>
      <w:bookmarkStart w:id="2223" w:name="_Toc34921303"/>
      <w:r>
        <w:rPr/>
        <w:t>TDA-06(a): Secure Coding | Criticality Analysis</w:t>
      </w:r>
      <w:bookmarkEnd w:id="2223"/>
    </w:p>
    <w:p>
      <w:pPr>
        <w:pStyle w:val="Normal"/>
        <w:rPr/>
      </w:pPr>
      <w:r>
        <w:rPr>
          <w:u w:val="single"/>
        </w:rPr>
        <w:t>Control Objective</w:t>
      </w:r>
      <w:r>
        <w:rPr/>
        <w:t>: The organization identifies critical system components and functions by performing a criticality analysis for critical systems, system components or services. at pre-defined decision points in the Secure Development Life Cycle (SDLC).</w:t>
      </w:r>
      <w:r>
        <w:rPr>
          <w:rStyle w:val="FootnoteAnchor"/>
          <w:rStyle w:val="FootnoteAnchor"/>
          <w:rFonts w:cs="Calibri"/>
        </w:rPr>
        <w:footnoteReference w:id="610"/>
      </w:r>
    </w:p>
    <w:p>
      <w:pPr>
        <w:pStyle w:val="Normal"/>
        <w:rPr/>
      </w:pPr>
      <w:r>
        <w:rPr/>
      </w:r>
    </w:p>
    <w:p>
      <w:pPr>
        <w:pStyle w:val="Normal"/>
        <w:rPr/>
      </w:pPr>
      <w:r>
        <w:rPr>
          <w:u w:val="single"/>
        </w:rPr>
        <w:t>Standard</w:t>
      </w:r>
      <w:r>
        <w:rPr/>
        <w:t>: Application owners, in conjunction with data / process owners, are required to conduct criticality analysis during pre-defined decision points within the SDLC on critical system components in an effort to identify and remediate vulnerabilities.</w:t>
      </w:r>
    </w:p>
    <w:p>
      <w:pPr>
        <w:pStyle w:val="Normal"/>
        <w:rPr/>
      </w:pPr>
      <w:r>
        <w:rPr/>
      </w:r>
    </w:p>
    <w:p>
      <w:pPr>
        <w:pStyle w:val="Normal"/>
        <w:rPr/>
      </w:pPr>
      <w:r>
        <w:rPr>
          <w:u w:val="single"/>
        </w:rPr>
        <w:t>Guidelines</w:t>
      </w:r>
      <w:r>
        <w:rPr/>
        <w:t xml:space="preserve">: Criticality analysis is a key tenet of supply chain risk management and informs the prioritization of supply chain protection activities. System components that allow for unmediated access to critical components or functions are considered critical due to the inherent vulnerabilities such components create. Criticality is assessed in terms of the impact of the function or component failure on the ability of the component to complete the organizational missions supported by the system. </w:t>
      </w:r>
    </w:p>
    <w:p>
      <w:pPr>
        <w:pStyle w:val="Normal"/>
        <w:rPr/>
      </w:pPr>
      <w:r>
        <w:rPr/>
      </w:r>
      <w:bookmarkStart w:id="2224" w:name="_Toc462992767"/>
      <w:bookmarkStart w:id="2225" w:name="_Toc462992767"/>
      <w:bookmarkEnd w:id="2225"/>
    </w:p>
    <w:p>
      <w:pPr>
        <w:pStyle w:val="Normal"/>
        <w:rPr/>
      </w:pPr>
      <w:r>
        <w:rPr/>
        <w:tab/>
        <w:tab/>
        <w:tab/>
      </w:r>
    </w:p>
    <w:p>
      <w:pPr>
        <w:pStyle w:val="Heading2"/>
        <w:rPr/>
      </w:pPr>
      <w:bookmarkStart w:id="2226" w:name="_Toc474075377"/>
      <w:bookmarkStart w:id="2227" w:name="_Toc474075828"/>
      <w:bookmarkStart w:id="2228" w:name="_Toc34921304"/>
      <w:r>
        <w:rPr/>
        <w:t>TDA-07: Secure Development Environments</w:t>
      </w:r>
      <w:bookmarkEnd w:id="2226"/>
      <w:bookmarkEnd w:id="2227"/>
      <w:bookmarkEnd w:id="2228"/>
      <w:r>
        <w:rPr/>
        <w:t xml:space="preserve"> </w:t>
      </w:r>
    </w:p>
    <w:p>
      <w:pPr>
        <w:pStyle w:val="Normal"/>
        <w:rPr/>
      </w:pPr>
      <w:r>
        <w:rPr>
          <w:u w:val="single"/>
        </w:rPr>
        <w:t>Control Objective</w:t>
      </w:r>
      <w:r>
        <w:rPr/>
        <w:t>: The organization maintains a segmented network to ensure a secure development environment. The organization establishes and appropriately protects secure development environments for system development and integration efforts that cover the entire Secure Development Life Cycle (SDLC).</w:t>
      </w:r>
      <w:r>
        <w:rPr>
          <w:rStyle w:val="FootnoteAnchor"/>
          <w:rStyle w:val="FootnoteAnchor"/>
          <w:rFonts w:cs="Calibri"/>
        </w:rPr>
        <w:footnoteReference w:id="611"/>
      </w:r>
    </w:p>
    <w:p>
      <w:pPr>
        <w:pStyle w:val="Normal"/>
        <w:rPr/>
      </w:pPr>
      <w:r>
        <w:rPr/>
      </w:r>
    </w:p>
    <w:p>
      <w:pPr>
        <w:pStyle w:val="Normal"/>
        <w:rPr/>
      </w:pPr>
      <w:r>
        <w:rPr>
          <w:u w:val="single"/>
        </w:rPr>
        <w:t>Standard</w:t>
      </w:r>
      <w:r>
        <w:rPr/>
        <w:t>: NFCC is required to:</w:t>
      </w:r>
    </w:p>
    <w:p>
      <w:pPr>
        <w:pStyle w:val="ListParagraph"/>
        <w:numPr>
          <w:ilvl w:val="0"/>
          <w:numId w:val="474"/>
        </w:numPr>
        <w:rPr/>
      </w:pPr>
      <w:r>
        <w:rPr/>
        <w:t>Appropriately segment development networks from production networks; and</w:t>
      </w:r>
    </w:p>
    <w:p>
      <w:pPr>
        <w:pStyle w:val="ListParagraph"/>
        <w:numPr>
          <w:ilvl w:val="0"/>
          <w:numId w:val="474"/>
        </w:numPr>
        <w:rPr/>
      </w:pPr>
      <w:r>
        <w:rPr/>
        <w:t xml:space="preserve">Secure its development environments for system development and integration efforts. </w:t>
      </w:r>
    </w:p>
    <w:p>
      <w:pPr>
        <w:pStyle w:val="Normal"/>
        <w:rPr/>
      </w:pPr>
      <w:r>
        <w:rPr/>
      </w:r>
    </w:p>
    <w:p>
      <w:pPr>
        <w:pStyle w:val="Normal"/>
        <w:rPr/>
      </w:pPr>
      <w:r>
        <w:rPr>
          <w:u w:val="single"/>
        </w:rPr>
        <w:t>Guidelines</w:t>
      </w:r>
      <w:r>
        <w:rPr/>
        <w:t>: None</w:t>
      </w:r>
    </w:p>
    <w:p>
      <w:pPr>
        <w:pStyle w:val="Normal"/>
        <w:rPr/>
      </w:pPr>
      <w:r>
        <w:rPr/>
      </w:r>
    </w:p>
    <w:p>
      <w:pPr>
        <w:pStyle w:val="Normal"/>
        <w:rPr/>
      </w:pPr>
      <w:r>
        <w:rPr/>
      </w:r>
    </w:p>
    <w:p>
      <w:pPr>
        <w:pStyle w:val="Heading2"/>
        <w:rPr/>
      </w:pPr>
      <w:bookmarkStart w:id="2229" w:name="_Toc474075378"/>
      <w:bookmarkStart w:id="2230" w:name="_Toc474075829"/>
      <w:bookmarkStart w:id="2231" w:name="_Toc34921305"/>
      <w:r>
        <w:rPr/>
        <w:t>TDA-08: Separation of Development, Testing &amp; Operational Environments</w:t>
      </w:r>
      <w:bookmarkEnd w:id="2229"/>
      <w:bookmarkEnd w:id="2230"/>
      <w:bookmarkEnd w:id="2231"/>
      <w:r>
        <w:rPr/>
        <w:t xml:space="preserve"> </w:t>
      </w:r>
    </w:p>
    <w:p>
      <w:pPr>
        <w:pStyle w:val="Normal"/>
        <w:rPr/>
      </w:pPr>
      <w:r>
        <w:rPr>
          <w:u w:val="single"/>
        </w:rPr>
        <w:t>Control Objective</w:t>
      </w:r>
      <w:r>
        <w:rPr/>
        <w:t>: The organization maintains separate development, testing and operational environments to reduce the risks of unauthorized access or changes to the operational environment.</w:t>
      </w:r>
      <w:r>
        <w:rPr>
          <w:rStyle w:val="FootnoteAnchor"/>
          <w:rStyle w:val="FootnoteAnchor"/>
          <w:rFonts w:cs="Calibri"/>
        </w:rPr>
        <w:footnoteReference w:id="612"/>
      </w:r>
    </w:p>
    <w:p>
      <w:pPr>
        <w:pStyle w:val="Normal"/>
        <w:rPr/>
      </w:pPr>
      <w:r>
        <w:rPr/>
      </w:r>
    </w:p>
    <w:p>
      <w:pPr>
        <w:pStyle w:val="Normal"/>
        <w:rPr/>
      </w:pPr>
      <w:r>
        <w:rPr>
          <w:u w:val="single"/>
        </w:rPr>
        <w:t>Standard</w:t>
      </w:r>
      <w:r>
        <w:rPr/>
        <w:t>: NFCC requires:</w:t>
      </w:r>
    </w:p>
    <w:p>
      <w:pPr>
        <w:pStyle w:val="ListParagraph"/>
        <w:numPr>
          <w:ilvl w:val="0"/>
          <w:numId w:val="475"/>
        </w:numPr>
        <w:rPr/>
      </w:pPr>
      <w:r>
        <w:rPr/>
        <w:t xml:space="preserve">Asset custodians to maintain and manage baseline configurations for development and test environments separately from its production baseline configurations; </w:t>
      </w:r>
    </w:p>
    <w:p>
      <w:pPr>
        <w:pStyle w:val="ListParagraph"/>
        <w:numPr>
          <w:ilvl w:val="0"/>
          <w:numId w:val="475"/>
        </w:numPr>
        <w:rPr/>
      </w:pPr>
      <w:r>
        <w:rPr/>
        <w:t>Production and non-production environments to be separated to prevent unauthorized access or changes to information assets; and</w:t>
      </w:r>
    </w:p>
    <w:p>
      <w:pPr>
        <w:pStyle w:val="ListParagraph"/>
        <w:numPr>
          <w:ilvl w:val="0"/>
          <w:numId w:val="475"/>
        </w:numPr>
        <w:rPr/>
      </w:pPr>
      <w:r>
        <w:rPr/>
        <w:t>That developers are prevented from having unmonitored access to production environments.</w:t>
      </w:r>
    </w:p>
    <w:p>
      <w:pPr>
        <w:pStyle w:val="Normal"/>
        <w:rPr/>
      </w:pPr>
      <w:r>
        <w:rPr/>
      </w:r>
    </w:p>
    <w:p>
      <w:pPr>
        <w:pStyle w:val="Normal"/>
        <w:rPr/>
      </w:pPr>
      <w:r>
        <w:rPr>
          <w:u w:val="single"/>
        </w:rPr>
        <w:t>Guidelines</w:t>
      </w:r>
      <w:r>
        <w:rPr/>
        <w:t>: Separation of the environments may include: stateful inspection firewalls, domain / realm authentication sources and clear segregation of duties for personnel accessing these environments as part of their job duties.</w:t>
      </w:r>
    </w:p>
    <w:p>
      <w:pPr>
        <w:pStyle w:val="Normal"/>
        <w:rPr/>
      </w:pPr>
      <w:r>
        <w:rPr/>
      </w:r>
    </w:p>
    <w:p>
      <w:pPr>
        <w:pStyle w:val="Normal"/>
        <w:rPr/>
      </w:pPr>
      <w:r>
        <w:rPr/>
        <w:t>Establishing separate baseline configurations for development, testing and operational environments help protect systems from unplanned / unexpected events related to development and testing activities). Separate baseline configurations allow organizations to apply the configuration management that is most appropriate for each type of configuration. For example, management of operational configurations typically emphasizes the need for stability, while management of development / test configurations requires greater flexibility. This standard requires separate configurations but not necessarily separate physical environments.</w:t>
      </w:r>
    </w:p>
    <w:p>
      <w:pPr>
        <w:pStyle w:val="Normal"/>
        <w:rPr/>
      </w:pPr>
      <w:r>
        <w:rPr/>
      </w:r>
    </w:p>
    <w:p>
      <w:pPr>
        <w:pStyle w:val="Normal"/>
        <w:rPr/>
      </w:pPr>
      <w:r>
        <w:rPr/>
      </w:r>
    </w:p>
    <w:p>
      <w:pPr>
        <w:pStyle w:val="Heading2"/>
        <w:rPr/>
      </w:pPr>
      <w:bookmarkStart w:id="2232" w:name="_Toc474075379"/>
      <w:bookmarkStart w:id="2233" w:name="_Toc474075830"/>
      <w:bookmarkStart w:id="2234" w:name="_Toc34921306"/>
      <w:r>
        <w:rPr/>
        <w:t>TDA-09: Security &amp; Privacy Testing Throughout Development</w:t>
      </w:r>
      <w:bookmarkEnd w:id="2232"/>
      <w:bookmarkEnd w:id="2233"/>
      <w:bookmarkEnd w:id="2234"/>
      <w:r>
        <w:rPr/>
        <w:t xml:space="preserve"> </w:t>
      </w:r>
    </w:p>
    <w:p>
      <w:pPr>
        <w:pStyle w:val="Normal"/>
        <w:rPr/>
      </w:pPr>
      <w:r>
        <w:rPr>
          <w:u w:val="single"/>
        </w:rPr>
        <w:t>Control Objective</w:t>
      </w:r>
      <w:r>
        <w:rPr/>
        <w:t>: The organization requires that system developers / integrators, in consultation with associated security and privacy personnel:</w:t>
      </w:r>
      <w:r>
        <w:rPr>
          <w:rStyle w:val="FootnoteAnchor"/>
          <w:rStyle w:val="FootnoteAnchor"/>
          <w:rFonts w:cs="Calibri"/>
        </w:rPr>
        <w:footnoteReference w:id="613"/>
      </w:r>
      <w:r>
        <w:rPr/>
        <w:t xml:space="preserve"> </w:t>
      </w:r>
    </w:p>
    <w:p>
      <w:pPr>
        <w:pStyle w:val="ListParagraph"/>
        <w:numPr>
          <w:ilvl w:val="0"/>
          <w:numId w:val="13"/>
        </w:numPr>
        <w:rPr/>
      </w:pPr>
      <w:r>
        <w:rPr/>
        <w:t>Create and implement a security test and evaluation plan;</w:t>
      </w:r>
    </w:p>
    <w:p>
      <w:pPr>
        <w:pStyle w:val="ListParagraph"/>
        <w:numPr>
          <w:ilvl w:val="0"/>
          <w:numId w:val="13"/>
        </w:numPr>
        <w:rPr/>
      </w:pPr>
      <w:r>
        <w:rPr/>
        <w:t>Implement a verifiable flaw remediation process to correct weaknesses and deficiencies identified during the security testing and evaluation process; and</w:t>
      </w:r>
    </w:p>
    <w:p>
      <w:pPr>
        <w:pStyle w:val="ListParagraph"/>
        <w:numPr>
          <w:ilvl w:val="0"/>
          <w:numId w:val="13"/>
        </w:numPr>
        <w:rPr/>
      </w:pPr>
      <w:r>
        <w:rPr/>
        <w:t>Document the results of the security testing / evaluation and flaw remediation processes.</w:t>
      </w:r>
    </w:p>
    <w:p>
      <w:pPr>
        <w:pStyle w:val="Normal"/>
        <w:rPr/>
      </w:pPr>
      <w:r>
        <w:rPr/>
      </w:r>
    </w:p>
    <w:p>
      <w:pPr>
        <w:pStyle w:val="Normal"/>
        <w:rPr/>
      </w:pPr>
      <w:r>
        <w:rPr>
          <w:u w:val="single"/>
        </w:rPr>
        <w:t>Standard</w:t>
      </w:r>
      <w:r>
        <w:rPr/>
        <w:t>: Developers and system integrators are required to:</w:t>
      </w:r>
    </w:p>
    <w:p>
      <w:pPr>
        <w:pStyle w:val="ListParagraph"/>
        <w:numPr>
          <w:ilvl w:val="0"/>
          <w:numId w:val="476"/>
        </w:numPr>
        <w:rPr/>
      </w:pPr>
      <w:r>
        <w:rPr/>
        <w:t xml:space="preserve">Follow change control processes and procedures for all changes to system components that affect NFCC’s production network; </w:t>
      </w:r>
    </w:p>
    <w:p>
      <w:pPr>
        <w:pStyle w:val="ListParagraph"/>
        <w:numPr>
          <w:ilvl w:val="0"/>
          <w:numId w:val="476"/>
        </w:numPr>
        <w:rPr/>
      </w:pPr>
      <w:r>
        <w:rPr/>
        <w:t>Supervise and monitor the activity of outsourced system development;</w:t>
      </w:r>
    </w:p>
    <w:p>
      <w:pPr>
        <w:pStyle w:val="ListParagraph"/>
        <w:numPr>
          <w:ilvl w:val="0"/>
          <w:numId w:val="476"/>
        </w:numPr>
        <w:rPr/>
      </w:pPr>
      <w:r>
        <w:rPr/>
        <w:t>For in-house developed software, ensure that explicit error checking is performed and documented for all input, including for size, data type and acceptable ranges or formats;</w:t>
      </w:r>
    </w:p>
    <w:p>
      <w:pPr>
        <w:pStyle w:val="ListParagraph"/>
        <w:numPr>
          <w:ilvl w:val="0"/>
          <w:numId w:val="476"/>
        </w:numPr>
        <w:rPr/>
      </w:pPr>
      <w:r>
        <w:rPr/>
        <w:t>Remove test data and accounts before production systems become active / goes into production; and</w:t>
      </w:r>
    </w:p>
    <w:p>
      <w:pPr>
        <w:pStyle w:val="ListParagraph"/>
        <w:numPr>
          <w:ilvl w:val="0"/>
          <w:numId w:val="476"/>
        </w:numPr>
        <w:rPr/>
      </w:pPr>
      <w:r>
        <w:rPr/>
        <w:t xml:space="preserve">Ensure security functionality testing is conducted, prior to implementation. </w:t>
      </w:r>
    </w:p>
    <w:p>
      <w:pPr>
        <w:pStyle w:val="Normal"/>
        <w:rPr/>
      </w:pPr>
      <w:r>
        <w:rPr/>
      </w:r>
    </w:p>
    <w:p>
      <w:pPr>
        <w:pStyle w:val="Normal"/>
        <w:rPr/>
      </w:pPr>
      <w:r>
        <w:rPr>
          <w:u w:val="single"/>
        </w:rPr>
        <w:t>Guidelines</w:t>
      </w:r>
      <w:r>
        <w:rPr/>
        <w:t>: Organizations should follow a defined quality change control and testing process (e.g., ITIL Service Management) with established baselines, testing and release standards that focus on system availability, confidentiality and integrity of systems and services. The change control processes should include the following:</w:t>
      </w:r>
    </w:p>
    <w:p>
      <w:pPr>
        <w:pStyle w:val="ListParagraph"/>
        <w:numPr>
          <w:ilvl w:val="0"/>
          <w:numId w:val="15"/>
        </w:numPr>
        <w:rPr/>
      </w:pPr>
      <w:r>
        <w:rPr/>
        <w:t>Separate development / test and production environments;</w:t>
      </w:r>
    </w:p>
    <w:p>
      <w:pPr>
        <w:pStyle w:val="ListParagraph"/>
        <w:numPr>
          <w:ilvl w:val="0"/>
          <w:numId w:val="15"/>
        </w:numPr>
        <w:rPr/>
      </w:pPr>
      <w:r>
        <w:rPr/>
        <w:t>Separation of duties between development / test and production environments;</w:t>
      </w:r>
    </w:p>
    <w:p>
      <w:pPr>
        <w:pStyle w:val="ListParagraph"/>
        <w:numPr>
          <w:ilvl w:val="0"/>
          <w:numId w:val="15"/>
        </w:numPr>
        <w:rPr/>
      </w:pPr>
      <w:r>
        <w:rPr/>
        <w:t>Production data (live data) are not used for testing or development; and</w:t>
      </w:r>
    </w:p>
    <w:p>
      <w:pPr>
        <w:pStyle w:val="ListParagraph"/>
        <w:numPr>
          <w:ilvl w:val="0"/>
          <w:numId w:val="15"/>
        </w:numPr>
        <w:rPr/>
      </w:pPr>
      <w:r>
        <w:rPr/>
        <w:t>Removal of test data and accounts before production systems become active.</w:t>
      </w:r>
    </w:p>
    <w:p>
      <w:pPr>
        <w:pStyle w:val="Normal"/>
        <w:rPr/>
      </w:pPr>
      <w:r>
        <w:rPr/>
      </w:r>
    </w:p>
    <w:p>
      <w:pPr>
        <w:pStyle w:val="Normal"/>
        <w:rPr/>
      </w:pPr>
      <w:r>
        <w:rPr/>
        <w:t xml:space="preserve">Security Test and Evaluation (ST&amp;E) plans provide the specific activities that developers plan to carry out including the types of analyses, testing and reviews of software and firmware components, the degree of rigor to be applied in the analyses, tests and reviews and the types of artifacts produced during those processes. Developmental security testing occurs at all post‐design phases of the Secure Development Life Cycle (SDLC). Developer testing confirms that: </w:t>
      </w:r>
    </w:p>
    <w:p>
      <w:pPr>
        <w:pStyle w:val="ListParagraph"/>
        <w:numPr>
          <w:ilvl w:val="0"/>
          <w:numId w:val="14"/>
        </w:numPr>
        <w:rPr/>
      </w:pPr>
      <w:r>
        <w:rPr/>
        <w:t xml:space="preserve">Required security controls are implemented correctly and operating as intended; and </w:t>
      </w:r>
    </w:p>
    <w:p>
      <w:pPr>
        <w:pStyle w:val="ListParagraph"/>
        <w:numPr>
          <w:ilvl w:val="0"/>
          <w:numId w:val="14"/>
        </w:numPr>
        <w:rPr/>
      </w:pPr>
      <w:r>
        <w:rPr/>
        <w:t xml:space="preserve">The system(s) meets the established security requirements. </w:t>
      </w:r>
    </w:p>
    <w:p>
      <w:pPr>
        <w:pStyle w:val="Normal"/>
        <w:rPr/>
      </w:pPr>
      <w:r>
        <w:rPr/>
      </w:r>
    </w:p>
    <w:p>
      <w:pPr>
        <w:pStyle w:val="Heading3"/>
        <w:rPr/>
      </w:pPr>
      <w:bookmarkStart w:id="2235" w:name="_Toc474075376"/>
      <w:bookmarkStart w:id="2236" w:name="_Toc34921307"/>
      <w:r>
        <w:rPr/>
        <w:t>TDA-09(a): Security &amp; Privacy Testing Throughout Development | Continuous Monitoring Plan</w:t>
      </w:r>
      <w:bookmarkEnd w:id="2235"/>
      <w:bookmarkEnd w:id="2236"/>
    </w:p>
    <w:p>
      <w:pPr>
        <w:pStyle w:val="Normal"/>
        <w:rPr/>
      </w:pPr>
      <w:r>
        <w:rPr>
          <w:u w:val="single"/>
        </w:rPr>
        <w:t>Control Objective</w:t>
      </w:r>
      <w:r>
        <w:rPr/>
        <w:t>: The organization requires the developers of systems, system components or services to produce a plan for the continuous monitoring of security &amp; privacy control effectiveness.</w:t>
      </w:r>
      <w:r>
        <w:rPr>
          <w:rStyle w:val="FootnoteAnchor"/>
          <w:rStyle w:val="FootnoteAnchor"/>
          <w:rFonts w:cs="Calibri"/>
        </w:rPr>
        <w:footnoteReference w:id="614"/>
      </w:r>
    </w:p>
    <w:p>
      <w:pPr>
        <w:pStyle w:val="Normal"/>
        <w:rPr/>
      </w:pPr>
      <w:r>
        <w:rPr/>
      </w:r>
    </w:p>
    <w:p>
      <w:pPr>
        <w:pStyle w:val="Normal"/>
        <w:rPr/>
      </w:pPr>
      <w:r>
        <w:rPr>
          <w:u w:val="single"/>
        </w:rPr>
        <w:t>Standard</w:t>
      </w:r>
      <w:r>
        <w:rPr/>
        <w:t>: Where technically feasible and justified by a valid business case, third-party developers of system, system component or system service are required to produce a plan for the continuous monitoring of security control effectiveness.</w:t>
      </w:r>
    </w:p>
    <w:p>
      <w:pPr>
        <w:pStyle w:val="Normal"/>
        <w:rPr/>
      </w:pPr>
      <w:r>
        <w:rPr/>
      </w:r>
    </w:p>
    <w:p>
      <w:pPr>
        <w:pStyle w:val="Normal"/>
        <w:rPr>
          <w:u w:val="single"/>
        </w:rPr>
      </w:pPr>
      <w:r>
        <w:rPr>
          <w:u w:val="single"/>
        </w:rPr>
        <w:t>Guidelines</w:t>
      </w:r>
      <w:r>
        <w:rPr/>
        <w:t>: The objective of continuous monitoring plans is to determine if the complete set of planned, required and deployed security controls within the system, system component or system service continue to be effective over time based on the inevitable changes that occur. Developer continuous monitoring plans include a sufficient level of detail such that the information can be incorporated into the continuous monitoring strategies and programs implemented by organizations.</w:t>
      </w:r>
    </w:p>
    <w:p>
      <w:pPr>
        <w:pStyle w:val="Normal"/>
        <w:rPr>
          <w:rFonts w:eastAsia="Calibri"/>
        </w:rPr>
      </w:pPr>
      <w:r>
        <w:rPr>
          <w:rFonts w:eastAsia="Calibri"/>
        </w:rPr>
      </w:r>
    </w:p>
    <w:p>
      <w:pPr>
        <w:pStyle w:val="Heading3"/>
        <w:rPr/>
      </w:pPr>
      <w:bookmarkStart w:id="2237" w:name="_Toc474075381"/>
      <w:bookmarkStart w:id="2238" w:name="_Toc34921308"/>
      <w:r>
        <w:rPr/>
        <w:t>TDA-09(b): Security &amp; Privacy Testing Throughout Development | Static Code Analysis</w:t>
      </w:r>
      <w:bookmarkEnd w:id="2237"/>
      <w:bookmarkEnd w:id="2238"/>
      <w:r>
        <w:rPr/>
        <w:t xml:space="preserve"> </w:t>
      </w:r>
    </w:p>
    <w:p>
      <w:pPr>
        <w:pStyle w:val="Normal"/>
        <w:rPr/>
      </w:pPr>
      <w:r>
        <w:rPr>
          <w:u w:val="single"/>
        </w:rPr>
        <w:t>Control Objective</w:t>
      </w:r>
      <w:r>
        <w:rPr/>
        <w:t>: The organization requires the developers of systems, system components or services to employ static code analysis tools to identify common flaws and document the results of the analysis.</w:t>
      </w:r>
      <w:r>
        <w:rPr>
          <w:rStyle w:val="FootnoteAnchor"/>
          <w:rStyle w:val="FootnoteAnchor"/>
          <w:rFonts w:cs="Calibri"/>
          <w:bCs w:val="false"/>
        </w:rPr>
        <w:footnoteReference w:id="615"/>
      </w:r>
      <w:r>
        <w:rPr>
          <w:rStyle w:val="FootnoteCharacters"/>
          <w:rFonts w:cs="Calibri"/>
          <w:bCs w:val="false"/>
        </w:rPr>
        <w:t xml:space="preserve"> </w:t>
      </w:r>
    </w:p>
    <w:p>
      <w:pPr>
        <w:pStyle w:val="Normal"/>
        <w:rPr/>
      </w:pPr>
      <w:r>
        <w:rPr/>
      </w:r>
    </w:p>
    <w:p>
      <w:pPr>
        <w:pStyle w:val="Normal"/>
        <w:rPr/>
      </w:pPr>
      <w:r>
        <w:rPr>
          <w:u w:val="single"/>
        </w:rPr>
        <w:t>Standard</w:t>
      </w:r>
      <w:r>
        <w:rPr/>
        <w:t xml:space="preserve">: Developers and system integrators are required to perform a static code analysis of custom code prior to release to production or customers, in order to identify any potential coding vulnerability. </w:t>
      </w:r>
    </w:p>
    <w:p>
      <w:pPr>
        <w:pStyle w:val="Normal"/>
        <w:rPr/>
      </w:pPr>
      <w:r>
        <w:rPr/>
      </w:r>
    </w:p>
    <w:p>
      <w:pPr>
        <w:pStyle w:val="Normal"/>
        <w:rPr/>
      </w:pPr>
      <w:r>
        <w:rPr>
          <w:u w:val="single"/>
        </w:rPr>
        <w:t>Guidelines</w:t>
      </w:r>
      <w:r>
        <w:rPr/>
        <w:t>: Static code analysis provides a technology and methodology for security reviews. Such analysis can be used to identify security vulnerabilities and enforce security coding practices. Static code analysis is most effective when used early in the development process, when each code change can be automatically scanned for potential weaknesses. Static analysis can provide clear remediation guidance along with defects to enable developers to fix such defects. Evidence of correct implementation of static analysis can include, for example, aggregate defect density for critical defect types, evidence that defects were inspected by developers or security professionals and evidence that defects were fixed. An excessively high density of ignored findings (commonly referred to as ignored or false positives) indicates a potential problem with the analysis process or tool. In such cases, organizations weigh the validity of the evidence against evidence from other sources.</w:t>
      </w:r>
    </w:p>
    <w:p>
      <w:pPr>
        <w:pStyle w:val="Normal"/>
        <w:rPr/>
      </w:pPr>
      <w:r>
        <w:rPr/>
      </w:r>
    </w:p>
    <w:p>
      <w:pPr>
        <w:pStyle w:val="Heading3"/>
        <w:rPr/>
      </w:pPr>
      <w:bookmarkStart w:id="2239" w:name="_Toc474075382"/>
      <w:bookmarkStart w:id="2240" w:name="_Toc34921309"/>
      <w:r>
        <w:rPr/>
        <w:t>TDA-09(c): Security &amp; Privacy Testing Throughout Development | Dynamic Code Analysis</w:t>
      </w:r>
      <w:bookmarkEnd w:id="2239"/>
      <w:bookmarkEnd w:id="2240"/>
      <w:r>
        <w:rPr/>
        <w:t xml:space="preserve"> </w:t>
      </w:r>
    </w:p>
    <w:p>
      <w:pPr>
        <w:pStyle w:val="Normal"/>
        <w:rPr/>
      </w:pPr>
      <w:r>
        <w:rPr>
          <w:u w:val="single"/>
        </w:rPr>
        <w:t>Control Objective</w:t>
      </w:r>
      <w:r>
        <w:rPr/>
        <w:t>: The organization requires the developers of systems, system components or services to employ dynamic code analysis tools to identify common flaws and document the results of the analysis.</w:t>
      </w:r>
      <w:r>
        <w:rPr>
          <w:rStyle w:val="FootnoteAnchor"/>
          <w:rStyle w:val="FootnoteAnchor"/>
          <w:rFonts w:cs="Calibri"/>
        </w:rPr>
        <w:footnoteReference w:id="616"/>
      </w:r>
    </w:p>
    <w:p>
      <w:pPr>
        <w:pStyle w:val="Normal"/>
        <w:rPr/>
      </w:pPr>
      <w:r>
        <w:rPr/>
      </w:r>
    </w:p>
    <w:p>
      <w:pPr>
        <w:pStyle w:val="Normal"/>
        <w:rPr/>
      </w:pPr>
      <w:r>
        <w:rPr>
          <w:u w:val="single"/>
        </w:rPr>
        <w:t>Standard</w:t>
      </w:r>
      <w:r>
        <w:rPr/>
        <w:t xml:space="preserve">: Developers and system integrators are required to employ dynamic code analysis tools to review custom code prior to release to production or customers, in order to identify any potential coding vulnerability. </w:t>
      </w:r>
    </w:p>
    <w:p>
      <w:pPr>
        <w:pStyle w:val="Normal"/>
        <w:rPr/>
      </w:pPr>
      <w:r>
        <w:rPr/>
      </w:r>
    </w:p>
    <w:p>
      <w:pPr>
        <w:pStyle w:val="Normal"/>
        <w:rPr>
          <w:u w:val="single"/>
        </w:rPr>
      </w:pPr>
      <w:r>
        <w:rPr>
          <w:u w:val="single"/>
        </w:rPr>
        <w:t>Guidelines</w:t>
      </w:r>
      <w:r>
        <w:rPr/>
        <w:t>: Dynamic code analysis provides run-time verification of software programs, using tools capable of monitoring programs for memory corruption, user privilege issues and other potential security problems. Dynamic code analysis employs run-time tools to help to ensure that security functionality performs in the manner in which it was designed. A specialized type of dynamic analysis, known as fuzz testing, induces program failures by deliberately introducing malformed or random data into software programs. Fuzz testing strategies derive from the intended use of applications and the functional and design specifications for the applications. To understand the scope of dynamic code analysis and hence the assurance provided, organizations may also consider conducting code coverage analysis (checking the degree to which the code has been tested using metrics such as percent of subroutines tested or percent of program statements called during execution of the test suite) and / or concordance analysis (checking for words that are out of place in software code such as non-English language words or derogatory terms).</w:t>
      </w:r>
    </w:p>
    <w:p>
      <w:pPr>
        <w:pStyle w:val="Normal"/>
        <w:rPr/>
      </w:pPr>
      <w:r>
        <w:rPr/>
      </w:r>
    </w:p>
    <w:p>
      <w:pPr>
        <w:pStyle w:val="Heading3"/>
        <w:rPr/>
      </w:pPr>
      <w:bookmarkStart w:id="2241" w:name="_Toc34921310"/>
      <w:r>
        <w:rPr/>
        <w:t>TDA-09(d): Security &amp; Privacy Testing Throughout Development | Malformed Input Testing</w:t>
      </w:r>
      <w:bookmarkEnd w:id="2241"/>
      <w:r>
        <w:rPr/>
        <w:t xml:space="preserve"> </w:t>
      </w:r>
    </w:p>
    <w:p>
      <w:pPr>
        <w:pStyle w:val="Normal"/>
        <w:rPr/>
      </w:pPr>
      <w:r>
        <w:rPr>
          <w:u w:val="single"/>
        </w:rPr>
        <w:t>Control Objective</w:t>
      </w:r>
      <w:r>
        <w:rPr/>
        <w:t>: The organization employs testing methods to ensure systems, services and products continue to operate as intended when subject to invalid or unexpected inputs on its interfaces.</w:t>
      </w:r>
    </w:p>
    <w:p>
      <w:pPr>
        <w:pStyle w:val="Normal"/>
        <w:rPr/>
      </w:pPr>
      <w:r>
        <w:rPr/>
      </w:r>
    </w:p>
    <w:p>
      <w:pPr>
        <w:pStyle w:val="Normal"/>
        <w:rPr/>
      </w:pPr>
      <w:r>
        <w:rPr>
          <w:u w:val="single"/>
        </w:rPr>
        <w:t>Standard</w:t>
      </w:r>
      <w:r>
        <w:rPr/>
        <w:t xml:space="preserve">: Application developers must conduct malformed input testing to identify unexpected behavior when the product is subject to invalid or unexpected inputs. </w:t>
      </w:r>
    </w:p>
    <w:p>
      <w:pPr>
        <w:pStyle w:val="ListParagraph"/>
        <w:numPr>
          <w:ilvl w:val="0"/>
          <w:numId w:val="525"/>
        </w:numPr>
        <w:rPr/>
      </w:pPr>
      <w:r>
        <w:rPr/>
        <w:t>Malformed input testing must be conducted in a representative environment for its intended deployment and configuration;</w:t>
      </w:r>
    </w:p>
    <w:p>
      <w:pPr>
        <w:pStyle w:val="ListParagraph"/>
        <w:numPr>
          <w:ilvl w:val="0"/>
          <w:numId w:val="525"/>
        </w:numPr>
        <w:rPr/>
      </w:pPr>
      <w:r>
        <w:rPr/>
        <w:t xml:space="preserve">The product must continue to operate as expected when: </w:t>
      </w:r>
    </w:p>
    <w:p>
      <w:pPr>
        <w:pStyle w:val="ListParagraph"/>
        <w:numPr>
          <w:ilvl w:val="1"/>
          <w:numId w:val="525"/>
        </w:numPr>
        <w:rPr/>
      </w:pPr>
      <w:r>
        <w:rPr/>
        <w:t>The product resents or reinitializes its configuration;</w:t>
      </w:r>
    </w:p>
    <w:p>
      <w:pPr>
        <w:pStyle w:val="ListParagraph"/>
        <w:numPr>
          <w:ilvl w:val="1"/>
          <w:numId w:val="525"/>
        </w:numPr>
        <w:rPr/>
      </w:pPr>
      <w:r>
        <w:rPr/>
        <w:t>A process crash of assertion failure occurs without a recovery of its previous state after the test is completed in two (2) minutes of less;</w:t>
      </w:r>
    </w:p>
    <w:p>
      <w:pPr>
        <w:pStyle w:val="ListParagraph"/>
        <w:numPr>
          <w:ilvl w:val="1"/>
          <w:numId w:val="525"/>
        </w:numPr>
        <w:rPr/>
      </w:pPr>
      <w:r>
        <w:rPr/>
        <w:t>A process hangs;</w:t>
      </w:r>
    </w:p>
    <w:p>
      <w:pPr>
        <w:pStyle w:val="ListParagraph"/>
        <w:numPr>
          <w:ilvl w:val="1"/>
          <w:numId w:val="525"/>
        </w:numPr>
        <w:rPr/>
      </w:pPr>
      <w:r>
        <w:rPr/>
        <w:t>The testing uses resources of the product and the product does not relinquish these resources after testing;</w:t>
      </w:r>
    </w:p>
    <w:p>
      <w:pPr>
        <w:pStyle w:val="ListParagraph"/>
        <w:numPr>
          <w:ilvl w:val="1"/>
          <w:numId w:val="525"/>
        </w:numPr>
        <w:rPr/>
      </w:pPr>
      <w:r>
        <w:rPr/>
        <w:t>The product software throws an unhandled exception;</w:t>
      </w:r>
    </w:p>
    <w:p>
      <w:pPr>
        <w:pStyle w:val="ListParagraph"/>
        <w:numPr>
          <w:ilvl w:val="1"/>
          <w:numId w:val="525"/>
        </w:numPr>
        <w:rPr/>
      </w:pPr>
      <w:r>
        <w:rPr/>
        <w:t>A storage data corruption occurs;</w:t>
      </w:r>
    </w:p>
    <w:p>
      <w:pPr>
        <w:pStyle w:val="ListParagraph"/>
        <w:numPr>
          <w:ilvl w:val="1"/>
          <w:numId w:val="525"/>
        </w:numPr>
        <w:rPr/>
      </w:pPr>
      <w:r>
        <w:rPr/>
        <w:t>The product loses the connection to the malformed input testing tool; and</w:t>
      </w:r>
    </w:p>
    <w:p>
      <w:pPr>
        <w:pStyle w:val="ListParagraph"/>
        <w:numPr>
          <w:ilvl w:val="1"/>
          <w:numId w:val="525"/>
        </w:numPr>
        <w:rPr/>
      </w:pPr>
      <w:r>
        <w:rPr/>
        <w:t>The specific behavior of the product is interrupted and the product does not continue to operate as intended within a timeframe defined by the manufacturer; and</w:t>
      </w:r>
    </w:p>
    <w:p>
      <w:pPr>
        <w:pStyle w:val="ListParagraph"/>
        <w:numPr>
          <w:ilvl w:val="0"/>
          <w:numId w:val="525"/>
        </w:numPr>
        <w:rPr/>
      </w:pPr>
      <w:r>
        <w:rPr/>
        <w:t>The product shall not disclose any Personal Data (PD) or other sensitive data over any interface enumerated.</w:t>
      </w:r>
    </w:p>
    <w:p>
      <w:pPr>
        <w:pStyle w:val="ListParagraph"/>
        <w:rPr/>
      </w:pPr>
      <w:r>
        <w:rPr/>
      </w:r>
    </w:p>
    <w:p>
      <w:pPr>
        <w:pStyle w:val="Normal"/>
        <w:rPr>
          <w:u w:val="single"/>
        </w:rPr>
      </w:pPr>
      <w:r>
        <w:rPr>
          <w:u w:val="single"/>
        </w:rPr>
        <w:t>Guidelines</w:t>
      </w:r>
      <w:r>
        <w:rPr/>
        <w:t>: None</w:t>
      </w:r>
    </w:p>
    <w:p>
      <w:pPr>
        <w:pStyle w:val="Normal"/>
        <w:rPr/>
      </w:pPr>
      <w:r>
        <w:rPr/>
      </w:r>
    </w:p>
    <w:p>
      <w:pPr>
        <w:pStyle w:val="Heading3"/>
        <w:rPr/>
      </w:pPr>
      <w:bookmarkStart w:id="2242" w:name="_Toc34921311"/>
      <w:r>
        <w:rPr/>
        <w:t>TDA-09(e): Security &amp; Privacy Testing Throughout Development | Application Penetration Testing</w:t>
      </w:r>
      <w:bookmarkEnd w:id="2242"/>
      <w:r>
        <w:rPr/>
        <w:t xml:space="preserve"> </w:t>
      </w:r>
    </w:p>
    <w:p>
      <w:pPr>
        <w:pStyle w:val="Normal"/>
        <w:rPr/>
      </w:pPr>
      <w:r>
        <w:rPr>
          <w:u w:val="single"/>
        </w:rPr>
        <w:t>Control Objective</w:t>
      </w:r>
      <w:r>
        <w:rPr/>
        <w:t>: The organization performs application-level penetration testing of custom-made applications and services.</w:t>
      </w:r>
    </w:p>
    <w:p>
      <w:pPr>
        <w:pStyle w:val="Normal"/>
        <w:rPr/>
      </w:pPr>
      <w:r>
        <w:rPr/>
      </w:r>
    </w:p>
    <w:p>
      <w:pPr>
        <w:pStyle w:val="Normal"/>
        <w:rPr/>
      </w:pPr>
      <w:r>
        <w:rPr>
          <w:u w:val="single"/>
        </w:rPr>
        <w:t>Standard</w:t>
      </w:r>
      <w:r>
        <w:rPr/>
        <w:t>: Application developers must perform application penetration testing to identify possible vulnerabilities that could be exploited to cause the product to crash, degrade or perform in a manner that is not consistent with the designed functionality of the product, based on the following conditions:</w:t>
      </w:r>
    </w:p>
    <w:p>
      <w:pPr>
        <w:pStyle w:val="ListParagraph"/>
        <w:numPr>
          <w:ilvl w:val="0"/>
          <w:numId w:val="526"/>
        </w:numPr>
        <w:rPr/>
      </w:pPr>
      <w:r>
        <w:rPr/>
        <w:t>Circumvent the security controls or configuration of the product;</w:t>
      </w:r>
    </w:p>
    <w:p>
      <w:pPr>
        <w:pStyle w:val="ListParagraph"/>
        <w:numPr>
          <w:ilvl w:val="0"/>
          <w:numId w:val="526"/>
        </w:numPr>
        <w:rPr/>
      </w:pPr>
      <w:r>
        <w:rPr/>
        <w:t>Attempt to conduct a Denial of Service (DoS) of the product;</w:t>
      </w:r>
    </w:p>
    <w:p>
      <w:pPr>
        <w:pStyle w:val="ListParagraph"/>
        <w:numPr>
          <w:ilvl w:val="0"/>
          <w:numId w:val="526"/>
        </w:numPr>
        <w:rPr/>
      </w:pPr>
      <w:r>
        <w:rPr/>
        <w:t>Attempt to access and authenticate on the product via unauthorized means;</w:t>
      </w:r>
    </w:p>
    <w:p>
      <w:pPr>
        <w:pStyle w:val="ListParagraph"/>
        <w:numPr>
          <w:ilvl w:val="0"/>
          <w:numId w:val="526"/>
        </w:numPr>
        <w:rPr/>
      </w:pPr>
      <w:r>
        <w:rPr/>
        <w:t>Attempt to exploit vulnerabilities that are acceptable in the risk analysis;</w:t>
      </w:r>
    </w:p>
    <w:p>
      <w:pPr>
        <w:pStyle w:val="ListParagraph"/>
        <w:numPr>
          <w:ilvl w:val="0"/>
          <w:numId w:val="526"/>
        </w:numPr>
        <w:rPr/>
      </w:pPr>
      <w:r>
        <w:rPr/>
        <w:t>Attempt to elevate privilege on the product.</w:t>
      </w:r>
    </w:p>
    <w:p>
      <w:pPr>
        <w:pStyle w:val="Normal"/>
        <w:rPr/>
      </w:pPr>
      <w:r>
        <w:rPr/>
      </w:r>
    </w:p>
    <w:p>
      <w:pPr>
        <w:pStyle w:val="Normal"/>
        <w:rPr/>
      </w:pPr>
      <w:r>
        <w:rPr>
          <w:u w:val="single"/>
        </w:rPr>
        <w:t>Guidelines</w:t>
      </w:r>
      <w:r>
        <w:rPr/>
        <w:t>: Attempts should also include enumerating the system, application and service information scanning of the ports, interfaces and services.</w:t>
      </w:r>
    </w:p>
    <w:p>
      <w:pPr>
        <w:pStyle w:val="Normal"/>
        <w:rPr>
          <w:u w:val="single"/>
        </w:rPr>
      </w:pPr>
      <w:r>
        <w:rPr>
          <w:u w:val="single"/>
        </w:rPr>
      </w:r>
    </w:p>
    <w:p>
      <w:pPr>
        <w:pStyle w:val="Normal"/>
        <w:rPr/>
      </w:pPr>
      <w:r>
        <w:rPr/>
      </w:r>
    </w:p>
    <w:p>
      <w:pPr>
        <w:pStyle w:val="Heading2"/>
        <w:rPr/>
      </w:pPr>
      <w:bookmarkStart w:id="2243" w:name="_Toc474075383"/>
      <w:bookmarkStart w:id="2244" w:name="_Toc474075831"/>
      <w:bookmarkStart w:id="2245" w:name="_Toc34921312"/>
      <w:r>
        <w:rPr/>
        <w:t>TDA-10: Use of Live Data</w:t>
      </w:r>
      <w:bookmarkEnd w:id="2243"/>
      <w:bookmarkEnd w:id="2244"/>
      <w:bookmarkEnd w:id="2245"/>
      <w:r>
        <w:rPr/>
        <w:t xml:space="preserve"> </w:t>
      </w:r>
    </w:p>
    <w:p>
      <w:pPr>
        <w:pStyle w:val="Normal"/>
        <w:rPr/>
      </w:pPr>
      <w:r>
        <w:rPr>
          <w:u w:val="single"/>
        </w:rPr>
        <w:t>Control Objective</w:t>
      </w:r>
      <w:r>
        <w:rPr/>
        <w:t xml:space="preserve">: The organization strictly controls the use of live data in development and test environments for the system, system component or service. </w:t>
      </w:r>
      <w:r>
        <w:rPr>
          <w:rStyle w:val="FootnoteAnchor"/>
          <w:rStyle w:val="FootnoteAnchor"/>
          <w:rFonts w:cs="Calibri"/>
        </w:rPr>
        <w:footnoteReference w:id="617"/>
      </w:r>
    </w:p>
    <w:p>
      <w:pPr>
        <w:pStyle w:val="Normal"/>
        <w:rPr/>
      </w:pPr>
      <w:r>
        <w:rPr/>
      </w:r>
    </w:p>
    <w:p>
      <w:pPr>
        <w:pStyle w:val="Normal"/>
        <w:rPr/>
      </w:pPr>
      <w:r>
        <w:rPr>
          <w:u w:val="single"/>
        </w:rPr>
        <w:t>Standard</w:t>
      </w:r>
      <w:r>
        <w:rPr/>
        <w:t>: Production data shall not be replicated or used in non-production environments:</w:t>
      </w:r>
    </w:p>
    <w:p>
      <w:pPr>
        <w:pStyle w:val="ListParagraph"/>
        <w:numPr>
          <w:ilvl w:val="0"/>
          <w:numId w:val="478"/>
        </w:numPr>
        <w:rPr/>
      </w:pPr>
      <w:r>
        <w:rPr/>
        <w:t xml:space="preserve">Any use of customer data in non-production environments requires explicit, documented approval from all customers whose data is affected and must comply with all legal and regulatory requirements for scrubbing of sensitive data elements; and </w:t>
      </w:r>
    </w:p>
    <w:p>
      <w:pPr>
        <w:pStyle w:val="ListParagraph"/>
        <w:numPr>
          <w:ilvl w:val="0"/>
          <w:numId w:val="478"/>
        </w:numPr>
        <w:rPr/>
      </w:pPr>
      <w:r>
        <w:rPr/>
        <w:t>The following “live” production data is prohibited from use in testing or development:</w:t>
      </w:r>
      <w:r>
        <w:rPr>
          <w:rStyle w:val="FootnoteCharacters"/>
          <w:rFonts w:cs="Calibri"/>
        </w:rPr>
        <w:t xml:space="preserve"> </w:t>
      </w:r>
    </w:p>
    <w:p>
      <w:pPr>
        <w:pStyle w:val="ListParagraph"/>
        <w:numPr>
          <w:ilvl w:val="1"/>
          <w:numId w:val="478"/>
        </w:numPr>
        <w:rPr/>
      </w:pPr>
      <w:r>
        <w:rPr/>
        <w:t>Personal Data (PD); and</w:t>
      </w:r>
    </w:p>
    <w:p>
      <w:pPr>
        <w:pStyle w:val="ListParagraph"/>
        <w:numPr>
          <w:ilvl w:val="1"/>
          <w:numId w:val="478"/>
        </w:numPr>
        <w:rPr/>
      </w:pPr>
      <w:r>
        <w:rPr/>
        <w:t>Primary Account Numbers (PANs).</w:t>
      </w:r>
    </w:p>
    <w:p>
      <w:pPr>
        <w:pStyle w:val="Normal"/>
        <w:rPr/>
      </w:pPr>
      <w:r>
        <w:rPr/>
      </w:r>
    </w:p>
    <w:p>
      <w:pPr>
        <w:pStyle w:val="Normal"/>
        <w:rPr/>
      </w:pPr>
      <w:r>
        <w:rPr>
          <w:u w:val="single"/>
        </w:rPr>
        <w:t>Guidelines</w:t>
      </w:r>
      <w:r>
        <w:rPr/>
        <w:t>: The objective is to ensure the protection of data used for testing. The use of live data in preproduction environments can result in significant risk to NFCC. NFCC can minimize such risk by using test or dummy data during the development and testing of systems, system components and system services.</w:t>
      </w:r>
    </w:p>
    <w:p>
      <w:pPr>
        <w:pStyle w:val="Normal"/>
        <w:rPr/>
      </w:pPr>
      <w:r>
        <w:rPr/>
      </w:r>
    </w:p>
    <w:p>
      <w:pPr>
        <w:pStyle w:val="Heading3"/>
        <w:rPr/>
      </w:pPr>
      <w:bookmarkStart w:id="2246" w:name="_Toc474075384"/>
      <w:bookmarkStart w:id="2247" w:name="_Toc34921313"/>
      <w:r>
        <w:rPr/>
        <w:t>TDA-10(a): Use of Live Data | Test Data Integrity</w:t>
      </w:r>
      <w:bookmarkEnd w:id="2246"/>
      <w:bookmarkEnd w:id="2247"/>
    </w:p>
    <w:p>
      <w:pPr>
        <w:pStyle w:val="Normal"/>
        <w:rPr/>
      </w:pPr>
      <w:r>
        <w:rPr>
          <w:u w:val="single"/>
        </w:rPr>
        <w:t>Control Objective</w:t>
      </w:r>
      <w:r>
        <w:rPr/>
        <w:t>: The organization documents processes to ensure the integrity of test data through existing security &amp; privacy controls.</w:t>
      </w:r>
    </w:p>
    <w:p>
      <w:pPr>
        <w:pStyle w:val="Normal"/>
        <w:rPr/>
      </w:pPr>
      <w:r>
        <w:rPr/>
      </w:r>
    </w:p>
    <w:p>
      <w:pPr>
        <w:pStyle w:val="Normal"/>
        <w:rPr/>
      </w:pPr>
      <w:r>
        <w:rPr>
          <w:u w:val="single"/>
        </w:rPr>
        <w:t>Standard</w:t>
      </w:r>
      <w:r>
        <w:rPr/>
        <w:t>: Developers, in conjunction with NFCC’s cybersecurity personnel, are responsible for implementing appropriate mechanisms to protect the integrity of test data.</w:t>
      </w:r>
    </w:p>
    <w:p>
      <w:pPr>
        <w:pStyle w:val="Normal"/>
        <w:rPr/>
      </w:pPr>
      <w:r>
        <w:rPr/>
      </w:r>
    </w:p>
    <w:p>
      <w:pPr>
        <w:pStyle w:val="Normal"/>
        <w:rPr/>
      </w:pPr>
      <w:r>
        <w:rPr>
          <w:u w:val="single"/>
        </w:rPr>
        <w:t>Guidelines</w:t>
      </w:r>
      <w:r>
        <w:rPr/>
        <w:t>: None</w:t>
      </w:r>
    </w:p>
    <w:p>
      <w:pPr>
        <w:pStyle w:val="Normal"/>
        <w:rPr/>
      </w:pPr>
      <w:r>
        <w:rPr/>
      </w:r>
    </w:p>
    <w:p>
      <w:pPr>
        <w:pStyle w:val="Normal"/>
        <w:rPr/>
      </w:pPr>
      <w:r>
        <w:rPr/>
      </w:r>
    </w:p>
    <w:p>
      <w:pPr>
        <w:pStyle w:val="Heading2"/>
        <w:rPr/>
      </w:pPr>
      <w:bookmarkStart w:id="2248" w:name="_Toc474075385"/>
      <w:bookmarkStart w:id="2249" w:name="_Toc474075832"/>
      <w:bookmarkStart w:id="2250" w:name="_Toc34921314"/>
      <w:r>
        <w:rPr/>
        <w:t>TDA-11: Component Authenticity</w:t>
      </w:r>
      <w:bookmarkEnd w:id="2248"/>
      <w:bookmarkEnd w:id="2249"/>
      <w:bookmarkEnd w:id="2250"/>
      <w:r>
        <w:rPr/>
        <w:t xml:space="preserve"> </w:t>
      </w:r>
    </w:p>
    <w:p>
      <w:pPr>
        <w:pStyle w:val="Normal"/>
        <w:rPr/>
      </w:pPr>
      <w:r>
        <w:rPr>
          <w:u w:val="single"/>
        </w:rPr>
        <w:t>Control Objective</w:t>
      </w:r>
      <w:r>
        <w:rPr/>
        <w:t>: The organization:</w:t>
      </w:r>
      <w:r>
        <w:rPr>
          <w:rStyle w:val="FootnoteCharacters"/>
        </w:rPr>
        <w:t xml:space="preserve"> </w:t>
      </w:r>
      <w:r>
        <w:rPr>
          <w:rStyle w:val="FootnoteAnchor"/>
          <w:rStyle w:val="FootnoteAnchor"/>
        </w:rPr>
        <w:footnoteReference w:id="618"/>
      </w:r>
      <w:r>
        <w:rPr/>
        <w:t xml:space="preserve"> </w:t>
      </w:r>
    </w:p>
    <w:p>
      <w:pPr>
        <w:pStyle w:val="ListParagraph"/>
        <w:numPr>
          <w:ilvl w:val="0"/>
          <w:numId w:val="564"/>
        </w:numPr>
        <w:rPr/>
      </w:pPr>
      <w:r>
        <w:rPr/>
        <w:t>Develops and implements anti-counterfeit procedures that include the means to detect and prevent counterfeit components from entering the system; and</w:t>
      </w:r>
    </w:p>
    <w:p>
      <w:pPr>
        <w:pStyle w:val="ListParagraph"/>
        <w:numPr>
          <w:ilvl w:val="0"/>
          <w:numId w:val="564"/>
        </w:numPr>
        <w:rPr/>
      </w:pPr>
      <w:r>
        <w:rPr/>
        <w:t>Reports counterfeit system components to law enforcement.</w:t>
      </w:r>
    </w:p>
    <w:p>
      <w:pPr>
        <w:pStyle w:val="ListParagraph"/>
        <w:rPr/>
      </w:pPr>
      <w:r>
        <w:rPr/>
      </w:r>
    </w:p>
    <w:p>
      <w:pPr>
        <w:pStyle w:val="Normal"/>
        <w:rPr/>
      </w:pPr>
      <w:r>
        <w:rPr>
          <w:u w:val="single"/>
        </w:rPr>
        <w:t>Standard</w:t>
      </w:r>
      <w:r>
        <w:rPr/>
        <w:t>: NFCC is required to perform due care and due diligence to detect and prevent counterfeits from entering into NFCC’s networks that includes validating critical systems or system components received are genuine and have not been altered or replaced with fraudulent versions.</w:t>
      </w:r>
    </w:p>
    <w:p>
      <w:pPr>
        <w:pStyle w:val="Normal"/>
        <w:rPr/>
      </w:pPr>
      <w:r>
        <w:rPr/>
      </w:r>
    </w:p>
    <w:p>
      <w:pPr>
        <w:pStyle w:val="Normal"/>
        <w:rPr/>
      </w:pPr>
      <w:r>
        <w:rPr>
          <w:u w:val="single"/>
        </w:rPr>
        <w:t>Guidelines</w:t>
      </w:r>
      <w:r>
        <w:rPr/>
        <w:t>: Sources of counterfeit components include, for example, manufacturers, developers, vendors and contractors. Anti-counterfeiting policy and procedures support tamper resistance and provide a level of protection against the introduction of malicious code. External reporting organizations include the FBI and US-CERT.</w:t>
      </w:r>
    </w:p>
    <w:p>
      <w:pPr>
        <w:pStyle w:val="Normal"/>
        <w:rPr/>
      </w:pPr>
      <w:r>
        <w:rPr/>
      </w:r>
    </w:p>
    <w:p>
      <w:pPr>
        <w:pStyle w:val="Normal"/>
        <w:rPr/>
      </w:pPr>
      <w:r>
        <w:rPr/>
        <w:t>For some system components, especially hardware, there are technical means to help determine if the components are genuine or have been altered. Security safeguards used to validate the authenticity of systems and system components include, for example, optical / nanotechnology tagging and side-channel analysis. For hardware, detailed bill of material information can highlight the elements with embedded logic complete with component and production location.</w:t>
      </w:r>
    </w:p>
    <w:p>
      <w:pPr>
        <w:pStyle w:val="Normal"/>
        <w:rPr/>
      </w:pPr>
      <w:r>
        <w:rPr/>
      </w:r>
    </w:p>
    <w:p>
      <w:pPr>
        <w:pStyle w:val="Heading3"/>
        <w:rPr/>
      </w:pPr>
      <w:bookmarkStart w:id="2251" w:name="_Toc474075386"/>
      <w:bookmarkStart w:id="2252" w:name="_Toc34921315"/>
      <w:r>
        <w:rPr/>
        <w:t>TDA-11(a): Component Authenticity | Anti-Counterfeit Training</w:t>
      </w:r>
      <w:bookmarkEnd w:id="2251"/>
      <w:bookmarkEnd w:id="2252"/>
      <w:r>
        <w:rPr/>
        <w:t xml:space="preserve"> </w:t>
      </w:r>
    </w:p>
    <w:p>
      <w:pPr>
        <w:pStyle w:val="Normal"/>
        <w:rPr/>
      </w:pPr>
      <w:r>
        <w:rPr>
          <w:u w:val="single"/>
        </w:rPr>
        <w:t>Control Objective</w:t>
      </w:r>
      <w:r>
        <w:rPr/>
        <w:t xml:space="preserve">: The organization trains personnel to detect counterfeit system components (including hardware, software and firmware). </w:t>
      </w:r>
    </w:p>
    <w:p>
      <w:pPr>
        <w:pStyle w:val="Normal"/>
        <w:rPr/>
      </w:pPr>
      <w:r>
        <w:rPr/>
      </w:r>
    </w:p>
    <w:p>
      <w:pPr>
        <w:pStyle w:val="Normal"/>
        <w:rPr/>
      </w:pPr>
      <w:r>
        <w:rPr>
          <w:u w:val="single"/>
        </w:rPr>
        <w:t>Standard</w:t>
      </w:r>
      <w:r>
        <w:rPr/>
        <w:t>: Personnel who interact with systems that store, process or transmit sensitive data are required to receive training on how to detect counterfeit system components.</w:t>
      </w:r>
    </w:p>
    <w:p>
      <w:pPr>
        <w:pStyle w:val="Normal"/>
        <w:rPr/>
      </w:pPr>
      <w:r>
        <w:rPr/>
      </w:r>
    </w:p>
    <w:p>
      <w:pPr>
        <w:pStyle w:val="Normal"/>
        <w:rPr/>
      </w:pPr>
      <w:r>
        <w:rPr>
          <w:u w:val="single"/>
        </w:rPr>
        <w:t>Guidelines</w:t>
      </w:r>
      <w:r>
        <w:rPr/>
        <w:t xml:space="preserve">: None </w:t>
      </w:r>
    </w:p>
    <w:p>
      <w:pPr>
        <w:pStyle w:val="Normal"/>
        <w:rPr>
          <w:rFonts w:eastAsia="Calibri"/>
        </w:rPr>
      </w:pPr>
      <w:r>
        <w:rPr>
          <w:rFonts w:eastAsia="Calibri"/>
        </w:rPr>
      </w:r>
    </w:p>
    <w:p>
      <w:pPr>
        <w:pStyle w:val="Heading3"/>
        <w:rPr/>
      </w:pPr>
      <w:bookmarkStart w:id="2253" w:name="_Toc34921316"/>
      <w:r>
        <w:rPr/>
        <w:t>TDA-11(b): Component Authenticity | Component Disposal</w:t>
      </w:r>
      <w:bookmarkEnd w:id="2253"/>
    </w:p>
    <w:p>
      <w:pPr>
        <w:pStyle w:val="Normal"/>
        <w:rPr/>
      </w:pPr>
      <w:r>
        <w:rPr>
          <w:u w:val="single"/>
        </w:rPr>
        <w:t>Control Objective</w:t>
      </w:r>
      <w:r>
        <w:rPr/>
        <w:t>: The organization disposes of system components using organization-defined techniques and methods to prevent such components from entering the gray market.</w:t>
      </w:r>
    </w:p>
    <w:p>
      <w:pPr>
        <w:pStyle w:val="Normal"/>
        <w:rPr/>
      </w:pPr>
      <w:r>
        <w:rPr/>
      </w:r>
    </w:p>
    <w:p>
      <w:pPr>
        <w:pStyle w:val="Normal"/>
        <w:rPr/>
      </w:pPr>
      <w:r>
        <w:rPr>
          <w:u w:val="single"/>
        </w:rPr>
        <w:t>Standard</w:t>
      </w:r>
      <w:r>
        <w:rPr/>
        <w:t>: Data/process owners and asset custodians are required to implement processes to disposes of system components using secure methods to prevent such components from entering the gray market.</w:t>
      </w:r>
    </w:p>
    <w:p>
      <w:pPr>
        <w:pStyle w:val="Normal"/>
        <w:rPr/>
      </w:pPr>
      <w:r>
        <w:rPr/>
      </w:r>
    </w:p>
    <w:p>
      <w:pPr>
        <w:pStyle w:val="Normal"/>
        <w:rPr/>
      </w:pPr>
      <w:r>
        <w:rPr>
          <w:u w:val="single"/>
        </w:rPr>
        <w:t>Guidelines</w:t>
      </w:r>
      <w:r>
        <w:rPr/>
        <w:t>: None</w:t>
      </w:r>
    </w:p>
    <w:p>
      <w:pPr>
        <w:pStyle w:val="Normal"/>
        <w:rPr>
          <w:rFonts w:eastAsia="Calibri"/>
        </w:rPr>
      </w:pPr>
      <w:r>
        <w:rPr>
          <w:rFonts w:eastAsia="Calibri"/>
        </w:rPr>
      </w:r>
    </w:p>
    <w:p>
      <w:pPr>
        <w:pStyle w:val="Normal"/>
        <w:rPr/>
      </w:pPr>
      <w:r>
        <w:rPr/>
      </w:r>
    </w:p>
    <w:p>
      <w:pPr>
        <w:pStyle w:val="Heading2"/>
        <w:rPr/>
      </w:pPr>
      <w:bookmarkStart w:id="2254" w:name="_Toc474075387"/>
      <w:bookmarkStart w:id="2255" w:name="_Toc474075833"/>
      <w:bookmarkStart w:id="2256" w:name="_Toc34921317"/>
      <w:r>
        <w:rPr/>
        <w:t>TDA-12: Customized Development of Critical Components</w:t>
      </w:r>
      <w:bookmarkEnd w:id="2254"/>
      <w:bookmarkEnd w:id="2255"/>
      <w:bookmarkEnd w:id="2256"/>
      <w:r>
        <w:rPr/>
        <w:t xml:space="preserve"> </w:t>
      </w:r>
    </w:p>
    <w:p>
      <w:pPr>
        <w:pStyle w:val="Normal"/>
        <w:rPr/>
      </w:pPr>
      <w:r>
        <w:rPr>
          <w:u w:val="single"/>
        </w:rPr>
        <w:t>Control Objective</w:t>
      </w:r>
      <w:r>
        <w:rPr/>
        <w:t>: The organization custom-develops critical system components.</w:t>
      </w:r>
      <w:r>
        <w:rPr>
          <w:rStyle w:val="FootnoteAnchor"/>
          <w:rStyle w:val="FootnoteAnchor"/>
        </w:rPr>
        <w:footnoteReference w:id="619"/>
      </w:r>
    </w:p>
    <w:p>
      <w:pPr>
        <w:pStyle w:val="Normal"/>
        <w:rPr/>
      </w:pPr>
      <w:r>
        <w:rPr/>
      </w:r>
    </w:p>
    <w:p>
      <w:pPr>
        <w:pStyle w:val="Normal"/>
        <w:rPr/>
      </w:pPr>
      <w:r>
        <w:rPr>
          <w:u w:val="single"/>
        </w:rPr>
        <w:t>Standard</w:t>
      </w:r>
      <w:r>
        <w:rPr/>
        <w:t>: Only when a strong business case exists and a risk assessment supports it are critical system components allowed to be custom developed.</w:t>
      </w:r>
    </w:p>
    <w:p>
      <w:pPr>
        <w:pStyle w:val="Normal"/>
        <w:rPr/>
      </w:pPr>
      <w:r>
        <w:rPr/>
      </w:r>
    </w:p>
    <w:p>
      <w:pPr>
        <w:pStyle w:val="Normal"/>
        <w:rPr/>
      </w:pPr>
      <w:r>
        <w:rPr>
          <w:u w:val="single"/>
        </w:rPr>
        <w:t>Guidelines</w:t>
      </w:r>
      <w:r>
        <w:rPr/>
        <w:t xml:space="preserve">: In situations where no alternative sourcing is available, additional safeguards can be employed through practices such as enhanced auditing, restrictions on source code and system utility access and protection from deletion of system and application files. </w:t>
      </w:r>
    </w:p>
    <w:p>
      <w:pPr>
        <w:pStyle w:val="Normal"/>
        <w:rPr/>
      </w:pPr>
      <w:r>
        <w:rPr/>
      </w:r>
    </w:p>
    <w:p>
      <w:pPr>
        <w:pStyle w:val="Normal"/>
        <w:rPr/>
      </w:pPr>
      <w:r>
        <w:rPr/>
      </w:r>
    </w:p>
    <w:p>
      <w:pPr>
        <w:pStyle w:val="Heading2"/>
        <w:rPr/>
      </w:pPr>
      <w:bookmarkStart w:id="2257" w:name="_Toc474075388"/>
      <w:bookmarkStart w:id="2258" w:name="_Toc474075834"/>
      <w:bookmarkStart w:id="2259" w:name="_Toc34921318"/>
      <w:r>
        <w:rPr/>
        <w:t>TDA-13: Developer Screening</w:t>
      </w:r>
      <w:bookmarkEnd w:id="2257"/>
      <w:bookmarkEnd w:id="2258"/>
      <w:bookmarkEnd w:id="2259"/>
      <w:r>
        <w:rPr/>
        <w:t xml:space="preserve"> </w:t>
      </w:r>
    </w:p>
    <w:p>
      <w:pPr>
        <w:pStyle w:val="Normal"/>
        <w:rPr/>
      </w:pPr>
      <w:r>
        <w:rPr>
          <w:u w:val="single"/>
        </w:rPr>
        <w:t>Control Objective</w:t>
      </w:r>
      <w:r>
        <w:rPr/>
        <w:t>: The organization requires that the developers of systems, system components or system services:</w:t>
      </w:r>
      <w:r>
        <w:rPr>
          <w:rStyle w:val="FootnoteCharacters"/>
        </w:rPr>
        <w:t xml:space="preserve"> </w:t>
      </w:r>
      <w:r>
        <w:rPr>
          <w:rStyle w:val="FootnoteAnchor"/>
          <w:rStyle w:val="FootnoteAnchor"/>
        </w:rPr>
        <w:footnoteReference w:id="620"/>
      </w:r>
    </w:p>
    <w:p>
      <w:pPr>
        <w:pStyle w:val="ListParagraph"/>
        <w:numPr>
          <w:ilvl w:val="0"/>
          <w:numId w:val="142"/>
        </w:numPr>
        <w:rPr/>
      </w:pPr>
      <w:r>
        <w:rPr/>
        <w:t>Have appropriate access authorizations as determined by assigned duties; and</w:t>
      </w:r>
    </w:p>
    <w:p>
      <w:pPr>
        <w:pStyle w:val="ListParagraph"/>
        <w:numPr>
          <w:ilvl w:val="0"/>
          <w:numId w:val="142"/>
        </w:numPr>
        <w:rPr/>
      </w:pPr>
      <w:r>
        <w:rPr/>
        <w:t>Satisfy additional personnel screening criteria.</w:t>
      </w:r>
    </w:p>
    <w:p>
      <w:pPr>
        <w:pStyle w:val="Normal"/>
        <w:rPr/>
      </w:pPr>
      <w:r>
        <w:rPr/>
      </w:r>
    </w:p>
    <w:p>
      <w:pPr>
        <w:pStyle w:val="Normal"/>
        <w:rPr/>
      </w:pPr>
      <w:r>
        <w:rPr>
          <w:u w:val="single"/>
        </w:rPr>
        <w:t>Standard</w:t>
      </w:r>
      <w:r>
        <w:rPr/>
        <w:t>: NFCC requires that developers of systems, system components or services satisfy all applicable screening criteria.</w:t>
      </w:r>
    </w:p>
    <w:p>
      <w:pPr>
        <w:pStyle w:val="Normal"/>
        <w:rPr/>
      </w:pPr>
      <w:r>
        <w:rPr/>
      </w:r>
    </w:p>
    <w:p>
      <w:pPr>
        <w:pStyle w:val="Normal"/>
        <w:rPr/>
      </w:pPr>
      <w:r>
        <w:rPr>
          <w:u w:val="single"/>
        </w:rPr>
        <w:t>Guidelines</w:t>
      </w:r>
      <w:r>
        <w:rPr/>
        <w:t>: The degree of trust required of the developer may need to be consistent with that of the individuals accessing the system / component / service once deployed. Examples of authorization and personnel screening criteria include clearance, satisfactory background checks, citizenship and nationality. Trustworthiness of developers may also include a review and analysis of company ownership and any relationships the company has with entities potentially affecting the quality / reliability of the systems, components or services being developed.</w:t>
      </w:r>
    </w:p>
    <w:p>
      <w:pPr>
        <w:pStyle w:val="Normal"/>
        <w:rPr/>
      </w:pPr>
      <w:r>
        <w:rPr/>
      </w:r>
    </w:p>
    <w:p>
      <w:pPr>
        <w:pStyle w:val="Normal"/>
        <w:rPr/>
      </w:pPr>
      <w:r>
        <w:rPr/>
      </w:r>
    </w:p>
    <w:p>
      <w:pPr>
        <w:pStyle w:val="Heading2"/>
        <w:rPr/>
      </w:pPr>
      <w:bookmarkStart w:id="2260" w:name="_Toc474075389"/>
      <w:bookmarkStart w:id="2261" w:name="_Toc474075835"/>
      <w:bookmarkStart w:id="2262" w:name="_Toc34921319"/>
      <w:r>
        <w:rPr/>
        <w:t>TDA-14: Developer Configuration Management</w:t>
      </w:r>
      <w:bookmarkEnd w:id="2260"/>
      <w:bookmarkEnd w:id="2261"/>
      <w:bookmarkEnd w:id="2262"/>
      <w:r>
        <w:rPr/>
        <w:t xml:space="preserve"> </w:t>
      </w:r>
    </w:p>
    <w:p>
      <w:pPr>
        <w:pStyle w:val="Normal"/>
        <w:rPr/>
      </w:pPr>
      <w:r>
        <w:rPr>
          <w:u w:val="single"/>
        </w:rPr>
        <w:t>Control Objective</w:t>
      </w:r>
      <w:r>
        <w:rPr/>
        <w:t xml:space="preserve">: The organization requires that system developers and integrators: </w:t>
      </w:r>
      <w:r>
        <w:rPr>
          <w:rStyle w:val="FootnoteAnchor"/>
          <w:rStyle w:val="FootnoteAnchor"/>
          <w:rFonts w:cs="Calibri"/>
          <w:bCs w:val="false"/>
        </w:rPr>
        <w:footnoteReference w:id="621"/>
      </w:r>
      <w:r>
        <w:rPr/>
        <w:t xml:space="preserve"> </w:t>
      </w:r>
    </w:p>
    <w:p>
      <w:pPr>
        <w:pStyle w:val="ListParagraph"/>
        <w:numPr>
          <w:ilvl w:val="0"/>
          <w:numId w:val="12"/>
        </w:numPr>
        <w:rPr/>
      </w:pPr>
      <w:r>
        <w:rPr/>
        <w:t>Perform configuration management during system design, development, implementation and operation;</w:t>
      </w:r>
    </w:p>
    <w:p>
      <w:pPr>
        <w:pStyle w:val="ListParagraph"/>
        <w:numPr>
          <w:ilvl w:val="0"/>
          <w:numId w:val="12"/>
        </w:numPr>
        <w:rPr/>
      </w:pPr>
      <w:r>
        <w:rPr/>
        <w:t>Manage and control changes to systems;</w:t>
      </w:r>
    </w:p>
    <w:p>
      <w:pPr>
        <w:pStyle w:val="ListParagraph"/>
        <w:numPr>
          <w:ilvl w:val="0"/>
          <w:numId w:val="12"/>
        </w:numPr>
        <w:rPr/>
      </w:pPr>
      <w:r>
        <w:rPr/>
        <w:t>Implement only organization-approved changes;</w:t>
      </w:r>
    </w:p>
    <w:p>
      <w:pPr>
        <w:pStyle w:val="ListParagraph"/>
        <w:numPr>
          <w:ilvl w:val="0"/>
          <w:numId w:val="12"/>
        </w:numPr>
        <w:rPr/>
      </w:pPr>
      <w:r>
        <w:rPr/>
        <w:t>Document approved changes to systems; and</w:t>
      </w:r>
    </w:p>
    <w:p>
      <w:pPr>
        <w:pStyle w:val="ListParagraph"/>
        <w:numPr>
          <w:ilvl w:val="0"/>
          <w:numId w:val="12"/>
        </w:numPr>
        <w:rPr/>
      </w:pPr>
      <w:r>
        <w:rPr/>
        <w:t>Track security flaws and flaw resolution.</w:t>
      </w:r>
    </w:p>
    <w:p>
      <w:pPr>
        <w:pStyle w:val="Normal"/>
        <w:rPr/>
      </w:pPr>
      <w:r>
        <w:rPr/>
      </w:r>
    </w:p>
    <w:p>
      <w:pPr>
        <w:pStyle w:val="Normal"/>
        <w:rPr/>
      </w:pPr>
      <w:r>
        <w:rPr>
          <w:u w:val="single"/>
        </w:rPr>
        <w:t>Standard</w:t>
      </w:r>
      <w:r>
        <w:rPr/>
        <w:t>: NFCC requires that system developers and integrators:</w:t>
      </w:r>
      <w:r>
        <w:rPr>
          <w:rStyle w:val="FootnoteCharacters"/>
          <w:rFonts w:cs="Calibri"/>
          <w:bCs w:val="false"/>
        </w:rPr>
        <w:t xml:space="preserve"> </w:t>
      </w:r>
    </w:p>
    <w:p>
      <w:pPr>
        <w:pStyle w:val="ListParagraph"/>
        <w:numPr>
          <w:ilvl w:val="0"/>
          <w:numId w:val="479"/>
        </w:numPr>
        <w:rPr/>
      </w:pPr>
      <w:r>
        <w:rPr/>
        <w:t>Perform configuration management during system design, development, implementation and operation;</w:t>
      </w:r>
    </w:p>
    <w:p>
      <w:pPr>
        <w:pStyle w:val="ListParagraph"/>
        <w:numPr>
          <w:ilvl w:val="0"/>
          <w:numId w:val="479"/>
        </w:numPr>
        <w:rPr/>
      </w:pPr>
      <w:r>
        <w:rPr/>
        <w:t>Manage and control changes to systems;</w:t>
      </w:r>
    </w:p>
    <w:p>
      <w:pPr>
        <w:pStyle w:val="ListParagraph"/>
        <w:numPr>
          <w:ilvl w:val="0"/>
          <w:numId w:val="479"/>
        </w:numPr>
        <w:rPr/>
      </w:pPr>
      <w:r>
        <w:rPr/>
        <w:t>Implement only company-approved changes;</w:t>
      </w:r>
    </w:p>
    <w:p>
      <w:pPr>
        <w:pStyle w:val="ListParagraph"/>
        <w:numPr>
          <w:ilvl w:val="0"/>
          <w:numId w:val="479"/>
        </w:numPr>
        <w:rPr/>
      </w:pPr>
      <w:r>
        <w:rPr/>
        <w:t>Document approved changes to systems; and</w:t>
      </w:r>
    </w:p>
    <w:p>
      <w:pPr>
        <w:pStyle w:val="ListParagraph"/>
        <w:numPr>
          <w:ilvl w:val="0"/>
          <w:numId w:val="479"/>
        </w:numPr>
        <w:rPr/>
      </w:pPr>
      <w:r>
        <w:rPr/>
        <w:t>Track security flaws and flaw resolution.</w:t>
      </w:r>
    </w:p>
    <w:p>
      <w:pPr>
        <w:pStyle w:val="Normal"/>
        <w:rPr/>
      </w:pPr>
      <w:r>
        <w:rPr/>
      </w:r>
    </w:p>
    <w:p>
      <w:pPr>
        <w:pStyle w:val="Normal"/>
        <w:rPr/>
      </w:pPr>
      <w:r>
        <w:rPr>
          <w:u w:val="single"/>
        </w:rPr>
        <w:t>Guidelines</w:t>
      </w:r>
      <w:r>
        <w:rPr/>
        <w:t xml:space="preserve">: This control also applies to internal systems development and integration. System developer is a general term that includes developers or manufacturers of information technology products (including hardware, software and firmware), systems integrators, vendors and product resellers. </w:t>
      </w:r>
    </w:p>
    <w:p>
      <w:pPr>
        <w:pStyle w:val="Normal"/>
        <w:rPr/>
      </w:pPr>
      <w:r>
        <w:rPr/>
      </w:r>
    </w:p>
    <w:p>
      <w:pPr>
        <w:pStyle w:val="Heading3"/>
        <w:rPr/>
      </w:pPr>
      <w:bookmarkStart w:id="2263" w:name="_Toc474075390"/>
      <w:bookmarkStart w:id="2264" w:name="_Toc34921320"/>
      <w:r>
        <w:rPr/>
        <w:t>TDA-14(a): Developer Configuration Management | Software / Firmware Integrity Verification</w:t>
      </w:r>
      <w:bookmarkEnd w:id="2263"/>
      <w:bookmarkEnd w:id="2264"/>
      <w:r>
        <w:rPr/>
        <w:t xml:space="preserve"> </w:t>
      </w:r>
    </w:p>
    <w:p>
      <w:pPr>
        <w:pStyle w:val="Normal"/>
        <w:rPr/>
      </w:pPr>
      <w:r>
        <w:rPr>
          <w:u w:val="single"/>
        </w:rPr>
        <w:t>Control Objective</w:t>
      </w:r>
      <w:r>
        <w:rPr/>
        <w:t>: The organization requires the developers of systems, system components or services to enable integrity verification of software and firmware components.</w:t>
      </w:r>
      <w:r>
        <w:rPr>
          <w:rStyle w:val="FootnoteAnchor"/>
          <w:rStyle w:val="FootnoteAnchor"/>
          <w:rFonts w:cs="Calibri"/>
        </w:rPr>
        <w:footnoteReference w:id="622"/>
      </w:r>
    </w:p>
    <w:p>
      <w:pPr>
        <w:pStyle w:val="Normal"/>
        <w:rPr/>
      </w:pPr>
      <w:r>
        <w:rPr/>
      </w:r>
    </w:p>
    <w:p>
      <w:pPr>
        <w:pStyle w:val="Normal"/>
        <w:rPr/>
      </w:pPr>
      <w:r>
        <w:rPr>
          <w:u w:val="single"/>
        </w:rPr>
        <w:t>Standard</w:t>
      </w:r>
      <w:r>
        <w:rPr/>
        <w:t>: Where technically feasible and a business justification exists, asset owners will ensure File Integrity Monitoring (FIM) mechanisms exist and are configured to alert security personnel when unauthorized changes are made.</w:t>
      </w:r>
    </w:p>
    <w:p>
      <w:pPr>
        <w:pStyle w:val="Normal"/>
        <w:rPr/>
      </w:pPr>
      <w:r>
        <w:rPr/>
      </w:r>
    </w:p>
    <w:p>
      <w:pPr>
        <w:pStyle w:val="Normal"/>
        <w:rPr/>
      </w:pPr>
      <w:r>
        <w:rPr>
          <w:u w:val="single"/>
        </w:rPr>
        <w:t>Guidelines</w:t>
      </w:r>
      <w:r>
        <w:rPr/>
        <w:t>: This allows NFCC to detect unauthorized changes to software and firmware components through the use of tools, techniques and / or mechanisms provided by developers. Integrity checking mechanisms can also address counterfeiting of software and firmware components. Organizations verify the integrity of software and firmware components, for example, through secure one-way hashes provided by developers. Delivered software and firmware components also include any updates to such components.</w:t>
      </w:r>
    </w:p>
    <w:p>
      <w:pPr>
        <w:pStyle w:val="Normal"/>
        <w:rPr/>
      </w:pPr>
      <w:r>
        <w:rPr/>
      </w:r>
    </w:p>
    <w:p>
      <w:pPr>
        <w:pStyle w:val="Normal"/>
        <w:rPr/>
      </w:pPr>
      <w:r>
        <w:rPr/>
      </w:r>
    </w:p>
    <w:p>
      <w:pPr>
        <w:pStyle w:val="Heading2"/>
        <w:rPr/>
      </w:pPr>
      <w:bookmarkStart w:id="2265" w:name="_Toc474075391"/>
      <w:bookmarkStart w:id="2266" w:name="_Toc474075836"/>
      <w:bookmarkStart w:id="2267" w:name="_Toc34921321"/>
      <w:r>
        <w:rPr/>
        <w:t>TDA-15: Developer Threat Analysis &amp; Flaw Remediation</w:t>
      </w:r>
      <w:bookmarkEnd w:id="2265"/>
      <w:bookmarkEnd w:id="2266"/>
      <w:bookmarkEnd w:id="2267"/>
    </w:p>
    <w:p>
      <w:pPr>
        <w:pStyle w:val="Normal"/>
        <w:rPr/>
      </w:pPr>
      <w:r>
        <w:rPr>
          <w:u w:val="single"/>
        </w:rPr>
        <w:t>Control Objective</w:t>
      </w:r>
      <w:r>
        <w:rPr/>
        <w:t>: The organization requires that system developers and integrators create a Security Test and Evaluation (ST&amp;E) plan and implement the plan under the witness of an independent party.</w:t>
      </w:r>
      <w:r>
        <w:rPr>
          <w:rStyle w:val="FootnoteAnchor"/>
          <w:rStyle w:val="FootnoteAnchor"/>
          <w:rFonts w:cs="Calibri"/>
          <w:bCs w:val="false"/>
        </w:rPr>
        <w:footnoteReference w:id="623"/>
      </w:r>
    </w:p>
    <w:p>
      <w:pPr>
        <w:pStyle w:val="Normal"/>
        <w:rPr/>
      </w:pPr>
      <w:r>
        <w:rPr/>
      </w:r>
    </w:p>
    <w:p>
      <w:pPr>
        <w:pStyle w:val="Normal"/>
        <w:rPr/>
      </w:pPr>
      <w:r>
        <w:rPr>
          <w:u w:val="single"/>
        </w:rPr>
        <w:t>Standard</w:t>
      </w:r>
      <w:r>
        <w:rPr/>
        <w:t>: Data/process owners and asset custodians are required to:</w:t>
      </w:r>
    </w:p>
    <w:p>
      <w:pPr>
        <w:pStyle w:val="ListParagraph"/>
        <w:numPr>
          <w:ilvl w:val="0"/>
          <w:numId w:val="477"/>
        </w:numPr>
        <w:rPr/>
      </w:pPr>
      <w:r>
        <w:rPr/>
        <w:t>Address new threats and vulnerabilities on an ongoing basis and ensures these applications are protected against known attacks by either of the following methods:</w:t>
      </w:r>
    </w:p>
    <w:p>
      <w:pPr>
        <w:pStyle w:val="ListParagraph"/>
        <w:numPr>
          <w:ilvl w:val="1"/>
          <w:numId w:val="477"/>
        </w:numPr>
        <w:rPr/>
      </w:pPr>
      <w:r>
        <w:rPr/>
        <w:t>Reviewing applications via manual or automated application vulnerability security assessment tools or methods, at least annually and after any changes; or</w:t>
      </w:r>
    </w:p>
    <w:p>
      <w:pPr>
        <w:pStyle w:val="ListParagraph"/>
        <w:numPr>
          <w:ilvl w:val="1"/>
          <w:numId w:val="477"/>
        </w:numPr>
        <w:rPr/>
      </w:pPr>
      <w:r>
        <w:rPr/>
        <w:t>Installing an application firewall.</w:t>
      </w:r>
    </w:p>
    <w:p>
      <w:pPr>
        <w:pStyle w:val="ListParagraph"/>
        <w:numPr>
          <w:ilvl w:val="0"/>
          <w:numId w:val="477"/>
        </w:numPr>
        <w:rPr/>
      </w:pPr>
      <w:r>
        <w:rPr/>
        <w:t>Verify that public-facing web applications are reviewed (using either manual or automated vulnerability security assessment tools or methods), as follows:</w:t>
      </w:r>
    </w:p>
    <w:p>
      <w:pPr>
        <w:pStyle w:val="ListParagraph"/>
        <w:numPr>
          <w:ilvl w:val="1"/>
          <w:numId w:val="477"/>
        </w:numPr>
        <w:rPr/>
      </w:pPr>
      <w:r>
        <w:rPr/>
        <w:t>At least annually;</w:t>
      </w:r>
    </w:p>
    <w:p>
      <w:pPr>
        <w:pStyle w:val="ListParagraph"/>
        <w:numPr>
          <w:ilvl w:val="1"/>
          <w:numId w:val="477"/>
        </w:numPr>
        <w:rPr/>
      </w:pPr>
      <w:r>
        <w:rPr/>
        <w:t>After any changes;</w:t>
      </w:r>
    </w:p>
    <w:p>
      <w:pPr>
        <w:pStyle w:val="ListParagraph"/>
        <w:numPr>
          <w:ilvl w:val="1"/>
          <w:numId w:val="477"/>
        </w:numPr>
        <w:rPr/>
      </w:pPr>
      <w:r>
        <w:rPr/>
        <w:t>By an organization that specializes in application security;</w:t>
      </w:r>
    </w:p>
    <w:p>
      <w:pPr>
        <w:pStyle w:val="ListParagraph"/>
        <w:numPr>
          <w:ilvl w:val="1"/>
          <w:numId w:val="477"/>
        </w:numPr>
        <w:rPr/>
      </w:pPr>
      <w:r>
        <w:rPr/>
        <w:t>That all vulnerabilities are corrected; and</w:t>
      </w:r>
    </w:p>
    <w:p>
      <w:pPr>
        <w:pStyle w:val="ListParagraph"/>
        <w:numPr>
          <w:ilvl w:val="1"/>
          <w:numId w:val="477"/>
        </w:numPr>
        <w:rPr/>
      </w:pPr>
      <w:r>
        <w:rPr/>
        <w:t>That the application is re-evaluated after the corrections.</w:t>
      </w:r>
    </w:p>
    <w:p>
      <w:pPr>
        <w:pStyle w:val="Normal"/>
        <w:rPr/>
      </w:pPr>
      <w:r>
        <w:rPr/>
      </w:r>
    </w:p>
    <w:p>
      <w:pPr>
        <w:pStyle w:val="Normal"/>
        <w:rPr/>
      </w:pPr>
      <w:r>
        <w:rPr>
          <w:u w:val="single"/>
        </w:rPr>
        <w:t>Guidelines</w:t>
      </w:r>
      <w:r>
        <w:rPr/>
        <w:t xml:space="preserve">: Applications may deviate significantly from the functional and design specifications created during the requirements and design phases of the Secure Development Life Cycle. Therefore, threat and vulnerability analyses of information technology products and systems prior to delivery are critical to the effective operation of those products and systems. Threat and vulnerability analyses at this phase of the life cycle help ensure that design or implementation changes have been accounted for and that any new vulnerabilities created as a result of those changes have been reviewed and mitigated. </w:t>
      </w:r>
    </w:p>
    <w:p>
      <w:pPr>
        <w:pStyle w:val="Normal"/>
        <w:rPr/>
      </w:pPr>
      <w:r>
        <w:rPr/>
      </w:r>
    </w:p>
    <w:p>
      <w:pPr>
        <w:pStyle w:val="Normal"/>
        <w:rPr/>
      </w:pPr>
      <w:r>
        <w:rPr/>
      </w:r>
    </w:p>
    <w:p>
      <w:pPr>
        <w:pStyle w:val="Heading2"/>
        <w:rPr/>
      </w:pPr>
      <w:bookmarkStart w:id="2268" w:name="_Toc474075392"/>
      <w:bookmarkStart w:id="2269" w:name="_Toc474075837"/>
      <w:bookmarkStart w:id="2270" w:name="_Toc34921322"/>
      <w:r>
        <w:rPr/>
        <w:t>TDA-16: Developer-Provided Training</w:t>
      </w:r>
      <w:bookmarkEnd w:id="2268"/>
      <w:bookmarkEnd w:id="2269"/>
      <w:bookmarkEnd w:id="2270"/>
      <w:r>
        <w:rPr/>
        <w:t xml:space="preserve"> </w:t>
      </w:r>
    </w:p>
    <w:p>
      <w:pPr>
        <w:pStyle w:val="Normal"/>
        <w:rPr/>
      </w:pPr>
      <w:r>
        <w:rPr>
          <w:u w:val="single"/>
        </w:rPr>
        <w:t>Control Objective</w:t>
      </w:r>
      <w:r>
        <w:rPr/>
        <w:t>: The organization requires the developers of systems, system components or services to provide training on the correct use and operation of the implemented security functions, controls and / or mechanisms.</w:t>
      </w:r>
      <w:r>
        <w:rPr>
          <w:rStyle w:val="FootnoteAnchor"/>
          <w:rStyle w:val="FootnoteAnchor"/>
          <w:rFonts w:cs="Calibri"/>
        </w:rPr>
        <w:footnoteReference w:id="624"/>
      </w:r>
    </w:p>
    <w:p>
      <w:pPr>
        <w:pStyle w:val="Normal"/>
        <w:rPr/>
      </w:pPr>
      <w:r>
        <w:rPr/>
      </w:r>
    </w:p>
    <w:p>
      <w:pPr>
        <w:pStyle w:val="Normal"/>
        <w:rPr/>
      </w:pPr>
      <w:r>
        <w:rPr>
          <w:u w:val="single"/>
        </w:rPr>
        <w:t>Standard</w:t>
      </w:r>
      <w:r>
        <w:rPr/>
        <w:t>: Developers are required to provide NFCC asset custodians with training on the correct use and operation of implemented security functions, controls and / or mechanisms.</w:t>
      </w:r>
    </w:p>
    <w:p>
      <w:pPr>
        <w:pStyle w:val="Normal"/>
        <w:rPr/>
      </w:pPr>
      <w:r>
        <w:rPr/>
      </w:r>
    </w:p>
    <w:p>
      <w:pPr>
        <w:pStyle w:val="Normal"/>
        <w:rPr/>
      </w:pPr>
      <w:r>
        <w:rPr>
          <w:u w:val="single"/>
        </w:rPr>
        <w:t>Guidelines</w:t>
      </w:r>
      <w:r>
        <w:rPr/>
        <w:t xml:space="preserve">: This applies to external and internal (in-house) developers. Training options include, for example, classroom-style training, web-based / computer-based training and hands-on training. </w:t>
      </w:r>
    </w:p>
    <w:p>
      <w:pPr>
        <w:pStyle w:val="Normal"/>
        <w:rPr/>
      </w:pPr>
      <w:r>
        <w:rPr/>
      </w:r>
    </w:p>
    <w:p>
      <w:pPr>
        <w:pStyle w:val="Normal"/>
        <w:rPr/>
      </w:pPr>
      <w:r>
        <w:rPr/>
      </w:r>
    </w:p>
    <w:p>
      <w:pPr>
        <w:pStyle w:val="Heading2"/>
        <w:rPr/>
      </w:pPr>
      <w:bookmarkStart w:id="2271" w:name="_Toc474075393"/>
      <w:bookmarkStart w:id="2272" w:name="_Toc474075838"/>
      <w:bookmarkStart w:id="2273" w:name="_Toc34921323"/>
      <w:r>
        <w:rPr/>
        <w:t>TDA-17: Unsupported Systems</w:t>
      </w:r>
      <w:bookmarkEnd w:id="2271"/>
      <w:bookmarkEnd w:id="2272"/>
      <w:bookmarkEnd w:id="2273"/>
      <w:r>
        <w:rPr/>
        <w:t xml:space="preserve"> </w:t>
      </w:r>
    </w:p>
    <w:p>
      <w:pPr>
        <w:pStyle w:val="Normal"/>
        <w:rPr/>
      </w:pPr>
      <w:r>
        <w:rPr>
          <w:u w:val="single"/>
        </w:rPr>
        <w:t>Control Objective</w:t>
      </w:r>
      <w:r>
        <w:rPr/>
        <w:t>: The organization:</w:t>
      </w:r>
      <w:r>
        <w:rPr>
          <w:rStyle w:val="FootnoteCharacters"/>
          <w:rFonts w:cs="Calibri"/>
        </w:rPr>
        <w:t xml:space="preserve"> </w:t>
      </w:r>
      <w:r>
        <w:rPr>
          <w:rStyle w:val="FootnoteAnchor"/>
          <w:rStyle w:val="FootnoteAnchor"/>
          <w:rFonts w:cs="Calibri"/>
        </w:rPr>
        <w:footnoteReference w:id="625"/>
      </w:r>
    </w:p>
    <w:p>
      <w:pPr>
        <w:pStyle w:val="ListParagraph"/>
        <w:numPr>
          <w:ilvl w:val="0"/>
          <w:numId w:val="152"/>
        </w:numPr>
        <w:rPr/>
      </w:pPr>
      <w:r>
        <w:rPr/>
        <w:t>Replaces system components when support for the components is no longer available from the developer, vendor or manufacturer; and</w:t>
      </w:r>
    </w:p>
    <w:p>
      <w:pPr>
        <w:pStyle w:val="ListParagraph"/>
        <w:numPr>
          <w:ilvl w:val="0"/>
          <w:numId w:val="152"/>
        </w:numPr>
        <w:rPr/>
      </w:pPr>
      <w:r>
        <w:rPr/>
        <w:t>Provides justification and documents approval for the continued use of unsupported system components required to satisfy mission / business needs.</w:t>
      </w:r>
    </w:p>
    <w:p>
      <w:pPr>
        <w:pStyle w:val="Normal"/>
        <w:rPr/>
      </w:pPr>
      <w:r>
        <w:rPr/>
      </w:r>
    </w:p>
    <w:p>
      <w:pPr>
        <w:pStyle w:val="Normal"/>
        <w:rPr/>
      </w:pPr>
      <w:r>
        <w:rPr>
          <w:u w:val="single"/>
        </w:rPr>
        <w:t>Standard</w:t>
      </w:r>
      <w:r>
        <w:rPr/>
        <w:t>: NFCC prohibits unsupported systems and system components from operating on any network, without first:</w:t>
      </w:r>
    </w:p>
    <w:p>
      <w:pPr>
        <w:pStyle w:val="ListParagraph"/>
        <w:numPr>
          <w:ilvl w:val="0"/>
          <w:numId w:val="480"/>
        </w:numPr>
        <w:rPr/>
      </w:pPr>
      <w:r>
        <w:rPr/>
        <w:t>Obtaining an approved waiver; and</w:t>
      </w:r>
    </w:p>
    <w:p>
      <w:pPr>
        <w:pStyle w:val="ListParagraph"/>
        <w:numPr>
          <w:ilvl w:val="0"/>
          <w:numId w:val="480"/>
        </w:numPr>
        <w:rPr/>
      </w:pPr>
      <w:r>
        <w:rPr/>
        <w:t>Implementing compensating controls, if applicable.</w:t>
      </w:r>
    </w:p>
    <w:p>
      <w:pPr>
        <w:pStyle w:val="Normal"/>
        <w:rPr/>
      </w:pPr>
      <w:r>
        <w:rPr/>
      </w:r>
    </w:p>
    <w:p>
      <w:pPr>
        <w:pStyle w:val="Normal"/>
        <w:rPr/>
      </w:pPr>
      <w:r>
        <w:rPr>
          <w:u w:val="single"/>
        </w:rPr>
        <w:t>Guidelines</w:t>
      </w:r>
      <w:r>
        <w:rPr/>
        <w:t xml:space="preserve">: Support for system components includes, for example, software patches, firmware updates, replacement parts and maintenance contracts. Unsupported components (e.g., when vendors are no longer providing critical software patches), provide a substantial opportunity for adversaries to exploit new weaknesses discovered in the currently installed components. </w:t>
      </w:r>
    </w:p>
    <w:p>
      <w:pPr>
        <w:pStyle w:val="Normal"/>
        <w:rPr/>
      </w:pPr>
      <w:r>
        <w:rPr/>
      </w:r>
    </w:p>
    <w:p>
      <w:pPr>
        <w:pStyle w:val="Heading3"/>
        <w:rPr/>
      </w:pPr>
      <w:bookmarkStart w:id="2274" w:name="_Toc474075394"/>
      <w:bookmarkStart w:id="2275" w:name="_Toc34921324"/>
      <w:r>
        <w:rPr/>
        <w:t>TDA-17(a): Unsupported Systems | Alternate Sources For Continued Support</w:t>
      </w:r>
      <w:bookmarkEnd w:id="2274"/>
      <w:bookmarkEnd w:id="2275"/>
      <w:r>
        <w:rPr/>
        <w:t xml:space="preserve"> </w:t>
      </w:r>
    </w:p>
    <w:p>
      <w:pPr>
        <w:pStyle w:val="Normal"/>
        <w:rPr/>
      </w:pPr>
      <w:r>
        <w:rPr>
          <w:u w:val="single"/>
        </w:rPr>
        <w:t>Control Objective</w:t>
      </w:r>
      <w:r>
        <w:rPr/>
        <w:t>: The organization provides in-house support or contracts external providers for support with unsupported system components.</w:t>
      </w:r>
      <w:r>
        <w:rPr>
          <w:rStyle w:val="FootnoteAnchor"/>
          <w:rStyle w:val="FootnoteAnchor"/>
        </w:rPr>
        <w:footnoteReference w:id="626"/>
      </w:r>
    </w:p>
    <w:p>
      <w:pPr>
        <w:pStyle w:val="Normal"/>
        <w:rPr/>
      </w:pPr>
      <w:r>
        <w:rPr/>
      </w:r>
    </w:p>
    <w:p>
      <w:pPr>
        <w:pStyle w:val="Normal"/>
        <w:rPr/>
      </w:pPr>
      <w:r>
        <w:rPr>
          <w:u w:val="single"/>
        </w:rPr>
        <w:t>Standard</w:t>
      </w:r>
      <w:r>
        <w:rPr/>
        <w:t>: NFCC authorizes alternate sources for support with unsupported systems and system components only if the following criteria are met:</w:t>
      </w:r>
    </w:p>
    <w:p>
      <w:pPr>
        <w:pStyle w:val="ListParagraph"/>
        <w:numPr>
          <w:ilvl w:val="0"/>
          <w:numId w:val="481"/>
        </w:numPr>
        <w:rPr/>
      </w:pPr>
      <w:r>
        <w:rPr/>
        <w:t>An approved waiver is obtained; and</w:t>
      </w:r>
    </w:p>
    <w:p>
      <w:pPr>
        <w:pStyle w:val="ListParagraph"/>
        <w:numPr>
          <w:ilvl w:val="0"/>
          <w:numId w:val="481"/>
        </w:numPr>
        <w:rPr/>
      </w:pPr>
      <w:r>
        <w:rPr/>
        <w:t>Compensating controls are implemented, if applicable.</w:t>
      </w:r>
    </w:p>
    <w:p>
      <w:pPr>
        <w:pStyle w:val="Normal"/>
        <w:rPr/>
      </w:pPr>
      <w:r>
        <w:rPr/>
      </w:r>
    </w:p>
    <w:p>
      <w:pPr>
        <w:pStyle w:val="Normal"/>
        <w:rPr/>
      </w:pPr>
      <w:r>
        <w:rPr>
          <w:u w:val="single"/>
        </w:rPr>
        <w:t>Guidelines</w:t>
      </w:r>
      <w:r>
        <w:rPr/>
        <w:t xml:space="preserve">: This standard addresses the need to provide continued support for selected system components that are no longer supported by the original developers, vendors or manufacturers when such components remain essential to mission / business operations. </w:t>
      </w:r>
    </w:p>
    <w:p>
      <w:pPr>
        <w:pStyle w:val="Normal"/>
        <w:rPr/>
      </w:pPr>
      <w:r>
        <w:rPr/>
      </w:r>
    </w:p>
    <w:p>
      <w:pPr>
        <w:pStyle w:val="Normal"/>
        <w:rPr/>
      </w:pPr>
      <w:r>
        <w:rPr/>
      </w:r>
    </w:p>
    <w:p>
      <w:pPr>
        <w:pStyle w:val="Heading2"/>
        <w:rPr/>
      </w:pPr>
      <w:bookmarkStart w:id="2276" w:name="_Toc474075396"/>
      <w:bookmarkStart w:id="2277" w:name="_Toc474075840"/>
      <w:bookmarkStart w:id="2278" w:name="_Toc34921325"/>
      <w:r>
        <w:rPr/>
        <w:t>TDA-18: Input Data Validation</w:t>
      </w:r>
      <w:bookmarkEnd w:id="2276"/>
      <w:bookmarkEnd w:id="2277"/>
      <w:bookmarkEnd w:id="2278"/>
      <w:r>
        <w:rPr/>
        <w:t xml:space="preserve"> </w:t>
      </w:r>
    </w:p>
    <w:p>
      <w:pPr>
        <w:pStyle w:val="Normal"/>
        <w:rPr/>
      </w:pPr>
      <w:r>
        <w:rPr>
          <w:u w:val="single"/>
        </w:rPr>
        <w:t>Control Objective</w:t>
      </w:r>
      <w:r>
        <w:rPr/>
        <w:t>: Systems check the validity of information inputs.</w:t>
      </w:r>
      <w:r>
        <w:rPr>
          <w:rStyle w:val="FootnoteAnchor"/>
          <w:rStyle w:val="FootnoteAnchor"/>
          <w:rFonts w:cs="Calibri"/>
        </w:rPr>
        <w:footnoteReference w:id="627"/>
      </w:r>
    </w:p>
    <w:p>
      <w:pPr>
        <w:pStyle w:val="Normal"/>
        <w:rPr/>
      </w:pPr>
      <w:r>
        <w:rPr/>
      </w:r>
    </w:p>
    <w:p>
      <w:pPr>
        <w:pStyle w:val="Normal"/>
        <w:rPr/>
      </w:pPr>
      <w:r>
        <w:rPr>
          <w:u w:val="single"/>
        </w:rPr>
        <w:t>Standard</w:t>
      </w:r>
      <w:r>
        <w:rPr/>
        <w:t xml:space="preserve">: On custom-developed applications and web pages, asset custodians and data / process owners are required to enforce rules for checking the valid syntax and semantics of system inputs are in place to verify that inputs match specified definitions for format and content. System inputs include, but are not limited to: </w:t>
      </w:r>
    </w:p>
    <w:p>
      <w:pPr>
        <w:pStyle w:val="ListParagraph"/>
        <w:numPr>
          <w:ilvl w:val="0"/>
          <w:numId w:val="482"/>
        </w:numPr>
        <w:rPr/>
      </w:pPr>
      <w:r>
        <w:rPr/>
        <w:t>Character set;</w:t>
      </w:r>
    </w:p>
    <w:p>
      <w:pPr>
        <w:pStyle w:val="ListParagraph"/>
        <w:numPr>
          <w:ilvl w:val="0"/>
          <w:numId w:val="482"/>
        </w:numPr>
        <w:rPr/>
      </w:pPr>
      <w:r>
        <w:rPr/>
        <w:t>Length;</w:t>
      </w:r>
    </w:p>
    <w:p>
      <w:pPr>
        <w:pStyle w:val="ListParagraph"/>
        <w:numPr>
          <w:ilvl w:val="0"/>
          <w:numId w:val="482"/>
        </w:numPr>
        <w:rPr/>
      </w:pPr>
      <w:r>
        <w:rPr/>
        <w:t>Numerical range; and</w:t>
      </w:r>
    </w:p>
    <w:p>
      <w:pPr>
        <w:pStyle w:val="ListParagraph"/>
        <w:numPr>
          <w:ilvl w:val="0"/>
          <w:numId w:val="482"/>
        </w:numPr>
        <w:rPr/>
      </w:pPr>
      <w:r>
        <w:rPr/>
        <w:t>Acceptable values.</w:t>
      </w:r>
    </w:p>
    <w:p>
      <w:pPr>
        <w:pStyle w:val="Normal"/>
        <w:rPr/>
      </w:pPr>
      <w:r>
        <w:rPr/>
      </w:r>
    </w:p>
    <w:p>
      <w:pPr>
        <w:pStyle w:val="Normal"/>
        <w:rPr>
          <w:u w:val="single"/>
        </w:rPr>
      </w:pPr>
      <w:r>
        <w:rPr>
          <w:u w:val="single"/>
        </w:rPr>
        <w:t>Guidelines</w:t>
      </w:r>
      <w:r>
        <w:rPr/>
        <w:t>: Checking the valid syntax and semantics of system inputs (e.g., character set, length, numerical range and acceptable values) verifies that inputs match specified definitions for format and content. Prescreening inputs prior to passing them to interpreters prevents the content from being unintentionally interpreted as commands. Input validation helps ensure accurate and correct inputs and prevent attacks such as cross-site scripting and a variety of injection attacks.</w:t>
      </w:r>
    </w:p>
    <w:p>
      <w:pPr>
        <w:pStyle w:val="Normal"/>
        <w:rPr/>
      </w:pPr>
      <w:r>
        <w:rPr/>
      </w:r>
    </w:p>
    <w:p>
      <w:pPr>
        <w:pStyle w:val="Normal"/>
        <w:rPr/>
      </w:pPr>
      <w:r>
        <w:rPr/>
      </w:r>
    </w:p>
    <w:p>
      <w:pPr>
        <w:pStyle w:val="Heading2"/>
        <w:rPr/>
      </w:pPr>
      <w:bookmarkStart w:id="2279" w:name="_Toc474075397"/>
      <w:bookmarkStart w:id="2280" w:name="_Toc474075841"/>
      <w:bookmarkStart w:id="2281" w:name="_Toc34921326"/>
      <w:r>
        <w:rPr/>
        <w:t>TDA-19: Error Handling</w:t>
      </w:r>
      <w:bookmarkEnd w:id="2279"/>
      <w:bookmarkEnd w:id="2280"/>
      <w:bookmarkEnd w:id="2281"/>
      <w:r>
        <w:rPr/>
        <w:t xml:space="preserve"> </w:t>
      </w:r>
    </w:p>
    <w:p>
      <w:pPr>
        <w:pStyle w:val="Normal"/>
        <w:rPr/>
      </w:pPr>
      <w:r>
        <w:rPr>
          <w:u w:val="single"/>
        </w:rPr>
        <w:t>Control Objective</w:t>
      </w:r>
      <w:r>
        <w:rPr/>
        <w:t>: Systems:</w:t>
      </w:r>
      <w:r>
        <w:rPr>
          <w:rStyle w:val="FootnoteAnchor"/>
          <w:rStyle w:val="FootnoteAnchor"/>
          <w:rFonts w:cs="Calibri"/>
        </w:rPr>
        <w:footnoteReference w:id="628"/>
      </w:r>
    </w:p>
    <w:p>
      <w:pPr>
        <w:pStyle w:val="ListParagraph"/>
        <w:numPr>
          <w:ilvl w:val="0"/>
          <w:numId w:val="3"/>
        </w:numPr>
        <w:rPr/>
      </w:pPr>
      <w:r>
        <w:rPr/>
        <w:t>Identify potentially security-relevant error conditions;</w:t>
      </w:r>
    </w:p>
    <w:p>
      <w:pPr>
        <w:pStyle w:val="ListParagraph"/>
        <w:numPr>
          <w:ilvl w:val="0"/>
          <w:numId w:val="3"/>
        </w:numPr>
        <w:rPr/>
      </w:pPr>
      <w:r>
        <w:rPr/>
        <w:t xml:space="preserve">Generate error messages that provide information necessary for corrective actions without revealing </w:t>
      </w:r>
      <w:r>
        <w:rPr>
          <w:iCs/>
        </w:rPr>
        <w:t>sensitive or potentially harmful information</w:t>
      </w:r>
      <w:r>
        <w:rPr/>
        <w:t xml:space="preserve"> in error logs and administrative messages that could be exploited; and</w:t>
      </w:r>
    </w:p>
    <w:p>
      <w:pPr>
        <w:pStyle w:val="ListParagraph"/>
        <w:numPr>
          <w:ilvl w:val="0"/>
          <w:numId w:val="3"/>
        </w:numPr>
        <w:rPr/>
      </w:pPr>
      <w:r>
        <w:rPr/>
        <w:t>Reveal error messages only to authorized personnel.</w:t>
      </w:r>
    </w:p>
    <w:p>
      <w:pPr>
        <w:pStyle w:val="Normal"/>
        <w:rPr/>
      </w:pPr>
      <w:r>
        <w:rPr/>
      </w:r>
    </w:p>
    <w:p>
      <w:pPr>
        <w:pStyle w:val="Normal"/>
        <w:rPr/>
      </w:pPr>
      <w:r>
        <w:rPr>
          <w:u w:val="single"/>
        </w:rPr>
        <w:t>Standard</w:t>
      </w:r>
      <w:r>
        <w:rPr/>
        <w:t xml:space="preserve">: Data/process owners and asset custodians are required to examine the structure and content of error messages to identify how error conditions are handled for systems. </w:t>
      </w:r>
    </w:p>
    <w:p>
      <w:pPr>
        <w:pStyle w:val="Normal"/>
        <w:rPr/>
      </w:pPr>
      <w:r>
        <w:rPr/>
      </w:r>
    </w:p>
    <w:p>
      <w:pPr>
        <w:pStyle w:val="Normal"/>
        <w:rPr/>
      </w:pPr>
      <w:r>
        <w:rPr>
          <w:u w:val="single"/>
        </w:rPr>
        <w:t>Guidelines</w:t>
      </w:r>
      <w:r>
        <w:rPr/>
        <w:t xml:space="preserve">: Data/process owners and asset custodians are required to carefully consider the structure / content of error messages. Sensitive information may include, for example, erroneous login attempts with passwords entered by mistake as the username, mission or business information that can be derived from (if not stated explicitly by) information recorded and personal information such as account numbers, social security numbers and credit card numbers. In addition, error messages may provide a covert channel for transmitting information. </w:t>
      </w:r>
    </w:p>
    <w:p>
      <w:pPr>
        <w:pStyle w:val="Normal"/>
        <w:rPr/>
      </w:pPr>
      <w:r>
        <w:rPr/>
      </w:r>
    </w:p>
    <w:p>
      <w:pPr>
        <w:pStyle w:val="Normal"/>
        <w:rPr/>
      </w:pPr>
      <w:r>
        <w:rPr/>
      </w:r>
    </w:p>
    <w:p>
      <w:pPr>
        <w:pStyle w:val="Heading2"/>
        <w:rPr/>
      </w:pPr>
      <w:bookmarkStart w:id="2282" w:name="_Toc474075398"/>
      <w:bookmarkStart w:id="2283" w:name="_Toc474075842"/>
      <w:bookmarkStart w:id="2284" w:name="_Toc34921327"/>
      <w:r>
        <w:rPr/>
        <w:t>TDA-20: Access to Program Source Code</w:t>
      </w:r>
      <w:bookmarkEnd w:id="2282"/>
      <w:bookmarkEnd w:id="2283"/>
      <w:bookmarkEnd w:id="2284"/>
      <w:r>
        <w:rPr/>
        <w:t xml:space="preserve"> </w:t>
      </w:r>
    </w:p>
    <w:p>
      <w:pPr>
        <w:pStyle w:val="Normal"/>
        <w:rPr/>
      </w:pPr>
      <w:r>
        <w:rPr>
          <w:u w:val="single"/>
        </w:rPr>
        <w:t>Control Objective</w:t>
      </w:r>
      <w:r>
        <w:rPr/>
        <w:t>: The organization limits privileges to change software resident within software libraries.</w:t>
      </w:r>
      <w:r>
        <w:rPr>
          <w:rStyle w:val="FootnoteAnchor"/>
          <w:rStyle w:val="FootnoteAnchor"/>
          <w:rFonts w:cs="Calibri"/>
        </w:rPr>
        <w:footnoteReference w:id="629"/>
      </w:r>
    </w:p>
    <w:p>
      <w:pPr>
        <w:pStyle w:val="Normal"/>
        <w:rPr>
          <w:u w:val="single"/>
        </w:rPr>
      </w:pPr>
      <w:r>
        <w:rPr>
          <w:u w:val="single"/>
        </w:rPr>
      </w:r>
    </w:p>
    <w:p>
      <w:pPr>
        <w:pStyle w:val="Normal"/>
        <w:rPr>
          <w:rFonts w:eastAsia="Calibri"/>
        </w:rPr>
      </w:pPr>
      <w:r>
        <w:rPr>
          <w:u w:val="single"/>
        </w:rPr>
        <w:t>Standard</w:t>
      </w:r>
      <w:r>
        <w:rPr/>
        <w:t xml:space="preserve">: </w:t>
      </w:r>
      <w:r>
        <w:rPr>
          <w:rFonts w:eastAsia="Calibri"/>
        </w:rPr>
        <w:t xml:space="preserve">Access to NFCC’s developed applications, program or object source code or any other form of intellectual property (IP) and use of proprietary software shall be appropriately restricted following the rule of least privilege, based on job function. </w:t>
      </w:r>
    </w:p>
    <w:p>
      <w:pPr>
        <w:pStyle w:val="Normal"/>
        <w:rPr>
          <w:rFonts w:eastAsia="Calibri"/>
        </w:rPr>
      </w:pPr>
      <w:r>
        <w:rPr>
          <w:rFonts w:eastAsia="Calibri"/>
        </w:rPr>
      </w:r>
    </w:p>
    <w:p>
      <w:pPr>
        <w:pStyle w:val="Normal"/>
        <w:rPr/>
      </w:pPr>
      <w:r>
        <w:rPr>
          <w:u w:val="single"/>
        </w:rPr>
        <w:t>Guidelines</w:t>
      </w:r>
      <w:r>
        <w:rPr/>
        <w:t>: Software libraries include privileged programs.</w:t>
      </w:r>
    </w:p>
    <w:p>
      <w:pPr>
        <w:pStyle w:val="Normal"/>
        <w:rPr>
          <w:b/>
          <w:b/>
        </w:rPr>
      </w:pPr>
      <w:r>
        <w:rPr>
          <w:b/>
        </w:rPr>
      </w:r>
    </w:p>
    <w:p>
      <w:pPr>
        <w:pStyle w:val="Normal"/>
        <w:tabs>
          <w:tab w:val="clear" w:pos="360"/>
          <w:tab w:val="clear" w:pos="720"/>
          <w:tab w:val="clear" w:pos="1080"/>
        </w:tabs>
        <w:jc w:val="left"/>
        <w:rPr/>
      </w:pPr>
      <w:r>
        <w:rPr/>
      </w:r>
      <w:r>
        <w:br w:type="page"/>
      </w:r>
    </w:p>
    <w:p>
      <w:pPr>
        <w:pStyle w:val="Heading1"/>
        <w:rPr/>
      </w:pPr>
      <w:bookmarkStart w:id="2285" w:name="_Toc34921328"/>
      <w:bookmarkStart w:id="2286" w:name="_Toc474075406"/>
      <w:bookmarkStart w:id="2287" w:name="_Toc474075850"/>
      <w:r>
        <w:rPr/>
        <w:t>Third-Party Management (TPM)</w:t>
      </w:r>
      <w:bookmarkEnd w:id="2286"/>
      <w:bookmarkEnd w:id="2287"/>
      <w:r>
        <w:rPr/>
        <w:t xml:space="preserve"> Policy &amp; Standards</w:t>
      </w:r>
      <w:bookmarkEnd w:id="2285"/>
    </w:p>
    <w:p>
      <w:pPr>
        <w:pStyle w:val="Normal"/>
        <w:rPr/>
      </w:pPr>
      <w:r>
        <w:rPr/>
      </w:r>
    </w:p>
    <w:p>
      <w:pPr>
        <w:pStyle w:val="Normal"/>
        <w:rPr/>
      </w:pPr>
      <w:r>
        <w:rPr>
          <w:u w:val="single"/>
        </w:rPr>
        <w:t>Management Intent</w:t>
      </w:r>
      <w:r>
        <w:rPr/>
        <w:t xml:space="preserve">: The purpose of the Third-Party Management (TPM) policy is to ensure that security and privacy risks associated with third-parties are minimized or avoided. </w:t>
      </w:r>
    </w:p>
    <w:p>
      <w:pPr>
        <w:pStyle w:val="Normal"/>
        <w:rPr/>
      </w:pPr>
      <w:r>
        <w:rPr/>
      </w:r>
    </w:p>
    <w:p>
      <w:pPr>
        <w:pStyle w:val="Normal"/>
        <w:shd w:val="clear" w:color="auto" w:fill="DDD9C3" w:themeFill="background2" w:themeFillShade="e6"/>
        <w:rPr/>
      </w:pPr>
      <w:r>
        <w:rPr>
          <w:u w:val="single"/>
        </w:rPr>
        <w:t>Policy</w:t>
      </w:r>
      <w:r>
        <w:rPr/>
        <w:t>: NFCC must assess the cybersecurity and privacy risks posed by both its current and potential third-party providers. It is imperative that NFCC’s third-parties implement mechanisms to identify and remediate deficiencies and / or vulnerabilities on an ongoing basis, in order to ensure the continued effectiveness of security and privacy controls. As third-party providers’ technology and processes evolve over time, NFCC must ensure the appropriate levels of due care and due diligence are applied to validate that appropriate security and privacy controls are effective.</w:t>
      </w:r>
    </w:p>
    <w:p>
      <w:pPr>
        <w:pStyle w:val="Normal"/>
        <w:rPr>
          <w:u w:val="single"/>
        </w:rPr>
      </w:pPr>
      <w:r>
        <w:rPr>
          <w:u w:val="single"/>
        </w:rPr>
      </w:r>
    </w:p>
    <w:p>
      <w:pPr>
        <w:pStyle w:val="Normal"/>
        <w:rPr/>
      </w:pPr>
      <w:r>
        <w:rPr>
          <w:u w:val="single"/>
        </w:rPr>
        <w:t>Supporting Documentation</w:t>
      </w:r>
      <w:r>
        <w:rPr/>
        <w:t xml:space="preserve">: This policy is supported by the following control objectives, standards and guidelines. </w:t>
      </w:r>
    </w:p>
    <w:p>
      <w:pPr>
        <w:pStyle w:val="Normal"/>
        <w:rPr/>
      </w:pPr>
      <w:r>
        <w:rPr/>
      </w:r>
    </w:p>
    <w:p>
      <w:pPr>
        <w:pStyle w:val="Normal"/>
        <w:rPr/>
      </w:pPr>
      <w:r>
        <w:rPr/>
      </w:r>
    </w:p>
    <w:p>
      <w:pPr>
        <w:pStyle w:val="Heading2"/>
        <w:rPr/>
      </w:pPr>
      <w:bookmarkStart w:id="2288" w:name="_Toc474075407"/>
      <w:bookmarkStart w:id="2289" w:name="_Toc474075851"/>
      <w:bookmarkStart w:id="2290" w:name="_Toc34921329"/>
      <w:r>
        <w:rPr/>
        <w:t>TPM-01: Third-Party Management</w:t>
      </w:r>
      <w:bookmarkEnd w:id="2288"/>
      <w:bookmarkEnd w:id="2289"/>
      <w:bookmarkEnd w:id="2290"/>
    </w:p>
    <w:p>
      <w:pPr>
        <w:pStyle w:val="Normal"/>
        <w:rPr/>
      </w:pPr>
      <w:r>
        <w:rPr>
          <w:u w:val="single"/>
        </w:rPr>
        <w:t>Control Objective</w:t>
      </w:r>
      <w:r>
        <w:rPr/>
        <w:t>: The organization develops, implements and governs processes and documentation to facilitate the implementation of an enterprise-wide third-party management policy, as well as associated standards, controls and procedures.</w:t>
      </w:r>
      <w:r>
        <w:rPr>
          <w:rStyle w:val="FootnoteCharacters"/>
          <w:rFonts w:cs="Calibri"/>
        </w:rPr>
        <w:t xml:space="preserve"> </w:t>
      </w:r>
      <w:r>
        <w:rPr>
          <w:rStyle w:val="FootnoteAnchor"/>
          <w:rStyle w:val="FootnoteAnchor"/>
          <w:rFonts w:cs="Calibri"/>
        </w:rPr>
        <w:footnoteReference w:id="630"/>
      </w:r>
    </w:p>
    <w:p>
      <w:pPr>
        <w:pStyle w:val="Normal"/>
        <w:rPr/>
      </w:pPr>
      <w:r>
        <w:rPr/>
      </w:r>
    </w:p>
    <w:p>
      <w:pPr>
        <w:pStyle w:val="Normal"/>
        <w:rPr/>
      </w:pPr>
      <w:r>
        <w:rPr>
          <w:u w:val="single"/>
        </w:rPr>
        <w:t>Standard</w:t>
      </w:r>
      <w:r>
        <w:rPr/>
        <w:t>: Third-Party service providers shall demonstrate compliance with cybersecurity and confidentiality, access control, service definitions and delivery level agreements included in third-party contracts. Data / process owners are required to maintain and implement procedures to manage service providers that include, but is not limited to:</w:t>
      </w:r>
      <w:r>
        <w:rPr>
          <w:rStyle w:val="FootnoteCharacters"/>
          <w:rFonts w:cs="Calibri"/>
        </w:rPr>
        <w:t xml:space="preserve"> </w:t>
      </w:r>
    </w:p>
    <w:p>
      <w:pPr>
        <w:pStyle w:val="ListParagraph"/>
        <w:numPr>
          <w:ilvl w:val="0"/>
          <w:numId w:val="486"/>
        </w:numPr>
        <w:rPr/>
      </w:pPr>
      <w:r>
        <w:rPr/>
        <w:t>Maintaining a list of service providers;</w:t>
      </w:r>
      <w:r>
        <w:rPr>
          <w:rStyle w:val="FootnoteCharacters"/>
          <w:rFonts w:cs="Calibri"/>
        </w:rPr>
        <w:t xml:space="preserve"> </w:t>
      </w:r>
    </w:p>
    <w:p>
      <w:pPr>
        <w:pStyle w:val="ListParagraph"/>
        <w:numPr>
          <w:ilvl w:val="0"/>
          <w:numId w:val="486"/>
        </w:numPr>
        <w:rPr/>
      </w:pPr>
      <w:r>
        <w:rPr/>
        <w:t>Maintaining a written agreement that includes an acknowledgment that the service providers are responsible for the security of sensitive data the service providers possess or otherwise store, process or transmit on behalf of NFCC or to the extent that they could impact the security of NFCC;</w:t>
      </w:r>
      <w:r>
        <w:rPr>
          <w:rStyle w:val="FootnoteCharacters"/>
          <w:rFonts w:cs="Calibri"/>
        </w:rPr>
        <w:t xml:space="preserve"> </w:t>
      </w:r>
    </w:p>
    <w:p>
      <w:pPr>
        <w:pStyle w:val="ListParagraph"/>
        <w:numPr>
          <w:ilvl w:val="0"/>
          <w:numId w:val="486"/>
        </w:numPr>
        <w:rPr/>
      </w:pPr>
      <w:r>
        <w:rPr/>
        <w:t xml:space="preserve">Ensures there is an established process for engaging service providers, including proper due diligence prior to engagement; </w:t>
      </w:r>
    </w:p>
    <w:p>
      <w:pPr>
        <w:pStyle w:val="ListParagraph"/>
        <w:numPr>
          <w:ilvl w:val="0"/>
          <w:numId w:val="486"/>
        </w:numPr>
        <w:rPr/>
      </w:pPr>
      <w:r>
        <w:rPr/>
        <w:t>Maintaining a program to monitor service providers’ compliance status at least annually;</w:t>
      </w:r>
      <w:r>
        <w:rPr>
          <w:rStyle w:val="FootnoteCharacters"/>
          <w:rFonts w:cs="Calibri"/>
        </w:rPr>
        <w:t xml:space="preserve"> </w:t>
      </w:r>
      <w:r>
        <w:rPr/>
        <w:t>and</w:t>
      </w:r>
    </w:p>
    <w:p>
      <w:pPr>
        <w:pStyle w:val="ListParagraph"/>
        <w:numPr>
          <w:ilvl w:val="0"/>
          <w:numId w:val="486"/>
        </w:numPr>
        <w:rPr/>
      </w:pPr>
      <w:r>
        <w:rPr/>
        <w:t>Maintaining information about which requirements are managed by each service provider and which are managed by NFCC.</w:t>
      </w:r>
      <w:r>
        <w:rPr>
          <w:rStyle w:val="FootnoteCharacters"/>
          <w:rFonts w:cs="Calibri"/>
        </w:rPr>
        <w:t xml:space="preserve"> </w:t>
      </w:r>
    </w:p>
    <w:p>
      <w:pPr>
        <w:pStyle w:val="Normal"/>
        <w:rPr/>
      </w:pPr>
      <w:r>
        <w:rPr/>
      </w:r>
    </w:p>
    <w:p>
      <w:pPr>
        <w:pStyle w:val="Normal"/>
        <w:rPr/>
      </w:pPr>
      <w:r>
        <w:rPr>
          <w:u w:val="single"/>
        </w:rPr>
        <w:t>Guidelines</w:t>
      </w:r>
      <w:r>
        <w:rPr/>
        <w:t>: If the entity shares sensitive data with service providers (e.g., backup tape storage facilities, web hosting companies or security service providers), the process of due diligence should include:</w:t>
      </w:r>
    </w:p>
    <w:p>
      <w:pPr>
        <w:pStyle w:val="ListParagraph"/>
        <w:numPr>
          <w:ilvl w:val="0"/>
          <w:numId w:val="208"/>
        </w:numPr>
        <w:rPr/>
      </w:pPr>
      <w:r>
        <w:rPr/>
        <w:t xml:space="preserve">Direct observations; </w:t>
      </w:r>
    </w:p>
    <w:p>
      <w:pPr>
        <w:pStyle w:val="ListParagraph"/>
        <w:numPr>
          <w:ilvl w:val="0"/>
          <w:numId w:val="208"/>
        </w:numPr>
        <w:rPr/>
      </w:pPr>
      <w:r>
        <w:rPr/>
        <w:t xml:space="preserve">Reviews of policies and procedures; and </w:t>
      </w:r>
    </w:p>
    <w:p>
      <w:pPr>
        <w:pStyle w:val="ListParagraph"/>
        <w:numPr>
          <w:ilvl w:val="0"/>
          <w:numId w:val="208"/>
        </w:numPr>
        <w:rPr/>
      </w:pPr>
      <w:r>
        <w:rPr/>
        <w:t xml:space="preserve">Reviews of supporting documentation. </w:t>
      </w:r>
    </w:p>
    <w:p>
      <w:pPr>
        <w:pStyle w:val="Normal"/>
        <w:rPr/>
      </w:pPr>
      <w:r>
        <w:rPr/>
      </w:r>
    </w:p>
    <w:p>
      <w:pPr>
        <w:pStyle w:val="Normal"/>
        <w:rPr/>
      </w:pPr>
      <w:r>
        <w:rPr/>
      </w:r>
    </w:p>
    <w:p>
      <w:pPr>
        <w:pStyle w:val="Heading2"/>
        <w:rPr/>
      </w:pPr>
      <w:bookmarkStart w:id="2291" w:name="_Toc34921330"/>
      <w:r>
        <w:rPr/>
        <w:t>TPM-02: Third-Party Criticality Assessments</w:t>
      </w:r>
      <w:bookmarkEnd w:id="2291"/>
    </w:p>
    <w:p>
      <w:pPr>
        <w:pStyle w:val="Normal"/>
        <w:rPr/>
      </w:pPr>
      <w:r>
        <w:rPr>
          <w:u w:val="single"/>
        </w:rPr>
        <w:t>Control Objective</w:t>
      </w:r>
      <w:r>
        <w:rPr/>
        <w:t>: The organization identifies, prioritizes and assesses suppliers and partners of critical systems, components and services using a supply chain risk assessment process.</w:t>
      </w:r>
      <w:r>
        <w:rPr>
          <w:rStyle w:val="FootnoteAnchor"/>
          <w:rStyle w:val="FootnoteAnchor"/>
        </w:rPr>
        <w:footnoteReference w:id="631"/>
      </w:r>
    </w:p>
    <w:p>
      <w:pPr>
        <w:pStyle w:val="Normal"/>
        <w:rPr/>
      </w:pPr>
      <w:r>
        <w:rPr/>
      </w:r>
    </w:p>
    <w:p>
      <w:pPr>
        <w:pStyle w:val="Normal"/>
        <w:rPr/>
      </w:pPr>
      <w:r>
        <w:rPr>
          <w:rFonts w:cs="Calibri"/>
          <w:u w:val="single"/>
        </w:rPr>
        <w:t>Standard</w:t>
      </w:r>
      <w:r>
        <w:rPr>
          <w:rFonts w:cs="Calibri"/>
        </w:rPr>
        <w:t>: NFCC’s procurement department, in conjunction with the Information Risk Management (IRM) team, is assigned the responsibility for</w:t>
      </w:r>
      <w:r>
        <w:rPr/>
        <w:t xml:space="preserve"> identifying, prioritizing and assessing suppliers and providers of critical systems, components and services. </w:t>
      </w:r>
    </w:p>
    <w:p>
      <w:pPr>
        <w:pStyle w:val="Normal"/>
        <w:rPr/>
      </w:pPr>
      <w:r>
        <w:rPr/>
      </w:r>
    </w:p>
    <w:p>
      <w:pPr>
        <w:pStyle w:val="Normal"/>
        <w:rPr/>
      </w:pPr>
      <w:r>
        <w:rPr>
          <w:u w:val="single"/>
        </w:rPr>
        <w:t>Guidelines</w:t>
      </w:r>
      <w:r>
        <w:rPr/>
        <w:t>: None</w:t>
      </w:r>
    </w:p>
    <w:p>
      <w:pPr>
        <w:pStyle w:val="Normal"/>
        <w:rPr/>
      </w:pPr>
      <w:r>
        <w:rPr/>
      </w:r>
    </w:p>
    <w:p>
      <w:pPr>
        <w:pStyle w:val="Normal"/>
        <w:rPr/>
      </w:pPr>
      <w:r>
        <w:rPr/>
      </w:r>
    </w:p>
    <w:p>
      <w:pPr>
        <w:pStyle w:val="Heading2"/>
        <w:rPr/>
      </w:pPr>
      <w:bookmarkStart w:id="2292" w:name="_Toc34921331"/>
      <w:bookmarkStart w:id="2293" w:name="_Toc474075408"/>
      <w:bookmarkStart w:id="2294" w:name="_Toc474075852"/>
      <w:r>
        <w:rPr/>
        <w:t>TPM-03: Supply Chain Protection</w:t>
      </w:r>
      <w:bookmarkEnd w:id="2292"/>
      <w:bookmarkEnd w:id="2293"/>
      <w:bookmarkEnd w:id="2294"/>
      <w:r>
        <w:rPr/>
        <w:t xml:space="preserve"> </w:t>
      </w:r>
    </w:p>
    <w:p>
      <w:pPr>
        <w:pStyle w:val="Normal"/>
        <w:rPr/>
      </w:pPr>
      <w:r>
        <w:rPr>
          <w:u w:val="single"/>
        </w:rPr>
        <w:t>Control Objective</w:t>
      </w:r>
      <w:r>
        <w:rPr/>
        <w:t>: The organization includes requirements for formal agreements with suppliers to address the security risks associated with the services and product supply chain.</w:t>
      </w:r>
      <w:r>
        <w:rPr>
          <w:rStyle w:val="FootnoteAnchor"/>
          <w:rStyle w:val="FootnoteAnchor"/>
          <w:rFonts w:cs="Calibri"/>
        </w:rPr>
        <w:footnoteReference w:id="632"/>
      </w:r>
      <w:r>
        <w:rPr/>
        <w:t xml:space="preserve"> </w:t>
      </w:r>
    </w:p>
    <w:p>
      <w:pPr>
        <w:pStyle w:val="Normal"/>
        <w:rPr/>
      </w:pPr>
      <w:r>
        <w:rPr/>
      </w:r>
    </w:p>
    <w:p>
      <w:pPr>
        <w:pStyle w:val="Normal"/>
        <w:rPr/>
      </w:pPr>
      <w:r>
        <w:rPr>
          <w:u w:val="single"/>
        </w:rPr>
        <w:t>Standard</w:t>
      </w:r>
      <w:r>
        <w:rPr/>
        <w:t xml:space="preserve">: </w:t>
      </w:r>
      <w:r>
        <w:rPr>
          <w:rFonts w:cs="Calibri"/>
        </w:rPr>
        <w:t xml:space="preserve">NFCC’s procurement department, in conjunction with the Information Risk Management (IRM) team, is </w:t>
      </w:r>
      <w:r>
        <w:rPr/>
        <w:t xml:space="preserve">required to conduct a due care review of suppliers prior to entering into contractual agreements to acquire system hardware, software, firmware or services. </w:t>
      </w:r>
    </w:p>
    <w:p>
      <w:pPr>
        <w:pStyle w:val="Normal"/>
        <w:rPr/>
      </w:pPr>
      <w:r>
        <w:rPr/>
      </w:r>
    </w:p>
    <w:p>
      <w:pPr>
        <w:pStyle w:val="Normal"/>
        <w:rPr/>
      </w:pPr>
      <w:r>
        <w:rPr>
          <w:u w:val="single"/>
        </w:rPr>
        <w:t>Guidelines</w:t>
      </w:r>
      <w:r>
        <w:rPr/>
        <w:t xml:space="preserve">: The scope of the due care review should cover all anticipated system components and spares over the life of the system. Systems, system components and information technology products include hardware, software and firmware. Supplier reviews include, for example: </w:t>
      </w:r>
    </w:p>
    <w:p>
      <w:pPr>
        <w:pStyle w:val="ListParagraph"/>
        <w:numPr>
          <w:ilvl w:val="0"/>
          <w:numId w:val="16"/>
        </w:numPr>
        <w:rPr/>
      </w:pPr>
      <w:r>
        <w:rPr/>
        <w:t xml:space="preserve">Analysis of supplier processes used to design, develop, test, implement, verify, deliver and support systems, products and services; and </w:t>
      </w:r>
    </w:p>
    <w:p>
      <w:pPr>
        <w:pStyle w:val="ListParagraph"/>
        <w:numPr>
          <w:ilvl w:val="0"/>
          <w:numId w:val="16"/>
        </w:numPr>
        <w:rPr/>
      </w:pPr>
      <w:r>
        <w:rPr/>
        <w:t xml:space="preserve">Assessment of supplier training and experience in developing systems, components, products or services with the required security capability. </w:t>
      </w:r>
    </w:p>
    <w:p>
      <w:pPr>
        <w:pStyle w:val="Normal"/>
        <w:rPr/>
      </w:pPr>
      <w:r>
        <w:rPr/>
      </w:r>
    </w:p>
    <w:p>
      <w:pPr>
        <w:pStyle w:val="Normal"/>
        <w:rPr/>
      </w:pPr>
      <w:r>
        <w:rPr/>
        <w:t>These reviews provide NFCC with increased levels of visibility into supplier activities during the Secure Development Life Cycle (SDLC) to promote more effective supply chain risk management. Supplier reviews can also help determine whether primary suppliers have security safeguards in place and in practice for vetting second and third tier providers and any other subcontractors.</w:t>
      </w:r>
    </w:p>
    <w:p>
      <w:pPr>
        <w:pStyle w:val="Normal"/>
        <w:rPr/>
      </w:pPr>
      <w:r>
        <w:rPr/>
      </w:r>
    </w:p>
    <w:p>
      <w:pPr>
        <w:pStyle w:val="Heading3"/>
        <w:rPr/>
      </w:pPr>
      <w:bookmarkStart w:id="2295" w:name="_Toc474075409"/>
      <w:bookmarkStart w:id="2296" w:name="_Toc34921332"/>
      <w:r>
        <w:rPr/>
        <w:t>TPM-03(a): Supply Chain Protection | Acquisition Strategies, Tools &amp; Methods</w:t>
      </w:r>
      <w:bookmarkEnd w:id="2295"/>
      <w:bookmarkEnd w:id="2296"/>
      <w:r>
        <w:rPr/>
        <w:t xml:space="preserve"> </w:t>
      </w:r>
    </w:p>
    <w:p>
      <w:pPr>
        <w:pStyle w:val="Normal"/>
        <w:rPr/>
      </w:pPr>
      <w:r>
        <w:rPr>
          <w:u w:val="single"/>
        </w:rPr>
        <w:t>Control Objective</w:t>
      </w:r>
      <w:r>
        <w:rPr/>
        <w:t>: The organization employs tailored acquisition strategies, contract tools and procurement methods for the purchase of unique systems, system components or services.</w:t>
      </w:r>
      <w:r>
        <w:rPr>
          <w:rStyle w:val="FootnoteCharacters"/>
        </w:rPr>
        <w:t xml:space="preserve"> </w:t>
      </w:r>
      <w:r>
        <w:rPr>
          <w:rStyle w:val="FootnoteAnchor"/>
          <w:rStyle w:val="FootnoteAnchor"/>
        </w:rPr>
        <w:footnoteReference w:id="633"/>
      </w:r>
    </w:p>
    <w:p>
      <w:pPr>
        <w:pStyle w:val="Normal"/>
        <w:rPr/>
      </w:pPr>
      <w:r>
        <w:rPr/>
      </w:r>
    </w:p>
    <w:p>
      <w:pPr>
        <w:pStyle w:val="Normal"/>
        <w:rPr/>
      </w:pPr>
      <w:r>
        <w:rPr>
          <w:u w:val="single"/>
        </w:rPr>
        <w:t>Standard</w:t>
      </w:r>
      <w:r>
        <w:rPr/>
        <w:t>: For sensitive projects or for overseas locations, NFCC is required to tailor acquisition strategies, contract tools and procurement methods to ensure the integrity of the system(s).</w:t>
      </w:r>
    </w:p>
    <w:p>
      <w:pPr>
        <w:pStyle w:val="Normal"/>
        <w:rPr/>
      </w:pPr>
      <w:r>
        <w:rPr/>
      </w:r>
    </w:p>
    <w:p>
      <w:pPr>
        <w:pStyle w:val="Normal"/>
        <w:rPr/>
      </w:pPr>
      <w:r>
        <w:rPr>
          <w:u w:val="single"/>
        </w:rPr>
        <w:t>Guidelines</w:t>
      </w:r>
      <w:r>
        <w:rPr/>
        <w:t xml:space="preserve">: There are a number of different tools and techniques available, such as obscuring the end use of a system or system component, using blind or filtered buys. NFCC should also consider creating incentives for suppliers who: </w:t>
      </w:r>
    </w:p>
    <w:p>
      <w:pPr>
        <w:pStyle w:val="ListParagraph"/>
        <w:numPr>
          <w:ilvl w:val="0"/>
          <w:numId w:val="138"/>
        </w:numPr>
        <w:rPr/>
      </w:pPr>
      <w:r>
        <w:rPr/>
        <w:t xml:space="preserve">Implement required security safeguards; </w:t>
      </w:r>
    </w:p>
    <w:p>
      <w:pPr>
        <w:pStyle w:val="ListParagraph"/>
        <w:numPr>
          <w:ilvl w:val="0"/>
          <w:numId w:val="138"/>
        </w:numPr>
        <w:rPr/>
      </w:pPr>
      <w:r>
        <w:rPr/>
        <w:t xml:space="preserve">Promote transparency into their organizational processes and security practices; </w:t>
      </w:r>
    </w:p>
    <w:p>
      <w:pPr>
        <w:pStyle w:val="ListParagraph"/>
        <w:numPr>
          <w:ilvl w:val="0"/>
          <w:numId w:val="138"/>
        </w:numPr>
        <w:rPr/>
      </w:pPr>
      <w:r>
        <w:rPr/>
        <w:t xml:space="preserve">Provide additional vetting of the processes and security practices of subordinate suppliers, critical system components and services; </w:t>
      </w:r>
    </w:p>
    <w:p>
      <w:pPr>
        <w:pStyle w:val="ListParagraph"/>
        <w:numPr>
          <w:ilvl w:val="0"/>
          <w:numId w:val="138"/>
        </w:numPr>
        <w:rPr/>
      </w:pPr>
      <w:r>
        <w:rPr/>
        <w:t xml:space="preserve">Restrict purchases from specific suppliers or countries; and </w:t>
      </w:r>
    </w:p>
    <w:p>
      <w:pPr>
        <w:pStyle w:val="ListParagraph"/>
        <w:numPr>
          <w:ilvl w:val="0"/>
          <w:numId w:val="138"/>
        </w:numPr>
        <w:rPr/>
      </w:pPr>
      <w:r>
        <w:rPr/>
        <w:t xml:space="preserve">Provide contract language regarding the prohibition of tainted or counterfeit components. </w:t>
      </w:r>
    </w:p>
    <w:p>
      <w:pPr>
        <w:pStyle w:val="Normal"/>
        <w:rPr/>
      </w:pPr>
      <w:r>
        <w:rPr/>
      </w:r>
    </w:p>
    <w:p>
      <w:pPr>
        <w:pStyle w:val="Heading3"/>
        <w:rPr/>
      </w:pPr>
      <w:bookmarkStart w:id="2297" w:name="_Toc34921333"/>
      <w:bookmarkStart w:id="2298" w:name="_Toc474075411"/>
      <w:r>
        <w:rPr/>
        <w:t xml:space="preserve">TPM-03(b): Supply Chain Protection | </w:t>
      </w:r>
      <w:bookmarkEnd w:id="2298"/>
      <w:r>
        <w:rPr/>
        <w:t>Limit Potential Harm</w:t>
      </w:r>
      <w:bookmarkEnd w:id="2297"/>
    </w:p>
    <w:p>
      <w:pPr>
        <w:pStyle w:val="Normal"/>
        <w:rPr/>
      </w:pPr>
      <w:r>
        <w:rPr>
          <w:u w:val="single"/>
        </w:rPr>
        <w:t>Control Objective</w:t>
      </w:r>
      <w:r>
        <w:rPr/>
        <w:t>: The organization employs security safeguards to limit harm the organization’s exposure to harm from adversaries identifying and targeting the organizational supply chain.</w:t>
      </w:r>
      <w:r>
        <w:rPr>
          <w:rStyle w:val="FootnoteCharacters"/>
        </w:rPr>
        <w:t xml:space="preserve"> </w:t>
      </w:r>
      <w:r>
        <w:rPr>
          <w:rStyle w:val="FootnoteAnchor"/>
          <w:rStyle w:val="FootnoteAnchor"/>
        </w:rPr>
        <w:footnoteReference w:id="634"/>
      </w:r>
    </w:p>
    <w:p>
      <w:pPr>
        <w:pStyle w:val="Normal"/>
        <w:rPr/>
      </w:pPr>
      <w:r>
        <w:rPr/>
      </w:r>
    </w:p>
    <w:p>
      <w:pPr>
        <w:pStyle w:val="Normal"/>
        <w:rPr/>
      </w:pPr>
      <w:r>
        <w:rPr>
          <w:u w:val="single"/>
        </w:rPr>
        <w:t>Standard</w:t>
      </w:r>
      <w:r>
        <w:rPr/>
        <w:t xml:space="preserve">: </w:t>
      </w:r>
      <w:r>
        <w:rPr>
          <w:rFonts w:cs="Calibri"/>
        </w:rPr>
        <w:t xml:space="preserve">NFCC’s procurement department is </w:t>
      </w:r>
      <w:r>
        <w:rPr/>
        <w:t>required to employs safeguards to:</w:t>
      </w:r>
    </w:p>
    <w:p>
      <w:pPr>
        <w:pStyle w:val="ListParagraph"/>
        <w:numPr>
          <w:ilvl w:val="0"/>
          <w:numId w:val="487"/>
        </w:numPr>
        <w:rPr/>
      </w:pPr>
      <w:r>
        <w:rPr/>
        <w:t>Limit harm from cybersecurity and privacy threats to the supply chain; and</w:t>
      </w:r>
    </w:p>
    <w:p>
      <w:pPr>
        <w:pStyle w:val="ListParagraph"/>
        <w:numPr>
          <w:ilvl w:val="0"/>
          <w:numId w:val="487"/>
        </w:numPr>
        <w:rPr/>
      </w:pPr>
      <w:r>
        <w:rPr/>
        <w:t xml:space="preserve">Decrease NFCC’s exposure to legal and / or financial liabilities. </w:t>
      </w:r>
    </w:p>
    <w:p>
      <w:pPr>
        <w:pStyle w:val="Normal"/>
        <w:rPr/>
      </w:pPr>
      <w:r>
        <w:rPr/>
      </w:r>
    </w:p>
    <w:p>
      <w:pPr>
        <w:pStyle w:val="Normal"/>
        <w:rPr/>
      </w:pPr>
      <w:r>
        <w:rPr>
          <w:u w:val="single"/>
        </w:rPr>
        <w:t>Guidelines</w:t>
      </w:r>
      <w:r>
        <w:rPr/>
        <w:t xml:space="preserve">: Supply chain risk is part of the advanced persistent threat (APT). Security safeguards and countermeasures to reduce the probability of adversaries successfully identifying and targeting the supply chain include, for example: </w:t>
      </w:r>
    </w:p>
    <w:p>
      <w:pPr>
        <w:pStyle w:val="ListParagraph"/>
        <w:numPr>
          <w:ilvl w:val="0"/>
          <w:numId w:val="139"/>
        </w:numPr>
        <w:rPr/>
      </w:pPr>
      <w:r>
        <w:rPr/>
        <w:t xml:space="preserve">Avoiding the purchase of custom configurations to reduce the risk of acquiring systems, components or products that have been corrupted via supply chain actions targeted at specific organizations; </w:t>
      </w:r>
    </w:p>
    <w:p>
      <w:pPr>
        <w:pStyle w:val="ListParagraph"/>
        <w:numPr>
          <w:ilvl w:val="0"/>
          <w:numId w:val="139"/>
        </w:numPr>
        <w:rPr/>
      </w:pPr>
      <w:r>
        <w:rPr/>
        <w:t xml:space="preserve">Employing a diverse set of suppliers to limit the potential harm from any given supplier in the supply chain; </w:t>
      </w:r>
    </w:p>
    <w:p>
      <w:pPr>
        <w:pStyle w:val="ListParagraph"/>
        <w:numPr>
          <w:ilvl w:val="0"/>
          <w:numId w:val="139"/>
        </w:numPr>
        <w:rPr/>
      </w:pPr>
      <w:r>
        <w:rPr/>
        <w:t xml:space="preserve">Employing approved vendor lists with standing reputations in industry and </w:t>
      </w:r>
    </w:p>
    <w:p>
      <w:pPr>
        <w:pStyle w:val="ListParagraph"/>
        <w:numPr>
          <w:ilvl w:val="0"/>
          <w:numId w:val="139"/>
        </w:numPr>
        <w:rPr/>
      </w:pPr>
      <w:r>
        <w:rPr/>
        <w:t>Using procurement carve outs (e.g., exclusions to commitments or obligations).</w:t>
      </w:r>
    </w:p>
    <w:p>
      <w:pPr>
        <w:pStyle w:val="Normal"/>
        <w:rPr/>
      </w:pPr>
      <w:r>
        <w:rPr/>
      </w:r>
    </w:p>
    <w:p>
      <w:pPr>
        <w:pStyle w:val="Heading3"/>
        <w:rPr/>
      </w:pPr>
      <w:bookmarkStart w:id="2299" w:name="_Toc474075413"/>
      <w:bookmarkStart w:id="2300" w:name="_Toc34921334"/>
      <w:r>
        <w:rPr/>
        <w:t>TPM-03(c): Supply Chain Protection | Processes To Address Weaknesses or Deficiencies</w:t>
      </w:r>
      <w:bookmarkEnd w:id="2299"/>
      <w:bookmarkEnd w:id="2300"/>
      <w:r>
        <w:rPr/>
        <w:t xml:space="preserve"> </w:t>
      </w:r>
    </w:p>
    <w:p>
      <w:pPr>
        <w:pStyle w:val="Normal"/>
        <w:rPr/>
      </w:pPr>
      <w:r>
        <w:rPr>
          <w:u w:val="single"/>
        </w:rPr>
        <w:t>Control Objective</w:t>
      </w:r>
      <w:r>
        <w:rPr/>
        <w:t>: The organization establishes a process to address weaknesses or deficiencies in supply chain elements identified during independent or organizational assessments of such elements.</w:t>
      </w:r>
      <w:r>
        <w:rPr>
          <w:rStyle w:val="FootnoteCharacters"/>
        </w:rPr>
        <w:t xml:space="preserve"> </w:t>
      </w:r>
      <w:r>
        <w:rPr>
          <w:rStyle w:val="FootnoteAnchor"/>
          <w:rStyle w:val="FootnoteAnchor"/>
        </w:rPr>
        <w:footnoteReference w:id="635"/>
      </w:r>
    </w:p>
    <w:p>
      <w:pPr>
        <w:pStyle w:val="Normal"/>
        <w:rPr/>
      </w:pPr>
      <w:r>
        <w:rPr/>
      </w:r>
    </w:p>
    <w:p>
      <w:pPr>
        <w:pStyle w:val="Normal"/>
        <w:rPr/>
      </w:pPr>
      <w:r>
        <w:rPr>
          <w:u w:val="single"/>
        </w:rPr>
        <w:t>Standard</w:t>
      </w:r>
      <w:r>
        <w:rPr/>
        <w:t xml:space="preserve">: </w:t>
      </w:r>
      <w:r>
        <w:rPr>
          <w:rFonts w:cs="Calibri"/>
        </w:rPr>
        <w:t xml:space="preserve">NFCC’s procurement department, in conjunction with the Information Risk Management (IRM) team, </w:t>
      </w:r>
      <w:r>
        <w:rPr/>
        <w:t>are required to report weaknesses or deficiencies in supply chain elements as a cybersecurity incident, in accordance with the Incident Response Plan (IRP).</w:t>
      </w:r>
    </w:p>
    <w:p>
      <w:pPr>
        <w:pStyle w:val="Normal"/>
        <w:rPr/>
      </w:pPr>
      <w:r>
        <w:rPr/>
      </w:r>
    </w:p>
    <w:p>
      <w:pPr>
        <w:pStyle w:val="Normal"/>
        <w:rPr/>
      </w:pPr>
      <w:r>
        <w:rPr>
          <w:u w:val="single"/>
        </w:rPr>
        <w:t>Guidelines</w:t>
      </w:r>
      <w:r>
        <w:rPr/>
        <w:t>: Supply chain elements may include supplier development processes and supplier distribution systems.</w:t>
      </w:r>
    </w:p>
    <w:p>
      <w:pPr>
        <w:pStyle w:val="Normal"/>
        <w:rPr/>
      </w:pPr>
      <w:r>
        <w:rPr/>
      </w:r>
    </w:p>
    <w:p>
      <w:pPr>
        <w:pStyle w:val="Normal"/>
        <w:rPr/>
      </w:pPr>
      <w:r>
        <w:rPr/>
      </w:r>
    </w:p>
    <w:p>
      <w:pPr>
        <w:pStyle w:val="Heading2"/>
        <w:rPr/>
      </w:pPr>
      <w:bookmarkStart w:id="2301" w:name="_Toc34921335"/>
      <w:bookmarkStart w:id="2302" w:name="_Toc474075415"/>
      <w:bookmarkStart w:id="2303" w:name="_Toc474075854"/>
      <w:r>
        <w:rPr/>
        <w:t>TPM-04: Third-Party Services</w:t>
      </w:r>
      <w:bookmarkEnd w:id="2301"/>
      <w:bookmarkEnd w:id="2302"/>
      <w:bookmarkEnd w:id="2303"/>
      <w:r>
        <w:rPr/>
        <w:t xml:space="preserve"> </w:t>
      </w:r>
    </w:p>
    <w:p>
      <w:pPr>
        <w:pStyle w:val="Normal"/>
        <w:rPr/>
      </w:pPr>
      <w:r>
        <w:rPr>
          <w:u w:val="single"/>
        </w:rPr>
        <w:t>Control Objective</w:t>
      </w:r>
      <w:r>
        <w:rPr/>
        <w:t>: The organization mitigates the risks associated with third-party access to the organization’s assets by:</w:t>
      </w:r>
      <w:r>
        <w:rPr>
          <w:rStyle w:val="FootnoteAnchor"/>
          <w:rStyle w:val="FootnoteAnchor"/>
          <w:rFonts w:cs="Calibri"/>
        </w:rPr>
        <w:footnoteReference w:id="636"/>
      </w:r>
      <w:r>
        <w:rPr/>
        <w:t xml:space="preserve"> </w:t>
      </w:r>
    </w:p>
    <w:p>
      <w:pPr>
        <w:pStyle w:val="ListParagraph"/>
        <w:numPr>
          <w:ilvl w:val="0"/>
          <w:numId w:val="11"/>
        </w:numPr>
        <w:rPr/>
      </w:pPr>
      <w:r>
        <w:rPr/>
        <w:t xml:space="preserve">Conducting an organizational assessment of risk prior to the acquisition or outsourcing of services; </w:t>
      </w:r>
    </w:p>
    <w:p>
      <w:pPr>
        <w:pStyle w:val="ListParagraph"/>
        <w:numPr>
          <w:ilvl w:val="0"/>
          <w:numId w:val="11"/>
        </w:numPr>
        <w:rPr/>
      </w:pPr>
      <w:r>
        <w:rPr/>
        <w:t>Maintaining and implementing policies and procedures to manage service providers (e.g., Software-as-a-Service (SaaS), Web hosting companies, collocation providers or email providers), through observation, review of policies and procedures and review of supporting documentation. Including:</w:t>
      </w:r>
    </w:p>
    <w:p>
      <w:pPr>
        <w:pStyle w:val="ListParagraph"/>
        <w:numPr>
          <w:ilvl w:val="1"/>
          <w:numId w:val="11"/>
        </w:numPr>
        <w:rPr/>
      </w:pPr>
      <w:r>
        <w:rPr/>
        <w:t>Maintaining a list of service providers.</w:t>
      </w:r>
    </w:p>
    <w:p>
      <w:pPr>
        <w:pStyle w:val="ListParagraph"/>
        <w:numPr>
          <w:ilvl w:val="1"/>
          <w:numId w:val="11"/>
        </w:numPr>
        <w:rPr/>
      </w:pPr>
      <w:r>
        <w:rPr/>
        <w:t>Maintaining a written agreement that includes an acknowledgment that the service providers are responsible for the security of data the service providers possess.</w:t>
      </w:r>
    </w:p>
    <w:p>
      <w:pPr>
        <w:pStyle w:val="ListParagraph"/>
        <w:numPr>
          <w:ilvl w:val="1"/>
          <w:numId w:val="11"/>
        </w:numPr>
        <w:rPr/>
      </w:pPr>
      <w:r>
        <w:rPr/>
        <w:t>Ensuring there is an established process for engaging service providers including proper due diligence prior to engagement.</w:t>
      </w:r>
    </w:p>
    <w:p>
      <w:pPr>
        <w:pStyle w:val="ListParagraph"/>
        <w:numPr>
          <w:ilvl w:val="0"/>
          <w:numId w:val="11"/>
        </w:numPr>
        <w:rPr/>
      </w:pPr>
      <w:r>
        <w:rPr/>
        <w:t>Maintaining a program to monitor service providers’ control compliance status at least annually.</w:t>
      </w:r>
    </w:p>
    <w:p>
      <w:pPr>
        <w:pStyle w:val="ListParagraph"/>
        <w:numPr>
          <w:ilvl w:val="0"/>
          <w:numId w:val="11"/>
        </w:numPr>
        <w:rPr/>
      </w:pPr>
      <w:r>
        <w:rPr/>
        <w:t>Requiring that providers of external services comply with organizational cybersecurity requirements and employ appropriate security controls in accordance with local, state and Federal laws, as well as all applicable regulatory requirements;</w:t>
      </w:r>
    </w:p>
    <w:p>
      <w:pPr>
        <w:pStyle w:val="ListParagraph"/>
        <w:numPr>
          <w:ilvl w:val="0"/>
          <w:numId w:val="11"/>
        </w:numPr>
        <w:rPr/>
      </w:pPr>
      <w:r>
        <w:rPr/>
        <w:t>Defining and documenting oversight and user roles and responsibilities with regard to external system services; and</w:t>
      </w:r>
    </w:p>
    <w:p>
      <w:pPr>
        <w:pStyle w:val="ListParagraph"/>
        <w:numPr>
          <w:ilvl w:val="0"/>
          <w:numId w:val="11"/>
        </w:numPr>
        <w:rPr/>
      </w:pPr>
      <w:r>
        <w:rPr/>
        <w:t>Conducting an organizational assessment of risk prior to the acquisition or outsourcing of services.</w:t>
      </w:r>
    </w:p>
    <w:p>
      <w:pPr>
        <w:pStyle w:val="Normal"/>
        <w:rPr/>
      </w:pPr>
      <w:r>
        <w:rPr/>
      </w:r>
    </w:p>
    <w:p>
      <w:pPr>
        <w:pStyle w:val="Normal"/>
        <w:rPr/>
      </w:pPr>
      <w:r>
        <w:rPr>
          <w:u w:val="single"/>
        </w:rPr>
        <w:t>Standard</w:t>
      </w:r>
      <w:r>
        <w:rPr/>
        <w:t>: Data/process owners and asset custodians are required to:</w:t>
      </w:r>
    </w:p>
    <w:p>
      <w:pPr>
        <w:pStyle w:val="ListParagraph"/>
        <w:numPr>
          <w:ilvl w:val="0"/>
          <w:numId w:val="488"/>
        </w:numPr>
        <w:rPr/>
      </w:pPr>
      <w:r>
        <w:rPr/>
        <w:t>Maintain a comprehensive list of service providers, including all applicable Service Level Agreements (SLAs);</w:t>
      </w:r>
    </w:p>
    <w:p>
      <w:pPr>
        <w:pStyle w:val="ListParagraph"/>
        <w:numPr>
          <w:ilvl w:val="0"/>
          <w:numId w:val="488"/>
        </w:numPr>
        <w:rPr/>
      </w:pPr>
      <w:r>
        <w:rPr/>
        <w:t>Require that providers of external systems comply with NFCC cybersecurity requirements and employ appropriate security controls in accordance with local, state and Federal laws, as well as all applicable regulatory requirements;</w:t>
      </w:r>
    </w:p>
    <w:p>
      <w:pPr>
        <w:pStyle w:val="ListParagraph"/>
        <w:numPr>
          <w:ilvl w:val="0"/>
          <w:numId w:val="488"/>
        </w:numPr>
        <w:rPr/>
      </w:pPr>
      <w:r>
        <w:rPr/>
        <w:t xml:space="preserve">Define oversight responsibilities with regard to external system services; </w:t>
      </w:r>
    </w:p>
    <w:p>
      <w:pPr>
        <w:pStyle w:val="ListParagraph"/>
        <w:numPr>
          <w:ilvl w:val="0"/>
          <w:numId w:val="488"/>
        </w:numPr>
        <w:rPr/>
      </w:pPr>
      <w:r>
        <w:rPr/>
        <w:t>Perform a review of the service provided for acceptable service levels;</w:t>
      </w:r>
    </w:p>
    <w:p>
      <w:pPr>
        <w:pStyle w:val="ListParagraph"/>
        <w:numPr>
          <w:ilvl w:val="0"/>
          <w:numId w:val="488"/>
        </w:numPr>
        <w:rPr/>
      </w:pPr>
      <w:r>
        <w:rPr/>
        <w:t>Conduct a risk assessment on outsourcing of services; and</w:t>
      </w:r>
    </w:p>
    <w:p>
      <w:pPr>
        <w:pStyle w:val="ListParagraph"/>
        <w:numPr>
          <w:ilvl w:val="0"/>
          <w:numId w:val="488"/>
        </w:numPr>
        <w:rPr/>
      </w:pPr>
      <w:r>
        <w:rPr/>
        <w:t>Monitor security control compliance by external service providers.</w:t>
      </w:r>
    </w:p>
    <w:p>
      <w:pPr>
        <w:pStyle w:val="Normal"/>
        <w:rPr/>
      </w:pPr>
      <w:r>
        <w:rPr/>
      </w:r>
    </w:p>
    <w:p>
      <w:pPr>
        <w:pStyle w:val="Normal"/>
        <w:rPr/>
      </w:pPr>
      <w:r>
        <w:rPr>
          <w:u w:val="single"/>
        </w:rPr>
        <w:t>Guidelines</w:t>
      </w:r>
      <w:r>
        <w:rPr/>
        <w:t xml:space="preserve">: The objective is to ensure the protection of the organization’s assets that is accessible by suppliers. External services are services that are implemented outside of the authorization boundaries of NFCC’s control. This includes services that are used by, but not a part of, NFCC’s network. For services external to NFCC, a chain of trust requires that NFCC establish and retain a level of confidence that each participating provider in the potentially complex consumer-provider relationship provides adequate protection for the services rendered. External services documentation includes service providers, end user security roles and responsibilities and service-level agreements. Service-level agreements define expectations of performance for security controls, describe measurable outcomes and identify remedies and response requirements for identified instances of noncompliance. </w:t>
      </w:r>
    </w:p>
    <w:p>
      <w:pPr>
        <w:pStyle w:val="Normal"/>
        <w:rPr/>
      </w:pPr>
      <w:r>
        <w:rPr/>
      </w:r>
    </w:p>
    <w:p>
      <w:pPr>
        <w:pStyle w:val="Heading3"/>
        <w:rPr/>
      </w:pPr>
      <w:bookmarkStart w:id="2304" w:name="_Toc34921336"/>
      <w:bookmarkStart w:id="2305" w:name="_Toc474075416"/>
      <w:r>
        <w:rPr/>
        <w:t xml:space="preserve">TPM-04(a): Third-Party Services | </w:t>
      </w:r>
      <w:bookmarkEnd w:id="2305"/>
      <w:r>
        <w:rPr/>
        <w:t>Third-Party Risk Assessments &amp; Approvals</w:t>
      </w:r>
      <w:bookmarkEnd w:id="2304"/>
    </w:p>
    <w:p>
      <w:pPr>
        <w:pStyle w:val="Normal"/>
        <w:rPr/>
      </w:pPr>
      <w:r>
        <w:rPr>
          <w:u w:val="single"/>
        </w:rPr>
        <w:t>Control Objective</w:t>
      </w:r>
      <w:r>
        <w:rPr/>
        <w:t>: The organization:</w:t>
      </w:r>
      <w:r>
        <w:rPr>
          <w:rStyle w:val="FootnoteAnchor"/>
          <w:rStyle w:val="FootnoteAnchor"/>
          <w:rFonts w:cs="Calibri"/>
          <w:bCs w:val="false"/>
        </w:rPr>
        <w:footnoteReference w:id="637"/>
      </w:r>
    </w:p>
    <w:p>
      <w:pPr>
        <w:pStyle w:val="ListParagraph"/>
        <w:numPr>
          <w:ilvl w:val="0"/>
          <w:numId w:val="10"/>
        </w:numPr>
        <w:rPr/>
      </w:pPr>
      <w:r>
        <w:rPr/>
        <w:t xml:space="preserve">Conducts an organizational assessment of risk prior to the acquisition or outsourcing of services; </w:t>
      </w:r>
    </w:p>
    <w:p>
      <w:pPr>
        <w:pStyle w:val="ListParagraph"/>
        <w:numPr>
          <w:ilvl w:val="0"/>
          <w:numId w:val="10"/>
        </w:numPr>
        <w:rPr/>
      </w:pPr>
      <w:r>
        <w:rPr/>
        <w:t>Maintains a list of service providers;</w:t>
      </w:r>
    </w:p>
    <w:p>
      <w:pPr>
        <w:pStyle w:val="ListParagraph"/>
        <w:numPr>
          <w:ilvl w:val="0"/>
          <w:numId w:val="10"/>
        </w:numPr>
        <w:rPr/>
      </w:pPr>
      <w:r>
        <w:rPr/>
        <w:t>Maintains and implements controls to manage security providers (e.g., backup tape storage facilities or security service providers), through observation, review of policies and procedures and review of supporting documentation.</w:t>
      </w:r>
    </w:p>
    <w:p>
      <w:pPr>
        <w:pStyle w:val="ListParagraph"/>
        <w:numPr>
          <w:ilvl w:val="0"/>
          <w:numId w:val="10"/>
        </w:numPr>
        <w:rPr/>
      </w:pPr>
      <w:r>
        <w:rPr/>
        <w:t>Maintains a written agreement that includes an acknowledgment that service providers are responsible for the security of data the service providers possess;</w:t>
      </w:r>
    </w:p>
    <w:p>
      <w:pPr>
        <w:pStyle w:val="ListParagraph"/>
        <w:numPr>
          <w:ilvl w:val="0"/>
          <w:numId w:val="10"/>
        </w:numPr>
        <w:rPr/>
      </w:pPr>
      <w:r>
        <w:rPr/>
        <w:t>Maintains a program to monitor service providers’ control compliance status, at least annually;</w:t>
      </w:r>
    </w:p>
    <w:p>
      <w:pPr>
        <w:pStyle w:val="ListParagraph"/>
        <w:numPr>
          <w:ilvl w:val="0"/>
          <w:numId w:val="10"/>
        </w:numPr>
        <w:rPr/>
      </w:pPr>
      <w:r>
        <w:rPr/>
        <w:t>Requires that providers of external services comply with organizational cybersecurity requirements and employ appropriate security controls in accordance with all applicable laws and regulatory requirements; and</w:t>
      </w:r>
    </w:p>
    <w:p>
      <w:pPr>
        <w:pStyle w:val="ListParagraph"/>
        <w:numPr>
          <w:ilvl w:val="0"/>
          <w:numId w:val="10"/>
        </w:numPr>
        <w:rPr>
          <w:u w:val="single"/>
        </w:rPr>
      </w:pPr>
      <w:r>
        <w:rPr/>
        <w:t>Defines and documents oversight and user roles and responsibilities with regard to external system services.</w:t>
      </w:r>
    </w:p>
    <w:p>
      <w:pPr>
        <w:pStyle w:val="Normal"/>
        <w:rPr/>
      </w:pPr>
      <w:r>
        <w:rPr/>
      </w:r>
    </w:p>
    <w:p>
      <w:pPr>
        <w:pStyle w:val="Normal"/>
        <w:rPr/>
      </w:pPr>
      <w:r>
        <w:rPr>
          <w:u w:val="single"/>
        </w:rPr>
        <w:t>Standard</w:t>
      </w:r>
      <w:r>
        <w:rPr/>
        <w:t>: Data/process owners and asset custodians are required to:</w:t>
      </w:r>
    </w:p>
    <w:p>
      <w:pPr>
        <w:pStyle w:val="ListParagraph"/>
        <w:numPr>
          <w:ilvl w:val="0"/>
          <w:numId w:val="489"/>
        </w:numPr>
        <w:rPr/>
      </w:pPr>
      <w:r>
        <w:rPr/>
        <w:t xml:space="preserve">Conduct a risk assessment on outsourcing of services; </w:t>
      </w:r>
    </w:p>
    <w:p>
      <w:pPr>
        <w:pStyle w:val="ListParagraph"/>
        <w:numPr>
          <w:ilvl w:val="0"/>
          <w:numId w:val="489"/>
        </w:numPr>
        <w:rPr/>
      </w:pPr>
      <w:r>
        <w:rPr/>
        <w:t>Assume responsibility for any NFCC-owned or managed device used to connect NFCC’s network to an external system service.</w:t>
      </w:r>
    </w:p>
    <w:p>
      <w:pPr>
        <w:pStyle w:val="ListParagraph"/>
        <w:numPr>
          <w:ilvl w:val="0"/>
          <w:numId w:val="489"/>
        </w:numPr>
        <w:rPr/>
      </w:pPr>
      <w:r>
        <w:rPr/>
        <w:t>Maintain a comprehensive list of service providers, including all applicable Service Level Agreements (SLAs);</w:t>
      </w:r>
    </w:p>
    <w:p>
      <w:pPr>
        <w:pStyle w:val="ListParagraph"/>
        <w:numPr>
          <w:ilvl w:val="0"/>
          <w:numId w:val="489"/>
        </w:numPr>
        <w:rPr/>
      </w:pPr>
      <w:r>
        <w:rPr/>
        <w:t>Require that providers of external systems comply with NFCC requirements and employ appropriate security controls in accordance with all applicable laws and regulatory requirements;</w:t>
      </w:r>
    </w:p>
    <w:p>
      <w:pPr>
        <w:pStyle w:val="ListParagraph"/>
        <w:numPr>
          <w:ilvl w:val="0"/>
          <w:numId w:val="489"/>
        </w:numPr>
        <w:rPr/>
      </w:pPr>
      <w:r>
        <w:rPr/>
        <w:t xml:space="preserve">Define oversight responsibilities with regard to external system services; </w:t>
      </w:r>
    </w:p>
    <w:p>
      <w:pPr>
        <w:pStyle w:val="ListParagraph"/>
        <w:numPr>
          <w:ilvl w:val="0"/>
          <w:numId w:val="489"/>
        </w:numPr>
        <w:rPr/>
      </w:pPr>
      <w:r>
        <w:rPr/>
        <w:t xml:space="preserve">Review affected client contracts / projects to determine if notification to the client is necessary if a service provider is terminated; </w:t>
      </w:r>
    </w:p>
    <w:p>
      <w:pPr>
        <w:pStyle w:val="ListParagraph"/>
        <w:numPr>
          <w:ilvl w:val="0"/>
          <w:numId w:val="489"/>
        </w:numPr>
        <w:rPr/>
      </w:pPr>
      <w:r>
        <w:rPr/>
        <w:t>Monitor security control compliance by external service providers; and</w:t>
      </w:r>
    </w:p>
    <w:p>
      <w:pPr>
        <w:pStyle w:val="ListParagraph"/>
        <w:numPr>
          <w:ilvl w:val="0"/>
          <w:numId w:val="489"/>
        </w:numPr>
        <w:rPr/>
      </w:pPr>
      <w:r>
        <w:rPr/>
        <w:t>Maintain information about which PCI DSS requirements are managed by each service provider and which are managed by NFCC, where applicable.</w:t>
      </w:r>
    </w:p>
    <w:p>
      <w:pPr>
        <w:pStyle w:val="Normal"/>
        <w:rPr/>
      </w:pPr>
      <w:r>
        <w:rPr/>
      </w:r>
    </w:p>
    <w:p>
      <w:pPr>
        <w:pStyle w:val="Normal"/>
        <w:rPr/>
      </w:pPr>
      <w:r>
        <w:rPr>
          <w:u w:val="single"/>
        </w:rPr>
        <w:t>Guidelines</w:t>
      </w:r>
      <w:r>
        <w:rPr/>
        <w:t>: NFCC should insist on certain contract provisions with service providers that should, at a minimum, cover the following:</w:t>
      </w:r>
    </w:p>
    <w:p>
      <w:pPr>
        <w:pStyle w:val="ListParagraph"/>
        <w:numPr>
          <w:ilvl w:val="0"/>
          <w:numId w:val="9"/>
        </w:numPr>
        <w:rPr/>
      </w:pPr>
      <w:r>
        <w:rPr/>
        <w:t>Acceptable storage and transmission security controls;</w:t>
      </w:r>
    </w:p>
    <w:p>
      <w:pPr>
        <w:pStyle w:val="ListParagraph"/>
        <w:numPr>
          <w:ilvl w:val="0"/>
          <w:numId w:val="9"/>
        </w:numPr>
        <w:rPr/>
      </w:pPr>
      <w:r>
        <w:rPr/>
        <w:t>Appropriate end user training requirements;</w:t>
      </w:r>
    </w:p>
    <w:p>
      <w:pPr>
        <w:pStyle w:val="ListParagraph"/>
        <w:numPr>
          <w:ilvl w:val="0"/>
          <w:numId w:val="9"/>
        </w:numPr>
        <w:rPr/>
      </w:pPr>
      <w:r>
        <w:rPr/>
        <w:t>Breach notification procedures;</w:t>
      </w:r>
    </w:p>
    <w:p>
      <w:pPr>
        <w:pStyle w:val="ListParagraph"/>
        <w:numPr>
          <w:ilvl w:val="0"/>
          <w:numId w:val="9"/>
        </w:numPr>
        <w:rPr/>
      </w:pPr>
      <w:r>
        <w:rPr/>
        <w:t>Document destruction requirements;</w:t>
      </w:r>
    </w:p>
    <w:p>
      <w:pPr>
        <w:pStyle w:val="ListParagraph"/>
        <w:numPr>
          <w:ilvl w:val="0"/>
          <w:numId w:val="9"/>
        </w:numPr>
        <w:rPr/>
      </w:pPr>
      <w:r>
        <w:rPr/>
        <w:t>Contract performance measures;</w:t>
      </w:r>
    </w:p>
    <w:p>
      <w:pPr>
        <w:pStyle w:val="ListParagraph"/>
        <w:numPr>
          <w:ilvl w:val="0"/>
          <w:numId w:val="9"/>
        </w:numPr>
        <w:rPr/>
      </w:pPr>
      <w:r>
        <w:rPr/>
        <w:t>Contract termination process;</w:t>
      </w:r>
    </w:p>
    <w:p>
      <w:pPr>
        <w:pStyle w:val="ListParagraph"/>
        <w:numPr>
          <w:ilvl w:val="0"/>
          <w:numId w:val="9"/>
        </w:numPr>
        <w:rPr/>
      </w:pPr>
      <w:r>
        <w:rPr/>
        <w:t>Subcontractors must agree to implement equal protection measures; and</w:t>
      </w:r>
    </w:p>
    <w:p>
      <w:pPr>
        <w:pStyle w:val="ListParagraph"/>
        <w:numPr>
          <w:ilvl w:val="0"/>
          <w:numId w:val="9"/>
        </w:numPr>
        <w:rPr/>
      </w:pPr>
      <w:r>
        <w:rPr/>
        <w:t>Applicable laws and regulations.</w:t>
      </w:r>
    </w:p>
    <w:p>
      <w:pPr>
        <w:pStyle w:val="Normal"/>
        <w:rPr>
          <w:rFonts w:eastAsia="Calibri"/>
        </w:rPr>
      </w:pPr>
      <w:r>
        <w:rPr>
          <w:rFonts w:eastAsia="Calibri"/>
        </w:rPr>
      </w:r>
    </w:p>
    <w:p>
      <w:pPr>
        <w:pStyle w:val="Heading3"/>
        <w:rPr/>
      </w:pPr>
      <w:bookmarkStart w:id="2306" w:name="_Toc474075417"/>
      <w:bookmarkStart w:id="2307" w:name="_Toc34921337"/>
      <w:r>
        <w:rPr/>
        <w:t>TPM-04(b): Third-Party Services | Identification Of Functions, Ports, Protocols &amp; Services</w:t>
      </w:r>
      <w:bookmarkEnd w:id="2306"/>
      <w:bookmarkEnd w:id="2307"/>
    </w:p>
    <w:p>
      <w:pPr>
        <w:pStyle w:val="Normal"/>
        <w:rPr/>
      </w:pPr>
      <w:r>
        <w:rPr>
          <w:u w:val="single"/>
        </w:rPr>
        <w:t>Control Objective</w:t>
      </w:r>
      <w:r>
        <w:rPr/>
        <w:t>: The organization requires asset owners to identify the functions, ports, protocols and other services required for the use of such services.</w:t>
      </w:r>
      <w:r>
        <w:rPr>
          <w:rStyle w:val="FootnoteAnchor"/>
          <w:rStyle w:val="FootnoteAnchor"/>
          <w:rFonts w:cs="Calibri"/>
          <w:bCs w:val="false"/>
        </w:rPr>
        <w:footnoteReference w:id="638"/>
      </w:r>
    </w:p>
    <w:p>
      <w:pPr>
        <w:pStyle w:val="Normal"/>
        <w:rPr/>
      </w:pPr>
      <w:r>
        <w:rPr/>
      </w:r>
    </w:p>
    <w:p>
      <w:pPr>
        <w:pStyle w:val="Normal"/>
        <w:rPr/>
      </w:pPr>
      <w:r>
        <w:rPr>
          <w:u w:val="single"/>
        </w:rPr>
        <w:t>Standard</w:t>
      </w:r>
      <w:r>
        <w:rPr/>
        <w:t>: Data / process owners, in conjunction with asset custodians, are required to develop documentation that describes the functions, ports, protocols and services necessary for systems or applications to interact with NFCC’s network.</w:t>
      </w:r>
    </w:p>
    <w:p>
      <w:pPr>
        <w:pStyle w:val="Normal"/>
        <w:rPr/>
      </w:pPr>
      <w:r>
        <w:rPr/>
      </w:r>
    </w:p>
    <w:p>
      <w:pPr>
        <w:pStyle w:val="Normal"/>
        <w:rPr/>
      </w:pPr>
      <w:r>
        <w:rPr>
          <w:u w:val="single"/>
        </w:rPr>
        <w:t>Guidelines</w:t>
      </w:r>
      <w:r>
        <w:rPr/>
        <w:t>: This enables NFCC to maintain on-going situational awareness of the functions, ports, protocols and services that are being employed in the system. This includes functions, ports, protocols and services that are part of distributed systems, for example, service-oriented architectures or cloud-based systems. Such information can be useful when the need arises to understand the tradeoffs involved in blocking specific ports, protocols or services or when requiring external service providers to do so.</w:t>
      </w:r>
    </w:p>
    <w:p>
      <w:pPr>
        <w:pStyle w:val="Normal"/>
        <w:rPr/>
      </w:pPr>
      <w:r>
        <w:rPr/>
      </w:r>
    </w:p>
    <w:p>
      <w:pPr>
        <w:pStyle w:val="Heading3"/>
        <w:rPr/>
      </w:pPr>
      <w:bookmarkStart w:id="2308" w:name="_Toc34921338"/>
      <w:bookmarkStart w:id="2309" w:name="_Toc474075418"/>
      <w:r>
        <w:rPr/>
        <w:t xml:space="preserve">TPM-04(c): Third-Party Services | </w:t>
      </w:r>
      <w:bookmarkEnd w:id="2309"/>
      <w:r>
        <w:rPr/>
        <w:t>Conflict of Interests</w:t>
      </w:r>
      <w:bookmarkEnd w:id="2308"/>
    </w:p>
    <w:p>
      <w:pPr>
        <w:pStyle w:val="Normal"/>
        <w:rPr/>
      </w:pPr>
      <w:r>
        <w:rPr>
          <w:u w:val="single"/>
        </w:rPr>
        <w:t>Control Objective</w:t>
      </w:r>
      <w:r>
        <w:rPr/>
        <w:t>: The organization employs security safeguards to ensure that the interests of external service providers are consistent with and reflect organizational interests.</w:t>
      </w:r>
      <w:r>
        <w:rPr>
          <w:rStyle w:val="FootnoteAnchor"/>
          <w:rStyle w:val="FootnoteAnchor"/>
          <w:rFonts w:cs="Calibri"/>
          <w:bCs w:val="false"/>
        </w:rPr>
        <w:footnoteReference w:id="639"/>
      </w:r>
    </w:p>
    <w:p>
      <w:pPr>
        <w:pStyle w:val="Normal"/>
        <w:rPr/>
      </w:pPr>
      <w:r>
        <w:rPr/>
      </w:r>
    </w:p>
    <w:p>
      <w:pPr>
        <w:pStyle w:val="Normal"/>
        <w:rPr/>
      </w:pPr>
      <w:r>
        <w:rPr>
          <w:u w:val="single"/>
        </w:rPr>
        <w:t>Standard</w:t>
      </w:r>
      <w:r>
        <w:rPr/>
        <w:t>: Data / process owners are required to ensure appropriate security safeguards are implemented to ensure that the interests of external service providers are consistent with and reflect NFCC’s interests.</w:t>
      </w:r>
    </w:p>
    <w:p>
      <w:pPr>
        <w:pStyle w:val="Normal"/>
        <w:rPr/>
      </w:pPr>
      <w:r>
        <w:rPr/>
      </w:r>
    </w:p>
    <w:p>
      <w:pPr>
        <w:pStyle w:val="Normal"/>
        <w:rPr/>
      </w:pPr>
      <w:r>
        <w:rPr>
          <w:u w:val="single"/>
        </w:rPr>
        <w:t>Guidelines</w:t>
      </w:r>
      <w:r>
        <w:rPr/>
        <w:t>: As organizations increasingly use external service providers, the possibility exists that the interests of the service providers may diverge from organizational interests. In such situations, simply having the correct technical, procedural or operational safeguards in place may not be sufficient if the service providers that implement and control those safeguards are not operating in a manner consistent with the interests of the consuming organizations. Possible actions that organizations might take to address such concerns include, for example, requiring background checks for selected service provider personnel, examining ownership records, employing only trustworthy service providers (e.g., providers with which organizations have had positive experiences) and conducting periodic / unscheduled visits to service provider facilities.</w:t>
      </w:r>
    </w:p>
    <w:p>
      <w:pPr>
        <w:pStyle w:val="Normal"/>
        <w:rPr/>
      </w:pPr>
      <w:r>
        <w:rPr/>
      </w:r>
    </w:p>
    <w:p>
      <w:pPr>
        <w:pStyle w:val="Heading3"/>
        <w:rPr/>
      </w:pPr>
      <w:bookmarkStart w:id="2310" w:name="_Toc34921339"/>
      <w:bookmarkStart w:id="2311" w:name="_Toc474075419"/>
      <w:r>
        <w:rPr/>
        <w:t xml:space="preserve">TPM-04(d): Third-Party Services | </w:t>
      </w:r>
      <w:bookmarkEnd w:id="2311"/>
      <w:r>
        <w:rPr/>
        <w:t>Third-Party Processing, Storage and Service Locations</w:t>
      </w:r>
      <w:bookmarkEnd w:id="2310"/>
    </w:p>
    <w:p>
      <w:pPr>
        <w:pStyle w:val="Normal"/>
        <w:rPr/>
      </w:pPr>
      <w:r>
        <w:rPr>
          <w:u w:val="single"/>
        </w:rPr>
        <w:t>Control Objective</w:t>
      </w:r>
      <w:r>
        <w:rPr/>
        <w:t>: The organization restricts the location of information processing / storage based on business requirements.</w:t>
      </w:r>
      <w:r>
        <w:rPr>
          <w:rStyle w:val="FootnoteAnchor"/>
          <w:rStyle w:val="FootnoteAnchor"/>
          <w:rFonts w:cs="Calibri"/>
          <w:bCs w:val="false"/>
        </w:rPr>
        <w:footnoteReference w:id="640"/>
      </w:r>
    </w:p>
    <w:p>
      <w:pPr>
        <w:pStyle w:val="Normal"/>
        <w:rPr/>
      </w:pPr>
      <w:r>
        <w:rPr/>
      </w:r>
    </w:p>
    <w:p>
      <w:pPr>
        <w:pStyle w:val="Normal"/>
        <w:rPr/>
      </w:pPr>
      <w:r>
        <w:rPr>
          <w:u w:val="single"/>
        </w:rPr>
        <w:t>Standard</w:t>
      </w:r>
      <w:r>
        <w:rPr/>
        <w:t xml:space="preserve">: Data / process owners are required to ensure the location(s) of information processing / storage is compliant with NFCC’s business requirements. </w:t>
      </w:r>
    </w:p>
    <w:p>
      <w:pPr>
        <w:pStyle w:val="Normal"/>
        <w:rPr/>
      </w:pPr>
      <w:r>
        <w:rPr/>
      </w:r>
    </w:p>
    <w:p>
      <w:pPr>
        <w:pStyle w:val="Normal"/>
        <w:rPr/>
      </w:pPr>
      <w:r>
        <w:rPr>
          <w:u w:val="single"/>
        </w:rPr>
        <w:t>Guidelines</w:t>
      </w:r>
      <w:r>
        <w:rPr/>
        <w:t>: The location of information processing, information / data storage or services that are critical to organizations can have a direct impact on the ability of those organizations to successfully execute their missions / business functions. This situation exists when external providers control the location of processing, storage or services. The criteria external providers use for the selection of processing, storage or service locations may be different from organizational criteria. For example, organizations may want to ensure that data / information storage locations are restricted to certain locations to facilitate incident response activities (e.g., forensic analyses, after-the-fact investigations) in the case of cybersecurity breaches / compromises. Such incident response activities may be adversely affected by the governing laws or protocols in the locations where processing and storage occur and / or the locations from which services emanate.</w:t>
      </w:r>
    </w:p>
    <w:p>
      <w:pPr>
        <w:pStyle w:val="Normal"/>
        <w:rPr/>
      </w:pPr>
      <w:r>
        <w:rPr/>
      </w:r>
    </w:p>
    <w:p>
      <w:pPr>
        <w:pStyle w:val="Normal"/>
        <w:rPr/>
      </w:pPr>
      <w:r>
        <w:rPr/>
      </w:r>
    </w:p>
    <w:p>
      <w:pPr>
        <w:pStyle w:val="Heading2"/>
        <w:rPr/>
      </w:pPr>
      <w:bookmarkStart w:id="2312" w:name="_Toc34921340"/>
      <w:bookmarkStart w:id="2313" w:name="_Toc474075421"/>
      <w:bookmarkStart w:id="2314" w:name="_Toc474075855"/>
      <w:r>
        <w:rPr/>
        <w:t xml:space="preserve">TPM-05: </w:t>
      </w:r>
      <w:bookmarkEnd w:id="2313"/>
      <w:bookmarkEnd w:id="2314"/>
      <w:r>
        <w:rPr/>
        <w:t>Third-Party Contract Requirements</w:t>
      </w:r>
      <w:bookmarkEnd w:id="2312"/>
    </w:p>
    <w:p>
      <w:pPr>
        <w:pStyle w:val="Normal"/>
        <w:rPr/>
      </w:pPr>
      <w:r>
        <w:rPr>
          <w:u w:val="single"/>
        </w:rPr>
        <w:t>Control Objective</w:t>
      </w:r>
      <w:r>
        <w:rPr/>
        <w:t>: The organization identifies, regularly reviews and documents the requirements for third-party confidentiality, Non-Disclosure Agreements (NDAs) and other contracts that reflect the organization’s needs to protection information.</w:t>
      </w:r>
      <w:r>
        <w:rPr>
          <w:rStyle w:val="FootnoteAnchor"/>
          <w:rStyle w:val="FootnoteAnchor"/>
          <w:rFonts w:cs="Calibri"/>
          <w:bCs w:val="false"/>
        </w:rPr>
        <w:footnoteReference w:id="641"/>
      </w:r>
      <w:r>
        <w:rPr/>
        <w:t xml:space="preserve"> </w:t>
      </w:r>
    </w:p>
    <w:p>
      <w:pPr>
        <w:pStyle w:val="Normal"/>
        <w:rPr/>
      </w:pPr>
      <w:r>
        <w:rPr/>
      </w:r>
    </w:p>
    <w:p>
      <w:pPr>
        <w:pStyle w:val="Normal"/>
        <w:rPr/>
      </w:pPr>
      <w:r>
        <w:rPr>
          <w:u w:val="single"/>
        </w:rPr>
        <w:t>Standard</w:t>
      </w:r>
      <w:r>
        <w:rPr/>
        <w:t>: NFCC is required to maintain written and executed agreements with business partners to ensure:</w:t>
      </w:r>
      <w:r>
        <w:rPr>
          <w:rStyle w:val="FootnoteCharacters"/>
          <w:rFonts w:cs="Calibri"/>
          <w:bCs w:val="false"/>
        </w:rPr>
        <w:t xml:space="preserve"> </w:t>
      </w:r>
    </w:p>
    <w:p>
      <w:pPr>
        <w:pStyle w:val="ListParagraph"/>
        <w:numPr>
          <w:ilvl w:val="0"/>
          <w:numId w:val="490"/>
        </w:numPr>
        <w:rPr/>
      </w:pPr>
      <w:r>
        <w:rPr/>
        <w:t>Appropriate management, operational and technical control safeguards are in place to ensure the confidentiality, integrity and availability of NFCC’s sensitive data the business associate creates, receives, maintains or transmits; and</w:t>
      </w:r>
    </w:p>
    <w:p>
      <w:pPr>
        <w:pStyle w:val="ListParagraph"/>
        <w:numPr>
          <w:ilvl w:val="0"/>
          <w:numId w:val="490"/>
        </w:numPr>
        <w:rPr/>
      </w:pPr>
      <w:r>
        <w:rPr/>
        <w:t>Service providers acknowledge in writing that they are responsible for the security of NFCC data (e.g., cardholder data) that the service provider possesses or otherwise stores, processes or transmits on behalf of NFCC or to the extent that they could impact the security of NFCC data environment.</w:t>
      </w:r>
    </w:p>
    <w:p>
      <w:pPr>
        <w:pStyle w:val="Normal"/>
        <w:rPr/>
      </w:pPr>
      <w:r>
        <w:rPr/>
      </w:r>
    </w:p>
    <w:p>
      <w:pPr>
        <w:pStyle w:val="Normal"/>
        <w:rPr/>
      </w:pPr>
      <w:r>
        <w:rPr>
          <w:u w:val="single"/>
        </w:rPr>
        <w:t>Guidelines</w:t>
      </w:r>
      <w:r>
        <w:rPr/>
        <w:t xml:space="preserve">: Business unit management should periodically review and reevaluate the list of business partners to determine who has access to sensitive data in order to assess whether the list is complete and current. </w:t>
      </w:r>
    </w:p>
    <w:p>
      <w:pPr>
        <w:pStyle w:val="Normal"/>
        <w:rPr/>
      </w:pPr>
      <w:r>
        <w:rPr/>
      </w:r>
    </w:p>
    <w:p>
      <w:pPr>
        <w:pStyle w:val="Normal"/>
        <w:rPr/>
      </w:pPr>
      <w:r>
        <w:rPr/>
        <w:t>Agreements, contracts and other arrangements should specify:</w:t>
      </w:r>
    </w:p>
    <w:p>
      <w:pPr>
        <w:pStyle w:val="ListParagraph"/>
        <w:numPr>
          <w:ilvl w:val="0"/>
          <w:numId w:val="8"/>
        </w:numPr>
        <w:rPr/>
      </w:pPr>
      <w:r>
        <w:rPr/>
        <w:t>All sensitive information will be held in strict confidence and accessed only for the explicit business purpose of the contract;</w:t>
      </w:r>
    </w:p>
    <w:p>
      <w:pPr>
        <w:pStyle w:val="ListParagraph"/>
        <w:numPr>
          <w:ilvl w:val="0"/>
          <w:numId w:val="8"/>
        </w:numPr>
        <w:rPr/>
      </w:pPr>
      <w:r>
        <w:rPr/>
        <w:t>The service provider must be compliant with and maintain compliance with the protective conditions outlined in the contract;</w:t>
      </w:r>
    </w:p>
    <w:p>
      <w:pPr>
        <w:pStyle w:val="ListParagraph"/>
        <w:numPr>
          <w:ilvl w:val="0"/>
          <w:numId w:val="8"/>
        </w:numPr>
        <w:rPr/>
      </w:pPr>
      <w:r>
        <w:rPr/>
        <w:t>The service provider is liable to protect all sensitive information it stores and / or accesses;</w:t>
      </w:r>
    </w:p>
    <w:p>
      <w:pPr>
        <w:pStyle w:val="ListParagraph"/>
        <w:numPr>
          <w:ilvl w:val="0"/>
          <w:numId w:val="8"/>
        </w:numPr>
        <w:rPr/>
      </w:pPr>
      <w:r>
        <w:rPr/>
        <w:t>In the event of a security breach, due to its actions or inactions, the service provider shall bear all responsibility and expenses associated with the response to the security breach;</w:t>
      </w:r>
    </w:p>
    <w:p>
      <w:pPr>
        <w:pStyle w:val="ListParagraph"/>
        <w:numPr>
          <w:ilvl w:val="0"/>
          <w:numId w:val="8"/>
        </w:numPr>
        <w:rPr/>
      </w:pPr>
      <w:r>
        <w:rPr/>
        <w:t>The service provider must return or destroy all sensitive data received from NFCC, upon completion of the contract;</w:t>
      </w:r>
    </w:p>
    <w:p>
      <w:pPr>
        <w:pStyle w:val="ListParagraph"/>
        <w:numPr>
          <w:ilvl w:val="0"/>
          <w:numId w:val="8"/>
        </w:numPr>
        <w:rPr/>
      </w:pPr>
      <w:r>
        <w:rPr/>
        <w:t>Any violation of the service provider’s security posture amounts to a material breach of contract and entitles NFCC to immediately terminate the contract without penalty;</w:t>
      </w:r>
    </w:p>
    <w:p>
      <w:pPr>
        <w:pStyle w:val="ListParagraph"/>
        <w:numPr>
          <w:ilvl w:val="0"/>
          <w:numId w:val="8"/>
        </w:numPr>
        <w:rPr/>
      </w:pPr>
      <w:r>
        <w:rPr/>
        <w:t>Auditing of the service provider’s security posture and compliance is authorized at any time; and</w:t>
      </w:r>
    </w:p>
    <w:p>
      <w:pPr>
        <w:pStyle w:val="ListParagraph"/>
        <w:numPr>
          <w:ilvl w:val="0"/>
          <w:numId w:val="8"/>
        </w:numPr>
        <w:rPr/>
      </w:pPr>
      <w:r>
        <w:rPr/>
        <w:t>The contract’s protective requirements shall survive any termination agreement.</w:t>
      </w:r>
    </w:p>
    <w:p>
      <w:pPr>
        <w:pStyle w:val="Normal"/>
        <w:rPr/>
      </w:pPr>
      <w:r>
        <w:rPr/>
      </w:r>
    </w:p>
    <w:p>
      <w:pPr>
        <w:pStyle w:val="Normal"/>
        <w:rPr/>
      </w:pPr>
      <w:r>
        <w:rPr/>
        <w:t>A business partner is not in compliance with cybersecurity requirements if the business partner knew of or knows of a pattern of activity or practice of the business partner that constituted a material breach or violation of its obligation under the contract or other arrangement, unless the business partner took reasonable steps to cure the breach or end the violation, as applicable, and, if such steps were unsuccessful.</w:t>
      </w:r>
    </w:p>
    <w:p>
      <w:pPr>
        <w:pStyle w:val="Normal"/>
        <w:rPr/>
      </w:pPr>
      <w:r>
        <w:rPr/>
      </w:r>
    </w:p>
    <w:p>
      <w:pPr>
        <w:pStyle w:val="Normal"/>
        <w:rPr/>
      </w:pPr>
      <w:r>
        <w:rPr/>
      </w:r>
    </w:p>
    <w:p>
      <w:pPr>
        <w:pStyle w:val="Heading2"/>
        <w:rPr/>
      </w:pPr>
      <w:bookmarkStart w:id="2315" w:name="_Toc474075422"/>
      <w:bookmarkStart w:id="2316" w:name="_Toc474075856"/>
      <w:bookmarkStart w:id="2317" w:name="_Toc34921341"/>
      <w:r>
        <w:rPr/>
        <w:t>TPM-06: Third-Party Personnel Security</w:t>
      </w:r>
      <w:bookmarkEnd w:id="2315"/>
      <w:bookmarkEnd w:id="2316"/>
      <w:bookmarkEnd w:id="2317"/>
      <w:r>
        <w:rPr/>
        <w:t xml:space="preserve"> </w:t>
      </w:r>
    </w:p>
    <w:p>
      <w:pPr>
        <w:pStyle w:val="Normal"/>
        <w:rPr/>
      </w:pPr>
      <w:r>
        <w:rPr>
          <w:u w:val="single"/>
        </w:rPr>
        <w:t>Control Objective</w:t>
      </w:r>
      <w:r>
        <w:rPr/>
        <w:t>: The organization:</w:t>
      </w:r>
      <w:r>
        <w:rPr>
          <w:rStyle w:val="FootnoteCharacters"/>
          <w:rFonts w:cs="Calibri"/>
        </w:rPr>
        <w:t xml:space="preserve"> </w:t>
      </w:r>
      <w:r>
        <w:rPr>
          <w:rStyle w:val="FootnoteAnchor"/>
          <w:rStyle w:val="FootnoteAnchor"/>
          <w:rFonts w:cs="Calibri"/>
        </w:rPr>
        <w:footnoteReference w:id="642"/>
      </w:r>
    </w:p>
    <w:p>
      <w:pPr>
        <w:pStyle w:val="ListParagraph"/>
        <w:numPr>
          <w:ilvl w:val="0"/>
          <w:numId w:val="56"/>
        </w:numPr>
        <w:rPr/>
      </w:pPr>
      <w:r>
        <w:rPr/>
        <w:t>Establishes personnel security requirements including security roles and responsibilities for third-party providers;</w:t>
      </w:r>
    </w:p>
    <w:p>
      <w:pPr>
        <w:pStyle w:val="ListParagraph"/>
        <w:numPr>
          <w:ilvl w:val="0"/>
          <w:numId w:val="56"/>
        </w:numPr>
        <w:rPr/>
      </w:pPr>
      <w:r>
        <w:rPr/>
        <w:t>Documents personnel security requirements; and</w:t>
      </w:r>
    </w:p>
    <w:p>
      <w:pPr>
        <w:pStyle w:val="ListParagraph"/>
        <w:numPr>
          <w:ilvl w:val="0"/>
          <w:numId w:val="56"/>
        </w:numPr>
        <w:rPr/>
      </w:pPr>
      <w:r>
        <w:rPr/>
        <w:t>Monitors provider compliance.</w:t>
      </w:r>
    </w:p>
    <w:p>
      <w:pPr>
        <w:pStyle w:val="Normal"/>
        <w:rPr/>
      </w:pPr>
      <w:r>
        <w:rPr/>
      </w:r>
    </w:p>
    <w:p>
      <w:pPr>
        <w:pStyle w:val="Normal"/>
        <w:rPr/>
      </w:pPr>
      <w:r>
        <w:rPr>
          <w:u w:val="single"/>
        </w:rPr>
        <w:t>Standard</w:t>
      </w:r>
      <w:r>
        <w:rPr/>
        <w:t>: NFCC is required to ensure third-party personnel access is granted only to individuals who:</w:t>
      </w:r>
      <w:r>
        <w:rPr>
          <w:rStyle w:val="FootnoteCharacters"/>
          <w:rFonts w:cs="Calibri"/>
        </w:rPr>
        <w:t xml:space="preserve"> </w:t>
      </w:r>
    </w:p>
    <w:p>
      <w:pPr>
        <w:pStyle w:val="ListParagraph"/>
        <w:numPr>
          <w:ilvl w:val="0"/>
          <w:numId w:val="491"/>
        </w:numPr>
        <w:rPr/>
      </w:pPr>
      <w:r>
        <w:rPr/>
        <w:t xml:space="preserve">Have a valid access authorization; </w:t>
      </w:r>
    </w:p>
    <w:p>
      <w:pPr>
        <w:pStyle w:val="ListParagraph"/>
        <w:numPr>
          <w:ilvl w:val="0"/>
          <w:numId w:val="491"/>
        </w:numPr>
        <w:rPr/>
      </w:pPr>
      <w:r>
        <w:rPr/>
        <w:t xml:space="preserve">Satisfy associated personnel security criteria; </w:t>
      </w:r>
    </w:p>
    <w:p>
      <w:pPr>
        <w:pStyle w:val="ListParagraph"/>
        <w:numPr>
          <w:ilvl w:val="0"/>
          <w:numId w:val="491"/>
        </w:numPr>
        <w:rPr/>
      </w:pPr>
      <w:r>
        <w:rPr/>
        <w:t>Have read, understand and signed a Non-Disclosure Agreement (NDA); and</w:t>
      </w:r>
    </w:p>
    <w:p>
      <w:pPr>
        <w:pStyle w:val="ListParagraph"/>
        <w:numPr>
          <w:ilvl w:val="0"/>
          <w:numId w:val="491"/>
        </w:numPr>
        <w:rPr/>
      </w:pPr>
      <w:r>
        <w:rPr/>
        <w:t xml:space="preserve">Have read, understand and signed an acknowledgment that he or she understands and will abide by NFCC’s policies, procedures, standards and guidelines. </w:t>
      </w:r>
    </w:p>
    <w:p>
      <w:pPr>
        <w:pStyle w:val="Normal"/>
        <w:rPr/>
      </w:pPr>
      <w:r>
        <w:rPr/>
      </w:r>
    </w:p>
    <w:p>
      <w:pPr>
        <w:pStyle w:val="Normal"/>
        <w:rPr/>
      </w:pPr>
      <w:r>
        <w:rPr>
          <w:u w:val="single"/>
        </w:rPr>
        <w:t>Guidelines</w:t>
      </w:r>
      <w:r>
        <w:rPr/>
        <w:t>: None</w:t>
      </w:r>
    </w:p>
    <w:p>
      <w:pPr>
        <w:pStyle w:val="Normal"/>
        <w:rPr/>
      </w:pPr>
      <w:r>
        <w:rPr/>
      </w:r>
    </w:p>
    <w:p>
      <w:pPr>
        <w:pStyle w:val="Normal"/>
        <w:rPr/>
      </w:pPr>
      <w:r>
        <w:rPr/>
      </w:r>
    </w:p>
    <w:p>
      <w:pPr>
        <w:pStyle w:val="Heading2"/>
        <w:rPr/>
      </w:pPr>
      <w:bookmarkStart w:id="2318" w:name="_Toc474075423"/>
      <w:bookmarkStart w:id="2319" w:name="_Toc474075857"/>
      <w:bookmarkStart w:id="2320" w:name="_Toc34921342"/>
      <w:r>
        <w:rPr/>
        <w:t>TPM-07: Monitoring for Third-Party Information Disclosure</w:t>
      </w:r>
      <w:bookmarkEnd w:id="2318"/>
      <w:bookmarkEnd w:id="2319"/>
      <w:bookmarkEnd w:id="2320"/>
      <w:r>
        <w:rPr/>
        <w:t xml:space="preserve"> </w:t>
      </w:r>
    </w:p>
    <w:p>
      <w:pPr>
        <w:pStyle w:val="Normal"/>
        <w:rPr/>
      </w:pPr>
      <w:r>
        <w:rPr>
          <w:u w:val="single"/>
        </w:rPr>
        <w:t>Control Objective</w:t>
      </w:r>
      <w:r>
        <w:rPr/>
        <w:t>: The organization monitors for evidence of unauthorized exfiltration or disclosure of organizational information by third-parties.</w:t>
      </w:r>
      <w:r>
        <w:rPr>
          <w:rStyle w:val="FootnoteCharacters"/>
          <w:rFonts w:cs="Calibri"/>
        </w:rPr>
        <w:t xml:space="preserve"> </w:t>
      </w:r>
      <w:r>
        <w:rPr>
          <w:rStyle w:val="FootnoteAnchor"/>
          <w:rStyle w:val="FootnoteAnchor"/>
          <w:rFonts w:cs="Calibri"/>
        </w:rPr>
        <w:footnoteReference w:id="643"/>
      </w:r>
    </w:p>
    <w:p>
      <w:pPr>
        <w:pStyle w:val="Normal"/>
        <w:rPr/>
      </w:pPr>
      <w:r>
        <w:rPr/>
      </w:r>
    </w:p>
    <w:p>
      <w:pPr>
        <w:pStyle w:val="Normal"/>
        <w:rPr/>
      </w:pPr>
      <w:r>
        <w:rPr>
          <w:u w:val="single"/>
        </w:rPr>
        <w:t>Standard</w:t>
      </w:r>
      <w:r>
        <w:rPr/>
        <w:t>: Management and corporate communications personnel are required to periodically perform Internet searches of key terminology applicable to business operations for an indication of information leakage.</w:t>
      </w:r>
      <w:r>
        <w:rPr>
          <w:rStyle w:val="FootnoteCharacters"/>
          <w:rFonts w:cs="Calibri"/>
        </w:rPr>
        <w:t xml:space="preserve"> </w:t>
      </w:r>
    </w:p>
    <w:p>
      <w:pPr>
        <w:pStyle w:val="Normal"/>
        <w:rPr/>
      </w:pPr>
      <w:r>
        <w:rPr/>
      </w:r>
    </w:p>
    <w:p>
      <w:pPr>
        <w:pStyle w:val="Normal"/>
        <w:rPr/>
      </w:pPr>
      <w:r>
        <w:rPr>
          <w:u w:val="single"/>
        </w:rPr>
        <w:t>Guidelines</w:t>
      </w:r>
      <w:r>
        <w:rPr/>
        <w:t>: Open source information includes, for example, social networking sites and Internet-based web pages.</w:t>
      </w:r>
    </w:p>
    <w:p>
      <w:pPr>
        <w:pStyle w:val="Normal"/>
        <w:rPr/>
      </w:pPr>
      <w:r>
        <w:rPr/>
      </w:r>
    </w:p>
    <w:p>
      <w:pPr>
        <w:pStyle w:val="Normal"/>
        <w:rPr/>
      </w:pPr>
      <w:r>
        <w:rPr/>
      </w:r>
    </w:p>
    <w:p>
      <w:pPr>
        <w:pStyle w:val="Heading2"/>
        <w:rPr/>
      </w:pPr>
      <w:bookmarkStart w:id="2321" w:name="_Toc474075427"/>
      <w:bookmarkStart w:id="2322" w:name="_Toc474075861"/>
      <w:bookmarkStart w:id="2323" w:name="_Toc34921343"/>
      <w:r>
        <w:rPr/>
        <w:t>TPM-08: Review of Third-Party Services</w:t>
      </w:r>
      <w:bookmarkEnd w:id="2321"/>
      <w:bookmarkEnd w:id="2322"/>
      <w:bookmarkEnd w:id="2323"/>
      <w:r>
        <w:rPr/>
        <w:t xml:space="preserve"> </w:t>
      </w:r>
    </w:p>
    <w:p>
      <w:pPr>
        <w:pStyle w:val="Normal"/>
        <w:rPr/>
      </w:pPr>
      <w:r>
        <w:rPr>
          <w:u w:val="single"/>
        </w:rPr>
        <w:t>Control Objective</w:t>
      </w:r>
      <w:r>
        <w:rPr/>
        <w:t>: The organization regularly monitors, reviews and audits supplier service delivery, in line with supplier agreements.</w:t>
      </w:r>
      <w:r>
        <w:rPr>
          <w:rStyle w:val="FootnoteCharacters"/>
          <w:rFonts w:cs="Calibri"/>
        </w:rPr>
        <w:t xml:space="preserve"> </w:t>
      </w:r>
      <w:r>
        <w:rPr>
          <w:rStyle w:val="FootnoteAnchor"/>
          <w:rStyle w:val="FootnoteAnchor"/>
          <w:rFonts w:cs="Calibri"/>
        </w:rPr>
        <w:footnoteReference w:id="644"/>
      </w:r>
    </w:p>
    <w:p>
      <w:pPr>
        <w:pStyle w:val="Normal"/>
        <w:rPr/>
      </w:pPr>
      <w:r>
        <w:rPr/>
      </w:r>
    </w:p>
    <w:p>
      <w:pPr>
        <w:pStyle w:val="Normal"/>
        <w:rPr/>
      </w:pPr>
      <w:r>
        <w:rPr>
          <w:u w:val="single"/>
        </w:rPr>
        <w:t>Standard</w:t>
      </w:r>
      <w:r>
        <w:rPr/>
        <w:t>: Responsible parties within NFCC are required to:</w:t>
      </w:r>
    </w:p>
    <w:p>
      <w:pPr>
        <w:pStyle w:val="ListParagraph"/>
        <w:numPr>
          <w:ilvl w:val="0"/>
          <w:numId w:val="492"/>
        </w:numPr>
        <w:rPr/>
      </w:pPr>
      <w:r>
        <w:rPr/>
        <w:t xml:space="preserve">Conduct supplier reviews prior to entering into a contractual agreement to acquire critical systems, system components or system services; and </w:t>
      </w:r>
    </w:p>
    <w:p>
      <w:pPr>
        <w:pStyle w:val="ListParagraph"/>
        <w:numPr>
          <w:ilvl w:val="0"/>
          <w:numId w:val="492"/>
        </w:numPr>
        <w:rPr/>
      </w:pPr>
      <w:r>
        <w:rPr/>
        <w:t>Perform annual internal assessments of conformance to security requirements and effectiveness of supporting measures and metrics.</w:t>
      </w:r>
    </w:p>
    <w:p>
      <w:pPr>
        <w:pStyle w:val="Normal"/>
        <w:rPr/>
      </w:pPr>
      <w:r>
        <w:rPr/>
      </w:r>
    </w:p>
    <w:p>
      <w:pPr>
        <w:pStyle w:val="Normal"/>
        <w:rPr/>
      </w:pPr>
      <w:r>
        <w:rPr>
          <w:u w:val="single"/>
        </w:rPr>
        <w:t>Guidelines</w:t>
      </w:r>
      <w:r>
        <w:rPr/>
        <w:t xml:space="preserve">: Supplier reviews should include, for example: </w:t>
      </w:r>
    </w:p>
    <w:p>
      <w:pPr>
        <w:pStyle w:val="ListParagraph"/>
        <w:numPr>
          <w:ilvl w:val="0"/>
          <w:numId w:val="151"/>
        </w:numPr>
        <w:rPr/>
      </w:pPr>
      <w:r>
        <w:rPr/>
        <w:t xml:space="preserve">Analysis of supplier processes used to design, develop, test, implement, verify, deliver and support systems, system components and system services; and </w:t>
      </w:r>
    </w:p>
    <w:p>
      <w:pPr>
        <w:pStyle w:val="ListParagraph"/>
        <w:numPr>
          <w:ilvl w:val="0"/>
          <w:numId w:val="151"/>
        </w:numPr>
        <w:rPr/>
      </w:pPr>
      <w:r>
        <w:rPr/>
        <w:t xml:space="preserve">Assessment of supplier training and experience in developing systems, components or services with the required security capability. </w:t>
      </w:r>
    </w:p>
    <w:p>
      <w:pPr>
        <w:pStyle w:val="Normal"/>
        <w:rPr/>
      </w:pPr>
      <w:r>
        <w:rPr/>
      </w:r>
    </w:p>
    <w:p>
      <w:pPr>
        <w:pStyle w:val="Normal"/>
        <w:rPr/>
      </w:pPr>
      <w:r>
        <w:rPr/>
        <w:t>These reviews provide organizations with increased levels of visibility into supplier activities during the Secure Development Life Cycle to promote more effective supply chain risk management. Supplier reviews can also help to determine whether primary suppliers have security safeguards in place and practices for vetting subordinate suppliers, for example, second- and third-tier suppliers and any subcontractors.</w:t>
      </w:r>
    </w:p>
    <w:p>
      <w:pPr>
        <w:pStyle w:val="Normal"/>
        <w:rPr/>
      </w:pPr>
      <w:r>
        <w:rPr/>
      </w:r>
    </w:p>
    <w:p>
      <w:pPr>
        <w:pStyle w:val="Normal"/>
        <w:rPr/>
      </w:pPr>
      <w:r>
        <w:rPr/>
      </w:r>
    </w:p>
    <w:p>
      <w:pPr>
        <w:pStyle w:val="Heading2"/>
        <w:rPr/>
      </w:pPr>
      <w:bookmarkStart w:id="2324" w:name="_Toc474075428"/>
      <w:bookmarkStart w:id="2325" w:name="_Toc474075862"/>
      <w:bookmarkStart w:id="2326" w:name="_Toc34921344"/>
      <w:r>
        <w:rPr/>
        <w:t>TPM-09: Third-Party Deficiency Remediation</w:t>
      </w:r>
      <w:bookmarkEnd w:id="2324"/>
      <w:bookmarkEnd w:id="2325"/>
      <w:bookmarkEnd w:id="2326"/>
      <w:r>
        <w:rPr/>
        <w:t xml:space="preserve"> </w:t>
      </w:r>
    </w:p>
    <w:p>
      <w:pPr>
        <w:pStyle w:val="Normal"/>
        <w:rPr/>
      </w:pPr>
      <w:r>
        <w:rPr>
          <w:u w:val="single"/>
        </w:rPr>
        <w:t>Control Objective</w:t>
      </w:r>
      <w:r>
        <w:rPr/>
        <w:t>: The organization establishes a process to address weaknesses or deficiencies in supply chain elements identified during independent or organizational assessments of such elements.</w:t>
      </w:r>
      <w:r>
        <w:rPr>
          <w:rStyle w:val="FootnoteAnchor"/>
          <w:rStyle w:val="FootnoteAnchor"/>
        </w:rPr>
        <w:footnoteReference w:id="645"/>
      </w:r>
    </w:p>
    <w:p>
      <w:pPr>
        <w:pStyle w:val="Normal"/>
        <w:rPr/>
      </w:pPr>
      <w:r>
        <w:rPr/>
      </w:r>
    </w:p>
    <w:p>
      <w:pPr>
        <w:pStyle w:val="Normal"/>
        <w:rPr/>
      </w:pPr>
      <w:r>
        <w:rPr>
          <w:u w:val="single"/>
        </w:rPr>
        <w:t>Standard</w:t>
      </w:r>
      <w:r>
        <w:rPr/>
        <w:t>: Responsible parties within NFCC are required to report weaknesses or deficiencies in supply chain elements as a security incident, in accordance with the Incident Response Plan (IRP).</w:t>
      </w:r>
    </w:p>
    <w:p>
      <w:pPr>
        <w:pStyle w:val="Normal"/>
        <w:rPr/>
      </w:pPr>
      <w:r>
        <w:rPr/>
      </w:r>
    </w:p>
    <w:p>
      <w:pPr>
        <w:pStyle w:val="Normal"/>
        <w:rPr/>
      </w:pPr>
      <w:r>
        <w:rPr>
          <w:u w:val="single"/>
        </w:rPr>
        <w:t>Guidelines</w:t>
      </w:r>
      <w:r>
        <w:rPr/>
        <w:t>: Supply chain elements may include supplier development processes and supplier distribution systems.</w:t>
      </w:r>
    </w:p>
    <w:p>
      <w:pPr>
        <w:pStyle w:val="Normal"/>
        <w:rPr/>
      </w:pPr>
      <w:r>
        <w:rPr/>
      </w:r>
    </w:p>
    <w:p>
      <w:pPr>
        <w:pStyle w:val="Normal"/>
        <w:rPr/>
      </w:pPr>
      <w:r>
        <w:rPr/>
      </w:r>
    </w:p>
    <w:p>
      <w:pPr>
        <w:pStyle w:val="Heading2"/>
        <w:rPr/>
      </w:pPr>
      <w:bookmarkStart w:id="2327" w:name="_Toc474075429"/>
      <w:bookmarkStart w:id="2328" w:name="_Toc474075863"/>
      <w:bookmarkStart w:id="2329" w:name="_Toc34921345"/>
      <w:r>
        <w:rPr/>
        <w:t>TPM-10: Managing Changes to Third-Party Services</w:t>
      </w:r>
      <w:bookmarkEnd w:id="2327"/>
      <w:bookmarkEnd w:id="2328"/>
      <w:bookmarkEnd w:id="2329"/>
      <w:r>
        <w:rPr/>
        <w:t xml:space="preserve"> </w:t>
      </w:r>
    </w:p>
    <w:p>
      <w:pPr>
        <w:pStyle w:val="Normal"/>
        <w:rPr/>
      </w:pPr>
      <w:r>
        <w:rPr>
          <w:u w:val="single"/>
        </w:rPr>
        <w:t>Control Objective</w:t>
      </w:r>
      <w:r>
        <w:rPr/>
        <w:t>: The organization assesses changes to services by suppliers, including maintaining and improving existing cybersecurity policies, procedures and controls, taking account of the criticality of business information, systems and processes involved and re-assessment of risks.</w:t>
      </w:r>
      <w:r>
        <w:rPr>
          <w:rStyle w:val="FootnoteAnchor"/>
          <w:rStyle w:val="FootnoteAnchor"/>
          <w:rFonts w:cs="Calibri"/>
        </w:rPr>
        <w:footnoteReference w:id="646"/>
      </w:r>
    </w:p>
    <w:p>
      <w:pPr>
        <w:pStyle w:val="Normal"/>
        <w:rPr/>
      </w:pPr>
      <w:r>
        <w:rPr/>
      </w:r>
    </w:p>
    <w:p>
      <w:pPr>
        <w:pStyle w:val="Normal"/>
        <w:rPr/>
      </w:pPr>
      <w:r>
        <w:rPr>
          <w:u w:val="single"/>
        </w:rPr>
        <w:t>Standard</w:t>
      </w:r>
      <w:r>
        <w:rPr/>
        <w:t>: NFCC requires that data / process owners, system developers and integrators:</w:t>
      </w:r>
      <w:r>
        <w:rPr>
          <w:rStyle w:val="FootnoteCharacters"/>
          <w:rFonts w:cs="Calibri"/>
          <w:bCs w:val="false"/>
        </w:rPr>
        <w:t xml:space="preserve"> </w:t>
      </w:r>
    </w:p>
    <w:p>
      <w:pPr>
        <w:pStyle w:val="ListParagraph"/>
        <w:numPr>
          <w:ilvl w:val="0"/>
          <w:numId w:val="493"/>
        </w:numPr>
        <w:rPr/>
      </w:pPr>
      <w:r>
        <w:rPr/>
        <w:t>Govern configuration management during system design, development, implementation and operation;</w:t>
      </w:r>
    </w:p>
    <w:p>
      <w:pPr>
        <w:pStyle w:val="ListParagraph"/>
        <w:numPr>
          <w:ilvl w:val="0"/>
          <w:numId w:val="493"/>
        </w:numPr>
        <w:rPr/>
      </w:pPr>
      <w:r>
        <w:rPr/>
        <w:t>Ensure the third-party provider implements only NFCC-approved changes;</w:t>
      </w:r>
    </w:p>
    <w:p>
      <w:pPr>
        <w:pStyle w:val="ListParagraph"/>
        <w:numPr>
          <w:ilvl w:val="0"/>
          <w:numId w:val="493"/>
        </w:numPr>
        <w:rPr/>
      </w:pPr>
      <w:r>
        <w:rPr/>
        <w:t>Document approved changes to assets or services; and</w:t>
      </w:r>
    </w:p>
    <w:p>
      <w:pPr>
        <w:pStyle w:val="ListParagraph"/>
        <w:numPr>
          <w:ilvl w:val="0"/>
          <w:numId w:val="493"/>
        </w:numPr>
        <w:rPr/>
      </w:pPr>
      <w:r>
        <w:rPr/>
        <w:t>Track security flaws and flaw resolution.</w:t>
      </w:r>
    </w:p>
    <w:p>
      <w:pPr>
        <w:pStyle w:val="Normal"/>
        <w:rPr/>
      </w:pPr>
      <w:r>
        <w:rPr/>
      </w:r>
    </w:p>
    <w:p>
      <w:pPr>
        <w:pStyle w:val="Normal"/>
        <w:rPr/>
      </w:pPr>
      <w:r>
        <w:rPr>
          <w:u w:val="single"/>
        </w:rPr>
        <w:t>Guidelines</w:t>
      </w:r>
      <w:r>
        <w:rPr/>
        <w:t xml:space="preserve">: This control also applies to internal systems development and integration. Information system developer is a general term that includes developers or manufacturers of information technology products (including hardware, software and firmware), systems integrators, vendors and product resellers. </w:t>
      </w:r>
    </w:p>
    <w:p>
      <w:pPr>
        <w:pStyle w:val="Normal"/>
        <w:rPr/>
      </w:pPr>
      <w:r>
        <w:rPr/>
      </w:r>
    </w:p>
    <w:p>
      <w:pPr>
        <w:pStyle w:val="Normal"/>
        <w:rPr/>
      </w:pPr>
      <w:r>
        <w:rPr/>
      </w:r>
    </w:p>
    <w:p>
      <w:pPr>
        <w:pStyle w:val="Heading2"/>
        <w:rPr/>
      </w:pPr>
      <w:bookmarkStart w:id="2330" w:name="_Toc34921346"/>
      <w:r>
        <w:rPr/>
        <w:t>TPM-11: Third-Party Incident Response &amp; Recovery Capabilities</w:t>
      </w:r>
      <w:bookmarkEnd w:id="2330"/>
      <w:r>
        <w:rPr/>
        <w:t xml:space="preserve"> </w:t>
      </w:r>
    </w:p>
    <w:p>
      <w:pPr>
        <w:pStyle w:val="Normal"/>
        <w:rPr/>
      </w:pPr>
      <w:r>
        <w:rPr>
          <w:u w:val="single"/>
        </w:rPr>
        <w:t>Control Objective</w:t>
      </w:r>
      <w:r>
        <w:rPr/>
        <w:t>: The organization ensures response / recovery planning and testing are conducted with critical suppliers / service providers.</w:t>
      </w:r>
      <w:r>
        <w:rPr>
          <w:rStyle w:val="FootnoteAnchor"/>
          <w:rStyle w:val="FootnoteAnchor"/>
          <w:rFonts w:cs="Calibri"/>
        </w:rPr>
        <w:footnoteReference w:id="647"/>
      </w:r>
    </w:p>
    <w:p>
      <w:pPr>
        <w:pStyle w:val="Normal"/>
        <w:rPr/>
      </w:pPr>
      <w:r>
        <w:rPr/>
      </w:r>
    </w:p>
    <w:p>
      <w:pPr>
        <w:pStyle w:val="Normal"/>
        <w:rPr/>
      </w:pPr>
      <w:r>
        <w:rPr>
          <w:u w:val="single"/>
        </w:rPr>
        <w:t>Standard</w:t>
      </w:r>
      <w:r>
        <w:rPr/>
        <w:t>: Where technically feasible, NFCC requires that critical third-party providers conduct and report on:</w:t>
      </w:r>
    </w:p>
    <w:p>
      <w:pPr>
        <w:pStyle w:val="ListParagraph"/>
        <w:numPr>
          <w:ilvl w:val="0"/>
          <w:numId w:val="494"/>
        </w:numPr>
        <w:rPr/>
      </w:pPr>
      <w:r>
        <w:rPr/>
        <w:t>Incident response testing; and</w:t>
      </w:r>
    </w:p>
    <w:p>
      <w:pPr>
        <w:pStyle w:val="ListParagraph"/>
        <w:numPr>
          <w:ilvl w:val="0"/>
          <w:numId w:val="494"/>
        </w:numPr>
        <w:rPr/>
      </w:pPr>
      <w:r>
        <w:rPr/>
        <w:t>Continuity plan testing.</w:t>
      </w:r>
    </w:p>
    <w:p>
      <w:pPr>
        <w:pStyle w:val="Normal"/>
        <w:rPr/>
      </w:pPr>
      <w:r>
        <w:rPr/>
      </w:r>
    </w:p>
    <w:p>
      <w:pPr>
        <w:pStyle w:val="Normal"/>
        <w:rPr/>
      </w:pPr>
      <w:r>
        <w:rPr>
          <w:u w:val="single"/>
        </w:rPr>
        <w:t>Guidelines</w:t>
      </w:r>
      <w:r>
        <w:rPr/>
        <w:t>: None</w:t>
      </w:r>
    </w:p>
    <w:p>
      <w:pPr>
        <w:pStyle w:val="Normal"/>
        <w:rPr/>
      </w:pPr>
      <w:r>
        <w:rPr/>
      </w:r>
    </w:p>
    <w:p>
      <w:pPr>
        <w:pStyle w:val="Normal"/>
        <w:rPr/>
      </w:pPr>
      <w:r>
        <w:rPr/>
      </w:r>
    </w:p>
    <w:p>
      <w:pPr>
        <w:pStyle w:val="Normal"/>
        <w:tabs>
          <w:tab w:val="clear" w:pos="360"/>
          <w:tab w:val="clear" w:pos="720"/>
          <w:tab w:val="clear" w:pos="1080"/>
        </w:tabs>
        <w:jc w:val="left"/>
        <w:rPr/>
      </w:pPr>
      <w:r>
        <w:rPr/>
      </w:r>
      <w:r>
        <w:br w:type="page"/>
      </w:r>
    </w:p>
    <w:p>
      <w:pPr>
        <w:pStyle w:val="Heading1"/>
        <w:rPr/>
      </w:pPr>
      <w:bookmarkStart w:id="2331" w:name="_Toc34921347"/>
      <w:bookmarkStart w:id="2332" w:name="_Toc474075399"/>
      <w:bookmarkStart w:id="2333" w:name="_Toc474075843"/>
      <w:r>
        <w:rPr/>
        <w:t>Threat Management (THR)</w:t>
      </w:r>
      <w:bookmarkEnd w:id="2332"/>
      <w:bookmarkEnd w:id="2333"/>
      <w:r>
        <w:rPr/>
        <w:t xml:space="preserve"> Policy &amp; Standards</w:t>
      </w:r>
      <w:bookmarkEnd w:id="2331"/>
    </w:p>
    <w:p>
      <w:pPr>
        <w:pStyle w:val="Normal"/>
        <w:rPr>
          <w:u w:val="single"/>
        </w:rPr>
      </w:pPr>
      <w:r>
        <w:rPr>
          <w:u w:val="single"/>
        </w:rPr>
      </w:r>
    </w:p>
    <w:p>
      <w:pPr>
        <w:pStyle w:val="Normal"/>
        <w:rPr/>
      </w:pPr>
      <w:r>
        <w:rPr>
          <w:u w:val="single"/>
        </w:rPr>
        <w:t>Management Intent</w:t>
      </w:r>
      <w:r>
        <w:rPr/>
        <w:t>: The purpose of the Threat Management (THR) policy is to establish a capability to proactively govern technology-related threats to the security and privacy of NFCC’s systems, data and business processes.</w:t>
      </w:r>
    </w:p>
    <w:p>
      <w:pPr>
        <w:pStyle w:val="Normal"/>
        <w:rPr/>
      </w:pPr>
      <w:r>
        <w:rPr/>
      </w:r>
    </w:p>
    <w:p>
      <w:pPr>
        <w:pStyle w:val="Normal"/>
        <w:shd w:val="clear" w:color="auto" w:fill="DDD9C3" w:themeFill="background2" w:themeFillShade="e6"/>
        <w:rPr>
          <w:u w:val="single"/>
        </w:rPr>
      </w:pPr>
      <w:r>
        <w:rPr>
          <w:u w:val="single"/>
        </w:rPr>
        <w:t>Policy</w:t>
      </w:r>
      <w:r>
        <w:rPr/>
        <w:t>: NFCC shall implement the capability to proactively govern threats that include the identification, assessment and remediation of threats to NFCC’s systems, data and business processes.</w:t>
      </w:r>
    </w:p>
    <w:p>
      <w:pPr>
        <w:pStyle w:val="Normal"/>
        <w:rPr>
          <w:u w:val="single"/>
        </w:rPr>
      </w:pPr>
      <w:r>
        <w:rPr>
          <w:u w:val="single"/>
        </w:rPr>
      </w:r>
    </w:p>
    <w:p>
      <w:pPr>
        <w:pStyle w:val="Normal"/>
        <w:rPr/>
      </w:pPr>
      <w:r>
        <w:rPr>
          <w:u w:val="single"/>
        </w:rPr>
        <w:t>Supporting Documentation</w:t>
      </w:r>
      <w:r>
        <w:rPr/>
        <w:t xml:space="preserve">: This policy is supported by the following control objectives, standards and guidelines. </w:t>
      </w:r>
    </w:p>
    <w:p>
      <w:pPr>
        <w:pStyle w:val="Normal"/>
        <w:rPr/>
      </w:pPr>
      <w:r>
        <w:rPr/>
      </w:r>
    </w:p>
    <w:p>
      <w:pPr>
        <w:pStyle w:val="Normal"/>
        <w:rPr/>
      </w:pPr>
      <w:r>
        <w:rPr/>
      </w:r>
    </w:p>
    <w:p>
      <w:pPr>
        <w:pStyle w:val="Heading2"/>
        <w:rPr/>
      </w:pPr>
      <w:bookmarkStart w:id="2334" w:name="_Toc474075400"/>
      <w:bookmarkStart w:id="2335" w:name="_Toc474075844"/>
      <w:bookmarkStart w:id="2336" w:name="_Toc34921348"/>
      <w:r>
        <w:rPr/>
        <w:t>THR-01: Threat Awareness Program</w:t>
      </w:r>
      <w:bookmarkEnd w:id="2334"/>
      <w:bookmarkEnd w:id="2335"/>
      <w:bookmarkEnd w:id="2336"/>
    </w:p>
    <w:p>
      <w:pPr>
        <w:pStyle w:val="Normal"/>
        <w:rPr/>
      </w:pPr>
      <w:r>
        <w:rPr>
          <w:u w:val="single"/>
        </w:rPr>
        <w:t>Control Objective</w:t>
      </w:r>
      <w:r>
        <w:rPr/>
        <w:t xml:space="preserve">: The organization develops, implements and governs processes and documentation to facilitate the implementation of an enterprise-wide threat awareness policy, as well as associated standards, controls and procedures. </w:t>
      </w:r>
      <w:r>
        <w:rPr>
          <w:rStyle w:val="FootnoteAnchor"/>
          <w:rStyle w:val="FootnoteAnchor"/>
          <w:rFonts w:cs="Calibri"/>
        </w:rPr>
        <w:footnoteReference w:id="648"/>
      </w:r>
      <w:r>
        <w:rPr>
          <w:rFonts w:cs="Calibri"/>
        </w:rPr>
        <w:t xml:space="preserve"> </w:t>
      </w:r>
    </w:p>
    <w:p>
      <w:pPr>
        <w:pStyle w:val="Normal"/>
        <w:rPr/>
      </w:pPr>
      <w:r>
        <w:rPr/>
      </w:r>
    </w:p>
    <w:p>
      <w:pPr>
        <w:pStyle w:val="Normal"/>
        <w:rPr/>
      </w:pPr>
      <w:r>
        <w:rPr>
          <w:u w:val="single"/>
        </w:rPr>
        <w:t>Standard</w:t>
      </w:r>
      <w:r>
        <w:rPr/>
        <w:t>: The Chief Information Security Officer (CISO) and his / her designated representatives are responsible for establishing and implementing a formal threat awareness program that:</w:t>
      </w:r>
    </w:p>
    <w:p>
      <w:pPr>
        <w:pStyle w:val="ListParagraph"/>
        <w:numPr>
          <w:ilvl w:val="0"/>
          <w:numId w:val="483"/>
        </w:numPr>
        <w:rPr/>
      </w:pPr>
      <w:r>
        <w:rPr/>
        <w:t xml:space="preserve">Identifies NFCC’s place in critical infrastructure and its industry sector; and </w:t>
      </w:r>
    </w:p>
    <w:p>
      <w:pPr>
        <w:pStyle w:val="ListParagraph"/>
        <w:numPr>
          <w:ilvl w:val="0"/>
          <w:numId w:val="483"/>
        </w:numPr>
        <w:rPr/>
      </w:pPr>
      <w:r>
        <w:rPr/>
        <w:t>Communicates this level of importance to all users so that they can be aware of sector-specific threats.</w:t>
      </w:r>
    </w:p>
    <w:p>
      <w:pPr>
        <w:pStyle w:val="Normal"/>
        <w:rPr/>
      </w:pPr>
      <w:r>
        <w:rPr/>
      </w:r>
    </w:p>
    <w:p>
      <w:pPr>
        <w:pStyle w:val="Normal"/>
        <w:rPr/>
      </w:pPr>
      <w:r>
        <w:rPr>
          <w:u w:val="single"/>
        </w:rPr>
        <w:t>Guidelines</w:t>
      </w:r>
      <w:r>
        <w:rPr/>
        <w:t>: Threat information sharing may be bilateral (e.g., government-commercial cooperatives, commercial-commercial cooperatives) or multilateral (e.g., organizations taking part in threat-sharing consortia). Threat information may be highly sensitive requiring special agreements and protection or less sensitive and freely shared.</w:t>
      </w:r>
    </w:p>
    <w:p>
      <w:pPr>
        <w:pStyle w:val="Normal"/>
        <w:rPr/>
      </w:pPr>
      <w:r>
        <w:rPr/>
      </w:r>
    </w:p>
    <w:p>
      <w:pPr>
        <w:pStyle w:val="Normal"/>
        <w:rPr>
          <w:b/>
          <w:b/>
        </w:rPr>
      </w:pPr>
      <w:r>
        <w:rPr/>
        <w:t>The OWASP Threat Risk Modeling</w:t>
      </w:r>
      <w:r>
        <w:rPr>
          <w:rStyle w:val="FootnoteAnchor"/>
          <w:rStyle w:val="FootnoteAnchor"/>
        </w:rPr>
        <w:footnoteReference w:id="649"/>
      </w:r>
      <w:r>
        <w:rPr/>
        <w:t xml:space="preserve"> framework provides a solid approach to assessing threats.</w:t>
      </w:r>
    </w:p>
    <w:p>
      <w:pPr>
        <w:pStyle w:val="Normal"/>
        <w:rPr/>
      </w:pPr>
      <w:r>
        <w:rPr/>
      </w:r>
    </w:p>
    <w:p>
      <w:pPr>
        <w:pStyle w:val="Normal"/>
        <w:rPr/>
      </w:pPr>
      <w:r>
        <w:rPr/>
      </w:r>
    </w:p>
    <w:p>
      <w:pPr>
        <w:pStyle w:val="Heading2"/>
        <w:rPr/>
      </w:pPr>
      <w:bookmarkStart w:id="2337" w:name="_Toc474075401"/>
      <w:bookmarkStart w:id="2338" w:name="_Toc474075845"/>
      <w:bookmarkStart w:id="2339" w:name="_Toc34921349"/>
      <w:r>
        <w:rPr/>
        <w:t>THR-02: Indicators of Exposure (IOE)</w:t>
      </w:r>
      <w:bookmarkEnd w:id="2337"/>
      <w:bookmarkEnd w:id="2338"/>
      <w:bookmarkEnd w:id="2339"/>
    </w:p>
    <w:p>
      <w:pPr>
        <w:pStyle w:val="Normal"/>
        <w:rPr/>
      </w:pPr>
      <w:r>
        <w:rPr>
          <w:u w:val="single"/>
        </w:rPr>
        <w:t>Control Objective</w:t>
      </w:r>
      <w:r>
        <w:rPr/>
        <w:t xml:space="preserve">: The organization develops Indicators of Exposure (IOE) to </w:t>
      </w:r>
      <w:r>
        <w:rPr>
          <w:rFonts w:cs="Calibri"/>
          <w:bCs w:val="false"/>
          <w:color w:val="000000"/>
        </w:rPr>
        <w:t xml:space="preserve">understand the potential attack vectors that attackers could use to attack the organization. </w:t>
      </w:r>
    </w:p>
    <w:p>
      <w:pPr>
        <w:pStyle w:val="Normal"/>
        <w:rPr/>
      </w:pPr>
      <w:r>
        <w:rPr/>
      </w:r>
    </w:p>
    <w:p>
      <w:pPr>
        <w:pStyle w:val="Normal"/>
        <w:rPr/>
      </w:pPr>
      <w:r>
        <w:rPr>
          <w:u w:val="single"/>
        </w:rPr>
        <w:t>Standard</w:t>
      </w:r>
      <w:r>
        <w:rPr/>
        <w:t>: NFCC threat management personnel must develop and update Indicators of Exposure (IOC) to ensure detection mechanisms and response personnel are:</w:t>
      </w:r>
    </w:p>
    <w:p>
      <w:pPr>
        <w:pStyle w:val="ListParagraph"/>
        <w:numPr>
          <w:ilvl w:val="0"/>
          <w:numId w:val="484"/>
        </w:numPr>
        <w:rPr/>
      </w:pPr>
      <w:r>
        <w:rPr/>
        <w:t xml:space="preserve">Aware of evolving threats; and </w:t>
      </w:r>
    </w:p>
    <w:p>
      <w:pPr>
        <w:pStyle w:val="ListParagraph"/>
        <w:numPr>
          <w:ilvl w:val="0"/>
          <w:numId w:val="484"/>
        </w:numPr>
        <w:rPr/>
      </w:pPr>
      <w:r>
        <w:rPr/>
        <w:t>Understand the potential attack vectors that attackers could use to attack NFCC.</w:t>
      </w:r>
    </w:p>
    <w:p>
      <w:pPr>
        <w:pStyle w:val="Normal"/>
        <w:rPr/>
      </w:pPr>
      <w:r>
        <w:rPr/>
      </w:r>
    </w:p>
    <w:p>
      <w:pPr>
        <w:pStyle w:val="Normal"/>
        <w:rPr/>
      </w:pPr>
      <w:r>
        <w:rPr>
          <w:u w:val="single"/>
        </w:rPr>
        <w:t>Guidelines</w:t>
      </w:r>
      <w:r>
        <w:rPr/>
        <w:t>: IOE relies upon current and accurate external vulnerability assessment and penetration test findings.</w:t>
      </w:r>
    </w:p>
    <w:p>
      <w:pPr>
        <w:pStyle w:val="Normal"/>
        <w:rPr/>
      </w:pPr>
      <w:r>
        <w:rPr/>
      </w:r>
    </w:p>
    <w:p>
      <w:pPr>
        <w:pStyle w:val="Normal"/>
        <w:rPr/>
      </w:pPr>
      <w:r>
        <w:rPr/>
      </w:r>
    </w:p>
    <w:p>
      <w:pPr>
        <w:pStyle w:val="Heading2"/>
        <w:rPr/>
      </w:pPr>
      <w:bookmarkStart w:id="2340" w:name="_Toc34921350"/>
      <w:bookmarkStart w:id="2341" w:name="_Toc474075405"/>
      <w:bookmarkStart w:id="2342" w:name="_Toc474075849"/>
      <w:r>
        <w:rPr/>
        <w:t xml:space="preserve">THR-03: </w:t>
      </w:r>
      <w:bookmarkEnd w:id="2341"/>
      <w:bookmarkEnd w:id="2342"/>
      <w:r>
        <w:rPr/>
        <w:t>Threat Intelligence Feeds</w:t>
      </w:r>
      <w:bookmarkEnd w:id="2340"/>
      <w:r>
        <w:rPr/>
        <w:t xml:space="preserve">  </w:t>
      </w:r>
    </w:p>
    <w:p>
      <w:pPr>
        <w:pStyle w:val="Normal"/>
        <w:rPr/>
      </w:pPr>
      <w:r>
        <w:rPr>
          <w:u w:val="single"/>
        </w:rPr>
        <w:t>Control Objective</w:t>
      </w:r>
      <w:r>
        <w:rPr/>
        <w:t>: The organization:</w:t>
      </w:r>
      <w:r>
        <w:rPr>
          <w:rStyle w:val="FootnoteAnchor"/>
          <w:rStyle w:val="FootnoteAnchor"/>
          <w:rFonts w:cs="Calibri"/>
        </w:rPr>
        <w:footnoteReference w:id="650"/>
      </w:r>
      <w:r>
        <w:rPr/>
        <w:t xml:space="preserve"> </w:t>
      </w:r>
    </w:p>
    <w:p>
      <w:pPr>
        <w:pStyle w:val="ListParagraph"/>
        <w:numPr>
          <w:ilvl w:val="0"/>
          <w:numId w:val="158"/>
        </w:numPr>
        <w:rPr/>
      </w:pPr>
      <w:r>
        <w:rPr/>
        <w:t>Receives system security alerts, advisories and directives from designated external organizations on an ongoing basis; and</w:t>
      </w:r>
    </w:p>
    <w:p>
      <w:pPr>
        <w:pStyle w:val="ListParagraph"/>
        <w:numPr>
          <w:ilvl w:val="0"/>
          <w:numId w:val="158"/>
        </w:numPr>
        <w:rPr/>
      </w:pPr>
      <w:r>
        <w:rPr/>
        <w:t>Generates internal security alerts, advisories and directives as deemed necessary.</w:t>
      </w:r>
    </w:p>
    <w:p>
      <w:pPr>
        <w:pStyle w:val="Normal"/>
        <w:rPr/>
      </w:pPr>
      <w:r>
        <w:rPr/>
      </w:r>
    </w:p>
    <w:p>
      <w:pPr>
        <w:pStyle w:val="Normal"/>
        <w:rPr/>
      </w:pPr>
      <w:r>
        <w:rPr>
          <w:u w:val="single"/>
        </w:rPr>
        <w:t>Standard</w:t>
      </w:r>
      <w:r>
        <w:rPr/>
        <w:t>: NFCC cybersecurity personnel responsible for incident response operations are required to:</w:t>
      </w:r>
    </w:p>
    <w:p>
      <w:pPr>
        <w:pStyle w:val="ListParagraph"/>
        <w:numPr>
          <w:ilvl w:val="0"/>
          <w:numId w:val="485"/>
        </w:numPr>
        <w:rPr/>
      </w:pPr>
      <w:r>
        <w:rPr/>
        <w:t>Subscribe to vulnerability intelligence services in order to stay aware of emerging exposures; and</w:t>
      </w:r>
    </w:p>
    <w:p>
      <w:pPr>
        <w:pStyle w:val="ListParagraph"/>
        <w:numPr>
          <w:ilvl w:val="0"/>
          <w:numId w:val="485"/>
        </w:numPr>
        <w:rPr/>
      </w:pPr>
      <w:r>
        <w:rPr/>
        <w:t xml:space="preserve">Use the information gained from this subscription to update the organization’s vulnerability scanning activities on at least a monthly basis, as applicable. </w:t>
      </w:r>
    </w:p>
    <w:p>
      <w:pPr>
        <w:pStyle w:val="Normal"/>
        <w:rPr/>
      </w:pPr>
      <w:r>
        <w:rPr/>
      </w:r>
    </w:p>
    <w:p>
      <w:pPr>
        <w:pStyle w:val="Normal"/>
        <w:rPr>
          <w:rFonts w:cs="Calibri"/>
        </w:rPr>
      </w:pPr>
      <w:r>
        <w:rPr>
          <w:rFonts w:cs="Calibri"/>
          <w:u w:val="single"/>
        </w:rPr>
        <w:t>Guidelines</w:t>
      </w:r>
      <w:r>
        <w:rPr>
          <w:rFonts w:cs="Calibri"/>
        </w:rPr>
        <w:t>: Mailing lists from the US-CERT subscription website (</w:t>
      </w:r>
      <w:hyperlink r:id="rId11">
        <w:r>
          <w:rPr>
            <w:rStyle w:val="InternetLink"/>
          </w:rPr>
          <w:t>https://www.us-cert.gov/mailing-lists-and-feeds</w:t>
        </w:r>
      </w:hyperlink>
      <w:r>
        <w:rPr>
          <w:rFonts w:cs="Calibri"/>
        </w:rPr>
        <w:t xml:space="preserve">) are no-cost and vendor-neutral. There are five (5) mailing lists types that can be subscribed to: </w:t>
      </w:r>
    </w:p>
    <w:p>
      <w:pPr>
        <w:pStyle w:val="ListParagraph"/>
        <w:numPr>
          <w:ilvl w:val="0"/>
          <w:numId w:val="657"/>
        </w:numPr>
        <w:rPr>
          <w:rFonts w:cs="Calibri"/>
        </w:rPr>
      </w:pPr>
      <w:r>
        <w:rPr>
          <w:rFonts w:cs="Calibri"/>
          <w:u w:val="single"/>
        </w:rPr>
        <w:t>Alerts</w:t>
      </w:r>
      <w:r>
        <w:rPr>
          <w:rFonts w:cs="Calibri"/>
        </w:rPr>
        <w:t xml:space="preserve"> — timely information about current security issues, vulnerabilities and exploits;</w:t>
      </w:r>
    </w:p>
    <w:p>
      <w:pPr>
        <w:pStyle w:val="ListParagraph"/>
        <w:numPr>
          <w:ilvl w:val="0"/>
          <w:numId w:val="657"/>
        </w:numPr>
        <w:rPr>
          <w:rFonts w:cs="Calibri"/>
        </w:rPr>
      </w:pPr>
      <w:r>
        <w:rPr>
          <w:rFonts w:cs="Calibri"/>
          <w:u w:val="single"/>
        </w:rPr>
        <w:t>Analysis Reports</w:t>
      </w:r>
      <w:r>
        <w:rPr>
          <w:rFonts w:cs="Calibri"/>
        </w:rPr>
        <w:t xml:space="preserve"> — in-depth analysis on new or evolving cyber threats;</w:t>
      </w:r>
    </w:p>
    <w:p>
      <w:pPr>
        <w:pStyle w:val="ListParagraph"/>
        <w:numPr>
          <w:ilvl w:val="0"/>
          <w:numId w:val="657"/>
        </w:numPr>
        <w:rPr>
          <w:rFonts w:cs="Calibri"/>
        </w:rPr>
      </w:pPr>
      <w:r>
        <w:rPr>
          <w:rFonts w:cs="Calibri"/>
          <w:u w:val="single"/>
        </w:rPr>
        <w:t>Bulletins</w:t>
      </w:r>
      <w:r>
        <w:rPr>
          <w:rFonts w:cs="Calibri"/>
        </w:rPr>
        <w:t xml:space="preserve"> — weekly summaries of new vulnerabilities. Patch information is provided when available;</w:t>
      </w:r>
    </w:p>
    <w:p>
      <w:pPr>
        <w:pStyle w:val="ListParagraph"/>
        <w:numPr>
          <w:ilvl w:val="0"/>
          <w:numId w:val="657"/>
        </w:numPr>
        <w:rPr>
          <w:rFonts w:cs="Calibri"/>
        </w:rPr>
      </w:pPr>
      <w:r>
        <w:rPr>
          <w:rFonts w:cs="Calibri"/>
          <w:u w:val="single"/>
        </w:rPr>
        <w:t>Tips</w:t>
      </w:r>
      <w:r>
        <w:rPr>
          <w:rFonts w:cs="Calibri"/>
        </w:rPr>
        <w:t xml:space="preserve"> — advice about common security issues for the general public; and</w:t>
      </w:r>
    </w:p>
    <w:p>
      <w:pPr>
        <w:pStyle w:val="ListParagraph"/>
        <w:numPr>
          <w:ilvl w:val="0"/>
          <w:numId w:val="657"/>
        </w:numPr>
        <w:rPr>
          <w:rFonts w:cs="Calibri"/>
        </w:rPr>
      </w:pPr>
      <w:r>
        <w:rPr>
          <w:rFonts w:cs="Calibri"/>
          <w:u w:val="single"/>
        </w:rPr>
        <w:t>Current Activity</w:t>
      </w:r>
      <w:r>
        <w:rPr>
          <w:rFonts w:cs="Calibri"/>
        </w:rPr>
        <w:t xml:space="preserve"> — up-to-date information about high-impact types of security activity affecting the community at large.</w:t>
      </w:r>
    </w:p>
    <w:p>
      <w:pPr>
        <w:pStyle w:val="Normal"/>
        <w:rPr>
          <w:rFonts w:cs="Calibri"/>
        </w:rPr>
      </w:pPr>
      <w:r>
        <w:rPr>
          <w:rFonts w:cs="Calibri"/>
        </w:rPr>
      </w:r>
    </w:p>
    <w:p>
      <w:pPr>
        <w:pStyle w:val="Normal"/>
        <w:rPr>
          <w:rFonts w:cs="Calibri"/>
        </w:rPr>
      </w:pPr>
      <w:r>
        <w:rPr>
          <w:rFonts w:cs="Calibri"/>
        </w:rPr>
        <w:t xml:space="preserve">Ongoing contact with security groups and associations is of paramount importance in an environment of rapidly changing technologies and threats. Security groups and associations include, for example, special interest groups, forums, professional associations, news groups, and/or peer groups of security professionals in similar organizations. </w:t>
      </w:r>
    </w:p>
    <w:p>
      <w:pPr>
        <w:pStyle w:val="Normal"/>
        <w:rPr/>
      </w:pPr>
      <w:r>
        <w:rPr/>
      </w:r>
    </w:p>
    <w:p>
      <w:pPr>
        <w:pStyle w:val="Normal"/>
        <w:rPr/>
      </w:pPr>
      <w:r>
        <w:rPr/>
      </w:r>
    </w:p>
    <w:p>
      <w:pPr>
        <w:pStyle w:val="Heading2"/>
        <w:rPr/>
      </w:pPr>
      <w:bookmarkStart w:id="2343" w:name="_Toc474075403"/>
      <w:bookmarkStart w:id="2344" w:name="_Toc474075847"/>
      <w:bookmarkStart w:id="2345" w:name="_Toc34921351"/>
      <w:r>
        <w:rPr/>
        <w:t>THR-04: Insider Threat Program</w:t>
      </w:r>
      <w:bookmarkEnd w:id="2343"/>
      <w:bookmarkEnd w:id="2344"/>
      <w:bookmarkEnd w:id="2345"/>
      <w:r>
        <w:rPr/>
        <w:t xml:space="preserve"> </w:t>
      </w:r>
    </w:p>
    <w:p>
      <w:pPr>
        <w:pStyle w:val="Normal"/>
        <w:rPr/>
      </w:pPr>
      <w:r>
        <w:rPr>
          <w:u w:val="single"/>
        </w:rPr>
        <w:t>Control Objective</w:t>
      </w:r>
      <w:r>
        <w:rPr/>
        <w:t>: The organization implements an insider threat program that includes a cross-discipline insider threat incident handling team.</w:t>
      </w:r>
      <w:r>
        <w:rPr>
          <w:rStyle w:val="FootnoteAnchor"/>
          <w:rStyle w:val="FootnoteAnchor"/>
          <w:rFonts w:cs="Calibri"/>
        </w:rPr>
        <w:footnoteReference w:id="651"/>
      </w:r>
    </w:p>
    <w:p>
      <w:pPr>
        <w:pStyle w:val="Normal"/>
        <w:rPr/>
      </w:pPr>
      <w:r>
        <w:rPr/>
      </w:r>
    </w:p>
    <w:p>
      <w:pPr>
        <w:pStyle w:val="Normal"/>
        <w:rPr>
          <w:rFonts w:cs="Calibri"/>
        </w:rPr>
      </w:pPr>
      <w:r>
        <w:rPr>
          <w:rFonts w:cs="Calibri"/>
          <w:u w:val="single"/>
        </w:rPr>
        <w:t>Standard</w:t>
      </w:r>
      <w:r>
        <w:rPr>
          <w:rFonts w:cs="Calibri"/>
        </w:rPr>
        <w:t xml:space="preserve">: The </w:t>
      </w:r>
      <w:r>
        <w:rPr/>
        <w:t xml:space="preserve">Chief Information Security Officer (CISO) and his / her designated representatives are responsible for </w:t>
      </w:r>
      <w:r>
        <w:rPr>
          <w:rFonts w:cs="Calibri"/>
        </w:rPr>
        <w:t>developing and implementing an insider threat program.</w:t>
      </w:r>
    </w:p>
    <w:p>
      <w:pPr>
        <w:pStyle w:val="Normal"/>
        <w:rPr/>
      </w:pPr>
      <w:r>
        <w:rPr/>
        <w:t xml:space="preserve"> </w:t>
      </w:r>
    </w:p>
    <w:p>
      <w:pPr>
        <w:pStyle w:val="Normal"/>
        <w:rPr/>
      </w:pPr>
      <w:r>
        <w:rPr>
          <w:u w:val="single"/>
        </w:rPr>
        <w:t>Guidelines</w:t>
      </w:r>
      <w:r>
        <w:rPr/>
        <w:t>: Organizations handling classified information are required to establish insider threat programs. The standards and guidelines that apply to insider threat programs in classified environments can also be employed effectively to improve the security of sensitive, but unclassified information in non-national security systems. Insider threat programs include security controls to detect and prevent malicious insider activity through the centralized integration and analysis of both technical and non-technical information to identify potential insider threat concerns.</w:t>
      </w:r>
    </w:p>
    <w:p>
      <w:pPr>
        <w:pStyle w:val="Normal"/>
        <w:rPr/>
      </w:pPr>
      <w:r>
        <w:rPr/>
      </w:r>
    </w:p>
    <w:p>
      <w:pPr>
        <w:pStyle w:val="Normal"/>
        <w:rPr/>
      </w:pPr>
      <w:r>
        <w:rPr/>
      </w:r>
    </w:p>
    <w:p>
      <w:pPr>
        <w:pStyle w:val="Heading2"/>
        <w:rPr/>
      </w:pPr>
      <w:bookmarkStart w:id="2346" w:name="_Toc474075404"/>
      <w:bookmarkStart w:id="2347" w:name="_Toc474075848"/>
      <w:bookmarkStart w:id="2348" w:name="_Toc34921352"/>
      <w:r>
        <w:rPr/>
        <w:t>THR-05: Insider Threat Awareness</w:t>
      </w:r>
      <w:bookmarkEnd w:id="2346"/>
      <w:bookmarkEnd w:id="2347"/>
      <w:bookmarkEnd w:id="2348"/>
    </w:p>
    <w:p>
      <w:pPr>
        <w:pStyle w:val="Normal"/>
        <w:rPr/>
      </w:pPr>
      <w:r>
        <w:rPr>
          <w:u w:val="single"/>
        </w:rPr>
        <w:t>Control Objective</w:t>
      </w:r>
      <w:r>
        <w:rPr/>
        <w:t>: The organization includes security awareness training on recognizing and reporting potential indicators of insider threat.</w:t>
      </w:r>
      <w:r>
        <w:rPr>
          <w:rStyle w:val="FootnoteCharacters"/>
          <w:rFonts w:cs="Calibri"/>
        </w:rPr>
        <w:t xml:space="preserve"> </w:t>
      </w:r>
      <w:r>
        <w:rPr>
          <w:rStyle w:val="FootnoteAnchor"/>
          <w:rStyle w:val="FootnoteAnchor"/>
          <w:rFonts w:cs="Calibri"/>
        </w:rPr>
        <w:footnoteReference w:id="652"/>
      </w:r>
    </w:p>
    <w:p>
      <w:pPr>
        <w:pStyle w:val="Normal"/>
        <w:rPr/>
      </w:pPr>
      <w:r>
        <w:rPr/>
      </w:r>
    </w:p>
    <w:p>
      <w:pPr>
        <w:pStyle w:val="Normal"/>
        <w:rPr/>
      </w:pPr>
      <w:r>
        <w:rPr>
          <w:u w:val="single"/>
        </w:rPr>
        <w:t>Standard</w:t>
      </w:r>
      <w:r>
        <w:rPr/>
        <w:t>: NFCC’s cybersecurity personnel are required to implement security awareness training that includes how to communicate employee / management concerns regarding potential indicators of insider threat.</w:t>
      </w:r>
    </w:p>
    <w:p>
      <w:pPr>
        <w:pStyle w:val="Normal"/>
        <w:rPr/>
      </w:pPr>
      <w:r>
        <w:rPr/>
      </w:r>
    </w:p>
    <w:p>
      <w:pPr>
        <w:pStyle w:val="Normal"/>
        <w:rPr/>
      </w:pPr>
      <w:r>
        <w:rPr>
          <w:u w:val="single"/>
        </w:rPr>
        <w:t>Guidelines</w:t>
      </w:r>
      <w:r>
        <w:rPr/>
        <w:t xml:space="preserve">: Potential indicators and possible precursors of insider threat can include concerning behaviors such as inordinate, long-term job dissatisfaction, attempts to gain access to information not required for job performance, unexplained access to financial resources, bullying or sexual harassment of fellow colleagues, workplace violence and other serious violations of organizational policies, procedures, directives, rules and / or practices. </w:t>
      </w:r>
    </w:p>
    <w:p>
      <w:pPr>
        <w:pStyle w:val="Normal"/>
        <w:rPr/>
      </w:pPr>
      <w:r>
        <w:rPr/>
      </w:r>
    </w:p>
    <w:p>
      <w:pPr>
        <w:pStyle w:val="Normal"/>
        <w:rPr/>
      </w:pPr>
      <w:r>
        <w:rPr/>
      </w:r>
    </w:p>
    <w:p>
      <w:pPr>
        <w:pStyle w:val="Normal"/>
        <w:rPr>
          <w:rFonts w:eastAsia="Calibri" w:cs="Calibri"/>
          <w:sz w:val="24"/>
        </w:rPr>
      </w:pPr>
      <w:r>
        <w:rPr>
          <w:rFonts w:eastAsia="Calibri" w:cs="Calibri"/>
          <w:sz w:val="24"/>
        </w:rPr>
      </w:r>
      <w:r>
        <w:br w:type="page"/>
      </w:r>
    </w:p>
    <w:p>
      <w:pPr>
        <w:pStyle w:val="Heading1"/>
        <w:rPr/>
      </w:pPr>
      <w:bookmarkStart w:id="2349" w:name="_Toc34921353"/>
      <w:bookmarkStart w:id="2350" w:name="_Toc474075430"/>
      <w:bookmarkStart w:id="2351" w:name="_Toc474075864"/>
      <w:r>
        <w:rPr/>
        <w:t>Vulnerability &amp; Patch Management (VPM)</w:t>
      </w:r>
      <w:bookmarkEnd w:id="2350"/>
      <w:bookmarkEnd w:id="2351"/>
      <w:r>
        <w:rPr/>
        <w:t xml:space="preserve"> Policy &amp; Standards</w:t>
      </w:r>
      <w:bookmarkEnd w:id="2349"/>
    </w:p>
    <w:p>
      <w:pPr>
        <w:pStyle w:val="Normal"/>
        <w:rPr/>
      </w:pPr>
      <w:r>
        <w:rPr/>
      </w:r>
    </w:p>
    <w:p>
      <w:pPr>
        <w:pStyle w:val="Normal"/>
        <w:rPr/>
      </w:pPr>
      <w:r>
        <w:rPr>
          <w:u w:val="single"/>
        </w:rPr>
        <w:t>Management Intent</w:t>
      </w:r>
      <w:r>
        <w:rPr/>
        <w:t>: The purpose of the Vulnerability &amp; Patch Management (VPM) policy is to proactively manage the risks associated with technical vulnerability management.</w:t>
      </w:r>
    </w:p>
    <w:p>
      <w:pPr>
        <w:pStyle w:val="Normal"/>
        <w:rPr/>
      </w:pPr>
      <w:r>
        <w:rPr/>
        <w:t xml:space="preserve"> </w:t>
      </w:r>
    </w:p>
    <w:p>
      <w:pPr>
        <w:pStyle w:val="Normal"/>
        <w:shd w:val="clear" w:color="auto" w:fill="DDD9C3" w:themeFill="background2" w:themeFillShade="e6"/>
        <w:rPr/>
      </w:pPr>
      <w:r>
        <w:rPr>
          <w:u w:val="single"/>
        </w:rPr>
        <w:t>Policy</w:t>
      </w:r>
      <w:r>
        <w:rPr/>
        <w:t>: Vulnerability management is a never-ending process that requires NFCC to proactively manage vulnerabilities both in how its assets are configured and the level of currency in software patching. Therefore, NFCC shall apply a risk-based approach minimize its attack surface area through aggressive vulnerability management and patching operations.</w:t>
      </w:r>
    </w:p>
    <w:p>
      <w:pPr>
        <w:pStyle w:val="Normal"/>
        <w:rPr>
          <w:u w:val="single"/>
        </w:rPr>
      </w:pPr>
      <w:r>
        <w:rPr>
          <w:u w:val="single"/>
        </w:rPr>
      </w:r>
    </w:p>
    <w:p>
      <w:pPr>
        <w:pStyle w:val="Normal"/>
        <w:rPr/>
      </w:pPr>
      <w:r>
        <w:rPr>
          <w:u w:val="single"/>
        </w:rPr>
        <w:t>Supporting Documentation</w:t>
      </w:r>
      <w:r>
        <w:rPr/>
        <w:t xml:space="preserve">: This policy is supported by the following control objectives, standards and guidelines. </w:t>
      </w:r>
    </w:p>
    <w:p>
      <w:pPr>
        <w:pStyle w:val="Normal"/>
        <w:rPr/>
      </w:pPr>
      <w:r>
        <w:rPr/>
      </w:r>
    </w:p>
    <w:p>
      <w:pPr>
        <w:pStyle w:val="Normal"/>
        <w:rPr/>
      </w:pPr>
      <w:r>
        <w:rPr/>
      </w:r>
    </w:p>
    <w:p>
      <w:pPr>
        <w:pStyle w:val="Heading2"/>
        <w:rPr/>
      </w:pPr>
      <w:bookmarkStart w:id="2352" w:name="_Toc34921354"/>
      <w:bookmarkStart w:id="2353" w:name="_Toc462992758"/>
      <w:bookmarkStart w:id="2354" w:name="_Toc474075431"/>
      <w:bookmarkStart w:id="2355" w:name="_Toc474075865"/>
      <w:r>
        <w:rPr/>
        <w:t>VPM-01: Vulnerability &amp; Patch Management</w:t>
      </w:r>
      <w:bookmarkEnd w:id="2353"/>
      <w:bookmarkEnd w:id="2354"/>
      <w:bookmarkEnd w:id="2355"/>
      <w:r>
        <w:rPr/>
        <w:t xml:space="preserve"> Program</w:t>
      </w:r>
      <w:bookmarkEnd w:id="2352"/>
      <w:r>
        <w:rPr/>
        <w:t xml:space="preserve"> </w:t>
      </w:r>
    </w:p>
    <w:p>
      <w:pPr>
        <w:pStyle w:val="Normal"/>
        <w:rPr/>
      </w:pPr>
      <w:r>
        <w:rPr>
          <w:u w:val="single"/>
        </w:rPr>
        <w:t>Control Objective</w:t>
      </w:r>
      <w:r>
        <w:rPr/>
        <w:t>: The organization develops, implements and governs processes and documentation to facilitate the implementation of an enterprise-wide vulnerability and patch management policy, as well as associated standards, controls and procedures.</w:t>
      </w:r>
      <w:r>
        <w:rPr>
          <w:rStyle w:val="FootnoteCharacters"/>
          <w:rFonts w:cs="Calibri"/>
        </w:rPr>
        <w:t xml:space="preserve"> </w:t>
      </w:r>
      <w:r>
        <w:rPr>
          <w:rStyle w:val="FootnoteAnchor"/>
          <w:rStyle w:val="FootnoteAnchor"/>
          <w:rFonts w:cs="Calibri"/>
        </w:rPr>
        <w:footnoteReference w:id="653"/>
      </w:r>
    </w:p>
    <w:p>
      <w:pPr>
        <w:pStyle w:val="Normal"/>
        <w:rPr/>
      </w:pPr>
      <w:r>
        <w:rPr/>
      </w:r>
    </w:p>
    <w:p>
      <w:pPr>
        <w:pStyle w:val="Normal"/>
        <w:rPr/>
      </w:pPr>
      <w:r>
        <w:rPr>
          <w:u w:val="single"/>
        </w:rPr>
        <w:t>Standard</w:t>
      </w:r>
      <w:r>
        <w:rPr/>
        <w:t>: NFCC is required to:</w:t>
      </w:r>
    </w:p>
    <w:p>
      <w:pPr>
        <w:pStyle w:val="ListParagraph"/>
        <w:numPr>
          <w:ilvl w:val="0"/>
          <w:numId w:val="495"/>
        </w:numPr>
        <w:rPr/>
      </w:pPr>
      <w:r>
        <w:rPr/>
        <w:t>Develop and implement an enterprise-wide technical Vulnerability &amp; Patch Management Program (VPMP); and</w:t>
      </w:r>
    </w:p>
    <w:p>
      <w:pPr>
        <w:pStyle w:val="ListParagraph"/>
        <w:numPr>
          <w:ilvl w:val="0"/>
          <w:numId w:val="495"/>
        </w:numPr>
        <w:rPr/>
      </w:pPr>
      <w:r>
        <w:rPr/>
        <w:t>Utilize a risk-based model for prioritizing remediation of identified vulnerabilities.</w:t>
      </w:r>
    </w:p>
    <w:p>
      <w:pPr>
        <w:pStyle w:val="Normal"/>
        <w:rPr/>
      </w:pPr>
      <w:r>
        <w:rPr/>
        <w:t xml:space="preserve"> </w:t>
      </w:r>
    </w:p>
    <w:p>
      <w:pPr>
        <w:pStyle w:val="Normal"/>
        <w:rPr/>
      </w:pPr>
      <w:r>
        <w:rPr>
          <w:u w:val="single"/>
        </w:rPr>
        <w:t>Guidelines</w:t>
      </w:r>
      <w:r>
        <w:rPr/>
        <w:t>: The objective is to prevent exploitation of technical vulnerabilities. Information about technical vulnerabilities of systems being used should be obtained in a timely fashion, the organization’s exposure to such vulnerabilities evaluated and appropriate measures taken to address the associated risk.</w:t>
      </w:r>
    </w:p>
    <w:p>
      <w:pPr>
        <w:pStyle w:val="Normal"/>
        <w:rPr/>
      </w:pPr>
      <w:r>
        <w:rPr/>
      </w:r>
    </w:p>
    <w:p>
      <w:pPr>
        <w:pStyle w:val="Heading3"/>
        <w:rPr/>
      </w:pPr>
      <w:bookmarkStart w:id="2356" w:name="_Toc34921355"/>
      <w:r>
        <w:rPr/>
        <w:t>VPM-01(a): Vulnerability &amp; Patch Management Program | Establish Vulnerability Management Scope</w:t>
      </w:r>
      <w:bookmarkEnd w:id="2356"/>
      <w:r>
        <w:rPr/>
        <w:t xml:space="preserve"> </w:t>
      </w:r>
    </w:p>
    <w:p>
      <w:pPr>
        <w:pStyle w:val="Normal"/>
        <w:rPr/>
      </w:pPr>
      <w:r>
        <w:rPr>
          <w:u w:val="single"/>
        </w:rPr>
        <w:t>Control Objective</w:t>
      </w:r>
      <w:r>
        <w:rPr/>
        <w:t>: The organization establishes an appropriate scope for its vulnerability management activities.</w:t>
      </w:r>
    </w:p>
    <w:p>
      <w:pPr>
        <w:pStyle w:val="Normal"/>
        <w:rPr/>
      </w:pPr>
      <w:r>
        <w:rPr/>
      </w:r>
    </w:p>
    <w:p>
      <w:pPr>
        <w:pStyle w:val="Normal"/>
        <w:rPr/>
      </w:pPr>
      <w:r>
        <w:rPr>
          <w:u w:val="single"/>
        </w:rPr>
        <w:t>Standard</w:t>
      </w:r>
      <w:r>
        <w:rPr/>
        <w:t>: The Chief Information Security Officer (CISO) and his / her designated representatives shall define the scope of NFCC’s Vulnerability &amp; Patch Management Program (VPMP) by:</w:t>
      </w:r>
    </w:p>
    <w:p>
      <w:pPr>
        <w:pStyle w:val="ListParagraph"/>
        <w:numPr>
          <w:ilvl w:val="0"/>
          <w:numId w:val="685"/>
        </w:numPr>
        <w:rPr/>
      </w:pPr>
      <w:r>
        <w:rPr/>
        <w:t>Establishing the environments and assets that will be the focus of the organization’s vulnerability analysis and resolution activities; and</w:t>
      </w:r>
    </w:p>
    <w:p>
      <w:pPr>
        <w:pStyle w:val="ListParagraph"/>
        <w:numPr>
          <w:ilvl w:val="0"/>
          <w:numId w:val="685"/>
        </w:numPr>
        <w:rPr/>
      </w:pPr>
      <w:r>
        <w:rPr/>
        <w:t xml:space="preserve">Ensuring third-parties are contractually bound to appropriately manage vulnerabilities in environments under their control. </w:t>
      </w:r>
    </w:p>
    <w:p>
      <w:pPr>
        <w:pStyle w:val="Normal"/>
        <w:rPr/>
      </w:pPr>
      <w:r>
        <w:rPr/>
      </w:r>
    </w:p>
    <w:p>
      <w:pPr>
        <w:pStyle w:val="Normal"/>
        <w:rPr/>
      </w:pPr>
      <w:r>
        <w:rPr>
          <w:u w:val="single"/>
        </w:rPr>
        <w:t>Guidelines</w:t>
      </w:r>
      <w:r>
        <w:rPr/>
        <w:t xml:space="preserve">: The scoping activity establishes the ranges of assets that will be the focus of the organization’s vulnerability analysis and resolution activities. </w:t>
      </w:r>
    </w:p>
    <w:p>
      <w:pPr>
        <w:pStyle w:val="Normal"/>
        <w:rPr/>
      </w:pPr>
      <w:r>
        <w:rPr/>
      </w:r>
    </w:p>
    <w:p>
      <w:pPr>
        <w:pStyle w:val="Normal"/>
        <w:rPr/>
      </w:pPr>
      <w:r>
        <w:rPr/>
      </w:r>
    </w:p>
    <w:p>
      <w:pPr>
        <w:pStyle w:val="Heading2"/>
        <w:rPr/>
      </w:pPr>
      <w:bookmarkStart w:id="2357" w:name="_Toc346202621"/>
      <w:bookmarkStart w:id="2358" w:name="_Toc474075432"/>
      <w:bookmarkStart w:id="2359" w:name="_Toc474075866"/>
      <w:bookmarkStart w:id="2360" w:name="_Toc34921356"/>
      <w:r>
        <w:rPr/>
        <w:t>VPM-02: Vulnerability Remediation Process</w:t>
      </w:r>
      <w:bookmarkEnd w:id="2357"/>
      <w:bookmarkEnd w:id="2358"/>
      <w:bookmarkEnd w:id="2359"/>
      <w:bookmarkEnd w:id="2360"/>
      <w:r>
        <w:rPr/>
        <w:t xml:space="preserve"> </w:t>
      </w:r>
    </w:p>
    <w:p>
      <w:pPr>
        <w:pStyle w:val="Normal"/>
        <w:rPr/>
      </w:pPr>
      <w:r>
        <w:rPr>
          <w:u w:val="single"/>
        </w:rPr>
        <w:t>Control Objective</w:t>
      </w:r>
      <w:r>
        <w:rPr/>
        <w:t>: The organization implements a process for ensuring that vulnerabilities are properly identified, documents remediation actions and tracks vulnerabilities to mitigate risk to operations, assets, individuals and other organizations.</w:t>
      </w:r>
      <w:r>
        <w:rPr>
          <w:rStyle w:val="FootnoteCharacters"/>
          <w:rFonts w:cs="Calibri"/>
        </w:rPr>
        <w:t xml:space="preserve"> </w:t>
      </w:r>
      <w:r>
        <w:rPr>
          <w:rStyle w:val="FootnoteAnchor"/>
          <w:rStyle w:val="FootnoteAnchor"/>
          <w:rFonts w:cs="Calibri"/>
        </w:rPr>
        <w:footnoteReference w:id="654"/>
      </w:r>
      <w:r>
        <w:fldChar w:fldCharType="begin"/>
      </w:r>
      <w:r>
        <w:rPr/>
        <w:instrText> XE "Vulnerability Management:Remediation Process: : " </w:instrText>
      </w:r>
      <w:r>
        <w:rPr/>
        <w:fldChar w:fldCharType="separate"/>
      </w:r>
      <w:r>
        <w:rPr/>
      </w:r>
      <w:r>
        <w:rPr/>
        <w:fldChar w:fldCharType="end"/>
      </w:r>
    </w:p>
    <w:p>
      <w:pPr>
        <w:pStyle w:val="Normal"/>
        <w:rPr/>
      </w:pPr>
      <w:r>
        <w:rPr/>
      </w:r>
    </w:p>
    <w:p>
      <w:pPr>
        <w:pStyle w:val="Normal"/>
        <w:rPr/>
      </w:pPr>
      <w:r>
        <w:rPr>
          <w:u w:val="single"/>
        </w:rPr>
        <w:t>Standard</w:t>
      </w:r>
      <w:r>
        <w:rPr/>
        <w:t xml:space="preserve">: NFCC is required to use a Plan of Action &amp; Milestones (POA&amp;M) or some other company-approved method, as a key tool in documenting identified weaknesses, their status and remediation steps. </w:t>
      </w:r>
    </w:p>
    <w:p>
      <w:pPr>
        <w:pStyle w:val="Normal"/>
        <w:rPr/>
      </w:pPr>
      <w:r>
        <w:rPr/>
      </w:r>
    </w:p>
    <w:p>
      <w:pPr>
        <w:pStyle w:val="Normal"/>
        <w:rPr/>
      </w:pPr>
      <w:r>
        <w:rPr>
          <w:u w:val="single"/>
        </w:rPr>
        <w:t>Guidelines</w:t>
      </w:r>
      <w:r>
        <w:rPr/>
        <w:t>: POA&amp;M-related issues shall be based on the findings from security control assessments, security impact analyses and continuous monitoring activities.</w:t>
      </w:r>
    </w:p>
    <w:p>
      <w:pPr>
        <w:pStyle w:val="Normal"/>
        <w:rPr/>
      </w:pPr>
      <w:r>
        <w:rPr/>
      </w:r>
    </w:p>
    <w:p>
      <w:pPr>
        <w:pStyle w:val="Normal"/>
        <w:rPr/>
      </w:pPr>
      <w:r>
        <w:rPr/>
      </w:r>
    </w:p>
    <w:p>
      <w:pPr>
        <w:pStyle w:val="Heading2"/>
        <w:rPr/>
      </w:pPr>
      <w:bookmarkStart w:id="2361" w:name="_Toc474075433"/>
      <w:bookmarkStart w:id="2362" w:name="_Toc474075867"/>
      <w:bookmarkStart w:id="2363" w:name="_Toc34921357"/>
      <w:r>
        <w:rPr/>
        <w:t>VPM-03: Vulnerability Ranking</w:t>
      </w:r>
      <w:bookmarkEnd w:id="2361"/>
      <w:bookmarkEnd w:id="2362"/>
      <w:bookmarkEnd w:id="2363"/>
      <w:r>
        <w:rPr/>
        <w:t xml:space="preserve"> </w:t>
      </w:r>
    </w:p>
    <w:p>
      <w:pPr>
        <w:pStyle w:val="Normal"/>
        <w:rPr/>
      </w:pPr>
      <w:r>
        <w:rPr>
          <w:u w:val="single"/>
        </w:rPr>
        <w:t>Control Objective</w:t>
      </w:r>
      <w:r>
        <w:rPr/>
        <w:t>: The organization implements a process to identify and assign a risk ranking to newly discovered security vulnerabilities using reputable outside sources for security vulnerability information.</w:t>
      </w:r>
      <w:r>
        <w:rPr>
          <w:rStyle w:val="FootnoteCharacters"/>
          <w:rFonts w:cs="Calibri"/>
        </w:rPr>
        <w:t xml:space="preserve"> </w:t>
      </w:r>
    </w:p>
    <w:p>
      <w:pPr>
        <w:pStyle w:val="Normal"/>
        <w:rPr/>
      </w:pPr>
      <w:r>
        <w:rPr/>
      </w:r>
    </w:p>
    <w:p>
      <w:pPr>
        <w:pStyle w:val="Normal"/>
        <w:rPr/>
      </w:pPr>
      <w:r>
        <w:rPr>
          <w:u w:val="single"/>
        </w:rPr>
        <w:t>Standard</w:t>
      </w:r>
      <w:r>
        <w:rPr/>
        <w:t>: In accordance with NFCC’s Risk Management Program (RMP), risks must be:</w:t>
      </w:r>
    </w:p>
    <w:p>
      <w:pPr>
        <w:pStyle w:val="ListParagraph"/>
        <w:numPr>
          <w:ilvl w:val="0"/>
          <w:numId w:val="521"/>
        </w:numPr>
        <w:rPr/>
      </w:pPr>
      <w:r>
        <w:rPr/>
        <w:t>Ranked; and</w:t>
      </w:r>
    </w:p>
    <w:p>
      <w:pPr>
        <w:pStyle w:val="ListParagraph"/>
        <w:numPr>
          <w:ilvl w:val="0"/>
          <w:numId w:val="521"/>
        </w:numPr>
        <w:rPr/>
      </w:pPr>
      <w:r>
        <w:rPr/>
        <w:t xml:space="preserve">Prioritized accordingly for remediation. </w:t>
      </w:r>
    </w:p>
    <w:p>
      <w:pPr>
        <w:pStyle w:val="Normal"/>
        <w:rPr/>
      </w:pPr>
      <w:r>
        <w:rPr/>
      </w:r>
    </w:p>
    <w:p>
      <w:pPr>
        <w:pStyle w:val="Normal"/>
        <w:rPr/>
      </w:pPr>
      <w:r>
        <w:rPr>
          <w:u w:val="single"/>
        </w:rPr>
        <w:t>Guidelines</w:t>
      </w:r>
      <w:r>
        <w:rPr/>
        <w:t xml:space="preserve">: Data/process owners and asset custodians should reference the National Vulnerability Database (NVD) Common Vulnerability Scoring System Support (CVSS) system to assist in ranking vulnerabilities: </w:t>
      </w:r>
    </w:p>
    <w:p>
      <w:pPr>
        <w:pStyle w:val="Normal"/>
        <w:rPr/>
      </w:pPr>
      <w:r>
        <w:rPr/>
        <w:t xml:space="preserve"> </w:t>
      </w:r>
      <w:r>
        <w:rPr/>
        <w:t xml:space="preserve">The NVD provides severity rankings of "Low," "Medium," and "High" in addition to the numeric CVSS scores. </w:t>
      </w:r>
    </w:p>
    <w:p>
      <w:pPr>
        <w:pStyle w:val="ListParagraph"/>
        <w:numPr>
          <w:ilvl w:val="0"/>
          <w:numId w:val="121"/>
        </w:numPr>
        <w:rPr/>
      </w:pPr>
      <w:r>
        <w:rPr/>
        <w:t>Vulnerabilities are labeled "Low" severity if they have a CVSS base score of 0.0-3.9.</w:t>
      </w:r>
    </w:p>
    <w:p>
      <w:pPr>
        <w:pStyle w:val="ListParagraph"/>
        <w:numPr>
          <w:ilvl w:val="0"/>
          <w:numId w:val="121"/>
        </w:numPr>
        <w:rPr/>
      </w:pPr>
      <w:r>
        <w:rPr/>
        <w:t>Vulnerabilities will be labeled "Medium" severity if they have a base CVSS score of 4.0-6.9.</w:t>
      </w:r>
    </w:p>
    <w:p>
      <w:pPr>
        <w:pStyle w:val="ListParagraph"/>
        <w:numPr>
          <w:ilvl w:val="0"/>
          <w:numId w:val="121"/>
        </w:numPr>
        <w:rPr/>
      </w:pPr>
      <w:r>
        <w:rPr/>
        <w:t>Vulnerabilities will be labeled "High" severity if they have a CVSS base score of 7.0-10.0.</w:t>
      </w:r>
    </w:p>
    <w:p>
      <w:pPr>
        <w:pStyle w:val="Normal"/>
        <w:rPr/>
      </w:pPr>
      <w:r>
        <w:rPr/>
      </w:r>
    </w:p>
    <w:p>
      <w:pPr>
        <w:pStyle w:val="Normal"/>
        <w:rPr/>
      </w:pPr>
      <w:r>
        <w:rPr/>
      </w:r>
    </w:p>
    <w:p>
      <w:pPr>
        <w:pStyle w:val="Heading2"/>
        <w:rPr/>
      </w:pPr>
      <w:bookmarkStart w:id="2364" w:name="_Toc34921358"/>
      <w:bookmarkStart w:id="2365" w:name="_Toc474075434"/>
      <w:bookmarkStart w:id="2366" w:name="_Toc474075868"/>
      <w:r>
        <w:rPr/>
        <w:t>VPM-04: Continuous Vulnerability Remediation</w:t>
      </w:r>
      <w:bookmarkEnd w:id="2365"/>
      <w:bookmarkEnd w:id="2366"/>
      <w:r>
        <w:rPr/>
        <w:t xml:space="preserve"> Activities</w:t>
      </w:r>
      <w:bookmarkEnd w:id="2364"/>
    </w:p>
    <w:p>
      <w:pPr>
        <w:pStyle w:val="Normal"/>
        <w:rPr/>
      </w:pPr>
      <w:r>
        <w:rPr>
          <w:u w:val="single"/>
        </w:rPr>
        <w:t>Control Objective</w:t>
      </w:r>
      <w:r>
        <w:rPr/>
        <w:t>: The organization addresses new threats and vulnerabilities on an ongoing basis and ensure assets are protected against known attacks.</w:t>
      </w:r>
      <w:r>
        <w:rPr>
          <w:rStyle w:val="FootnoteCharacters"/>
          <w:rFonts w:cs="Calibri"/>
        </w:rPr>
        <w:t xml:space="preserve"> </w:t>
      </w:r>
      <w:r>
        <w:rPr>
          <w:rStyle w:val="FootnoteAnchor"/>
          <w:rStyle w:val="FootnoteAnchor"/>
          <w:rFonts w:cs="Calibri"/>
        </w:rPr>
        <w:footnoteReference w:id="655"/>
      </w:r>
      <w:r>
        <w:rPr/>
        <w:t xml:space="preserve"> </w:t>
      </w:r>
    </w:p>
    <w:p>
      <w:pPr>
        <w:pStyle w:val="Normal"/>
        <w:rPr/>
      </w:pPr>
      <w:r>
        <w:rPr/>
      </w:r>
    </w:p>
    <w:p>
      <w:pPr>
        <w:pStyle w:val="Normal"/>
        <w:rPr/>
      </w:pPr>
      <w:r>
        <w:rPr>
          <w:u w:val="single"/>
        </w:rPr>
        <w:t>Standard</w:t>
      </w:r>
      <w:r>
        <w:rPr/>
        <w:t>: Asset custodians are required to:</w:t>
      </w:r>
    </w:p>
    <w:p>
      <w:pPr>
        <w:pStyle w:val="ListParagraph"/>
        <w:numPr>
          <w:ilvl w:val="0"/>
          <w:numId w:val="496"/>
        </w:numPr>
        <w:rPr/>
      </w:pPr>
      <w:r>
        <w:rPr/>
        <w:t>Proactively review systems and applications for vulnerabilities and misconfigurations through:</w:t>
      </w:r>
    </w:p>
    <w:p>
      <w:pPr>
        <w:pStyle w:val="ListParagraph"/>
        <w:numPr>
          <w:ilvl w:val="1"/>
          <w:numId w:val="496"/>
        </w:numPr>
        <w:rPr/>
      </w:pPr>
      <w:r>
        <w:rPr/>
        <w:t>Utilize vulnerability assessment tools or methods:</w:t>
      </w:r>
    </w:p>
    <w:p>
      <w:pPr>
        <w:pStyle w:val="ListParagraph"/>
        <w:numPr>
          <w:ilvl w:val="2"/>
          <w:numId w:val="496"/>
        </w:numPr>
        <w:rPr/>
      </w:pPr>
      <w:r>
        <w:rPr/>
        <w:t xml:space="preserve">At least annually; and </w:t>
      </w:r>
    </w:p>
    <w:p>
      <w:pPr>
        <w:pStyle w:val="ListParagraph"/>
        <w:numPr>
          <w:ilvl w:val="2"/>
          <w:numId w:val="496"/>
        </w:numPr>
        <w:rPr/>
      </w:pPr>
      <w:r>
        <w:rPr/>
        <w:t>After any changes to the asset; and</w:t>
      </w:r>
    </w:p>
    <w:p>
      <w:pPr>
        <w:pStyle w:val="ListParagraph"/>
        <w:numPr>
          <w:ilvl w:val="1"/>
          <w:numId w:val="496"/>
        </w:numPr>
        <w:rPr/>
      </w:pPr>
      <w:r>
        <w:rPr/>
        <w:t>Where technically feasible and justified by a valid business case, utilize an automated, technical solution that detects and prevents web-based attacks (e.g., a web-application firewall) in front of public-facing web applications, to continually check all traffic; and</w:t>
      </w:r>
    </w:p>
    <w:p>
      <w:pPr>
        <w:pStyle w:val="ListParagraph"/>
        <w:numPr>
          <w:ilvl w:val="0"/>
          <w:numId w:val="496"/>
        </w:numPr>
        <w:rPr/>
      </w:pPr>
      <w:r>
        <w:rPr/>
        <w:t>Review identified vulnerabilities and misconfigurations for applicability and potential impact;</w:t>
      </w:r>
    </w:p>
    <w:p>
      <w:pPr>
        <w:pStyle w:val="ListParagraph"/>
        <w:numPr>
          <w:ilvl w:val="0"/>
          <w:numId w:val="496"/>
        </w:numPr>
        <w:rPr/>
      </w:pPr>
      <w:r>
        <w:rPr/>
        <w:t xml:space="preserve">Follow NFCC change control processes to implement remediation steps, in accordance with NFCC’s Vulnerability &amp; Patch Management Program (VPMP). </w:t>
      </w:r>
      <w:bookmarkStart w:id="2367" w:name="_Hlk497200831"/>
      <w:bookmarkEnd w:id="2367"/>
    </w:p>
    <w:p>
      <w:pPr>
        <w:pStyle w:val="Normal"/>
        <w:rPr/>
      </w:pPr>
      <w:r>
        <w:rPr/>
      </w:r>
    </w:p>
    <w:p>
      <w:pPr>
        <w:pStyle w:val="Normal"/>
        <w:rPr/>
      </w:pPr>
      <w:r>
        <w:rPr>
          <w:u w:val="single"/>
        </w:rPr>
        <w:t>Guidelines</w:t>
      </w:r>
      <w:r>
        <w:rPr/>
        <w:t>: Public-facing web applications are primary targets for attackers and poorly coded web applications provide an easy path for attackers to gain access to sensitive data and systems. The requirement for reviewing applications or installing web-application firewalls is intended to reduce the number of compromises on public-facing web applications due to poor coding or application management practices.</w:t>
      </w:r>
    </w:p>
    <w:p>
      <w:pPr>
        <w:pStyle w:val="ListParagraph"/>
        <w:numPr>
          <w:ilvl w:val="0"/>
          <w:numId w:val="200"/>
        </w:numPr>
        <w:rPr/>
      </w:pPr>
      <w:r>
        <w:rPr/>
        <w:t>Manual or automated vulnerability security assessment tools or methods review and / or test the application for vulnerabilities; and</w:t>
      </w:r>
    </w:p>
    <w:p>
      <w:pPr>
        <w:pStyle w:val="ListParagraph"/>
        <w:numPr>
          <w:ilvl w:val="0"/>
          <w:numId w:val="200"/>
        </w:numPr>
        <w:rPr/>
      </w:pPr>
      <w:r>
        <w:rPr/>
        <w:t>Web-application firewalls filter / block nonessential traffic at the application layer. Used in conjunction with a network-based firewall, a properly configured web-application firewall prevents application-layer attacks if applications are improperly coded or configured.</w:t>
      </w:r>
    </w:p>
    <w:p>
      <w:pPr>
        <w:pStyle w:val="Normal"/>
        <w:rPr/>
      </w:pPr>
      <w:r>
        <w:rPr/>
      </w:r>
    </w:p>
    <w:p>
      <w:pPr>
        <w:pStyle w:val="Normal"/>
        <w:rPr/>
      </w:pPr>
      <w:r>
        <w:rPr/>
        <w:t>An organization that specializes in “application security” can be either a third-party company or an internal team / department, as long as the reviewers specialize in application security and can demonstrate independence from the development team.</w:t>
      </w:r>
    </w:p>
    <w:p>
      <w:pPr>
        <w:pStyle w:val="Normal"/>
        <w:rPr/>
      </w:pPr>
      <w:r>
        <w:rPr/>
      </w:r>
    </w:p>
    <w:p>
      <w:pPr>
        <w:pStyle w:val="Heading3"/>
        <w:rPr/>
      </w:pPr>
      <w:bookmarkStart w:id="2368" w:name="_Toc34921359"/>
      <w:r>
        <w:rPr/>
        <w:t>VPM-04(a): Continuous Vulnerability Remediation Activities | Stable Versions</w:t>
      </w:r>
      <w:bookmarkEnd w:id="2368"/>
    </w:p>
    <w:p>
      <w:pPr>
        <w:pStyle w:val="Normal"/>
        <w:rPr/>
      </w:pPr>
      <w:r>
        <w:rPr>
          <w:u w:val="single"/>
        </w:rPr>
        <w:t>Control Objective</w:t>
      </w:r>
      <w:r>
        <w:rPr/>
        <w:t>: The organization installs the latest stable version of any security-related updates on all assets.</w:t>
      </w:r>
      <w:r>
        <w:rPr>
          <w:rStyle w:val="FootnoteCharacters"/>
        </w:rPr>
        <w:t xml:space="preserve"> </w:t>
      </w:r>
    </w:p>
    <w:p>
      <w:pPr>
        <w:pStyle w:val="Normal"/>
        <w:rPr/>
      </w:pPr>
      <w:r>
        <w:rPr/>
      </w:r>
    </w:p>
    <w:p>
      <w:pPr>
        <w:pStyle w:val="Normal"/>
        <w:rPr/>
      </w:pPr>
      <w:r>
        <w:rPr>
          <w:rFonts w:cs="Calibri"/>
          <w:u w:val="single"/>
        </w:rPr>
        <w:t>Standard</w:t>
      </w:r>
      <w:r>
        <w:rPr>
          <w:rFonts w:cs="Calibri"/>
        </w:rPr>
        <w:t>: Where technically feasible, NFCC requires that after appropriate security testing is performed, assets shall have the latest stable version of software and / or firmware.</w:t>
      </w:r>
    </w:p>
    <w:p>
      <w:pPr>
        <w:pStyle w:val="Normal"/>
        <w:rPr/>
      </w:pPr>
      <w:r>
        <w:rPr/>
      </w:r>
    </w:p>
    <w:p>
      <w:pPr>
        <w:pStyle w:val="Normal"/>
        <w:rPr/>
      </w:pPr>
      <w:r>
        <w:rPr>
          <w:u w:val="single"/>
        </w:rPr>
        <w:t>Guidelines</w:t>
      </w:r>
      <w:r>
        <w:rPr/>
        <w:t>: None</w:t>
      </w:r>
    </w:p>
    <w:p>
      <w:pPr>
        <w:pStyle w:val="Normal"/>
        <w:rPr/>
      </w:pPr>
      <w:r>
        <w:rPr/>
      </w:r>
    </w:p>
    <w:p>
      <w:pPr>
        <w:pStyle w:val="Heading3"/>
        <w:rPr/>
      </w:pPr>
      <w:bookmarkStart w:id="2369" w:name="_Toc34921360"/>
      <w:r>
        <w:rPr/>
        <w:t>VPM-04(b): Continuous Vulnerability Remediation Activities | Flaw Remediation with Personal Data (PD)</w:t>
      </w:r>
      <w:bookmarkEnd w:id="2369"/>
    </w:p>
    <w:p>
      <w:pPr>
        <w:pStyle w:val="Normal"/>
        <w:rPr/>
      </w:pPr>
      <w:r>
        <w:rPr>
          <w:u w:val="single"/>
        </w:rPr>
        <w:t>Control Objective</w:t>
      </w:r>
      <w:r>
        <w:rPr/>
        <w:t>: The organization:</w:t>
      </w:r>
    </w:p>
    <w:p>
      <w:pPr>
        <w:pStyle w:val="ListParagraph"/>
        <w:numPr>
          <w:ilvl w:val="0"/>
          <w:numId w:val="563"/>
        </w:numPr>
        <w:rPr/>
      </w:pPr>
      <w:r>
        <w:rPr/>
        <w:t>Identifies and corrects flaws related to the collection, usage, processing or dissemination of Personal Data (PD);</w:t>
      </w:r>
    </w:p>
    <w:p>
      <w:pPr>
        <w:pStyle w:val="ListParagraph"/>
        <w:numPr>
          <w:ilvl w:val="0"/>
          <w:numId w:val="563"/>
        </w:numPr>
        <w:rPr/>
      </w:pPr>
      <w:r>
        <w:rPr/>
        <w:t>Reports flaws related to Personal Information to the Chief Privacy Officer (CPO);</w:t>
      </w:r>
    </w:p>
    <w:p>
      <w:pPr>
        <w:pStyle w:val="ListParagraph"/>
        <w:numPr>
          <w:ilvl w:val="0"/>
          <w:numId w:val="563"/>
        </w:numPr>
        <w:rPr/>
      </w:pPr>
      <w:r>
        <w:rPr/>
        <w:t>Receives approval for correction of privacy-related flaws from the CPO;</w:t>
      </w:r>
    </w:p>
    <w:p>
      <w:pPr>
        <w:pStyle w:val="ListParagraph"/>
        <w:numPr>
          <w:ilvl w:val="0"/>
          <w:numId w:val="563"/>
        </w:numPr>
        <w:rPr/>
      </w:pPr>
      <w:r>
        <w:rPr/>
        <w:t>Prior to installation, assesses software and firmware updates related to flaw remediation for effectiveness and consistency with terms agreed upon in the Privacy Impact Assessment (PIA);</w:t>
      </w:r>
    </w:p>
    <w:p>
      <w:pPr>
        <w:pStyle w:val="ListParagraph"/>
        <w:numPr>
          <w:ilvl w:val="0"/>
          <w:numId w:val="563"/>
        </w:numPr>
        <w:rPr/>
      </w:pPr>
      <w:r>
        <w:rPr/>
        <w:t>Installs privacy-relevant software and firmware updates within organization-defined time-periods of the release of the updates; and</w:t>
      </w:r>
    </w:p>
    <w:p>
      <w:pPr>
        <w:pStyle w:val="ListParagraph"/>
        <w:numPr>
          <w:ilvl w:val="0"/>
          <w:numId w:val="563"/>
        </w:numPr>
        <w:rPr/>
      </w:pPr>
      <w:r>
        <w:rPr/>
        <w:t>Incorporates flaw remediation of PD into the organizational configuration management process.</w:t>
      </w:r>
    </w:p>
    <w:p>
      <w:pPr>
        <w:pStyle w:val="Normal"/>
        <w:rPr/>
      </w:pPr>
      <w:r>
        <w:rPr/>
      </w:r>
    </w:p>
    <w:p>
      <w:pPr>
        <w:pStyle w:val="Normal"/>
        <w:rPr/>
      </w:pPr>
      <w:r>
        <w:rPr>
          <w:u w:val="single"/>
        </w:rPr>
        <w:t>Standard</w:t>
      </w:r>
      <w:r>
        <w:rPr/>
        <w:t>: Asset custodians and data/process owners are required to:</w:t>
      </w:r>
    </w:p>
    <w:p>
      <w:pPr>
        <w:pStyle w:val="ListParagraph"/>
        <w:numPr>
          <w:ilvl w:val="0"/>
          <w:numId w:val="584"/>
        </w:numPr>
        <w:tabs>
          <w:tab w:val="clear" w:pos="360"/>
          <w:tab w:val="clear" w:pos="720"/>
          <w:tab w:val="clear" w:pos="1080"/>
        </w:tabs>
        <w:rPr>
          <w:bCs w:val="false"/>
        </w:rPr>
      </w:pPr>
      <w:r>
        <w:rPr>
          <w:bCs w:val="false"/>
        </w:rPr>
        <w:t>Identify and correct flaws related to the collection, usage, processing, or dissemination of Personal Data (PD);</w:t>
      </w:r>
    </w:p>
    <w:p>
      <w:pPr>
        <w:pStyle w:val="ListParagraph"/>
        <w:numPr>
          <w:ilvl w:val="0"/>
          <w:numId w:val="584"/>
        </w:numPr>
        <w:tabs>
          <w:tab w:val="clear" w:pos="360"/>
          <w:tab w:val="clear" w:pos="720"/>
          <w:tab w:val="clear" w:pos="1080"/>
        </w:tabs>
        <w:rPr>
          <w:bCs w:val="false"/>
        </w:rPr>
      </w:pPr>
      <w:r>
        <w:rPr>
          <w:bCs w:val="false"/>
        </w:rPr>
        <w:t>Report flaws related to PD to NFCC’s Chief Privacy Officer (CPO);</w:t>
      </w:r>
    </w:p>
    <w:p>
      <w:pPr>
        <w:pStyle w:val="ListParagraph"/>
        <w:numPr>
          <w:ilvl w:val="0"/>
          <w:numId w:val="584"/>
        </w:numPr>
        <w:tabs>
          <w:tab w:val="clear" w:pos="360"/>
          <w:tab w:val="clear" w:pos="720"/>
          <w:tab w:val="clear" w:pos="1080"/>
        </w:tabs>
        <w:rPr>
          <w:bCs w:val="false"/>
        </w:rPr>
      </w:pPr>
      <w:r>
        <w:rPr>
          <w:bCs w:val="false"/>
        </w:rPr>
        <w:t>Receive approval for correction of privacy-related flaws from the CPO;</w:t>
      </w:r>
    </w:p>
    <w:p>
      <w:pPr>
        <w:pStyle w:val="ListParagraph"/>
        <w:numPr>
          <w:ilvl w:val="0"/>
          <w:numId w:val="584"/>
        </w:numPr>
        <w:tabs>
          <w:tab w:val="clear" w:pos="360"/>
          <w:tab w:val="clear" w:pos="720"/>
          <w:tab w:val="clear" w:pos="1080"/>
        </w:tabs>
        <w:rPr>
          <w:bCs w:val="false"/>
        </w:rPr>
      </w:pPr>
      <w:r>
        <w:rPr>
          <w:bCs w:val="false"/>
        </w:rPr>
        <w:t>Prior to installation, assess software and firmware updates related to flaw remediation for effectiveness and consistency with terms agreed upon in the privacy impact assessment;</w:t>
      </w:r>
    </w:p>
    <w:p>
      <w:pPr>
        <w:pStyle w:val="ListParagraph"/>
        <w:numPr>
          <w:ilvl w:val="0"/>
          <w:numId w:val="584"/>
        </w:numPr>
        <w:tabs>
          <w:tab w:val="clear" w:pos="360"/>
          <w:tab w:val="clear" w:pos="720"/>
          <w:tab w:val="clear" w:pos="1080"/>
        </w:tabs>
        <w:rPr>
          <w:bCs w:val="false"/>
        </w:rPr>
      </w:pPr>
      <w:r>
        <w:rPr>
          <w:bCs w:val="false"/>
        </w:rPr>
        <w:t>Install privacy-relevant software and firmware updates within an organization-defined time-period of the release of the updates; and</w:t>
      </w:r>
    </w:p>
    <w:p>
      <w:pPr>
        <w:pStyle w:val="ListParagraph"/>
        <w:numPr>
          <w:ilvl w:val="0"/>
          <w:numId w:val="584"/>
        </w:numPr>
        <w:tabs>
          <w:tab w:val="clear" w:pos="360"/>
          <w:tab w:val="clear" w:pos="720"/>
          <w:tab w:val="clear" w:pos="1080"/>
        </w:tabs>
        <w:rPr>
          <w:bCs w:val="false"/>
        </w:rPr>
      </w:pPr>
      <w:r>
        <w:rPr>
          <w:bCs w:val="false"/>
        </w:rPr>
        <w:t>Incorporate flaw remediation of PD into the organizational configuration management process.</w:t>
      </w:r>
    </w:p>
    <w:p>
      <w:pPr>
        <w:pStyle w:val="Normal"/>
        <w:rPr/>
      </w:pPr>
      <w:r>
        <w:rPr/>
      </w:r>
    </w:p>
    <w:p>
      <w:pPr>
        <w:pStyle w:val="Normal"/>
        <w:rPr/>
      </w:pPr>
      <w:r>
        <w:rPr>
          <w:u w:val="single"/>
        </w:rPr>
        <w:t>Guidelines</w:t>
      </w:r>
      <w:r>
        <w:rPr/>
        <w:t>: None</w:t>
      </w:r>
      <w:bookmarkStart w:id="2370" w:name="_Hlk505235798"/>
      <w:bookmarkEnd w:id="2370"/>
    </w:p>
    <w:p>
      <w:pPr>
        <w:pStyle w:val="Normal"/>
        <w:rPr/>
      </w:pPr>
      <w:r>
        <w:rPr/>
      </w:r>
    </w:p>
    <w:p>
      <w:pPr>
        <w:pStyle w:val="Normal"/>
        <w:rPr/>
      </w:pPr>
      <w:r>
        <w:rPr/>
      </w:r>
    </w:p>
    <w:p>
      <w:pPr>
        <w:pStyle w:val="Heading2"/>
        <w:rPr/>
      </w:pPr>
      <w:bookmarkStart w:id="2371" w:name="_Toc474075435"/>
      <w:bookmarkStart w:id="2372" w:name="_Toc474075869"/>
      <w:bookmarkStart w:id="2373" w:name="_Toc34921361"/>
      <w:r>
        <w:rPr/>
        <w:t>VPM-05: Software Patching</w:t>
      </w:r>
      <w:bookmarkEnd w:id="2371"/>
      <w:bookmarkEnd w:id="2372"/>
      <w:bookmarkEnd w:id="2373"/>
    </w:p>
    <w:p>
      <w:pPr>
        <w:pStyle w:val="Normal"/>
        <w:rPr/>
      </w:pPr>
      <w:r>
        <w:rPr>
          <w:u w:val="single"/>
        </w:rPr>
        <w:t>Control Objective</w:t>
      </w:r>
      <w:r>
        <w:rPr/>
        <w:t>: The organization:</w:t>
      </w:r>
      <w:r>
        <w:rPr>
          <w:rStyle w:val="FootnoteAnchor"/>
          <w:rStyle w:val="FootnoteAnchor"/>
          <w:rFonts w:cs="Calibri"/>
        </w:rPr>
        <w:footnoteReference w:id="656"/>
      </w:r>
      <w:r>
        <w:rPr/>
        <w:t xml:space="preserve"> </w:t>
      </w:r>
    </w:p>
    <w:p>
      <w:pPr>
        <w:pStyle w:val="ListParagraph"/>
        <w:numPr>
          <w:ilvl w:val="0"/>
          <w:numId w:val="69"/>
        </w:numPr>
        <w:rPr/>
      </w:pPr>
      <w:r>
        <w:rPr/>
        <w:t>Identifies, reports and corrects system flaws;</w:t>
      </w:r>
    </w:p>
    <w:p>
      <w:pPr>
        <w:pStyle w:val="ListParagraph"/>
        <w:numPr>
          <w:ilvl w:val="0"/>
          <w:numId w:val="69"/>
        </w:numPr>
        <w:rPr/>
      </w:pPr>
      <w:r>
        <w:rPr/>
        <w:t>Tests software updates related to flaw remediation for effectiveness and potential side effects on organizational systems before installation; and</w:t>
      </w:r>
    </w:p>
    <w:p>
      <w:pPr>
        <w:pStyle w:val="ListParagraph"/>
        <w:numPr>
          <w:ilvl w:val="0"/>
          <w:numId w:val="69"/>
        </w:numPr>
        <w:rPr/>
      </w:pPr>
      <w:r>
        <w:rPr/>
        <w:t>Incorporates flaw remediation into the organization’s configuration management process.</w:t>
      </w:r>
    </w:p>
    <w:p>
      <w:pPr>
        <w:pStyle w:val="Normal"/>
        <w:rPr/>
      </w:pPr>
      <w:r>
        <w:rPr/>
      </w:r>
    </w:p>
    <w:p>
      <w:pPr>
        <w:pStyle w:val="Normal"/>
        <w:rPr/>
      </w:pPr>
      <w:r>
        <w:rPr>
          <w:u w:val="single"/>
        </w:rPr>
        <w:t>Standard</w:t>
      </w:r>
      <w:r>
        <w:rPr/>
        <w:t>: Asset custodians are required to ensure that:</w:t>
      </w:r>
      <w:r>
        <w:rPr>
          <w:rStyle w:val="FootnoteCharacters"/>
          <w:rFonts w:cs="Calibri"/>
        </w:rPr>
        <w:t xml:space="preserve"> </w:t>
      </w:r>
    </w:p>
    <w:p>
      <w:pPr>
        <w:pStyle w:val="ListParagraph"/>
        <w:numPr>
          <w:ilvl w:val="0"/>
          <w:numId w:val="497"/>
        </w:numPr>
        <w:rPr/>
      </w:pPr>
      <w:r>
        <w:rPr/>
        <w:t>All system components and software are protected from known vulnerabilities by having the latest vendor-supplied security patches installed;</w:t>
      </w:r>
    </w:p>
    <w:p>
      <w:pPr>
        <w:pStyle w:val="ListParagraph"/>
        <w:numPr>
          <w:ilvl w:val="0"/>
          <w:numId w:val="497"/>
        </w:numPr>
        <w:rPr/>
      </w:pPr>
      <w:r>
        <w:rPr/>
        <w:t>Critical security patches are installed within thirty (30) days of the vendor’s release data; and</w:t>
      </w:r>
    </w:p>
    <w:p>
      <w:pPr>
        <w:pStyle w:val="ListParagraph"/>
        <w:numPr>
          <w:ilvl w:val="0"/>
          <w:numId w:val="497"/>
        </w:numPr>
        <w:rPr/>
      </w:pPr>
      <w:r>
        <w:rPr/>
        <w:t>Non-critical security patches are installed within ninety (90) days of the vendor’s release data.</w:t>
      </w:r>
    </w:p>
    <w:p>
      <w:pPr>
        <w:pStyle w:val="Normal"/>
        <w:rPr/>
      </w:pPr>
      <w:r>
        <w:rPr/>
      </w:r>
    </w:p>
    <w:p>
      <w:pPr>
        <w:pStyle w:val="Normal"/>
        <w:rPr/>
      </w:pPr>
      <w:r>
        <w:rPr>
          <w:u w:val="single"/>
        </w:rPr>
        <w:t>Guidelines</w:t>
      </w:r>
      <w:r>
        <w:rPr/>
        <w:t>: NFCC is allowed to apply a risk-based approach to prioritize its patch installations. For example, by prioritizing critical infrastructure (e.g., public-facing devices and systems, databases) higher than less-critical internal devices, this helps ensure high-priority systems and devices are addressed within one month and still allows for addressing less critical devices and systems within three months.</w:t>
      </w:r>
    </w:p>
    <w:p>
      <w:pPr>
        <w:pStyle w:val="Normal"/>
        <w:rPr/>
      </w:pPr>
      <w:r>
        <w:rPr/>
      </w:r>
    </w:p>
    <w:p>
      <w:pPr>
        <w:pStyle w:val="Normal"/>
        <w:rPr/>
      </w:pPr>
      <w:r>
        <w:rPr/>
        <w:t xml:space="preserve">NFCC is required to ensure it maintains its cybersecurity solutions by ensuring systems are maintained and kept updated to manufacturer's specifications. This will help ensure that existing solutions are up to date and operating properly. </w:t>
      </w:r>
    </w:p>
    <w:p>
      <w:pPr>
        <w:pStyle w:val="Normal"/>
        <w:rPr/>
      </w:pPr>
      <w:r>
        <w:rPr/>
      </w:r>
    </w:p>
    <w:p>
      <w:pPr>
        <w:pStyle w:val="Heading3"/>
        <w:rPr/>
      </w:pPr>
      <w:bookmarkStart w:id="2374" w:name="_Toc474075436"/>
      <w:bookmarkStart w:id="2375" w:name="_Toc34921362"/>
      <w:r>
        <w:rPr/>
        <w:t>VPM-05(a): Software Patching | Centralized Management</w:t>
      </w:r>
      <w:bookmarkEnd w:id="2374"/>
      <w:bookmarkEnd w:id="2375"/>
    </w:p>
    <w:p>
      <w:pPr>
        <w:pStyle w:val="Normal"/>
        <w:rPr/>
      </w:pPr>
      <w:r>
        <w:rPr>
          <w:u w:val="single"/>
        </w:rPr>
        <w:t>Control Objective</w:t>
      </w:r>
      <w:r>
        <w:rPr/>
        <w:t>: The organization centrally manages the flaw remediation process.</w:t>
      </w:r>
    </w:p>
    <w:p>
      <w:pPr>
        <w:pStyle w:val="Normal"/>
        <w:rPr/>
      </w:pPr>
      <w:r>
        <w:rPr/>
      </w:r>
    </w:p>
    <w:p>
      <w:pPr>
        <w:pStyle w:val="Normal"/>
        <w:rPr/>
      </w:pPr>
      <w:r>
        <w:rPr>
          <w:u w:val="single"/>
        </w:rPr>
        <w:t>Standard</w:t>
      </w:r>
      <w:r>
        <w:rPr/>
        <w:t xml:space="preserve">: Data/process owners and asset custodians are required to centrally manage the flaw remediation process that includes, but is not limited to the following: </w:t>
      </w:r>
    </w:p>
    <w:p>
      <w:pPr>
        <w:pStyle w:val="ListParagraph"/>
        <w:numPr>
          <w:ilvl w:val="0"/>
          <w:numId w:val="498"/>
        </w:numPr>
        <w:rPr/>
      </w:pPr>
      <w:r>
        <w:rPr/>
        <w:t xml:space="preserve">Documentation of impact; </w:t>
      </w:r>
    </w:p>
    <w:p>
      <w:pPr>
        <w:pStyle w:val="ListParagraph"/>
        <w:numPr>
          <w:ilvl w:val="0"/>
          <w:numId w:val="498"/>
        </w:numPr>
        <w:rPr/>
      </w:pPr>
      <w:r>
        <w:rPr/>
        <w:t xml:space="preserve">Documented change approval by authorized parties; </w:t>
      </w:r>
    </w:p>
    <w:p>
      <w:pPr>
        <w:pStyle w:val="ListParagraph"/>
        <w:numPr>
          <w:ilvl w:val="0"/>
          <w:numId w:val="498"/>
        </w:numPr>
        <w:rPr/>
      </w:pPr>
      <w:r>
        <w:rPr/>
        <w:t xml:space="preserve">Functionality testing to verify that the change does not adversely impact the security of the system; </w:t>
      </w:r>
    </w:p>
    <w:p>
      <w:pPr>
        <w:pStyle w:val="ListParagraph"/>
        <w:numPr>
          <w:ilvl w:val="0"/>
          <w:numId w:val="498"/>
        </w:numPr>
        <w:rPr/>
      </w:pPr>
      <w:r>
        <w:rPr/>
        <w:t xml:space="preserve">Back-out procedures; and </w:t>
      </w:r>
    </w:p>
    <w:p>
      <w:pPr>
        <w:pStyle w:val="ListParagraph"/>
        <w:numPr>
          <w:ilvl w:val="0"/>
          <w:numId w:val="498"/>
        </w:numPr>
        <w:rPr/>
      </w:pPr>
      <w:r>
        <w:rPr/>
        <w:t>Upon completion of significant change, all relevant compliance requirements must be implemented on all new or changed systems and networks and documentation updated as applicable.</w:t>
      </w:r>
    </w:p>
    <w:p>
      <w:pPr>
        <w:pStyle w:val="Normal"/>
        <w:rPr/>
      </w:pPr>
      <w:r>
        <w:rPr/>
      </w:r>
    </w:p>
    <w:p>
      <w:pPr>
        <w:pStyle w:val="Normal"/>
        <w:rPr/>
      </w:pPr>
      <w:r>
        <w:rPr>
          <w:u w:val="single"/>
        </w:rPr>
        <w:t>Guidelines</w:t>
      </w:r>
      <w:r>
        <w:rPr/>
        <w:t>: Patches should be applied to all systems, even systems that are properly air gapped. Asset custodians (e.g., system administrators) are charged with developing system-specific procedures for software patching to meet the published standard.</w:t>
      </w:r>
    </w:p>
    <w:p>
      <w:pPr>
        <w:pStyle w:val="Normal"/>
        <w:rPr/>
      </w:pPr>
      <w:r>
        <w:rPr/>
      </w:r>
    </w:p>
    <w:p>
      <w:pPr>
        <w:pStyle w:val="Normal"/>
        <w:rPr/>
      </w:pPr>
      <w:r>
        <w:rPr/>
        <w:t xml:space="preserve">Central management is the organization-wide management and implementation of flaw remediation processes. Central management includes planning, implementing, assessing, authorizing and monitoring the organization-defined, centrally managed flaw remediation security controls. Asset custodians should use the following process to help ensure patches do not compromise the security of the information resources being patched: </w:t>
      </w:r>
    </w:p>
    <w:p>
      <w:pPr>
        <w:pStyle w:val="ListParagraph"/>
        <w:numPr>
          <w:ilvl w:val="0"/>
          <w:numId w:val="70"/>
        </w:numPr>
        <w:rPr/>
      </w:pPr>
      <w:r>
        <w:rPr/>
        <w:t xml:space="preserve">Obtain the patch from a known, trusted source; </w:t>
      </w:r>
    </w:p>
    <w:p>
      <w:pPr>
        <w:pStyle w:val="ListParagraph"/>
        <w:numPr>
          <w:ilvl w:val="0"/>
          <w:numId w:val="70"/>
        </w:numPr>
        <w:rPr/>
      </w:pPr>
      <w:r>
        <w:rPr/>
        <w:t xml:space="preserve">Verify the integrity of the patch through such means as comparisons of cryptographic hashes to ensure the patch obtained is the correct, unaltered patch; </w:t>
      </w:r>
    </w:p>
    <w:p>
      <w:pPr>
        <w:pStyle w:val="ListParagraph"/>
        <w:numPr>
          <w:ilvl w:val="0"/>
          <w:numId w:val="70"/>
        </w:numPr>
        <w:rPr/>
      </w:pPr>
      <w:r>
        <w:rPr/>
        <w:t xml:space="preserve">Apply the patch to an isolated test system and verify that the patch: </w:t>
      </w:r>
    </w:p>
    <w:p>
      <w:pPr>
        <w:pStyle w:val="ListParagraph"/>
        <w:numPr>
          <w:ilvl w:val="1"/>
          <w:numId w:val="70"/>
        </w:numPr>
        <w:rPr/>
      </w:pPr>
      <w:r>
        <w:rPr/>
        <w:t xml:space="preserve">Is compatible with other software used on systems to which the patch will be applied; </w:t>
      </w:r>
    </w:p>
    <w:p>
      <w:pPr>
        <w:pStyle w:val="ListParagraph"/>
        <w:numPr>
          <w:ilvl w:val="1"/>
          <w:numId w:val="70"/>
        </w:numPr>
        <w:rPr/>
      </w:pPr>
      <w:r>
        <w:rPr/>
        <w:t xml:space="preserve">Does not alter the system's security posture in unexpected ways, such as altering log settings; and </w:t>
      </w:r>
    </w:p>
    <w:p>
      <w:pPr>
        <w:pStyle w:val="ListParagraph"/>
        <w:numPr>
          <w:ilvl w:val="1"/>
          <w:numId w:val="70"/>
        </w:numPr>
        <w:rPr/>
      </w:pPr>
      <w:r>
        <w:rPr/>
        <w:t xml:space="preserve">Corrects the pertinent vulnerability. </w:t>
      </w:r>
    </w:p>
    <w:p>
      <w:pPr>
        <w:pStyle w:val="ListParagraph"/>
        <w:numPr>
          <w:ilvl w:val="0"/>
          <w:numId w:val="70"/>
        </w:numPr>
        <w:rPr/>
      </w:pPr>
      <w:r>
        <w:rPr/>
        <w:t>Backup production systems prior to applying the patch;</w:t>
      </w:r>
    </w:p>
    <w:p>
      <w:pPr>
        <w:pStyle w:val="ListParagraph"/>
        <w:numPr>
          <w:ilvl w:val="0"/>
          <w:numId w:val="70"/>
        </w:numPr>
        <w:rPr/>
      </w:pPr>
      <w:r>
        <w:rPr/>
        <w:t>Apply the patch to production systems using secure methods and update the cryptographic checksums of key files as well as that system's software archive; and</w:t>
      </w:r>
    </w:p>
    <w:p>
      <w:pPr>
        <w:pStyle w:val="ListParagraph"/>
        <w:numPr>
          <w:ilvl w:val="0"/>
          <w:numId w:val="70"/>
        </w:numPr>
        <w:rPr/>
      </w:pPr>
      <w:r>
        <w:rPr/>
        <w:t>Create and document an audit trail of all changes.</w:t>
      </w:r>
    </w:p>
    <w:p>
      <w:pPr>
        <w:pStyle w:val="Normal"/>
        <w:rPr/>
      </w:pPr>
      <w:r>
        <w:rPr/>
      </w:r>
    </w:p>
    <w:p>
      <w:pPr>
        <w:pStyle w:val="Heading3"/>
        <w:rPr/>
      </w:pPr>
      <w:bookmarkStart w:id="2376" w:name="_Toc474075437"/>
      <w:bookmarkStart w:id="2377" w:name="_Toc34921363"/>
      <w:r>
        <w:rPr/>
        <w:t>VPM-05(b): Software Patching | Automated Remediation Status</w:t>
      </w:r>
      <w:bookmarkEnd w:id="2376"/>
      <w:bookmarkEnd w:id="2377"/>
      <w:r>
        <w:rPr/>
        <w:t xml:space="preserve"> </w:t>
      </w:r>
    </w:p>
    <w:p>
      <w:pPr>
        <w:pStyle w:val="Normal"/>
        <w:rPr/>
      </w:pPr>
      <w:r>
        <w:rPr>
          <w:u w:val="single"/>
        </w:rPr>
        <w:t>Control Objective</w:t>
      </w:r>
      <w:r>
        <w:rPr/>
        <w:t>: The organization employs automated mechanisms to determine the state of system components with regard to flaw remediation.</w:t>
      </w:r>
      <w:r>
        <w:rPr>
          <w:rStyle w:val="FootnoteAnchor"/>
          <w:rStyle w:val="FootnoteAnchor"/>
          <w:rFonts w:cs="Calibri"/>
        </w:rPr>
        <w:footnoteReference w:id="657"/>
      </w:r>
    </w:p>
    <w:p>
      <w:pPr>
        <w:pStyle w:val="Normal"/>
        <w:rPr/>
      </w:pPr>
      <w:r>
        <w:rPr/>
      </w:r>
    </w:p>
    <w:p>
      <w:pPr>
        <w:pStyle w:val="Normal"/>
        <w:rPr/>
      </w:pPr>
      <w:r>
        <w:rPr>
          <w:u w:val="single"/>
        </w:rPr>
        <w:t>Standard</w:t>
      </w:r>
      <w:r>
        <w:rPr/>
        <w:t>: Where technically feasible, NFCC shall employ automated mechanisms to determine the state of system components with regard to flaw remediation.</w:t>
      </w:r>
    </w:p>
    <w:p>
      <w:pPr>
        <w:pStyle w:val="Normal"/>
        <w:rPr/>
      </w:pPr>
      <w:r>
        <w:rPr/>
      </w:r>
    </w:p>
    <w:p>
      <w:pPr>
        <w:pStyle w:val="Normal"/>
        <w:rPr/>
      </w:pPr>
      <w:r>
        <w:rPr>
          <w:u w:val="single"/>
        </w:rPr>
        <w:t>Guidelines</w:t>
      </w:r>
      <w:r>
        <w:rPr/>
        <w:t>: None</w:t>
      </w:r>
    </w:p>
    <w:p>
      <w:pPr>
        <w:pStyle w:val="Normal"/>
        <w:tabs>
          <w:tab w:val="clear" w:pos="360"/>
          <w:tab w:val="clear" w:pos="720"/>
          <w:tab w:val="clear" w:pos="1080"/>
        </w:tabs>
        <w:jc w:val="left"/>
        <w:rPr/>
      </w:pPr>
      <w:r>
        <w:rPr/>
      </w:r>
    </w:p>
    <w:p>
      <w:pPr>
        <w:pStyle w:val="Heading3"/>
        <w:rPr/>
      </w:pPr>
      <w:bookmarkStart w:id="2378" w:name="_Toc34921364"/>
      <w:bookmarkStart w:id="2379" w:name="_Toc474075438"/>
      <w:r>
        <w:rPr/>
        <w:t>VPM-05(c): Software Patching | Time To Remediate / Benchmarks For Corrective Action</w:t>
      </w:r>
      <w:bookmarkEnd w:id="2378"/>
      <w:bookmarkEnd w:id="2379"/>
      <w:r>
        <w:rPr/>
        <w:t xml:space="preserve"> </w:t>
      </w:r>
    </w:p>
    <w:p>
      <w:pPr>
        <w:pStyle w:val="Normal"/>
        <w:rPr/>
      </w:pPr>
      <w:r>
        <w:rPr>
          <w:u w:val="single"/>
        </w:rPr>
        <w:t>Control Objective</w:t>
      </w:r>
      <w:r>
        <w:rPr/>
        <w:t>: The organization:</w:t>
      </w:r>
      <w:r>
        <w:rPr>
          <w:rStyle w:val="FootnoteAnchor"/>
          <w:rStyle w:val="FootnoteAnchor"/>
          <w:rFonts w:cs="Calibri"/>
        </w:rPr>
        <w:footnoteReference w:id="658"/>
      </w:r>
    </w:p>
    <w:p>
      <w:pPr>
        <w:pStyle w:val="ListParagraph"/>
        <w:numPr>
          <w:ilvl w:val="0"/>
          <w:numId w:val="177"/>
        </w:numPr>
        <w:rPr/>
      </w:pPr>
      <w:r>
        <w:rPr/>
        <w:t>Measures the time between flaw identification and flaw remediation; and</w:t>
      </w:r>
    </w:p>
    <w:p>
      <w:pPr>
        <w:pStyle w:val="ListParagraph"/>
        <w:numPr>
          <w:ilvl w:val="0"/>
          <w:numId w:val="177"/>
        </w:numPr>
        <w:rPr/>
      </w:pPr>
      <w:r>
        <w:rPr/>
        <w:t>Establishes metrics / benchmarks for taking corrective actions.</w:t>
      </w:r>
    </w:p>
    <w:p>
      <w:pPr>
        <w:pStyle w:val="Normal"/>
        <w:rPr/>
      </w:pPr>
      <w:r>
        <w:rPr/>
      </w:r>
    </w:p>
    <w:p>
      <w:pPr>
        <w:pStyle w:val="Normal"/>
        <w:rPr/>
      </w:pPr>
      <w:r>
        <w:rPr>
          <w:u w:val="single"/>
        </w:rPr>
        <w:t>Standard</w:t>
      </w:r>
      <w:r>
        <w:rPr/>
        <w:t>: NFCC shall:</w:t>
      </w:r>
    </w:p>
    <w:p>
      <w:pPr>
        <w:pStyle w:val="ListParagraph"/>
        <w:numPr>
          <w:ilvl w:val="0"/>
          <w:numId w:val="499"/>
        </w:numPr>
        <w:rPr/>
      </w:pPr>
      <w:r>
        <w:rPr/>
        <w:t>Remediate vulnerabilities according to the published Vulnerability &amp; Patch Management Program (VPMP); and</w:t>
      </w:r>
    </w:p>
    <w:p>
      <w:pPr>
        <w:pStyle w:val="ListParagraph"/>
        <w:numPr>
          <w:ilvl w:val="0"/>
          <w:numId w:val="499"/>
        </w:numPr>
        <w:rPr/>
      </w:pPr>
      <w:r>
        <w:rPr/>
        <w:t>Collect metrics associated with flaw remediation and provide metrics reports to key stakeholders.</w:t>
      </w:r>
    </w:p>
    <w:p>
      <w:pPr>
        <w:pStyle w:val="Normal"/>
        <w:rPr/>
      </w:pPr>
      <w:r>
        <w:rPr/>
      </w:r>
    </w:p>
    <w:p>
      <w:pPr>
        <w:pStyle w:val="Normal"/>
        <w:rPr/>
      </w:pPr>
      <w:r>
        <w:rPr>
          <w:u w:val="single"/>
        </w:rPr>
        <w:t>Guidelines</w:t>
      </w:r>
      <w:r>
        <w:rPr/>
        <w:t>: This requires NFCC to determine the current time it takes on the average to correct system flaws after such flaws have been identified and subsequently establish benchmarks (e.g., time frames) for taking corrective actions. Benchmarks can be established by type of flaw and / or severity of the potential vulnerability if the flaw can be exploited.</w:t>
      </w:r>
    </w:p>
    <w:p>
      <w:pPr>
        <w:pStyle w:val="Normal"/>
        <w:rPr/>
      </w:pPr>
      <w:r>
        <w:rPr/>
      </w:r>
    </w:p>
    <w:p>
      <w:pPr>
        <w:pStyle w:val="Heading3"/>
        <w:rPr/>
      </w:pPr>
      <w:bookmarkStart w:id="2380" w:name="_Toc23242213"/>
      <w:bookmarkStart w:id="2381" w:name="_Toc34921365"/>
      <w:r>
        <w:rPr/>
        <w:t>VPM-05(d): Software Patching | Automated Software &amp; Firmware Updates</w:t>
      </w:r>
      <w:bookmarkEnd w:id="2380"/>
      <w:bookmarkEnd w:id="2381"/>
      <w:r>
        <w:rPr/>
        <w:t xml:space="preserve"> </w:t>
      </w:r>
    </w:p>
    <w:p>
      <w:pPr>
        <w:pStyle w:val="Normal"/>
        <w:rPr>
          <w:rFonts w:cs="Calibri"/>
          <w:bCs w:val="false"/>
        </w:rPr>
      </w:pPr>
      <w:r>
        <w:rPr>
          <w:rFonts w:cs="Calibri"/>
          <w:u w:val="single"/>
        </w:rPr>
        <w:t>Control Objective</w:t>
      </w:r>
      <w:r>
        <w:rPr>
          <w:rFonts w:cs="Calibri"/>
        </w:rPr>
        <w:t>:</w:t>
      </w:r>
      <w:r>
        <w:rPr>
          <w:rFonts w:cs="Calibri"/>
          <w:bCs w:val="false"/>
        </w:rPr>
        <w:t xml:space="preserve"> The organization installs organization-defined security-relevant software and firmware updates automatically to organization-defined information system components.</w:t>
      </w:r>
      <w:r>
        <w:rPr>
          <w:rStyle w:val="FootnoteCharacters"/>
          <w:rFonts w:cs="Calibri"/>
        </w:rPr>
        <w:t xml:space="preserve"> </w:t>
      </w:r>
      <w:r>
        <w:rPr>
          <w:rStyle w:val="FootnoteAnchor"/>
          <w:rStyle w:val="FootnoteAnchor"/>
          <w:rFonts w:cs="Calibri"/>
        </w:rPr>
        <w:footnoteReference w:id="659"/>
      </w:r>
    </w:p>
    <w:p>
      <w:pPr>
        <w:pStyle w:val="Normal"/>
        <w:rPr>
          <w:rFonts w:cs="Calibri"/>
          <w:bCs w:val="false"/>
          <w:u w:val="single"/>
        </w:rPr>
      </w:pPr>
      <w:r>
        <w:rPr>
          <w:rFonts w:cs="Calibri"/>
          <w:bCs w:val="false"/>
          <w:u w:val="single"/>
        </w:rPr>
      </w:r>
    </w:p>
    <w:p>
      <w:pPr>
        <w:pStyle w:val="Normal"/>
        <w:rPr>
          <w:rFonts w:cs="Calibri"/>
          <w:bCs w:val="false"/>
        </w:rPr>
      </w:pPr>
      <w:r>
        <w:rPr>
          <w:rFonts w:cs="Calibri"/>
          <w:bCs w:val="false"/>
          <w:u w:val="single"/>
        </w:rPr>
        <w:t>Standard</w:t>
      </w:r>
      <w:r>
        <w:rPr>
          <w:rFonts w:cs="Calibri"/>
          <w:bCs w:val="false"/>
        </w:rPr>
        <w:t>: As part of NFCC’s Vulnerability &amp; Patch Management Program (VPMP), updates to software and firmware must be:</w:t>
      </w:r>
    </w:p>
    <w:p>
      <w:pPr>
        <w:pStyle w:val="ListParagraph"/>
        <w:numPr>
          <w:ilvl w:val="0"/>
          <w:numId w:val="645"/>
        </w:numPr>
        <w:rPr>
          <w:rFonts w:cs="Calibri"/>
        </w:rPr>
      </w:pPr>
      <w:r>
        <w:rPr>
          <w:rFonts w:cs="Calibri"/>
        </w:rPr>
        <w:t xml:space="preserve">A managed process by the IT department; </w:t>
      </w:r>
    </w:p>
    <w:p>
      <w:pPr>
        <w:pStyle w:val="ListParagraph"/>
        <w:numPr>
          <w:ilvl w:val="0"/>
          <w:numId w:val="645"/>
        </w:numPr>
        <w:rPr>
          <w:rFonts w:cs="Calibri"/>
        </w:rPr>
      </w:pPr>
      <w:r>
        <w:rPr>
          <w:rFonts w:cs="Calibri"/>
        </w:rPr>
        <w:t>Remediated according to published patching processes; and</w:t>
      </w:r>
    </w:p>
    <w:p>
      <w:pPr>
        <w:pStyle w:val="ListParagraph"/>
        <w:numPr>
          <w:ilvl w:val="0"/>
          <w:numId w:val="645"/>
        </w:numPr>
        <w:rPr>
          <w:rFonts w:cs="Calibri"/>
        </w:rPr>
      </w:pPr>
      <w:r>
        <w:rPr>
          <w:rFonts w:cs="Calibri"/>
        </w:rPr>
        <w:t>Automated, wherever possible.</w:t>
      </w:r>
    </w:p>
    <w:p>
      <w:pPr>
        <w:pStyle w:val="Normal"/>
        <w:rPr>
          <w:rFonts w:cs="Calibri"/>
          <w:color w:val="333399"/>
        </w:rPr>
      </w:pPr>
      <w:r>
        <w:rPr>
          <w:rFonts w:cs="Calibri"/>
          <w:color w:val="333399"/>
        </w:rPr>
      </w:r>
    </w:p>
    <w:p>
      <w:pPr>
        <w:pStyle w:val="Normal"/>
        <w:rPr>
          <w:rFonts w:cs="Calibri"/>
          <w:bCs w:val="false"/>
        </w:rPr>
      </w:pPr>
      <w:r>
        <w:rPr>
          <w:bCs w:val="false"/>
          <w:u w:val="single"/>
        </w:rPr>
        <w:t>Guidelines</w:t>
      </w:r>
      <w:r>
        <w:rPr>
          <w:bCs w:val="false"/>
        </w:rPr>
        <w:t xml:space="preserve">: </w:t>
      </w:r>
      <w:r>
        <w:rPr>
          <w:rFonts w:cs="Calibri"/>
          <w:bCs w:val="false"/>
        </w:rPr>
        <w:t>Due to information system integrity and availability concerns, organizations give careful consideration to the methodology used to carry out automatic updates. Organizations must balance the need to ensure that the updates are installed as soon as possible with the need to maintain configuration management and with any mission or operational impacts that automatic updates might impose.</w:t>
      </w:r>
    </w:p>
    <w:p>
      <w:pPr>
        <w:pStyle w:val="Normal"/>
        <w:rPr/>
      </w:pPr>
      <w:r>
        <w:rPr/>
      </w:r>
    </w:p>
    <w:p>
      <w:pPr>
        <w:pStyle w:val="Heading3"/>
        <w:rPr/>
      </w:pPr>
      <w:bookmarkStart w:id="2382" w:name="_Toc23242214"/>
      <w:bookmarkStart w:id="2383" w:name="_Toc34921366"/>
      <w:r>
        <w:rPr/>
        <w:t>VPM-05(e): Software Patching | Removal of Previous Versions</w:t>
      </w:r>
      <w:bookmarkEnd w:id="2383"/>
      <w:r>
        <w:rPr/>
        <w:t xml:space="preserve"> </w:t>
      </w:r>
      <w:bookmarkEnd w:id="2382"/>
    </w:p>
    <w:p>
      <w:pPr>
        <w:pStyle w:val="Normal"/>
        <w:rPr>
          <w:rFonts w:cs="Calibri"/>
          <w:bCs w:val="false"/>
        </w:rPr>
      </w:pPr>
      <w:r>
        <w:rPr>
          <w:rFonts w:cs="Calibri"/>
          <w:u w:val="single"/>
        </w:rPr>
        <w:t>Control Objective</w:t>
      </w:r>
      <w:r>
        <w:rPr>
          <w:rFonts w:cs="Calibri"/>
        </w:rPr>
        <w:t>:</w:t>
      </w:r>
      <w:r>
        <w:rPr>
          <w:rFonts w:cs="Calibri"/>
          <w:bCs w:val="false"/>
        </w:rPr>
        <w:t xml:space="preserve"> The organization removes organization-defined software and firmware components after updated versions have been installed.</w:t>
      </w:r>
      <w:r>
        <w:rPr>
          <w:rStyle w:val="FootnoteCharacters"/>
          <w:rFonts w:cs="Calibri"/>
        </w:rPr>
        <w:t xml:space="preserve"> </w:t>
      </w:r>
      <w:r>
        <w:rPr>
          <w:rStyle w:val="FootnoteAnchor"/>
          <w:rStyle w:val="FootnoteAnchor"/>
          <w:rFonts w:cs="Calibri"/>
        </w:rPr>
        <w:footnoteReference w:id="660"/>
      </w:r>
    </w:p>
    <w:p>
      <w:pPr>
        <w:pStyle w:val="Normal"/>
        <w:rPr>
          <w:rFonts w:cs="Calibri"/>
          <w:bCs w:val="false"/>
          <w:u w:val="single"/>
        </w:rPr>
      </w:pPr>
      <w:r>
        <w:rPr>
          <w:rFonts w:cs="Calibri"/>
          <w:bCs w:val="false"/>
          <w:u w:val="single"/>
        </w:rPr>
      </w:r>
    </w:p>
    <w:p>
      <w:pPr>
        <w:pStyle w:val="Normal"/>
        <w:rPr>
          <w:rFonts w:cs="Calibri"/>
          <w:bCs w:val="false"/>
        </w:rPr>
      </w:pPr>
      <w:r>
        <w:rPr>
          <w:rFonts w:cs="Calibri"/>
          <w:bCs w:val="false"/>
          <w:u w:val="single"/>
        </w:rPr>
        <w:t>Standard</w:t>
      </w:r>
      <w:r>
        <w:rPr>
          <w:rFonts w:cs="Calibri"/>
          <w:bCs w:val="false"/>
        </w:rPr>
        <w:t xml:space="preserve">: As part of NFCC’s Vulnerability &amp; Patch Management Program (VPMP), previous versions of software and firmware must be removed after updated versions are installed. </w:t>
      </w:r>
    </w:p>
    <w:p>
      <w:pPr>
        <w:pStyle w:val="Normal"/>
        <w:rPr>
          <w:rFonts w:cs="Calibri"/>
          <w:color w:val="333399"/>
        </w:rPr>
      </w:pPr>
      <w:r>
        <w:rPr>
          <w:rFonts w:cs="Calibri"/>
          <w:color w:val="333399"/>
        </w:rPr>
      </w:r>
    </w:p>
    <w:p>
      <w:pPr>
        <w:pStyle w:val="Normal"/>
        <w:rPr>
          <w:rFonts w:cs="Calibri"/>
          <w:bCs w:val="false"/>
        </w:rPr>
      </w:pPr>
      <w:r>
        <w:rPr>
          <w:bCs w:val="false"/>
          <w:u w:val="single"/>
        </w:rPr>
        <w:t>Guidelines</w:t>
      </w:r>
      <w:r>
        <w:rPr>
          <w:bCs w:val="false"/>
        </w:rPr>
        <w:t xml:space="preserve">: </w:t>
      </w:r>
      <w:r>
        <w:rPr>
          <w:rFonts w:cs="Calibri"/>
          <w:bCs w:val="false"/>
        </w:rPr>
        <w:t>Previous versions of software and/or firmware components that are not removed from the information system after updates have been installed may be exploited by adversaries. Some information technology products may remove older versions of software and/or firmware automatically from the information system.</w:t>
      </w:r>
      <w:bookmarkStart w:id="2384" w:name="_Hlk27580633"/>
      <w:bookmarkEnd w:id="2384"/>
    </w:p>
    <w:p>
      <w:pPr>
        <w:pStyle w:val="Normal"/>
        <w:rPr/>
      </w:pPr>
      <w:r>
        <w:rPr/>
      </w:r>
    </w:p>
    <w:p>
      <w:pPr>
        <w:pStyle w:val="Normal"/>
        <w:rPr/>
      </w:pPr>
      <w:r>
        <w:rPr/>
      </w:r>
    </w:p>
    <w:p>
      <w:pPr>
        <w:pStyle w:val="Heading2"/>
        <w:rPr/>
      </w:pPr>
      <w:bookmarkStart w:id="2385" w:name="_Toc474075439"/>
      <w:bookmarkStart w:id="2386" w:name="_Toc474075870"/>
      <w:bookmarkStart w:id="2387" w:name="_Toc34921367"/>
      <w:r>
        <w:rPr/>
        <w:t>VPM-06: Vulnerability Scanning</w:t>
      </w:r>
      <w:bookmarkEnd w:id="2385"/>
      <w:bookmarkEnd w:id="2386"/>
      <w:bookmarkEnd w:id="2387"/>
      <w:r>
        <w:rPr/>
        <w:t xml:space="preserve"> </w:t>
      </w:r>
    </w:p>
    <w:p>
      <w:pPr>
        <w:pStyle w:val="Normal"/>
        <w:rPr/>
      </w:pPr>
      <w:r>
        <w:rPr>
          <w:u w:val="single"/>
        </w:rPr>
        <w:t>Control Objective</w:t>
      </w:r>
      <w:r>
        <w:rPr/>
        <w:t>: The organization:</w:t>
      </w:r>
      <w:r>
        <w:rPr>
          <w:rStyle w:val="FootnoteCharacters"/>
          <w:rFonts w:cs="Calibri"/>
        </w:rPr>
        <w:t xml:space="preserve"> </w:t>
      </w:r>
      <w:r>
        <w:rPr>
          <w:rStyle w:val="FootnoteAnchor"/>
          <w:rStyle w:val="FootnoteAnchor"/>
          <w:rFonts w:cs="Calibri"/>
        </w:rPr>
        <w:footnoteReference w:id="661"/>
      </w:r>
    </w:p>
    <w:p>
      <w:pPr>
        <w:pStyle w:val="ListParagraph"/>
        <w:numPr>
          <w:ilvl w:val="0"/>
          <w:numId w:val="122"/>
        </w:numPr>
        <w:rPr/>
      </w:pPr>
      <w:r>
        <w:rPr/>
        <w:t>Scans for vulnerabilities in systems and hosted applications and reports when new vulnerabilities potentially affecting the system / applications are identified;</w:t>
      </w:r>
    </w:p>
    <w:p>
      <w:pPr>
        <w:pStyle w:val="ListParagraph"/>
        <w:numPr>
          <w:ilvl w:val="0"/>
          <w:numId w:val="122"/>
        </w:numPr>
        <w:rPr/>
      </w:pPr>
      <w:r>
        <w:rPr/>
        <w:t>Employs vulnerability scanning tools and techniques that promote interoperability among tools and automate parts of the vulnerability management process by using standards for:</w:t>
      </w:r>
    </w:p>
    <w:p>
      <w:pPr>
        <w:pStyle w:val="ListParagraph"/>
        <w:numPr>
          <w:ilvl w:val="1"/>
          <w:numId w:val="122"/>
        </w:numPr>
        <w:rPr/>
      </w:pPr>
      <w:r>
        <w:rPr/>
        <w:t>Enumerating platforms, software flaws and improper configurations;</w:t>
      </w:r>
    </w:p>
    <w:p>
      <w:pPr>
        <w:pStyle w:val="ListParagraph"/>
        <w:numPr>
          <w:ilvl w:val="1"/>
          <w:numId w:val="122"/>
        </w:numPr>
        <w:rPr/>
      </w:pPr>
      <w:r>
        <w:rPr/>
        <w:t>Formatting and making transparent, checklists and test procedures; and</w:t>
      </w:r>
    </w:p>
    <w:p>
      <w:pPr>
        <w:pStyle w:val="ListParagraph"/>
        <w:numPr>
          <w:ilvl w:val="1"/>
          <w:numId w:val="122"/>
        </w:numPr>
        <w:rPr/>
      </w:pPr>
      <w:r>
        <w:rPr/>
        <w:t>Measuring vulnerability impact;</w:t>
      </w:r>
    </w:p>
    <w:p>
      <w:pPr>
        <w:pStyle w:val="ListParagraph"/>
        <w:numPr>
          <w:ilvl w:val="0"/>
          <w:numId w:val="122"/>
        </w:numPr>
        <w:rPr/>
      </w:pPr>
      <w:r>
        <w:rPr/>
        <w:t>Analyzes vulnerability scan reports and results from security control assessments;</w:t>
      </w:r>
    </w:p>
    <w:p>
      <w:pPr>
        <w:pStyle w:val="ListParagraph"/>
        <w:numPr>
          <w:ilvl w:val="0"/>
          <w:numId w:val="122"/>
        </w:numPr>
        <w:rPr/>
      </w:pPr>
      <w:r>
        <w:rPr/>
        <w:t>Remediates legitimate vulnerabilities in accordance with an organizational assessment of risk; and</w:t>
      </w:r>
    </w:p>
    <w:p>
      <w:pPr>
        <w:pStyle w:val="ListParagraph"/>
        <w:numPr>
          <w:ilvl w:val="0"/>
          <w:numId w:val="122"/>
        </w:numPr>
        <w:rPr/>
      </w:pPr>
      <w:r>
        <w:rPr/>
        <w:t>Shares information obtained from the vulnerability scanning process and security control assessments with designated personnel throughout the organization to help eliminate similar vulnerabilities in other systems (e.g., systemic weaknesses or deficiencies).</w:t>
      </w:r>
    </w:p>
    <w:p>
      <w:pPr>
        <w:pStyle w:val="Normal"/>
        <w:rPr/>
      </w:pPr>
      <w:r>
        <w:rPr/>
      </w:r>
    </w:p>
    <w:p>
      <w:pPr>
        <w:pStyle w:val="Normal"/>
        <w:rPr/>
      </w:pPr>
      <w:r>
        <w:rPr>
          <w:u w:val="single"/>
        </w:rPr>
        <w:t>Standard</w:t>
      </w:r>
      <w:r>
        <w:rPr/>
        <w:t>: NFCC’s cybersecurity personnel are responsible for the following vulnerability scanning-related activities:</w:t>
      </w:r>
      <w:r>
        <w:rPr>
          <w:rStyle w:val="FootnoteCharacters"/>
          <w:rFonts w:cs="Calibri"/>
        </w:rPr>
        <w:t xml:space="preserve"> </w:t>
      </w:r>
    </w:p>
    <w:p>
      <w:pPr>
        <w:pStyle w:val="ListParagraph"/>
        <w:numPr>
          <w:ilvl w:val="0"/>
          <w:numId w:val="500"/>
        </w:numPr>
        <w:rPr/>
      </w:pPr>
      <w:r>
        <w:rPr/>
        <w:t>Perform ongoing scans for vulnerabilities in systems and hosted applications, as well as ad hoc scans when new vulnerabilities potentially affecting system(s) / application(s) are identified and reported;</w:t>
      </w:r>
    </w:p>
    <w:p>
      <w:pPr>
        <w:pStyle w:val="ListParagraph"/>
        <w:numPr>
          <w:ilvl w:val="0"/>
          <w:numId w:val="500"/>
        </w:numPr>
        <w:rPr/>
      </w:pPr>
      <w:r>
        <w:rPr/>
        <w:t>Utilize vulnerability scanning tools and techniques that promote:</w:t>
      </w:r>
    </w:p>
    <w:p>
      <w:pPr>
        <w:pStyle w:val="ListParagraph"/>
        <w:numPr>
          <w:ilvl w:val="1"/>
          <w:numId w:val="500"/>
        </w:numPr>
        <w:rPr/>
      </w:pPr>
      <w:r>
        <w:rPr/>
        <w:t>Enumerating platforms, software flaws and improper configurations;</w:t>
      </w:r>
    </w:p>
    <w:p>
      <w:pPr>
        <w:pStyle w:val="ListParagraph"/>
        <w:numPr>
          <w:ilvl w:val="1"/>
          <w:numId w:val="500"/>
        </w:numPr>
        <w:rPr/>
      </w:pPr>
      <w:r>
        <w:rPr/>
        <w:t>Formatting and making transparent, checklists and test procedures; and</w:t>
      </w:r>
    </w:p>
    <w:p>
      <w:pPr>
        <w:pStyle w:val="ListParagraph"/>
        <w:numPr>
          <w:ilvl w:val="1"/>
          <w:numId w:val="500"/>
        </w:numPr>
        <w:rPr/>
      </w:pPr>
      <w:r>
        <w:rPr/>
        <w:t>Measuring vulnerability impact;</w:t>
      </w:r>
    </w:p>
    <w:p>
      <w:pPr>
        <w:pStyle w:val="ListParagraph"/>
        <w:numPr>
          <w:ilvl w:val="0"/>
          <w:numId w:val="500"/>
        </w:numPr>
        <w:rPr/>
      </w:pPr>
      <w:r>
        <w:rPr/>
        <w:t>Analyze vulnerability scan reports and results;</w:t>
      </w:r>
    </w:p>
    <w:p>
      <w:pPr>
        <w:pStyle w:val="ListParagraph"/>
        <w:numPr>
          <w:ilvl w:val="0"/>
          <w:numId w:val="500"/>
        </w:numPr>
        <w:rPr/>
      </w:pPr>
      <w:r>
        <w:rPr/>
        <w:t>Remediate legitimate vulnerabilities in accordance with a risk-based approach; and</w:t>
      </w:r>
    </w:p>
    <w:p>
      <w:pPr>
        <w:pStyle w:val="ListParagraph"/>
        <w:numPr>
          <w:ilvl w:val="0"/>
          <w:numId w:val="500"/>
        </w:numPr>
        <w:rPr/>
      </w:pPr>
      <w:r>
        <w:rPr/>
        <w:t>Share information obtained from the vulnerability scanning process and security control assessments with designated personnel throughout NFCC to help eliminate similar vulnerabilities in other systems (e.g., systemic weaknesses or deficiencies).</w:t>
      </w:r>
    </w:p>
    <w:p>
      <w:pPr>
        <w:pStyle w:val="Normal"/>
        <w:rPr/>
      </w:pPr>
      <w:r>
        <w:rPr/>
      </w:r>
    </w:p>
    <w:p>
      <w:pPr>
        <w:pStyle w:val="Normal"/>
        <w:rPr/>
      </w:pPr>
      <w:r>
        <w:rPr>
          <w:u w:val="single"/>
        </w:rPr>
        <w:t>Guidelines</w:t>
      </w:r>
      <w:r>
        <w:rPr/>
        <w:t xml:space="preserve">: Security categorization of systems guides the frequency and comprehensiveness of vulnerability scans. The organization determines the required vulnerability scanning for all system components, ensuring that potential sources of vulnerabilities such as networked printers, scanners and copiers are not overlooked. Vulnerability analyses for custom software applications may require additional approaches such as static analysis, dynamic analysis, binary analysis or a hybrid of the three approaches. </w:t>
      </w:r>
    </w:p>
    <w:p>
      <w:pPr>
        <w:pStyle w:val="Normal"/>
        <w:rPr/>
      </w:pPr>
      <w:r>
        <w:rPr/>
      </w:r>
    </w:p>
    <w:p>
      <w:pPr>
        <w:pStyle w:val="Heading3"/>
        <w:rPr/>
      </w:pPr>
      <w:bookmarkStart w:id="2388" w:name="_Toc474075440"/>
      <w:bookmarkStart w:id="2389" w:name="_Toc34921368"/>
      <w:r>
        <w:rPr/>
        <w:t>VPM-06(a): Vulnerability Scanning | Update Tool Capability</w:t>
      </w:r>
      <w:bookmarkEnd w:id="2388"/>
      <w:bookmarkEnd w:id="2389"/>
      <w:r>
        <w:rPr/>
        <w:t xml:space="preserve"> </w:t>
      </w:r>
    </w:p>
    <w:p>
      <w:pPr>
        <w:pStyle w:val="Normal"/>
        <w:rPr/>
      </w:pPr>
      <w:r>
        <w:rPr>
          <w:u w:val="single"/>
        </w:rPr>
        <w:t>Control Objective</w:t>
      </w:r>
      <w:r>
        <w:rPr/>
        <w:t>: The organization employs vulnerability scanning tools that include the capability to automatically update the system vulnerabilities to be scanned.</w:t>
      </w:r>
      <w:r>
        <w:rPr>
          <w:rStyle w:val="FootnoteAnchor"/>
          <w:rStyle w:val="FootnoteAnchor"/>
          <w:rFonts w:cs="Calibri"/>
        </w:rPr>
        <w:footnoteReference w:id="662"/>
      </w:r>
      <w:r>
        <w:rPr/>
        <w:t xml:space="preserve"> </w:t>
      </w:r>
    </w:p>
    <w:p>
      <w:pPr>
        <w:pStyle w:val="Normal"/>
        <w:rPr/>
      </w:pPr>
      <w:r>
        <w:rPr/>
      </w:r>
    </w:p>
    <w:p>
      <w:pPr>
        <w:pStyle w:val="Normal"/>
        <w:rPr/>
      </w:pPr>
      <w:r>
        <w:rPr>
          <w:u w:val="single"/>
        </w:rPr>
        <w:t>Standard</w:t>
      </w:r>
      <w:r>
        <w:rPr/>
        <w:t>: NFCC must update the system vulnerabilities scanned:</w:t>
      </w:r>
      <w:r>
        <w:rPr>
          <w:rStyle w:val="FootnoteCharacters"/>
          <w:rFonts w:cs="Calibri"/>
        </w:rPr>
        <w:t xml:space="preserve"> </w:t>
      </w:r>
    </w:p>
    <w:p>
      <w:pPr>
        <w:pStyle w:val="ListParagraph"/>
        <w:numPr>
          <w:ilvl w:val="0"/>
          <w:numId w:val="501"/>
        </w:numPr>
        <w:rPr/>
      </w:pPr>
      <w:r>
        <w:rPr/>
        <w:t xml:space="preserve">Automatically (according to vendor settings); </w:t>
      </w:r>
    </w:p>
    <w:p>
      <w:pPr>
        <w:pStyle w:val="ListParagraph"/>
        <w:numPr>
          <w:ilvl w:val="0"/>
          <w:numId w:val="501"/>
        </w:numPr>
        <w:rPr/>
      </w:pPr>
      <w:r>
        <w:rPr/>
        <w:t>Prior to a new scan; and / or</w:t>
      </w:r>
    </w:p>
    <w:p>
      <w:pPr>
        <w:pStyle w:val="ListParagraph"/>
        <w:numPr>
          <w:ilvl w:val="0"/>
          <w:numId w:val="501"/>
        </w:numPr>
        <w:rPr/>
      </w:pPr>
      <w:r>
        <w:rPr/>
        <w:t xml:space="preserve">When new vulnerabilities are identified and reported. </w:t>
      </w:r>
    </w:p>
    <w:p>
      <w:pPr>
        <w:pStyle w:val="Normal"/>
        <w:rPr/>
      </w:pPr>
      <w:r>
        <w:rPr/>
      </w:r>
    </w:p>
    <w:p>
      <w:pPr>
        <w:pStyle w:val="Normal"/>
        <w:rPr/>
      </w:pPr>
      <w:r>
        <w:rPr>
          <w:u w:val="single"/>
        </w:rPr>
        <w:t>Guidelines</w:t>
      </w:r>
      <w:r>
        <w:rPr/>
        <w:t>: The vulnerabilities to be scanned need to be readily updated as new vulnerabilities are discovered, announced and scanning methods developed. This updating process helps to ensure that potential vulnerabilities in the system are identified and addressed as quickly as possible.</w:t>
      </w:r>
    </w:p>
    <w:p>
      <w:pPr>
        <w:pStyle w:val="Normal"/>
        <w:rPr/>
      </w:pPr>
      <w:r>
        <w:rPr/>
      </w:r>
    </w:p>
    <w:p>
      <w:pPr>
        <w:pStyle w:val="Heading3"/>
        <w:rPr/>
      </w:pPr>
      <w:bookmarkStart w:id="2390" w:name="_Toc474075442"/>
      <w:bookmarkStart w:id="2391" w:name="_Toc34921369"/>
      <w:r>
        <w:rPr/>
        <w:t>VPM-06(b): Vulnerability Scanning | Breadth / Depth of Coverage</w:t>
      </w:r>
      <w:bookmarkEnd w:id="2390"/>
      <w:bookmarkEnd w:id="2391"/>
      <w:r>
        <w:rPr/>
        <w:t xml:space="preserve"> </w:t>
      </w:r>
    </w:p>
    <w:p>
      <w:pPr>
        <w:pStyle w:val="Normal"/>
        <w:rPr/>
      </w:pPr>
      <w:r>
        <w:rPr>
          <w:u w:val="single"/>
        </w:rPr>
        <w:t>Control Objective</w:t>
      </w:r>
      <w:r>
        <w:rPr/>
        <w:t>: The organization employs vulnerability scanning procedures that can identify the breadth and depth of coverage for vulnerability scanning (e.g., system components scanned and vulnerabilities checked).</w:t>
      </w:r>
      <w:r>
        <w:rPr>
          <w:rStyle w:val="FootnoteAnchor"/>
          <w:rStyle w:val="FootnoteAnchor"/>
          <w:rFonts w:cs="Calibri"/>
          <w:bCs w:val="false"/>
        </w:rPr>
        <w:footnoteReference w:id="663"/>
      </w:r>
    </w:p>
    <w:p>
      <w:pPr>
        <w:pStyle w:val="Normal"/>
        <w:rPr/>
      </w:pPr>
      <w:r>
        <w:rPr/>
      </w:r>
    </w:p>
    <w:p>
      <w:pPr>
        <w:pStyle w:val="Normal"/>
        <w:rPr/>
      </w:pPr>
      <w:r>
        <w:rPr>
          <w:u w:val="single"/>
        </w:rPr>
        <w:t>Standard</w:t>
      </w:r>
      <w:r>
        <w:rPr/>
        <w:t>: NFCC must employ vulnerability scanning mechanisms that are capable of:</w:t>
      </w:r>
      <w:r>
        <w:rPr>
          <w:rStyle w:val="FootnoteCharacters"/>
          <w:rFonts w:cs="Calibri"/>
        </w:rPr>
        <w:t xml:space="preserve"> </w:t>
      </w:r>
    </w:p>
    <w:p>
      <w:pPr>
        <w:pStyle w:val="ListParagraph"/>
        <w:numPr>
          <w:ilvl w:val="0"/>
          <w:numId w:val="502"/>
        </w:numPr>
        <w:rPr/>
      </w:pPr>
      <w:r>
        <w:rPr/>
        <w:t>Covering the appropriate scope of assets that require scanning; and</w:t>
      </w:r>
    </w:p>
    <w:p>
      <w:pPr>
        <w:pStyle w:val="ListParagraph"/>
        <w:numPr>
          <w:ilvl w:val="0"/>
          <w:numId w:val="502"/>
        </w:numPr>
        <w:rPr/>
      </w:pPr>
      <w:r>
        <w:rPr/>
        <w:t xml:space="preserve">Being able to identify known vulnerabilities on scanned assets. </w:t>
      </w:r>
    </w:p>
    <w:p>
      <w:pPr>
        <w:pStyle w:val="Normal"/>
        <w:rPr/>
      </w:pPr>
      <w:r>
        <w:rPr/>
      </w:r>
    </w:p>
    <w:p>
      <w:pPr>
        <w:pStyle w:val="Normal"/>
        <w:rPr/>
      </w:pPr>
      <w:r>
        <w:rPr>
          <w:u w:val="single"/>
        </w:rPr>
        <w:t>Guidelines</w:t>
      </w:r>
      <w:r>
        <w:rPr/>
        <w:t>: None</w:t>
      </w:r>
    </w:p>
    <w:p>
      <w:pPr>
        <w:pStyle w:val="Normal"/>
        <w:rPr/>
      </w:pPr>
      <w:r>
        <w:rPr/>
      </w:r>
    </w:p>
    <w:p>
      <w:pPr>
        <w:pStyle w:val="Heading3"/>
        <w:rPr/>
      </w:pPr>
      <w:bookmarkStart w:id="2392" w:name="_Toc474075443"/>
      <w:bookmarkStart w:id="2393" w:name="_Toc34921370"/>
      <w:r>
        <w:rPr/>
        <w:t>VPM-06(c): Vulnerability Scanning | Privileged Access</w:t>
      </w:r>
      <w:bookmarkEnd w:id="2392"/>
      <w:bookmarkEnd w:id="2393"/>
      <w:r>
        <w:rPr/>
        <w:t xml:space="preserve"> </w:t>
      </w:r>
    </w:p>
    <w:p>
      <w:pPr>
        <w:pStyle w:val="Normal"/>
        <w:rPr/>
      </w:pPr>
      <w:r>
        <w:rPr>
          <w:u w:val="single"/>
        </w:rPr>
        <w:t>Control Objective</w:t>
      </w:r>
      <w:r>
        <w:rPr/>
        <w:t>: The organization limits selected vulnerability scanning activities to privileged users.</w:t>
      </w:r>
      <w:r>
        <w:rPr>
          <w:rStyle w:val="FootnoteAnchor"/>
          <w:rStyle w:val="FootnoteAnchor"/>
          <w:rFonts w:cs="Calibri"/>
        </w:rPr>
        <w:footnoteReference w:id="664"/>
      </w:r>
    </w:p>
    <w:p>
      <w:pPr>
        <w:pStyle w:val="Normal"/>
        <w:rPr/>
      </w:pPr>
      <w:r>
        <w:rPr/>
      </w:r>
    </w:p>
    <w:p>
      <w:pPr>
        <w:pStyle w:val="Normal"/>
        <w:rPr/>
      </w:pPr>
      <w:r>
        <w:rPr>
          <w:u w:val="single"/>
        </w:rPr>
        <w:t>Standard</w:t>
      </w:r>
      <w:r>
        <w:rPr/>
        <w:t>: Where technically feasible, systems must implement privileged access authorization for selected vulnerability scanning activities.</w:t>
      </w:r>
    </w:p>
    <w:p>
      <w:pPr>
        <w:pStyle w:val="Normal"/>
        <w:rPr/>
      </w:pPr>
      <w:r>
        <w:rPr/>
      </w:r>
    </w:p>
    <w:p>
      <w:pPr>
        <w:pStyle w:val="Normal"/>
        <w:rPr/>
      </w:pPr>
      <w:r>
        <w:rPr>
          <w:u w:val="single"/>
        </w:rPr>
        <w:t>Guidelines</w:t>
      </w:r>
      <w:r>
        <w:rPr/>
        <w:t>: In certain situations, the nature of the vulnerability scanning may be more intrusive or the system component that is the subject of the scanning may contain highly sensitive information. Privileged access authorization to selected system components facilitates more thorough vulnerability scanning and protects the sensitive nature of such scanning.</w:t>
      </w:r>
    </w:p>
    <w:p>
      <w:pPr>
        <w:pStyle w:val="Normal"/>
        <w:rPr/>
      </w:pPr>
      <w:r>
        <w:rPr/>
      </w:r>
    </w:p>
    <w:p>
      <w:pPr>
        <w:pStyle w:val="Heading3"/>
        <w:rPr/>
      </w:pPr>
      <w:bookmarkStart w:id="2394" w:name="_Toc474075444"/>
      <w:bookmarkStart w:id="2395" w:name="_Toc34921371"/>
      <w:r>
        <w:rPr/>
        <w:t>VPM-06(d): Vulnerability Scanning | Trend Analysis</w:t>
      </w:r>
      <w:bookmarkEnd w:id="2394"/>
      <w:bookmarkEnd w:id="2395"/>
      <w:r>
        <w:rPr/>
        <w:t xml:space="preserve"> </w:t>
      </w:r>
    </w:p>
    <w:p>
      <w:pPr>
        <w:pStyle w:val="Normal"/>
        <w:rPr/>
      </w:pPr>
      <w:r>
        <w:rPr>
          <w:u w:val="single"/>
        </w:rPr>
        <w:t>Control Objective</w:t>
      </w:r>
      <w:r>
        <w:rPr/>
        <w:t>: The organization employs automated mechanisms to compare the results of vulnerability scans over time to determine trends in system vulnerabilities.</w:t>
      </w:r>
      <w:r>
        <w:rPr>
          <w:rStyle w:val="FootnoteAnchor"/>
          <w:rStyle w:val="FootnoteAnchor"/>
          <w:rFonts w:cs="Calibri"/>
          <w:bCs w:val="false"/>
        </w:rPr>
        <w:footnoteReference w:id="665"/>
      </w:r>
    </w:p>
    <w:p>
      <w:pPr>
        <w:pStyle w:val="Normal"/>
        <w:rPr/>
      </w:pPr>
      <w:r>
        <w:rPr/>
      </w:r>
    </w:p>
    <w:p>
      <w:pPr>
        <w:pStyle w:val="Normal"/>
        <w:rPr/>
      </w:pPr>
      <w:r>
        <w:rPr>
          <w:u w:val="single"/>
        </w:rPr>
        <w:t>Standard</w:t>
      </w:r>
      <w:r>
        <w:rPr/>
        <w:t>: Where technically feasible, NFCC shall employ automated mechanisms to compare the results of vulnerability scans over time to determine trends in system vulnerabilities.</w:t>
      </w:r>
    </w:p>
    <w:p>
      <w:pPr>
        <w:pStyle w:val="Normal"/>
        <w:rPr/>
      </w:pPr>
      <w:r>
        <w:rPr/>
      </w:r>
    </w:p>
    <w:p>
      <w:pPr>
        <w:pStyle w:val="Normal"/>
        <w:rPr/>
      </w:pPr>
      <w:r>
        <w:rPr>
          <w:u w:val="single"/>
        </w:rPr>
        <w:t>Guidelines</w:t>
      </w:r>
      <w:r>
        <w:rPr/>
        <w:t>: None</w:t>
      </w:r>
    </w:p>
    <w:p>
      <w:pPr>
        <w:pStyle w:val="Normal"/>
        <w:rPr/>
      </w:pPr>
      <w:r>
        <w:rPr/>
      </w:r>
    </w:p>
    <w:p>
      <w:pPr>
        <w:pStyle w:val="Heading3"/>
        <w:rPr/>
      </w:pPr>
      <w:bookmarkStart w:id="2396" w:name="_Toc474075445"/>
      <w:bookmarkStart w:id="2397" w:name="_Toc34921372"/>
      <w:r>
        <w:rPr/>
        <w:t>VPM-06(e): Vulnerability Scanning | Review Historical Audit Logs</w:t>
      </w:r>
      <w:bookmarkEnd w:id="2396"/>
      <w:bookmarkEnd w:id="2397"/>
      <w:r>
        <w:rPr/>
        <w:t xml:space="preserve"> </w:t>
      </w:r>
    </w:p>
    <w:p>
      <w:pPr>
        <w:pStyle w:val="Normal"/>
        <w:rPr/>
      </w:pPr>
      <w:r>
        <w:rPr>
          <w:u w:val="single"/>
        </w:rPr>
        <w:t>Control Objective</w:t>
      </w:r>
      <w:r>
        <w:rPr/>
        <w:t>: The organization reviews historical audit logs to determine if a vulnerability identified in the system has been previously exploited.</w:t>
      </w:r>
      <w:r>
        <w:rPr>
          <w:rStyle w:val="FootnoteAnchor"/>
          <w:rStyle w:val="FootnoteAnchor"/>
          <w:rFonts w:cs="Calibri"/>
          <w:bCs w:val="false"/>
        </w:rPr>
        <w:footnoteReference w:id="666"/>
      </w:r>
    </w:p>
    <w:p>
      <w:pPr>
        <w:pStyle w:val="Normal"/>
        <w:rPr/>
      </w:pPr>
      <w:r>
        <w:rPr/>
      </w:r>
    </w:p>
    <w:p>
      <w:pPr>
        <w:pStyle w:val="Normal"/>
        <w:rPr/>
      </w:pPr>
      <w:r>
        <w:rPr>
          <w:u w:val="single"/>
        </w:rPr>
        <w:t>Standard</w:t>
      </w:r>
      <w:r>
        <w:rPr/>
        <w:t>: Where technically feasible, NFCC security personnel must review historical audit logs to:</w:t>
      </w:r>
    </w:p>
    <w:p>
      <w:pPr>
        <w:pStyle w:val="ListParagraph"/>
        <w:numPr>
          <w:ilvl w:val="0"/>
          <w:numId w:val="503"/>
        </w:numPr>
        <w:rPr/>
      </w:pPr>
      <w:r>
        <w:rPr/>
        <w:t>Verify that the activity of the regular vulnerability scanning tools is being logged; and</w:t>
      </w:r>
    </w:p>
    <w:p>
      <w:pPr>
        <w:pStyle w:val="ListParagraph"/>
        <w:numPr>
          <w:ilvl w:val="0"/>
          <w:numId w:val="503"/>
        </w:numPr>
        <w:rPr/>
      </w:pPr>
      <w:r>
        <w:rPr/>
        <w:t>Correlate attack detection events with prior vulnerability scanning results to determine whether the given exploit was used against a target known to be vulnerable.</w:t>
      </w:r>
    </w:p>
    <w:p>
      <w:pPr>
        <w:pStyle w:val="Normal"/>
        <w:rPr/>
      </w:pPr>
      <w:r>
        <w:rPr/>
      </w:r>
    </w:p>
    <w:p>
      <w:pPr>
        <w:pStyle w:val="Normal"/>
        <w:rPr/>
      </w:pPr>
      <w:r>
        <w:rPr>
          <w:u w:val="single"/>
        </w:rPr>
        <w:t>Guidelines</w:t>
      </w:r>
      <w:r>
        <w:rPr/>
        <w:t>: None</w:t>
      </w:r>
    </w:p>
    <w:p>
      <w:pPr>
        <w:pStyle w:val="Normal"/>
        <w:rPr/>
      </w:pPr>
      <w:r>
        <w:rPr/>
      </w:r>
    </w:p>
    <w:p>
      <w:pPr>
        <w:pStyle w:val="Heading3"/>
        <w:rPr/>
      </w:pPr>
      <w:bookmarkStart w:id="2398" w:name="_Toc474075446"/>
      <w:bookmarkStart w:id="2399" w:name="_Toc34921373"/>
      <w:r>
        <w:rPr/>
        <w:t>VPM-06(f): Vulnerability Scanning | External Vulnerability Assessment Scans</w:t>
      </w:r>
      <w:bookmarkEnd w:id="2398"/>
      <w:bookmarkEnd w:id="2399"/>
    </w:p>
    <w:p>
      <w:pPr>
        <w:pStyle w:val="Normal"/>
        <w:rPr/>
      </w:pPr>
      <w:r>
        <w:rPr>
          <w:u w:val="single"/>
        </w:rPr>
        <w:t>Control Objective</w:t>
      </w:r>
      <w:r>
        <w:rPr/>
        <w:t>: If required for compliance with the Payment Card Industry Data Security Standard (PCI DSS), the organization:</w:t>
      </w:r>
    </w:p>
    <w:p>
      <w:pPr>
        <w:pStyle w:val="ListParagraph"/>
        <w:numPr>
          <w:ilvl w:val="0"/>
          <w:numId w:val="123"/>
        </w:numPr>
        <w:rPr/>
      </w:pPr>
      <w:r>
        <w:rPr/>
        <w:t>Performs quarterly external vulnerability scans via an Approved Scanning Vendor (ASV), approved by the Payment Card Industry Security Standards Council (PCI SSC); and</w:t>
      </w:r>
    </w:p>
    <w:p>
      <w:pPr>
        <w:pStyle w:val="ListParagraph"/>
        <w:numPr>
          <w:ilvl w:val="0"/>
          <w:numId w:val="123"/>
        </w:numPr>
        <w:rPr>
          <w:u w:val="single"/>
        </w:rPr>
      </w:pPr>
      <w:r>
        <w:rPr/>
        <w:t>Verifies that the scan process includes rescans until passing results are obtained or all “High” vulnerabilities as defined in the PCI DSS are resolved.</w:t>
      </w:r>
    </w:p>
    <w:p>
      <w:pPr>
        <w:pStyle w:val="ListParagraph"/>
        <w:rPr/>
      </w:pPr>
      <w:r>
        <w:rPr/>
      </w:r>
    </w:p>
    <w:p>
      <w:pPr>
        <w:pStyle w:val="Normal"/>
        <w:rPr/>
      </w:pPr>
      <w:r>
        <w:rPr>
          <w:u w:val="single"/>
        </w:rPr>
        <w:t>Standard</w:t>
      </w:r>
      <w:r>
        <w:rPr/>
        <w:t>: For assets within scope for PCI DSS, NFCC is required to perform external network vulnerability scans, via an Approved Scanning Vendor (ASV), at least once every ninety (90) days or after any significant change in the network and include rescans until passing results are obtained or all “High” vulnerabilities as defined in the PCI DSS are resolved.</w:t>
      </w:r>
    </w:p>
    <w:p>
      <w:pPr>
        <w:pStyle w:val="Normal"/>
        <w:rPr/>
      </w:pPr>
      <w:r>
        <w:rPr/>
      </w:r>
    </w:p>
    <w:p>
      <w:pPr>
        <w:pStyle w:val="Normal"/>
        <w:rPr/>
      </w:pPr>
      <w:r>
        <w:rPr>
          <w:u w:val="single"/>
        </w:rPr>
        <w:t>Guidelines</w:t>
      </w:r>
      <w:r>
        <w:rPr/>
        <w:t>: Within PCI DSS, the term “significant change” includes, but is not limited to:</w:t>
      </w:r>
    </w:p>
    <w:p>
      <w:pPr>
        <w:pStyle w:val="ListParagraph"/>
        <w:numPr>
          <w:ilvl w:val="0"/>
          <w:numId w:val="133"/>
        </w:numPr>
        <w:rPr/>
      </w:pPr>
      <w:r>
        <w:rPr/>
        <w:t>Network topology changes;</w:t>
      </w:r>
    </w:p>
    <w:p>
      <w:pPr>
        <w:pStyle w:val="ListParagraph"/>
        <w:numPr>
          <w:ilvl w:val="0"/>
          <w:numId w:val="133"/>
        </w:numPr>
        <w:rPr/>
      </w:pPr>
      <w:r>
        <w:rPr/>
        <w:t>Firewall rule modifications; or</w:t>
      </w:r>
    </w:p>
    <w:p>
      <w:pPr>
        <w:pStyle w:val="ListParagraph"/>
        <w:numPr>
          <w:ilvl w:val="0"/>
          <w:numId w:val="133"/>
        </w:numPr>
        <w:rPr/>
      </w:pPr>
      <w:r>
        <w:rPr/>
        <w:t>Major product upgrades.</w:t>
      </w:r>
    </w:p>
    <w:p>
      <w:pPr>
        <w:pStyle w:val="Normal"/>
        <w:rPr/>
      </w:pPr>
      <w:r>
        <w:rPr/>
      </w:r>
    </w:p>
    <w:p>
      <w:pPr>
        <w:pStyle w:val="Heading3"/>
        <w:rPr/>
      </w:pPr>
      <w:bookmarkStart w:id="2400" w:name="_Toc474075447"/>
      <w:bookmarkStart w:id="2401" w:name="_Toc34921374"/>
      <w:r>
        <w:rPr/>
        <w:t>VPM-06(g): Vulnerability Scanning | Internal Vulnerability Assessment Scans</w:t>
      </w:r>
      <w:bookmarkEnd w:id="2401"/>
      <w:r>
        <w:rPr/>
        <w:t xml:space="preserve"> </w:t>
      </w:r>
      <w:bookmarkEnd w:id="2400"/>
    </w:p>
    <w:p>
      <w:pPr>
        <w:pStyle w:val="Normal"/>
        <w:rPr/>
      </w:pPr>
      <w:r>
        <w:rPr>
          <w:u w:val="single"/>
        </w:rPr>
        <w:t>Control Objective</w:t>
      </w:r>
      <w:r>
        <w:rPr/>
        <w:t>: If required for compliance with the Payment Card Industry Data Security Standard (PCI DSS), the organization:</w:t>
      </w:r>
      <w:r>
        <w:rPr>
          <w:rStyle w:val="FootnoteCharacters"/>
          <w:rFonts w:cs="Calibri"/>
        </w:rPr>
        <w:t xml:space="preserve"> </w:t>
      </w:r>
    </w:p>
    <w:p>
      <w:pPr>
        <w:pStyle w:val="ListParagraph"/>
        <w:numPr>
          <w:ilvl w:val="0"/>
          <w:numId w:val="124"/>
        </w:numPr>
        <w:rPr/>
      </w:pPr>
      <w:r>
        <w:rPr/>
        <w:t>Performs internal network vulnerability scans at least quarterly or after any significant change in the network (e.g., changes in network topology, firewall rule modifications or major product upgrades); and</w:t>
      </w:r>
    </w:p>
    <w:p>
      <w:pPr>
        <w:pStyle w:val="ListParagraph"/>
        <w:numPr>
          <w:ilvl w:val="0"/>
          <w:numId w:val="124"/>
        </w:numPr>
        <w:rPr/>
      </w:pPr>
      <w:r>
        <w:rPr/>
        <w:t xml:space="preserve">Verifies that the scan process includes rescans until passing results are obtained or all “High” vulnerabilities as defined in the PCI DSS are resolved. </w:t>
      </w:r>
    </w:p>
    <w:p>
      <w:pPr>
        <w:pStyle w:val="Normal"/>
        <w:rPr/>
      </w:pPr>
      <w:r>
        <w:rPr/>
      </w:r>
    </w:p>
    <w:p>
      <w:pPr>
        <w:pStyle w:val="Normal"/>
        <w:rPr/>
      </w:pPr>
      <w:r>
        <w:rPr>
          <w:u w:val="single"/>
        </w:rPr>
        <w:t>Standard</w:t>
      </w:r>
      <w:r>
        <w:rPr/>
        <w:t>: For assets within scope for PCI DSS, NFCC is required to perform internal network vulnerability scans at least once every ninety (90) days or after any significant change in the network and include rescans until passing results are obtained or all “High” vulnerabilities as defined in the PCI DSS are resolved.</w:t>
      </w:r>
    </w:p>
    <w:p>
      <w:pPr>
        <w:pStyle w:val="Normal"/>
        <w:rPr/>
      </w:pPr>
      <w:r>
        <w:rPr/>
      </w:r>
    </w:p>
    <w:p>
      <w:pPr>
        <w:pStyle w:val="Normal"/>
        <w:rPr/>
      </w:pPr>
      <w:r>
        <w:rPr>
          <w:u w:val="single"/>
        </w:rPr>
        <w:t>Guidelines</w:t>
      </w:r>
      <w:r>
        <w:rPr/>
        <w:t>: Within PCI DSS, the term “significant change” includes, but is not limited to:</w:t>
      </w:r>
    </w:p>
    <w:p>
      <w:pPr>
        <w:pStyle w:val="ListParagraph"/>
        <w:numPr>
          <w:ilvl w:val="0"/>
          <w:numId w:val="133"/>
        </w:numPr>
        <w:rPr/>
      </w:pPr>
      <w:r>
        <w:rPr/>
        <w:t>Network topology changes;</w:t>
      </w:r>
    </w:p>
    <w:p>
      <w:pPr>
        <w:pStyle w:val="ListParagraph"/>
        <w:numPr>
          <w:ilvl w:val="0"/>
          <w:numId w:val="133"/>
        </w:numPr>
        <w:rPr/>
      </w:pPr>
      <w:r>
        <w:rPr/>
        <w:t>Firewall rule modifications; or</w:t>
      </w:r>
    </w:p>
    <w:p>
      <w:pPr>
        <w:pStyle w:val="ListParagraph"/>
        <w:numPr>
          <w:ilvl w:val="0"/>
          <w:numId w:val="133"/>
        </w:numPr>
        <w:rPr/>
      </w:pPr>
      <w:r>
        <w:rPr/>
        <w:t>Major product upgrades.</w:t>
      </w:r>
    </w:p>
    <w:p>
      <w:pPr>
        <w:pStyle w:val="Normal"/>
        <w:rPr/>
      </w:pPr>
      <w:r>
        <w:rPr/>
      </w:r>
    </w:p>
    <w:p>
      <w:pPr>
        <w:pStyle w:val="Heading3"/>
        <w:rPr/>
      </w:pPr>
      <w:bookmarkStart w:id="2402" w:name="_Toc34921375"/>
      <w:r>
        <w:rPr/>
        <w:t xml:space="preserve">VPM-06(h): Vulnerability Scanning | </w:t>
      </w:r>
      <w:bookmarkStart w:id="2403" w:name="_Toc23241689"/>
      <w:r>
        <w:rPr/>
        <w:t>Acceptable Discoverable Information</w:t>
      </w:r>
      <w:bookmarkEnd w:id="2402"/>
      <w:bookmarkEnd w:id="2403"/>
      <w:r>
        <w:rPr/>
        <w:t xml:space="preserve">  </w:t>
      </w:r>
    </w:p>
    <w:p>
      <w:pPr>
        <w:pStyle w:val="Normal"/>
        <w:rPr/>
      </w:pPr>
      <w:r>
        <w:rPr>
          <w:rFonts w:cs="Calibri"/>
          <w:u w:val="single"/>
        </w:rPr>
        <w:t>Control Objective</w:t>
      </w:r>
      <w:r>
        <w:rPr>
          <w:rFonts w:cs="Calibri"/>
        </w:rPr>
        <w:t xml:space="preserve">: </w:t>
      </w:r>
      <w:r>
        <w:rPr/>
        <w:t>The organization determines what information about the information system is discoverable by adversaries and subsequently takes defined corrective actions.</w:t>
      </w:r>
      <w:r>
        <w:rPr>
          <w:rStyle w:val="FootnoteCharacters"/>
          <w:rFonts w:cs="Calibri"/>
          <w:bCs w:val="false"/>
        </w:rPr>
        <w:t xml:space="preserve"> </w:t>
      </w:r>
      <w:r>
        <w:rPr>
          <w:rStyle w:val="FootnoteAnchor"/>
          <w:rStyle w:val="FootnoteAnchor"/>
          <w:rFonts w:cs="Calibri"/>
          <w:bCs w:val="false"/>
        </w:rPr>
        <w:footnoteReference w:id="667"/>
      </w:r>
      <w:r>
        <w:rPr/>
        <w:t xml:space="preserve"> </w:t>
      </w:r>
    </w:p>
    <w:p>
      <w:pPr>
        <w:pStyle w:val="Normal"/>
        <w:rPr>
          <w:rFonts w:cs="Calibri"/>
        </w:rPr>
      </w:pPr>
      <w:r>
        <w:rPr>
          <w:rFonts w:cs="Calibri"/>
        </w:rPr>
      </w:r>
    </w:p>
    <w:p>
      <w:pPr>
        <w:pStyle w:val="Normal"/>
        <w:rPr>
          <w:rFonts w:cs="Calibri"/>
        </w:rPr>
      </w:pPr>
      <w:r>
        <w:rPr>
          <w:rFonts w:cs="Calibri"/>
          <w:u w:val="single"/>
        </w:rPr>
        <w:t>Standard</w:t>
      </w:r>
      <w:r>
        <w:rPr>
          <w:rFonts w:cs="Calibri"/>
        </w:rPr>
        <w:t>: NFCC must:</w:t>
      </w:r>
      <w:r>
        <w:rPr>
          <w:rStyle w:val="FootnoteCharacters"/>
          <w:rFonts w:cs="Calibri"/>
        </w:rPr>
        <w:t xml:space="preserve"> </w:t>
      </w:r>
    </w:p>
    <w:p>
      <w:pPr>
        <w:pStyle w:val="Normal"/>
        <w:numPr>
          <w:ilvl w:val="0"/>
          <w:numId w:val="598"/>
        </w:numPr>
        <w:tabs>
          <w:tab w:val="clear" w:pos="360"/>
          <w:tab w:val="clear" w:pos="720"/>
          <w:tab w:val="clear" w:pos="1080"/>
        </w:tabs>
        <w:rPr>
          <w:rFonts w:cs="Calibri"/>
        </w:rPr>
      </w:pPr>
      <w:r>
        <w:rPr>
          <w:rFonts w:cs="Calibri"/>
        </w:rPr>
        <w:t xml:space="preserve">Define what information is acceptable for an external vulnerability scanner to identify (e.g., OS, system name, internal IP address, etc.); </w:t>
      </w:r>
    </w:p>
    <w:p>
      <w:pPr>
        <w:pStyle w:val="Normal"/>
        <w:numPr>
          <w:ilvl w:val="0"/>
          <w:numId w:val="598"/>
        </w:numPr>
        <w:tabs>
          <w:tab w:val="clear" w:pos="360"/>
          <w:tab w:val="clear" w:pos="720"/>
          <w:tab w:val="clear" w:pos="1080"/>
        </w:tabs>
        <w:rPr>
          <w:rFonts w:cs="Calibri"/>
        </w:rPr>
      </w:pPr>
      <w:r>
        <w:rPr>
          <w:rFonts w:cs="Calibri"/>
        </w:rPr>
        <w:t>Review external vulnerability scans for instances that contain unacceptable information; and</w:t>
      </w:r>
    </w:p>
    <w:p>
      <w:pPr>
        <w:pStyle w:val="Normal"/>
        <w:numPr>
          <w:ilvl w:val="0"/>
          <w:numId w:val="598"/>
        </w:numPr>
        <w:tabs>
          <w:tab w:val="clear" w:pos="360"/>
          <w:tab w:val="clear" w:pos="720"/>
          <w:tab w:val="clear" w:pos="1080"/>
        </w:tabs>
        <w:rPr>
          <w:rFonts w:cs="Calibri"/>
        </w:rPr>
      </w:pPr>
      <w:r>
        <w:rPr>
          <w:rFonts w:cs="Calibri"/>
        </w:rPr>
        <w:t xml:space="preserve">In accordance with NFCC’s existing vulnerability remediation process, assign remediation efforts to asset custodians to expeditiously alter the affected system(s) configurations to remediation the information leakage issue. </w:t>
      </w:r>
    </w:p>
    <w:p>
      <w:pPr>
        <w:pStyle w:val="Normal"/>
        <w:rPr>
          <w:rFonts w:cs="Calibri"/>
        </w:rPr>
      </w:pPr>
      <w:r>
        <w:rPr>
          <w:rFonts w:cs="Calibri"/>
        </w:rPr>
      </w:r>
    </w:p>
    <w:p>
      <w:pPr>
        <w:pStyle w:val="Normal"/>
        <w:rPr>
          <w:rFonts w:cs="Calibri"/>
        </w:rPr>
      </w:pPr>
      <w:r>
        <w:rPr>
          <w:rFonts w:cs="Calibri"/>
          <w:u w:val="single"/>
        </w:rPr>
        <w:t>Guidelines</w:t>
      </w:r>
      <w:r>
        <w:rPr>
          <w:rFonts w:cs="Calibri"/>
        </w:rPr>
        <w:t xml:space="preserve">: </w:t>
      </w:r>
      <w:r>
        <w:rPr/>
        <w:t>Discoverable information includes information that adversaries could obtain without directly compromising or breaching the information system, for example, by collecting information the system is exposing or by conducting extensive searches of the web. Corrective actions can include, for example, notifying appropriate organizational personnel, removing designated information or changing the information system to make designated information less relevant or attractive to adversaries.</w:t>
      </w:r>
    </w:p>
    <w:p>
      <w:pPr>
        <w:pStyle w:val="Normal"/>
        <w:rPr/>
      </w:pPr>
      <w:r>
        <w:rPr/>
      </w:r>
    </w:p>
    <w:p>
      <w:pPr>
        <w:pStyle w:val="Heading3"/>
        <w:rPr/>
      </w:pPr>
      <w:bookmarkStart w:id="2404" w:name="_Toc34921376"/>
      <w:r>
        <w:rPr/>
        <w:t>VPM-06(i): Vulnerability Scanning | Correlate Scanning Information</w:t>
      </w:r>
      <w:bookmarkEnd w:id="2404"/>
      <w:r>
        <w:rPr/>
        <w:t xml:space="preserve">  </w:t>
      </w:r>
    </w:p>
    <w:p>
      <w:pPr>
        <w:pStyle w:val="Normal"/>
        <w:rPr/>
      </w:pPr>
      <w:r>
        <w:rPr>
          <w:rFonts w:cs="Calibri"/>
          <w:u w:val="single"/>
        </w:rPr>
        <w:t>Control Objective</w:t>
      </w:r>
      <w:r>
        <w:rPr>
          <w:rFonts w:cs="Calibri"/>
        </w:rPr>
        <w:t xml:space="preserve">: </w:t>
      </w:r>
      <w:r>
        <w:rPr/>
        <w:t>The organization correlates the output from vulnerability scanning tools to determine the presence of multi-vulnerability/multi-hop attack vectors.</w:t>
      </w:r>
      <w:r>
        <w:rPr>
          <w:rStyle w:val="FootnoteCharacters"/>
          <w:rFonts w:cs="Calibri"/>
          <w:bCs w:val="false"/>
        </w:rPr>
        <w:t xml:space="preserve"> </w:t>
      </w:r>
      <w:r>
        <w:rPr>
          <w:rStyle w:val="FootnoteAnchor"/>
          <w:rStyle w:val="FootnoteAnchor"/>
          <w:rFonts w:cs="Calibri"/>
          <w:bCs w:val="false"/>
        </w:rPr>
        <w:footnoteReference w:id="668"/>
      </w:r>
    </w:p>
    <w:p>
      <w:pPr>
        <w:pStyle w:val="Normal"/>
        <w:rPr>
          <w:rFonts w:cs="Calibri"/>
        </w:rPr>
      </w:pPr>
      <w:r>
        <w:rPr>
          <w:rFonts w:cs="Calibri"/>
        </w:rPr>
      </w:r>
    </w:p>
    <w:p>
      <w:pPr>
        <w:pStyle w:val="Normal"/>
        <w:rPr/>
      </w:pPr>
      <w:r>
        <w:rPr>
          <w:rFonts w:cs="Calibri"/>
          <w:bCs w:val="false"/>
          <w:u w:val="single"/>
        </w:rPr>
        <w:t>Standard</w:t>
      </w:r>
      <w:r>
        <w:rPr>
          <w:rFonts w:cs="Calibri"/>
          <w:bCs w:val="false"/>
        </w:rPr>
        <w:t>:</w:t>
      </w:r>
      <w:r>
        <w:rPr>
          <w:rFonts w:cs="Calibri"/>
        </w:rPr>
        <w:t xml:space="preserve"> NFCC security personnel are required to perform “threat hunting” actions to correlate vulnerability scanning results to determine </w:t>
      </w:r>
      <w:r>
        <w:rPr/>
        <w:t>the presence of multi-vulnerability/multi-hop attack vectors.</w:t>
      </w:r>
    </w:p>
    <w:p>
      <w:pPr>
        <w:pStyle w:val="Normal"/>
        <w:rPr>
          <w:rFonts w:cs="Calibri"/>
        </w:rPr>
      </w:pPr>
      <w:r>
        <w:rPr>
          <w:rFonts w:cs="Calibri"/>
        </w:rPr>
      </w:r>
    </w:p>
    <w:p>
      <w:pPr>
        <w:pStyle w:val="Normal"/>
        <w:rPr>
          <w:rFonts w:cs="Calibri"/>
        </w:rPr>
      </w:pPr>
      <w:r>
        <w:rPr>
          <w:rFonts w:cs="Calibri"/>
          <w:u w:val="single"/>
        </w:rPr>
        <w:t>Guidelines</w:t>
      </w:r>
      <w:r>
        <w:rPr>
          <w:rFonts w:cs="Calibri"/>
        </w:rPr>
        <w:t>: None</w:t>
      </w:r>
      <w:bookmarkStart w:id="2405" w:name="_Hlk27580657"/>
      <w:bookmarkEnd w:id="2405"/>
    </w:p>
    <w:p>
      <w:pPr>
        <w:pStyle w:val="Normal"/>
        <w:rPr/>
      </w:pPr>
      <w:r>
        <w:rPr/>
      </w:r>
    </w:p>
    <w:p>
      <w:pPr>
        <w:pStyle w:val="Normal"/>
        <w:rPr/>
      </w:pPr>
      <w:r>
        <w:rPr/>
      </w:r>
    </w:p>
    <w:p>
      <w:pPr>
        <w:pStyle w:val="Heading2"/>
        <w:rPr/>
      </w:pPr>
      <w:bookmarkStart w:id="2406" w:name="_Toc474075448"/>
      <w:bookmarkStart w:id="2407" w:name="_Toc474075871"/>
      <w:bookmarkStart w:id="2408" w:name="_Toc34921377"/>
      <w:r>
        <w:rPr/>
        <w:t>VPM-07: Penetration Testing</w:t>
      </w:r>
      <w:bookmarkEnd w:id="2406"/>
      <w:bookmarkEnd w:id="2407"/>
      <w:bookmarkEnd w:id="2408"/>
      <w:r>
        <w:rPr/>
        <w:t xml:space="preserve"> </w:t>
      </w:r>
    </w:p>
    <w:p>
      <w:pPr>
        <w:pStyle w:val="Normal"/>
        <w:rPr/>
      </w:pPr>
      <w:r>
        <w:rPr>
          <w:u w:val="single"/>
        </w:rPr>
        <w:t>Control Objective</w:t>
      </w:r>
      <w:r>
        <w:rPr/>
        <w:t>: The organization conducts penetration testing on systems and applications.</w:t>
      </w:r>
      <w:r>
        <w:rPr>
          <w:rStyle w:val="FootnoteCharacters"/>
          <w:rFonts w:cs="Calibri"/>
          <w:bCs w:val="false"/>
        </w:rPr>
        <w:t xml:space="preserve"> </w:t>
      </w:r>
      <w:r>
        <w:rPr>
          <w:rStyle w:val="FootnoteAnchor"/>
          <w:rStyle w:val="FootnoteAnchor"/>
          <w:rFonts w:cs="Calibri"/>
          <w:bCs w:val="false"/>
        </w:rPr>
        <w:footnoteReference w:id="669"/>
      </w:r>
      <w:r>
        <w:rPr>
          <w:rStyle w:val="FootnoteCharacters"/>
          <w:rFonts w:cs="Calibri"/>
        </w:rPr>
        <w:t xml:space="preserve"> </w:t>
      </w:r>
    </w:p>
    <w:p>
      <w:pPr>
        <w:pStyle w:val="Normal"/>
        <w:rPr/>
      </w:pPr>
      <w:r>
        <w:rPr/>
      </w:r>
    </w:p>
    <w:p>
      <w:pPr>
        <w:pStyle w:val="Normal"/>
        <w:rPr/>
      </w:pPr>
      <w:r>
        <w:rPr>
          <w:u w:val="single"/>
        </w:rPr>
        <w:t>Standard</w:t>
      </w:r>
      <w:r>
        <w:rPr/>
        <w:t>: NFCC shall perform external and internal penetration testing that includes the following:</w:t>
      </w:r>
    </w:p>
    <w:p>
      <w:pPr>
        <w:pStyle w:val="ListParagraph"/>
        <w:numPr>
          <w:ilvl w:val="0"/>
          <w:numId w:val="504"/>
        </w:numPr>
        <w:rPr/>
      </w:pPr>
      <w:r>
        <w:rPr/>
        <w:t>Is based on industry-accepted penetration testing approaches (e.g., NIST SP800-115);</w:t>
      </w:r>
    </w:p>
    <w:p>
      <w:pPr>
        <w:pStyle w:val="ListParagraph"/>
        <w:numPr>
          <w:ilvl w:val="0"/>
          <w:numId w:val="504"/>
        </w:numPr>
        <w:rPr/>
      </w:pPr>
      <w:r>
        <w:rPr/>
        <w:t>Coverage for the entire network perimeter and critical systems;</w:t>
      </w:r>
    </w:p>
    <w:p>
      <w:pPr>
        <w:pStyle w:val="ListParagraph"/>
        <w:numPr>
          <w:ilvl w:val="0"/>
          <w:numId w:val="504"/>
        </w:numPr>
        <w:rPr/>
      </w:pPr>
      <w:r>
        <w:rPr/>
        <w:t>Testing from both inside and outside the network;</w:t>
      </w:r>
    </w:p>
    <w:p>
      <w:pPr>
        <w:pStyle w:val="ListParagraph"/>
        <w:numPr>
          <w:ilvl w:val="0"/>
          <w:numId w:val="504"/>
        </w:numPr>
        <w:rPr/>
      </w:pPr>
      <w:r>
        <w:rPr/>
        <w:t>Testing to validate any segmentation and scope-reduction controls;</w:t>
      </w:r>
    </w:p>
    <w:p>
      <w:pPr>
        <w:pStyle w:val="ListParagraph"/>
        <w:numPr>
          <w:ilvl w:val="0"/>
          <w:numId w:val="504"/>
        </w:numPr>
        <w:rPr/>
      </w:pPr>
      <w:r>
        <w:rPr/>
        <w:t>Defines network-layer penetration tests to include components that support network functions as well as operating systems;</w:t>
      </w:r>
    </w:p>
    <w:p>
      <w:pPr>
        <w:pStyle w:val="ListParagraph"/>
        <w:numPr>
          <w:ilvl w:val="0"/>
          <w:numId w:val="504"/>
        </w:numPr>
        <w:rPr/>
      </w:pPr>
      <w:r>
        <w:rPr/>
        <w:t xml:space="preserve">Reviews threats and vulnerabilities experienced in the last twelve (12) months; </w:t>
      </w:r>
    </w:p>
    <w:p>
      <w:pPr>
        <w:pStyle w:val="ListParagraph"/>
        <w:numPr>
          <w:ilvl w:val="0"/>
          <w:numId w:val="504"/>
        </w:numPr>
        <w:rPr/>
      </w:pPr>
      <w:r>
        <w:rPr/>
        <w:t>Specifies retention of penetration testing results and remediation activities results;</w:t>
      </w:r>
    </w:p>
    <w:p>
      <w:pPr>
        <w:pStyle w:val="ListParagraph"/>
        <w:numPr>
          <w:ilvl w:val="0"/>
          <w:numId w:val="504"/>
        </w:numPr>
        <w:rPr/>
      </w:pPr>
      <w:r>
        <w:rPr/>
        <w:t>Internal and external testing that occurs at least annually and after any significant infrastructure or application upgrade or modification (such as an operating system upgrade, a sub-network added to the environment or a web server added to the environment); and</w:t>
      </w:r>
    </w:p>
    <w:p>
      <w:pPr>
        <w:pStyle w:val="ListParagraph"/>
        <w:numPr>
          <w:ilvl w:val="0"/>
          <w:numId w:val="504"/>
        </w:numPr>
        <w:rPr/>
      </w:pPr>
      <w:r>
        <w:rPr/>
        <w:t>Exploitable vulnerabilities found during penetration testing are corrected and testing is repeated to verify the corrections.</w:t>
      </w:r>
    </w:p>
    <w:p>
      <w:pPr>
        <w:pStyle w:val="ListParagraph"/>
        <w:numPr>
          <w:ilvl w:val="1"/>
          <w:numId w:val="504"/>
        </w:numPr>
        <w:rPr/>
      </w:pPr>
      <w:r>
        <w:rPr/>
        <w:t>If segmentation is used to isolate sensitive enclaves from other networks, penetration tests must be performed at least annually and after any changes to segmentation controls / methods to verify that the segmentation methods are operational and effective and isolate all out-of-scope systems from in-scope systems.</w:t>
      </w:r>
      <w:r>
        <w:rPr>
          <w:rStyle w:val="FootnoteCharacters"/>
          <w:rFonts w:cs="Calibri"/>
        </w:rPr>
        <w:t xml:space="preserve"> </w:t>
      </w:r>
    </w:p>
    <w:p>
      <w:pPr>
        <w:pStyle w:val="Normal"/>
        <w:rPr/>
      </w:pPr>
      <w:r>
        <w:rPr/>
      </w:r>
    </w:p>
    <w:p>
      <w:pPr>
        <w:pStyle w:val="Normal"/>
        <w:rPr/>
      </w:pPr>
      <w:r>
        <w:rPr>
          <w:u w:val="single"/>
        </w:rPr>
        <w:t>Guidelines</w:t>
      </w:r>
      <w:r>
        <w:rPr/>
        <w:t xml:space="preserve">: The testing methods must be approved by NFCC. A standard method for penetration testing includes: </w:t>
      </w:r>
    </w:p>
    <w:p>
      <w:pPr>
        <w:pStyle w:val="ListParagraph"/>
        <w:numPr>
          <w:ilvl w:val="0"/>
          <w:numId w:val="125"/>
        </w:numPr>
        <w:rPr/>
      </w:pPr>
      <w:r>
        <w:rPr/>
        <w:t xml:space="preserve">Pretest analysis based on full knowledge of the target system; </w:t>
      </w:r>
    </w:p>
    <w:p>
      <w:pPr>
        <w:pStyle w:val="ListParagraph"/>
        <w:numPr>
          <w:ilvl w:val="0"/>
          <w:numId w:val="125"/>
        </w:numPr>
        <w:rPr/>
      </w:pPr>
      <w:r>
        <w:rPr/>
        <w:t xml:space="preserve">Pretest identification of potential vulnerabilities based on pretest analysis; and </w:t>
      </w:r>
    </w:p>
    <w:p>
      <w:pPr>
        <w:pStyle w:val="ListParagraph"/>
        <w:numPr>
          <w:ilvl w:val="0"/>
          <w:numId w:val="125"/>
        </w:numPr>
        <w:rPr/>
      </w:pPr>
      <w:r>
        <w:rPr/>
        <w:t>Testing designed to determine exploitability of identified vulnerabilities.</w:t>
      </w:r>
    </w:p>
    <w:p>
      <w:pPr>
        <w:pStyle w:val="Normal"/>
        <w:rPr/>
      </w:pPr>
      <w:r>
        <w:rPr/>
      </w:r>
    </w:p>
    <w:p>
      <w:pPr>
        <w:pStyle w:val="Normal"/>
        <w:rPr/>
      </w:pPr>
      <w:r>
        <w:rPr/>
        <w:t>NFCC risk assessments guide decisions on the level of independence required for personnel conducting penetration testing.</w:t>
      </w:r>
    </w:p>
    <w:p>
      <w:pPr>
        <w:pStyle w:val="Normal"/>
        <w:rPr/>
      </w:pPr>
      <w:r>
        <w:rPr/>
      </w:r>
    </w:p>
    <w:p>
      <w:pPr>
        <w:pStyle w:val="Heading3"/>
        <w:rPr/>
      </w:pPr>
      <w:bookmarkStart w:id="2409" w:name="_Toc474075449"/>
      <w:bookmarkStart w:id="2410" w:name="_Toc34921378"/>
      <w:r>
        <w:rPr/>
        <w:t>VPM-07(a): Penetration Testing | Independent Penetration Agent or Team</w:t>
      </w:r>
      <w:bookmarkEnd w:id="2409"/>
      <w:bookmarkEnd w:id="2410"/>
    </w:p>
    <w:p>
      <w:pPr>
        <w:pStyle w:val="Normal"/>
        <w:rPr/>
      </w:pPr>
      <w:r>
        <w:rPr>
          <w:u w:val="single"/>
        </w:rPr>
        <w:t>Control Objective</w:t>
      </w:r>
      <w:r>
        <w:rPr/>
        <w:t>: The organization employs an independent penetration agent or penetration team to perform penetration testing.</w:t>
      </w:r>
      <w:r>
        <w:rPr>
          <w:rStyle w:val="FootnoteAnchor"/>
          <w:rStyle w:val="FootnoteAnchor"/>
          <w:rFonts w:cs="Calibri"/>
        </w:rPr>
        <w:footnoteReference w:id="670"/>
      </w:r>
    </w:p>
    <w:p>
      <w:pPr>
        <w:pStyle w:val="Normal"/>
        <w:rPr/>
      </w:pPr>
      <w:r>
        <w:rPr/>
      </w:r>
    </w:p>
    <w:p>
      <w:pPr>
        <w:pStyle w:val="Normal"/>
        <w:rPr/>
      </w:pPr>
      <w:r>
        <w:rPr>
          <w:u w:val="single"/>
        </w:rPr>
        <w:t>Standard</w:t>
      </w:r>
      <w:r>
        <w:rPr/>
        <w:t>: The Chief Information Security Officer (CISO) and his / her designated representatives are authorized to contract for independent penetration agents or a penetration team to perform penetration testing on systems or system components.</w:t>
      </w:r>
    </w:p>
    <w:p>
      <w:pPr>
        <w:pStyle w:val="Normal"/>
        <w:rPr/>
      </w:pPr>
      <w:r>
        <w:rPr/>
      </w:r>
    </w:p>
    <w:p>
      <w:pPr>
        <w:pStyle w:val="Normal"/>
        <w:rPr/>
      </w:pPr>
      <w:r>
        <w:rPr>
          <w:u w:val="single"/>
        </w:rPr>
        <w:t>Guidelines</w:t>
      </w:r>
      <w:r>
        <w:rPr/>
        <w:t xml:space="preserve">: Independent penetration agents or teams are individuals or groups who conduct impartial penetration testing of organizational systems. Impartiality implies that penetration agents or teams are free from any perceived or actual conflicts of interest with regard to the development, operation or management of the systems that are the targets of the penetration testing. </w:t>
      </w:r>
    </w:p>
    <w:p>
      <w:pPr>
        <w:pStyle w:val="Normal"/>
        <w:rPr/>
      </w:pPr>
      <w:r>
        <w:rPr/>
      </w:r>
    </w:p>
    <w:p>
      <w:pPr>
        <w:pStyle w:val="Normal"/>
        <w:rPr/>
      </w:pPr>
      <w:r>
        <w:rPr/>
      </w:r>
    </w:p>
    <w:p>
      <w:pPr>
        <w:pStyle w:val="Heading2"/>
        <w:rPr/>
      </w:pPr>
      <w:bookmarkStart w:id="2411" w:name="_Toc474075451"/>
      <w:bookmarkStart w:id="2412" w:name="_Toc474075872"/>
      <w:bookmarkStart w:id="2413" w:name="_Toc34921379"/>
      <w:r>
        <w:rPr/>
        <w:t>VPM-08: Technical Surveillance Countermeasures Security</w:t>
      </w:r>
      <w:bookmarkEnd w:id="2411"/>
      <w:bookmarkEnd w:id="2412"/>
      <w:bookmarkEnd w:id="2413"/>
      <w:r>
        <w:rPr/>
        <w:t xml:space="preserve"> </w:t>
      </w:r>
    </w:p>
    <w:p>
      <w:pPr>
        <w:pStyle w:val="Normal"/>
        <w:rPr/>
      </w:pPr>
      <w:r>
        <w:rPr>
          <w:u w:val="single"/>
        </w:rPr>
        <w:t>Control Objective</w:t>
      </w:r>
      <w:r>
        <w:rPr/>
        <w:t>: The organization employs a technical surveillance countermeasures survey.</w:t>
      </w:r>
      <w:r>
        <w:rPr>
          <w:rStyle w:val="FootnoteAnchor"/>
          <w:rStyle w:val="FootnoteAnchor"/>
        </w:rPr>
        <w:footnoteReference w:id="671"/>
      </w:r>
    </w:p>
    <w:p>
      <w:pPr>
        <w:pStyle w:val="Normal"/>
        <w:rPr/>
      </w:pPr>
      <w:r>
        <w:rPr/>
      </w:r>
    </w:p>
    <w:p>
      <w:pPr>
        <w:pStyle w:val="Normal"/>
        <w:rPr/>
      </w:pPr>
      <w:r>
        <w:rPr>
          <w:rFonts w:cs="Calibri"/>
          <w:u w:val="single"/>
        </w:rPr>
        <w:t>Standard</w:t>
      </w:r>
      <w:r>
        <w:rPr>
          <w:rFonts w:cs="Calibri"/>
        </w:rPr>
        <w:t xml:space="preserve">: The </w:t>
      </w:r>
      <w:r>
        <w:rPr/>
        <w:t>Chief Information Security Officer (CISO) and his / her designated representatives are authorized to conduct or contract an outside organization to perform a technical surveillance countermeasures survey.</w:t>
      </w:r>
    </w:p>
    <w:p>
      <w:pPr>
        <w:pStyle w:val="Normal"/>
        <w:rPr/>
      </w:pPr>
      <w:r>
        <w:rPr/>
      </w:r>
    </w:p>
    <w:p>
      <w:pPr>
        <w:pStyle w:val="Normal"/>
        <w:rPr/>
      </w:pPr>
      <w:r>
        <w:rPr>
          <w:u w:val="single"/>
        </w:rPr>
        <w:t>Guidelines</w:t>
      </w:r>
      <w:r>
        <w:rPr/>
        <w:t>: Technical surveillance countermeasures surveys are performed by qualified personnel to detect the presence of technical surveillance devices / hazards and to identify technical security weaknesses that could aid in the conduct of technical penetrations of surveyed facilities. Such surveys provide evaluations of the technical security postures through visual, electronic and physical examinations in and about surveyed facilities. The surveys also provide useful input into risk assessments and organizational exposure to potential adversaries.</w:t>
      </w:r>
    </w:p>
    <w:p>
      <w:pPr>
        <w:pStyle w:val="Normal"/>
        <w:rPr/>
      </w:pPr>
      <w:r>
        <w:rPr/>
      </w:r>
    </w:p>
    <w:p>
      <w:pPr>
        <w:pStyle w:val="Normal"/>
        <w:rPr/>
      </w:pPr>
      <w:r>
        <w:rPr/>
      </w:r>
    </w:p>
    <w:p>
      <w:pPr>
        <w:pStyle w:val="Heading2"/>
        <w:rPr/>
      </w:pPr>
      <w:bookmarkStart w:id="2414" w:name="_Toc34921380"/>
      <w:bookmarkStart w:id="2415" w:name="_Toc474075452"/>
      <w:bookmarkStart w:id="2416" w:name="_Toc474075873"/>
      <w:r>
        <w:rPr/>
        <w:t xml:space="preserve">VPM-09: </w:t>
      </w:r>
      <w:bookmarkEnd w:id="2415"/>
      <w:bookmarkEnd w:id="2416"/>
      <w:r>
        <w:rPr/>
        <w:t>Reviewing Vulnerability Scanner Usage</w:t>
      </w:r>
      <w:bookmarkEnd w:id="2414"/>
    </w:p>
    <w:p>
      <w:pPr>
        <w:pStyle w:val="Normal"/>
        <w:rPr/>
      </w:pPr>
      <w:r>
        <w:rPr>
          <w:u w:val="single"/>
        </w:rPr>
        <w:t>Control Objective</w:t>
      </w:r>
      <w:r>
        <w:rPr/>
        <w:t xml:space="preserve">: The organization monitors logs associated with any scanning activities and associated administrator accounts to ensure that those activities are limited to the timeframes of legitimate scans. </w:t>
      </w:r>
    </w:p>
    <w:p>
      <w:pPr>
        <w:pStyle w:val="Normal"/>
        <w:rPr/>
      </w:pPr>
      <w:r>
        <w:rPr/>
      </w:r>
    </w:p>
    <w:p>
      <w:pPr>
        <w:pStyle w:val="Normal"/>
        <w:rPr/>
      </w:pPr>
      <w:r>
        <w:rPr>
          <w:rFonts w:cs="Calibri"/>
          <w:u w:val="single"/>
        </w:rPr>
        <w:t>Standard</w:t>
      </w:r>
      <w:r>
        <w:rPr>
          <w:rFonts w:cs="Calibri"/>
        </w:rPr>
        <w:t xml:space="preserve">: The vulnerability management team, in conjunction with the cybersecurity operations team, is required to </w:t>
      </w:r>
      <w:r>
        <w:rPr/>
        <w:t>monitor logs associated with scanning activity and associated administrator accounts to ensure that the activity is limited to the timeframes of legitimate scans.</w:t>
      </w:r>
    </w:p>
    <w:p>
      <w:pPr>
        <w:pStyle w:val="Normal"/>
        <w:rPr/>
      </w:pPr>
      <w:r>
        <w:rPr/>
      </w:r>
    </w:p>
    <w:p>
      <w:pPr>
        <w:pStyle w:val="Normal"/>
        <w:rPr/>
      </w:pPr>
      <w:r>
        <w:rPr>
          <w:u w:val="single"/>
        </w:rPr>
        <w:t>Guidelines</w:t>
      </w:r>
      <w:r>
        <w:rPr/>
        <w:t>: None</w:t>
      </w:r>
    </w:p>
    <w:p>
      <w:pPr>
        <w:pStyle w:val="Normal"/>
        <w:rPr/>
      </w:pPr>
      <w:r>
        <w:rPr/>
      </w:r>
    </w:p>
    <w:p>
      <w:pPr>
        <w:pStyle w:val="Normal"/>
        <w:rPr/>
      </w:pPr>
      <w:r>
        <w:rPr/>
      </w:r>
    </w:p>
    <w:p>
      <w:pPr>
        <w:pStyle w:val="Heading2"/>
        <w:rPr/>
      </w:pPr>
      <w:bookmarkStart w:id="2417" w:name="_Toc474075450"/>
      <w:bookmarkStart w:id="2418" w:name="_Toc34921381"/>
      <w:r>
        <w:rPr/>
        <w:t>VPM-10: Red Team Exercises</w:t>
      </w:r>
      <w:bookmarkEnd w:id="2417"/>
      <w:bookmarkEnd w:id="2418"/>
      <w:r>
        <w:rPr/>
        <w:t xml:space="preserve"> </w:t>
      </w:r>
    </w:p>
    <w:p>
      <w:pPr>
        <w:pStyle w:val="Normal"/>
        <w:rPr/>
      </w:pPr>
      <w:r>
        <w:rPr>
          <w:u w:val="single"/>
        </w:rPr>
        <w:t>Control Objective</w:t>
      </w:r>
      <w:r>
        <w:rPr/>
        <w:t>: The organization employs "red team" exercises to simulate attempts by adversaries to compromise organizational systems in accordance with organization-defined rules of engagement.</w:t>
      </w:r>
      <w:r>
        <w:rPr>
          <w:rStyle w:val="FootnoteAnchor"/>
          <w:rStyle w:val="FootnoteAnchor"/>
        </w:rPr>
        <w:footnoteReference w:id="672"/>
      </w:r>
    </w:p>
    <w:p>
      <w:pPr>
        <w:pStyle w:val="Normal"/>
        <w:rPr/>
      </w:pPr>
      <w:r>
        <w:rPr/>
      </w:r>
    </w:p>
    <w:p>
      <w:pPr>
        <w:pStyle w:val="Normal"/>
        <w:rPr/>
      </w:pPr>
      <w:r>
        <w:rPr>
          <w:u w:val="single"/>
        </w:rPr>
        <w:t>Standard</w:t>
      </w:r>
      <w:r>
        <w:rPr/>
        <w:t>: Red team exercises:</w:t>
      </w:r>
    </w:p>
    <w:p>
      <w:pPr>
        <w:pStyle w:val="ListParagraph"/>
        <w:numPr>
          <w:ilvl w:val="0"/>
          <w:numId w:val="505"/>
        </w:numPr>
        <w:rPr/>
      </w:pPr>
      <w:r>
        <w:rPr/>
        <w:t>May be used to improve security awareness and training and to assess levels of security control effectiveness; and</w:t>
      </w:r>
    </w:p>
    <w:p>
      <w:pPr>
        <w:pStyle w:val="ListParagraph"/>
        <w:numPr>
          <w:ilvl w:val="0"/>
          <w:numId w:val="505"/>
        </w:numPr>
        <w:rPr>
          <w:rFonts w:cs="Calibri"/>
        </w:rPr>
      </w:pPr>
      <w:r>
        <w:rPr>
          <w:rFonts w:cs="Calibri"/>
        </w:rPr>
        <w:t xml:space="preserve">Are only authorized to be conducted by the </w:t>
      </w:r>
      <w:r>
        <w:rPr/>
        <w:t>Chief Information Security Officer (CISO) and his / her designated representatives</w:t>
      </w:r>
      <w:r>
        <w:rPr>
          <w:rFonts w:cs="Calibri"/>
        </w:rPr>
        <w:t>.</w:t>
      </w:r>
    </w:p>
    <w:p>
      <w:pPr>
        <w:pStyle w:val="Normal"/>
        <w:rPr/>
      </w:pPr>
      <w:r>
        <w:rPr/>
      </w:r>
    </w:p>
    <w:p>
      <w:pPr>
        <w:pStyle w:val="Normal"/>
        <w:rPr/>
      </w:pPr>
      <w:r>
        <w:rPr>
          <w:u w:val="single"/>
        </w:rPr>
        <w:t>Guidelines</w:t>
      </w:r>
      <w:r>
        <w:rPr/>
        <w:t>: Red team exercises extend the objectives of penetration testing by examining the security posture of organizations and their ability to implement effective cyber defenses. As such, red team exercises should reflect simulated adversarial attempts to compromise organizational mission / business functions and provide a comprehensive assessment of the security state of systems and organizations.</w:t>
      </w:r>
    </w:p>
    <w:p>
      <w:pPr>
        <w:pStyle w:val="Normal"/>
        <w:rPr>
          <w:rFonts w:eastAsia="Calibri" w:cs="Calibri"/>
          <w:sz w:val="24"/>
        </w:rPr>
      </w:pPr>
      <w:r>
        <w:rPr>
          <w:rFonts w:eastAsia="Calibri" w:cs="Calibri"/>
          <w:sz w:val="24"/>
        </w:rPr>
      </w:r>
    </w:p>
    <w:p>
      <w:pPr>
        <w:pStyle w:val="Normal"/>
        <w:rPr/>
      </w:pPr>
      <w:r>
        <w:rPr/>
      </w:r>
    </w:p>
    <w:p>
      <w:pPr>
        <w:pStyle w:val="Normal"/>
        <w:rPr>
          <w:rFonts w:eastAsia="Calibri" w:cs="Calibri"/>
          <w:sz w:val="24"/>
        </w:rPr>
      </w:pPr>
      <w:r>
        <w:rPr>
          <w:rFonts w:eastAsia="Calibri" w:cs="Calibri"/>
          <w:sz w:val="24"/>
        </w:rPr>
      </w:r>
    </w:p>
    <w:p>
      <w:pPr>
        <w:pStyle w:val="Normal"/>
        <w:tabs>
          <w:tab w:val="clear" w:pos="360"/>
          <w:tab w:val="clear" w:pos="720"/>
          <w:tab w:val="clear" w:pos="1080"/>
        </w:tabs>
        <w:jc w:val="left"/>
        <w:rPr/>
      </w:pPr>
      <w:r>
        <w:rPr/>
      </w:r>
    </w:p>
    <w:p>
      <w:pPr>
        <w:pStyle w:val="Normal"/>
        <w:tabs>
          <w:tab w:val="clear" w:pos="360"/>
          <w:tab w:val="clear" w:pos="720"/>
          <w:tab w:val="clear" w:pos="1080"/>
        </w:tabs>
        <w:jc w:val="left"/>
        <w:rPr>
          <w:rFonts w:eastAsia="Calibri" w:cs="Calibri"/>
          <w:b/>
          <w:b/>
          <w:bCs w:val="false"/>
          <w:smallCaps/>
          <w:sz w:val="24"/>
        </w:rPr>
      </w:pPr>
      <w:r>
        <w:rPr>
          <w:rFonts w:eastAsia="Calibri" w:cs="Calibri"/>
          <w:b/>
          <w:bCs w:val="false"/>
          <w:smallCaps/>
          <w:sz w:val="24"/>
        </w:rPr>
      </w:r>
      <w:r>
        <w:br w:type="page"/>
      </w:r>
    </w:p>
    <w:p>
      <w:pPr>
        <w:pStyle w:val="Heading1"/>
        <w:rPr/>
      </w:pPr>
      <w:bookmarkStart w:id="2419" w:name="_Toc34921382"/>
      <w:bookmarkStart w:id="2420" w:name="_Toc474075454"/>
      <w:bookmarkStart w:id="2421" w:name="_Toc474075875"/>
      <w:r>
        <w:rPr/>
        <w:t>Web Security (WEB)</w:t>
      </w:r>
      <w:bookmarkEnd w:id="2420"/>
      <w:bookmarkEnd w:id="2421"/>
      <w:r>
        <w:rPr/>
        <w:t xml:space="preserve"> Policy &amp; Standards</w:t>
      </w:r>
      <w:bookmarkEnd w:id="2419"/>
    </w:p>
    <w:p>
      <w:pPr>
        <w:pStyle w:val="Normal"/>
        <w:rPr>
          <w:u w:val="single"/>
        </w:rPr>
      </w:pPr>
      <w:r>
        <w:rPr>
          <w:u w:val="single"/>
        </w:rPr>
      </w:r>
    </w:p>
    <w:p>
      <w:pPr>
        <w:pStyle w:val="Normal"/>
        <w:rPr/>
      </w:pPr>
      <w:r>
        <w:rPr>
          <w:u w:val="single"/>
        </w:rPr>
        <w:t>Management Intent</w:t>
      </w:r>
      <w:r>
        <w:rPr/>
        <w:t>: The purpose of the Web Security (WEB) policy is to address the risks associated with Internet-accessible technologies.</w:t>
      </w:r>
    </w:p>
    <w:p>
      <w:pPr>
        <w:pStyle w:val="Normal"/>
        <w:rPr/>
      </w:pPr>
      <w:r>
        <w:rPr/>
      </w:r>
    </w:p>
    <w:p>
      <w:pPr>
        <w:pStyle w:val="Normal"/>
        <w:shd w:val="clear" w:color="auto" w:fill="DDD9C3" w:themeFill="background2" w:themeFillShade="e6"/>
        <w:rPr/>
      </w:pPr>
      <w:r>
        <w:rPr>
          <w:u w:val="single"/>
        </w:rPr>
        <w:t>Policy</w:t>
      </w:r>
      <w:r>
        <w:rPr/>
        <w:t>: NFCC shall implement the principles of “least privilege” and “least functionality” are utilized to reduce risks associated with managing Internet-accessible technologies and to ensure appropriate security and privacy controls are in place to satisfy applicable statutory, regulatory and contractual requirements.</w:t>
      </w:r>
    </w:p>
    <w:p>
      <w:pPr>
        <w:pStyle w:val="Normal"/>
        <w:rPr>
          <w:u w:val="single"/>
        </w:rPr>
      </w:pPr>
      <w:r>
        <w:rPr>
          <w:u w:val="single"/>
        </w:rPr>
      </w:r>
    </w:p>
    <w:p>
      <w:pPr>
        <w:pStyle w:val="Normal"/>
        <w:rPr/>
      </w:pPr>
      <w:r>
        <w:rPr>
          <w:u w:val="single"/>
        </w:rPr>
        <w:t>Supporting Documentation</w:t>
      </w:r>
      <w:r>
        <w:rPr/>
        <w:t xml:space="preserve">: This policy is supported by the following control objectives, standards and guidelines. </w:t>
      </w:r>
    </w:p>
    <w:p>
      <w:pPr>
        <w:pStyle w:val="Normal"/>
        <w:rPr/>
      </w:pPr>
      <w:r>
        <w:rPr/>
      </w:r>
    </w:p>
    <w:p>
      <w:pPr>
        <w:pStyle w:val="Normal"/>
        <w:rPr/>
      </w:pPr>
      <w:r>
        <w:rPr/>
      </w:r>
    </w:p>
    <w:p>
      <w:pPr>
        <w:pStyle w:val="Heading2"/>
        <w:rPr/>
      </w:pPr>
      <w:bookmarkStart w:id="2422" w:name="_Toc34921383"/>
      <w:r>
        <w:rPr/>
        <w:t>WEB-01: Web Security</w:t>
      </w:r>
      <w:bookmarkEnd w:id="2422"/>
    </w:p>
    <w:p>
      <w:pPr>
        <w:pStyle w:val="Normal"/>
        <w:rPr/>
      </w:pPr>
      <w:r>
        <w:rPr>
          <w:u w:val="single"/>
        </w:rPr>
        <w:t>Control Objective</w:t>
      </w:r>
      <w:r>
        <w:rPr/>
        <w:t>: The organization develops, implements and governs processes and documentation to facilitate the implementation of an enterprise-wide web management policy, as well as associated standards, controls and procedures.</w:t>
      </w:r>
    </w:p>
    <w:p>
      <w:pPr>
        <w:pStyle w:val="Normal"/>
        <w:rPr/>
      </w:pPr>
      <w:r>
        <w:rPr/>
      </w:r>
    </w:p>
    <w:p>
      <w:pPr>
        <w:pStyle w:val="Normal"/>
        <w:rPr/>
      </w:pPr>
      <w:r>
        <w:rPr>
          <w:u w:val="single"/>
        </w:rPr>
        <w:t>Standard</w:t>
      </w:r>
      <w:r>
        <w:rPr/>
        <w:t>: The Chief Information Security Officer (CISO) is assigned the responsibility for developing, implementing and governing processes to ensure Internet-exposed systems and services are:</w:t>
      </w:r>
    </w:p>
    <w:p>
      <w:pPr>
        <w:pStyle w:val="ListParagraph"/>
        <w:numPr>
          <w:ilvl w:val="0"/>
          <w:numId w:val="596"/>
        </w:numPr>
        <w:rPr/>
      </w:pPr>
      <w:r>
        <w:rPr/>
        <w:t xml:space="preserve">Designed and implemented to ensure both security and privacy principles exist by default; </w:t>
      </w:r>
    </w:p>
    <w:p>
      <w:pPr>
        <w:pStyle w:val="ListParagraph"/>
        <w:numPr>
          <w:ilvl w:val="0"/>
          <w:numId w:val="596"/>
        </w:numPr>
        <w:rPr/>
      </w:pPr>
      <w:r>
        <w:rPr/>
        <w:t>Properly maintained to reduce the attack surface area; and</w:t>
      </w:r>
    </w:p>
    <w:p>
      <w:pPr>
        <w:pStyle w:val="ListParagraph"/>
        <w:numPr>
          <w:ilvl w:val="0"/>
          <w:numId w:val="596"/>
        </w:numPr>
        <w:rPr/>
      </w:pPr>
      <w:r>
        <w:rPr/>
        <w:t xml:space="preserve">Regularly reviewed to ensure known vulnerabilities are remediated in a timeline manner, based on the risk posed from the threat. </w:t>
      </w:r>
    </w:p>
    <w:p>
      <w:pPr>
        <w:pStyle w:val="Normal"/>
        <w:rPr/>
      </w:pPr>
      <w:r>
        <w:rPr/>
      </w:r>
    </w:p>
    <w:p>
      <w:pPr>
        <w:pStyle w:val="Normal"/>
        <w:rPr/>
      </w:pPr>
      <w:r>
        <w:rPr>
          <w:u w:val="single"/>
        </w:rPr>
        <w:t>Guidelines</w:t>
      </w:r>
      <w:r>
        <w:rPr/>
        <w:t>: None</w:t>
      </w:r>
    </w:p>
    <w:p>
      <w:pPr>
        <w:pStyle w:val="Normal"/>
        <w:rPr/>
      </w:pPr>
      <w:r>
        <w:rPr/>
      </w:r>
    </w:p>
    <w:p>
      <w:pPr>
        <w:pStyle w:val="Normal"/>
        <w:rPr/>
      </w:pPr>
      <w:r>
        <w:rPr/>
      </w:r>
    </w:p>
    <w:p>
      <w:pPr>
        <w:pStyle w:val="Heading2"/>
        <w:rPr/>
      </w:pPr>
      <w:bookmarkStart w:id="2423" w:name="_Toc474075455"/>
      <w:bookmarkStart w:id="2424" w:name="_Toc474075876"/>
      <w:bookmarkStart w:id="2425" w:name="_Toc34921384"/>
      <w:r>
        <w:rPr/>
        <w:t>WEB-02: Use of Demilitarized Zones (DMZ)</w:t>
      </w:r>
      <w:bookmarkEnd w:id="2423"/>
      <w:bookmarkEnd w:id="2424"/>
      <w:bookmarkEnd w:id="2425"/>
    </w:p>
    <w:p>
      <w:pPr>
        <w:pStyle w:val="Normal"/>
        <w:rPr/>
      </w:pPr>
      <w:r>
        <w:rPr>
          <w:u w:val="single"/>
        </w:rPr>
        <w:t>Control Objective</w:t>
      </w:r>
      <w:r>
        <w:rPr/>
        <w:t>: The organization employs Demilitarized Zones (DMZs) to restrict inbound traffic to authorized devices on certain services, protocols and ports.</w:t>
      </w:r>
      <w:r>
        <w:rPr>
          <w:rStyle w:val="FootnoteCharacters"/>
          <w:rFonts w:cs="Calibri"/>
          <w:bCs w:val="false"/>
        </w:rPr>
        <w:t xml:space="preserve"> </w:t>
      </w:r>
      <w:r>
        <w:rPr>
          <w:rStyle w:val="FootnoteAnchor"/>
          <w:rStyle w:val="FootnoteAnchor"/>
          <w:rFonts w:cs="Calibri"/>
        </w:rPr>
        <w:footnoteReference w:id="673"/>
      </w:r>
    </w:p>
    <w:p>
      <w:pPr>
        <w:pStyle w:val="Normal"/>
        <w:rPr/>
      </w:pPr>
      <w:r>
        <w:rPr/>
      </w:r>
    </w:p>
    <w:p>
      <w:pPr>
        <w:pStyle w:val="Normal"/>
        <w:rPr/>
      </w:pPr>
      <w:r>
        <w:rPr>
          <w:u w:val="single"/>
        </w:rPr>
        <w:t>Standard</w:t>
      </w:r>
      <w:r>
        <w:rPr/>
        <w:t>: NFCC’s IT department is required to implement and configure DMZs in accordance with industry-recognized leading practices.</w:t>
      </w:r>
    </w:p>
    <w:p>
      <w:pPr>
        <w:pStyle w:val="Normal"/>
        <w:rPr/>
      </w:pPr>
      <w:r>
        <w:rPr/>
      </w:r>
    </w:p>
    <w:p>
      <w:pPr>
        <w:pStyle w:val="Normal"/>
        <w:rPr/>
      </w:pPr>
      <w:r>
        <w:rPr>
          <w:u w:val="single"/>
        </w:rPr>
        <w:t>Guidelines</w:t>
      </w:r>
      <w:r>
        <w:rPr/>
        <w:t>: None</w:t>
      </w:r>
    </w:p>
    <w:p>
      <w:pPr>
        <w:pStyle w:val="Normal"/>
        <w:rPr/>
      </w:pPr>
      <w:r>
        <w:rPr/>
      </w:r>
    </w:p>
    <w:p>
      <w:pPr>
        <w:pStyle w:val="Normal"/>
        <w:rPr/>
      </w:pPr>
      <w:r>
        <w:rPr/>
      </w:r>
    </w:p>
    <w:p>
      <w:pPr>
        <w:pStyle w:val="Heading2"/>
        <w:rPr/>
      </w:pPr>
      <w:bookmarkStart w:id="2426" w:name="_Toc474075456"/>
      <w:bookmarkStart w:id="2427" w:name="_Toc474075877"/>
      <w:bookmarkStart w:id="2428" w:name="_Toc34921385"/>
      <w:r>
        <w:rPr/>
        <w:t>WEB-03: Web Application Firewall (WAF)</w:t>
      </w:r>
      <w:bookmarkEnd w:id="2426"/>
      <w:bookmarkEnd w:id="2427"/>
      <w:bookmarkEnd w:id="2428"/>
      <w:r>
        <w:rPr/>
        <w:t xml:space="preserve"> </w:t>
      </w:r>
    </w:p>
    <w:p>
      <w:pPr>
        <w:pStyle w:val="Normal"/>
        <w:rPr/>
      </w:pPr>
      <w:r>
        <w:rPr>
          <w:u w:val="single"/>
        </w:rPr>
        <w:t>Control Objective</w:t>
      </w:r>
      <w:r>
        <w:rPr/>
        <w:t>: The organization uses Web Application Firewalls (WAFs) to provide Defense-in-Depth (DiD) protection for application-specific threats.</w:t>
      </w:r>
    </w:p>
    <w:p>
      <w:pPr>
        <w:pStyle w:val="Normal"/>
        <w:rPr/>
      </w:pPr>
      <w:r>
        <w:rPr/>
      </w:r>
    </w:p>
    <w:p>
      <w:pPr>
        <w:pStyle w:val="Normal"/>
        <w:rPr/>
      </w:pPr>
      <w:r>
        <w:rPr>
          <w:u w:val="single"/>
        </w:rPr>
        <w:t>Standard</w:t>
      </w:r>
      <w:r>
        <w:rPr/>
        <w:t>: Where technically feasible, NFCC shall protect web applications by deploying Web Application Firewalls (WAFs) that inspect all traffic flowing to the web application for common web application attacks, including but not limited to:</w:t>
      </w:r>
    </w:p>
    <w:p>
      <w:pPr>
        <w:pStyle w:val="ListParagraph"/>
        <w:numPr>
          <w:ilvl w:val="0"/>
          <w:numId w:val="506"/>
        </w:numPr>
        <w:rPr/>
      </w:pPr>
      <w:r>
        <w:rPr/>
        <w:t>Cross-site scripting;</w:t>
      </w:r>
    </w:p>
    <w:p>
      <w:pPr>
        <w:pStyle w:val="ListParagraph"/>
        <w:numPr>
          <w:ilvl w:val="0"/>
          <w:numId w:val="506"/>
        </w:numPr>
        <w:rPr/>
      </w:pPr>
      <w:r>
        <w:rPr/>
        <w:t>SQL injection;</w:t>
      </w:r>
    </w:p>
    <w:p>
      <w:pPr>
        <w:pStyle w:val="ListParagraph"/>
        <w:numPr>
          <w:ilvl w:val="0"/>
          <w:numId w:val="506"/>
        </w:numPr>
        <w:rPr/>
      </w:pPr>
      <w:r>
        <w:rPr/>
        <w:t xml:space="preserve">Command injection; and </w:t>
      </w:r>
    </w:p>
    <w:p>
      <w:pPr>
        <w:pStyle w:val="ListParagraph"/>
        <w:numPr>
          <w:ilvl w:val="0"/>
          <w:numId w:val="506"/>
        </w:numPr>
        <w:rPr/>
      </w:pPr>
      <w:r>
        <w:rPr/>
        <w:t xml:space="preserve">Directory traversal attacks. </w:t>
      </w:r>
    </w:p>
    <w:p>
      <w:pPr>
        <w:pStyle w:val="Normal"/>
        <w:rPr/>
      </w:pPr>
      <w:r>
        <w:rPr/>
      </w:r>
    </w:p>
    <w:p>
      <w:pPr>
        <w:pStyle w:val="Normal"/>
        <w:rPr/>
      </w:pPr>
      <w:r>
        <w:rPr>
          <w:u w:val="single"/>
        </w:rPr>
        <w:t>Guidelines</w:t>
      </w:r>
      <w:r>
        <w:rPr/>
        <w:t>: For applications that are not web-based, specific application firewalls should be deployed if such tools are available for the given application type. If the traffic is encrypted, the device should either sit behind the encryption or be capable of decrypting the traffic prior to analysis. If neither option is appropriate, a host-based web application firewall should be deployed.</w:t>
      </w:r>
    </w:p>
    <w:p>
      <w:pPr>
        <w:pStyle w:val="Normal"/>
        <w:rPr/>
      </w:pPr>
      <w:r>
        <w:rPr/>
      </w:r>
    </w:p>
    <w:p>
      <w:pPr>
        <w:pStyle w:val="Normal"/>
        <w:rPr/>
      </w:pPr>
      <w:r>
        <w:rPr/>
      </w:r>
    </w:p>
    <w:p>
      <w:pPr>
        <w:pStyle w:val="Heading2"/>
        <w:rPr/>
      </w:pPr>
      <w:bookmarkStart w:id="2429" w:name="_Toc34921386"/>
      <w:r>
        <w:rPr/>
        <w:t>WEB-04: Client-Facing Web Services</w:t>
      </w:r>
      <w:bookmarkEnd w:id="2429"/>
      <w:r>
        <w:rPr/>
        <w:t xml:space="preserve"> </w:t>
      </w:r>
    </w:p>
    <w:p>
      <w:pPr>
        <w:pStyle w:val="Normal"/>
        <w:rPr/>
      </w:pPr>
      <w:r>
        <w:rPr>
          <w:u w:val="single"/>
        </w:rPr>
        <w:t>Control Objective</w:t>
      </w:r>
      <w:r>
        <w:rPr/>
        <w:t>: The organization employs reasonably-expected security controls for client-facing web applications Internet-based services.</w:t>
      </w:r>
    </w:p>
    <w:p>
      <w:pPr>
        <w:pStyle w:val="Normal"/>
        <w:rPr/>
      </w:pPr>
      <w:r>
        <w:rPr/>
      </w:r>
    </w:p>
    <w:p>
      <w:pPr>
        <w:pStyle w:val="Normal"/>
        <w:rPr/>
      </w:pPr>
      <w:r>
        <w:rPr>
          <w:u w:val="single"/>
        </w:rPr>
        <w:t>Standard</w:t>
      </w:r>
      <w:r>
        <w:rPr/>
        <w:t>: Where technically feasible, NFCC shall protect client-facing web services by deploying reasonably-expected security controls, including but not limited to:</w:t>
      </w:r>
    </w:p>
    <w:p>
      <w:pPr>
        <w:pStyle w:val="ListParagraph"/>
        <w:numPr>
          <w:ilvl w:val="0"/>
          <w:numId w:val="522"/>
        </w:numPr>
        <w:rPr/>
      </w:pPr>
      <w:r>
        <w:rPr/>
        <w:t>Password strength of at least eight (8) characters;</w:t>
      </w:r>
    </w:p>
    <w:p>
      <w:pPr>
        <w:pStyle w:val="ListParagraph"/>
        <w:numPr>
          <w:ilvl w:val="0"/>
          <w:numId w:val="522"/>
        </w:numPr>
        <w:rPr/>
      </w:pPr>
      <w:r>
        <w:rPr/>
        <w:t>Password complexity requirements; and</w:t>
      </w:r>
    </w:p>
    <w:p>
      <w:pPr>
        <w:pStyle w:val="ListParagraph"/>
        <w:numPr>
          <w:ilvl w:val="0"/>
          <w:numId w:val="522"/>
        </w:numPr>
        <w:rPr/>
      </w:pPr>
      <w:r>
        <w:rPr/>
        <w:t xml:space="preserve">Default session timeout after a period of fifteen (15) minutes of inactivity. </w:t>
      </w:r>
    </w:p>
    <w:p>
      <w:pPr>
        <w:pStyle w:val="Normal"/>
        <w:rPr/>
      </w:pPr>
      <w:r>
        <w:rPr/>
      </w:r>
    </w:p>
    <w:p>
      <w:pPr>
        <w:pStyle w:val="Normal"/>
        <w:rPr/>
      </w:pPr>
      <w:r>
        <w:rPr/>
      </w:r>
    </w:p>
    <w:p>
      <w:pPr>
        <w:pStyle w:val="Normal"/>
        <w:rPr/>
      </w:pPr>
      <w:r>
        <w:rPr>
          <w:u w:val="single"/>
        </w:rPr>
        <w:t>Guidelines</w:t>
      </w:r>
      <w:r>
        <w:rPr/>
        <w:t>: Based on business needs, clients may have the need or desire to downgrade the security features of web services that they use. Client decisions to downgrade their security should be cautioned and alert them to the potential risks.</w:t>
      </w:r>
    </w:p>
    <w:p>
      <w:pPr>
        <w:pStyle w:val="Normal"/>
        <w:rPr/>
      </w:pPr>
      <w:r>
        <w:rPr/>
      </w:r>
    </w:p>
    <w:p>
      <w:pPr>
        <w:pStyle w:val="Normal"/>
        <w:rPr/>
      </w:pPr>
      <w:r>
        <w:rPr/>
      </w:r>
    </w:p>
    <w:p>
      <w:pPr>
        <w:pStyle w:val="Heading2"/>
        <w:rPr/>
      </w:pPr>
      <w:bookmarkStart w:id="2430" w:name="_Toc34921387"/>
      <w:r>
        <w:rPr/>
        <w:t>WEB-05: Cookie Management</w:t>
      </w:r>
      <w:bookmarkEnd w:id="2430"/>
    </w:p>
    <w:p>
      <w:pPr>
        <w:pStyle w:val="Normal"/>
        <w:rPr/>
      </w:pPr>
      <w:r>
        <w:rPr>
          <w:u w:val="single"/>
        </w:rPr>
        <w:t>Control Objective</w:t>
      </w:r>
      <w:r>
        <w:rPr/>
        <w:t>: The organization provides individuals with clear and precise information in accordance with Directive 95/46/EC about the purposes of cookies or similar devices so as to ensure that users are made aware of information being placed on the terminal equipment they are using.</w:t>
      </w:r>
    </w:p>
    <w:p>
      <w:pPr>
        <w:pStyle w:val="Normal"/>
        <w:rPr/>
      </w:pPr>
      <w:r>
        <w:rPr/>
      </w:r>
    </w:p>
    <w:p>
      <w:pPr>
        <w:pStyle w:val="Normal"/>
        <w:rPr/>
      </w:pPr>
      <w:r>
        <w:rPr>
          <w:u w:val="single"/>
        </w:rPr>
        <w:t>Standard</w:t>
      </w:r>
      <w:r>
        <w:rPr/>
        <w:t>: Asset custodians and data / process owners are required to implement processes to:</w:t>
      </w:r>
    </w:p>
    <w:p>
      <w:pPr>
        <w:pStyle w:val="ListParagraph"/>
        <w:numPr>
          <w:ilvl w:val="0"/>
          <w:numId w:val="688"/>
        </w:numPr>
        <w:rPr/>
      </w:pPr>
      <w:r>
        <w:rPr/>
        <w:t>Provide individuals with clear and precise information about the purposes of cookies or similar devices to ensure that users are made aware of information being placed on their system(s);</w:t>
      </w:r>
    </w:p>
    <w:p>
      <w:pPr>
        <w:pStyle w:val="ListParagraph"/>
        <w:numPr>
          <w:ilvl w:val="0"/>
          <w:numId w:val="688"/>
        </w:numPr>
        <w:rPr/>
      </w:pPr>
      <w:r>
        <w:rPr/>
        <w:t xml:space="preserve">Configure cookies to: </w:t>
      </w:r>
    </w:p>
    <w:p>
      <w:pPr>
        <w:pStyle w:val="ListParagraph"/>
        <w:numPr>
          <w:ilvl w:val="1"/>
          <w:numId w:val="688"/>
        </w:numPr>
        <w:rPr/>
      </w:pPr>
      <w:r>
        <w:rPr/>
        <w:t xml:space="preserve">Be accessible only on secure (HTTPS) sessions; </w:t>
      </w:r>
    </w:p>
    <w:p>
      <w:pPr>
        <w:pStyle w:val="ListParagraph"/>
        <w:numPr>
          <w:ilvl w:val="1"/>
          <w:numId w:val="688"/>
        </w:numPr>
        <w:rPr/>
      </w:pPr>
      <w:r>
        <w:rPr/>
        <w:t>Be accessible to the minimum practical set of hostnames and paths;</w:t>
      </w:r>
    </w:p>
    <w:p>
      <w:pPr>
        <w:pStyle w:val="ListParagraph"/>
        <w:numPr>
          <w:ilvl w:val="1"/>
          <w:numId w:val="688"/>
        </w:numPr>
        <w:rPr/>
      </w:pPr>
      <w:r>
        <w:rPr/>
        <w:t xml:space="preserve">Be inaccessible via JavaScript (HttpOnly); </w:t>
      </w:r>
    </w:p>
    <w:p>
      <w:pPr>
        <w:pStyle w:val="ListParagraph"/>
        <w:numPr>
          <w:ilvl w:val="1"/>
          <w:numId w:val="688"/>
        </w:numPr>
        <w:rPr/>
      </w:pPr>
      <w:r>
        <w:rPr/>
        <w:t>Expire at, or soon after, the session’s validity period; and</w:t>
      </w:r>
    </w:p>
    <w:p>
      <w:pPr>
        <w:pStyle w:val="ListParagraph"/>
        <w:numPr>
          <w:ilvl w:val="1"/>
          <w:numId w:val="688"/>
        </w:numPr>
        <w:rPr/>
      </w:pPr>
      <w:r>
        <w:rPr/>
        <w:t>Limit the accumulation of cookies, but not be depended upon to enforce session timeouts.</w:t>
      </w:r>
    </w:p>
    <w:p>
      <w:pPr>
        <w:pStyle w:val="Normal"/>
        <w:rPr/>
      </w:pPr>
      <w:r>
        <w:rPr/>
      </w:r>
    </w:p>
    <w:p>
      <w:pPr>
        <w:pStyle w:val="Normal"/>
        <w:rPr/>
      </w:pPr>
      <w:r>
        <w:rPr>
          <w:u w:val="single"/>
        </w:rPr>
        <w:t>Guidelines</w:t>
      </w:r>
      <w:r>
        <w:rPr/>
        <w:t>: None</w:t>
      </w:r>
    </w:p>
    <w:p>
      <w:pPr>
        <w:pStyle w:val="Normal"/>
        <w:rPr/>
      </w:pPr>
      <w:r>
        <w:rPr/>
      </w:r>
    </w:p>
    <w:p>
      <w:pPr>
        <w:pStyle w:val="Normal"/>
        <w:rPr/>
      </w:pPr>
      <w:r>
        <w:rPr/>
      </w:r>
    </w:p>
    <w:p>
      <w:pPr>
        <w:pStyle w:val="Heading2"/>
        <w:rPr/>
      </w:pPr>
      <w:bookmarkStart w:id="2431" w:name="_Toc34921388"/>
      <w:r>
        <w:rPr/>
        <w:t>WEB-06: Strong Customer Authentication (SCA)</w:t>
      </w:r>
      <w:bookmarkEnd w:id="2431"/>
      <w:r>
        <w:rPr/>
        <w:t xml:space="preserve"> </w:t>
      </w:r>
    </w:p>
    <w:p>
      <w:pPr>
        <w:pStyle w:val="Normal"/>
        <w:rPr/>
      </w:pPr>
      <w:r>
        <w:rPr>
          <w:u w:val="single"/>
        </w:rPr>
        <w:t>Control Objective</w:t>
      </w:r>
      <w:r>
        <w:rPr/>
        <w:t>: The organization makes Strong Customer Authentication (SCA) the basis for accessing a consumer's account online to prove their identity by provide at least two (2) separate elements out of these three:</w:t>
      </w:r>
    </w:p>
    <w:p>
      <w:pPr>
        <w:pStyle w:val="ListParagraph"/>
        <w:numPr>
          <w:ilvl w:val="0"/>
          <w:numId w:val="162"/>
        </w:numPr>
        <w:rPr/>
      </w:pPr>
      <w:r>
        <w:rPr/>
        <w:t>Something they know (a password or PIN code);</w:t>
      </w:r>
    </w:p>
    <w:p>
      <w:pPr>
        <w:pStyle w:val="ListParagraph"/>
        <w:numPr>
          <w:ilvl w:val="0"/>
          <w:numId w:val="162"/>
        </w:numPr>
        <w:rPr/>
      </w:pPr>
      <w:r>
        <w:rPr/>
        <w:t>Something they own (a card, a mobile phone); and</w:t>
      </w:r>
    </w:p>
    <w:p>
      <w:pPr>
        <w:pStyle w:val="ListParagraph"/>
        <w:numPr>
          <w:ilvl w:val="0"/>
          <w:numId w:val="162"/>
        </w:numPr>
        <w:rPr/>
      </w:pPr>
      <w:r>
        <w:rPr/>
        <w:t>Something they are (biometrics, e.g. fingerprint or iris scan).</w:t>
      </w:r>
    </w:p>
    <w:p>
      <w:pPr>
        <w:pStyle w:val="Normal"/>
        <w:rPr/>
      </w:pPr>
      <w:r>
        <w:rPr/>
      </w:r>
    </w:p>
    <w:p>
      <w:pPr>
        <w:pStyle w:val="Normal"/>
        <w:rPr/>
      </w:pPr>
      <w:r>
        <w:rPr>
          <w:u w:val="single"/>
        </w:rPr>
        <w:t>Standard</w:t>
      </w:r>
      <w:r>
        <w:rPr/>
        <w:t>: Data/process owners and asset custodians are required to implement processes to makes Strong Customer Authentication (SCA) the basis for accessing a consumer's account online to prove their identity by provide at least two (2) separate elements out of these three:</w:t>
      </w:r>
    </w:p>
    <w:p>
      <w:pPr>
        <w:pStyle w:val="ListParagraph"/>
        <w:numPr>
          <w:ilvl w:val="0"/>
          <w:numId w:val="589"/>
        </w:numPr>
        <w:rPr/>
      </w:pPr>
      <w:r>
        <w:rPr/>
        <w:t>Something they know (a password or PIN code);</w:t>
      </w:r>
    </w:p>
    <w:p>
      <w:pPr>
        <w:pStyle w:val="ListParagraph"/>
        <w:numPr>
          <w:ilvl w:val="0"/>
          <w:numId w:val="589"/>
        </w:numPr>
        <w:rPr/>
      </w:pPr>
      <w:r>
        <w:rPr/>
        <w:t>Something they own (a card, a mobile phone); and</w:t>
      </w:r>
    </w:p>
    <w:p>
      <w:pPr>
        <w:pStyle w:val="ListParagraph"/>
        <w:numPr>
          <w:ilvl w:val="0"/>
          <w:numId w:val="589"/>
        </w:numPr>
        <w:rPr/>
      </w:pPr>
      <w:r>
        <w:rPr/>
        <w:t>Something they are (biometrics, e.g. fingerprint or iris scan).</w:t>
      </w:r>
    </w:p>
    <w:p>
      <w:pPr>
        <w:pStyle w:val="Normal"/>
        <w:rPr/>
      </w:pPr>
      <w:r>
        <w:rPr/>
      </w:r>
    </w:p>
    <w:p>
      <w:pPr>
        <w:pStyle w:val="Normal"/>
        <w:rPr/>
      </w:pPr>
      <w:r>
        <w:rPr>
          <w:u w:val="single"/>
        </w:rPr>
        <w:t>Guidelines</w:t>
      </w:r>
      <w:r>
        <w:rPr/>
        <w:t>: None</w:t>
      </w:r>
    </w:p>
    <w:p>
      <w:pPr>
        <w:pStyle w:val="Normal"/>
        <w:rPr/>
      </w:pPr>
      <w:r>
        <w:rPr/>
      </w:r>
    </w:p>
    <w:p>
      <w:pPr>
        <w:pStyle w:val="Normal"/>
        <w:rPr/>
      </w:pPr>
      <w:r>
        <w:rPr/>
      </w:r>
    </w:p>
    <w:p>
      <w:pPr>
        <w:pStyle w:val="Normal"/>
        <w:rPr/>
      </w:pPr>
      <w:r>
        <w:rPr/>
      </w:r>
      <w:bookmarkStart w:id="2432" w:name="_APPENDIX_A%253A_DATA"/>
      <w:bookmarkStart w:id="2433" w:name="_Appendix_G%253A_Safety"/>
      <w:bookmarkStart w:id="2434" w:name="_APPENDIX_J%253A_RISK"/>
      <w:bookmarkStart w:id="2435" w:name="_APPENDIX_M%253A_SECURITY"/>
      <w:bookmarkStart w:id="2436" w:name="_APPENDIX_K%253A_SECURITY"/>
      <w:bookmarkStart w:id="2437" w:name="_APPENDIX_K%253A_INTERNATIONAL"/>
      <w:bookmarkStart w:id="2438" w:name="_APPENDIX_L%253A_SECURITY"/>
      <w:bookmarkStart w:id="2439" w:name="_Appendix_L%253A_System"/>
      <w:bookmarkStart w:id="2440" w:name="_Appendix_K%253A_System"/>
      <w:bookmarkStart w:id="2441" w:name="_APPENDIX_A%253A_DATA"/>
      <w:bookmarkStart w:id="2442" w:name="_Appendix_G%253A_Safety"/>
      <w:bookmarkStart w:id="2443" w:name="_APPENDIX_J%253A_RISK"/>
      <w:bookmarkStart w:id="2444" w:name="_APPENDIX_M%253A_SECURITY"/>
      <w:bookmarkStart w:id="2445" w:name="_APPENDIX_K%253A_SECURITY"/>
      <w:bookmarkStart w:id="2446" w:name="_APPENDIX_K%253A_INTERNATIONAL"/>
      <w:bookmarkStart w:id="2447" w:name="_APPENDIX_L%253A_SECURITY"/>
      <w:bookmarkStart w:id="2448" w:name="_Appendix_L%253A_System"/>
      <w:bookmarkStart w:id="2449" w:name="_Appendix_K%253A_System"/>
      <w:bookmarkEnd w:id="2441"/>
      <w:bookmarkEnd w:id="2442"/>
      <w:bookmarkEnd w:id="2443"/>
      <w:bookmarkEnd w:id="2444"/>
      <w:bookmarkEnd w:id="2445"/>
      <w:bookmarkEnd w:id="2446"/>
      <w:bookmarkEnd w:id="2447"/>
      <w:bookmarkEnd w:id="2448"/>
      <w:bookmarkEnd w:id="2449"/>
      <w:r>
        <w:br w:type="page"/>
      </w:r>
    </w:p>
    <w:p>
      <w:pPr>
        <w:pStyle w:val="Heading1"/>
        <w:rPr/>
      </w:pPr>
      <w:bookmarkStart w:id="2450" w:name="_Toc34921389"/>
      <w:bookmarkStart w:id="2451" w:name="_Toc474075478"/>
      <w:bookmarkStart w:id="2452" w:name="_Toc474075899"/>
      <w:r>
        <w:rPr/>
        <w:t>Glossary: Acronyms &amp; Definitions</w:t>
      </w:r>
      <w:bookmarkEnd w:id="2450"/>
      <w:bookmarkEnd w:id="2451"/>
      <w:bookmarkEnd w:id="2452"/>
      <w:r>
        <w:rPr/>
        <w:t xml:space="preserve"> </w:t>
      </w:r>
    </w:p>
    <w:p>
      <w:pPr>
        <w:pStyle w:val="Normal"/>
        <w:rPr/>
      </w:pPr>
      <w:r>
        <w:rPr/>
      </w:r>
    </w:p>
    <w:p>
      <w:pPr>
        <w:pStyle w:val="Heading2"/>
        <w:rPr/>
      </w:pPr>
      <w:bookmarkStart w:id="2453" w:name="_Toc474075479"/>
      <w:bookmarkStart w:id="2454" w:name="_Toc474075900"/>
      <w:bookmarkStart w:id="2455" w:name="_Toc34921390"/>
      <w:r>
        <w:rPr/>
        <w:t>Acronyms</w:t>
      </w:r>
      <w:bookmarkEnd w:id="2453"/>
      <w:bookmarkEnd w:id="2454"/>
      <w:bookmarkEnd w:id="2455"/>
    </w:p>
    <w:p>
      <w:pPr>
        <w:pStyle w:val="Normal"/>
        <w:rPr/>
      </w:pPr>
      <w:r>
        <w:rPr/>
      </w:r>
    </w:p>
    <w:p>
      <w:pPr>
        <w:pStyle w:val="Normal"/>
        <w:rPr/>
      </w:pPr>
      <w:r>
        <w:rPr/>
        <w:t>AD. Active Directory</w:t>
      </w:r>
    </w:p>
    <w:p>
      <w:pPr>
        <w:pStyle w:val="Normal"/>
        <w:rPr/>
      </w:pPr>
      <w:r>
        <w:rPr/>
        <w:t>APT. Advanced Persistent Threat</w:t>
      </w:r>
    </w:p>
    <w:p>
      <w:pPr>
        <w:pStyle w:val="Normal"/>
        <w:rPr/>
      </w:pPr>
      <w:r>
        <w:rPr/>
        <w:t>BCP. Business Continuity Plan</w:t>
      </w:r>
    </w:p>
    <w:p>
      <w:pPr>
        <w:pStyle w:val="Normal"/>
        <w:rPr/>
      </w:pPr>
      <w:r>
        <w:rPr/>
        <w:t>CDE. Sensitive data Environment</w:t>
      </w:r>
    </w:p>
    <w:p>
      <w:pPr>
        <w:pStyle w:val="Normal"/>
        <w:rPr/>
      </w:pPr>
      <w:r>
        <w:rPr/>
        <w:t>CERT. Computer Emergency Response Team</w:t>
      </w:r>
    </w:p>
    <w:p>
      <w:pPr>
        <w:pStyle w:val="Normal"/>
        <w:rPr/>
      </w:pPr>
      <w:r>
        <w:rPr/>
        <w:t>CIRT. Computer Incident Response Team</w:t>
      </w:r>
    </w:p>
    <w:p>
      <w:pPr>
        <w:pStyle w:val="Normal"/>
        <w:rPr/>
      </w:pPr>
      <w:r>
        <w:rPr/>
        <w:t>DAC. Discretionary Access Control (DAC).</w:t>
      </w:r>
    </w:p>
    <w:p>
      <w:pPr>
        <w:pStyle w:val="Normal"/>
        <w:rPr/>
      </w:pPr>
      <w:r>
        <w:rPr/>
        <w:t>DLP. Data Loss Prevention</w:t>
      </w:r>
    </w:p>
    <w:p>
      <w:pPr>
        <w:pStyle w:val="Normal"/>
        <w:rPr/>
      </w:pPr>
      <w:r>
        <w:rPr/>
        <w:t>DRP. Disaster Recovery Plan</w:t>
      </w:r>
    </w:p>
    <w:p>
      <w:pPr>
        <w:pStyle w:val="Normal"/>
        <w:rPr/>
      </w:pPr>
      <w:r>
        <w:rPr/>
        <w:t xml:space="preserve">EAP. Extensible Authentication Protocol </w:t>
      </w:r>
    </w:p>
    <w:p>
      <w:pPr>
        <w:pStyle w:val="Normal"/>
        <w:rPr/>
      </w:pPr>
      <w:r>
        <w:rPr/>
        <w:t>EPHI. Electronic Protected Health Information</w:t>
      </w:r>
    </w:p>
    <w:p>
      <w:pPr>
        <w:pStyle w:val="Normal"/>
        <w:rPr/>
      </w:pPr>
      <w:r>
        <w:rPr/>
        <w:t>FICAM. Federal Identity, Credential and Access Management</w:t>
      </w:r>
    </w:p>
    <w:p>
      <w:pPr>
        <w:pStyle w:val="Normal"/>
        <w:rPr/>
      </w:pPr>
      <w:r>
        <w:rPr/>
        <w:t>FIM. File Integrity Monitor</w:t>
      </w:r>
    </w:p>
    <w:p>
      <w:pPr>
        <w:pStyle w:val="Normal"/>
        <w:rPr/>
      </w:pPr>
      <w:r>
        <w:rPr/>
        <w:t>FACTA. Fair and Accurate Credit Transaction Act</w:t>
      </w:r>
    </w:p>
    <w:p>
      <w:pPr>
        <w:pStyle w:val="Normal"/>
        <w:rPr/>
      </w:pPr>
      <w:r>
        <w:rPr/>
        <w:t>HIPAA. Health Insurance Portability and Accountability Act</w:t>
      </w:r>
    </w:p>
    <w:p>
      <w:pPr>
        <w:pStyle w:val="Normal"/>
        <w:rPr/>
      </w:pPr>
      <w:r>
        <w:rPr/>
        <w:t>IRP. Incident Response Plan</w:t>
      </w:r>
    </w:p>
    <w:p>
      <w:pPr>
        <w:pStyle w:val="Normal"/>
        <w:rPr/>
      </w:pPr>
      <w:r>
        <w:rPr/>
        <w:t>ISMS. Information Security Management System</w:t>
      </w:r>
    </w:p>
    <w:p>
      <w:pPr>
        <w:pStyle w:val="Normal"/>
        <w:rPr/>
      </w:pPr>
      <w:r>
        <w:rPr/>
        <w:t xml:space="preserve">LACS. Logical Access Control Systems </w:t>
      </w:r>
    </w:p>
    <w:p>
      <w:pPr>
        <w:pStyle w:val="Normal"/>
        <w:rPr/>
      </w:pPr>
      <w:r>
        <w:rPr/>
        <w:t>LDAP. Lightweight Directory Authentication Protocol</w:t>
      </w:r>
    </w:p>
    <w:p>
      <w:pPr>
        <w:pStyle w:val="Normal"/>
        <w:rPr/>
      </w:pPr>
      <w:r>
        <w:rPr/>
        <w:t>MAC. Media Access Control</w:t>
      </w:r>
    </w:p>
    <w:p>
      <w:pPr>
        <w:pStyle w:val="Normal"/>
        <w:rPr/>
      </w:pPr>
      <w:r>
        <w:rPr/>
        <w:t>NIST. National Institute of Standards and Technology</w:t>
      </w:r>
    </w:p>
    <w:p>
      <w:pPr>
        <w:pStyle w:val="Normal"/>
        <w:rPr/>
      </w:pPr>
      <w:r>
        <w:rPr/>
        <w:t xml:space="preserve">PACS. Physical Access Control Systems </w:t>
      </w:r>
    </w:p>
    <w:p>
      <w:pPr>
        <w:pStyle w:val="Normal"/>
        <w:rPr/>
      </w:pPr>
      <w:r>
        <w:rPr/>
        <w:t>PCI DSS. Payment Card Industry Data Security Standard</w:t>
      </w:r>
    </w:p>
    <w:p>
      <w:pPr>
        <w:pStyle w:val="Normal"/>
        <w:rPr/>
      </w:pPr>
      <w:r>
        <w:rPr/>
        <w:t>PDCA. Plan-Do-Check-Act</w:t>
      </w:r>
    </w:p>
    <w:p>
      <w:pPr>
        <w:pStyle w:val="Normal"/>
        <w:rPr/>
      </w:pPr>
      <w:r>
        <w:rPr/>
        <w:t>PD. Personal Information</w:t>
      </w:r>
    </w:p>
    <w:p>
      <w:pPr>
        <w:pStyle w:val="Normal"/>
        <w:rPr/>
      </w:pPr>
      <w:r>
        <w:rPr/>
        <w:t>PII. Personally Identifiable Information</w:t>
      </w:r>
    </w:p>
    <w:p>
      <w:pPr>
        <w:pStyle w:val="Normal"/>
        <w:rPr/>
      </w:pPr>
      <w:r>
        <w:rPr/>
        <w:t xml:space="preserve">PIV. Personal Identity Verification </w:t>
      </w:r>
    </w:p>
    <w:p>
      <w:pPr>
        <w:pStyle w:val="Normal"/>
        <w:rPr/>
      </w:pPr>
      <w:r>
        <w:rPr/>
        <w:t>RBAC. Role-Based Access Control</w:t>
      </w:r>
    </w:p>
    <w:p>
      <w:pPr>
        <w:pStyle w:val="Normal"/>
        <w:rPr/>
      </w:pPr>
      <w:r>
        <w:rPr/>
        <w:t>SOX. Sarbanes-Oxley Act</w:t>
      </w:r>
    </w:p>
    <w:p>
      <w:pPr>
        <w:pStyle w:val="Normal"/>
        <w:rPr/>
      </w:pPr>
      <w:r>
        <w:rPr/>
        <w:t>SPI. Sensitive Personal Information</w:t>
      </w:r>
    </w:p>
    <w:p>
      <w:pPr>
        <w:pStyle w:val="Normal"/>
        <w:rPr/>
      </w:pPr>
      <w:r>
        <w:rPr/>
        <w:t xml:space="preserve">TCP / IP. Transmission Control Protocol / Internet Protocol </w:t>
      </w:r>
    </w:p>
    <w:p>
      <w:pPr>
        <w:pStyle w:val="Normal"/>
        <w:rPr/>
      </w:pPr>
      <w:r>
        <w:rPr/>
        <w:t>TLS. Transport Layer Security</w:t>
      </w:r>
    </w:p>
    <w:p>
      <w:pPr>
        <w:pStyle w:val="Normal"/>
        <w:rPr/>
      </w:pPr>
      <w:r>
        <w:rPr/>
      </w:r>
    </w:p>
    <w:p>
      <w:pPr>
        <w:pStyle w:val="Normal"/>
        <w:rPr/>
      </w:pPr>
      <w:r>
        <w:rPr/>
      </w:r>
    </w:p>
    <w:p>
      <w:pPr>
        <w:pStyle w:val="Normal"/>
        <w:rPr/>
      </w:pPr>
      <w:r>
        <w:rPr/>
      </w:r>
    </w:p>
    <w:p>
      <w:pPr>
        <w:pStyle w:val="Heading2"/>
        <w:rPr/>
      </w:pPr>
      <w:bookmarkStart w:id="2456" w:name="_Toc474075480"/>
      <w:bookmarkStart w:id="2457" w:name="_Toc474075901"/>
      <w:bookmarkStart w:id="2458" w:name="_Toc34921391"/>
      <w:r>
        <w:rPr/>
        <w:t>Definitions</w:t>
      </w:r>
      <w:bookmarkEnd w:id="2456"/>
      <w:bookmarkEnd w:id="2457"/>
      <w:bookmarkEnd w:id="2458"/>
      <w:r>
        <w:rPr/>
        <w:t xml:space="preserve"> </w:t>
      </w:r>
    </w:p>
    <w:p>
      <w:pPr>
        <w:pStyle w:val="Normal"/>
        <w:rPr/>
      </w:pPr>
      <w:r>
        <w:rPr/>
      </w:r>
    </w:p>
    <w:p>
      <w:pPr>
        <w:pStyle w:val="Normal"/>
        <w:rPr/>
      </w:pPr>
      <w:r>
        <w:rPr/>
        <w:t>NFCC recognizes two sources for authoritative definitions:</w:t>
      </w:r>
    </w:p>
    <w:p>
      <w:pPr>
        <w:pStyle w:val="ListParagraph"/>
        <w:numPr>
          <w:ilvl w:val="0"/>
          <w:numId w:val="212"/>
        </w:numPr>
        <w:rPr>
          <w:rStyle w:val="FootnoteCharacters"/>
          <w:position w:val="0"/>
          <w:sz w:val="20"/>
          <w:sz w:val="20"/>
          <w:vertAlign w:val="baseline"/>
        </w:rPr>
      </w:pPr>
      <w:r>
        <w:rPr/>
        <w:t xml:space="preserve">The National Institute of Standards and Technology (NIST) IR 7298, </w:t>
      </w:r>
      <w:r>
        <w:rPr>
          <w:i/>
        </w:rPr>
        <w:t>Glossary of Key Information Security Terms</w:t>
      </w:r>
      <w:r>
        <w:rPr/>
        <w:t>, is the approved reference document used to define common cybersecurity terms.</w:t>
      </w:r>
      <w:r>
        <w:rPr>
          <w:rStyle w:val="FootnoteCharacters"/>
          <w:rFonts w:eastAsia="Calibri" w:cs="Calibri"/>
        </w:rPr>
        <w:t xml:space="preserve"> </w:t>
      </w:r>
      <w:r>
        <w:rPr>
          <w:rStyle w:val="FootnoteAnchor"/>
          <w:rStyle w:val="FootnoteAnchor"/>
          <w:rFonts w:eastAsia="Calibri" w:cs="Calibri"/>
        </w:rPr>
        <w:footnoteReference w:id="674"/>
      </w:r>
    </w:p>
    <w:p>
      <w:pPr>
        <w:pStyle w:val="ListParagraph"/>
        <w:numPr>
          <w:ilvl w:val="0"/>
          <w:numId w:val="212"/>
        </w:numPr>
        <w:rPr/>
      </w:pPr>
      <w:r>
        <w:rPr/>
        <w:t>Unified Compliance Framework (UCF) Compliance Library</w:t>
      </w:r>
      <w:r>
        <w:rPr>
          <w:rStyle w:val="FootnoteAnchor"/>
          <w:rStyle w:val="FootnoteAnchor"/>
          <w:rFonts w:cs="Calibri"/>
        </w:rPr>
        <w:footnoteReference w:id="675"/>
      </w:r>
    </w:p>
    <w:p>
      <w:pPr>
        <w:pStyle w:val="Normal"/>
        <w:rPr/>
      </w:pPr>
      <w:r>
        <w:rPr/>
      </w:r>
    </w:p>
    <w:p>
      <w:pPr>
        <w:pStyle w:val="Normal"/>
        <w:rPr/>
      </w:pPr>
      <w:r>
        <w:rPr/>
      </w:r>
      <w:r>
        <w:br w:type="page"/>
      </w:r>
    </w:p>
    <w:p>
      <w:pPr>
        <w:pStyle w:val="Heading1"/>
        <w:rPr/>
      </w:pPr>
      <w:bookmarkStart w:id="2459" w:name="_Toc474075481"/>
      <w:bookmarkStart w:id="2460" w:name="_Toc474075902"/>
      <w:bookmarkStart w:id="2461" w:name="_Toc34921392"/>
      <w:r>
        <w:rPr/>
        <w:t>Key Word Index</w:t>
      </w:r>
      <w:bookmarkEnd w:id="2459"/>
      <w:bookmarkEnd w:id="2460"/>
      <w:bookmarkEnd w:id="2461"/>
      <w:r>
        <w:rPr/>
        <w:t xml:space="preserve"> </w:t>
      </w:r>
    </w:p>
    <w:p>
      <w:pPr>
        <w:pStyle w:val="Normal"/>
        <w:rPr/>
      </w:pPr>
      <w:r>
        <w:rPr/>
      </w:r>
    </w:p>
    <w:p>
      <w:pPr>
        <w:pStyle w:val="Index1"/>
        <w:tabs>
          <w:tab w:val="left" w:pos="360" w:leader="none"/>
          <w:tab w:val="left" w:pos="720" w:leader="none"/>
          <w:tab w:val="left" w:pos="1080" w:leader="none"/>
          <w:tab w:val="right" w:pos="10618" w:leader="none"/>
        </w:tabs>
        <w:rPr/>
      </w:pPr>
      <w:r>
        <w:fldChar w:fldCharType="begin"/>
      </w:r>
      <w:r>
        <w:rPr/>
        <w:instrText> INDEX \e "</w:instrText>
        <w:tab/>
        <w:instrText>" </w:instrText>
      </w:r>
      <w:r>
        <w:rPr/>
        <w:fldChar w:fldCharType="separate"/>
      </w:r>
      <w:r>
        <w:rPr/>
        <w:t>Acceptable Use</w:t>
      </w:r>
    </w:p>
    <w:p>
      <w:pPr>
        <w:pStyle w:val="Index2"/>
        <w:tabs>
          <w:tab w:val="left" w:pos="360" w:leader="none"/>
          <w:tab w:val="left" w:pos="720" w:leader="none"/>
          <w:tab w:val="left" w:pos="1080" w:leader="none"/>
          <w:tab w:val="right" w:pos="10618" w:leader="none"/>
        </w:tabs>
        <w:rPr/>
      </w:pPr>
      <w:r>
        <w:rPr/>
        <w:t>Rules of Behavior, 136</w:t>
      </w:r>
    </w:p>
    <w:p>
      <w:pPr>
        <w:pStyle w:val="Index1"/>
        <w:tabs>
          <w:tab w:val="left" w:pos="360" w:leader="none"/>
          <w:tab w:val="left" w:pos="720" w:leader="none"/>
          <w:tab w:val="left" w:pos="1080" w:leader="none"/>
          <w:tab w:val="right" w:pos="10618" w:leader="none"/>
        </w:tabs>
        <w:rPr/>
      </w:pPr>
      <w:r>
        <w:rPr/>
        <w:t>Compliance, 62</w:t>
      </w:r>
    </w:p>
    <w:p>
      <w:pPr>
        <w:pStyle w:val="Index1"/>
        <w:tabs>
          <w:tab w:val="left" w:pos="360" w:leader="none"/>
          <w:tab w:val="left" w:pos="720" w:leader="none"/>
          <w:tab w:val="left" w:pos="1080" w:leader="none"/>
          <w:tab w:val="right" w:pos="10618" w:leader="none"/>
        </w:tabs>
        <w:rPr/>
      </w:pPr>
      <w:r>
        <w:rPr/>
        <w:t>Identifiers</w:t>
      </w:r>
    </w:p>
    <w:p>
      <w:pPr>
        <w:pStyle w:val="Index2"/>
        <w:tabs>
          <w:tab w:val="left" w:pos="360" w:leader="none"/>
          <w:tab w:val="left" w:pos="720" w:leader="none"/>
          <w:tab w:val="left" w:pos="1080" w:leader="none"/>
          <w:tab w:val="right" w:pos="10618" w:leader="none"/>
        </w:tabs>
        <w:rPr/>
      </w:pPr>
      <w:r>
        <w:rPr/>
        <w:t>Privileged Accounts, 152, 153</w:t>
      </w:r>
    </w:p>
    <w:p>
      <w:pPr>
        <w:pStyle w:val="Index2"/>
        <w:tabs>
          <w:tab w:val="left" w:pos="360" w:leader="none"/>
          <w:tab w:val="left" w:pos="720" w:leader="none"/>
          <w:tab w:val="left" w:pos="1080" w:leader="none"/>
          <w:tab w:val="right" w:pos="10618" w:leader="none"/>
        </w:tabs>
        <w:rPr/>
      </w:pPr>
      <w:r>
        <w:rPr/>
        <w:t>Service Accounts, 151</w:t>
      </w:r>
    </w:p>
    <w:p>
      <w:pPr>
        <w:pStyle w:val="Index2"/>
        <w:tabs>
          <w:tab w:val="left" w:pos="360" w:leader="none"/>
          <w:tab w:val="left" w:pos="720" w:leader="none"/>
          <w:tab w:val="left" w:pos="1080" w:leader="none"/>
          <w:tab w:val="right" w:pos="10618" w:leader="none"/>
        </w:tabs>
        <w:rPr/>
      </w:pPr>
      <w:r>
        <w:rPr/>
        <w:t>User Names, 151</w:t>
      </w:r>
    </w:p>
    <w:p>
      <w:pPr>
        <w:pStyle w:val="Index1"/>
        <w:tabs>
          <w:tab w:val="left" w:pos="360" w:leader="none"/>
          <w:tab w:val="left" w:pos="720" w:leader="none"/>
          <w:tab w:val="left" w:pos="1080" w:leader="none"/>
          <w:tab w:val="right" w:pos="10618" w:leader="none"/>
        </w:tabs>
        <w:rPr/>
      </w:pPr>
      <w:r>
        <w:rPr/>
        <w:t>Information Security Management System, 24</w:t>
      </w:r>
    </w:p>
    <w:p>
      <w:pPr>
        <w:pStyle w:val="Index2"/>
        <w:tabs>
          <w:tab w:val="left" w:pos="360" w:leader="none"/>
          <w:tab w:val="left" w:pos="720" w:leader="none"/>
          <w:tab w:val="left" w:pos="1080" w:leader="none"/>
          <w:tab w:val="right" w:pos="10618" w:leader="none"/>
        </w:tabs>
        <w:rPr/>
      </w:pPr>
      <w:r>
        <w:rPr/>
        <w:t>Plan-Check-Do-Act, 24</w:t>
      </w:r>
    </w:p>
    <w:p>
      <w:pPr>
        <w:pStyle w:val="Index1"/>
        <w:tabs>
          <w:tab w:val="left" w:pos="360" w:leader="none"/>
          <w:tab w:val="left" w:pos="720" w:leader="none"/>
          <w:tab w:val="left" w:pos="1080" w:leader="none"/>
          <w:tab w:val="right" w:pos="10618" w:leader="none"/>
        </w:tabs>
        <w:rPr/>
      </w:pPr>
      <w:r>
        <w:rPr/>
        <w:t>Least Functionality, 69</w:t>
      </w:r>
    </w:p>
    <w:p>
      <w:pPr>
        <w:pStyle w:val="Index2"/>
        <w:tabs>
          <w:tab w:val="left" w:pos="360" w:leader="none"/>
          <w:tab w:val="left" w:pos="720" w:leader="none"/>
          <w:tab w:val="left" w:pos="1080" w:leader="none"/>
          <w:tab w:val="right" w:pos="10618" w:leader="none"/>
        </w:tabs>
        <w:rPr/>
      </w:pPr>
      <w:r>
        <w:rPr/>
        <w:t>Least Privileges, 69</w:t>
      </w:r>
    </w:p>
    <w:p>
      <w:pPr>
        <w:pStyle w:val="Index1"/>
        <w:tabs>
          <w:tab w:val="left" w:pos="360" w:leader="none"/>
          <w:tab w:val="left" w:pos="720" w:leader="none"/>
          <w:tab w:val="left" w:pos="1080" w:leader="none"/>
          <w:tab w:val="right" w:pos="10618" w:leader="none"/>
        </w:tabs>
        <w:rPr>
          <w:bCs w:val="false"/>
        </w:rPr>
      </w:pPr>
      <w:r>
        <w:rPr/>
        <w:t xml:space="preserve">Mobile Devices, </w:t>
      </w:r>
      <w:r>
        <w:rPr>
          <w:b w:val="false"/>
          <w:bCs w:val="false"/>
        </w:rPr>
        <w:t>196</w:t>
      </w:r>
    </w:p>
    <w:p>
      <w:pPr>
        <w:pStyle w:val="Index2"/>
        <w:tabs>
          <w:tab w:val="left" w:pos="360" w:leader="none"/>
          <w:tab w:val="left" w:pos="720" w:leader="none"/>
          <w:tab w:val="left" w:pos="1080" w:leader="none"/>
          <w:tab w:val="right" w:pos="10618" w:leader="none"/>
        </w:tabs>
        <w:rPr/>
      </w:pPr>
      <w:r>
        <w:rPr/>
        <w:t>Remote Kill, 169</w:t>
      </w:r>
    </w:p>
    <w:p>
      <w:pPr>
        <w:pStyle w:val="Index1"/>
        <w:tabs>
          <w:tab w:val="left" w:pos="360" w:leader="none"/>
          <w:tab w:val="left" w:pos="720" w:leader="none"/>
          <w:tab w:val="left" w:pos="1080" w:leader="none"/>
          <w:tab w:val="right" w:pos="10618" w:leader="none"/>
        </w:tabs>
        <w:rPr/>
      </w:pPr>
      <w:r>
        <w:rPr/>
        <w:t>Password</w:t>
      </w:r>
    </w:p>
    <w:p>
      <w:pPr>
        <w:pStyle w:val="Index2"/>
        <w:tabs>
          <w:tab w:val="left" w:pos="360" w:leader="none"/>
          <w:tab w:val="left" w:pos="720" w:leader="none"/>
          <w:tab w:val="left" w:pos="1080" w:leader="none"/>
          <w:tab w:val="right" w:pos="10618" w:leader="none"/>
        </w:tabs>
        <w:rPr/>
      </w:pPr>
      <w:r>
        <w:rPr/>
        <w:t>Complexity, 153, 154</w:t>
      </w:r>
    </w:p>
    <w:p>
      <w:pPr>
        <w:pStyle w:val="Index2"/>
        <w:tabs>
          <w:tab w:val="left" w:pos="360" w:leader="none"/>
          <w:tab w:val="left" w:pos="720" w:leader="none"/>
          <w:tab w:val="left" w:pos="1080" w:leader="none"/>
          <w:tab w:val="right" w:pos="10618" w:leader="none"/>
        </w:tabs>
        <w:rPr/>
      </w:pPr>
      <w:r>
        <w:rPr/>
        <w:t>Length, 153, 154</w:t>
      </w:r>
    </w:p>
    <w:p>
      <w:pPr>
        <w:pStyle w:val="Index2"/>
        <w:tabs>
          <w:tab w:val="left" w:pos="360" w:leader="none"/>
          <w:tab w:val="left" w:pos="720" w:leader="none"/>
          <w:tab w:val="left" w:pos="1080" w:leader="none"/>
          <w:tab w:val="right" w:pos="10618" w:leader="none"/>
        </w:tabs>
        <w:rPr/>
      </w:pPr>
      <w:r>
        <w:rPr/>
        <w:t>Maximum Life, 153, 154</w:t>
      </w:r>
    </w:p>
    <w:p>
      <w:pPr>
        <w:pStyle w:val="Index1"/>
        <w:tabs>
          <w:tab w:val="left" w:pos="360" w:leader="none"/>
          <w:tab w:val="left" w:pos="720" w:leader="none"/>
          <w:tab w:val="left" w:pos="1080" w:leader="none"/>
          <w:tab w:val="right" w:pos="10618" w:leader="none"/>
        </w:tabs>
        <w:rPr/>
      </w:pPr>
      <w:r>
        <w:rPr/>
        <w:t>Privacy Policy</w:t>
      </w:r>
    </w:p>
    <w:p>
      <w:pPr>
        <w:pStyle w:val="Index2"/>
        <w:tabs>
          <w:tab w:val="left" w:pos="360" w:leader="none"/>
          <w:tab w:val="left" w:pos="720" w:leader="none"/>
          <w:tab w:val="left" w:pos="1080" w:leader="none"/>
          <w:tab w:val="right" w:pos="10618" w:leader="none"/>
        </w:tabs>
        <w:rPr/>
      </w:pPr>
      <w:r>
        <w:rPr/>
        <w:t>Data Collection, 114, 116</w:t>
      </w:r>
    </w:p>
    <w:p>
      <w:pPr>
        <w:pStyle w:val="Index1"/>
        <w:tabs>
          <w:tab w:val="left" w:pos="360" w:leader="none"/>
          <w:tab w:val="left" w:pos="720" w:leader="none"/>
          <w:tab w:val="left" w:pos="1080" w:leader="none"/>
          <w:tab w:val="right" w:pos="10618" w:leader="none"/>
        </w:tabs>
        <w:rPr/>
      </w:pPr>
      <w:r>
        <w:rPr/>
        <w:t>Remote Access, 214, 216</w:t>
      </w:r>
    </w:p>
    <w:p>
      <w:pPr>
        <w:pStyle w:val="Index1"/>
        <w:tabs>
          <w:tab w:val="left" w:pos="360" w:leader="none"/>
          <w:tab w:val="left" w:pos="720" w:leader="none"/>
          <w:tab w:val="left" w:pos="1080" w:leader="none"/>
          <w:tab w:val="right" w:pos="10618" w:leader="none"/>
        </w:tabs>
        <w:rPr/>
      </w:pPr>
      <w:r>
        <w:rPr/>
        <w:t>Risk Management, 246</w:t>
      </w:r>
    </w:p>
    <w:p>
      <w:pPr>
        <w:pStyle w:val="Index1"/>
        <w:tabs>
          <w:tab w:val="left" w:pos="360" w:leader="none"/>
          <w:tab w:val="left" w:pos="720" w:leader="none"/>
          <w:tab w:val="left" w:pos="1080" w:leader="none"/>
          <w:tab w:val="right" w:pos="10618" w:leader="none"/>
        </w:tabs>
        <w:rPr/>
      </w:pPr>
      <w:r>
        <w:rPr/>
        <w:t>Roles &amp; Responsibilities</w:t>
      </w:r>
    </w:p>
    <w:p>
      <w:pPr>
        <w:pStyle w:val="Index2"/>
        <w:tabs>
          <w:tab w:val="left" w:pos="360" w:leader="none"/>
          <w:tab w:val="left" w:pos="720" w:leader="none"/>
          <w:tab w:val="left" w:pos="1080" w:leader="none"/>
          <w:tab w:val="right" w:pos="10618" w:leader="none"/>
        </w:tabs>
        <w:rPr/>
      </w:pPr>
      <w:r>
        <w:rPr/>
        <w:t>Information Security Officer (ISO), 26</w:t>
      </w:r>
    </w:p>
    <w:p>
      <w:pPr>
        <w:pStyle w:val="Index1"/>
        <w:tabs>
          <w:tab w:val="left" w:pos="360" w:leader="none"/>
          <w:tab w:val="left" w:pos="720" w:leader="none"/>
          <w:tab w:val="left" w:pos="1080" w:leader="none"/>
          <w:tab w:val="right" w:pos="10618" w:leader="none"/>
        </w:tabs>
        <w:rPr/>
      </w:pPr>
      <w:r>
        <w:rPr/>
        <w:t>System Use Notification</w:t>
      </w:r>
    </w:p>
    <w:p>
      <w:pPr>
        <w:pStyle w:val="Index2"/>
        <w:tabs>
          <w:tab w:val="left" w:pos="360" w:leader="none"/>
          <w:tab w:val="left" w:pos="720" w:leader="none"/>
          <w:tab w:val="left" w:pos="1080" w:leader="none"/>
          <w:tab w:val="right" w:pos="10618" w:leader="none"/>
        </w:tabs>
        <w:rPr/>
      </w:pPr>
      <w:r>
        <w:rPr/>
        <w:t>Logon Banner, 262</w:t>
      </w:r>
    </w:p>
    <w:p>
      <w:pPr>
        <w:pStyle w:val="Index1"/>
        <w:tabs>
          <w:tab w:val="left" w:pos="360" w:leader="none"/>
          <w:tab w:val="left" w:pos="720" w:leader="none"/>
          <w:tab w:val="left" w:pos="1080" w:leader="none"/>
          <w:tab w:val="right" w:pos="10618" w:leader="none"/>
        </w:tabs>
        <w:rPr/>
      </w:pPr>
      <w:r>
        <w:rPr/>
        <w:t xml:space="preserve">User Names. </w:t>
      </w:r>
      <w:r>
        <w:rPr>
          <w:i/>
        </w:rPr>
        <w:t>See</w:t>
      </w:r>
      <w:r>
        <w:rPr/>
        <w:t xml:space="preserve"> Identifiers</w:t>
      </w:r>
    </w:p>
    <w:p>
      <w:pPr>
        <w:pStyle w:val="Index1"/>
        <w:tabs>
          <w:tab w:val="left" w:pos="360" w:leader="none"/>
          <w:tab w:val="left" w:pos="720" w:leader="none"/>
          <w:tab w:val="left" w:pos="1080" w:leader="none"/>
          <w:tab w:val="right" w:pos="10618" w:leader="none"/>
        </w:tabs>
        <w:rPr/>
      </w:pPr>
      <w:r>
        <w:rPr/>
        <w:t xml:space="preserve">Virtual Private Network (VPN). </w:t>
      </w:r>
      <w:r>
        <w:rPr>
          <w:i/>
        </w:rPr>
        <w:t>See</w:t>
      </w:r>
      <w:r>
        <w:rPr/>
        <w:t xml:space="preserve"> Remote Access</w:t>
      </w:r>
    </w:p>
    <w:p>
      <w:pPr>
        <w:pStyle w:val="Index1"/>
        <w:tabs>
          <w:tab w:val="left" w:pos="360" w:leader="none"/>
          <w:tab w:val="left" w:pos="720" w:leader="none"/>
          <w:tab w:val="left" w:pos="1080" w:leader="none"/>
          <w:tab w:val="right" w:pos="10618" w:leader="none"/>
        </w:tabs>
        <w:rPr/>
      </w:pPr>
      <w:r>
        <w:rPr/>
        <w:t>Vulnerability Management</w:t>
      </w:r>
    </w:p>
    <w:p>
      <w:pPr>
        <w:pStyle w:val="Index2"/>
        <w:tabs>
          <w:tab w:val="left" w:pos="360" w:leader="none"/>
          <w:tab w:val="left" w:pos="720" w:leader="none"/>
          <w:tab w:val="left" w:pos="1080" w:leader="none"/>
          <w:tab w:val="right" w:pos="10618" w:leader="none"/>
        </w:tabs>
        <w:rPr/>
      </w:pPr>
      <w:r>
        <w:rPr/>
        <w:t>Remediation Process, 292</w:t>
      </w:r>
    </w:p>
    <w:p>
      <w:pPr>
        <w:pStyle w:val="Index1"/>
        <w:tabs>
          <w:tab w:val="left" w:pos="360" w:leader="none"/>
          <w:tab w:val="left" w:pos="720" w:leader="none"/>
          <w:tab w:val="left" w:pos="1080" w:leader="none"/>
          <w:tab w:val="right" w:pos="10618" w:leader="none"/>
        </w:tabs>
        <w:rPr/>
      </w:pPr>
      <w:r>
        <w:rPr/>
        <w:t>Wireless, 215</w:t>
      </w:r>
      <w:r>
        <w:rPr/>
        <w:fldChar w:fldCharType="end"/>
      </w:r>
    </w:p>
    <w:p>
      <w:pPr>
        <w:pStyle w:val="Normal"/>
        <w:rPr/>
      </w:pPr>
      <w:r>
        <w:rPr/>
      </w:r>
    </w:p>
    <w:p>
      <w:pPr>
        <w:pStyle w:val="Normal"/>
        <w:rPr/>
      </w:pPr>
      <w:r>
        <w:rPr/>
      </w:r>
    </w:p>
    <w:p>
      <w:pPr>
        <w:pStyle w:val="Normal"/>
        <w:rPr/>
      </w:pPr>
      <w:r>
        <w:rPr/>
      </w:r>
    </w:p>
    <w:p>
      <w:pPr>
        <w:pStyle w:val="Normal"/>
        <w:rPr/>
      </w:pPr>
      <w:r>
        <w:rPr/>
      </w:r>
    </w:p>
    <w:p>
      <w:pPr>
        <w:pStyle w:val="Normal"/>
        <w:rPr>
          <w:rFonts w:eastAsia="Calibri"/>
        </w:rPr>
      </w:pPr>
      <w:r>
        <w:rPr>
          <w:rFonts w:eastAsia="Calibri"/>
        </w:rPr>
      </w:r>
      <w:r>
        <w:br w:type="page"/>
      </w:r>
    </w:p>
    <w:p>
      <w:pPr>
        <w:pStyle w:val="Heading1"/>
        <w:rPr/>
      </w:pPr>
      <w:bookmarkStart w:id="2462" w:name="_Toc474075482"/>
      <w:bookmarkStart w:id="2463" w:name="_Toc474075903"/>
      <w:bookmarkStart w:id="2464" w:name="_Toc34921393"/>
      <w:bookmarkStart w:id="2465" w:name="_RECORD_OF_CHANGES"/>
      <w:bookmarkEnd w:id="2465"/>
      <w:r>
        <w:rPr/>
        <w:t>Record of Changes</w:t>
      </w:r>
      <w:bookmarkEnd w:id="2462"/>
      <w:bookmarkEnd w:id="2463"/>
      <w:bookmarkEnd w:id="2464"/>
      <w:r>
        <w:rPr/>
        <w:t xml:space="preserve"> </w:t>
      </w:r>
    </w:p>
    <w:p>
      <w:pPr>
        <w:pStyle w:val="Normal"/>
        <w:rPr/>
      </w:pPr>
      <w:r>
        <w:rPr/>
      </w:r>
    </w:p>
    <w:p>
      <w:pPr>
        <w:pStyle w:val="Normal"/>
        <w:rPr/>
      </w:pPr>
      <w:r>
        <w:rPr/>
      </w:r>
    </w:p>
    <w:tbl>
      <w:tblPr>
        <w:tblW w:w="10050" w:type="dxa"/>
        <w:jc w:val="center"/>
        <w:tblInd w:w="0" w:type="dxa"/>
        <w:tblBorders>
          <w:top w:val="single" w:sz="6" w:space="0" w:color="000000"/>
          <w:left w:val="single" w:sz="6" w:space="0" w:color="000000"/>
          <w:bottom w:val="single" w:sz="4" w:space="0" w:color="000000"/>
          <w:right w:val="single" w:sz="6" w:space="0" w:color="000000"/>
          <w:insideH w:val="single" w:sz="4" w:space="0" w:color="000000"/>
          <w:insideV w:val="single" w:sz="6" w:space="0" w:color="000000"/>
        </w:tblBorders>
        <w:tblCellMar>
          <w:top w:w="0" w:type="dxa"/>
          <w:left w:w="71" w:type="dxa"/>
          <w:bottom w:w="0" w:type="dxa"/>
          <w:right w:w="80" w:type="dxa"/>
        </w:tblCellMar>
        <w:tblLook w:noVBand="0" w:val="0000" w:noHBand="0" w:lastColumn="0" w:firstColumn="0" w:lastRow="0" w:firstRow="0"/>
      </w:tblPr>
      <w:tblGrid>
        <w:gridCol w:w="1154"/>
        <w:gridCol w:w="1262"/>
        <w:gridCol w:w="1978"/>
        <w:gridCol w:w="5655"/>
      </w:tblGrid>
      <w:tr>
        <w:trPr>
          <w:cantSplit w:val="true"/>
        </w:trPr>
        <w:tc>
          <w:tcPr>
            <w:tcW w:w="1154" w:type="dxa"/>
            <w:tcBorders>
              <w:top w:val="single" w:sz="6" w:space="0" w:color="000000"/>
              <w:left w:val="single" w:sz="6" w:space="0" w:color="000000"/>
              <w:bottom w:val="single" w:sz="4" w:space="0" w:color="000000"/>
              <w:right w:val="single" w:sz="6" w:space="0" w:color="000000"/>
              <w:insideH w:val="single" w:sz="4" w:space="0" w:color="000000"/>
              <w:insideV w:val="single" w:sz="6" w:space="0" w:color="000000"/>
            </w:tcBorders>
            <w:shd w:color="auto" w:fill="E6E6E6" w:val="clear"/>
          </w:tcPr>
          <w:p>
            <w:pPr>
              <w:pStyle w:val="Nostyle"/>
              <w:rPr/>
            </w:pPr>
            <w:r>
              <w:rPr/>
              <w:t>Issue</w:t>
            </w:r>
          </w:p>
        </w:tc>
        <w:tc>
          <w:tcPr>
            <w:tcW w:w="1262" w:type="dxa"/>
            <w:tcBorders>
              <w:top w:val="single" w:sz="6" w:space="0" w:color="000000"/>
              <w:left w:val="single" w:sz="6" w:space="0" w:color="000000"/>
              <w:bottom w:val="single" w:sz="4" w:space="0" w:color="000000"/>
              <w:right w:val="single" w:sz="6" w:space="0" w:color="000000"/>
              <w:insideH w:val="single" w:sz="4" w:space="0" w:color="000000"/>
              <w:insideV w:val="single" w:sz="6" w:space="0" w:color="000000"/>
            </w:tcBorders>
            <w:shd w:color="auto" w:fill="E6E6E6" w:val="clear"/>
          </w:tcPr>
          <w:p>
            <w:pPr>
              <w:pStyle w:val="Nostyle"/>
              <w:rPr/>
            </w:pPr>
            <w:r>
              <w:rPr/>
              <w:t>Date</w:t>
            </w:r>
          </w:p>
        </w:tc>
        <w:tc>
          <w:tcPr>
            <w:tcW w:w="1978" w:type="dxa"/>
            <w:tcBorders>
              <w:top w:val="single" w:sz="6" w:space="0" w:color="000000"/>
              <w:left w:val="single" w:sz="6" w:space="0" w:color="000000"/>
              <w:bottom w:val="single" w:sz="4" w:space="0" w:color="000000"/>
              <w:right w:val="single" w:sz="6" w:space="0" w:color="000000"/>
              <w:insideH w:val="single" w:sz="4" w:space="0" w:color="000000"/>
              <w:insideV w:val="single" w:sz="6" w:space="0" w:color="000000"/>
            </w:tcBorders>
            <w:shd w:color="auto" w:fill="E6E6E6" w:val="clear"/>
          </w:tcPr>
          <w:p>
            <w:pPr>
              <w:pStyle w:val="Nostyle"/>
              <w:rPr/>
            </w:pPr>
            <w:r>
              <w:rPr/>
              <w:t>Pages Affected</w:t>
            </w:r>
          </w:p>
        </w:tc>
        <w:tc>
          <w:tcPr>
            <w:tcW w:w="5655" w:type="dxa"/>
            <w:tcBorders>
              <w:top w:val="single" w:sz="6" w:space="0" w:color="000000"/>
              <w:left w:val="single" w:sz="6" w:space="0" w:color="000000"/>
              <w:bottom w:val="single" w:sz="4" w:space="0" w:color="000000"/>
              <w:right w:val="single" w:sz="6" w:space="0" w:color="000000"/>
              <w:insideH w:val="single" w:sz="4" w:space="0" w:color="000000"/>
              <w:insideV w:val="single" w:sz="6" w:space="0" w:color="000000"/>
            </w:tcBorders>
            <w:shd w:color="auto" w:fill="E6E6E6" w:val="clear"/>
          </w:tcPr>
          <w:p>
            <w:pPr>
              <w:pStyle w:val="Nostyle"/>
              <w:rPr/>
            </w:pPr>
            <w:r>
              <w:rPr/>
              <w:t>Description</w:t>
            </w:r>
          </w:p>
        </w:tc>
      </w:tr>
      <w:tr>
        <w:trPr>
          <w:cantSplit w:val="true"/>
        </w:trPr>
        <w:tc>
          <w:tcPr>
            <w:tcW w:w="115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t>Original</w:t>
            </w:r>
          </w:p>
        </w:tc>
        <w:tc>
          <w:tcPr>
            <w:tcW w:w="126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t>D / M / Y</w:t>
            </w:r>
          </w:p>
        </w:tc>
        <w:tc>
          <w:tcPr>
            <w:tcW w:w="197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t>All</w:t>
            </w:r>
          </w:p>
        </w:tc>
        <w:tc>
          <w:tcPr>
            <w:tcW w:w="565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t>Original version for first publish.</w:t>
            </w:r>
          </w:p>
        </w:tc>
      </w:tr>
      <w:tr>
        <w:trPr>
          <w:cantSplit w:val="true"/>
        </w:trPr>
        <w:tc>
          <w:tcPr>
            <w:tcW w:w="115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126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197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565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r>
      <w:tr>
        <w:trPr>
          <w:cantSplit w:val="true"/>
        </w:trPr>
        <w:tc>
          <w:tcPr>
            <w:tcW w:w="115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126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197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565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r>
      <w:tr>
        <w:trPr>
          <w:cantSplit w:val="true"/>
        </w:trPr>
        <w:tc>
          <w:tcPr>
            <w:tcW w:w="115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126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197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565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r>
      <w:tr>
        <w:trPr>
          <w:cantSplit w:val="true"/>
        </w:trPr>
        <w:tc>
          <w:tcPr>
            <w:tcW w:w="115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126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197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565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r>
      <w:tr>
        <w:trPr>
          <w:cantSplit w:val="true"/>
        </w:trPr>
        <w:tc>
          <w:tcPr>
            <w:tcW w:w="115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126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197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565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r>
      <w:tr>
        <w:trPr>
          <w:cantSplit w:val="true"/>
        </w:trPr>
        <w:tc>
          <w:tcPr>
            <w:tcW w:w="115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126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197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565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r>
      <w:tr>
        <w:trPr>
          <w:cantSplit w:val="true"/>
        </w:trPr>
        <w:tc>
          <w:tcPr>
            <w:tcW w:w="115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126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197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565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r>
      <w:tr>
        <w:trPr>
          <w:cantSplit w:val="true"/>
        </w:trPr>
        <w:tc>
          <w:tcPr>
            <w:tcW w:w="115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126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197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565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r>
      <w:tr>
        <w:trPr>
          <w:cantSplit w:val="true"/>
        </w:trPr>
        <w:tc>
          <w:tcPr>
            <w:tcW w:w="115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126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197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565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r>
      <w:tr>
        <w:trPr>
          <w:cantSplit w:val="true"/>
        </w:trPr>
        <w:tc>
          <w:tcPr>
            <w:tcW w:w="115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126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197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565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r>
      <w:tr>
        <w:trPr>
          <w:cantSplit w:val="true"/>
        </w:trPr>
        <w:tc>
          <w:tcPr>
            <w:tcW w:w="115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126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197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565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r>
      <w:tr>
        <w:trPr>
          <w:cantSplit w:val="true"/>
        </w:trPr>
        <w:tc>
          <w:tcPr>
            <w:tcW w:w="115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126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197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565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r>
      <w:tr>
        <w:trPr>
          <w:cantSplit w:val="true"/>
        </w:trPr>
        <w:tc>
          <w:tcPr>
            <w:tcW w:w="115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126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197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565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r>
      <w:tr>
        <w:trPr>
          <w:cantSplit w:val="true"/>
        </w:trPr>
        <w:tc>
          <w:tcPr>
            <w:tcW w:w="115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126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197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565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r>
      <w:tr>
        <w:trPr>
          <w:cantSplit w:val="true"/>
        </w:trPr>
        <w:tc>
          <w:tcPr>
            <w:tcW w:w="115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126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197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565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r>
      <w:tr>
        <w:trPr>
          <w:cantSplit w:val="true"/>
        </w:trPr>
        <w:tc>
          <w:tcPr>
            <w:tcW w:w="115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126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197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565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r>
      <w:tr>
        <w:trPr>
          <w:cantSplit w:val="true"/>
        </w:trPr>
        <w:tc>
          <w:tcPr>
            <w:tcW w:w="115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126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197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565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r>
      <w:tr>
        <w:trPr>
          <w:cantSplit w:val="true"/>
        </w:trPr>
        <w:tc>
          <w:tcPr>
            <w:tcW w:w="115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126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197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565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r>
      <w:tr>
        <w:trPr>
          <w:cantSplit w:val="true"/>
        </w:trPr>
        <w:tc>
          <w:tcPr>
            <w:tcW w:w="115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126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197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565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r>
      <w:tr>
        <w:trPr>
          <w:cantSplit w:val="true"/>
        </w:trPr>
        <w:tc>
          <w:tcPr>
            <w:tcW w:w="115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126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197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565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r>
      <w:tr>
        <w:trPr>
          <w:cantSplit w:val="true"/>
        </w:trPr>
        <w:tc>
          <w:tcPr>
            <w:tcW w:w="115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126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197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565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r>
      <w:tr>
        <w:trPr>
          <w:cantSplit w:val="true"/>
        </w:trPr>
        <w:tc>
          <w:tcPr>
            <w:tcW w:w="115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126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197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565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r>
      <w:tr>
        <w:trPr>
          <w:cantSplit w:val="true"/>
        </w:trPr>
        <w:tc>
          <w:tcPr>
            <w:tcW w:w="115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126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197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565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r>
      <w:tr>
        <w:trPr>
          <w:cantSplit w:val="true"/>
        </w:trPr>
        <w:tc>
          <w:tcPr>
            <w:tcW w:w="115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126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197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565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r>
      <w:tr>
        <w:trPr>
          <w:cantSplit w:val="true"/>
        </w:trPr>
        <w:tc>
          <w:tcPr>
            <w:tcW w:w="115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126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197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565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r>
      <w:tr>
        <w:trPr>
          <w:cantSplit w:val="true"/>
        </w:trPr>
        <w:tc>
          <w:tcPr>
            <w:tcW w:w="115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126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197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565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r>
      <w:tr>
        <w:trPr>
          <w:cantSplit w:val="true"/>
        </w:trPr>
        <w:tc>
          <w:tcPr>
            <w:tcW w:w="115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126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197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565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r>
      <w:tr>
        <w:trPr>
          <w:cantSplit w:val="true"/>
        </w:trPr>
        <w:tc>
          <w:tcPr>
            <w:tcW w:w="115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126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197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565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r>
      <w:tr>
        <w:trPr>
          <w:cantSplit w:val="true"/>
        </w:trPr>
        <w:tc>
          <w:tcPr>
            <w:tcW w:w="115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126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197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565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r>
      <w:tr>
        <w:trPr>
          <w:cantSplit w:val="true"/>
        </w:trPr>
        <w:tc>
          <w:tcPr>
            <w:tcW w:w="115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126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197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565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r>
      <w:tr>
        <w:trPr>
          <w:cantSplit w:val="true"/>
        </w:trPr>
        <w:tc>
          <w:tcPr>
            <w:tcW w:w="115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126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197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565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r>
      <w:tr>
        <w:trPr>
          <w:cantSplit w:val="true"/>
        </w:trPr>
        <w:tc>
          <w:tcPr>
            <w:tcW w:w="115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126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197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565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r>
      <w:tr>
        <w:trPr>
          <w:cantSplit w:val="true"/>
        </w:trPr>
        <w:tc>
          <w:tcPr>
            <w:tcW w:w="115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126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197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565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r>
      <w:tr>
        <w:trPr>
          <w:cantSplit w:val="true"/>
        </w:trPr>
        <w:tc>
          <w:tcPr>
            <w:tcW w:w="115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126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197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565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r>
      <w:tr>
        <w:trPr>
          <w:cantSplit w:val="true"/>
        </w:trPr>
        <w:tc>
          <w:tcPr>
            <w:tcW w:w="115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126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197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565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r>
      <w:tr>
        <w:trPr>
          <w:cantSplit w:val="true"/>
        </w:trPr>
        <w:tc>
          <w:tcPr>
            <w:tcW w:w="115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126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197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c>
          <w:tcPr>
            <w:tcW w:w="565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style"/>
              <w:rPr/>
            </w:pPr>
            <w:r>
              <w:rPr/>
            </w:r>
          </w:p>
        </w:tc>
      </w:tr>
    </w:tbl>
    <w:p>
      <w:pPr>
        <w:pStyle w:val="Normal"/>
        <w:rPr/>
      </w:pPr>
      <w:r>
        <w:rPr/>
      </w:r>
    </w:p>
    <w:p>
      <w:pPr>
        <w:pStyle w:val="Normal"/>
        <w:rPr/>
      </w:pPr>
      <w:r>
        <w:rPr/>
      </w:r>
    </w:p>
    <w:p>
      <w:pPr>
        <w:sectPr>
          <w:footerReference w:type="default" r:id="rId12"/>
          <w:footerReference w:type="first" r:id="rId13"/>
          <w:footnotePr>
            <w:numFmt w:val="decimal"/>
          </w:footnotePr>
          <w:type w:val="nextPage"/>
          <w:pgSz w:w="12240" w:h="15840"/>
          <w:pgMar w:left="806" w:right="806" w:header="0" w:top="720" w:footer="346" w:bottom="720" w:gutter="0"/>
          <w:pgNumType w:fmt="decimal"/>
          <w:formProt w:val="false"/>
          <w:titlePg/>
          <w:textDirection w:val="lrTb"/>
          <w:docGrid w:type="default" w:linePitch="312" w:charSpace="1842"/>
        </w:sectPr>
      </w:pPr>
    </w:p>
    <w:p>
      <w:pPr>
        <w:pStyle w:val="Normal"/>
        <w:rPr/>
      </w:pPr>
      <w:r>
        <w:rPr/>
      </w:r>
    </w:p>
    <w:p>
      <w:pPr>
        <w:sectPr>
          <w:footnotePr>
            <w:numFmt w:val="decimal"/>
          </w:footnotePr>
          <w:type w:val="continuous"/>
          <w:pgSz w:w="12240" w:h="15840"/>
          <w:pgMar w:left="806" w:right="806" w:header="0" w:top="720" w:footer="346" w:bottom="720" w:gutter="0"/>
          <w:formProt w:val="false"/>
          <w:textDirection w:val="lrTb"/>
          <w:docGrid w:type="default" w:linePitch="312" w:charSpace="1842"/>
        </w:sectPr>
      </w:pPr>
    </w:p>
    <w:sectPr>
      <w:footnotePr>
        <w:numFmt w:val="decimal"/>
      </w:footnotePr>
      <w:type w:val="continuous"/>
      <w:pgSz w:w="12240" w:h="15840"/>
      <w:pgMar w:left="806" w:right="806" w:header="0" w:top="720" w:footer="346" w:bottom="720" w:gutter="0"/>
      <w:pgNumType w:fmt="decimal"/>
      <w:formProt w:val="false"/>
      <w:textDirection w:val="lrTb"/>
      <w:docGrid w:type="default" w:linePitch="312" w:charSpace="184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Arial">
    <w:charset w:val="01"/>
    <w:family w:val="roman"/>
    <w:pitch w:val="variable"/>
  </w:font>
  <w:font w:name="Cambria">
    <w:charset w:val="01"/>
    <w:family w:val="roman"/>
    <w:pitch w:val="variable"/>
  </w:font>
  <w:font w:name="Tahoma">
    <w:charset w:val="01"/>
    <w:family w:val="roman"/>
    <w:pitch w:val="variable"/>
  </w:font>
  <w:font w:name="Liberation Sans">
    <w:altName w:val="Arial"/>
    <w:charset w:val="01"/>
    <w:family w:val="roman"/>
    <w:pitch w:val="variable"/>
  </w:font>
  <w:font w:name="Arial Black">
    <w:charset w:val="01"/>
    <w:family w:val="roman"/>
    <w:pitch w:val="variable"/>
  </w:font>
  <w:font w:name="Bitstream Vera Sans">
    <w:charset w:val="01"/>
    <w:family w:val="roman"/>
    <w:pitch w:val="variable"/>
  </w:font>
  <w:font w:name="Verdana">
    <w:charset w:val="01"/>
    <w:family w:val="roman"/>
    <w:pitch w:val="variable"/>
  </w:font>
  <w:font w:name="OMMIMP+TimesNewRoman">
    <w:charset w:val="01"/>
    <w:family w:val="roman"/>
    <w:pitch w:val="variable"/>
  </w:font>
  <w:font w:name="Wingdings">
    <w:charset w:val="02"/>
    <w:family w:val="auto"/>
    <w:pitch w:val="default"/>
  </w:font>
  <w:font w:name="Courier New">
    <w:charset w:val="01"/>
    <w:family w:val="auto"/>
    <w:pitch w:val="default"/>
  </w:font>
  <w:font w:name="Symbol">
    <w:charset w:val="02"/>
    <w:family w:val="auto"/>
    <w:pitch w:val="default"/>
  </w:font>
  <w:font w:name="Calibri">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rFonts w:cs="Calibri"/>
        <w:sz w:val="18"/>
        <w:szCs w:val="18"/>
      </w:rPr>
    </w:pPr>
    <w:r>
      <mc:AlternateContent>
        <mc:Choice Requires="wps">
          <w:drawing>
            <wp:anchor behindDoc="1" distT="0" distB="0" distL="114300" distR="114300" simplePos="0" locked="0" layoutInCell="1" allowOverlap="1" relativeHeight="621" wp14:anchorId="60C3667D">
              <wp:simplePos x="0" y="0"/>
              <wp:positionH relativeFrom="margin">
                <wp:posOffset>1431290</wp:posOffset>
              </wp:positionH>
              <wp:positionV relativeFrom="paragraph">
                <wp:posOffset>38100</wp:posOffset>
              </wp:positionV>
              <wp:extent cx="3658870" cy="372745"/>
              <wp:effectExtent l="0" t="0" r="19050" b="28575"/>
              <wp:wrapNone/>
              <wp:docPr id="5" name="Rectangle 14"/>
              <a:graphic xmlns:a="http://schemas.openxmlformats.org/drawingml/2006/main">
                <a:graphicData uri="http://schemas.microsoft.com/office/word/2010/wordprocessingShape">
                  <wps:wsp>
                    <wps:cNvSpPr/>
                    <wps:spPr>
                      <a:xfrm>
                        <a:off x="0" y="0"/>
                        <a:ext cx="3658320" cy="372240"/>
                      </a:xfrm>
                      <a:prstGeom prst="rect">
                        <a:avLst/>
                      </a:prstGeom>
                      <a:solidFill>
                        <a:schemeClr val="bg1"/>
                      </a:solidFill>
                      <a:ln>
                        <a:solidFill>
                          <a:schemeClr val="bg1"/>
                        </a:solidFill>
                        <a:round/>
                      </a:ln>
                    </wps:spPr>
                    <wps:style>
                      <a:lnRef idx="2">
                        <a:schemeClr val="accent1">
                          <a:shade val="50000"/>
                        </a:schemeClr>
                      </a:lnRef>
                      <a:fillRef idx="1">
                        <a:schemeClr val="accent1"/>
                      </a:fillRef>
                      <a:effectRef idx="0">
                        <a:schemeClr val="accent1"/>
                      </a:effectRef>
                      <a:fontRef idx="minor"/>
                    </wps:style>
                    <wps:txbx>
                      <w:txbxContent>
                        <w:p>
                          <w:pPr>
                            <w:pStyle w:val="FrameContents"/>
                            <w:jc w:val="center"/>
                            <w:rPr>
                              <w:sz w:val="24"/>
                              <w:szCs w:val="24"/>
                            </w:rPr>
                          </w:pPr>
                          <w:r>
                            <w:rPr>
                              <w:i/>
                              <w:iCs/>
                              <w:color w:val="000000" w:themeColor="text1"/>
                              <w:kern w:val="2"/>
                              <w:sz w:val="16"/>
                              <w:szCs w:val="16"/>
                            </w:rPr>
                            <w:t>IT IS PROHIBITED TO DISCLOSE THIS DOCUMENT TO THIRD-PARTIES</w:t>
                          </w:r>
                        </w:p>
                        <w:p>
                          <w:pPr>
                            <w:pStyle w:val="FrameContents"/>
                            <w:jc w:val="center"/>
                            <w:rPr/>
                          </w:pPr>
                          <w:r>
                            <w:rPr>
                              <w:i/>
                              <w:iCs/>
                              <w:color w:val="000000" w:themeColor="text1"/>
                              <w:kern w:val="2"/>
                              <w:sz w:val="16"/>
                              <w:szCs w:val="16"/>
                            </w:rPr>
                            <w:t>WITHOUT AN EXECUTED NON-DISCLOSURE AGREEMENT (NDA)</w:t>
                          </w:r>
                        </w:p>
                      </w:txbxContent>
                    </wps:txbx>
                    <wps:bodyPr anchor="ctr">
                      <a:noAutofit/>
                    </wps:bodyPr>
                  </wps:wsp>
                </a:graphicData>
              </a:graphic>
            </wp:anchor>
          </w:drawing>
        </mc:Choice>
        <mc:Fallback>
          <w:pict>
            <v:rect id="shape_0" ID="Rectangle 14" fillcolor="white" stroked="t" style="position:absolute;margin-left:112.7pt;margin-top:3pt;width:288pt;height:29.25pt;mso-position-horizontal-relative:margin" wp14:anchorId="60C3667D">
              <w10:wrap type="square"/>
              <v:fill o:detectmouseclick="t" type="solid" color2="black"/>
              <v:stroke color="white" weight="25560" joinstyle="round" endcap="flat"/>
              <v:textbox>
                <w:txbxContent>
                  <w:p>
                    <w:pPr>
                      <w:pStyle w:val="FrameContents"/>
                      <w:jc w:val="center"/>
                      <w:rPr>
                        <w:sz w:val="24"/>
                        <w:szCs w:val="24"/>
                      </w:rPr>
                    </w:pPr>
                    <w:r>
                      <w:rPr>
                        <w:i/>
                        <w:iCs/>
                        <w:color w:val="000000" w:themeColor="text1"/>
                        <w:kern w:val="2"/>
                        <w:sz w:val="16"/>
                        <w:szCs w:val="16"/>
                      </w:rPr>
                      <w:t>IT IS PROHIBITED TO DISCLOSE THIS DOCUMENT TO THIRD-PARTIES</w:t>
                    </w:r>
                  </w:p>
                  <w:p>
                    <w:pPr>
                      <w:pStyle w:val="FrameContents"/>
                      <w:jc w:val="center"/>
                      <w:rPr/>
                    </w:pPr>
                    <w:r>
                      <w:rPr>
                        <w:i/>
                        <w:iCs/>
                        <w:color w:val="000000" w:themeColor="text1"/>
                        <w:kern w:val="2"/>
                        <w:sz w:val="16"/>
                        <w:szCs w:val="16"/>
                      </w:rPr>
                      <w:t>WITHOUT AN EXECUTED NON-DISCLOSURE AGREEMENT (NDA)</w:t>
                    </w:r>
                  </w:p>
                </w:txbxContent>
              </v:textbox>
            </v:rect>
          </w:pict>
        </mc:Fallback>
      </mc:AlternateContent>
      <w:drawing>
        <wp:anchor behindDoc="1" distT="0" distB="0" distL="114300" distR="114300" simplePos="0" locked="0" layoutInCell="1" allowOverlap="1" relativeHeight="309">
          <wp:simplePos x="0" y="0"/>
          <wp:positionH relativeFrom="column">
            <wp:posOffset>-191770</wp:posOffset>
          </wp:positionH>
          <wp:positionV relativeFrom="paragraph">
            <wp:posOffset>39370</wp:posOffset>
          </wp:positionV>
          <wp:extent cx="1286510" cy="347345"/>
          <wp:effectExtent l="0" t="0" r="0" b="0"/>
          <wp:wrapNone/>
          <wp:docPr id="7"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descr=""/>
                  <pic:cNvPicPr>
                    <a:picLocks noChangeAspect="1" noChangeArrowheads="1"/>
                  </pic:cNvPicPr>
                </pic:nvPicPr>
                <pic:blipFill>
                  <a:blip r:embed="rId1"/>
                  <a:stretch>
                    <a:fillRect/>
                  </a:stretch>
                </pic:blipFill>
                <pic:spPr bwMode="auto">
                  <a:xfrm>
                    <a:off x="0" y="0"/>
                    <a:ext cx="1286510" cy="347345"/>
                  </a:xfrm>
                  <a:prstGeom prst="rect">
                    <a:avLst/>
                  </a:prstGeom>
                </pic:spPr>
              </pic:pic>
            </a:graphicData>
          </a:graphic>
        </wp:anchor>
      </w:drawing>
    </w:r>
    <w:r>
      <w:rPr>
        <w:rFonts w:cs="Calibri"/>
        <w:sz w:val="18"/>
        <w:szCs w:val="18"/>
      </w:rPr>
      <w:tab/>
    </w:r>
  </w:p>
  <w:p>
    <w:pPr>
      <w:pStyle w:val="Header"/>
      <w:tabs>
        <w:tab w:val="left" w:pos="1980" w:leader="none"/>
        <w:tab w:val="left" w:pos="2970" w:leader="none"/>
        <w:tab w:val="center" w:pos="4680" w:leader="none"/>
        <w:tab w:val="right" w:pos="9360" w:leader="none"/>
        <w:tab w:val="right" w:pos="10440" w:leader="none"/>
      </w:tabs>
      <w:rPr/>
    </w:pPr>
    <w:r>
      <w:rPr/>
      <w:tab/>
      <w:tab/>
      <w:tab/>
      <w:tab/>
      <w:t xml:space="preserve">   </w:t>
      <w:tab/>
      <w:tab/>
    </w:r>
    <w:r>
      <w:rPr>
        <w:sz w:val="18"/>
      </w:rPr>
      <w:t xml:space="preserve">Page </w:t>
    </w:r>
    <w:r>
      <w:rPr>
        <w:sz w:val="18"/>
      </w:rPr>
      <w:fldChar w:fldCharType="begin"/>
    </w:r>
    <w:r>
      <w:rPr>
        <w:sz w:val="18"/>
      </w:rPr>
      <w:instrText> PAGE </w:instrText>
    </w:r>
    <w:r>
      <w:rPr>
        <w:sz w:val="18"/>
      </w:rPr>
      <w:fldChar w:fldCharType="separate"/>
    </w:r>
    <w:r>
      <w:rPr>
        <w:sz w:val="18"/>
      </w:rPr>
      <w:t>90</w:t>
    </w:r>
    <w:r>
      <w:rPr>
        <w:sz w:val="18"/>
      </w:rPr>
      <w:fldChar w:fldCharType="end"/>
    </w:r>
    <w:r>
      <w:rPr>
        <w:sz w:val="18"/>
      </w:rPr>
      <w:t xml:space="preserve"> of </w:t>
    </w:r>
    <w:r>
      <w:rPr>
        <w:sz w:val="18"/>
      </w:rPr>
      <w:fldChar w:fldCharType="begin"/>
    </w:r>
    <w:r>
      <w:rPr>
        <w:sz w:val="18"/>
      </w:rPr>
      <w:instrText> NUMPAGES </w:instrText>
    </w:r>
    <w:r>
      <w:rPr>
        <w:sz w:val="18"/>
      </w:rPr>
      <w:fldChar w:fldCharType="separate"/>
    </w:r>
    <w:r>
      <w:rPr>
        <w:sz w:val="18"/>
      </w:rPr>
      <w:t>309</w:t>
    </w:r>
    <w:r>
      <w:rPr>
        <w:sz w:val="1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mc:AlternateContent>
        <mc:Choice Requires="wps">
          <w:drawing>
            <wp:anchor behindDoc="1" distT="0" distB="0" distL="114300" distR="114300" simplePos="0" locked="0" layoutInCell="1" allowOverlap="1" relativeHeight="311" wp14:anchorId="3D0EBD71">
              <wp:simplePos x="0" y="0"/>
              <wp:positionH relativeFrom="margin">
                <wp:posOffset>5080</wp:posOffset>
              </wp:positionH>
              <wp:positionV relativeFrom="paragraph">
                <wp:posOffset>-629285</wp:posOffset>
              </wp:positionV>
              <wp:extent cx="6725920" cy="610870"/>
              <wp:effectExtent l="0" t="0" r="19050" b="19050"/>
              <wp:wrapNone/>
              <wp:docPr id="8" name="Rectangle 1"/>
              <a:graphic xmlns:a="http://schemas.openxmlformats.org/drawingml/2006/main">
                <a:graphicData uri="http://schemas.microsoft.com/office/word/2010/wordprocessingShape">
                  <wps:wsp>
                    <wps:cNvSpPr/>
                    <wps:spPr>
                      <a:xfrm>
                        <a:off x="0" y="0"/>
                        <a:ext cx="6725160" cy="610200"/>
                      </a:xfrm>
                      <a:prstGeom prst="rect">
                        <a:avLst/>
                      </a:prstGeom>
                      <a:solidFill>
                        <a:schemeClr val="bg1"/>
                      </a:solidFill>
                      <a:ln>
                        <a:solidFill>
                          <a:schemeClr val="bg1"/>
                        </a:solidFill>
                        <a:round/>
                      </a:ln>
                    </wps:spPr>
                    <wps:style>
                      <a:lnRef idx="2">
                        <a:schemeClr val="accent1">
                          <a:shade val="50000"/>
                        </a:schemeClr>
                      </a:lnRef>
                      <a:fillRef idx="1">
                        <a:schemeClr val="accent1"/>
                      </a:fillRef>
                      <a:effectRef idx="0">
                        <a:schemeClr val="accent1"/>
                      </a:effectRef>
                      <a:fontRef idx="minor"/>
                    </wps:style>
                    <wps:txbx>
                      <w:txbxContent>
                        <w:p>
                          <w:pPr>
                            <w:pStyle w:val="FrameContents"/>
                            <w:jc w:val="center"/>
                            <w:rPr>
                              <w:color w:val="C00000"/>
                              <w:szCs w:val="24"/>
                            </w:rPr>
                          </w:pPr>
                          <w:r>
                            <w:rPr>
                              <w:b/>
                              <w:bCs w:val="false"/>
                              <w:i/>
                              <w:iCs/>
                              <w:color w:val="C00000"/>
                              <w:kern w:val="2"/>
                              <w:sz w:val="22"/>
                              <w:szCs w:val="28"/>
                            </w:rPr>
                            <w:t>IT IS PROHIBITED TO DISCLOSE THIS DOCUMENT TO THIRD-PARTIES</w:t>
                          </w:r>
                        </w:p>
                        <w:p>
                          <w:pPr>
                            <w:pStyle w:val="FrameContents"/>
                            <w:jc w:val="center"/>
                            <w:rPr>
                              <w:color w:val="C00000"/>
                              <w:sz w:val="16"/>
                            </w:rPr>
                          </w:pPr>
                          <w:r>
                            <w:rPr>
                              <w:b/>
                              <w:bCs w:val="false"/>
                              <w:i/>
                              <w:iCs/>
                              <w:color w:val="C00000"/>
                              <w:kern w:val="2"/>
                              <w:sz w:val="22"/>
                              <w:szCs w:val="28"/>
                            </w:rPr>
                            <w:t>WITHOUT AN EXECUTED NON-DISCLOSURE AGREEMENT (NDA)</w:t>
                          </w:r>
                        </w:p>
                      </w:txbxContent>
                    </wps:txbx>
                    <wps:bodyPr anchor="ctr">
                      <a:prstTxWarp prst="textNoShape"/>
                      <a:noAutofit/>
                    </wps:bodyPr>
                  </wps:wsp>
                </a:graphicData>
              </a:graphic>
            </wp:anchor>
          </w:drawing>
        </mc:Choice>
        <mc:Fallback>
          <w:pict>
            <v:rect id="shape_0" ID="Rectangle 1" fillcolor="white" stroked="t" style="position:absolute;margin-left:0.4pt;margin-top:-49.55pt;width:529.5pt;height:48pt;mso-position-horizontal-relative:margin" wp14:anchorId="3D0EBD71">
              <w10:wrap type="square"/>
              <v:fill o:detectmouseclick="t" type="solid" color2="black"/>
              <v:stroke color="white" weight="25560" joinstyle="round" endcap="flat"/>
              <v:textbox>
                <w:txbxContent>
                  <w:p>
                    <w:pPr>
                      <w:pStyle w:val="FrameContents"/>
                      <w:jc w:val="center"/>
                      <w:rPr>
                        <w:color w:val="C00000"/>
                        <w:szCs w:val="24"/>
                      </w:rPr>
                    </w:pPr>
                    <w:r>
                      <w:rPr>
                        <w:b/>
                        <w:bCs w:val="false"/>
                        <w:i/>
                        <w:iCs/>
                        <w:color w:val="C00000"/>
                        <w:kern w:val="2"/>
                        <w:sz w:val="22"/>
                        <w:szCs w:val="28"/>
                      </w:rPr>
                      <w:t>IT IS PROHIBITED TO DISCLOSE THIS DOCUMENT TO THIRD-PARTIES</w:t>
                    </w:r>
                  </w:p>
                  <w:p>
                    <w:pPr>
                      <w:pStyle w:val="FrameContents"/>
                      <w:jc w:val="center"/>
                      <w:rPr>
                        <w:color w:val="C00000"/>
                        <w:sz w:val="16"/>
                      </w:rPr>
                    </w:pPr>
                    <w:r>
                      <w:rPr>
                        <w:b/>
                        <w:bCs w:val="false"/>
                        <w:i/>
                        <w:iCs/>
                        <w:color w:val="C00000"/>
                        <w:kern w:val="2"/>
                        <w:sz w:val="22"/>
                        <w:szCs w:val="28"/>
                      </w:rPr>
                      <w:t>WITHOUT AN EXECUTED NON-DISCLOSURE AGREEMENT (NDA)</w:t>
                    </w:r>
                  </w:p>
                </w:txbxContent>
              </v:textbox>
            </v:rect>
          </w:pict>
        </mc:Fallback>
      </mc:AlternateContent>
      <w:drawing>
        <wp:anchor behindDoc="1" distT="0" distB="8890" distL="114300" distR="120650" simplePos="0" locked="0" layoutInCell="1" allowOverlap="1" relativeHeight="310">
          <wp:simplePos x="0" y="0"/>
          <wp:positionH relativeFrom="column">
            <wp:posOffset>2609850</wp:posOffset>
          </wp:positionH>
          <wp:positionV relativeFrom="paragraph">
            <wp:posOffset>-2021840</wp:posOffset>
          </wp:positionV>
          <wp:extent cx="1308100" cy="1096010"/>
          <wp:effectExtent l="0" t="0" r="0" b="0"/>
          <wp:wrapNone/>
          <wp:docPr id="10"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descr=""/>
                  <pic:cNvPicPr>
                    <a:picLocks noChangeAspect="1" noChangeArrowheads="1"/>
                  </pic:cNvPicPr>
                </pic:nvPicPr>
                <pic:blipFill>
                  <a:blip r:embed="rId1"/>
                  <a:stretch>
                    <a:fillRect/>
                  </a:stretch>
                </pic:blipFill>
                <pic:spPr bwMode="auto">
                  <a:xfrm>
                    <a:off x="0" y="0"/>
                    <a:ext cx="1308100" cy="1096010"/>
                  </a:xfrm>
                  <a:prstGeom prst="rect">
                    <a:avLst/>
                  </a:prstGeom>
                </pic:spPr>
              </pic:pic>
            </a:graphicData>
          </a:graphic>
        </wp:anchor>
      </w:drawing>
      <w:drawing>
        <wp:anchor behindDoc="1" distT="0" distB="0" distL="114300" distR="123190" simplePos="0" locked="0" layoutInCell="1" allowOverlap="1" relativeHeight="312">
          <wp:simplePos x="0" y="0"/>
          <wp:positionH relativeFrom="margin">
            <wp:posOffset>0</wp:posOffset>
          </wp:positionH>
          <wp:positionV relativeFrom="paragraph">
            <wp:posOffset>-499745</wp:posOffset>
          </wp:positionV>
          <wp:extent cx="1285875" cy="347345"/>
          <wp:effectExtent l="0" t="0" r="0" b="0"/>
          <wp:wrapNone/>
          <wp:docPr id="11"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7" descr=""/>
                  <pic:cNvPicPr>
                    <a:picLocks noChangeAspect="1" noChangeArrowheads="1"/>
                  </pic:cNvPicPr>
                </pic:nvPicPr>
                <pic:blipFill>
                  <a:blip r:embed="rId2"/>
                  <a:stretch>
                    <a:fillRect/>
                  </a:stretch>
                </pic:blipFill>
                <pic:spPr bwMode="auto">
                  <a:xfrm>
                    <a:off x="0" y="0"/>
                    <a:ext cx="1285875" cy="347345"/>
                  </a:xfrm>
                  <a:prstGeom prst="rect">
                    <a:avLst/>
                  </a:prstGeom>
                </pic:spPr>
              </pic:pic>
            </a:graphicData>
          </a:graphic>
        </wp:anchor>
      </w:drawing>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footnote w:id="0" w:type="separator">
    <w:p>
      <w:r>
        <w:separator/>
      </w:r>
    </w:p>
  </w:footnote>
  <w:footnote w:id="1" w:type="continuationSeparator">
    <w:p>
      <w:r>
        <w:continuationSeparator/>
      </w:r>
    </w:p>
  </w:footnote>
  <w:footnote w:id="2">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National Institute of Standards and Technology - </w:t>
      </w:r>
      <w:hyperlink r:id="rId1">
        <w:r>
          <w:rPr>
            <w:rStyle w:val="InternetLink"/>
            <w:rFonts w:cs="Calibri" w:cstheme="minorHAnsi"/>
            <w:sz w:val="16"/>
            <w:szCs w:val="16"/>
          </w:rPr>
          <w:t>http://csrc.nist.gov/publications/PubsSPs.html</w:t>
        </w:r>
      </w:hyperlink>
      <w:r>
        <w:rPr>
          <w:sz w:val="16"/>
          <w:szCs w:val="16"/>
        </w:rPr>
        <w:t xml:space="preserve"> </w:t>
      </w:r>
    </w:p>
  </w:footnote>
  <w:footnote w:id="3">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International Organization for Standardization - </w:t>
      </w:r>
      <w:hyperlink r:id="rId2">
        <w:r>
          <w:rPr>
            <w:rStyle w:val="InternetLink"/>
            <w:rFonts w:cs="Calibri" w:cstheme="minorHAnsi"/>
            <w:sz w:val="16"/>
            <w:szCs w:val="16"/>
          </w:rPr>
          <w:t>https://www.iso.org</w:t>
        </w:r>
      </w:hyperlink>
      <w:r>
        <w:rPr>
          <w:sz w:val="16"/>
          <w:szCs w:val="16"/>
        </w:rPr>
        <w:t xml:space="preserve"> </w:t>
      </w:r>
    </w:p>
  </w:footnote>
  <w:footnote w:id="4">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Open Threat Taxonomy - </w:t>
      </w:r>
      <w:hyperlink r:id="rId3">
        <w:r>
          <w:rPr>
            <w:rStyle w:val="InternetLink"/>
            <w:rFonts w:cs="Calibri" w:cstheme="minorHAnsi"/>
            <w:sz w:val="16"/>
            <w:szCs w:val="16"/>
          </w:rPr>
          <w:t>http://www.auditscripts.com/resources/open_threat_taxonomy_v1.1a.pdf</w:t>
        </w:r>
      </w:hyperlink>
      <w:r>
        <w:rPr>
          <w:sz w:val="16"/>
          <w:szCs w:val="16"/>
        </w:rPr>
        <w:t xml:space="preserve"> </w:t>
      </w:r>
    </w:p>
  </w:footnote>
  <w:footnote w:id="5">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Center for Internet Security - </w:t>
      </w:r>
      <w:hyperlink r:id="rId4">
        <w:r>
          <w:rPr>
            <w:rStyle w:val="InternetLink"/>
            <w:rFonts w:cs="Calibri" w:cstheme="minorHAnsi"/>
            <w:sz w:val="16"/>
            <w:szCs w:val="16"/>
          </w:rPr>
          <w:t>https://www.cisecurity.org/</w:t>
        </w:r>
      </w:hyperlink>
      <w:r>
        <w:rPr>
          <w:sz w:val="16"/>
          <w:szCs w:val="16"/>
        </w:rPr>
        <w:t xml:space="preserve"> </w:t>
      </w:r>
    </w:p>
  </w:footnote>
  <w:footnote w:id="6">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Cloud Security Alliance - </w:t>
      </w:r>
      <w:hyperlink r:id="rId5">
        <w:r>
          <w:rPr>
            <w:rStyle w:val="InternetLink"/>
            <w:rFonts w:cs="Calibri" w:cstheme="minorHAnsi"/>
            <w:sz w:val="16"/>
            <w:szCs w:val="16"/>
          </w:rPr>
          <w:t>https://cloudsecurityalliance.org/</w:t>
        </w:r>
      </w:hyperlink>
      <w:r>
        <w:rPr>
          <w:sz w:val="16"/>
          <w:szCs w:val="16"/>
        </w:rPr>
        <w:t xml:space="preserve"> </w:t>
      </w:r>
    </w:p>
  </w:footnote>
  <w:footnote w:id="7">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COBIT - </w:t>
      </w:r>
      <w:hyperlink r:id="rId6">
        <w:r>
          <w:rPr>
            <w:rStyle w:val="InternetLink"/>
            <w:rFonts w:cs="Calibri" w:cstheme="minorHAnsi"/>
            <w:sz w:val="16"/>
            <w:szCs w:val="16"/>
          </w:rPr>
          <w:t>http://www.isaca.org/COBIT/Pages/default.aspx</w:t>
        </w:r>
      </w:hyperlink>
      <w:r>
        <w:rPr>
          <w:sz w:val="16"/>
          <w:szCs w:val="16"/>
        </w:rPr>
        <w:t xml:space="preserve"> </w:t>
      </w:r>
    </w:p>
  </w:footnote>
  <w:footnote w:id="8">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DoD Information Security Agency - </w:t>
      </w:r>
      <w:hyperlink r:id="rId7">
        <w:r>
          <w:rPr>
            <w:rStyle w:val="InternetLink"/>
            <w:rFonts w:cs="Calibri" w:cstheme="minorHAnsi"/>
            <w:sz w:val="16"/>
            <w:szCs w:val="16"/>
          </w:rPr>
          <w:t>https://public.cyber.mil/</w:t>
        </w:r>
      </w:hyperlink>
      <w:r>
        <w:rPr>
          <w:sz w:val="16"/>
          <w:szCs w:val="16"/>
        </w:rPr>
        <w:t xml:space="preserve"> </w:t>
      </w:r>
    </w:p>
  </w:footnote>
  <w:footnote w:id="9">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DoD Cybersecurity Maturity Model Certification - </w:t>
      </w:r>
      <w:hyperlink r:id="rId8">
        <w:r>
          <w:rPr>
            <w:rStyle w:val="InternetLink"/>
            <w:rFonts w:cs="Calibri" w:cstheme="minorHAnsi"/>
            <w:sz w:val="16"/>
            <w:szCs w:val="16"/>
          </w:rPr>
          <w:t>https://www.acq.osd.mil/cmmc/index.html</w:t>
        </w:r>
      </w:hyperlink>
    </w:p>
  </w:footnote>
  <w:footnote w:id="10">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EU General Data Protection Regulation - </w:t>
      </w:r>
      <w:hyperlink r:id="rId9">
        <w:r>
          <w:rPr>
            <w:rStyle w:val="InternetLink"/>
            <w:rFonts w:cs="Calibri" w:cstheme="minorHAnsi"/>
            <w:sz w:val="16"/>
            <w:szCs w:val="16"/>
          </w:rPr>
          <w:t>http://ec.europa.eu/justice/data-protection/reform/files/regulation_oj_en.pdf</w:t>
        </w:r>
      </w:hyperlink>
      <w:r>
        <w:rPr>
          <w:b/>
          <w:sz w:val="16"/>
          <w:szCs w:val="16"/>
        </w:rPr>
        <w:t xml:space="preserve"> </w:t>
      </w:r>
    </w:p>
  </w:footnote>
  <w:footnote w:id="11">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Federal Trade Commission - </w:t>
      </w:r>
      <w:hyperlink r:id="rId10">
        <w:r>
          <w:rPr>
            <w:rStyle w:val="InternetLink"/>
            <w:rFonts w:cs="Calibri" w:cstheme="minorHAnsi"/>
            <w:sz w:val="16"/>
            <w:szCs w:val="16"/>
          </w:rPr>
          <w:t>https://www.ftc.gov</w:t>
        </w:r>
      </w:hyperlink>
      <w:r>
        <w:rPr>
          <w:sz w:val="16"/>
          <w:szCs w:val="16"/>
        </w:rPr>
        <w:t xml:space="preserve"> </w:t>
      </w:r>
    </w:p>
  </w:footnote>
  <w:footnote w:id="12">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The American Institute of CPAs - </w:t>
      </w:r>
      <w:hyperlink r:id="rId11">
        <w:r>
          <w:rPr>
            <w:rStyle w:val="InternetLink"/>
            <w:rFonts w:cs="Calibri" w:cstheme="minorHAnsi"/>
            <w:sz w:val="16"/>
            <w:szCs w:val="16"/>
          </w:rPr>
          <w:t>http://www.aicpa.org</w:t>
        </w:r>
      </w:hyperlink>
      <w:r>
        <w:rPr>
          <w:sz w:val="16"/>
          <w:szCs w:val="16"/>
        </w:rPr>
        <w:t xml:space="preserve"> </w:t>
      </w:r>
    </w:p>
  </w:footnote>
  <w:footnote w:id="13">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OWASP - </w:t>
      </w:r>
      <w:hyperlink r:id="rId12">
        <w:r>
          <w:rPr>
            <w:rStyle w:val="InternetLink"/>
            <w:rFonts w:cs="Calibri" w:cstheme="minorHAnsi"/>
            <w:sz w:val="16"/>
            <w:szCs w:val="16"/>
          </w:rPr>
          <w:t>https://www.owasp.org/index.php/Main_Page</w:t>
        </w:r>
      </w:hyperlink>
    </w:p>
  </w:footnote>
  <w:footnote w:id="14">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Payment Card Industry Security Standards Council - </w:t>
      </w:r>
      <w:hyperlink r:id="rId13">
        <w:r>
          <w:rPr>
            <w:rStyle w:val="InternetLink"/>
            <w:rFonts w:cs="Calibri" w:cstheme="minorHAnsi"/>
            <w:sz w:val="16"/>
            <w:szCs w:val="16"/>
          </w:rPr>
          <w:t>https://www.pcisecuritystandards.org/</w:t>
        </w:r>
      </w:hyperlink>
      <w:r>
        <w:rPr>
          <w:sz w:val="16"/>
          <w:szCs w:val="16"/>
        </w:rPr>
        <w:t xml:space="preserve"> </w:t>
      </w:r>
    </w:p>
  </w:footnote>
  <w:footnote w:id="15">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Term and principles coined by Dr. Ann Cavoukian - </w:t>
      </w:r>
      <w:hyperlink r:id="rId14">
        <w:r>
          <w:rPr>
            <w:rStyle w:val="InternetLink"/>
            <w:rFonts w:cs="Calibri" w:cstheme="minorHAnsi"/>
            <w:sz w:val="16"/>
            <w:szCs w:val="16"/>
          </w:rPr>
          <w:t>https://www.owasp.org/index.php/Privacy_by_Design</w:t>
        </w:r>
      </w:hyperlink>
      <w:r>
        <w:rPr>
          <w:sz w:val="16"/>
          <w:szCs w:val="16"/>
        </w:rPr>
        <w:t xml:space="preserve"> </w:t>
      </w:r>
    </w:p>
  </w:footnote>
  <w:footnote w:id="16">
    <w:p>
      <w:pPr>
        <w:pStyle w:val="Footnote"/>
        <w:jc w:val="left"/>
        <w:rPr/>
      </w:pPr>
      <w:r>
        <w:rPr>
          <w:rStyle w:val="FootnoteCharacters"/>
        </w:rPr>
        <w:footnoteRef/>
      </w:r>
      <w:r>
        <w:rPr>
          <w:rStyle w:val="FootnoteCharacters"/>
        </w:rPr>
        <w:tab/>
      </w:r>
      <w:r>
        <w:rPr>
          <w:rStyle w:val="FootnoteCharacters"/>
          <w:rFonts w:eastAsia="Calibri"/>
          <w:sz w:val="16"/>
          <w:szCs w:val="16"/>
        </w:rPr>
        <w:tab/>
      </w:r>
      <w:r>
        <w:rPr>
          <w:sz w:val="16"/>
          <w:szCs w:val="16"/>
        </w:rPr>
        <w:t xml:space="preserve"> NIST IR 7298 - </w:t>
      </w:r>
      <w:hyperlink r:id="rId15">
        <w:r>
          <w:rPr>
            <w:rStyle w:val="InternetLink"/>
            <w:rFonts w:cs="Calibri" w:cstheme="minorHAnsi"/>
            <w:sz w:val="16"/>
            <w:szCs w:val="16"/>
          </w:rPr>
          <w:t>https://nvlpubs.nist.gov/nistpubs/ir/2019/NIST.IR.7298r3.pdf</w:t>
        </w:r>
      </w:hyperlink>
      <w:r>
        <w:rPr>
          <w:sz w:val="16"/>
          <w:szCs w:val="16"/>
        </w:rPr>
        <w:t xml:space="preserve"> </w:t>
      </w:r>
    </w:p>
  </w:footnote>
  <w:footnote w:id="17">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European Union General Data Protection Requirement – Article 4(1)</w:t>
      </w:r>
    </w:p>
  </w:footnote>
  <w:footnote w:id="18">
    <w:p>
      <w:pPr>
        <w:pStyle w:val="Footnote"/>
        <w:jc w:val="left"/>
        <w:rPr/>
      </w:pPr>
      <w:r>
        <w:rPr>
          <w:rStyle w:val="FootnoteCharacters"/>
        </w:rPr>
        <w:footnoteRef/>
      </w:r>
      <w:r>
        <w:rPr>
          <w:rStyle w:val="FootnoteCharacters"/>
        </w:rPr>
        <w:tab/>
      </w:r>
      <w:r>
        <w:rPr>
          <w:rStyle w:val="FootnoteCharacters"/>
          <w:rFonts w:eastAsia="Calibri"/>
          <w:sz w:val="16"/>
          <w:szCs w:val="16"/>
        </w:rPr>
        <w:tab/>
      </w:r>
      <w:r>
        <w:rPr>
          <w:sz w:val="16"/>
          <w:szCs w:val="16"/>
        </w:rPr>
        <w:t xml:space="preserve"> The source of this definition comes from two state laws - Oregon Consumer Identity Theft Protection Act - ORS 646A.600(11)(a) - </w:t>
      </w:r>
      <w:hyperlink r:id="rId16">
        <w:r>
          <w:rPr>
            <w:rStyle w:val="InternetLink"/>
            <w:rFonts w:cs="Calibri" w:cstheme="minorHAnsi"/>
            <w:sz w:val="16"/>
            <w:szCs w:val="16"/>
          </w:rPr>
          <w:t>https://www.oregonlegislature.gov/bills_laws/ors/ors646A.html</w:t>
        </w:r>
      </w:hyperlink>
      <w:r>
        <w:rPr>
          <w:sz w:val="16"/>
          <w:szCs w:val="16"/>
        </w:rPr>
        <w:t xml:space="preserve"> and Massachusetts 201 CMR 17.00” Standards For The Protection of Personal Information of Residents of The Commonwealth - MA201CMR17.02 </w:t>
      </w:r>
      <w:hyperlink r:id="rId17">
        <w:r>
          <w:rPr>
            <w:rStyle w:val="InternetLink"/>
            <w:rFonts w:cs="Calibri" w:cstheme="minorHAnsi"/>
            <w:sz w:val="16"/>
            <w:szCs w:val="16"/>
          </w:rPr>
          <w:t>http://www.mass.gov/ocabr/docs/idtheft/201cmr1700reg.pdf</w:t>
        </w:r>
      </w:hyperlink>
    </w:p>
  </w:footnote>
  <w:footnote w:id="19">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European Union General Data Protection Requirement – Article 9(1)</w:t>
      </w:r>
    </w:p>
  </w:footnote>
  <w:footnote w:id="20">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ISO 27002:2013 5.1</w:t>
      </w:r>
    </w:p>
  </w:footnote>
  <w:footnote w:id="21">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PM-1 | ISO 27002:2013 5.1.1 </w:t>
      </w:r>
    </w:p>
  </w:footnote>
  <w:footnote w:id="22">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PM-1 | ISO 27002:2013 5.1.1 | </w:t>
      </w:r>
      <w:r>
        <w:rPr>
          <w:sz w:val="16"/>
          <w:szCs w:val="16"/>
          <w:lang w:val="pt-BR"/>
        </w:rPr>
        <w:t xml:space="preserve">NIST CSF v1.1 ID.GV-1 </w:t>
      </w:r>
    </w:p>
  </w:footnote>
  <w:footnote w:id="23">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PM-1 | ISO 27002:2013 5.1.2 </w:t>
      </w:r>
    </w:p>
  </w:footnote>
  <w:footnote w:id="24">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PM-2, PM-6 &amp; PL-9 | </w:t>
      </w:r>
      <w:r>
        <w:rPr>
          <w:sz w:val="16"/>
          <w:szCs w:val="16"/>
          <w:lang w:val="pt-BR"/>
        </w:rPr>
        <w:t xml:space="preserve">NIST CSF v1.1 </w:t>
      </w:r>
      <w:r>
        <w:rPr>
          <w:sz w:val="16"/>
          <w:szCs w:val="16"/>
        </w:rPr>
        <w:t xml:space="preserve">ID.AM-6 </w:t>
      </w:r>
    </w:p>
  </w:footnote>
  <w:footnote w:id="25">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PM-6 | </w:t>
      </w:r>
      <w:r>
        <w:rPr>
          <w:sz w:val="16"/>
          <w:szCs w:val="16"/>
          <w:lang w:val="pt-BR"/>
        </w:rPr>
        <w:t xml:space="preserve">NIST CSF v1.1 PR.IP-8 </w:t>
      </w:r>
      <w:r>
        <w:rPr>
          <w:sz w:val="16"/>
          <w:szCs w:val="16"/>
        </w:rPr>
        <w:t>1</w:t>
      </w:r>
    </w:p>
  </w:footnote>
  <w:footnote w:id="26">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IR-6 | ISO 27002:2013 6.1.3 </w:t>
      </w:r>
    </w:p>
  </w:footnote>
  <w:footnote w:id="27">
    <w:p>
      <w:pPr>
        <w:pStyle w:val="Normal"/>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PM-15 | ISO 27002:2013 6.1.4 </w:t>
      </w:r>
    </w:p>
  </w:footnote>
  <w:footnote w:id="28">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PM-5 </w:t>
      </w:r>
    </w:p>
  </w:footnote>
  <w:footnote w:id="29">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PM-5 &amp; CM-8 | ISO 27002:2013 8.1.1 | NIST 800-171 rev1 3.4.1 &amp; 3.4.2 | </w:t>
      </w:r>
      <w:r>
        <w:rPr>
          <w:sz w:val="16"/>
          <w:szCs w:val="16"/>
          <w:lang w:val="pt-BR"/>
        </w:rPr>
        <w:t xml:space="preserve">NIST CSF v1.1 </w:t>
      </w:r>
      <w:r>
        <w:rPr>
          <w:sz w:val="16"/>
          <w:szCs w:val="16"/>
          <w:lang w:val="fr-FR"/>
        </w:rPr>
        <w:t xml:space="preserve">ID.AM-1, ID.AM-2, &amp; ID.AM-4 </w:t>
      </w:r>
    </w:p>
  </w:footnote>
  <w:footnote w:id="30">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CM-8(1) | NIST 800-171 rev1 3.4.1 &amp; 3.4.2</w:t>
      </w:r>
    </w:p>
  </w:footnote>
  <w:footnote w:id="31">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CM-8(3) </w:t>
      </w:r>
    </w:p>
  </w:footnote>
  <w:footnote w:id="32">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CM-8(5) </w:t>
      </w:r>
    </w:p>
  </w:footnote>
  <w:footnote w:id="33">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ISO 27002:2013 18.1.2 </w:t>
      </w:r>
    </w:p>
  </w:footnote>
  <w:footnote w:id="34">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CM-8(2) </w:t>
      </w:r>
    </w:p>
  </w:footnote>
  <w:footnote w:id="35">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ISO 27002:2013 8.1.2 </w:t>
      </w:r>
    </w:p>
  </w:footnote>
  <w:footnote w:id="36">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CM-8(4) </w:t>
      </w:r>
    </w:p>
  </w:footnote>
  <w:footnote w:id="37">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PCI DSS 1.1.2 &amp; 1.1.3 | </w:t>
      </w:r>
      <w:r>
        <w:rPr>
          <w:sz w:val="16"/>
          <w:szCs w:val="16"/>
          <w:lang w:val="pt-BR"/>
        </w:rPr>
        <w:t xml:space="preserve">NIST CSF v1.1 ID.AM-3 </w:t>
      </w:r>
    </w:p>
  </w:footnote>
  <w:footnote w:id="38">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ISO 27002:2013 11.2.6 </w:t>
      </w:r>
    </w:p>
  </w:footnote>
  <w:footnote w:id="39">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ISO 27002:2013 11.2.8</w:t>
      </w:r>
    </w:p>
  </w:footnote>
  <w:footnote w:id="40">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ISO 27002:2013 11.2.7 </w:t>
      </w:r>
    </w:p>
  </w:footnote>
  <w:footnote w:id="41">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ISO 27002:2013 8.1.4 </w:t>
      </w:r>
    </w:p>
  </w:footnote>
  <w:footnote w:id="42">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ISO 27002:2013 11.2.5 | NIST CSF v1.1 PR.DS-3 </w:t>
      </w:r>
    </w:p>
  </w:footnote>
  <w:footnote w:id="43">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SC-43</w:t>
      </w:r>
    </w:p>
  </w:footnote>
  <w:footnote w:id="44">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SA-18 </w:t>
      </w:r>
    </w:p>
  </w:footnote>
  <w:footnote w:id="45">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PM-8, CP-1 &amp; CP-2 | ISO 27002:2013 17.1.2 | </w:t>
      </w:r>
      <w:r>
        <w:rPr>
          <w:sz w:val="16"/>
          <w:szCs w:val="16"/>
          <w:lang w:val="pt-BR"/>
        </w:rPr>
        <w:t>NIST CSF v1.1 RC.RP-1</w:t>
      </w:r>
    </w:p>
  </w:footnote>
  <w:footnote w:id="46">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CP-2(1) </w:t>
      </w:r>
    </w:p>
  </w:footnote>
  <w:footnote w:id="47">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CP-2(6) </w:t>
      </w:r>
    </w:p>
  </w:footnote>
  <w:footnote w:id="48">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CP-6(2) </w:t>
      </w:r>
    </w:p>
  </w:footnote>
  <w:footnote w:id="49">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CP-2(8) </w:t>
      </w:r>
    </w:p>
  </w:footnote>
  <w:footnote w:id="50">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CP-2(3) </w:t>
      </w:r>
    </w:p>
  </w:footnote>
  <w:footnote w:id="51">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CP-3 </w:t>
      </w:r>
    </w:p>
  </w:footnote>
  <w:footnote w:id="52">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CP-4 | ISO 27002:2013 17.1.3</w:t>
      </w:r>
    </w:p>
  </w:footnote>
  <w:footnote w:id="53">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CP-4(1) </w:t>
      </w:r>
    </w:p>
  </w:footnote>
  <w:footnote w:id="54">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CP-4(2) </w:t>
      </w:r>
    </w:p>
  </w:footnote>
  <w:footnote w:id="55">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CP-4 | </w:t>
      </w:r>
      <w:r>
        <w:rPr>
          <w:sz w:val="16"/>
          <w:szCs w:val="16"/>
          <w:lang w:val="pt-BR"/>
        </w:rPr>
        <w:t xml:space="preserve">NIST CSF v1.1 RC.IM-1 </w:t>
      </w:r>
    </w:p>
  </w:footnote>
  <w:footnote w:id="56">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CP-2 | </w:t>
      </w:r>
      <w:r>
        <w:rPr>
          <w:sz w:val="16"/>
          <w:szCs w:val="16"/>
          <w:lang w:val="pt-BR"/>
        </w:rPr>
        <w:t xml:space="preserve">NIST CSF v1.1 RC.IM-2 </w:t>
      </w:r>
    </w:p>
  </w:footnote>
  <w:footnote w:id="57">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CP-13 </w:t>
      </w:r>
    </w:p>
  </w:footnote>
  <w:footnote w:id="58">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CP-6 | ISO 27002:2013 17.1.3 &amp; 17.2.1 </w:t>
      </w:r>
    </w:p>
  </w:footnote>
  <w:footnote w:id="59">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CP-6(1) </w:t>
      </w:r>
    </w:p>
  </w:footnote>
  <w:footnote w:id="60">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CP-6(3) </w:t>
      </w:r>
    </w:p>
  </w:footnote>
  <w:footnote w:id="61">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CP-7 | ISO 27002:2013 17.1.1 </w:t>
      </w:r>
    </w:p>
  </w:footnote>
  <w:footnote w:id="62">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CP-7(1) </w:t>
      </w:r>
    </w:p>
  </w:footnote>
  <w:footnote w:id="63">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CP-7(2)  </w:t>
      </w:r>
    </w:p>
  </w:footnote>
  <w:footnote w:id="64">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CP-7(3) </w:t>
      </w:r>
    </w:p>
  </w:footnote>
  <w:footnote w:id="65">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CP-7(4) </w:t>
      </w:r>
    </w:p>
  </w:footnote>
  <w:footnote w:id="66">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CP-7(6) </w:t>
      </w:r>
    </w:p>
  </w:footnote>
  <w:footnote w:id="67">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CP-8, CP-8(2) &amp; CP-11 </w:t>
      </w:r>
    </w:p>
  </w:footnote>
  <w:footnote w:id="68">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CP-8(1) </w:t>
      </w:r>
    </w:p>
  </w:footnote>
  <w:footnote w:id="69">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CP-8(3) </w:t>
      </w:r>
    </w:p>
  </w:footnote>
  <w:footnote w:id="70">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CP-8(4) </w:t>
      </w:r>
    </w:p>
  </w:footnote>
  <w:footnote w:id="71">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CP-9 | ISO 27002:2013 12.3.1 | NIST 800-171 rev1 3.8.9 </w:t>
      </w:r>
    </w:p>
  </w:footnote>
  <w:footnote w:id="72">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CP-9(1) </w:t>
      </w:r>
    </w:p>
  </w:footnote>
  <w:footnote w:id="73">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CP-9(3) </w:t>
      </w:r>
    </w:p>
  </w:footnote>
  <w:footnote w:id="74">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CP-9(2) </w:t>
      </w:r>
    </w:p>
  </w:footnote>
  <w:footnote w:id="75">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CP-9(5) </w:t>
      </w:r>
    </w:p>
  </w:footnote>
  <w:footnote w:id="76">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CP-9(6) </w:t>
      </w:r>
    </w:p>
  </w:footnote>
  <w:footnote w:id="77">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CP-9(7) </w:t>
      </w:r>
    </w:p>
  </w:footnote>
  <w:footnote w:id="78">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CP-10 | </w:t>
      </w:r>
      <w:r>
        <w:rPr>
          <w:sz w:val="16"/>
          <w:szCs w:val="16"/>
          <w:lang w:val="pt-BR"/>
        </w:rPr>
        <w:t>NIST CSF v1.1 PR.IP-4</w:t>
      </w:r>
      <w:r>
        <w:rPr>
          <w:sz w:val="16"/>
          <w:szCs w:val="16"/>
        </w:rPr>
        <w:t xml:space="preserve"> </w:t>
      </w:r>
    </w:p>
  </w:footnote>
  <w:footnote w:id="79">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CP-10(2) </w:t>
      </w:r>
    </w:p>
  </w:footnote>
  <w:footnote w:id="80">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CP-10(4) </w:t>
      </w:r>
    </w:p>
  </w:footnote>
  <w:footnote w:id="81">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CP-10(6) </w:t>
      </w:r>
    </w:p>
  </w:footnote>
  <w:footnote w:id="82">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SC-5 | ISO 27002:2013 12.1.3 | NIST CSF v1.1 PR.DS-4 </w:t>
      </w:r>
    </w:p>
  </w:footnote>
  <w:footnote w:id="83">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SC-6  </w:t>
      </w:r>
    </w:p>
  </w:footnote>
  <w:footnote w:id="84">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CP-2(2)  </w:t>
      </w:r>
    </w:p>
  </w:footnote>
  <w:footnote w:id="85">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CM-3 | ISO 27002:2013 12.1.2 </w:t>
      </w:r>
    </w:p>
  </w:footnote>
  <w:footnote w:id="86">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CM-3 | ISO 27002:2013 14.2.2 | NIST 800-171 rev1 3.4.3 | </w:t>
      </w:r>
      <w:r>
        <w:rPr>
          <w:sz w:val="16"/>
          <w:szCs w:val="16"/>
          <w:lang w:val="pt-BR"/>
        </w:rPr>
        <w:t xml:space="preserve">NIST CSF v1.1 </w:t>
      </w:r>
      <w:r>
        <w:rPr>
          <w:sz w:val="16"/>
          <w:szCs w:val="16"/>
        </w:rPr>
        <w:t xml:space="preserve">PR.IP-3 </w:t>
      </w:r>
    </w:p>
  </w:footnote>
  <w:footnote w:id="87">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CM-3(1)</w:t>
      </w:r>
    </w:p>
  </w:footnote>
  <w:footnote w:id="88">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CM-3(2) | ISO 27002:2013 14.2.3 </w:t>
      </w:r>
    </w:p>
  </w:footnote>
  <w:footnote w:id="89">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CM-3(5)</w:t>
      </w:r>
    </w:p>
  </w:footnote>
  <w:footnote w:id="90">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CM-3(4)</w:t>
      </w:r>
    </w:p>
  </w:footnote>
  <w:footnote w:id="91">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CM-3(6)</w:t>
      </w:r>
    </w:p>
  </w:footnote>
  <w:footnote w:id="92">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CM-4 | NIST 800-171 rev1 3.4.4 </w:t>
      </w:r>
    </w:p>
  </w:footnote>
  <w:footnote w:id="93">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CM-5 | NIST 800-171 rev1 3.4.5 </w:t>
      </w:r>
    </w:p>
  </w:footnote>
  <w:footnote w:id="94">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CM-5(1)  </w:t>
      </w:r>
    </w:p>
  </w:footnote>
  <w:footnote w:id="95">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CM-5(3)  </w:t>
      </w:r>
    </w:p>
  </w:footnote>
  <w:footnote w:id="96">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AC-5 </w:t>
      </w:r>
    </w:p>
  </w:footnote>
  <w:footnote w:id="97">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CM-5(5) </w:t>
      </w:r>
    </w:p>
  </w:footnote>
  <w:footnote w:id="98">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CM-5(6)</w:t>
      </w:r>
    </w:p>
  </w:footnote>
  <w:footnote w:id="99">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CM-9 </w:t>
      </w:r>
    </w:p>
  </w:footnote>
  <w:footnote w:id="100">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CM-3(2) &amp; SI-6 | NISPOM 8-613</w:t>
      </w:r>
    </w:p>
  </w:footnote>
  <w:footnote w:id="101">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Cloud Security Alliance - https://cloudsecurityalliance.org / </w:t>
      </w:r>
    </w:p>
  </w:footnote>
  <w:footnote w:id="102">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SA-9(5) </w:t>
      </w:r>
    </w:p>
  </w:footnote>
  <w:footnote w:id="103">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PL-1 &amp; PM-8 | ISO 27002:2013 18.1.1 | </w:t>
      </w:r>
      <w:r>
        <w:rPr>
          <w:sz w:val="16"/>
          <w:szCs w:val="16"/>
          <w:lang w:val="pt-BR"/>
        </w:rPr>
        <w:t xml:space="preserve">NIST CSF v1.1 ID.GV-3 &amp; PR.IP-5 </w:t>
      </w:r>
    </w:p>
  </w:footnote>
  <w:footnote w:id="104">
    <w:p>
      <w:pPr>
        <w:pStyle w:val="Footnote"/>
        <w:jc w:val="left"/>
        <w:rPr>
          <w:sz w:val="16"/>
          <w:szCs w:val="16"/>
        </w:rPr>
      </w:pPr>
      <w:r>
        <w:rPr>
          <w:rStyle w:val="FootnoteCharacters"/>
        </w:rPr>
        <w:footnoteRef/>
      </w:r>
      <w:r>
        <w:rPr>
          <w:rStyle w:val="FootnoteCharacters"/>
        </w:rPr>
        <w:tab/>
      </w:r>
      <w:r>
        <w:rPr>
          <w:rStyle w:val="FootnoteCharacters"/>
          <w:sz w:val="16"/>
          <w:szCs w:val="16"/>
        </w:rPr>
        <w:tab/>
      </w:r>
      <w:r>
        <w:rPr>
          <w:sz w:val="16"/>
          <w:szCs w:val="16"/>
        </w:rPr>
        <w:t xml:space="preserve"> NIST 800-53 rev4 PM-14, CA-7 &amp; CA-7(1) | NIST 800-171 rev1 3.12.1, 3.12.2, 3.12.3 &amp; 3.12.4 | </w:t>
      </w:r>
      <w:r>
        <w:rPr>
          <w:sz w:val="16"/>
          <w:szCs w:val="16"/>
          <w:lang w:val="pt-BR"/>
        </w:rPr>
        <w:t xml:space="preserve">NIST CSF v1.1 </w:t>
      </w:r>
      <w:r>
        <w:rPr>
          <w:sz w:val="16"/>
          <w:szCs w:val="16"/>
          <w:lang w:val="fr-FR"/>
        </w:rPr>
        <w:t xml:space="preserve">PR.IP-7 &amp; DE.DP-5 </w:t>
      </w:r>
    </w:p>
    <w:p>
      <w:pPr>
        <w:pStyle w:val="Footnote"/>
        <w:jc w:val="left"/>
        <w:rPr/>
      </w:pPr>
      <w:r>
        <w:rPr/>
      </w:r>
    </w:p>
  </w:footnote>
  <w:footnote w:id="105">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CA-2 | ISO 27002:2013 18.2.2 </w:t>
      </w:r>
    </w:p>
  </w:footnote>
  <w:footnote w:id="106">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ISO 27002:2013 18.2.1 </w:t>
      </w:r>
    </w:p>
  </w:footnote>
  <w:footnote w:id="107">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ISO 27002:2013 18.2.3 </w:t>
      </w:r>
    </w:p>
  </w:footnote>
  <w:footnote w:id="108">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ISO 27002:2013 12.7.1 </w:t>
      </w:r>
    </w:p>
  </w:footnote>
  <w:footnote w:id="109">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CM-1, CM-2, CM-6 &amp; CM-9 | </w:t>
      </w:r>
      <w:r>
        <w:rPr>
          <w:sz w:val="16"/>
          <w:szCs w:val="16"/>
          <w:lang w:val="pt-BR"/>
        </w:rPr>
        <w:t>NIST CSF v1.1</w:t>
      </w:r>
      <w:r>
        <w:rPr>
          <w:sz w:val="16"/>
          <w:szCs w:val="16"/>
          <w:lang w:val="fr-FR"/>
        </w:rPr>
        <w:t xml:space="preserve"> PR.IP-1 | </w:t>
      </w:r>
      <w:r>
        <w:rPr>
          <w:sz w:val="16"/>
          <w:szCs w:val="16"/>
        </w:rPr>
        <w:t xml:space="preserve">NIST 800-171 rev1 3.4.1 &amp; 3.4.2 </w:t>
      </w:r>
    </w:p>
  </w:footnote>
  <w:footnote w:id="110">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CM-9(1)</w:t>
      </w:r>
      <w:r>
        <w:rPr>
          <w:sz w:val="16"/>
          <w:szCs w:val="16"/>
          <w:lang w:val="fr-FR"/>
        </w:rPr>
        <w:t xml:space="preserve"> </w:t>
      </w:r>
    </w:p>
  </w:footnote>
  <w:footnote w:id="111">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CM-2 &amp; CM-6 | NIST 800-171 rev1 3.4.1 &amp; 3.4.2 | </w:t>
      </w:r>
      <w:r>
        <w:rPr>
          <w:sz w:val="16"/>
          <w:szCs w:val="16"/>
          <w:lang w:val="pt-BR"/>
        </w:rPr>
        <w:t>NIST CSF v1.1</w:t>
      </w:r>
      <w:r>
        <w:rPr>
          <w:sz w:val="16"/>
          <w:szCs w:val="16"/>
          <w:lang w:val="fr-FR"/>
        </w:rPr>
        <w:t xml:space="preserve"> PR.IP-1 </w:t>
      </w:r>
    </w:p>
  </w:footnote>
  <w:footnote w:id="112">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DISA STIGs official site: </w:t>
      </w:r>
      <w:hyperlink r:id="rId18">
        <w:r>
          <w:rPr>
            <w:rStyle w:val="InternetLink"/>
            <w:rFonts w:cs="Calibri" w:cstheme="minorHAnsi"/>
            <w:sz w:val="16"/>
            <w:szCs w:val="16"/>
          </w:rPr>
          <w:t>https://public.cyber.mil/</w:t>
        </w:r>
      </w:hyperlink>
      <w:r>
        <w:rPr>
          <w:sz w:val="16"/>
          <w:szCs w:val="16"/>
        </w:rPr>
        <w:t xml:space="preserve"> </w:t>
      </w:r>
    </w:p>
  </w:footnote>
  <w:footnote w:id="113">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CM-2(1) </w:t>
      </w:r>
    </w:p>
  </w:footnote>
  <w:footnote w:id="114">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CM-2(2) </w:t>
      </w:r>
    </w:p>
  </w:footnote>
  <w:footnote w:id="115">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CM-2(3) </w:t>
      </w:r>
    </w:p>
  </w:footnote>
  <w:footnote w:id="116">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CM-2(6) </w:t>
      </w:r>
    </w:p>
  </w:footnote>
  <w:footnote w:id="117">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CM-2(7) </w:t>
      </w:r>
    </w:p>
  </w:footnote>
  <w:footnote w:id="118">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CM-6(2) </w:t>
      </w:r>
    </w:p>
  </w:footnote>
  <w:footnote w:id="119">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CM-7 &amp; SA-15(5) | NIST 800-171 rev1 3.4.6 | </w:t>
      </w:r>
      <w:r>
        <w:rPr>
          <w:sz w:val="16"/>
          <w:szCs w:val="16"/>
          <w:lang w:val="pt-BR"/>
        </w:rPr>
        <w:t xml:space="preserve">NIST CSF v1.1 PR.PT-3 </w:t>
      </w:r>
    </w:p>
  </w:footnote>
  <w:footnote w:id="120">
    <w:p>
      <w:pPr>
        <w:pStyle w:val="Normal"/>
        <w:jc w:val="left"/>
        <w:rPr/>
      </w:pPr>
      <w:r>
        <w:rPr>
          <w:rStyle w:val="FootnoteCharacters"/>
        </w:rPr>
        <w:footnoteRef/>
      </w:r>
      <w:r>
        <w:rPr>
          <w:rStyle w:val="FootnoteCharacters"/>
        </w:rPr>
        <w:tab/>
      </w:r>
      <w:r>
        <w:rPr>
          <w:rStyle w:val="FootnoteCharacters"/>
          <w:sz w:val="16"/>
          <w:szCs w:val="16"/>
        </w:rPr>
        <w:tab/>
      </w:r>
      <w:r>
        <w:rPr>
          <w:sz w:val="16"/>
          <w:szCs w:val="16"/>
        </w:rPr>
        <w:t xml:space="preserve"> Saltzer, Jerome H. &amp; Schroeder, Michael D. "The Protection of Information in Computer Systems." Proceedings of the IEEE 63, 9 (September 1975): 1278-1308.</w:t>
      </w:r>
    </w:p>
  </w:footnote>
  <w:footnote w:id="121">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CM-7(1) | NIST 800-171 rev1 3.4.7</w:t>
      </w:r>
    </w:p>
  </w:footnote>
  <w:footnote w:id="122">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CM-7(2) | NIST 800-171 rev1 3.4.7</w:t>
      </w:r>
    </w:p>
  </w:footnote>
  <w:footnote w:id="123">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CM-7(4) &amp; (5) | NIST 800-171 rev1 3.4.8 </w:t>
      </w:r>
    </w:p>
  </w:footnote>
  <w:footnote w:id="124">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SC-7(7) | NIST 800-171 rev1 3.13.7</w:t>
      </w:r>
    </w:p>
  </w:footnote>
  <w:footnote w:id="125">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CM-10 </w:t>
      </w:r>
    </w:p>
  </w:footnote>
  <w:footnote w:id="126">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CM-10(1)  </w:t>
      </w:r>
    </w:p>
  </w:footnote>
  <w:footnote w:id="127">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CM-11 | NIST 800-171 rev1 3.4.9</w:t>
      </w:r>
    </w:p>
  </w:footnote>
  <w:footnote w:id="128">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CM-11(1) </w:t>
      </w:r>
    </w:p>
  </w:footnote>
  <w:footnote w:id="129">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CM-11(2) </w:t>
      </w:r>
    </w:p>
  </w:footnote>
  <w:footnote w:id="130">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AU-1 | ISO 27002:2013 12.4.1 | NIST 800-171 rev1 NFO | </w:t>
      </w:r>
      <w:r>
        <w:rPr>
          <w:sz w:val="16"/>
          <w:szCs w:val="16"/>
          <w:lang w:val="pt-BR"/>
        </w:rPr>
        <w:t xml:space="preserve">NIST CSF v1.1 PR.PT-1, DE.CM-1, DE.DP-1 &amp; DE.DP-2 </w:t>
      </w:r>
    </w:p>
  </w:footnote>
  <w:footnote w:id="131">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SI-4(1)  </w:t>
      </w:r>
    </w:p>
  </w:footnote>
  <w:footnote w:id="132">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SI-4(2) </w:t>
      </w:r>
    </w:p>
  </w:footnote>
  <w:footnote w:id="133">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SI-4(4) | NIST 800-171 rev1 3.14.6</w:t>
      </w:r>
    </w:p>
  </w:footnote>
  <w:footnote w:id="134">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SI-4(5) </w:t>
      </w:r>
    </w:p>
  </w:footnote>
  <w:footnote w:id="135">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SI-4(14) </w:t>
      </w:r>
    </w:p>
  </w:footnote>
  <w:footnote w:id="136">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SI-4(23) </w:t>
      </w:r>
    </w:p>
  </w:footnote>
  <w:footnote w:id="137">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SA-10 </w:t>
      </w:r>
    </w:p>
  </w:footnote>
  <w:footnote w:id="138">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AU-2(3) | NIST 800-171 rev1 3.3.3</w:t>
      </w:r>
    </w:p>
  </w:footnote>
  <w:footnote w:id="139">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SI-4(7) </w:t>
      </w:r>
    </w:p>
  </w:footnote>
  <w:footnote w:id="140">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SI-4(12)</w:t>
      </w:r>
    </w:p>
  </w:footnote>
  <w:footnote w:id="141">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SI-4(13)</w:t>
      </w:r>
    </w:p>
  </w:footnote>
  <w:footnote w:id="142">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SI-4(19)</w:t>
      </w:r>
    </w:p>
  </w:footnote>
  <w:footnote w:id="143">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SI-4(20)</w:t>
      </w:r>
    </w:p>
  </w:footnote>
  <w:footnote w:id="144">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AU-2, AU-2(2), AU-6 &amp; SI-4 | NIST 800-171 rev1 3.3.1, 3.3.2, 3.14.6 &amp; 3.14.7 </w:t>
      </w:r>
    </w:p>
  </w:footnote>
  <w:footnote w:id="145">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AU-6(3) &amp; SI-4(16) | NIST 800-171 rev1 3.3.5 </w:t>
      </w:r>
    </w:p>
  </w:footnote>
  <w:footnote w:id="146">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AU-6(4) </w:t>
      </w:r>
    </w:p>
  </w:footnote>
  <w:footnote w:id="147">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AU-6(5) </w:t>
      </w:r>
    </w:p>
  </w:footnote>
  <w:footnote w:id="148">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AU-6(6) </w:t>
      </w:r>
    </w:p>
  </w:footnote>
  <w:footnote w:id="149">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AU-6(7) </w:t>
      </w:r>
    </w:p>
  </w:footnote>
  <w:footnote w:id="150">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AU-6(10) </w:t>
      </w:r>
    </w:p>
  </w:footnote>
  <w:footnote w:id="151">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AU-12(1) </w:t>
      </w:r>
    </w:p>
  </w:footnote>
  <w:footnote w:id="152">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AU-12(3) </w:t>
      </w:r>
    </w:p>
  </w:footnote>
  <w:footnote w:id="153">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AU-3 | NIST 800-171 rev1 3.3.1 &amp; 3.3.2 </w:t>
      </w:r>
    </w:p>
  </w:footnote>
  <w:footnote w:id="154">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AU-3(1) &amp; AU-6(1) | NIST 800-171 rev1 3.3.1 &amp; 3.3.2</w:t>
      </w:r>
    </w:p>
  </w:footnote>
  <w:footnote w:id="155">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AU-6(8) | ISO 27002:2013 12.4.3 </w:t>
      </w:r>
    </w:p>
  </w:footnote>
  <w:footnote w:id="156">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AU-4 </w:t>
      </w:r>
    </w:p>
  </w:footnote>
  <w:footnote w:id="157">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AU-5 | NIST 800-171 rev1 3.3.4 </w:t>
      </w:r>
    </w:p>
  </w:footnote>
  <w:footnote w:id="158">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AU-5(2)</w:t>
      </w:r>
    </w:p>
  </w:footnote>
  <w:footnote w:id="159">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AU-5(1)</w:t>
      </w:r>
    </w:p>
  </w:footnote>
  <w:footnote w:id="160">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AU-7, AU-7(1) &amp; AU-12 | NIST 800-171 rev1 3.3.1, 3.3.2 &amp; 3.3.6 | </w:t>
      </w:r>
      <w:r>
        <w:rPr>
          <w:sz w:val="16"/>
          <w:szCs w:val="16"/>
          <w:lang w:val="pt-BR"/>
        </w:rPr>
        <w:t xml:space="preserve">NIST CSF v1.1 DE.DP-4 </w:t>
      </w:r>
    </w:p>
  </w:footnote>
  <w:footnote w:id="161">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CA-7(3) </w:t>
      </w:r>
    </w:p>
  </w:footnote>
  <w:footnote w:id="162">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AU-8 | NIST 800-171 rev1 3.3.7 </w:t>
      </w:r>
    </w:p>
  </w:footnote>
  <w:footnote w:id="163">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AU-8(1) | NIST 800-171 rev1 3.3.7 </w:t>
      </w:r>
    </w:p>
  </w:footnote>
  <w:footnote w:id="164">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http://tycho.usno.navy.mil/ntp.html</w:t>
      </w:r>
    </w:p>
  </w:footnote>
  <w:footnote w:id="165">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AU-9 | ISO 27002:2013 12.4.2 | NIST 800-171 rev1 3.3.8 </w:t>
      </w:r>
    </w:p>
  </w:footnote>
  <w:footnote w:id="166">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AU-4(1) &amp; AU-9(2) </w:t>
      </w:r>
    </w:p>
  </w:footnote>
  <w:footnote w:id="167">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AU-9(4) </w:t>
      </w:r>
    </w:p>
  </w:footnote>
  <w:footnote w:id="168">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AU-9(3) </w:t>
      </w:r>
    </w:p>
  </w:footnote>
  <w:footnote w:id="169">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AU-9(5) </w:t>
      </w:r>
    </w:p>
  </w:footnote>
  <w:footnote w:id="170">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AU-10 </w:t>
      </w:r>
    </w:p>
  </w:footnote>
  <w:footnote w:id="171">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AU-11 </w:t>
      </w:r>
    </w:p>
  </w:footnote>
  <w:footnote w:id="172">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AU-13 </w:t>
      </w:r>
    </w:p>
  </w:footnote>
  <w:footnote w:id="173">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SI-4(18)</w:t>
      </w:r>
    </w:p>
  </w:footnote>
  <w:footnote w:id="174">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SI-4(22)</w:t>
      </w:r>
    </w:p>
  </w:footnote>
  <w:footnote w:id="175">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SI-4(24)</w:t>
      </w:r>
    </w:p>
  </w:footnote>
  <w:footnote w:id="176">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AU-14 </w:t>
      </w:r>
    </w:p>
  </w:footnote>
  <w:footnote w:id="177">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AU-15 </w:t>
      </w:r>
    </w:p>
  </w:footnote>
  <w:footnote w:id="178">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AU-16 </w:t>
      </w:r>
    </w:p>
  </w:footnote>
  <w:footnote w:id="179">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AU-16(2)</w:t>
      </w:r>
    </w:p>
  </w:footnote>
  <w:footnote w:id="180">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SC-31 </w:t>
      </w:r>
    </w:p>
  </w:footnote>
  <w:footnote w:id="181">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SI-4(11) | </w:t>
      </w:r>
      <w:r>
        <w:rPr>
          <w:sz w:val="16"/>
          <w:szCs w:val="16"/>
          <w:lang w:val="pt-BR"/>
        </w:rPr>
        <w:t xml:space="preserve">NIST CSF v1.1 </w:t>
      </w:r>
      <w:r>
        <w:rPr>
          <w:sz w:val="16"/>
          <w:szCs w:val="16"/>
        </w:rPr>
        <w:t xml:space="preserve">DE.AE-1 </w:t>
      </w:r>
    </w:p>
  </w:footnote>
  <w:footnote w:id="182">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w:t>
      </w:r>
      <w:r>
        <w:rPr>
          <w:sz w:val="16"/>
          <w:szCs w:val="16"/>
          <w:lang w:val="pt-BR"/>
        </w:rPr>
        <w:t xml:space="preserve">NIST CSF v1.1 </w:t>
      </w:r>
      <w:r>
        <w:rPr>
          <w:sz w:val="16"/>
          <w:szCs w:val="16"/>
        </w:rPr>
        <w:t>DE.CM-3</w:t>
      </w:r>
    </w:p>
  </w:footnote>
  <w:footnote w:id="183">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w:t>
      </w:r>
      <w:r>
        <w:rPr>
          <w:sz w:val="16"/>
          <w:szCs w:val="16"/>
          <w:lang w:val="pt-BR"/>
        </w:rPr>
        <w:t xml:space="preserve">NIST CSF v1.1 </w:t>
      </w:r>
      <w:r>
        <w:rPr>
          <w:sz w:val="16"/>
          <w:szCs w:val="16"/>
        </w:rPr>
        <w:t>DE.CM-6</w:t>
      </w:r>
    </w:p>
  </w:footnote>
  <w:footnote w:id="184">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w:t>
      </w:r>
      <w:r>
        <w:rPr>
          <w:sz w:val="16"/>
          <w:szCs w:val="16"/>
          <w:lang w:val="pt-BR"/>
        </w:rPr>
        <w:t xml:space="preserve">NIST CSF v1.1 </w:t>
      </w:r>
      <w:r>
        <w:rPr>
          <w:sz w:val="16"/>
          <w:szCs w:val="16"/>
        </w:rPr>
        <w:t>DE.CM-7</w:t>
      </w:r>
    </w:p>
  </w:footnote>
  <w:footnote w:id="185">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SC-13 | ISO 27002:2013 10.1.1 | NIST 800-171 rev1 3.13.11 </w:t>
      </w:r>
    </w:p>
  </w:footnote>
  <w:footnote w:id="186">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SC-8(1) | NIST 800-171 rev1 3.13.8 </w:t>
      </w:r>
    </w:p>
  </w:footnote>
  <w:footnote w:id="187">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SC-13 | ISO 27002:2013 18.1.5 </w:t>
      </w:r>
    </w:p>
  </w:footnote>
  <w:footnote w:id="188">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SC-8(2) </w:t>
      </w:r>
    </w:p>
  </w:footnote>
  <w:footnote w:id="189">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SC-8(4) </w:t>
      </w:r>
    </w:p>
  </w:footnote>
  <w:footnote w:id="190">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IA-7 </w:t>
      </w:r>
    </w:p>
  </w:footnote>
  <w:footnote w:id="191">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SC-8 | ISO 27002:2013 13.2.3 | </w:t>
      </w:r>
      <w:r>
        <w:rPr>
          <w:sz w:val="16"/>
          <w:szCs w:val="16"/>
          <w:lang w:val="pt-BR"/>
        </w:rPr>
        <w:t>NIST CSF v1.1 PR.DS-2</w:t>
      </w:r>
    </w:p>
  </w:footnote>
  <w:footnote w:id="192">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SC-8 &amp; SC-28(1) | ISO 27002:2013 14.1.3 | NIST 800-171 rev1 3.13.8 &amp; 3.13.16 | </w:t>
      </w:r>
      <w:r>
        <w:rPr>
          <w:sz w:val="16"/>
          <w:szCs w:val="16"/>
          <w:lang w:val="pt-BR"/>
        </w:rPr>
        <w:t xml:space="preserve">NIST CSF v1.1 PR.DS-8 </w:t>
      </w:r>
    </w:p>
  </w:footnote>
  <w:footnote w:id="193">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SC-13 | </w:t>
      </w:r>
      <w:r>
        <w:rPr>
          <w:sz w:val="16"/>
          <w:szCs w:val="16"/>
          <w:lang w:val="pt-BR"/>
        </w:rPr>
        <w:t xml:space="preserve">NIST CSF v1.1 </w:t>
      </w:r>
      <w:r>
        <w:rPr>
          <w:sz w:val="16"/>
          <w:szCs w:val="16"/>
        </w:rPr>
        <w:t xml:space="preserve">PR.DS-1 </w:t>
      </w:r>
    </w:p>
  </w:footnote>
  <w:footnote w:id="194">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MP5(4) &amp; SC-28(1) | NIST 800-171 rev1 3.8.6 2</w:t>
      </w:r>
    </w:p>
  </w:footnote>
  <w:footnote w:id="195">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SC-28(2) </w:t>
      </w:r>
    </w:p>
  </w:footnote>
  <w:footnote w:id="196">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AC-18 &amp; SC-40 </w:t>
      </w:r>
    </w:p>
  </w:footnote>
  <w:footnote w:id="197">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SC-12 &amp; SC-17 | NIST 800-171 rev1 3.13.10 </w:t>
      </w:r>
    </w:p>
  </w:footnote>
  <w:footnote w:id="198">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PCI DSS 3.6.4 &amp; 3.6.5</w:t>
      </w:r>
    </w:p>
  </w:footnote>
  <w:footnote w:id="199">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ISO 27002:2013 10.1.2 </w:t>
      </w:r>
    </w:p>
  </w:footnote>
  <w:footnote w:id="200">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SC-12(2) </w:t>
      </w:r>
    </w:p>
  </w:footnote>
  <w:footnote w:id="201">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SC-12(3) </w:t>
      </w:r>
    </w:p>
  </w:footnote>
  <w:footnote w:id="202">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SC-16 </w:t>
      </w:r>
    </w:p>
  </w:footnote>
  <w:footnote w:id="203">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AR-7, DM-2, DM-2(b) &amp; MP-1 | ISO 27002:2013 8.2, 8.3.3 &amp; 18.1.4  </w:t>
      </w:r>
    </w:p>
  </w:footnote>
  <w:footnote w:id="204">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ISO 27002:2013 8.2.1 | </w:t>
      </w:r>
      <w:r>
        <w:rPr>
          <w:sz w:val="16"/>
          <w:szCs w:val="16"/>
          <w:lang w:val="pt-BR"/>
        </w:rPr>
        <w:t xml:space="preserve">NIST CSF v1.1 </w:t>
      </w:r>
      <w:r>
        <w:rPr>
          <w:sz w:val="16"/>
          <w:szCs w:val="16"/>
          <w:lang w:val="fr-FR"/>
        </w:rPr>
        <w:t xml:space="preserve">ID.AM-5 </w:t>
      </w:r>
    </w:p>
  </w:footnote>
  <w:footnote w:id="205">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MP-2 &amp; MP-2(1) | NIST 800-171 rev1 3.8.1, 3.8.2 &amp; 3.8.3 </w:t>
      </w:r>
    </w:p>
  </w:footnote>
  <w:footnote w:id="206">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MP-3 | ISO 27002:2013 8.2.2 | NIST 800-171 rev1 3.8.4 </w:t>
      </w:r>
    </w:p>
  </w:footnote>
  <w:footnote w:id="207">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AC-15 </w:t>
      </w:r>
    </w:p>
  </w:footnote>
  <w:footnote w:id="208">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AC-16 </w:t>
      </w:r>
    </w:p>
  </w:footnote>
  <w:footnote w:id="209">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MP-4 | NIST 800-171 rev1 3.8.1, 3.8.2 &amp; 3.8.3 </w:t>
      </w:r>
    </w:p>
  </w:footnote>
  <w:footnote w:id="210">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MP-5 | NIST 800-171 rev1 3.8.5 </w:t>
      </w:r>
    </w:p>
  </w:footnote>
  <w:footnote w:id="211">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ISO 27002:2013 8.2.3</w:t>
      </w:r>
    </w:p>
  </w:footnote>
  <w:footnote w:id="212">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MP-5(4) | </w:t>
      </w:r>
      <w:r>
        <w:rPr>
          <w:sz w:val="16"/>
          <w:szCs w:val="16"/>
          <w:lang w:val="fr-FR"/>
        </w:rPr>
        <w:t>NY DFS 500.15</w:t>
      </w:r>
    </w:p>
  </w:footnote>
  <w:footnote w:id="213">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ISO 27002:2013 8.3.2 | </w:t>
      </w:r>
      <w:r>
        <w:rPr>
          <w:sz w:val="16"/>
          <w:szCs w:val="16"/>
          <w:lang w:val="pt-BR"/>
        </w:rPr>
        <w:t xml:space="preserve">NIST CSF v1.1 PR.IP-6 </w:t>
      </w:r>
    </w:p>
  </w:footnote>
  <w:footnote w:id="214">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MP-6 | NIST 800-171 rev1 3.8.1, 3.8.2 &amp; 3.8.3 </w:t>
      </w:r>
    </w:p>
  </w:footnote>
  <w:footnote w:id="215">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MP-6(1) </w:t>
      </w:r>
    </w:p>
  </w:footnote>
  <w:footnote w:id="216">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MP-6(2) </w:t>
      </w:r>
    </w:p>
  </w:footnote>
  <w:footnote w:id="217">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MP-6(3) </w:t>
      </w:r>
    </w:p>
  </w:footnote>
  <w:footnote w:id="218">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MP-6(7) </w:t>
      </w:r>
    </w:p>
  </w:footnote>
  <w:footnote w:id="219">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MP-7 &amp; MP-7(1) | ISO 27002:2013 8.3.1 | NIST 800-171 rev1 3.8.7 &amp; 3.8.8 </w:t>
      </w:r>
    </w:p>
  </w:footnote>
  <w:footnote w:id="220">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MP-8 </w:t>
      </w:r>
    </w:p>
  </w:footnote>
  <w:footnote w:id="221">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ISO 27002:2013 8.3.1 | </w:t>
      </w:r>
      <w:r>
        <w:rPr>
          <w:sz w:val="16"/>
          <w:szCs w:val="16"/>
          <w:lang w:val="pt-BR"/>
        </w:rPr>
        <w:t>NIST CSF v1.1 PR.PT-2</w:t>
      </w:r>
    </w:p>
  </w:footnote>
  <w:footnote w:id="222">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AC-20 | NIST 800-171 rev1 3.1.20 </w:t>
      </w:r>
    </w:p>
  </w:footnote>
  <w:footnote w:id="223">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AC-20(1) | NIST 800-171 rev1 3.1.20</w:t>
      </w:r>
    </w:p>
  </w:footnote>
  <w:footnote w:id="224">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AC-20(2) | NIST 800-171 rev1 3.1.21</w:t>
      </w:r>
    </w:p>
  </w:footnote>
  <w:footnote w:id="225">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AC-20(3) </w:t>
      </w:r>
    </w:p>
  </w:footnote>
  <w:footnote w:id="226">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AC-21 | ISO 27002:2013 13.2-13.2.2 </w:t>
      </w:r>
    </w:p>
  </w:footnote>
  <w:footnote w:id="227">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AC-21(2)</w:t>
      </w:r>
    </w:p>
  </w:footnote>
  <w:footnote w:id="228">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AC-22 | NIST 800-171 rev1 3.1.22</w:t>
      </w:r>
    </w:p>
  </w:footnote>
  <w:footnote w:id="229">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AC-23</w:t>
      </w:r>
    </w:p>
  </w:footnote>
  <w:footnote w:id="230">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MP-7 &amp; SI-12 | ISO 27002:2013 8.3 &amp; 18.1.3 </w:t>
      </w:r>
    </w:p>
  </w:footnote>
  <w:footnote w:id="231">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SA-9(5) </w:t>
      </w:r>
    </w:p>
  </w:footnote>
  <w:footnote w:id="232">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800-183 - </w:t>
      </w:r>
      <w:hyperlink r:id="rId19">
        <w:r>
          <w:rPr>
            <w:rStyle w:val="InternetLink"/>
            <w:rFonts w:cs="Calibri" w:cstheme="minorHAnsi"/>
            <w:sz w:val="16"/>
            <w:szCs w:val="16"/>
          </w:rPr>
          <w:t>http://nvlpubs.nist.gov/nistpubs/SpecialPublications/NIST.SP.800-183.pdf</w:t>
        </w:r>
      </w:hyperlink>
      <w:r>
        <w:rPr>
          <w:sz w:val="16"/>
          <w:szCs w:val="16"/>
        </w:rPr>
        <w:t xml:space="preserve"> </w:t>
      </w:r>
    </w:p>
  </w:footnote>
  <w:footnote w:id="233">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800-183 - </w:t>
      </w:r>
      <w:hyperlink r:id="rId20">
        <w:r>
          <w:rPr>
            <w:rStyle w:val="InternetLink"/>
            <w:rFonts w:cs="Calibri" w:cstheme="minorHAnsi"/>
            <w:sz w:val="16"/>
            <w:szCs w:val="16"/>
          </w:rPr>
          <w:t>http://nvlpubs.nist.gov/nistpubs/SpecialPublications/NIST.SP.800-183.pdf</w:t>
        </w:r>
      </w:hyperlink>
      <w:r>
        <w:rPr>
          <w:sz w:val="16"/>
          <w:szCs w:val="16"/>
        </w:rPr>
        <w:t xml:space="preserve"> </w:t>
      </w:r>
    </w:p>
  </w:footnote>
  <w:footnote w:id="234">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800-82 - </w:t>
      </w:r>
      <w:hyperlink r:id="rId21">
        <w:r>
          <w:rPr>
            <w:rStyle w:val="InternetLink"/>
            <w:rFonts w:cs="Calibri" w:cstheme="minorHAnsi"/>
            <w:sz w:val="16"/>
            <w:szCs w:val="16"/>
          </w:rPr>
          <w:t>http://nvlpubs.nist.gov/nistpubs/SpecialPublications/NIST.SP.800-82r2.pdf</w:t>
        </w:r>
      </w:hyperlink>
      <w:r>
        <w:rPr>
          <w:sz w:val="16"/>
          <w:szCs w:val="16"/>
        </w:rPr>
        <w:t xml:space="preserve"> </w:t>
      </w:r>
    </w:p>
  </w:footnote>
  <w:footnote w:id="235">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MP-2 | ISO 27002:2013 11.2.9 </w:t>
      </w:r>
    </w:p>
  </w:footnote>
  <w:footnote w:id="236">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SC-28 | NIST 800-171 rev1 3.13.16 </w:t>
      </w:r>
    </w:p>
  </w:footnote>
  <w:footnote w:id="237">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CM-11 &amp; CM-11(2) | ISO 27002:2013 12.6.2 </w:t>
      </w:r>
    </w:p>
  </w:footnote>
  <w:footnote w:id="238">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CM-11(1) </w:t>
      </w:r>
    </w:p>
  </w:footnote>
  <w:footnote w:id="239">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CM-5 | ISO 27002:2013 12.5.1 </w:t>
      </w:r>
    </w:p>
  </w:footnote>
  <w:footnote w:id="240">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SI-3 | ISO 27002:2013 12.2.1 | NIST 800-171 rev1 3.14.1, 3.14.2, 3.14.3, 3.14.4 &amp; 3.14.5 | </w:t>
      </w:r>
      <w:r>
        <w:rPr>
          <w:sz w:val="16"/>
          <w:szCs w:val="16"/>
          <w:lang w:val="pt-BR"/>
        </w:rPr>
        <w:t xml:space="preserve">NIST CSF v1.1 </w:t>
      </w:r>
      <w:r>
        <w:rPr>
          <w:sz w:val="16"/>
          <w:szCs w:val="16"/>
          <w:lang w:val="fr-FR"/>
        </w:rPr>
        <w:t xml:space="preserve">DE.CM-4 </w:t>
      </w:r>
    </w:p>
  </w:footnote>
  <w:footnote w:id="241">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SI-3(2) </w:t>
      </w:r>
    </w:p>
  </w:footnote>
  <w:footnote w:id="242">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SI-3(1) </w:t>
      </w:r>
    </w:p>
  </w:footnote>
  <w:footnote w:id="243">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SI-3(7) </w:t>
      </w:r>
    </w:p>
  </w:footnote>
  <w:footnote w:id="244">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SI-3(6)</w:t>
      </w:r>
    </w:p>
  </w:footnote>
  <w:footnote w:id="245">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ISO 27002:2013 14.1.2 </w:t>
      </w:r>
    </w:p>
  </w:footnote>
  <w:footnote w:id="246">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SI-7 | </w:t>
      </w:r>
      <w:r>
        <w:rPr>
          <w:sz w:val="16"/>
          <w:szCs w:val="16"/>
          <w:lang w:val="pt-BR"/>
        </w:rPr>
        <w:t xml:space="preserve">NIST CSF v1.1 </w:t>
      </w:r>
      <w:r>
        <w:rPr>
          <w:sz w:val="16"/>
          <w:szCs w:val="16"/>
        </w:rPr>
        <w:t xml:space="preserve">PR.DS-6 </w:t>
      </w:r>
    </w:p>
  </w:footnote>
  <w:footnote w:id="247">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SI-7(1) </w:t>
      </w:r>
    </w:p>
  </w:footnote>
  <w:footnote w:id="248">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SI-7(7) </w:t>
      </w:r>
    </w:p>
  </w:footnote>
  <w:footnote w:id="249">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SI-7(2) </w:t>
      </w:r>
    </w:p>
  </w:footnote>
  <w:footnote w:id="250">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SI-7(5) </w:t>
      </w:r>
    </w:p>
  </w:footnote>
  <w:footnote w:id="251">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SI-7(9) </w:t>
      </w:r>
    </w:p>
  </w:footnote>
  <w:footnote w:id="252">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SI-7(10) </w:t>
      </w:r>
    </w:p>
  </w:footnote>
  <w:footnote w:id="253">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SI-7(14) </w:t>
      </w:r>
    </w:p>
  </w:footnote>
  <w:footnote w:id="254">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SI-8 </w:t>
      </w:r>
    </w:p>
  </w:footnote>
  <w:footnote w:id="255">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SI-8(1) </w:t>
      </w:r>
    </w:p>
  </w:footnote>
  <w:footnote w:id="256">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SI-8(2)  </w:t>
      </w:r>
    </w:p>
  </w:footnote>
  <w:footnote w:id="257">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SC-11</w:t>
      </w:r>
    </w:p>
  </w:footnote>
  <w:footnote w:id="258">
    <w:p>
      <w:pPr>
        <w:pStyle w:val="Normal"/>
        <w:rPr/>
      </w:pPr>
      <w:r>
        <w:rPr>
          <w:rStyle w:val="FootnoteCharacters"/>
        </w:rPr>
        <w:footnoteRef/>
      </w:r>
      <w:r>
        <w:rPr>
          <w:rStyle w:val="FootnoteCharacters"/>
        </w:rPr>
        <w:tab/>
      </w:r>
      <w:r>
        <w:rPr>
          <w:rStyle w:val="FootnoteCharacters"/>
          <w:sz w:val="16"/>
          <w:szCs w:val="16"/>
        </w:rPr>
        <w:tab/>
      </w:r>
      <w:r>
        <w:rPr>
          <w:sz w:val="16"/>
          <w:szCs w:val="16"/>
        </w:rPr>
        <w:t xml:space="preserve"> NIST 800-53 rev4 SC-18 &amp; SC-27 | NIST 800-171 rev1 3.13.13 | </w:t>
      </w:r>
      <w:r>
        <w:rPr>
          <w:sz w:val="16"/>
          <w:szCs w:val="16"/>
          <w:lang w:val="pt-BR"/>
        </w:rPr>
        <w:t xml:space="preserve">NIST CSF v1.1 </w:t>
      </w:r>
      <w:r>
        <w:rPr>
          <w:sz w:val="16"/>
          <w:szCs w:val="16"/>
        </w:rPr>
        <w:t xml:space="preserve">DE.CM-5 </w:t>
      </w:r>
    </w:p>
  </w:footnote>
  <w:footnote w:id="259">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SC-25 </w:t>
      </w:r>
    </w:p>
  </w:footnote>
  <w:footnote w:id="260">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SC-41</w:t>
      </w:r>
    </w:p>
  </w:footnote>
  <w:footnote w:id="261">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SC-42</w:t>
      </w:r>
    </w:p>
  </w:footnote>
  <w:footnote w:id="262">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SC-15 | NIST 800-171 rev1 3.13.12</w:t>
      </w:r>
    </w:p>
  </w:footnote>
  <w:footnote w:id="263">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SC-15(3) </w:t>
      </w:r>
    </w:p>
  </w:footnote>
  <w:footnote w:id="264">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SC-15(4)</w:t>
      </w:r>
    </w:p>
  </w:footnote>
  <w:footnote w:id="265">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ISO 27002:2013 13.1.3 </w:t>
      </w:r>
    </w:p>
  </w:footnote>
  <w:footnote w:id="266">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SC-7(12) </w:t>
      </w:r>
    </w:p>
  </w:footnote>
  <w:footnote w:id="267">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PS-1 | </w:t>
      </w:r>
      <w:r>
        <w:rPr>
          <w:sz w:val="16"/>
          <w:szCs w:val="16"/>
          <w:lang w:val="pt-BR"/>
        </w:rPr>
        <w:t xml:space="preserve">NIST CSF v1.1 </w:t>
      </w:r>
      <w:r>
        <w:rPr>
          <w:sz w:val="16"/>
          <w:szCs w:val="16"/>
        </w:rPr>
        <w:t xml:space="preserve">PR.IP-11 </w:t>
      </w:r>
    </w:p>
  </w:footnote>
  <w:footnote w:id="268">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PS-2 </w:t>
      </w:r>
    </w:p>
  </w:footnote>
  <w:footnote w:id="269">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PM-13 | ISO 27002:2013 6.1.1</w:t>
      </w:r>
      <w:r>
        <w:rPr>
          <w:sz w:val="16"/>
          <w:szCs w:val="16"/>
          <w:lang w:val="pt-BR"/>
        </w:rPr>
        <w:t xml:space="preserve"> &amp; </w:t>
      </w:r>
      <w:r>
        <w:rPr>
          <w:sz w:val="16"/>
          <w:szCs w:val="16"/>
        </w:rPr>
        <w:t xml:space="preserve">7.2 </w:t>
      </w:r>
    </w:p>
  </w:footnote>
  <w:footnote w:id="270">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PS-3 | ISO 27002:2013 7.1.1 | NIST 800-171 rev1 3.9.1 &amp; 3.9.2 </w:t>
      </w:r>
    </w:p>
  </w:footnote>
  <w:footnote w:id="271">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PS-3(3) </w:t>
      </w:r>
    </w:p>
  </w:footnote>
  <w:footnote w:id="272">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ISO 27002:2013 7.1.2 &amp; 7.2.1 </w:t>
      </w:r>
    </w:p>
  </w:footnote>
  <w:footnote w:id="273">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PL-4 &amp; PL-4(1) | ISO 27002:2013 7.2.1 &amp; 8.1.3 </w:t>
      </w:r>
    </w:p>
  </w:footnote>
  <w:footnote w:id="274">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PL-4(1) </w:t>
      </w:r>
    </w:p>
  </w:footnote>
  <w:footnote w:id="275">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SC-19 </w:t>
      </w:r>
    </w:p>
  </w:footnote>
  <w:footnote w:id="276">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PS-6 | ISO 27002:2013 13.2.2 </w:t>
      </w:r>
    </w:p>
  </w:footnote>
  <w:footnote w:id="277">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PS-6 </w:t>
      </w:r>
    </w:p>
  </w:footnote>
  <w:footnote w:id="278">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PS-6(3) </w:t>
      </w:r>
    </w:p>
  </w:footnote>
  <w:footnote w:id="279">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PS-8 | ISO 27002:2013 7.2.3 | NIST 800-171 rev1 NFO</w:t>
      </w:r>
    </w:p>
  </w:footnote>
  <w:footnote w:id="280">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PS-5 | NIST 800-171 rev1 3.9.1 &amp; 3.9.2 </w:t>
      </w:r>
    </w:p>
  </w:footnote>
  <w:footnote w:id="281">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PS-4 | ISO 27002:2013 7.3.1 | NIST 800-171 rev1 3.9.1 &amp; 3.9.2 </w:t>
      </w:r>
    </w:p>
  </w:footnote>
  <w:footnote w:id="282">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PS-4(1) </w:t>
      </w:r>
    </w:p>
  </w:footnote>
  <w:footnote w:id="283">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PS-4(2) </w:t>
      </w:r>
    </w:p>
  </w:footnote>
  <w:footnote w:id="284">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PS-7 </w:t>
      </w:r>
    </w:p>
  </w:footnote>
  <w:footnote w:id="285">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AC-5 | NIST 800-171 rev1 3.1.4 </w:t>
      </w:r>
    </w:p>
  </w:footnote>
  <w:footnote w:id="286">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ISO 27002:2013 6.1.2</w:t>
      </w:r>
    </w:p>
  </w:footnote>
  <w:footnote w:id="287">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AC-3(2)</w:t>
      </w:r>
    </w:p>
  </w:footnote>
  <w:footnote w:id="288">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AC-1, IA-1 &amp; SI-9 | ISO 27002:2013 9.1.1 </w:t>
      </w:r>
    </w:p>
  </w:footnote>
  <w:footnote w:id="289">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IA-2 | NIST 800-171 rev1 3.5.1 &amp; 3.5.2 </w:t>
      </w:r>
    </w:p>
  </w:footnote>
  <w:footnote w:id="290">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IA-2(5) </w:t>
      </w:r>
    </w:p>
  </w:footnote>
  <w:footnote w:id="291">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IA-2(8) &amp; IA-2(9) | NIST 800-171 rev1 3.5.4</w:t>
      </w:r>
    </w:p>
  </w:footnote>
  <w:footnote w:id="292">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IA-2(12) </w:t>
      </w:r>
    </w:p>
  </w:footnote>
  <w:footnote w:id="293">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IA-2(13) </w:t>
      </w:r>
    </w:p>
  </w:footnote>
  <w:footnote w:id="294">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IA-8 </w:t>
      </w:r>
    </w:p>
  </w:footnote>
  <w:footnote w:id="295">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IA-8(1) &amp; IA-8(2) </w:t>
      </w:r>
    </w:p>
  </w:footnote>
  <w:footnote w:id="296">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IA-8(2) </w:t>
      </w:r>
    </w:p>
  </w:footnote>
  <w:footnote w:id="297">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IA-8(4) </w:t>
      </w:r>
    </w:p>
  </w:footnote>
  <w:footnote w:id="298">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IA-3 </w:t>
      </w:r>
    </w:p>
  </w:footnote>
  <w:footnote w:id="299">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IA-3(4) </w:t>
      </w:r>
    </w:p>
  </w:footnote>
  <w:footnote w:id="300">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IA-9 </w:t>
      </w:r>
    </w:p>
  </w:footnote>
  <w:footnote w:id="301">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IA-9(1)</w:t>
      </w:r>
    </w:p>
  </w:footnote>
  <w:footnote w:id="302">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IA-2(11) | ISO 27002:2013 11.1.2 </w:t>
      </w:r>
    </w:p>
  </w:footnote>
  <w:footnote w:id="303">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IA-2(1) | NIST 800-171 rev1 3.5.3</w:t>
      </w:r>
    </w:p>
  </w:footnote>
  <w:footnote w:id="304">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IA-2(2) | NIST 800-171 rev1 3.5.3</w:t>
      </w:r>
    </w:p>
  </w:footnote>
  <w:footnote w:id="305">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IA-2(3) | NIST 800-171 rev1 3.5.3</w:t>
      </w:r>
    </w:p>
  </w:footnote>
  <w:footnote w:id="306">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IA-2(11) </w:t>
      </w:r>
    </w:p>
  </w:footnote>
  <w:footnote w:id="307">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IA-5(3) | ISO 27002:2013 9.2.1-9.2.2</w:t>
      </w:r>
      <w:r>
        <w:rPr>
          <w:sz w:val="16"/>
          <w:szCs w:val="16"/>
          <w:lang w:val="pt-BR"/>
        </w:rPr>
        <w:t xml:space="preserve"> | NIST CSF v1.1 PR.AC-6 </w:t>
      </w:r>
    </w:p>
  </w:footnote>
  <w:footnote w:id="308">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ISO 27002:2013 9.2.5 </w:t>
      </w:r>
    </w:p>
  </w:footnote>
  <w:footnote w:id="309">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AC-2(10) | ISO 27002:2013 9.2.5 </w:t>
      </w:r>
    </w:p>
  </w:footnote>
  <w:footnote w:id="310">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AC-2(7) 4</w:t>
      </w:r>
    </w:p>
  </w:footnote>
  <w:footnote w:id="311">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IA-4 | NIST 800-171 rev1 3.5.5 &amp; 3.5.6 </w:t>
      </w:r>
    </w:p>
  </w:footnote>
  <w:footnote w:id="312">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IA-4(4) | ISO 27002:2013 9.2.1 </w:t>
      </w:r>
    </w:p>
  </w:footnote>
  <w:footnote w:id="313">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IA-4(4)</w:t>
      </w:r>
    </w:p>
  </w:footnote>
  <w:footnote w:id="314">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IA-4(5) </w:t>
      </w:r>
    </w:p>
  </w:footnote>
  <w:footnote w:id="315">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IA-4(6) </w:t>
      </w:r>
    </w:p>
  </w:footnote>
  <w:footnote w:id="316">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IA-5 | ISO 27002:2013 9.2.3, 9.2.4 &amp; 9.4.3 | NIST 800-171 rev1 3.5.1 &amp; 3.5.2 </w:t>
      </w:r>
    </w:p>
  </w:footnote>
  <w:footnote w:id="317">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IA-5(1) | NIST 800-171 rev1 3.5.7, 3.5.8 &amp; 3.5.9 </w:t>
      </w:r>
    </w:p>
  </w:footnote>
  <w:footnote w:id="318">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IA-5(2)</w:t>
      </w:r>
    </w:p>
  </w:footnote>
  <w:footnote w:id="319">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IA-5(3)</w:t>
      </w:r>
    </w:p>
  </w:footnote>
  <w:footnote w:id="320">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IA-5(4)</w:t>
      </w:r>
    </w:p>
  </w:footnote>
  <w:footnote w:id="321">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IA-5(6) | NIST 800-171 rev1 3.5.10 | ISO 27002:2013 9.3.1 </w:t>
      </w:r>
    </w:p>
  </w:footnote>
  <w:footnote w:id="322">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IA-5(7) </w:t>
      </w:r>
    </w:p>
  </w:footnote>
  <w:footnote w:id="323">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IA-5(11)</w:t>
      </w:r>
    </w:p>
  </w:footnote>
  <w:footnote w:id="324">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IA-5(5)</w:t>
      </w:r>
    </w:p>
  </w:footnote>
  <w:footnote w:id="325">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IA-5(8)</w:t>
      </w:r>
    </w:p>
  </w:footnote>
  <w:footnote w:id="326">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IA-5(13)</w:t>
      </w:r>
    </w:p>
  </w:footnote>
  <w:footnote w:id="327">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IA-6 | NIST 800-171 rev1 3.5.11 </w:t>
      </w:r>
    </w:p>
  </w:footnote>
  <w:footnote w:id="328">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IA-7 </w:t>
      </w:r>
    </w:p>
  </w:footnote>
  <w:footnote w:id="329">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IA-10 </w:t>
      </w:r>
    </w:p>
  </w:footnote>
  <w:footnote w:id="330">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IA-11 </w:t>
      </w:r>
    </w:p>
  </w:footnote>
  <w:footnote w:id="331">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AC-2 | NIST 800-171 rev1 3.1.1 &amp; 3.1.2 </w:t>
      </w:r>
    </w:p>
  </w:footnote>
  <w:footnote w:id="332">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AC-2(1)</w:t>
      </w:r>
    </w:p>
  </w:footnote>
  <w:footnote w:id="333">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AC-2(2) </w:t>
      </w:r>
    </w:p>
  </w:footnote>
  <w:footnote w:id="334">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AC-2(3) </w:t>
      </w:r>
    </w:p>
  </w:footnote>
  <w:footnote w:id="335">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AC-2(4) </w:t>
      </w:r>
    </w:p>
  </w:footnote>
  <w:footnote w:id="336">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AC-2(9) &amp; AC-2(10)  </w:t>
      </w:r>
    </w:p>
  </w:footnote>
  <w:footnote w:id="337">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AC-2(12)  </w:t>
      </w:r>
    </w:p>
  </w:footnote>
  <w:footnote w:id="338">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AC-2(11)  </w:t>
      </w:r>
    </w:p>
  </w:footnote>
  <w:footnote w:id="339">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ISO 27002:2013 9.2.3 </w:t>
      </w:r>
    </w:p>
  </w:footnote>
  <w:footnote w:id="340">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ISO 27002:2013 9.2.5 &amp; 9.2.6</w:t>
      </w:r>
    </w:p>
  </w:footnote>
  <w:footnote w:id="341">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IA-5(6) | ISO 27002:2013 9.3.1 </w:t>
      </w:r>
    </w:p>
  </w:footnote>
  <w:footnote w:id="342">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AC-3 | ISO 27002:2013 9.2.6 &amp; 9.4 | NIST 800-171 rev1 3.1.1 &amp; 3.1.2 </w:t>
      </w:r>
    </w:p>
  </w:footnote>
  <w:footnote w:id="343">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Microsoft's Payment Card Industry Data Security Standard Compliance Planning Guide </w:t>
      </w:r>
      <w:hyperlink r:id="rId22">
        <w:r>
          <w:rPr>
            <w:rStyle w:val="InternetLink"/>
            <w:rFonts w:cs="Calibri" w:cstheme="minorHAnsi"/>
            <w:sz w:val="16"/>
            <w:szCs w:val="16"/>
          </w:rPr>
          <w:t>http://www.microsoft.com/en-us/download/details.aspx?id=18015</w:t>
        </w:r>
      </w:hyperlink>
      <w:r>
        <w:rPr>
          <w:sz w:val="16"/>
          <w:szCs w:val="16"/>
        </w:rPr>
        <w:t xml:space="preserve"> </w:t>
      </w:r>
    </w:p>
  </w:footnote>
  <w:footnote w:id="344">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ISO 27002:2013 9.4.4 </w:t>
      </w:r>
    </w:p>
  </w:footnote>
  <w:footnote w:id="345">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AC-3(2)</w:t>
      </w:r>
    </w:p>
  </w:footnote>
  <w:footnote w:id="346">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AC-6 | ISO 27002:2013 9.1.2 | NIST 800-171 rev1 3.1.5 | </w:t>
      </w:r>
      <w:r>
        <w:rPr>
          <w:sz w:val="16"/>
          <w:szCs w:val="16"/>
          <w:lang w:val="pt-BR"/>
        </w:rPr>
        <w:t xml:space="preserve">NIST CSF v1.1 </w:t>
      </w:r>
      <w:r>
        <w:rPr>
          <w:sz w:val="16"/>
          <w:szCs w:val="16"/>
        </w:rPr>
        <w:t>PR.AC-4</w:t>
      </w:r>
    </w:p>
  </w:footnote>
  <w:footnote w:id="347">
    <w:p>
      <w:pPr>
        <w:pStyle w:val="Normal"/>
        <w:jc w:val="left"/>
        <w:rPr/>
      </w:pPr>
      <w:r>
        <w:rPr>
          <w:rStyle w:val="FootnoteCharacters"/>
        </w:rPr>
        <w:footnoteRef/>
      </w:r>
      <w:r>
        <w:rPr>
          <w:rStyle w:val="FootnoteCharacters"/>
        </w:rPr>
        <w:tab/>
      </w:r>
      <w:r>
        <w:rPr>
          <w:rStyle w:val="FootnoteCharacters"/>
          <w:sz w:val="16"/>
          <w:szCs w:val="16"/>
        </w:rPr>
        <w:tab/>
      </w:r>
      <w:r>
        <w:rPr>
          <w:sz w:val="16"/>
          <w:szCs w:val="16"/>
        </w:rPr>
        <w:t xml:space="preserve"> Saltzer, Jerome H. &amp; Schroeder, Michael D. "The Protection of Information in Computer Systems." Proceedings of the IEEE 63, 9 (September 1975): 1278-1308.</w:t>
      </w:r>
    </w:p>
  </w:footnote>
  <w:footnote w:id="348">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AC-6(1) | NIST 800-171 rev1 3.1.5</w:t>
      </w:r>
    </w:p>
  </w:footnote>
  <w:footnote w:id="349">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AC-6(2) | NIST 800-171 rev1 3.1.6 </w:t>
      </w:r>
    </w:p>
  </w:footnote>
  <w:footnote w:id="350">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AC-6(5) | NIST 800-171 rev1 3.1.5</w:t>
      </w:r>
    </w:p>
  </w:footnote>
  <w:footnote w:id="351">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AC-6(9) | NIST 800-171 rev1 3.1.7 </w:t>
      </w:r>
    </w:p>
  </w:footnote>
  <w:footnote w:id="352">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AC-6(10) | NIST 800-171 rev1 3.1.7</w:t>
      </w:r>
    </w:p>
  </w:footnote>
  <w:footnote w:id="353">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AC-6(3) </w:t>
      </w:r>
    </w:p>
  </w:footnote>
  <w:footnote w:id="354">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AC-6(8) </w:t>
      </w:r>
    </w:p>
  </w:footnote>
  <w:footnote w:id="355">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AC-7 | ISO 27002:2013 6.2.1 | NIST 800-171 rev1 3.1.8 </w:t>
      </w:r>
    </w:p>
  </w:footnote>
  <w:footnote w:id="356">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AC-10 </w:t>
      </w:r>
    </w:p>
  </w:footnote>
  <w:footnote w:id="357">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AC-2(5) &amp; AC-11 | NIST 800-171 rev1 3.1.10 </w:t>
      </w:r>
    </w:p>
  </w:footnote>
  <w:footnote w:id="358">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AC-11(1) | NIST 800-171 rev1 3.1.10</w:t>
      </w:r>
    </w:p>
  </w:footnote>
  <w:footnote w:id="359">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AC-12 | NIST 800-171 rev1 3.1.11 </w:t>
      </w:r>
    </w:p>
  </w:footnote>
  <w:footnote w:id="360">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AC-12(1) </w:t>
      </w:r>
    </w:p>
  </w:footnote>
  <w:footnote w:id="361">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AC-14 </w:t>
      </w:r>
    </w:p>
  </w:footnote>
  <w:footnote w:id="362">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AC-24</w:t>
      </w:r>
    </w:p>
  </w:footnote>
  <w:footnote w:id="363">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IR-1 | ISO 27002:2013 16.1.1 | </w:t>
      </w:r>
      <w:r>
        <w:rPr>
          <w:sz w:val="16"/>
          <w:szCs w:val="16"/>
          <w:lang w:val="pt-BR"/>
        </w:rPr>
        <w:t xml:space="preserve">NIST CSF v1.1 PR.IP-9 </w:t>
      </w:r>
    </w:p>
  </w:footnote>
  <w:footnote w:id="364">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Computer Security Incident Handling Guide - </w:t>
      </w:r>
      <w:hyperlink r:id="rId23">
        <w:r>
          <w:rPr>
            <w:rStyle w:val="InternetLink"/>
            <w:rFonts w:cs="Calibri" w:cstheme="minorHAnsi"/>
            <w:sz w:val="16"/>
            <w:szCs w:val="16"/>
          </w:rPr>
          <w:t>http://csrc.nist.gov/publications/nistpubs/800-61rev2/SP800-61rev2.pdf</w:t>
        </w:r>
      </w:hyperlink>
    </w:p>
  </w:footnote>
  <w:footnote w:id="365">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Guide to Integrating Forensic Techniques into Incident Response - </w:t>
      </w:r>
      <w:hyperlink r:id="rId24">
        <w:r>
          <w:rPr>
            <w:rStyle w:val="InternetLink"/>
            <w:rFonts w:cs="Calibri" w:cstheme="minorHAnsi"/>
            <w:sz w:val="16"/>
            <w:szCs w:val="16"/>
          </w:rPr>
          <w:t>http://csrc.nist.gov/publications/nistpubs/800-86/SP800-86.pdf</w:t>
        </w:r>
      </w:hyperlink>
    </w:p>
  </w:footnote>
  <w:footnote w:id="366">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IR-4 | ISO 27002:2013 16.1.4 | NIST 800-171 rev1 3.6.1 &amp; 3.6.2 | </w:t>
      </w:r>
      <w:r>
        <w:rPr>
          <w:sz w:val="16"/>
          <w:szCs w:val="16"/>
          <w:lang w:val="pt-BR"/>
        </w:rPr>
        <w:t xml:space="preserve">NIST CSF v1.1 </w:t>
      </w:r>
      <w:r>
        <w:rPr>
          <w:sz w:val="16"/>
          <w:szCs w:val="16"/>
        </w:rPr>
        <w:t xml:space="preserve">DE.AE-2, DE.AE-4, DE.AE-5, RS.RP-1, RS.AN-1, RS.AN-4, RS.MI-1 &amp; RS.MI-2 </w:t>
      </w:r>
    </w:p>
  </w:footnote>
  <w:footnote w:id="367">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IR-4(1) </w:t>
      </w:r>
    </w:p>
  </w:footnote>
  <w:footnote w:id="368">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IR-4(6) | Fair and Accurate Credit Transactions Act (FACTA)</w:t>
      </w:r>
    </w:p>
  </w:footnote>
  <w:footnote w:id="369">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IR-4(2) </w:t>
      </w:r>
    </w:p>
  </w:footnote>
  <w:footnote w:id="370">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IR-4(3) </w:t>
      </w:r>
    </w:p>
  </w:footnote>
  <w:footnote w:id="371">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IR-4(8) </w:t>
      </w:r>
    </w:p>
  </w:footnote>
  <w:footnote w:id="372">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w:t>
      </w:r>
      <w:r>
        <w:rPr>
          <w:sz w:val="16"/>
          <w:szCs w:val="16"/>
          <w:lang w:val="pt-BR"/>
        </w:rPr>
        <w:t xml:space="preserve">NIST CSF v1.1 </w:t>
      </w:r>
      <w:r>
        <w:rPr>
          <w:sz w:val="16"/>
          <w:szCs w:val="16"/>
        </w:rPr>
        <w:t>RS.AN-2</w:t>
      </w:r>
    </w:p>
  </w:footnote>
  <w:footnote w:id="373">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IR-8 | ISO 27002:2013 16.1.5 </w:t>
      </w:r>
    </w:p>
  </w:footnote>
  <w:footnote w:id="374">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SE-2 </w:t>
      </w:r>
    </w:p>
  </w:footnote>
  <w:footnote w:id="375">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IR-1 | </w:t>
      </w:r>
      <w:r>
        <w:rPr>
          <w:sz w:val="16"/>
          <w:szCs w:val="16"/>
          <w:lang w:val="pt-BR"/>
        </w:rPr>
        <w:t>NIST CSF v1.1 RS.IM-2</w:t>
      </w:r>
      <w:r>
        <w:rPr>
          <w:sz w:val="16"/>
          <w:szCs w:val="16"/>
        </w:rPr>
        <w:t xml:space="preserve"> </w:t>
      </w:r>
    </w:p>
  </w:footnote>
  <w:footnote w:id="376">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IR-2 | NIST 800-171 rev1 3.6.1 &amp; 3.6.2 </w:t>
      </w:r>
    </w:p>
  </w:footnote>
  <w:footnote w:id="377">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IR-2(1) </w:t>
      </w:r>
    </w:p>
  </w:footnote>
  <w:footnote w:id="378">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IR-2(2)</w:t>
      </w:r>
    </w:p>
  </w:footnote>
  <w:footnote w:id="379">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IR-3 | NIST 800-171 rev1 3.6.3 </w:t>
      </w:r>
    </w:p>
  </w:footnote>
  <w:footnote w:id="380">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IR-3(2) | NIST 800-171 rev1 3.6.3 | </w:t>
      </w:r>
      <w:r>
        <w:rPr>
          <w:sz w:val="16"/>
          <w:szCs w:val="16"/>
          <w:lang w:val="pt-BR"/>
        </w:rPr>
        <w:t>NIST CSF v1.1 PR.IP-10</w:t>
      </w:r>
    </w:p>
  </w:footnote>
  <w:footnote w:id="381">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IR-7(2) | ISO 27002:2013 16.1.4 | </w:t>
      </w:r>
      <w:r>
        <w:rPr>
          <w:sz w:val="16"/>
          <w:szCs w:val="16"/>
          <w:lang w:val="pt-BR"/>
        </w:rPr>
        <w:t xml:space="preserve">NIST CSF v1.1 RS.CO-1, RS.CO-4, RC.CO-1, RS.CO-2 &amp; RS.CO-3 </w:t>
      </w:r>
    </w:p>
  </w:footnote>
  <w:footnote w:id="382">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AU-10(3) | ISO 27002:2013 16.1.7 | </w:t>
      </w:r>
      <w:r>
        <w:rPr>
          <w:sz w:val="16"/>
          <w:szCs w:val="16"/>
          <w:lang w:val="pt-BR"/>
        </w:rPr>
        <w:t xml:space="preserve">NIST CSF v1.1 RS.AN-3 </w:t>
      </w:r>
    </w:p>
  </w:footnote>
  <w:footnote w:id="383">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US Federal Rules of Evidence - </w:t>
      </w:r>
      <w:hyperlink r:id="rId25">
        <w:r>
          <w:rPr>
            <w:rStyle w:val="InternetLink"/>
            <w:rFonts w:cs="Calibri" w:cstheme="minorHAnsi"/>
            <w:sz w:val="16"/>
            <w:szCs w:val="16"/>
          </w:rPr>
          <w:t xml:space="preserve"> https://www.rulesofevidence.org </w:t>
        </w:r>
      </w:hyperlink>
    </w:p>
  </w:footnote>
  <w:footnote w:id="384">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IR-5 | NIST 800-171 rev1 3.6.1 &amp; 3.6.2 | </w:t>
      </w:r>
      <w:r>
        <w:rPr>
          <w:sz w:val="16"/>
          <w:szCs w:val="16"/>
          <w:lang w:val="pt-BR"/>
        </w:rPr>
        <w:t xml:space="preserve">NIST CSF v1.1 </w:t>
      </w:r>
      <w:r>
        <w:rPr>
          <w:sz w:val="16"/>
          <w:szCs w:val="16"/>
        </w:rPr>
        <w:t xml:space="preserve">DE.AE-3 </w:t>
      </w:r>
    </w:p>
  </w:footnote>
  <w:footnote w:id="385">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IR-5(1) </w:t>
      </w:r>
    </w:p>
  </w:footnote>
  <w:footnote w:id="386">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IR-6 &amp; IR-6(1) | ISO 27002:2013 16.1.2 &amp; 16.1.3 | NIST 800-171 rev1 3.6.1 &amp; 3.6.2 | </w:t>
      </w:r>
      <w:r>
        <w:rPr>
          <w:sz w:val="16"/>
          <w:szCs w:val="16"/>
          <w:lang w:val="pt-BR"/>
        </w:rPr>
        <w:t xml:space="preserve">NIST CSF v1.1 </w:t>
      </w:r>
      <w:r>
        <w:rPr>
          <w:sz w:val="16"/>
          <w:szCs w:val="16"/>
        </w:rPr>
        <w:t xml:space="preserve">RS.CO-2, RS.CO-3 &amp; RS.CO-5 </w:t>
      </w:r>
    </w:p>
  </w:footnote>
  <w:footnote w:id="387">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IR-7 | NIST 800-171 rev1 3.6.1 &amp; 3.6.2 </w:t>
      </w:r>
    </w:p>
  </w:footnote>
  <w:footnote w:id="388">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IR-7(1) </w:t>
      </w:r>
    </w:p>
  </w:footnote>
  <w:footnote w:id="389">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IR-9 </w:t>
      </w:r>
    </w:p>
  </w:footnote>
  <w:footnote w:id="390">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IR-9(1) </w:t>
      </w:r>
    </w:p>
  </w:footnote>
  <w:footnote w:id="391">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IR-9(2) </w:t>
      </w:r>
    </w:p>
  </w:footnote>
  <w:footnote w:id="392">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IR-9(3) </w:t>
      </w:r>
    </w:p>
  </w:footnote>
  <w:footnote w:id="393">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IR-9(4) </w:t>
      </w:r>
    </w:p>
  </w:footnote>
  <w:footnote w:id="394">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IR-1 | ISO 27002:2013 16.1.6 | </w:t>
      </w:r>
      <w:r>
        <w:rPr>
          <w:sz w:val="16"/>
          <w:szCs w:val="16"/>
          <w:lang w:val="pt-BR"/>
        </w:rPr>
        <w:t xml:space="preserve">NIST CSF v1.1 RS.IM-1 </w:t>
      </w:r>
    </w:p>
  </w:footnote>
  <w:footnote w:id="395">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IR-6 | ISO 27002:2013 6.1.3 </w:t>
      </w:r>
    </w:p>
  </w:footnote>
  <w:footnote w:id="396">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PM-10 &amp; CA-1 </w:t>
      </w:r>
    </w:p>
  </w:footnote>
  <w:footnote w:id="397">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CA-2 | ISO 27002:2013 14.2.8 | NIST 800-171 rev1 3.12.1, 3.12.2, 3.12.3 &amp; 3.12.4 </w:t>
      </w:r>
    </w:p>
  </w:footnote>
  <w:footnote w:id="398">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CA-2(1) </w:t>
      </w:r>
    </w:p>
  </w:footnote>
  <w:footnote w:id="399">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CA-2(2) </w:t>
      </w:r>
    </w:p>
  </w:footnote>
  <w:footnote w:id="400">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CA-2(3)  </w:t>
      </w:r>
    </w:p>
  </w:footnote>
  <w:footnote w:id="401">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PL-2 &amp; PL-3 | NIST 800-171 rev1 3.12.1, 3.12.2, 3.12.3 &amp; 3.12.4 </w:t>
      </w:r>
    </w:p>
  </w:footnote>
  <w:footnote w:id="402">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PL-02(3) </w:t>
      </w:r>
    </w:p>
  </w:footnote>
  <w:footnote w:id="403">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PM-4 &amp; CA-5 | NIST 800-171 rev1 3.12.1, 3.12.2, 3.12.3 &amp; 3.12.4 </w:t>
      </w:r>
    </w:p>
  </w:footnote>
  <w:footnote w:id="404">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CA-2 </w:t>
      </w:r>
    </w:p>
  </w:footnote>
  <w:footnote w:id="405">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CA-6 | ISO 27002:2013 14.2.9 </w:t>
      </w:r>
    </w:p>
  </w:footnote>
  <w:footnote w:id="406">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MA-1 | ISO 27002:2013 11.2.4 </w:t>
      </w:r>
    </w:p>
  </w:footnote>
  <w:footnote w:id="407">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MA-2 | NIST 800-171 rev1 3.7.1, 3.7.2 &amp; 3.7.3 | </w:t>
      </w:r>
      <w:r>
        <w:rPr>
          <w:sz w:val="16"/>
          <w:szCs w:val="16"/>
          <w:lang w:val="pt-BR"/>
        </w:rPr>
        <w:t xml:space="preserve">NIST CSF v1.1 </w:t>
      </w:r>
      <w:r>
        <w:rPr>
          <w:sz w:val="16"/>
          <w:szCs w:val="16"/>
        </w:rPr>
        <w:t xml:space="preserve">PR.MA-1 </w:t>
      </w:r>
    </w:p>
  </w:footnote>
  <w:footnote w:id="408">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MA-2(2)</w:t>
      </w:r>
    </w:p>
  </w:footnote>
  <w:footnote w:id="409">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MA-6 </w:t>
      </w:r>
    </w:p>
  </w:footnote>
  <w:footnote w:id="410">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MA-6(1) </w:t>
      </w:r>
    </w:p>
  </w:footnote>
  <w:footnote w:id="411">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MA-6(2)</w:t>
      </w:r>
    </w:p>
  </w:footnote>
  <w:footnote w:id="412">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MA-6(3)</w:t>
      </w:r>
    </w:p>
  </w:footnote>
  <w:footnote w:id="413">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MA-3 | NIST 800-171 rev1 3.7.1 &amp; 3.7.2 </w:t>
      </w:r>
    </w:p>
  </w:footnote>
  <w:footnote w:id="414">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MA-3(1) | NIST 800-171 rev1 3.7.1 &amp; 3.7.2</w:t>
      </w:r>
    </w:p>
  </w:footnote>
  <w:footnote w:id="415">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MA-3(2) | NIST 800-171 rev1 3.7.1, 3.7.2 &amp; 3.7.4</w:t>
      </w:r>
    </w:p>
  </w:footnote>
  <w:footnote w:id="416">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MA-3(3) </w:t>
      </w:r>
    </w:p>
  </w:footnote>
  <w:footnote w:id="417">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MA-3(4) </w:t>
      </w:r>
    </w:p>
  </w:footnote>
  <w:footnote w:id="418">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MA-4 | NIST 800-171 rev1 3.7.5 | </w:t>
      </w:r>
      <w:r>
        <w:rPr>
          <w:sz w:val="16"/>
          <w:szCs w:val="16"/>
          <w:lang w:val="pt-BR"/>
        </w:rPr>
        <w:t xml:space="preserve">NIST CSF v1.1 </w:t>
      </w:r>
      <w:r>
        <w:rPr>
          <w:sz w:val="16"/>
          <w:szCs w:val="16"/>
        </w:rPr>
        <w:t>PR.MA-2</w:t>
      </w:r>
    </w:p>
  </w:footnote>
  <w:footnote w:id="419">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MA-4(1)</w:t>
      </w:r>
    </w:p>
  </w:footnote>
  <w:footnote w:id="420">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MA-4(2) </w:t>
      </w:r>
    </w:p>
  </w:footnote>
  <w:footnote w:id="421">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MA-4(3) </w:t>
      </w:r>
    </w:p>
  </w:footnote>
  <w:footnote w:id="422">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MA-4(5)</w:t>
      </w:r>
    </w:p>
  </w:footnote>
  <w:footnote w:id="423">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MA-5 | NIST 800-171 rev1 3.7.6 </w:t>
      </w:r>
    </w:p>
  </w:footnote>
  <w:footnote w:id="424">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MA-5(1) </w:t>
      </w:r>
    </w:p>
  </w:footnote>
  <w:footnote w:id="425">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MA-5(5) </w:t>
      </w:r>
    </w:p>
  </w:footnote>
  <w:footnote w:id="426">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AC-19 | ISO 27002:2013 6.2.1 | NIST 800-171 rev1 3.1.18 </w:t>
      </w:r>
    </w:p>
  </w:footnote>
  <w:footnote w:id="427">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AC-19(5) | NIST 800-171 rev1 3.1.19 </w:t>
      </w:r>
    </w:p>
  </w:footnote>
  <w:footnote w:id="428">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PE-3(5) | ISO 27002:2013 11.1.6</w:t>
      </w:r>
    </w:p>
  </w:footnote>
  <w:footnote w:id="429">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MP-6(8) | ISO 27002:2013 6.1.2 &amp; 6.2.1</w:t>
      </w:r>
    </w:p>
  </w:footnote>
  <w:footnote w:id="430">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SC-1 | ISO 27002:2013 13.1.1 &amp; 13.1.2 | NIST CSF v1.1 PR.PT-4 </w:t>
      </w:r>
    </w:p>
  </w:footnote>
  <w:footnote w:id="431">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PCI DSS 1.3.7 | </w:t>
      </w:r>
      <w:r>
        <w:rPr>
          <w:sz w:val="16"/>
          <w:szCs w:val="16"/>
          <w:lang w:val="pt-BR"/>
        </w:rPr>
        <w:t xml:space="preserve">NIST CSF v1.1 PR.AC-5 </w:t>
      </w:r>
    </w:p>
  </w:footnote>
  <w:footnote w:id="432">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SC-5  </w:t>
      </w:r>
    </w:p>
  </w:footnote>
  <w:footnote w:id="433">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CA-3(3) &amp; SC-7 | NIST 800-171 rev1 3.13.1, 3.13.2 &amp; 3.13.5 </w:t>
      </w:r>
    </w:p>
  </w:footnote>
  <w:footnote w:id="434">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SC-7(3) </w:t>
      </w:r>
    </w:p>
  </w:footnote>
  <w:footnote w:id="435">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SC-7(4) </w:t>
      </w:r>
    </w:p>
  </w:footnote>
  <w:footnote w:id="436">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SC-7(16) </w:t>
      </w:r>
    </w:p>
  </w:footnote>
  <w:footnote w:id="437">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SC-7(10) </w:t>
      </w:r>
    </w:p>
  </w:footnote>
  <w:footnote w:id="438">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SC-7(20) </w:t>
      </w:r>
    </w:p>
  </w:footnote>
  <w:footnote w:id="439">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SC-7(21) | PCI DSS 1.2.3,</w:t>
      </w:r>
      <w:r>
        <w:rPr>
          <w:sz w:val="16"/>
          <w:szCs w:val="16"/>
          <w:lang w:val="pt-BR"/>
        </w:rPr>
        <w:t xml:space="preserve"> </w:t>
      </w:r>
      <w:r>
        <w:rPr>
          <w:sz w:val="16"/>
          <w:szCs w:val="16"/>
        </w:rPr>
        <w:t>1.3.1, 1.3.2 &amp; 1.3.4</w:t>
      </w:r>
      <w:r>
        <w:rPr>
          <w:sz w:val="16"/>
          <w:szCs w:val="16"/>
          <w:lang w:val="pt-BR"/>
        </w:rPr>
        <w:t xml:space="preserve"> </w:t>
      </w:r>
    </w:p>
  </w:footnote>
  <w:footnote w:id="440">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SC-7(22) </w:t>
      </w:r>
    </w:p>
  </w:footnote>
  <w:footnote w:id="441">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AC-4 &amp; AU-8 | ISO 27002:2013 9.4.1, 13.1.1 &amp; 14.1.2 | NIST 800-171 rev1 3.1.3 </w:t>
      </w:r>
    </w:p>
  </w:footnote>
  <w:footnote w:id="442">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CA-3(5) &amp; SC-7(5) | ISO 27002:2013 13.2.1 | NIST 800-171 rev1 3.13.6 </w:t>
      </w:r>
    </w:p>
  </w:footnote>
  <w:footnote w:id="443">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AC-4(1)</w:t>
      </w:r>
    </w:p>
  </w:footnote>
  <w:footnote w:id="444">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AC-4(4)</w:t>
      </w:r>
    </w:p>
  </w:footnote>
  <w:footnote w:id="445">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AC-4(5)</w:t>
      </w:r>
    </w:p>
  </w:footnote>
  <w:footnote w:id="446">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AC-4(6)</w:t>
      </w:r>
    </w:p>
  </w:footnote>
  <w:footnote w:id="447">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AC-4(9) </w:t>
      </w:r>
    </w:p>
  </w:footnote>
  <w:footnote w:id="448">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AC-4(8) </w:t>
      </w:r>
    </w:p>
  </w:footnote>
  <w:footnote w:id="449">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AC-4(12) </w:t>
      </w:r>
    </w:p>
  </w:footnote>
  <w:footnote w:id="450">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AC-4(13) </w:t>
      </w:r>
    </w:p>
  </w:footnote>
  <w:footnote w:id="451">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AC-4(15) </w:t>
      </w:r>
    </w:p>
  </w:footnote>
  <w:footnote w:id="452">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AC-4(20) </w:t>
      </w:r>
    </w:p>
  </w:footnote>
  <w:footnote w:id="453">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CA-3 </w:t>
      </w:r>
    </w:p>
  </w:footnote>
  <w:footnote w:id="454">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CA-3(5) | ISO 27002:2013 13.2.1 </w:t>
      </w:r>
    </w:p>
  </w:footnote>
  <w:footnote w:id="455">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CA-9 </w:t>
      </w:r>
    </w:p>
  </w:footnote>
  <w:footnote w:id="456">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AC-4(21) </w:t>
      </w:r>
    </w:p>
  </w:footnote>
  <w:footnote w:id="457">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SC-7(13) </w:t>
      </w:r>
    </w:p>
  </w:footnote>
  <w:footnote w:id="458">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SC-10 | NIST 800-171 rev1 3.13.9 </w:t>
      </w:r>
    </w:p>
  </w:footnote>
  <w:footnote w:id="459">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SC-23 | NIST 800-171 rev1 3.13.15 </w:t>
      </w:r>
    </w:p>
  </w:footnote>
  <w:footnote w:id="460">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SC-23(1) </w:t>
      </w:r>
    </w:p>
  </w:footnote>
  <w:footnote w:id="461">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SC-20 </w:t>
      </w:r>
    </w:p>
  </w:footnote>
  <w:footnote w:id="462">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Google DNS - http://code.google.com/speed/public-dns/docs/using.html</w:t>
      </w:r>
    </w:p>
  </w:footnote>
  <w:footnote w:id="463">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SC-22  </w:t>
      </w:r>
    </w:p>
  </w:footnote>
  <w:footnote w:id="464">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SC-21  </w:t>
      </w:r>
    </w:p>
  </w:footnote>
  <w:footnote w:id="465">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SC-37 </w:t>
      </w:r>
    </w:p>
  </w:footnote>
  <w:footnote w:id="466">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SC-14 </w:t>
      </w:r>
    </w:p>
  </w:footnote>
  <w:footnote w:id="467">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SC-40 </w:t>
      </w:r>
    </w:p>
  </w:footnote>
  <w:footnote w:id="468">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AC-17(6), SC-8(3) &amp; SC-19 | ISO 27002:2013 13.2.3 | NIST 800-171 rev1 3.13.14 </w:t>
      </w:r>
    </w:p>
  </w:footnote>
  <w:footnote w:id="469">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AC-17 | ISO 27002:2013 6.2.2 |NIST 800-171 rev1 3.1.1 &amp; 3.1.2 | </w:t>
      </w:r>
      <w:r>
        <w:rPr>
          <w:sz w:val="16"/>
          <w:szCs w:val="16"/>
          <w:lang w:val="pt-BR"/>
        </w:rPr>
        <w:t xml:space="preserve">NIST CSF v1.1 PR.AC-3 </w:t>
      </w:r>
    </w:p>
  </w:footnote>
  <w:footnote w:id="470">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AC-17(1) | NIST 800-171 rev1 3.1.12</w:t>
      </w:r>
    </w:p>
  </w:footnote>
  <w:footnote w:id="471">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AC-17(2) | NIST 800-171 rev1 3.1.13 </w:t>
      </w:r>
    </w:p>
  </w:footnote>
  <w:footnote w:id="472">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AC-17(3) | NIST 800-171 rev1 3.1.14</w:t>
      </w:r>
    </w:p>
  </w:footnote>
  <w:footnote w:id="473">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AC-17(4) | NIST 800-171 rev1 3.1.15</w:t>
      </w:r>
    </w:p>
  </w:footnote>
  <w:footnote w:id="474">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ISO 27002:2013 6.2.2</w:t>
      </w:r>
    </w:p>
  </w:footnote>
  <w:footnote w:id="475">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AC-17(9) </w:t>
      </w:r>
    </w:p>
  </w:footnote>
  <w:footnote w:id="476">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AC-18 | NIST 800-171 rev1 3.1.16 </w:t>
      </w:r>
    </w:p>
  </w:footnote>
  <w:footnote w:id="477">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AC-18(1) | NIST 800-171 rev1 3.1.17 </w:t>
      </w:r>
    </w:p>
  </w:footnote>
  <w:footnote w:id="478">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AC-18(3)</w:t>
      </w:r>
    </w:p>
  </w:footnote>
  <w:footnote w:id="479">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AC-18(4) </w:t>
      </w:r>
    </w:p>
  </w:footnote>
  <w:footnote w:id="480">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ISO 27002:2013 14.1.3</w:t>
      </w:r>
    </w:p>
  </w:footnote>
  <w:footnote w:id="481">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ISO 27002:2013 8.3.1 </w:t>
      </w:r>
    </w:p>
  </w:footnote>
  <w:footnote w:id="482">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SC-7(8) </w:t>
      </w:r>
    </w:p>
  </w:footnote>
  <w:footnote w:id="483">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PE-1 </w:t>
      </w:r>
    </w:p>
  </w:footnote>
  <w:footnote w:id="484">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PE-2 | ISO 27002:2013 11.1.1 | NIST 800-171 rev1 3.10.1 &amp; 3.10.2</w:t>
      </w:r>
    </w:p>
  </w:footnote>
  <w:footnote w:id="485">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PE-2(1) </w:t>
      </w:r>
    </w:p>
  </w:footnote>
  <w:footnote w:id="486">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PE-3 | ISO 27002:2013 9.1.1 | NIST 800-171 rev1 3.10.3, 3.10.4 &amp; 3.10.5 | </w:t>
      </w:r>
      <w:r>
        <w:rPr>
          <w:sz w:val="16"/>
          <w:szCs w:val="16"/>
          <w:lang w:val="pt-BR"/>
        </w:rPr>
        <w:t xml:space="preserve">NIST CSF v1.1 </w:t>
      </w:r>
      <w:r>
        <w:rPr>
          <w:sz w:val="16"/>
          <w:szCs w:val="16"/>
        </w:rPr>
        <w:t xml:space="preserve">PR.AC-2 </w:t>
      </w:r>
    </w:p>
  </w:footnote>
  <w:footnote w:id="487">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PE-3(4)</w:t>
      </w:r>
    </w:p>
  </w:footnote>
  <w:footnote w:id="488">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PE-8 </w:t>
      </w:r>
    </w:p>
  </w:footnote>
  <w:footnote w:id="489">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PE-3(1) </w:t>
      </w:r>
    </w:p>
  </w:footnote>
  <w:footnote w:id="490">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ISO 27002:2013 11.1.1 &amp; 11.1.3 </w:t>
      </w:r>
    </w:p>
  </w:footnote>
  <w:footnote w:id="491">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ISO 27002:2013 11.1.2 &amp; 11.1.5</w:t>
      </w:r>
    </w:p>
  </w:footnote>
  <w:footnote w:id="492">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PE-6 | NIST 800-171 rev1 3.10.1 &amp; 3.10.2 | </w:t>
      </w:r>
      <w:r>
        <w:rPr>
          <w:sz w:val="16"/>
          <w:szCs w:val="16"/>
          <w:lang w:val="pt-BR"/>
        </w:rPr>
        <w:t xml:space="preserve">NIST CSF v1.1 </w:t>
      </w:r>
      <w:r>
        <w:rPr>
          <w:sz w:val="16"/>
          <w:szCs w:val="16"/>
        </w:rPr>
        <w:t>DE.CM-2</w:t>
      </w:r>
    </w:p>
  </w:footnote>
  <w:footnote w:id="493">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PE-6(1) </w:t>
      </w:r>
    </w:p>
  </w:footnote>
  <w:footnote w:id="494">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PE-6(4) </w:t>
      </w:r>
    </w:p>
  </w:footnote>
  <w:footnote w:id="495">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PE-2(2) </w:t>
      </w:r>
    </w:p>
  </w:footnote>
  <w:footnote w:id="496">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PE-2(3) </w:t>
      </w:r>
    </w:p>
  </w:footnote>
  <w:footnote w:id="497">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PE-8(1) </w:t>
      </w:r>
    </w:p>
  </w:footnote>
  <w:footnote w:id="498">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PE-9 | ISO 27002:2013 11.2.2 &amp; 11.2.3 </w:t>
      </w:r>
    </w:p>
  </w:footnote>
  <w:footnote w:id="499">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PE-9(2) | ISO 27002:2013 11.2.2</w:t>
      </w:r>
    </w:p>
  </w:footnote>
  <w:footnote w:id="500">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PE-10  </w:t>
      </w:r>
    </w:p>
  </w:footnote>
  <w:footnote w:id="501">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PE-11 &amp; PE-11(1) </w:t>
      </w:r>
    </w:p>
  </w:footnote>
  <w:footnote w:id="502">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PE-12  </w:t>
      </w:r>
    </w:p>
  </w:footnote>
  <w:footnote w:id="503">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PE-15  </w:t>
      </w:r>
    </w:p>
  </w:footnote>
  <w:footnote w:id="504">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PE-15(1)</w:t>
      </w:r>
    </w:p>
  </w:footnote>
  <w:footnote w:id="505">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PE-13  </w:t>
      </w:r>
    </w:p>
  </w:footnote>
  <w:footnote w:id="506">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PE-13(1)</w:t>
      </w:r>
    </w:p>
  </w:footnote>
  <w:footnote w:id="507">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PE-13(2)</w:t>
      </w:r>
    </w:p>
  </w:footnote>
  <w:footnote w:id="508">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PE-13(3)</w:t>
      </w:r>
    </w:p>
  </w:footnote>
  <w:footnote w:id="509">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PE-14 | </w:t>
      </w:r>
    </w:p>
  </w:footnote>
  <w:footnote w:id="510">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PE-14(2)  </w:t>
      </w:r>
    </w:p>
  </w:footnote>
  <w:footnote w:id="511">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PE-16 | ISO 27002:2013 11.1.6 </w:t>
      </w:r>
    </w:p>
  </w:footnote>
  <w:footnote w:id="512">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PE-17 | NIST 800-171 rev1 3.10.6</w:t>
      </w:r>
    </w:p>
  </w:footnote>
  <w:footnote w:id="513">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PE-18 | ISO 27002:2013 11.2.1 &amp; 11.2.3 </w:t>
      </w:r>
    </w:p>
  </w:footnote>
  <w:footnote w:id="514">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PE-4 | ISO 27002:2013 11.2.3 </w:t>
      </w:r>
    </w:p>
  </w:footnote>
  <w:footnote w:id="515">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PE-5 | NIST 800-171 rev1 3.10.1 &amp; 3.10.2 </w:t>
      </w:r>
    </w:p>
  </w:footnote>
  <w:footnote w:id="516">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w:t>
      </w:r>
      <w:r>
        <w:rPr>
          <w:sz w:val="16"/>
          <w:szCs w:val="16"/>
          <w:lang w:val="pt-BR"/>
        </w:rPr>
        <w:t xml:space="preserve">NIST CSF v1.1 </w:t>
      </w:r>
      <w:r>
        <w:rPr>
          <w:sz w:val="16"/>
          <w:szCs w:val="16"/>
        </w:rPr>
        <w:t>PR.DS-5</w:t>
      </w:r>
    </w:p>
  </w:footnote>
  <w:footnote w:id="517">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AR-1 &amp; AR-4 | ISO 27002:2013 18.1.4 </w:t>
      </w:r>
    </w:p>
  </w:footnote>
  <w:footnote w:id="518">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TR-3 </w:t>
      </w:r>
    </w:p>
  </w:footnote>
  <w:footnote w:id="519">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TR-1 &amp; TR-2</w:t>
      </w:r>
    </w:p>
  </w:footnote>
  <w:footnote w:id="520">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AP-2 </w:t>
      </w:r>
    </w:p>
  </w:footnote>
  <w:footnote w:id="521">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IP-1 </w:t>
      </w:r>
    </w:p>
  </w:footnote>
  <w:footnote w:id="522">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DM-2 </w:t>
      </w:r>
    </w:p>
  </w:footnote>
  <w:footnote w:id="523">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Generally Accepted Privacy Principles (GAPP) - </w:t>
      </w:r>
      <w:hyperlink r:id="rId26">
        <w:r>
          <w:rPr>
            <w:rStyle w:val="InternetLink"/>
            <w:rFonts w:cs="Calibri" w:cstheme="minorHAnsi"/>
            <w:sz w:val="16"/>
            <w:szCs w:val="16"/>
          </w:rPr>
          <w:t>http://www.aicpa.org</w:t>
        </w:r>
      </w:hyperlink>
      <w:r>
        <w:rPr>
          <w:sz w:val="16"/>
          <w:szCs w:val="16"/>
        </w:rPr>
        <w:t xml:space="preserve"> </w:t>
      </w:r>
    </w:p>
  </w:footnote>
  <w:footnote w:id="524">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Privacy Shield Framework - </w:t>
      </w:r>
      <w:hyperlink r:id="rId27">
        <w:r>
          <w:rPr>
            <w:rStyle w:val="InternetLink"/>
            <w:rFonts w:cs="Calibri" w:cstheme="minorHAnsi"/>
            <w:sz w:val="16"/>
            <w:szCs w:val="16"/>
          </w:rPr>
          <w:t xml:space="preserve"> https://www.privacyshield.gov</w:t>
        </w:r>
      </w:hyperlink>
      <w:r>
        <w:rPr>
          <w:sz w:val="16"/>
          <w:szCs w:val="16"/>
        </w:rPr>
        <w:t xml:space="preserve"> </w:t>
      </w:r>
    </w:p>
  </w:footnote>
  <w:footnote w:id="525">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AP-1 </w:t>
      </w:r>
    </w:p>
  </w:footnote>
  <w:footnote w:id="526">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DM-3 </w:t>
      </w:r>
    </w:p>
  </w:footnote>
  <w:footnote w:id="527">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DI-2 </w:t>
      </w:r>
    </w:p>
  </w:footnote>
  <w:footnote w:id="528">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DM-2</w:t>
      </w:r>
    </w:p>
  </w:footnote>
  <w:footnote w:id="529">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UL-1 </w:t>
      </w:r>
    </w:p>
  </w:footnote>
  <w:footnote w:id="530">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SE-1 </w:t>
      </w:r>
    </w:p>
  </w:footnote>
  <w:footnote w:id="531">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IP-2 </w:t>
      </w:r>
    </w:p>
  </w:footnote>
  <w:footnote w:id="532">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IP-3 </w:t>
      </w:r>
    </w:p>
  </w:footnote>
  <w:footnote w:id="533">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IP-4 </w:t>
      </w:r>
    </w:p>
  </w:footnote>
  <w:footnote w:id="534">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UL-2 </w:t>
      </w:r>
    </w:p>
  </w:footnote>
  <w:footnote w:id="535">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AR-3 </w:t>
      </w:r>
    </w:p>
  </w:footnote>
  <w:footnote w:id="536">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AR-6 </w:t>
      </w:r>
    </w:p>
  </w:footnote>
  <w:footnote w:id="537">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Department of Homeland Security SORNs Definition - </w:t>
      </w:r>
      <w:hyperlink r:id="rId28">
        <w:r>
          <w:rPr>
            <w:rStyle w:val="InternetLink"/>
            <w:rFonts w:cs="Calibri" w:cstheme="minorHAnsi"/>
            <w:sz w:val="16"/>
            <w:szCs w:val="16"/>
          </w:rPr>
          <w:t>https://www.dhs.gov/system-records-notices-sorns</w:t>
        </w:r>
      </w:hyperlink>
      <w:r>
        <w:rPr>
          <w:sz w:val="16"/>
          <w:szCs w:val="16"/>
        </w:rPr>
        <w:t xml:space="preserve"> </w:t>
      </w:r>
    </w:p>
  </w:footnote>
  <w:footnote w:id="538">
    <w:p>
      <w:pPr>
        <w:pStyle w:val="Normal"/>
        <w:rPr/>
      </w:pPr>
      <w:r>
        <w:rPr>
          <w:rStyle w:val="FootnoteCharacters"/>
        </w:rPr>
        <w:footnoteRef/>
      </w:r>
      <w:r>
        <w:rPr>
          <w:rStyle w:val="FootnoteCharacters"/>
        </w:rPr>
        <w:tab/>
      </w:r>
      <w:r>
        <w:rPr>
          <w:rStyle w:val="FootnoteCharacters"/>
          <w:sz w:val="16"/>
          <w:szCs w:val="16"/>
        </w:rPr>
        <w:tab/>
      </w:r>
      <w:r>
        <w:rPr>
          <w:sz w:val="16"/>
          <w:szCs w:val="16"/>
        </w:rPr>
        <w:t xml:space="preserve"> NIST 800-53 rev4 DI-1 </w:t>
      </w:r>
    </w:p>
  </w:footnote>
  <w:footnote w:id="539">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AR-8 </w:t>
      </w:r>
    </w:p>
  </w:footnote>
  <w:footnote w:id="540">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PL-1 | ISO 27002:2013 6.1.5 </w:t>
      </w:r>
    </w:p>
  </w:footnote>
  <w:footnote w:id="541">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SCF SP-CMM - </w:t>
      </w:r>
      <w:hyperlink r:id="rId29">
        <w:r>
          <w:rPr>
            <w:rStyle w:val="InternetLink"/>
            <w:rFonts w:cs="Calibri" w:cstheme="minorHAnsi"/>
            <w:sz w:val="16"/>
            <w:szCs w:val="16"/>
          </w:rPr>
          <w:t>https://www.securecontrolsframework.com/sp-cmm</w:t>
        </w:r>
      </w:hyperlink>
    </w:p>
  </w:footnote>
  <w:footnote w:id="542">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PM-3 </w:t>
      </w:r>
    </w:p>
  </w:footnote>
  <w:footnote w:id="543">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SA-2 | </w:t>
      </w:r>
      <w:r>
        <w:rPr>
          <w:sz w:val="16"/>
          <w:szCs w:val="16"/>
          <w:lang w:val="pt-BR"/>
        </w:rPr>
        <w:t xml:space="preserve">NIST CSF v1.1 ID.BE-3 </w:t>
      </w:r>
    </w:p>
  </w:footnote>
  <w:footnote w:id="544">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CA-2 | ISO 27002:2013 6.1.5 </w:t>
      </w:r>
    </w:p>
  </w:footnote>
  <w:footnote w:id="545">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SA-14 | ISO 27002:2013 14.1 | </w:t>
      </w:r>
      <w:r>
        <w:rPr>
          <w:sz w:val="16"/>
          <w:szCs w:val="16"/>
          <w:lang w:val="pt-BR"/>
        </w:rPr>
        <w:t xml:space="preserve">NIST CSF v1.1 </w:t>
      </w:r>
      <w:r>
        <w:rPr>
          <w:sz w:val="16"/>
          <w:szCs w:val="16"/>
          <w:lang w:val="fr-FR"/>
        </w:rPr>
        <w:t xml:space="preserve">ID.BE-4 &amp; ID.BE-5 </w:t>
      </w:r>
    </w:p>
  </w:footnote>
  <w:footnote w:id="546">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PM-11 </w:t>
      </w:r>
    </w:p>
  </w:footnote>
  <w:footnote w:id="547">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SA-3 | ISO 27002:2013 14.2.2 | </w:t>
      </w:r>
      <w:r>
        <w:rPr>
          <w:sz w:val="16"/>
          <w:szCs w:val="16"/>
          <w:lang w:val="pt-BR"/>
        </w:rPr>
        <w:t xml:space="preserve">NIST CSF v1.1 </w:t>
      </w:r>
      <w:r>
        <w:rPr>
          <w:sz w:val="16"/>
          <w:szCs w:val="16"/>
          <w:lang w:val="fr-FR"/>
        </w:rPr>
        <w:t>PR.IP-2</w:t>
      </w:r>
      <w:r>
        <w:rPr>
          <w:sz w:val="16"/>
          <w:szCs w:val="16"/>
        </w:rPr>
        <w:t xml:space="preserve"> </w:t>
      </w:r>
    </w:p>
  </w:footnote>
  <w:footnote w:id="548">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PM-9 &amp; RA-1 | ISO 27002:2013 11.1.4 |</w:t>
      </w:r>
      <w:r>
        <w:rPr>
          <w:sz w:val="16"/>
          <w:szCs w:val="16"/>
          <w:lang w:val="pt-BR"/>
        </w:rPr>
        <w:t xml:space="preserve">NIST CSF v1.1 ID.GV-4, ID.RM-1, ID.RM-2 &amp; ID.RM-3 </w:t>
      </w:r>
    </w:p>
  </w:footnote>
  <w:footnote w:id="549">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RA-2 </w:t>
      </w:r>
    </w:p>
  </w:footnote>
  <w:footnote w:id="550">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w:t>
      </w:r>
      <w:r>
        <w:rPr>
          <w:sz w:val="16"/>
          <w:szCs w:val="16"/>
          <w:lang w:val="pt-BR"/>
        </w:rPr>
        <w:t xml:space="preserve">NIST CSF v1.1 </w:t>
      </w:r>
      <w:r>
        <w:rPr>
          <w:sz w:val="16"/>
          <w:szCs w:val="16"/>
        </w:rPr>
        <w:t>ID.RA-3</w:t>
      </w:r>
    </w:p>
  </w:footnote>
  <w:footnote w:id="551">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RA-3 | ISO 27002:2013 11.1.4 | NIST 800-171 rev1 3.11.1 | </w:t>
      </w:r>
      <w:r>
        <w:rPr>
          <w:sz w:val="16"/>
          <w:szCs w:val="16"/>
          <w:lang w:val="pt-BR"/>
        </w:rPr>
        <w:t>NIST CSF v1.1</w:t>
      </w:r>
      <w:r>
        <w:rPr>
          <w:sz w:val="16"/>
          <w:szCs w:val="16"/>
          <w:lang w:val="fr-FR"/>
        </w:rPr>
        <w:t xml:space="preserve"> ID.RA-5</w:t>
      </w:r>
      <w:r>
        <w:rPr>
          <w:sz w:val="16"/>
          <w:szCs w:val="16"/>
          <w:lang w:val="pt-BR"/>
        </w:rPr>
        <w:t xml:space="preserve"> </w:t>
      </w:r>
    </w:p>
  </w:footnote>
  <w:footnote w:id="552">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National Vulnerability Database (NVD) Common Vulnerability Scoring System (CVSS) http://nvd.nist.gov/cvss.cfm</w:t>
      </w:r>
    </w:p>
  </w:footnote>
  <w:footnote w:id="553">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w:t>
      </w:r>
      <w:r>
        <w:rPr>
          <w:sz w:val="16"/>
          <w:szCs w:val="16"/>
          <w:lang w:val="pt-BR"/>
        </w:rPr>
        <w:t xml:space="preserve">NIST CSF v1.1 ID.RA-6 </w:t>
      </w:r>
    </w:p>
  </w:footnote>
  <w:footnote w:id="554">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w:t>
      </w:r>
      <w:r>
        <w:rPr>
          <w:sz w:val="16"/>
          <w:szCs w:val="16"/>
          <w:lang w:val="pt-BR"/>
        </w:rPr>
        <w:t xml:space="preserve">NIST CSF v1.1 ID.RA-4 </w:t>
      </w:r>
    </w:p>
  </w:footnote>
  <w:footnote w:id="555">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AR-2 &amp; PL-5 </w:t>
      </w:r>
    </w:p>
  </w:footnote>
  <w:footnote w:id="556">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SA-8, </w:t>
      </w:r>
      <w:r>
        <w:rPr>
          <w:sz w:val="16"/>
          <w:szCs w:val="16"/>
          <w:lang w:val="pt-BR"/>
        </w:rPr>
        <w:t>SA-13</w:t>
      </w:r>
      <w:r>
        <w:rPr>
          <w:sz w:val="16"/>
          <w:szCs w:val="16"/>
        </w:rPr>
        <w:t xml:space="preserve">, SC-7(18) &amp; SI-01 | ISO27002 14.2.5 | NIST 800-171 rev1 3.13.1 &amp; 3.13.2 </w:t>
      </w:r>
    </w:p>
  </w:footnote>
  <w:footnote w:id="557">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800-160 - </w:t>
      </w:r>
      <w:hyperlink r:id="rId30">
        <w:r>
          <w:rPr>
            <w:rStyle w:val="InternetLink"/>
            <w:rFonts w:cs="Calibri" w:cstheme="minorHAnsi"/>
            <w:sz w:val="16"/>
            <w:szCs w:val="16"/>
          </w:rPr>
          <w:t>http://csrc.nist.gov/publications/drafts/800-160/sp800_160_second-draft.pdf</w:t>
        </w:r>
      </w:hyperlink>
      <w:r>
        <w:rPr>
          <w:sz w:val="16"/>
          <w:szCs w:val="16"/>
        </w:rPr>
        <w:t xml:space="preserve"> </w:t>
      </w:r>
    </w:p>
  </w:footnote>
  <w:footnote w:id="558">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PL-8 &amp; PM-7 | ISO 27002:2013 14.1.1 </w:t>
      </w:r>
    </w:p>
  </w:footnote>
  <w:footnote w:id="559">
    <w:p>
      <w:pPr>
        <w:pStyle w:val="Footnote"/>
        <w:jc w:val="left"/>
        <w:rPr/>
      </w:pPr>
      <w:r>
        <w:rPr>
          <w:rStyle w:val="FootnoteCharacters"/>
        </w:rPr>
        <w:footnoteRef/>
      </w:r>
      <w:r>
        <w:rPr>
          <w:rStyle w:val="FootnoteCharacters"/>
        </w:rPr>
        <w:tab/>
      </w:r>
      <w:r>
        <w:rPr>
          <w:rStyle w:val="FootnoteCharacters"/>
          <w:rFonts w:eastAsia="Calibri"/>
          <w:sz w:val="16"/>
          <w:szCs w:val="16"/>
        </w:rPr>
        <w:tab/>
      </w:r>
      <w:r>
        <w:rPr>
          <w:sz w:val="16"/>
          <w:szCs w:val="16"/>
        </w:rPr>
        <w:t xml:space="preserve"> NIST IR 7298 - </w:t>
      </w:r>
      <w:hyperlink r:id="rId31">
        <w:r>
          <w:rPr>
            <w:rStyle w:val="InternetLink"/>
            <w:rFonts w:cs="Calibri" w:cstheme="minorHAnsi"/>
            <w:sz w:val="16"/>
            <w:szCs w:val="16"/>
          </w:rPr>
          <w:t>https://nvlpubs.nist.gov/nistpubs/ir/2019/NIST.IR.7298r3.pdf</w:t>
        </w:r>
      </w:hyperlink>
      <w:r>
        <w:rPr>
          <w:sz w:val="16"/>
          <w:szCs w:val="16"/>
        </w:rPr>
        <w:t xml:space="preserve"> </w:t>
      </w:r>
    </w:p>
  </w:footnote>
  <w:footnote w:id="560">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SC-32 </w:t>
      </w:r>
    </w:p>
  </w:footnote>
  <w:footnote w:id="561">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SC-2 | NIST 800-171 rev1 3.13.3 </w:t>
      </w:r>
    </w:p>
  </w:footnote>
  <w:footnote w:id="562">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SC-39  </w:t>
      </w:r>
    </w:p>
  </w:footnote>
  <w:footnote w:id="563">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SC-3 </w:t>
      </w:r>
    </w:p>
  </w:footnote>
  <w:footnote w:id="564">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SC-39(1)</w:t>
      </w:r>
    </w:p>
  </w:footnote>
  <w:footnote w:id="565">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SC-39(2)</w:t>
      </w:r>
    </w:p>
  </w:footnote>
  <w:footnote w:id="566">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SC-4 | NIST 800-171 rev1 3.13.4 </w:t>
      </w:r>
    </w:p>
  </w:footnote>
  <w:footnote w:id="567">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CM-7(2)</w:t>
      </w:r>
    </w:p>
  </w:footnote>
  <w:footnote w:id="568">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SI-13 </w:t>
      </w:r>
    </w:p>
  </w:footnote>
  <w:footnote w:id="569">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SA-3</w:t>
      </w:r>
    </w:p>
  </w:footnote>
  <w:footnote w:id="570">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CP-12 &amp; SC-24 | NIST CSF v1.1 PR.PT-5 </w:t>
      </w:r>
    </w:p>
  </w:footnote>
  <w:footnote w:id="571">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SI-17</w:t>
      </w:r>
    </w:p>
  </w:footnote>
  <w:footnote w:id="572">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SC-14 &amp; SI-14</w:t>
      </w:r>
    </w:p>
  </w:footnote>
  <w:footnote w:id="573">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SI-15 </w:t>
      </w:r>
    </w:p>
  </w:footnote>
  <w:footnote w:id="574">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SI-16  </w:t>
      </w:r>
    </w:p>
  </w:footnote>
  <w:footnote w:id="575">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SC-26</w:t>
      </w:r>
    </w:p>
  </w:footnote>
  <w:footnote w:id="576">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SI-35</w:t>
      </w:r>
    </w:p>
  </w:footnote>
  <w:footnote w:id="577">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SI-29</w:t>
      </w:r>
    </w:p>
  </w:footnote>
  <w:footnote w:id="578">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SI-29</w:t>
      </w:r>
    </w:p>
  </w:footnote>
  <w:footnote w:id="579">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SC-30</w:t>
      </w:r>
    </w:p>
  </w:footnote>
  <w:footnote w:id="580">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SC-30(2)</w:t>
      </w:r>
    </w:p>
  </w:footnote>
  <w:footnote w:id="581">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SC-30(3)</w:t>
      </w:r>
    </w:p>
  </w:footnote>
  <w:footnote w:id="582">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SC-36</w:t>
      </w:r>
    </w:p>
  </w:footnote>
  <w:footnote w:id="583">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SC-34 </w:t>
      </w:r>
    </w:p>
  </w:footnote>
  <w:footnote w:id="584">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ISO 27002:2013 9.4.2</w:t>
      </w:r>
    </w:p>
  </w:footnote>
  <w:footnote w:id="585">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AC-8 | NIST 800-171 rev1 3.1.9 </w:t>
      </w:r>
    </w:p>
  </w:footnote>
  <w:footnote w:id="586">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AC-1 </w:t>
      </w:r>
    </w:p>
  </w:footnote>
  <w:footnote w:id="587">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AC-9 | ISO 27002:2013 12.4.4 </w:t>
      </w:r>
    </w:p>
  </w:footnote>
  <w:footnote w:id="588">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w:t>
      </w:r>
      <w:hyperlink r:id="rId32">
        <w:r>
          <w:rPr>
            <w:rStyle w:val="InternetLink"/>
            <w:rFonts w:cs="Calibri" w:cstheme="minorHAnsi"/>
            <w:sz w:val="16"/>
            <w:szCs w:val="16"/>
          </w:rPr>
          <w:t>http://tycho.usno.navy.mil/ntp.html</w:t>
        </w:r>
      </w:hyperlink>
      <w:r>
        <w:rPr>
          <w:sz w:val="16"/>
          <w:szCs w:val="16"/>
        </w:rPr>
        <w:t xml:space="preserve"> </w:t>
      </w:r>
    </w:p>
  </w:footnote>
  <w:footnote w:id="589">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SC-38 </w:t>
      </w:r>
    </w:p>
  </w:footnote>
  <w:footnote w:id="590">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ISO 27002:2013 12.1.1</w:t>
      </w:r>
    </w:p>
  </w:footnote>
  <w:footnote w:id="591">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PL-7 | ISO 27002:2013 12.1.1 </w:t>
      </w:r>
    </w:p>
  </w:footnote>
  <w:footnote w:id="592">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AR-5, AT-1 &amp; PM-13 | ISO 27002:2013 7.2.2 | NIST </w:t>
      </w:r>
      <w:r>
        <w:rPr>
          <w:sz w:val="16"/>
          <w:szCs w:val="16"/>
          <w:lang w:val="pt-BR"/>
        </w:rPr>
        <w:t xml:space="preserve">CSF v1.1 PR.AT-1, PR.AT-2 &amp; PR.AT-3 </w:t>
      </w:r>
    </w:p>
  </w:footnote>
  <w:footnote w:id="593">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AT-2 | ISO 27002:2013 7.2.2 | NIST 800-171 rev1 3.2.1 &amp; 3.2.2 </w:t>
      </w:r>
    </w:p>
  </w:footnote>
  <w:footnote w:id="594">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AT-3 | NIST 800-171 rev1 3.2.1 &amp; 3.2.2 </w:t>
      </w:r>
    </w:p>
  </w:footnote>
  <w:footnote w:id="595">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AT-3(3) </w:t>
      </w:r>
    </w:p>
  </w:footnote>
  <w:footnote w:id="596">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AT-3(4)</w:t>
      </w:r>
    </w:p>
  </w:footnote>
  <w:footnote w:id="597">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w:t>
      </w:r>
      <w:r>
        <w:rPr>
          <w:sz w:val="16"/>
          <w:szCs w:val="16"/>
          <w:lang w:val="pt-BR"/>
        </w:rPr>
        <w:t xml:space="preserve">NIST CSF v1.1 </w:t>
      </w:r>
      <w:r>
        <w:rPr>
          <w:sz w:val="16"/>
          <w:szCs w:val="16"/>
        </w:rPr>
        <w:t>PR.AT-2 &amp; PR.AT-5</w:t>
      </w:r>
    </w:p>
  </w:footnote>
  <w:footnote w:id="598">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AT-4 </w:t>
      </w:r>
    </w:p>
  </w:footnote>
  <w:footnote w:id="599">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PL-1</w:t>
      </w:r>
    </w:p>
  </w:footnote>
  <w:footnote w:id="600">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SA-4 </w:t>
      </w:r>
    </w:p>
  </w:footnote>
  <w:footnote w:id="601">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SA-4(9) </w:t>
      </w:r>
    </w:p>
  </w:footnote>
  <w:footnote w:id="602">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SA-4(10) &amp; TDA-02(b) </w:t>
      </w:r>
    </w:p>
  </w:footnote>
  <w:footnote w:id="603">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SA-4(3) </w:t>
      </w:r>
    </w:p>
  </w:footnote>
  <w:footnote w:id="604">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SA-4(6)</w:t>
      </w:r>
    </w:p>
  </w:footnote>
  <w:footnote w:id="605">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SA-4(1), SA-4(2) &amp; SA-5 | ISO 27002:2013 9.4.5</w:t>
      </w:r>
    </w:p>
  </w:footnote>
  <w:footnote w:id="606">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SA-4(1) &amp; SA-4(2) </w:t>
      </w:r>
    </w:p>
  </w:footnote>
  <w:footnote w:id="607">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SA-17</w:t>
      </w:r>
    </w:p>
  </w:footnote>
  <w:footnote w:id="608">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SA-1 &amp; SA-15 | ISO 27002:2013 14.2.1 &amp; 14.2.5 </w:t>
      </w:r>
    </w:p>
  </w:footnote>
  <w:footnote w:id="609">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Open Web Application Security Project (OWASP) Guide </w:t>
      </w:r>
      <w:hyperlink r:id="rId33">
        <w:r>
          <w:rPr>
            <w:rStyle w:val="InternetLink"/>
            <w:rFonts w:cs="Calibri" w:cstheme="minorHAnsi"/>
            <w:sz w:val="16"/>
            <w:szCs w:val="16"/>
          </w:rPr>
          <w:t xml:space="preserve"> https://www.owasp.org</w:t>
        </w:r>
      </w:hyperlink>
    </w:p>
  </w:footnote>
  <w:footnote w:id="610">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SA-14 | ISO 27002:2013 14.1 | </w:t>
      </w:r>
      <w:r>
        <w:rPr>
          <w:sz w:val="16"/>
          <w:szCs w:val="16"/>
          <w:lang w:val="pt-BR"/>
        </w:rPr>
        <w:t xml:space="preserve">NIST CSF v1.1 </w:t>
      </w:r>
      <w:r>
        <w:rPr>
          <w:sz w:val="16"/>
          <w:szCs w:val="16"/>
          <w:lang w:val="fr-FR"/>
        </w:rPr>
        <w:t xml:space="preserve">ID.BE-4 &amp; ID.BE-5 </w:t>
      </w:r>
    </w:p>
  </w:footnote>
  <w:footnote w:id="611">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ISO 27002:2013 14.2.6</w:t>
      </w:r>
    </w:p>
  </w:footnote>
  <w:footnote w:id="612">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ISO 27002:2013 12.1.4 | </w:t>
      </w:r>
      <w:r>
        <w:rPr>
          <w:sz w:val="16"/>
          <w:szCs w:val="16"/>
          <w:lang w:val="pt-BR"/>
        </w:rPr>
        <w:t xml:space="preserve">NIST CSF v1.1 PR.DS-7 </w:t>
      </w:r>
    </w:p>
  </w:footnote>
  <w:footnote w:id="613">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SA-11 | ISO 27002:2013 14.2.7 &amp; 14.2.8 </w:t>
      </w:r>
    </w:p>
  </w:footnote>
  <w:footnote w:id="614">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SA-4(8)  </w:t>
      </w:r>
    </w:p>
  </w:footnote>
  <w:footnote w:id="615">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SA-11(1) </w:t>
      </w:r>
    </w:p>
  </w:footnote>
  <w:footnote w:id="616">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SA-11(8) </w:t>
      </w:r>
    </w:p>
  </w:footnote>
  <w:footnote w:id="617">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SA-15(A) | ISO 27002:2013 14.3.1 5</w:t>
      </w:r>
    </w:p>
  </w:footnote>
  <w:footnote w:id="618">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w:t>
      </w:r>
      <w:r>
        <w:rPr>
          <w:sz w:val="16"/>
          <w:szCs w:val="16"/>
          <w:lang w:val="pt-BR"/>
        </w:rPr>
        <w:t xml:space="preserve">SA-12(10) &amp; </w:t>
      </w:r>
      <w:r>
        <w:rPr>
          <w:sz w:val="16"/>
          <w:szCs w:val="16"/>
        </w:rPr>
        <w:t xml:space="preserve">SA-19 </w:t>
      </w:r>
    </w:p>
  </w:footnote>
  <w:footnote w:id="619">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SA-20</w:t>
      </w:r>
    </w:p>
  </w:footnote>
  <w:footnote w:id="620">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SA-21</w:t>
      </w:r>
    </w:p>
  </w:footnote>
  <w:footnote w:id="621">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SA-10 | ISO 27002:2013 14.2.4 </w:t>
      </w:r>
    </w:p>
  </w:footnote>
  <w:footnote w:id="622">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SA-10(1) </w:t>
      </w:r>
    </w:p>
  </w:footnote>
  <w:footnote w:id="623">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SA-11(2) </w:t>
      </w:r>
    </w:p>
  </w:footnote>
  <w:footnote w:id="624">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SA-16 </w:t>
      </w:r>
    </w:p>
  </w:footnote>
  <w:footnote w:id="625">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SA-22 </w:t>
      </w:r>
    </w:p>
  </w:footnote>
  <w:footnote w:id="626">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SA-22(1)</w:t>
      </w:r>
    </w:p>
  </w:footnote>
  <w:footnote w:id="627">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SI-10 </w:t>
      </w:r>
    </w:p>
  </w:footnote>
  <w:footnote w:id="628">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SI-11  </w:t>
      </w:r>
    </w:p>
  </w:footnote>
  <w:footnote w:id="629">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ISO 27002:2013 9.4.5 </w:t>
      </w:r>
    </w:p>
  </w:footnote>
  <w:footnote w:id="630">
    <w:p>
      <w:pPr>
        <w:pStyle w:val="Footnote"/>
        <w:rPr/>
      </w:pPr>
      <w:r>
        <w:rPr>
          <w:rStyle w:val="FootnoteCharacters"/>
        </w:rPr>
        <w:footnoteRef/>
      </w:r>
      <w:r>
        <w:rPr>
          <w:rStyle w:val="FootnoteCharacters"/>
        </w:rPr>
        <w:tab/>
      </w:r>
      <w:r>
        <w:rPr>
          <w:rStyle w:val="FootnoteCharacters"/>
          <w:sz w:val="16"/>
          <w:szCs w:val="16"/>
        </w:rPr>
        <w:tab/>
      </w:r>
      <w:r>
        <w:rPr>
          <w:sz w:val="16"/>
          <w:szCs w:val="16"/>
          <w:lang w:val="pt-BR"/>
        </w:rPr>
        <w:t xml:space="preserve"> NIST 800-53 rev4 SA-4 | ISO 27002:2013 15.1.1 | NIST CSF v1.1 ID.BE-2 &amp; ID.SC-1 </w:t>
      </w:r>
    </w:p>
  </w:footnote>
  <w:footnote w:id="631">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SA-13 | </w:t>
      </w:r>
      <w:r>
        <w:rPr>
          <w:sz w:val="16"/>
          <w:szCs w:val="16"/>
          <w:lang w:val="pt-BR"/>
        </w:rPr>
        <w:t>NIST CSF v1.1 ID.BE-1 &amp; ID.SC-2</w:t>
      </w:r>
      <w:r>
        <w:rPr>
          <w:sz w:val="16"/>
          <w:szCs w:val="16"/>
        </w:rPr>
        <w:t xml:space="preserve"> </w:t>
      </w:r>
    </w:p>
  </w:footnote>
  <w:footnote w:id="632">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SA-12 &amp; SA-12(2) | </w:t>
      </w:r>
      <w:r>
        <w:rPr>
          <w:sz w:val="16"/>
          <w:szCs w:val="16"/>
          <w:lang w:val="pt-BR"/>
        </w:rPr>
        <w:t xml:space="preserve">ISO 27002:2013 15.1.3 | NIST CSF v1.1 ID.SC-4 </w:t>
      </w:r>
    </w:p>
  </w:footnote>
  <w:footnote w:id="633">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w:t>
      </w:r>
      <w:r>
        <w:rPr>
          <w:sz w:val="16"/>
          <w:szCs w:val="16"/>
          <w:lang w:val="pt-BR"/>
        </w:rPr>
        <w:t>NIST 800-53 rev4 SA-12(1)</w:t>
      </w:r>
    </w:p>
  </w:footnote>
  <w:footnote w:id="634">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w:t>
      </w:r>
      <w:r>
        <w:rPr>
          <w:sz w:val="16"/>
          <w:szCs w:val="16"/>
          <w:lang w:val="pt-BR"/>
        </w:rPr>
        <w:t>NIST 800-53 rev4 SA-12(5)</w:t>
      </w:r>
    </w:p>
  </w:footnote>
  <w:footnote w:id="635">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w:t>
      </w:r>
      <w:r>
        <w:rPr>
          <w:sz w:val="16"/>
          <w:szCs w:val="16"/>
          <w:lang w:val="pt-BR"/>
        </w:rPr>
        <w:t>NIST 800-53 rev4 SA-12(15)</w:t>
      </w:r>
    </w:p>
  </w:footnote>
  <w:footnote w:id="636">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SA-9 | ISO 27002:2013 14.2.7 &amp; 15.1.1 </w:t>
      </w:r>
    </w:p>
  </w:footnote>
  <w:footnote w:id="637">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SA-9(1) </w:t>
      </w:r>
    </w:p>
  </w:footnote>
  <w:footnote w:id="638">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SA-9(2) </w:t>
      </w:r>
    </w:p>
  </w:footnote>
  <w:footnote w:id="639">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SA-9(4)  </w:t>
      </w:r>
    </w:p>
  </w:footnote>
  <w:footnote w:id="640">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SA-9(5) </w:t>
      </w:r>
    </w:p>
  </w:footnote>
  <w:footnote w:id="641">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SA-9(3) | ISO 27002:2013 13.2.4 | </w:t>
      </w:r>
      <w:r>
        <w:rPr>
          <w:sz w:val="16"/>
          <w:szCs w:val="16"/>
          <w:lang w:val="pt-BR"/>
        </w:rPr>
        <w:t xml:space="preserve">NIST CSF v1.1 ID.SC-3 </w:t>
      </w:r>
    </w:p>
  </w:footnote>
  <w:footnote w:id="642">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w:t>
      </w:r>
      <w:r>
        <w:rPr>
          <w:sz w:val="16"/>
          <w:szCs w:val="16"/>
          <w:lang w:val="pt-BR"/>
        </w:rPr>
        <w:t>NIST CSF v1.1 ID.GV-2</w:t>
      </w:r>
    </w:p>
  </w:footnote>
  <w:footnote w:id="643">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MA201CMR17 17.04(3) </w:t>
      </w:r>
    </w:p>
  </w:footnote>
  <w:footnote w:id="644">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ISO 27002:2013 15.2.1 </w:t>
      </w:r>
    </w:p>
  </w:footnote>
  <w:footnote w:id="645">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CCM STA-02 </w:t>
      </w:r>
    </w:p>
  </w:footnote>
  <w:footnote w:id="646">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SA-4 | ISO 27002:2013 15.2.2 </w:t>
      </w:r>
    </w:p>
  </w:footnote>
  <w:footnote w:id="647">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w:t>
      </w:r>
      <w:r>
        <w:rPr>
          <w:sz w:val="16"/>
          <w:szCs w:val="16"/>
          <w:lang w:val="pt-BR"/>
        </w:rPr>
        <w:t xml:space="preserve">NIST CSF v1.1 </w:t>
      </w:r>
      <w:r>
        <w:rPr>
          <w:sz w:val="16"/>
          <w:szCs w:val="16"/>
          <w:lang w:val="fr-FR"/>
        </w:rPr>
        <w:t>ID.SC-5</w:t>
      </w:r>
    </w:p>
  </w:footnote>
  <w:footnote w:id="648">
    <w:p>
      <w:pPr>
        <w:pStyle w:val="Normal"/>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PM-16 </w:t>
      </w:r>
    </w:p>
  </w:footnote>
  <w:footnote w:id="649">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OWASP Threat Risk Modeling - </w:t>
      </w:r>
      <w:hyperlink r:id="rId34">
        <w:r>
          <w:rPr>
            <w:rStyle w:val="InternetLink"/>
            <w:rFonts w:cs="Calibri" w:cstheme="minorHAnsi"/>
            <w:sz w:val="16"/>
            <w:szCs w:val="16"/>
          </w:rPr>
          <w:t xml:space="preserve"> https://www.owasp.org/index.php/Threat_Risk_Modeling</w:t>
        </w:r>
      </w:hyperlink>
      <w:r>
        <w:rPr>
          <w:sz w:val="16"/>
          <w:szCs w:val="16"/>
        </w:rPr>
        <w:t xml:space="preserve"> </w:t>
      </w:r>
    </w:p>
  </w:footnote>
  <w:footnote w:id="650">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SI-5 &amp; SI-5(1) | NIST 800-171 rev1 3.14.1, 3.14.2 &amp; 3.14.3 | </w:t>
      </w:r>
      <w:r>
        <w:rPr>
          <w:sz w:val="16"/>
          <w:szCs w:val="16"/>
          <w:lang w:val="pt-BR"/>
        </w:rPr>
        <w:t xml:space="preserve">NIST CSF v1.1 </w:t>
      </w:r>
      <w:r>
        <w:rPr>
          <w:sz w:val="16"/>
          <w:szCs w:val="16"/>
        </w:rPr>
        <w:t xml:space="preserve">ID.RA-2 </w:t>
      </w:r>
    </w:p>
  </w:footnote>
  <w:footnote w:id="651">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PM-12 </w:t>
      </w:r>
    </w:p>
  </w:footnote>
  <w:footnote w:id="652">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AT-2(2) | NIST 800-171 rev1 3.2.3</w:t>
      </w:r>
    </w:p>
  </w:footnote>
  <w:footnote w:id="653">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SA-2 | ISO 27002:2013 12.6.1 | </w:t>
      </w:r>
      <w:r>
        <w:rPr>
          <w:sz w:val="16"/>
          <w:szCs w:val="16"/>
          <w:lang w:val="pt-BR"/>
        </w:rPr>
        <w:t xml:space="preserve">NIST CSF v1.1 ID.RA-1 &amp; PR.IP-12 </w:t>
      </w:r>
    </w:p>
  </w:footnote>
  <w:footnote w:id="654">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PM-4 </w:t>
      </w:r>
    </w:p>
  </w:footnote>
  <w:footnote w:id="655">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w:t>
      </w:r>
      <w:r>
        <w:rPr>
          <w:sz w:val="16"/>
          <w:szCs w:val="16"/>
          <w:lang w:val="pt-BR"/>
        </w:rPr>
        <w:t xml:space="preserve">NIST CSF v1.1 RS.MI-3 </w:t>
      </w:r>
    </w:p>
  </w:footnote>
  <w:footnote w:id="656">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SI-2 | ISO 27002:2013 12.6.1 | NIST 800-171 rev1 3.14.1, 3.14.2 &amp; 3.14.3</w:t>
      </w:r>
    </w:p>
  </w:footnote>
  <w:footnote w:id="657">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SI-2(2) </w:t>
      </w:r>
    </w:p>
  </w:footnote>
  <w:footnote w:id="658">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SI-2(3)  </w:t>
      </w:r>
    </w:p>
  </w:footnote>
  <w:footnote w:id="659">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SI-2(5)  </w:t>
      </w:r>
    </w:p>
  </w:footnote>
  <w:footnote w:id="660">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SI-2(6)  </w:t>
      </w:r>
    </w:p>
  </w:footnote>
  <w:footnote w:id="661">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RA-5 | NIST 800-171 rev1 3.11.2 &amp; 3.11.3 | </w:t>
      </w:r>
      <w:r>
        <w:rPr>
          <w:sz w:val="16"/>
          <w:szCs w:val="16"/>
          <w:lang w:val="pt-BR"/>
        </w:rPr>
        <w:t>NIST CSF v1.1</w:t>
      </w:r>
      <w:r>
        <w:rPr>
          <w:sz w:val="16"/>
          <w:szCs w:val="16"/>
          <w:lang w:val="fr-FR"/>
        </w:rPr>
        <w:t xml:space="preserve"> DE.CM-8 </w:t>
      </w:r>
    </w:p>
  </w:footnote>
  <w:footnote w:id="662">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RA-5(1) &amp; RA-5(2) </w:t>
      </w:r>
    </w:p>
  </w:footnote>
  <w:footnote w:id="663">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RA-5(3)  </w:t>
      </w:r>
    </w:p>
  </w:footnote>
  <w:footnote w:id="664">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RA-5(5) | NIST 800-171 rev1 3.11.2 </w:t>
      </w:r>
    </w:p>
  </w:footnote>
  <w:footnote w:id="665">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RA-5(6) </w:t>
      </w:r>
    </w:p>
  </w:footnote>
  <w:footnote w:id="666">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RA-5(8) </w:t>
      </w:r>
    </w:p>
  </w:footnote>
  <w:footnote w:id="667">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RA-5(4) </w:t>
      </w:r>
    </w:p>
  </w:footnote>
  <w:footnote w:id="668">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RA-5(10) </w:t>
      </w:r>
    </w:p>
  </w:footnote>
  <w:footnote w:id="669">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CA-8 </w:t>
      </w:r>
    </w:p>
  </w:footnote>
  <w:footnote w:id="670">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NIST 800-53 rev4 CA-8(1)  </w:t>
      </w:r>
    </w:p>
  </w:footnote>
  <w:footnote w:id="671">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RA-6</w:t>
      </w:r>
    </w:p>
  </w:footnote>
  <w:footnote w:id="672">
    <w:p>
      <w:pPr>
        <w:pStyle w:val="Footnote"/>
        <w:rPr/>
      </w:pPr>
      <w:r>
        <w:rPr>
          <w:rStyle w:val="FootnoteCharacters"/>
        </w:rPr>
        <w:footnoteRef/>
      </w:r>
      <w:r>
        <w:rPr>
          <w:rStyle w:val="FootnoteCharacters"/>
        </w:rPr>
        <w:tab/>
      </w:r>
      <w:r>
        <w:rPr>
          <w:rStyle w:val="FootnoteCharacters"/>
          <w:sz w:val="16"/>
          <w:szCs w:val="16"/>
        </w:rPr>
        <w:tab/>
      </w:r>
      <w:r>
        <w:rPr>
          <w:sz w:val="16"/>
          <w:szCs w:val="16"/>
        </w:rPr>
        <w:t xml:space="preserve"> NIST 800-53 rev4 CA-8(2) | </w:t>
      </w:r>
      <w:r>
        <w:rPr>
          <w:sz w:val="16"/>
          <w:szCs w:val="16"/>
          <w:lang w:val="pt-BR"/>
        </w:rPr>
        <w:t>NIST CSF v1.1 DE.DP-3</w:t>
      </w:r>
    </w:p>
  </w:footnote>
  <w:footnote w:id="673">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ISO 27002:2013 13.1.3 </w:t>
      </w:r>
    </w:p>
  </w:footnote>
  <w:footnote w:id="674">
    <w:p>
      <w:pPr>
        <w:pStyle w:val="Footnote"/>
        <w:jc w:val="left"/>
        <w:rPr/>
      </w:pPr>
      <w:r>
        <w:rPr>
          <w:rStyle w:val="FootnoteCharacters"/>
        </w:rPr>
        <w:footnoteRef/>
      </w:r>
      <w:r>
        <w:rPr>
          <w:rStyle w:val="FootnoteCharacters"/>
        </w:rPr>
        <w:tab/>
      </w:r>
      <w:r>
        <w:rPr>
          <w:rStyle w:val="FootnoteCharacters"/>
          <w:rFonts w:eastAsia="Calibri"/>
          <w:sz w:val="16"/>
          <w:szCs w:val="16"/>
        </w:rPr>
        <w:tab/>
      </w:r>
      <w:r>
        <w:rPr>
          <w:sz w:val="16"/>
          <w:szCs w:val="16"/>
        </w:rPr>
        <w:t xml:space="preserve"> NIST IR 7298 - </w:t>
      </w:r>
      <w:hyperlink r:id="rId35">
        <w:r>
          <w:rPr>
            <w:rStyle w:val="InternetLink"/>
            <w:rFonts w:cs="Calibri" w:cstheme="minorHAnsi"/>
            <w:sz w:val="16"/>
            <w:szCs w:val="16"/>
          </w:rPr>
          <w:t>https://nvlpubs.nist.gov/nistpubs/ir/2019/NIST.IR.7298r3.pdf</w:t>
        </w:r>
      </w:hyperlink>
      <w:r>
        <w:rPr>
          <w:sz w:val="16"/>
          <w:szCs w:val="16"/>
        </w:rPr>
        <w:t xml:space="preserve"> </w:t>
      </w:r>
    </w:p>
  </w:footnote>
  <w:footnote w:id="675">
    <w:p>
      <w:pPr>
        <w:pStyle w:val="Footnote"/>
        <w:jc w:val="left"/>
        <w:rPr/>
      </w:pPr>
      <w:r>
        <w:rPr>
          <w:rStyle w:val="FootnoteCharacters"/>
        </w:rPr>
        <w:footnoteRef/>
      </w:r>
      <w:r>
        <w:rPr>
          <w:rStyle w:val="FootnoteCharacters"/>
        </w:rPr>
        <w:tab/>
      </w:r>
      <w:r>
        <w:rPr>
          <w:rStyle w:val="FootnoteCharacters"/>
          <w:sz w:val="16"/>
          <w:szCs w:val="16"/>
        </w:rPr>
        <w:tab/>
      </w:r>
      <w:r>
        <w:rPr>
          <w:sz w:val="16"/>
          <w:szCs w:val="16"/>
        </w:rPr>
        <w:t xml:space="preserve"> UCF Compliance Library - </w:t>
      </w:r>
      <w:hyperlink r:id="rId36">
        <w:r>
          <w:rPr>
            <w:rStyle w:val="InternetLink"/>
            <w:rFonts w:cs="Calibri" w:cstheme="minorHAnsi"/>
            <w:sz w:val="16"/>
            <w:szCs w:val="16"/>
          </w:rPr>
          <w:t xml:space="preserve"> https://compliancedictionary.com</w:t>
        </w:r>
      </w:hyperlink>
      <w:r>
        <w:rPr>
          <w:sz w:val="16"/>
          <w:szCs w:val="16"/>
        </w:rPr>
        <w:t xml:space="preserve"> </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pStyle w:val="Heading5"/>
      <w:numFmt w:val="decimal"/>
      <w:lvlText w:val="%5"/>
      <w:lvlJc w:val="left"/>
      <w:pPr>
        <w:tabs>
          <w:tab w:val="num" w:pos="1008"/>
        </w:tabs>
        <w:ind w:left="1008" w:hanging="1008"/>
      </w:pPr>
    </w:lvl>
    <w:lvl w:ilvl="5">
      <w:start w:val="1"/>
      <w:pStyle w:val="Heading6"/>
      <w:numFmt w:val="decimal"/>
      <w:lvlText w:val="%5.%6"/>
      <w:lvlJc w:val="left"/>
      <w:pPr>
        <w:tabs>
          <w:tab w:val="num" w:pos="1152"/>
        </w:tabs>
        <w:ind w:left="1152" w:hanging="1152"/>
      </w:pPr>
    </w:lvl>
    <w:lvl w:ilvl="6">
      <w:start w:val="1"/>
      <w:pStyle w:val="Heading7"/>
      <w:numFmt w:val="decimal"/>
      <w:lvlText w:val="%5.%6.%7"/>
      <w:lvlJc w:val="left"/>
      <w:pPr>
        <w:tabs>
          <w:tab w:val="num" w:pos="1296"/>
        </w:tabs>
        <w:ind w:left="1296" w:hanging="1296"/>
      </w:pPr>
    </w:lvl>
    <w:lvl w:ilvl="7">
      <w:start w:val="1"/>
      <w:pStyle w:val="Heading8"/>
      <w:numFmt w:val="decimal"/>
      <w:lvlText w:val="%5.%6.%7.%8"/>
      <w:lvlJc w:val="left"/>
      <w:pPr>
        <w:tabs>
          <w:tab w:val="num" w:pos="1440"/>
        </w:tabs>
        <w:ind w:left="1440" w:hanging="1440"/>
      </w:pPr>
    </w:lvl>
    <w:lvl w:ilvl="8">
      <w:start w:val="1"/>
      <w:pStyle w:val="Heading9"/>
      <w:numFmt w:val="decimal"/>
      <w:lvlText w:val="%5.%6.%7.%8.%9"/>
      <w:lvlJc w:val="left"/>
      <w:pPr>
        <w:tabs>
          <w:tab w:val="num" w:pos="1584"/>
        </w:tabs>
        <w:ind w:left="1584" w:hanging="1584"/>
      </w:pPr>
    </w:lvl>
  </w:abstractNum>
  <w:abstractNum w:abstractNumId="2">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3">
    <w:lvl w:ilvl="0">
      <w:start w:val="1"/>
      <w:numFmt w:val="bullet"/>
      <w:lvlText w:val=""/>
      <w:lvlJc w:val="left"/>
      <w:pPr>
        <w:tabs>
          <w:tab w:val="num" w:pos="720"/>
        </w:tabs>
        <w:ind w:left="720" w:hanging="360"/>
      </w:pPr>
      <w:rPr>
        <w:rFonts w:ascii="Wingdings" w:hAnsi="Wingdings" w:cs="Wingdings" w:hint="default"/>
        <w:rFont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5">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6">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7">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8">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9">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0">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1">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2">
    <w:lvl w:ilvl="0">
      <w:start w:val="1"/>
      <w:numFmt w:val="bullet"/>
      <w:lvlText w:val=""/>
      <w:lvlJc w:val="left"/>
      <w:pPr>
        <w:tabs>
          <w:tab w:val="num" w:pos="720"/>
        </w:tabs>
        <w:ind w:left="720" w:hanging="360"/>
      </w:pPr>
      <w:rPr>
        <w:rFonts w:ascii="Wingdings" w:hAnsi="Wingdings" w:cs="Wingdings" w:hint="default"/>
        <w:rFont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lvl w:ilvl="0">
      <w:start w:val="1"/>
      <w:numFmt w:val="bullet"/>
      <w:lvlText w:val=""/>
      <w:lvlJc w:val="left"/>
      <w:pPr>
        <w:tabs>
          <w:tab w:val="num" w:pos="720"/>
        </w:tabs>
        <w:ind w:left="720" w:hanging="360"/>
      </w:pPr>
      <w:rPr>
        <w:rFonts w:ascii="Wingdings" w:hAnsi="Wingdings" w:cs="Wingdings" w:hint="default"/>
        <w:rFonts w:cs="Wingdings"/>
      </w:rPr>
    </w:lvl>
    <w:lvl w:ilvl="1">
      <w:start w:val="1"/>
      <w:numFmt w:val="bullet"/>
      <w:lvlText w:val=""/>
      <w:lvlJc w:val="left"/>
      <w:pPr>
        <w:tabs>
          <w:tab w:val="num" w:pos="1440"/>
        </w:tabs>
        <w:ind w:left="1440" w:hanging="360"/>
      </w:pPr>
      <w:rPr>
        <w:rFonts w:ascii="Wingdings" w:hAnsi="Wingdings" w:cs="Wingdings" w:hint="default"/>
        <w:rFont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5">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6">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7">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8">
    <w:lvl w:ilvl="0">
      <w:start w:val="1"/>
      <w:numFmt w:val="bullet"/>
      <w:lvlText w:val=""/>
      <w:lvlJc w:val="left"/>
      <w:pPr>
        <w:tabs>
          <w:tab w:val="num" w:pos="720"/>
        </w:tabs>
        <w:ind w:left="720" w:hanging="360"/>
      </w:pPr>
      <w:rPr>
        <w:rFonts w:ascii="Wingdings" w:hAnsi="Wingdings" w:cs="Wingdings" w:hint="default"/>
        <w:rFont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20">
    <w:lvl w:ilvl="0">
      <w:start w:val="1"/>
      <w:numFmt w:val="bullet"/>
      <w:lvlText w:val=""/>
      <w:lvlJc w:val="left"/>
      <w:pPr>
        <w:tabs>
          <w:tab w:val="num" w:pos="720"/>
        </w:tabs>
        <w:ind w:left="720" w:hanging="360"/>
      </w:pPr>
      <w:rPr>
        <w:rFonts w:ascii="Wingdings" w:hAnsi="Wingdings" w:cs="Wingdings" w:hint="default"/>
        <w:rFont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22">
    <w:lvl w:ilvl="0">
      <w:start w:val="1"/>
      <w:numFmt w:val="bullet"/>
      <w:lvlText w:val=""/>
      <w:lvlJc w:val="left"/>
      <w:pPr>
        <w:tabs>
          <w:tab w:val="num" w:pos="720"/>
        </w:tabs>
        <w:ind w:left="720" w:hanging="360"/>
      </w:pPr>
      <w:rPr>
        <w:rFonts w:ascii="Wingdings" w:hAnsi="Wingdings" w:cs="Wingdings" w:hint="default"/>
        <w:rFont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24">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25">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26">
    <w:lvl w:ilvl="0">
      <w:start w:val="1"/>
      <w:numFmt w:val="bullet"/>
      <w:lvlText w:val=""/>
      <w:lvlJc w:val="left"/>
      <w:pPr>
        <w:tabs>
          <w:tab w:val="num" w:pos="720"/>
        </w:tabs>
        <w:ind w:left="720" w:hanging="360"/>
      </w:pPr>
      <w:rPr>
        <w:rFonts w:ascii="Wingdings" w:hAnsi="Wingdings" w:cs="Wingdings" w:hint="default"/>
        <w:rFont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28">
    <w:lvl w:ilvl="0">
      <w:start w:val="1"/>
      <w:numFmt w:val="bullet"/>
      <w:lvlText w:val=""/>
      <w:lvlJc w:val="left"/>
      <w:pPr>
        <w:tabs>
          <w:tab w:val="num" w:pos="720"/>
        </w:tabs>
        <w:ind w:left="720" w:hanging="360"/>
      </w:pPr>
      <w:rPr>
        <w:rFonts w:ascii="Wingdings" w:hAnsi="Wingdings" w:cs="Wingdings" w:hint="default"/>
        <w:rFont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30">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31">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32">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33">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34">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35">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36">
    <w:lvl w:ilvl="0">
      <w:start w:val="1"/>
      <w:numFmt w:val="bullet"/>
      <w:lvlText w:val=""/>
      <w:lvlJc w:val="left"/>
      <w:pPr>
        <w:tabs>
          <w:tab w:val="num" w:pos="720"/>
        </w:tabs>
        <w:ind w:left="720" w:hanging="360"/>
      </w:pPr>
      <w:rPr>
        <w:rFonts w:ascii="Wingdings" w:hAnsi="Wingdings" w:cs="Wingdings" w:hint="default"/>
        <w:rFont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38">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39">
    <w:lvl w:ilvl="0">
      <w:start w:val="1"/>
      <w:numFmt w:val="bullet"/>
      <w:lvlText w:val=""/>
      <w:lvlJc w:val="left"/>
      <w:pPr>
        <w:tabs>
          <w:tab w:val="num" w:pos="720"/>
        </w:tabs>
        <w:ind w:left="720" w:hanging="360"/>
      </w:pPr>
      <w:rPr>
        <w:rFonts w:ascii="Wingdings" w:hAnsi="Wingdings" w:cs="Wingdings" w:hint="default"/>
        <w:rFont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41">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42">
    <w:lvl w:ilvl="0">
      <w:start w:val="1"/>
      <w:numFmt w:val="bullet"/>
      <w:lvlText w:val=""/>
      <w:lvlJc w:val="left"/>
      <w:pPr>
        <w:tabs>
          <w:tab w:val="num" w:pos="720"/>
        </w:tabs>
        <w:ind w:left="720" w:hanging="360"/>
      </w:pPr>
      <w:rPr>
        <w:rFonts w:ascii="Wingdings" w:hAnsi="Wingdings" w:cs="Wingdings" w:hint="default"/>
        <w:rFont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lvl w:ilvl="0">
      <w:start w:val="1"/>
      <w:numFmt w:val="bullet"/>
      <w:lvlText w:val=""/>
      <w:lvlJc w:val="left"/>
      <w:pPr>
        <w:tabs>
          <w:tab w:val="num" w:pos="720"/>
        </w:tabs>
        <w:ind w:left="720" w:hanging="360"/>
      </w:pPr>
      <w:rPr>
        <w:rFonts w:ascii="Wingdings" w:hAnsi="Wingdings" w:cs="Wingdings" w:hint="default"/>
        <w:rFont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lvl w:ilvl="0">
      <w:start w:val="1"/>
      <w:numFmt w:val="bullet"/>
      <w:lvlText w:val=""/>
      <w:lvlJc w:val="left"/>
      <w:pPr>
        <w:tabs>
          <w:tab w:val="num" w:pos="720"/>
        </w:tabs>
        <w:ind w:left="720" w:hanging="360"/>
      </w:pPr>
      <w:rPr>
        <w:rFonts w:ascii="Wingdings" w:hAnsi="Wingdings" w:cs="Wingdings" w:hint="default"/>
        <w:rFont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lvl w:ilvl="0">
      <w:start w:val="1"/>
      <w:numFmt w:val="bullet"/>
      <w:lvlText w:val=""/>
      <w:lvlJc w:val="left"/>
      <w:pPr>
        <w:tabs>
          <w:tab w:val="num" w:pos="720"/>
        </w:tabs>
        <w:ind w:left="720" w:hanging="360"/>
      </w:pPr>
      <w:rPr>
        <w:rFonts w:ascii="Wingdings" w:hAnsi="Wingdings" w:cs="Wingdings" w:hint="default"/>
        <w:rFont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47">
    <w:lvl w:ilvl="0">
      <w:start w:val="1"/>
      <w:numFmt w:val="bullet"/>
      <w:lvlText w:val=""/>
      <w:lvlJc w:val="left"/>
      <w:pPr>
        <w:tabs>
          <w:tab w:val="num" w:pos="720"/>
        </w:tabs>
        <w:ind w:left="720" w:hanging="360"/>
      </w:pPr>
      <w:rPr>
        <w:rFonts w:ascii="Wingdings" w:hAnsi="Wingdings" w:cs="Wingdings" w:hint="default"/>
        <w:rFont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lvl w:ilvl="0">
      <w:start w:val="1"/>
      <w:numFmt w:val="bullet"/>
      <w:lvlText w:val=""/>
      <w:lvlJc w:val="left"/>
      <w:pPr>
        <w:tabs>
          <w:tab w:val="num" w:pos="720"/>
        </w:tabs>
        <w:ind w:left="720" w:hanging="360"/>
      </w:pPr>
      <w:rPr>
        <w:rFonts w:ascii="Wingdings" w:hAnsi="Wingdings" w:cs="Wingdings" w:hint="default"/>
        <w:rFont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lvl w:ilvl="0">
      <w:start w:val="1"/>
      <w:numFmt w:val="bullet"/>
      <w:lvlText w:val=""/>
      <w:lvlJc w:val="left"/>
      <w:pPr>
        <w:tabs>
          <w:tab w:val="num" w:pos="720"/>
        </w:tabs>
        <w:ind w:left="720" w:hanging="360"/>
      </w:pPr>
      <w:rPr>
        <w:rFonts w:ascii="Wingdings" w:hAnsi="Wingdings" w:cs="Wingdings" w:hint="default"/>
        <w:rFont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51">
    <w:lvl w:ilvl="0">
      <w:start w:val="1"/>
      <w:numFmt w:val="bullet"/>
      <w:lvlText w:val=""/>
      <w:lvlJc w:val="left"/>
      <w:pPr>
        <w:tabs>
          <w:tab w:val="num" w:pos="720"/>
        </w:tabs>
        <w:ind w:left="720" w:hanging="360"/>
      </w:pPr>
      <w:rPr>
        <w:rFonts w:ascii="Wingdings" w:hAnsi="Wingdings" w:cs="Wingdings" w:hint="default"/>
        <w:rFont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53">
    <w:lvl w:ilvl="0">
      <w:start w:val="1"/>
      <w:numFmt w:val="bullet"/>
      <w:lvlText w:val=""/>
      <w:lvlJc w:val="left"/>
      <w:pPr>
        <w:tabs>
          <w:tab w:val="num" w:pos="720"/>
        </w:tabs>
        <w:ind w:left="720" w:hanging="360"/>
      </w:pPr>
      <w:rPr>
        <w:rFonts w:ascii="Wingdings" w:hAnsi="Wingdings" w:cs="Wingdings" w:hint="default"/>
        <w:rFont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lvl w:ilvl="0">
      <w:start w:val="1"/>
      <w:numFmt w:val="lowerLetter"/>
      <w:lvlText w:val="(%1)"/>
      <w:lvlJc w:val="left"/>
      <w:pPr>
        <w:ind w:left="720" w:hanging="360"/>
      </w:p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55">
    <w:lvl w:ilvl="0">
      <w:start w:val="1"/>
      <w:numFmt w:val="bullet"/>
      <w:lvlText w:val=""/>
      <w:lvlJc w:val="left"/>
      <w:pPr>
        <w:tabs>
          <w:tab w:val="num" w:pos="720"/>
        </w:tabs>
        <w:ind w:left="720" w:hanging="360"/>
      </w:pPr>
      <w:rPr>
        <w:rFonts w:ascii="Wingdings" w:hAnsi="Wingdings" w:cs="Wingdings" w:hint="default"/>
        <w:rFont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lvl w:ilvl="0">
      <w:start w:val="1"/>
      <w:numFmt w:val="bullet"/>
      <w:lvlText w:val=""/>
      <w:lvlJc w:val="left"/>
      <w:pPr>
        <w:tabs>
          <w:tab w:val="num" w:pos="720"/>
        </w:tabs>
        <w:ind w:left="720" w:hanging="360"/>
      </w:pPr>
      <w:rPr>
        <w:rFonts w:ascii="Wingdings" w:hAnsi="Wingdings" w:cs="Wingdings" w:hint="default"/>
        <w:rFont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58">
    <w:lvl w:ilvl="0">
      <w:start w:val="1"/>
      <w:numFmt w:val="bullet"/>
      <w:lvlText w:val=""/>
      <w:lvlJc w:val="left"/>
      <w:pPr>
        <w:tabs>
          <w:tab w:val="num" w:pos="720"/>
        </w:tabs>
        <w:ind w:left="720" w:hanging="360"/>
      </w:pPr>
      <w:rPr>
        <w:rFonts w:ascii="Wingdings" w:hAnsi="Wingdings" w:cs="Wingdings" w:hint="default"/>
        <w:rFont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60">
    <w:lvl w:ilvl="0">
      <w:start w:val="1"/>
      <w:numFmt w:val="bullet"/>
      <w:lvlText w:val=""/>
      <w:lvlJc w:val="left"/>
      <w:pPr>
        <w:ind w:left="766" w:hanging="360"/>
      </w:pPr>
      <w:rPr>
        <w:rFonts w:ascii="Wingdings" w:hAnsi="Wingdings" w:cs="Wingdings" w:hint="default"/>
        <w:rFonts w:cs="Wingdings"/>
      </w:rPr>
    </w:lvl>
    <w:lvl w:ilvl="1">
      <w:start w:val="1"/>
      <w:numFmt w:val="bullet"/>
      <w:lvlText w:val="o"/>
      <w:lvlJc w:val="left"/>
      <w:pPr>
        <w:ind w:left="1486" w:hanging="360"/>
      </w:pPr>
      <w:rPr>
        <w:rFonts w:ascii="Courier New" w:hAnsi="Courier New" w:cs="Courier New" w:hint="default"/>
        <w:rFonts w:cs="Courier New"/>
      </w:rPr>
    </w:lvl>
    <w:lvl w:ilvl="2">
      <w:start w:val="1"/>
      <w:numFmt w:val="bullet"/>
      <w:lvlText w:val=""/>
      <w:lvlJc w:val="left"/>
      <w:pPr>
        <w:ind w:left="2206" w:hanging="360"/>
      </w:pPr>
      <w:rPr>
        <w:rFonts w:ascii="Wingdings" w:hAnsi="Wingdings" w:cs="Wingdings" w:hint="default"/>
        <w:rFonts w:cs="Wingdings"/>
      </w:rPr>
    </w:lvl>
    <w:lvl w:ilvl="3">
      <w:start w:val="1"/>
      <w:numFmt w:val="bullet"/>
      <w:lvlText w:val=""/>
      <w:lvlJc w:val="left"/>
      <w:pPr>
        <w:ind w:left="2926" w:hanging="360"/>
      </w:pPr>
      <w:rPr>
        <w:rFonts w:ascii="Symbol" w:hAnsi="Symbol" w:cs="Symbol" w:hint="default"/>
        <w:rFonts w:cs="Symbol"/>
      </w:rPr>
    </w:lvl>
    <w:lvl w:ilvl="4">
      <w:start w:val="1"/>
      <w:numFmt w:val="bullet"/>
      <w:lvlText w:val="o"/>
      <w:lvlJc w:val="left"/>
      <w:pPr>
        <w:ind w:left="3646" w:hanging="360"/>
      </w:pPr>
      <w:rPr>
        <w:rFonts w:ascii="Courier New" w:hAnsi="Courier New" w:cs="Courier New" w:hint="default"/>
        <w:rFonts w:cs="Courier New"/>
      </w:rPr>
    </w:lvl>
    <w:lvl w:ilvl="5">
      <w:start w:val="1"/>
      <w:numFmt w:val="bullet"/>
      <w:lvlText w:val=""/>
      <w:lvlJc w:val="left"/>
      <w:pPr>
        <w:ind w:left="4366" w:hanging="360"/>
      </w:pPr>
      <w:rPr>
        <w:rFonts w:ascii="Wingdings" w:hAnsi="Wingdings" w:cs="Wingdings" w:hint="default"/>
        <w:rFonts w:cs="Wingdings"/>
      </w:rPr>
    </w:lvl>
    <w:lvl w:ilvl="6">
      <w:start w:val="1"/>
      <w:numFmt w:val="bullet"/>
      <w:lvlText w:val=""/>
      <w:lvlJc w:val="left"/>
      <w:pPr>
        <w:ind w:left="5086" w:hanging="360"/>
      </w:pPr>
      <w:rPr>
        <w:rFonts w:ascii="Symbol" w:hAnsi="Symbol" w:cs="Symbol" w:hint="default"/>
        <w:rFonts w:cs="Symbol"/>
      </w:rPr>
    </w:lvl>
    <w:lvl w:ilvl="7">
      <w:start w:val="1"/>
      <w:numFmt w:val="bullet"/>
      <w:lvlText w:val="o"/>
      <w:lvlJc w:val="left"/>
      <w:pPr>
        <w:ind w:left="5806" w:hanging="360"/>
      </w:pPr>
      <w:rPr>
        <w:rFonts w:ascii="Courier New" w:hAnsi="Courier New" w:cs="Courier New" w:hint="default"/>
        <w:rFonts w:cs="Courier New"/>
      </w:rPr>
    </w:lvl>
    <w:lvl w:ilvl="8">
      <w:start w:val="1"/>
      <w:numFmt w:val="bullet"/>
      <w:lvlText w:val=""/>
      <w:lvlJc w:val="left"/>
      <w:pPr>
        <w:ind w:left="6526" w:hanging="360"/>
      </w:pPr>
      <w:rPr>
        <w:rFonts w:ascii="Wingdings" w:hAnsi="Wingdings" w:cs="Wingdings" w:hint="default"/>
        <w:rFonts w:cs="Wingdings"/>
      </w:rPr>
    </w:lvl>
  </w:abstractNum>
  <w:abstractNum w:abstractNumId="61">
    <w:lvl w:ilvl="0">
      <w:start w:val="1"/>
      <w:numFmt w:val="bullet"/>
      <w:lvlText w:val=""/>
      <w:lvlJc w:val="left"/>
      <w:pPr>
        <w:tabs>
          <w:tab w:val="num" w:pos="720"/>
        </w:tabs>
        <w:ind w:left="720" w:hanging="360"/>
      </w:pPr>
      <w:rPr>
        <w:rFonts w:ascii="Wingdings" w:hAnsi="Wingdings" w:cs="Wingdings" w:hint="default"/>
        <w:rFonts w:cs="Wingdings"/>
      </w:rPr>
    </w:lvl>
    <w:lvl w:ilvl="1">
      <w:start w:val="1"/>
      <w:numFmt w:val="bullet"/>
      <w:lvlText w:val="•"/>
      <w:lvlJc w:val="left"/>
      <w:pPr>
        <w:ind w:left="1440" w:hanging="360"/>
      </w:pPr>
      <w:rPr>
        <w:rFonts w:ascii="Calibri" w:hAnsi="Calibri" w:cs="Calibri" w:hint="default"/>
        <w:rFonts w:cs="Calibri"/>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63">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64">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65">
    <w:lvl w:ilvl="0">
      <w:start w:val="1"/>
      <w:numFmt w:val="bullet"/>
      <w:lvlText w:val=""/>
      <w:lvlJc w:val="left"/>
      <w:pPr>
        <w:tabs>
          <w:tab w:val="num" w:pos="720"/>
        </w:tabs>
        <w:ind w:left="720" w:hanging="360"/>
      </w:pPr>
      <w:rPr>
        <w:rFonts w:ascii="Wingdings" w:hAnsi="Wingdings" w:cs="Wingdings" w:hint="default"/>
        <w:rFont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lvl w:ilvl="0">
      <w:start w:val="1"/>
      <w:numFmt w:val="bullet"/>
      <w:lvlText w:val=""/>
      <w:lvlJc w:val="left"/>
      <w:pPr>
        <w:tabs>
          <w:tab w:val="num" w:pos="720"/>
        </w:tabs>
        <w:ind w:left="720" w:hanging="360"/>
      </w:pPr>
      <w:rPr>
        <w:rFonts w:ascii="Wingdings" w:hAnsi="Wingdings" w:cs="Wingdings" w:hint="default"/>
        <w:rFont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lvl w:ilvl="0">
      <w:start w:val="1"/>
      <w:numFmt w:val="bullet"/>
      <w:lvlText w:val=""/>
      <w:lvlJc w:val="left"/>
      <w:pPr>
        <w:tabs>
          <w:tab w:val="num" w:pos="720"/>
        </w:tabs>
        <w:ind w:left="720" w:hanging="360"/>
      </w:pPr>
      <w:rPr>
        <w:rFonts w:ascii="Wingdings" w:hAnsi="Wingdings" w:cs="Wingdings" w:hint="default"/>
        <w:b/>
        <w:rFont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lvl w:ilvl="0">
      <w:start w:val="1"/>
      <w:numFmt w:val="bullet"/>
      <w:lvlText w:val=""/>
      <w:lvlJc w:val="left"/>
      <w:pPr>
        <w:tabs>
          <w:tab w:val="num" w:pos="720"/>
        </w:tabs>
        <w:ind w:left="720" w:hanging="360"/>
      </w:pPr>
      <w:rPr>
        <w:rFonts w:ascii="Wingdings" w:hAnsi="Wingdings" w:cs="Wingdings" w:hint="default"/>
        <w:rFont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lvl w:ilvl="0">
      <w:start w:val="1"/>
      <w:numFmt w:val="bullet"/>
      <w:lvlText w:val=""/>
      <w:lvlJc w:val="left"/>
      <w:pPr>
        <w:tabs>
          <w:tab w:val="num" w:pos="720"/>
        </w:tabs>
        <w:ind w:left="720" w:hanging="360"/>
      </w:pPr>
      <w:rPr>
        <w:rFonts w:ascii="Wingdings" w:hAnsi="Wingdings" w:cs="Wingdings" w:hint="default"/>
        <w:rFont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71">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72">
    <w:lvl w:ilvl="0">
      <w:start w:val="1"/>
      <w:numFmt w:val="bullet"/>
      <w:lvlText w:val=""/>
      <w:lvlJc w:val="left"/>
      <w:pPr>
        <w:tabs>
          <w:tab w:val="num" w:pos="720"/>
        </w:tabs>
        <w:ind w:left="720" w:hanging="360"/>
      </w:pPr>
      <w:rPr>
        <w:rFonts w:ascii="Wingdings" w:hAnsi="Wingdings" w:cs="Wingdings" w:hint="default"/>
        <w:b/>
        <w:rFonts w:cs="Wingdings"/>
      </w:rPr>
    </w:lvl>
    <w:lvl w:ilvl="1">
      <w:start w:val="1"/>
      <w:numFmt w:val="bullet"/>
      <w:lvlText w:val=""/>
      <w:lvlJc w:val="left"/>
      <w:pPr>
        <w:tabs>
          <w:tab w:val="num" w:pos="1440"/>
        </w:tabs>
        <w:ind w:left="1440" w:hanging="360"/>
      </w:pPr>
      <w:rPr>
        <w:rFonts w:ascii="Wingdings" w:hAnsi="Wingdings" w:cs="Wingdings" w:hint="default"/>
        <w:rFont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74">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75">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76">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77">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78">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79">
    <w:lvl w:ilvl="0">
      <w:start w:val="1"/>
      <w:numFmt w:val="bullet"/>
      <w:lvlText w:val=""/>
      <w:lvlJc w:val="left"/>
      <w:pPr>
        <w:tabs>
          <w:tab w:val="num" w:pos="720"/>
        </w:tabs>
        <w:ind w:left="720" w:hanging="360"/>
      </w:pPr>
      <w:rPr>
        <w:rFonts w:ascii="Wingdings" w:hAnsi="Wingdings" w:cs="Wingdings" w:hint="default"/>
        <w:rFont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lvl w:ilvl="0">
      <w:start w:val="1"/>
      <w:numFmt w:val="bullet"/>
      <w:lvlText w:val=""/>
      <w:lvlJc w:val="left"/>
      <w:pPr>
        <w:tabs>
          <w:tab w:val="num" w:pos="720"/>
        </w:tabs>
        <w:ind w:left="720" w:hanging="360"/>
      </w:pPr>
      <w:rPr>
        <w:rFonts w:ascii="Wingdings" w:hAnsi="Wingdings" w:cs="Wingdings" w:hint="default"/>
        <w:rFont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lvl w:ilvl="0">
      <w:start w:val="1"/>
      <w:numFmt w:val="bullet"/>
      <w:lvlText w:val=""/>
      <w:lvlJc w:val="left"/>
      <w:pPr>
        <w:tabs>
          <w:tab w:val="num" w:pos="720"/>
        </w:tabs>
        <w:ind w:left="720" w:hanging="360"/>
      </w:pPr>
      <w:rPr>
        <w:rFonts w:ascii="Wingdings" w:hAnsi="Wingdings" w:cs="Wingdings" w:hint="default"/>
        <w:rFont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lvl w:ilvl="0">
      <w:start w:val="1"/>
      <w:numFmt w:val="bullet"/>
      <w:lvlText w:val=""/>
      <w:lvlJc w:val="left"/>
      <w:pPr>
        <w:tabs>
          <w:tab w:val="num" w:pos="720"/>
        </w:tabs>
        <w:ind w:left="720" w:hanging="360"/>
      </w:pPr>
      <w:rPr>
        <w:rFonts w:ascii="Wingdings" w:hAnsi="Wingdings" w:cs="Wingdings" w:hint="default"/>
        <w:rFont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lvl w:ilvl="0">
      <w:start w:val="1"/>
      <w:numFmt w:val="bullet"/>
      <w:lvlText w:val=""/>
      <w:lvlJc w:val="left"/>
      <w:pPr>
        <w:tabs>
          <w:tab w:val="num" w:pos="720"/>
        </w:tabs>
        <w:ind w:left="720" w:hanging="360"/>
      </w:pPr>
      <w:rPr>
        <w:rFonts w:ascii="Wingdings" w:hAnsi="Wingdings" w:cs="Wingdings" w:hint="default"/>
        <w:rFont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lvl w:ilvl="0">
      <w:start w:val="1"/>
      <w:numFmt w:val="bullet"/>
      <w:lvlText w:val=""/>
      <w:lvlJc w:val="left"/>
      <w:pPr>
        <w:tabs>
          <w:tab w:val="num" w:pos="720"/>
        </w:tabs>
        <w:ind w:left="720" w:hanging="360"/>
      </w:pPr>
      <w:rPr>
        <w:rFonts w:ascii="Wingdings" w:hAnsi="Wingdings" w:cs="Wingdings" w:hint="default"/>
        <w:sz w:val="22"/>
        <w:rFont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86">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87">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88">
    <w:lvl w:ilvl="0">
      <w:start w:val="1"/>
      <w:numFmt w:val="bullet"/>
      <w:lvlText w:val=""/>
      <w:lvlJc w:val="left"/>
      <w:pPr>
        <w:tabs>
          <w:tab w:val="num" w:pos="720"/>
        </w:tabs>
        <w:ind w:left="720" w:hanging="360"/>
      </w:pPr>
      <w:rPr>
        <w:rFonts w:ascii="Wingdings" w:hAnsi="Wingdings" w:cs="Wingdings" w:hint="default"/>
        <w:rFont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lvl w:ilvl="0">
      <w:start w:val="1"/>
      <w:numFmt w:val="bullet"/>
      <w:lvlText w:val=""/>
      <w:lvlJc w:val="left"/>
      <w:pPr>
        <w:tabs>
          <w:tab w:val="num" w:pos="720"/>
        </w:tabs>
        <w:ind w:left="720" w:hanging="360"/>
      </w:pPr>
      <w:rPr>
        <w:rFonts w:ascii="Wingdings" w:hAnsi="Wingdings" w:cs="Wingdings" w:hint="default"/>
        <w:rFont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lvl w:ilvl="0">
      <w:start w:val="1"/>
      <w:numFmt w:val="bullet"/>
      <w:lvlText w:val=""/>
      <w:lvlJc w:val="left"/>
      <w:pPr>
        <w:tabs>
          <w:tab w:val="num" w:pos="720"/>
        </w:tabs>
        <w:ind w:left="720" w:hanging="360"/>
      </w:pPr>
      <w:rPr>
        <w:rFonts w:ascii="Wingdings" w:hAnsi="Wingdings" w:cs="Wingdings" w:hint="default"/>
        <w:rFont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lvl w:ilvl="0">
      <w:start w:val="1"/>
      <w:numFmt w:val="bullet"/>
      <w:lvlText w:val=""/>
      <w:lvlJc w:val="left"/>
      <w:pPr>
        <w:tabs>
          <w:tab w:val="num" w:pos="720"/>
        </w:tabs>
        <w:ind w:left="720" w:hanging="360"/>
      </w:pPr>
      <w:rPr>
        <w:rFonts w:ascii="Wingdings" w:hAnsi="Wingdings" w:cs="Wingdings" w:hint="default"/>
        <w:rFont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lvl w:ilvl="0">
      <w:start w:val="1"/>
      <w:numFmt w:val="bullet"/>
      <w:lvlText w:val=""/>
      <w:lvlJc w:val="left"/>
      <w:pPr>
        <w:tabs>
          <w:tab w:val="num" w:pos="720"/>
        </w:tabs>
        <w:ind w:left="720" w:hanging="360"/>
      </w:pPr>
      <w:rPr>
        <w:rFonts w:ascii="Wingdings" w:hAnsi="Wingdings" w:cs="Wingdings" w:hint="default"/>
        <w:rFont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94">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95">
    <w:lvl w:ilvl="0">
      <w:start w:val="1"/>
      <w:numFmt w:val="bullet"/>
      <w:lvlText w:val=""/>
      <w:lvlJc w:val="left"/>
      <w:pPr>
        <w:tabs>
          <w:tab w:val="num" w:pos="720"/>
        </w:tabs>
        <w:ind w:left="720" w:hanging="360"/>
      </w:pPr>
      <w:rPr>
        <w:rFonts w:ascii="Wingdings" w:hAnsi="Wingdings" w:cs="Wingdings" w:hint="default"/>
        <w:rFont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lvl w:ilvl="0">
      <w:start w:val="1"/>
      <w:numFmt w:val="bullet"/>
      <w:lvlText w:val=""/>
      <w:lvlJc w:val="left"/>
      <w:pPr>
        <w:tabs>
          <w:tab w:val="num" w:pos="720"/>
        </w:tabs>
        <w:ind w:left="720" w:hanging="360"/>
      </w:pPr>
      <w:rPr>
        <w:rFonts w:ascii="Wingdings" w:hAnsi="Wingdings" w:cs="Wingdings" w:hint="default"/>
        <w:rFont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lvl w:ilvl="0">
      <w:start w:val="1"/>
      <w:numFmt w:val="bullet"/>
      <w:lvlText w:val=""/>
      <w:lvlJc w:val="left"/>
      <w:pPr>
        <w:tabs>
          <w:tab w:val="num" w:pos="720"/>
        </w:tabs>
        <w:ind w:left="720" w:hanging="360"/>
      </w:pPr>
      <w:rPr>
        <w:rFonts w:ascii="Wingdings" w:hAnsi="Wingdings" w:cs="Wingdings" w:hint="default"/>
        <w:rFont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lvl w:ilvl="0">
      <w:start w:val="1"/>
      <w:numFmt w:val="bullet"/>
      <w:lvlText w:val=""/>
      <w:lvlJc w:val="left"/>
      <w:pPr>
        <w:tabs>
          <w:tab w:val="num" w:pos="720"/>
        </w:tabs>
        <w:ind w:left="720" w:hanging="360"/>
      </w:pPr>
      <w:rPr>
        <w:rFonts w:ascii="Wingdings" w:hAnsi="Wingdings" w:cs="Wingdings" w:hint="default"/>
        <w:rFont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00">
    <w:lvl w:ilvl="0">
      <w:start w:val="1"/>
      <w:numFmt w:val="bullet"/>
      <w:lvlText w:val=""/>
      <w:lvlJc w:val="left"/>
      <w:pPr>
        <w:tabs>
          <w:tab w:val="num" w:pos="720"/>
        </w:tabs>
        <w:ind w:left="720" w:hanging="360"/>
      </w:pPr>
      <w:rPr>
        <w:rFonts w:ascii="Wingdings" w:hAnsi="Wingdings" w:cs="Wingdings" w:hint="default"/>
        <w:rFont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02">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03">
    <w:lvl w:ilvl="0">
      <w:start w:val="1"/>
      <w:numFmt w:val="bullet"/>
      <w:lvlText w:val=""/>
      <w:lvlJc w:val="left"/>
      <w:pPr>
        <w:tabs>
          <w:tab w:val="num" w:pos="720"/>
        </w:tabs>
        <w:ind w:left="720" w:hanging="360"/>
      </w:pPr>
      <w:rPr>
        <w:rFonts w:ascii="Wingdings" w:hAnsi="Wingdings" w:cs="Wingdings" w:hint="default"/>
        <w:rFont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05">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06">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07">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08">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09">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10">
    <w:lvl w:ilvl="0">
      <w:start w:val="1"/>
      <w:numFmt w:val="bullet"/>
      <w:lvlText w:val=""/>
      <w:lvlJc w:val="left"/>
      <w:pPr>
        <w:tabs>
          <w:tab w:val="num" w:pos="720"/>
        </w:tabs>
        <w:ind w:left="720" w:hanging="360"/>
      </w:pPr>
      <w:rPr>
        <w:rFonts w:ascii="Wingdings" w:hAnsi="Wingdings" w:cs="Wingdings" w:hint="default"/>
        <w:rFonts w:cs="Wingdings"/>
      </w:rPr>
    </w:lvl>
    <w:lvl w:ilvl="1">
      <w:start w:val="1"/>
      <w:numFmt w:val="bullet"/>
      <w:lvlText w:val="o"/>
      <w:lvlJc w:val="left"/>
      <w:pPr>
        <w:tabs>
          <w:tab w:val="num" w:pos="1440"/>
        </w:tabs>
        <w:ind w:left="1440" w:hanging="360"/>
      </w:pPr>
      <w:rPr>
        <w:rFonts w:ascii="Courier New" w:hAnsi="Courier New" w:cs="Courier New" w:hint="default"/>
        <w:rFonts w:cs="Courier New"/>
      </w:rPr>
    </w:lvl>
    <w:lvl w:ilvl="2">
      <w:start w:val="1"/>
      <w:numFmt w:val="bullet"/>
      <w:lvlText w:val=""/>
      <w:lvlJc w:val="left"/>
      <w:pPr>
        <w:tabs>
          <w:tab w:val="num" w:pos="2160"/>
        </w:tabs>
        <w:ind w:left="2160" w:hanging="360"/>
      </w:pPr>
      <w:rPr>
        <w:rFonts w:ascii="Wingdings" w:hAnsi="Wingdings" w:cs="Wingdings" w:hint="default"/>
        <w:rFonts w:cs="Wingdings"/>
      </w:rPr>
    </w:lvl>
    <w:lvl w:ilvl="3">
      <w:start w:val="1"/>
      <w:numFmt w:val="bullet"/>
      <w:lvlText w:val=""/>
      <w:lvlJc w:val="left"/>
      <w:pPr>
        <w:tabs>
          <w:tab w:val="num" w:pos="2880"/>
        </w:tabs>
        <w:ind w:left="2880" w:hanging="360"/>
      </w:pPr>
      <w:rPr>
        <w:rFonts w:ascii="Symbol" w:hAnsi="Symbol" w:cs="Symbol" w:hint="default"/>
        <w:rFonts w:cs="Symbol"/>
      </w:rPr>
    </w:lvl>
    <w:lvl w:ilvl="4">
      <w:start w:val="1"/>
      <w:numFmt w:val="bullet"/>
      <w:lvlText w:val="o"/>
      <w:lvlJc w:val="left"/>
      <w:pPr>
        <w:tabs>
          <w:tab w:val="num" w:pos="3600"/>
        </w:tabs>
        <w:ind w:left="3600" w:hanging="360"/>
      </w:pPr>
      <w:rPr>
        <w:rFonts w:ascii="Courier New" w:hAnsi="Courier New" w:cs="Courier New" w:hint="default"/>
        <w:rFonts w:cs="Courier New"/>
      </w:rPr>
    </w:lvl>
    <w:lvl w:ilvl="5">
      <w:start w:val="1"/>
      <w:numFmt w:val="bullet"/>
      <w:lvlText w:val=""/>
      <w:lvlJc w:val="left"/>
      <w:pPr>
        <w:tabs>
          <w:tab w:val="num" w:pos="4320"/>
        </w:tabs>
        <w:ind w:left="4320" w:hanging="360"/>
      </w:pPr>
      <w:rPr>
        <w:rFonts w:ascii="Wingdings" w:hAnsi="Wingdings" w:cs="Wingdings" w:hint="default"/>
        <w:rFonts w:cs="Wingdings"/>
      </w:rPr>
    </w:lvl>
    <w:lvl w:ilvl="6">
      <w:start w:val="1"/>
      <w:numFmt w:val="bullet"/>
      <w:lvlText w:val=""/>
      <w:lvlJc w:val="left"/>
      <w:pPr>
        <w:tabs>
          <w:tab w:val="num" w:pos="5040"/>
        </w:tabs>
        <w:ind w:left="5040" w:hanging="360"/>
      </w:pPr>
      <w:rPr>
        <w:rFonts w:ascii="Symbol" w:hAnsi="Symbol" w:cs="Symbol" w:hint="default"/>
        <w:rFonts w:cs="Symbol"/>
      </w:rPr>
    </w:lvl>
    <w:lvl w:ilvl="7">
      <w:start w:val="1"/>
      <w:numFmt w:val="bullet"/>
      <w:lvlText w:val="o"/>
      <w:lvlJc w:val="left"/>
      <w:pPr>
        <w:tabs>
          <w:tab w:val="num" w:pos="5760"/>
        </w:tabs>
        <w:ind w:left="5760" w:hanging="360"/>
      </w:pPr>
      <w:rPr>
        <w:rFonts w:ascii="Courier New" w:hAnsi="Courier New" w:cs="Courier New" w:hint="default"/>
        <w:rFonts w:cs="Courier New"/>
      </w:rPr>
    </w:lvl>
    <w:lvl w:ilvl="8">
      <w:start w:val="1"/>
      <w:numFmt w:val="bullet"/>
      <w:lvlText w:val=""/>
      <w:lvlJc w:val="left"/>
      <w:pPr>
        <w:tabs>
          <w:tab w:val="num" w:pos="6480"/>
        </w:tabs>
        <w:ind w:left="6480" w:hanging="360"/>
      </w:pPr>
      <w:rPr>
        <w:rFonts w:ascii="Wingdings" w:hAnsi="Wingdings" w:cs="Wingdings" w:hint="default"/>
        <w:rFonts w:cs="Wingdings"/>
      </w:rPr>
    </w:lvl>
  </w:abstractNum>
  <w:abstractNum w:abstractNumId="111">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12">
    <w:lvl w:ilvl="0">
      <w:start w:val="1"/>
      <w:numFmt w:val="bullet"/>
      <w:lvlText w:val=""/>
      <w:lvlJc w:val="left"/>
      <w:pPr>
        <w:tabs>
          <w:tab w:val="num" w:pos="720"/>
        </w:tabs>
        <w:ind w:left="720" w:hanging="360"/>
      </w:pPr>
      <w:rPr>
        <w:rFonts w:ascii="Wingdings" w:hAnsi="Wingdings" w:cs="Wingdings" w:hint="default"/>
        <w:rFont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3">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14">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15">
    <w:lvl w:ilvl="0">
      <w:start w:val="1"/>
      <w:numFmt w:val="bullet"/>
      <w:lvlText w:val=""/>
      <w:lvlJc w:val="left"/>
      <w:pPr>
        <w:tabs>
          <w:tab w:val="num" w:pos="720"/>
        </w:tabs>
        <w:ind w:left="720" w:hanging="360"/>
      </w:pPr>
      <w:rPr>
        <w:rFonts w:ascii="Wingdings" w:hAnsi="Wingdings" w:cs="Wingdings" w:hint="default"/>
        <w:rFonts w:cs="Wingdings"/>
      </w:rPr>
    </w:lvl>
    <w:lvl w:ilvl="1">
      <w:start w:val="1"/>
      <w:numFmt w:val="lowerRoman"/>
      <w:lvlText w:val="(%2)"/>
      <w:lvlJc w:val="left"/>
      <w:pPr>
        <w:ind w:left="1800" w:hanging="72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6">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17">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18">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19">
    <w:lvl w:ilvl="0">
      <w:start w:val="1"/>
      <w:numFmt w:val="bullet"/>
      <w:lvlText w:val=""/>
      <w:lvlJc w:val="left"/>
      <w:pPr>
        <w:tabs>
          <w:tab w:val="num" w:pos="720"/>
        </w:tabs>
        <w:ind w:left="720" w:hanging="360"/>
      </w:pPr>
      <w:rPr>
        <w:rFonts w:ascii="Wingdings" w:hAnsi="Wingdings" w:cs="Wingdings" w:hint="default"/>
        <w:rFont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0">
    <w:lvl w:ilvl="0">
      <w:start w:val="1"/>
      <w:numFmt w:val="bullet"/>
      <w:lvlText w:val=""/>
      <w:lvlJc w:val="left"/>
      <w:pPr>
        <w:tabs>
          <w:tab w:val="num" w:pos="720"/>
        </w:tabs>
        <w:ind w:left="720" w:hanging="360"/>
      </w:pPr>
      <w:rPr>
        <w:rFonts w:ascii="Wingdings" w:hAnsi="Wingdings" w:cs="Wingdings" w:hint="default"/>
        <w:rFont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1">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22">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23">
    <w:lvl w:ilvl="0">
      <w:start w:val="1"/>
      <w:numFmt w:val="bullet"/>
      <w:lvlText w:val=""/>
      <w:lvlJc w:val="left"/>
      <w:pPr>
        <w:ind w:left="765" w:hanging="360"/>
      </w:pPr>
      <w:rPr>
        <w:rFonts w:ascii="Wingdings" w:hAnsi="Wingdings" w:cs="Wingdings" w:hint="default"/>
        <w:rFonts w:cs="Wingdings"/>
      </w:rPr>
    </w:lvl>
    <w:lvl w:ilvl="1">
      <w:start w:val="1"/>
      <w:numFmt w:val="bullet"/>
      <w:lvlText w:val="o"/>
      <w:lvlJc w:val="left"/>
      <w:pPr>
        <w:ind w:left="1485" w:hanging="360"/>
      </w:pPr>
      <w:rPr>
        <w:rFonts w:ascii="Courier New" w:hAnsi="Courier New" w:cs="Courier New" w:hint="default"/>
        <w:rFonts w:cs="Courier New"/>
      </w:rPr>
    </w:lvl>
    <w:lvl w:ilvl="2">
      <w:start w:val="1"/>
      <w:numFmt w:val="bullet"/>
      <w:lvlText w:val=""/>
      <w:lvlJc w:val="left"/>
      <w:pPr>
        <w:ind w:left="2205" w:hanging="360"/>
      </w:pPr>
      <w:rPr>
        <w:rFonts w:ascii="Wingdings" w:hAnsi="Wingdings" w:cs="Wingdings" w:hint="default"/>
        <w:rFonts w:cs="Wingdings"/>
      </w:rPr>
    </w:lvl>
    <w:lvl w:ilvl="3">
      <w:start w:val="1"/>
      <w:numFmt w:val="bullet"/>
      <w:lvlText w:val=""/>
      <w:lvlJc w:val="left"/>
      <w:pPr>
        <w:ind w:left="2925" w:hanging="360"/>
      </w:pPr>
      <w:rPr>
        <w:rFonts w:ascii="Symbol" w:hAnsi="Symbol" w:cs="Symbol" w:hint="default"/>
        <w:rFonts w:cs="Symbol"/>
      </w:rPr>
    </w:lvl>
    <w:lvl w:ilvl="4">
      <w:start w:val="1"/>
      <w:numFmt w:val="bullet"/>
      <w:lvlText w:val="o"/>
      <w:lvlJc w:val="left"/>
      <w:pPr>
        <w:ind w:left="3645" w:hanging="360"/>
      </w:pPr>
      <w:rPr>
        <w:rFonts w:ascii="Courier New" w:hAnsi="Courier New" w:cs="Courier New" w:hint="default"/>
        <w:rFonts w:cs="Courier New"/>
      </w:rPr>
    </w:lvl>
    <w:lvl w:ilvl="5">
      <w:start w:val="1"/>
      <w:numFmt w:val="bullet"/>
      <w:lvlText w:val=""/>
      <w:lvlJc w:val="left"/>
      <w:pPr>
        <w:ind w:left="4365" w:hanging="360"/>
      </w:pPr>
      <w:rPr>
        <w:rFonts w:ascii="Wingdings" w:hAnsi="Wingdings" w:cs="Wingdings" w:hint="default"/>
        <w:rFonts w:cs="Wingdings"/>
      </w:rPr>
    </w:lvl>
    <w:lvl w:ilvl="6">
      <w:start w:val="1"/>
      <w:numFmt w:val="bullet"/>
      <w:lvlText w:val=""/>
      <w:lvlJc w:val="left"/>
      <w:pPr>
        <w:ind w:left="5085" w:hanging="360"/>
      </w:pPr>
      <w:rPr>
        <w:rFonts w:ascii="Symbol" w:hAnsi="Symbol" w:cs="Symbol" w:hint="default"/>
        <w:rFonts w:cs="Symbol"/>
      </w:rPr>
    </w:lvl>
    <w:lvl w:ilvl="7">
      <w:start w:val="1"/>
      <w:numFmt w:val="bullet"/>
      <w:lvlText w:val="o"/>
      <w:lvlJc w:val="left"/>
      <w:pPr>
        <w:ind w:left="5805" w:hanging="360"/>
      </w:pPr>
      <w:rPr>
        <w:rFonts w:ascii="Courier New" w:hAnsi="Courier New" w:cs="Courier New" w:hint="default"/>
        <w:rFonts w:cs="Courier New"/>
      </w:rPr>
    </w:lvl>
    <w:lvl w:ilvl="8">
      <w:start w:val="1"/>
      <w:numFmt w:val="bullet"/>
      <w:lvlText w:val=""/>
      <w:lvlJc w:val="left"/>
      <w:pPr>
        <w:ind w:left="6525" w:hanging="360"/>
      </w:pPr>
      <w:rPr>
        <w:rFonts w:ascii="Wingdings" w:hAnsi="Wingdings" w:cs="Wingdings" w:hint="default"/>
        <w:rFonts w:cs="Wingdings"/>
      </w:rPr>
    </w:lvl>
  </w:abstractNum>
  <w:abstractNum w:abstractNumId="124">
    <w:lvl w:ilvl="0">
      <w:start w:val="1"/>
      <w:numFmt w:val="bullet"/>
      <w:lvlText w:val=""/>
      <w:lvlJc w:val="left"/>
      <w:pPr>
        <w:ind w:left="765" w:hanging="360"/>
      </w:pPr>
      <w:rPr>
        <w:rFonts w:ascii="Wingdings" w:hAnsi="Wingdings" w:cs="Wingdings" w:hint="default"/>
        <w:rFonts w:cs="Wingdings"/>
      </w:rPr>
    </w:lvl>
    <w:lvl w:ilvl="1">
      <w:start w:val="1"/>
      <w:numFmt w:val="bullet"/>
      <w:lvlText w:val="o"/>
      <w:lvlJc w:val="left"/>
      <w:pPr>
        <w:ind w:left="1485" w:hanging="360"/>
      </w:pPr>
      <w:rPr>
        <w:rFonts w:ascii="Courier New" w:hAnsi="Courier New" w:cs="Courier New" w:hint="default"/>
        <w:rFonts w:cs="Courier New"/>
      </w:rPr>
    </w:lvl>
    <w:lvl w:ilvl="2">
      <w:start w:val="1"/>
      <w:numFmt w:val="bullet"/>
      <w:lvlText w:val=""/>
      <w:lvlJc w:val="left"/>
      <w:pPr>
        <w:ind w:left="2205" w:hanging="360"/>
      </w:pPr>
      <w:rPr>
        <w:rFonts w:ascii="Wingdings" w:hAnsi="Wingdings" w:cs="Wingdings" w:hint="default"/>
        <w:rFonts w:cs="Wingdings"/>
      </w:rPr>
    </w:lvl>
    <w:lvl w:ilvl="3">
      <w:start w:val="1"/>
      <w:numFmt w:val="bullet"/>
      <w:lvlText w:val=""/>
      <w:lvlJc w:val="left"/>
      <w:pPr>
        <w:ind w:left="2925" w:hanging="360"/>
      </w:pPr>
      <w:rPr>
        <w:rFonts w:ascii="Symbol" w:hAnsi="Symbol" w:cs="Symbol" w:hint="default"/>
        <w:rFonts w:cs="Symbol"/>
      </w:rPr>
    </w:lvl>
    <w:lvl w:ilvl="4">
      <w:start w:val="1"/>
      <w:numFmt w:val="bullet"/>
      <w:lvlText w:val="o"/>
      <w:lvlJc w:val="left"/>
      <w:pPr>
        <w:ind w:left="3645" w:hanging="360"/>
      </w:pPr>
      <w:rPr>
        <w:rFonts w:ascii="Courier New" w:hAnsi="Courier New" w:cs="Courier New" w:hint="default"/>
        <w:rFonts w:cs="Courier New"/>
      </w:rPr>
    </w:lvl>
    <w:lvl w:ilvl="5">
      <w:start w:val="1"/>
      <w:numFmt w:val="bullet"/>
      <w:lvlText w:val=""/>
      <w:lvlJc w:val="left"/>
      <w:pPr>
        <w:ind w:left="4365" w:hanging="360"/>
      </w:pPr>
      <w:rPr>
        <w:rFonts w:ascii="Wingdings" w:hAnsi="Wingdings" w:cs="Wingdings" w:hint="default"/>
        <w:rFonts w:cs="Wingdings"/>
      </w:rPr>
    </w:lvl>
    <w:lvl w:ilvl="6">
      <w:start w:val="1"/>
      <w:numFmt w:val="bullet"/>
      <w:lvlText w:val=""/>
      <w:lvlJc w:val="left"/>
      <w:pPr>
        <w:ind w:left="5085" w:hanging="360"/>
      </w:pPr>
      <w:rPr>
        <w:rFonts w:ascii="Symbol" w:hAnsi="Symbol" w:cs="Symbol" w:hint="default"/>
        <w:rFonts w:cs="Symbol"/>
      </w:rPr>
    </w:lvl>
    <w:lvl w:ilvl="7">
      <w:start w:val="1"/>
      <w:numFmt w:val="bullet"/>
      <w:lvlText w:val="o"/>
      <w:lvlJc w:val="left"/>
      <w:pPr>
        <w:ind w:left="5805" w:hanging="360"/>
      </w:pPr>
      <w:rPr>
        <w:rFonts w:ascii="Courier New" w:hAnsi="Courier New" w:cs="Courier New" w:hint="default"/>
        <w:rFonts w:cs="Courier New"/>
      </w:rPr>
    </w:lvl>
    <w:lvl w:ilvl="8">
      <w:start w:val="1"/>
      <w:numFmt w:val="bullet"/>
      <w:lvlText w:val=""/>
      <w:lvlJc w:val="left"/>
      <w:pPr>
        <w:ind w:left="6525" w:hanging="360"/>
      </w:pPr>
      <w:rPr>
        <w:rFonts w:ascii="Wingdings" w:hAnsi="Wingdings" w:cs="Wingdings" w:hint="default"/>
        <w:rFonts w:cs="Wingdings"/>
      </w:rPr>
    </w:lvl>
  </w:abstractNum>
  <w:abstractNum w:abstractNumId="125">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26">
    <w:lvl w:ilvl="0">
      <w:start w:val="1"/>
      <w:numFmt w:val="bullet"/>
      <w:lvlText w:val=""/>
      <w:lvlJc w:val="left"/>
      <w:pPr>
        <w:tabs>
          <w:tab w:val="num" w:pos="720"/>
        </w:tabs>
        <w:ind w:left="720" w:hanging="360"/>
      </w:pPr>
      <w:rPr>
        <w:rFonts w:ascii="Wingdings" w:hAnsi="Wingdings" w:cs="Wingdings" w:hint="default"/>
        <w:rFont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7">
    <w:lvl w:ilvl="0">
      <w:start w:val="1"/>
      <w:numFmt w:val="bullet"/>
      <w:lvlText w:val=""/>
      <w:lvlJc w:val="left"/>
      <w:pPr>
        <w:tabs>
          <w:tab w:val="num" w:pos="720"/>
        </w:tabs>
        <w:ind w:left="720" w:hanging="360"/>
      </w:pPr>
      <w:rPr>
        <w:rFonts w:ascii="Wingdings" w:hAnsi="Wingdings" w:cs="Wingdings" w:hint="default"/>
        <w:rFont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8">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29">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30">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31">
    <w:lvl w:ilvl="0">
      <w:start w:val="1"/>
      <w:numFmt w:val="bullet"/>
      <w:lvlText w:val=""/>
      <w:lvlJc w:val="left"/>
      <w:pPr>
        <w:tabs>
          <w:tab w:val="num" w:pos="720"/>
        </w:tabs>
        <w:ind w:left="720" w:hanging="360"/>
      </w:pPr>
      <w:rPr>
        <w:rFonts w:ascii="Wingdings" w:hAnsi="Wingdings" w:cs="Wingdings" w:hint="default"/>
        <w:rFonts w:cs="Wingdings"/>
      </w:rPr>
    </w:lvl>
    <w:lvl w:ilvl="1">
      <w:start w:val="1"/>
      <w:numFmt w:val="bullet"/>
      <w:lvlText w:val="o"/>
      <w:lvlJc w:val="left"/>
      <w:pPr>
        <w:tabs>
          <w:tab w:val="num" w:pos="1440"/>
        </w:tabs>
        <w:ind w:left="1440" w:hanging="360"/>
      </w:pPr>
      <w:rPr>
        <w:rFonts w:ascii="Courier New" w:hAnsi="Courier New" w:cs="Courier New" w:hint="default"/>
        <w:rFonts w:cs="Courier New"/>
      </w:rPr>
    </w:lvl>
    <w:lvl w:ilvl="2">
      <w:start w:val="1"/>
      <w:numFmt w:val="bullet"/>
      <w:lvlText w:val=""/>
      <w:lvlJc w:val="left"/>
      <w:pPr>
        <w:tabs>
          <w:tab w:val="num" w:pos="2160"/>
        </w:tabs>
        <w:ind w:left="2160" w:hanging="360"/>
      </w:pPr>
      <w:rPr>
        <w:rFonts w:ascii="Wingdings" w:hAnsi="Wingdings" w:cs="Wingdings" w:hint="default"/>
        <w:rFonts w:cs="Wingdings"/>
      </w:rPr>
    </w:lvl>
    <w:lvl w:ilvl="3">
      <w:start w:val="1"/>
      <w:numFmt w:val="bullet"/>
      <w:lvlText w:val=""/>
      <w:lvlJc w:val="left"/>
      <w:pPr>
        <w:tabs>
          <w:tab w:val="num" w:pos="2880"/>
        </w:tabs>
        <w:ind w:left="2880" w:hanging="360"/>
      </w:pPr>
      <w:rPr>
        <w:rFonts w:ascii="Symbol" w:hAnsi="Symbol" w:cs="Symbol" w:hint="default"/>
        <w:rFonts w:cs="Symbol"/>
      </w:rPr>
    </w:lvl>
    <w:lvl w:ilvl="4">
      <w:start w:val="1"/>
      <w:numFmt w:val="bullet"/>
      <w:lvlText w:val="o"/>
      <w:lvlJc w:val="left"/>
      <w:pPr>
        <w:tabs>
          <w:tab w:val="num" w:pos="3600"/>
        </w:tabs>
        <w:ind w:left="3600" w:hanging="360"/>
      </w:pPr>
      <w:rPr>
        <w:rFonts w:ascii="Courier New" w:hAnsi="Courier New" w:cs="Courier New" w:hint="default"/>
        <w:rFonts w:cs="Courier New"/>
      </w:rPr>
    </w:lvl>
    <w:lvl w:ilvl="5">
      <w:start w:val="1"/>
      <w:numFmt w:val="bullet"/>
      <w:lvlText w:val=""/>
      <w:lvlJc w:val="left"/>
      <w:pPr>
        <w:tabs>
          <w:tab w:val="num" w:pos="4320"/>
        </w:tabs>
        <w:ind w:left="4320" w:hanging="360"/>
      </w:pPr>
      <w:rPr>
        <w:rFonts w:ascii="Wingdings" w:hAnsi="Wingdings" w:cs="Wingdings" w:hint="default"/>
        <w:rFonts w:cs="Wingdings"/>
      </w:rPr>
    </w:lvl>
    <w:lvl w:ilvl="6">
      <w:start w:val="1"/>
      <w:numFmt w:val="bullet"/>
      <w:lvlText w:val=""/>
      <w:lvlJc w:val="left"/>
      <w:pPr>
        <w:tabs>
          <w:tab w:val="num" w:pos="5040"/>
        </w:tabs>
        <w:ind w:left="5040" w:hanging="360"/>
      </w:pPr>
      <w:rPr>
        <w:rFonts w:ascii="Symbol" w:hAnsi="Symbol" w:cs="Symbol" w:hint="default"/>
        <w:rFonts w:cs="Symbol"/>
      </w:rPr>
    </w:lvl>
    <w:lvl w:ilvl="7">
      <w:start w:val="1"/>
      <w:numFmt w:val="bullet"/>
      <w:lvlText w:val="o"/>
      <w:lvlJc w:val="left"/>
      <w:pPr>
        <w:tabs>
          <w:tab w:val="num" w:pos="5760"/>
        </w:tabs>
        <w:ind w:left="5760" w:hanging="360"/>
      </w:pPr>
      <w:rPr>
        <w:rFonts w:ascii="Courier New" w:hAnsi="Courier New" w:cs="Courier New" w:hint="default"/>
        <w:rFonts w:cs="Courier New"/>
      </w:rPr>
    </w:lvl>
    <w:lvl w:ilvl="8">
      <w:start w:val="1"/>
      <w:numFmt w:val="bullet"/>
      <w:lvlText w:val=""/>
      <w:lvlJc w:val="left"/>
      <w:pPr>
        <w:tabs>
          <w:tab w:val="num" w:pos="6480"/>
        </w:tabs>
        <w:ind w:left="6480" w:hanging="360"/>
      </w:pPr>
      <w:rPr>
        <w:rFonts w:ascii="Wingdings" w:hAnsi="Wingdings" w:cs="Wingdings" w:hint="default"/>
        <w:rFonts w:cs="Wingdings"/>
      </w:rPr>
    </w:lvl>
  </w:abstractNum>
  <w:abstractNum w:abstractNumId="132">
    <w:lvl w:ilvl="0">
      <w:start w:val="1"/>
      <w:numFmt w:val="bullet"/>
      <w:lvlText w:val=""/>
      <w:lvlJc w:val="left"/>
      <w:pPr>
        <w:tabs>
          <w:tab w:val="num" w:pos="720"/>
        </w:tabs>
        <w:ind w:left="720" w:hanging="360"/>
      </w:pPr>
      <w:rPr>
        <w:rFonts w:ascii="Wingdings" w:hAnsi="Wingdings" w:cs="Wingdings" w:hint="default"/>
        <w:rFonts w:cs="Wingdings"/>
      </w:rPr>
    </w:lvl>
    <w:lvl w:ilvl="1">
      <w:start w:val="1"/>
      <w:numFmt w:val="bullet"/>
      <w:lvlText w:val="o"/>
      <w:lvlJc w:val="left"/>
      <w:pPr>
        <w:tabs>
          <w:tab w:val="num" w:pos="1440"/>
        </w:tabs>
        <w:ind w:left="1440" w:hanging="360"/>
      </w:pPr>
      <w:rPr>
        <w:rFonts w:ascii="Courier New" w:hAnsi="Courier New" w:cs="Courier New" w:hint="default"/>
        <w:rFonts w:cs="Courier New"/>
      </w:rPr>
    </w:lvl>
    <w:lvl w:ilvl="2">
      <w:start w:val="1"/>
      <w:numFmt w:val="bullet"/>
      <w:lvlText w:val=""/>
      <w:lvlJc w:val="left"/>
      <w:pPr>
        <w:tabs>
          <w:tab w:val="num" w:pos="2160"/>
        </w:tabs>
        <w:ind w:left="2160" w:hanging="360"/>
      </w:pPr>
      <w:rPr>
        <w:rFonts w:ascii="Wingdings" w:hAnsi="Wingdings" w:cs="Wingdings" w:hint="default"/>
        <w:rFonts w:cs="Wingdings"/>
      </w:rPr>
    </w:lvl>
    <w:lvl w:ilvl="3">
      <w:start w:val="1"/>
      <w:numFmt w:val="bullet"/>
      <w:lvlText w:val=""/>
      <w:lvlJc w:val="left"/>
      <w:pPr>
        <w:tabs>
          <w:tab w:val="num" w:pos="2880"/>
        </w:tabs>
        <w:ind w:left="2880" w:hanging="360"/>
      </w:pPr>
      <w:rPr>
        <w:rFonts w:ascii="Symbol" w:hAnsi="Symbol" w:cs="Symbol" w:hint="default"/>
        <w:rFonts w:cs="Symbol"/>
      </w:rPr>
    </w:lvl>
    <w:lvl w:ilvl="4">
      <w:start w:val="1"/>
      <w:numFmt w:val="bullet"/>
      <w:lvlText w:val="o"/>
      <w:lvlJc w:val="left"/>
      <w:pPr>
        <w:tabs>
          <w:tab w:val="num" w:pos="3600"/>
        </w:tabs>
        <w:ind w:left="3600" w:hanging="360"/>
      </w:pPr>
      <w:rPr>
        <w:rFonts w:ascii="Courier New" w:hAnsi="Courier New" w:cs="Courier New" w:hint="default"/>
        <w:rFonts w:cs="Courier New"/>
      </w:rPr>
    </w:lvl>
    <w:lvl w:ilvl="5">
      <w:start w:val="1"/>
      <w:numFmt w:val="bullet"/>
      <w:lvlText w:val=""/>
      <w:lvlJc w:val="left"/>
      <w:pPr>
        <w:tabs>
          <w:tab w:val="num" w:pos="4320"/>
        </w:tabs>
        <w:ind w:left="4320" w:hanging="360"/>
      </w:pPr>
      <w:rPr>
        <w:rFonts w:ascii="Wingdings" w:hAnsi="Wingdings" w:cs="Wingdings" w:hint="default"/>
        <w:rFonts w:cs="Wingdings"/>
      </w:rPr>
    </w:lvl>
    <w:lvl w:ilvl="6">
      <w:start w:val="1"/>
      <w:numFmt w:val="bullet"/>
      <w:lvlText w:val=""/>
      <w:lvlJc w:val="left"/>
      <w:pPr>
        <w:tabs>
          <w:tab w:val="num" w:pos="5040"/>
        </w:tabs>
        <w:ind w:left="5040" w:hanging="360"/>
      </w:pPr>
      <w:rPr>
        <w:rFonts w:ascii="Symbol" w:hAnsi="Symbol" w:cs="Symbol" w:hint="default"/>
        <w:rFonts w:cs="Symbol"/>
      </w:rPr>
    </w:lvl>
    <w:lvl w:ilvl="7">
      <w:start w:val="1"/>
      <w:numFmt w:val="bullet"/>
      <w:lvlText w:val="o"/>
      <w:lvlJc w:val="left"/>
      <w:pPr>
        <w:tabs>
          <w:tab w:val="num" w:pos="5760"/>
        </w:tabs>
        <w:ind w:left="5760" w:hanging="360"/>
      </w:pPr>
      <w:rPr>
        <w:rFonts w:ascii="Courier New" w:hAnsi="Courier New" w:cs="Courier New" w:hint="default"/>
        <w:rFonts w:cs="Courier New"/>
      </w:rPr>
    </w:lvl>
    <w:lvl w:ilvl="8">
      <w:start w:val="1"/>
      <w:numFmt w:val="bullet"/>
      <w:lvlText w:val=""/>
      <w:lvlJc w:val="left"/>
      <w:pPr>
        <w:tabs>
          <w:tab w:val="num" w:pos="6480"/>
        </w:tabs>
        <w:ind w:left="6480" w:hanging="360"/>
      </w:pPr>
      <w:rPr>
        <w:rFonts w:ascii="Wingdings" w:hAnsi="Wingdings" w:cs="Wingdings" w:hint="default"/>
        <w:rFonts w:cs="Wingdings"/>
      </w:rPr>
    </w:lvl>
  </w:abstractNum>
  <w:abstractNum w:abstractNumId="133">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34">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35">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36">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37">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38">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39">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40">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41">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42">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43">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44">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45">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46">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47">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4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9">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50">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51">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52">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53">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54">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55">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56">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57">
    <w:lvl w:ilvl="0">
      <w:start w:val="1"/>
      <w:numFmt w:val="lowerLetter"/>
      <w:lvlText w:val="(%1)"/>
      <w:lvlJc w:val="left"/>
      <w:pPr>
        <w:ind w:left="720" w:hanging="360"/>
      </w:pPr>
      <w:rPr>
        <w:sz w:val="20"/>
      </w:rPr>
    </w:lvl>
    <w:lvl w:ilvl="1">
      <w:start w:val="1"/>
      <w:numFmt w:val="lowerRoman"/>
      <w:lvlText w:val="%2."/>
      <w:lvlJc w:val="left"/>
      <w:pPr>
        <w:ind w:left="1440" w:hanging="360"/>
      </w:pPr>
    </w:lvl>
    <w:lvl w:ilvl="2">
      <w:start w:val="1"/>
      <w:numFmt w:val="decimal"/>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8">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59">
    <w:lvl w:ilvl="0">
      <w:start w:val="1"/>
      <w:numFmt w:val="lowerLetter"/>
      <w:lvlText w:val="(%1)"/>
      <w:lvlJc w:val="left"/>
      <w:pPr>
        <w:ind w:left="720" w:hanging="360"/>
      </w:pPr>
      <w:rPr>
        <w:sz w:val="20"/>
      </w:rPr>
    </w:lvl>
    <w:lvl w:ilvl="1">
      <w:start w:val="1"/>
      <w:numFmt w:val="lowerRoman"/>
      <w:lvlText w:val="%2."/>
      <w:lvlJc w:val="left"/>
      <w:pPr>
        <w:ind w:left="1440" w:hanging="360"/>
      </w:pPr>
    </w:lvl>
    <w:lvl w:ilvl="2">
      <w:start w:val="1"/>
      <w:numFmt w:val="decimal"/>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0">
    <w:lvl w:ilvl="0">
      <w:start w:val="1"/>
      <w:numFmt w:val="lowerLetter"/>
      <w:lvlText w:val="(%1)"/>
      <w:lvlJc w:val="left"/>
      <w:pPr>
        <w:ind w:left="720" w:hanging="360"/>
      </w:pPr>
      <w:rPr>
        <w:sz w:val="20"/>
      </w:rPr>
    </w:lvl>
    <w:lvl w:ilvl="1">
      <w:start w:val="1"/>
      <w:numFmt w:val="lowerRoman"/>
      <w:lvlText w:val="%2."/>
      <w:lvlJc w:val="left"/>
      <w:pPr>
        <w:ind w:left="1440" w:hanging="360"/>
      </w:pPr>
    </w:lvl>
    <w:lvl w:ilvl="2">
      <w:start w:val="1"/>
      <w:numFmt w:val="decimal"/>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1">
    <w:lvl w:ilvl="0">
      <w:start w:val="1"/>
      <w:numFmt w:val="lowerLetter"/>
      <w:lvlText w:val="(%1)"/>
      <w:lvlJc w:val="left"/>
      <w:pPr>
        <w:ind w:left="720" w:hanging="360"/>
      </w:pPr>
      <w:rPr>
        <w:sz w:val="24"/>
        <w:rFonts w:ascii="Times New Roman" w:hAnsi="Times New Roman"/>
      </w:rPr>
    </w:lvl>
    <w:lvl w:ilvl="1">
      <w:start w:val="1"/>
      <w:numFmt w:val="lowerRoman"/>
      <w:lvlText w:val="%2."/>
      <w:lvlJc w:val="left"/>
      <w:pPr>
        <w:ind w:left="1440" w:hanging="360"/>
      </w:pPr>
    </w:lvl>
    <w:lvl w:ilvl="2">
      <w:start w:val="1"/>
      <w:numFmt w:val="decimal"/>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2">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63">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64">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65">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66">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67">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68">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69">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70">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71">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72">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73">
    <w:lvl w:ilvl="0">
      <w:start w:val="1"/>
      <w:numFmt w:val="bullet"/>
      <w:lvlText w:val=""/>
      <w:lvlJc w:val="left"/>
      <w:pPr>
        <w:ind w:left="770" w:hanging="360"/>
      </w:pPr>
      <w:rPr>
        <w:rFonts w:ascii="Wingdings" w:hAnsi="Wingdings" w:cs="Wingdings" w:hint="default"/>
        <w:rFonts w:cs="Wingdings"/>
      </w:rPr>
    </w:lvl>
    <w:lvl w:ilvl="1">
      <w:start w:val="1"/>
      <w:numFmt w:val="bullet"/>
      <w:lvlText w:val="o"/>
      <w:lvlJc w:val="left"/>
      <w:pPr>
        <w:ind w:left="1490" w:hanging="360"/>
      </w:pPr>
      <w:rPr>
        <w:rFonts w:ascii="Courier New" w:hAnsi="Courier New" w:cs="Courier New" w:hint="default"/>
        <w:rFonts w:cs="Courier New"/>
      </w:rPr>
    </w:lvl>
    <w:lvl w:ilvl="2">
      <w:start w:val="1"/>
      <w:numFmt w:val="bullet"/>
      <w:lvlText w:val=""/>
      <w:lvlJc w:val="left"/>
      <w:pPr>
        <w:ind w:left="2210" w:hanging="360"/>
      </w:pPr>
      <w:rPr>
        <w:rFonts w:ascii="Wingdings" w:hAnsi="Wingdings" w:cs="Wingdings" w:hint="default"/>
        <w:rFonts w:cs="Wingdings"/>
      </w:rPr>
    </w:lvl>
    <w:lvl w:ilvl="3">
      <w:start w:val="1"/>
      <w:numFmt w:val="bullet"/>
      <w:lvlText w:val=""/>
      <w:lvlJc w:val="left"/>
      <w:pPr>
        <w:ind w:left="2930" w:hanging="360"/>
      </w:pPr>
      <w:rPr>
        <w:rFonts w:ascii="Symbol" w:hAnsi="Symbol" w:cs="Symbol" w:hint="default"/>
        <w:rFonts w:cs="Symbol"/>
      </w:rPr>
    </w:lvl>
    <w:lvl w:ilvl="4">
      <w:start w:val="1"/>
      <w:numFmt w:val="bullet"/>
      <w:lvlText w:val="o"/>
      <w:lvlJc w:val="left"/>
      <w:pPr>
        <w:ind w:left="3650" w:hanging="360"/>
      </w:pPr>
      <w:rPr>
        <w:rFonts w:ascii="Courier New" w:hAnsi="Courier New" w:cs="Courier New" w:hint="default"/>
        <w:rFonts w:cs="Courier New"/>
      </w:rPr>
    </w:lvl>
    <w:lvl w:ilvl="5">
      <w:start w:val="1"/>
      <w:numFmt w:val="bullet"/>
      <w:lvlText w:val=""/>
      <w:lvlJc w:val="left"/>
      <w:pPr>
        <w:ind w:left="4370" w:hanging="360"/>
      </w:pPr>
      <w:rPr>
        <w:rFonts w:ascii="Wingdings" w:hAnsi="Wingdings" w:cs="Wingdings" w:hint="default"/>
        <w:rFonts w:cs="Wingdings"/>
      </w:rPr>
    </w:lvl>
    <w:lvl w:ilvl="6">
      <w:start w:val="1"/>
      <w:numFmt w:val="bullet"/>
      <w:lvlText w:val=""/>
      <w:lvlJc w:val="left"/>
      <w:pPr>
        <w:ind w:left="5090" w:hanging="360"/>
      </w:pPr>
      <w:rPr>
        <w:rFonts w:ascii="Symbol" w:hAnsi="Symbol" w:cs="Symbol" w:hint="default"/>
        <w:rFonts w:cs="Symbol"/>
      </w:rPr>
    </w:lvl>
    <w:lvl w:ilvl="7">
      <w:start w:val="1"/>
      <w:numFmt w:val="bullet"/>
      <w:lvlText w:val="o"/>
      <w:lvlJc w:val="left"/>
      <w:pPr>
        <w:ind w:left="5810" w:hanging="360"/>
      </w:pPr>
      <w:rPr>
        <w:rFonts w:ascii="Courier New" w:hAnsi="Courier New" w:cs="Courier New" w:hint="default"/>
        <w:rFonts w:cs="Courier New"/>
      </w:rPr>
    </w:lvl>
    <w:lvl w:ilvl="8">
      <w:start w:val="1"/>
      <w:numFmt w:val="bullet"/>
      <w:lvlText w:val=""/>
      <w:lvlJc w:val="left"/>
      <w:pPr>
        <w:ind w:left="6530" w:hanging="360"/>
      </w:pPr>
      <w:rPr>
        <w:rFonts w:ascii="Wingdings" w:hAnsi="Wingdings" w:cs="Wingdings" w:hint="default"/>
        <w:rFonts w:cs="Wingdings"/>
      </w:rPr>
    </w:lvl>
  </w:abstractNum>
  <w:abstractNum w:abstractNumId="174">
    <w:lvl w:ilvl="0">
      <w:start w:val="1"/>
      <w:numFmt w:val="bullet"/>
      <w:lvlText w:val=""/>
      <w:lvlJc w:val="left"/>
      <w:pPr>
        <w:ind w:left="720" w:hanging="360"/>
      </w:pPr>
      <w:rPr>
        <w:rFonts w:ascii="Wingdings" w:hAnsi="Wingdings" w:cs="Wingdings" w:hint="default"/>
        <w:rFonts w:cs="Wingdings"/>
      </w:rPr>
    </w:lvl>
    <w:lvl w:ilvl="1">
      <w:start w:val="1"/>
      <w:numFmt w:val="bullet"/>
      <w:lvlText w:val="•"/>
      <w:lvlJc w:val="left"/>
      <w:pPr>
        <w:ind w:left="1440" w:hanging="360"/>
      </w:pPr>
      <w:rPr>
        <w:rFonts w:ascii="Calibri" w:hAnsi="Calibri" w:cs="Calibri" w:hint="default"/>
        <w:rFonts w:cs="Calibri"/>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75">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76">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77">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78">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7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0">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81">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82">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83">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84">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85">
    <w:lvl w:ilvl="0">
      <w:start w:val="1"/>
      <w:numFmt w:val="lowerLetter"/>
      <w:lvlText w:val="(%1)"/>
      <w:lvlJc w:val="left"/>
      <w:pPr>
        <w:ind w:left="720" w:hanging="360"/>
      </w:pPr>
      <w:rPr>
        <w:sz w:val="20"/>
      </w:rPr>
    </w:lvl>
    <w:lvl w:ilvl="1">
      <w:start w:val="1"/>
      <w:numFmt w:val="lowerRoman"/>
      <w:lvlText w:val="%2."/>
      <w:lvlJc w:val="left"/>
      <w:pPr>
        <w:ind w:left="1440" w:hanging="360"/>
      </w:pPr>
    </w:lvl>
    <w:lvl w:ilvl="2">
      <w:start w:val="1"/>
      <w:numFmt w:val="decimal"/>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6">
    <w:lvl w:ilvl="0">
      <w:start w:val="1"/>
      <w:numFmt w:val="bullet"/>
      <w:lvlText w:val=""/>
      <w:lvlJc w:val="left"/>
      <w:pPr>
        <w:tabs>
          <w:tab w:val="num" w:pos="720"/>
        </w:tabs>
        <w:ind w:left="720" w:hanging="360"/>
      </w:pPr>
      <w:rPr>
        <w:rFonts w:ascii="Wingdings" w:hAnsi="Wingdings" w:cs="Wingdings" w:hint="default"/>
        <w:rFont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7">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88">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89">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90">
    <w:lvl w:ilvl="0">
      <w:start w:val="1"/>
      <w:numFmt w:val="bullet"/>
      <w:lvlText w:val=""/>
      <w:lvlJc w:val="left"/>
      <w:pPr>
        <w:tabs>
          <w:tab w:val="num" w:pos="720"/>
        </w:tabs>
        <w:ind w:left="720" w:hanging="360"/>
      </w:pPr>
      <w:rPr>
        <w:rFonts w:ascii="Wingdings" w:hAnsi="Wingdings" w:cs="Wingdings" w:hint="default"/>
        <w:rFont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1">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92">
    <w:lvl w:ilvl="0">
      <w:start w:val="1"/>
      <w:numFmt w:val="bullet"/>
      <w:lvlText w:val=""/>
      <w:lvlJc w:val="left"/>
      <w:pPr>
        <w:tabs>
          <w:tab w:val="num" w:pos="720"/>
        </w:tabs>
        <w:ind w:left="720" w:hanging="360"/>
      </w:pPr>
      <w:rPr>
        <w:rFonts w:ascii="Wingdings" w:hAnsi="Wingdings" w:cs="Wingdings" w:hint="default"/>
        <w:rFont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3">
    <w:lvl w:ilvl="0">
      <w:start w:val="1"/>
      <w:numFmt w:val="lowerLetter"/>
      <w:lvlText w:val="(%1)"/>
      <w:lvlJc w:val="left"/>
      <w:pPr>
        <w:ind w:left="720" w:hanging="360"/>
      </w:pPr>
      <w:rPr>
        <w:sz w:val="20"/>
      </w:rPr>
    </w:lvl>
    <w:lvl w:ilvl="1">
      <w:start w:val="1"/>
      <w:numFmt w:val="lowerRoman"/>
      <w:lvlText w:val="%2."/>
      <w:lvlJc w:val="left"/>
      <w:pPr>
        <w:ind w:left="1440" w:hanging="360"/>
      </w:pPr>
    </w:lvl>
    <w:lvl w:ilvl="2">
      <w:start w:val="1"/>
      <w:numFmt w:val="decimal"/>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4">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95">
    <w:lvl w:ilvl="0">
      <w:start w:val="1"/>
      <w:numFmt w:val="bullet"/>
      <w:lvlText w:val=""/>
      <w:lvlJc w:val="left"/>
      <w:pPr>
        <w:ind w:left="765" w:hanging="360"/>
      </w:pPr>
      <w:rPr>
        <w:rFonts w:ascii="Wingdings" w:hAnsi="Wingdings" w:cs="Wingdings" w:hint="default"/>
        <w:b/>
        <w:rFonts w:cs="Wingdings"/>
      </w:rPr>
    </w:lvl>
    <w:lvl w:ilvl="1">
      <w:start w:val="1"/>
      <w:numFmt w:val="bullet"/>
      <w:lvlText w:val="o"/>
      <w:lvlJc w:val="left"/>
      <w:pPr>
        <w:ind w:left="1485" w:hanging="360"/>
      </w:pPr>
      <w:rPr>
        <w:rFonts w:ascii="Courier New" w:hAnsi="Courier New" w:cs="Courier New" w:hint="default"/>
        <w:rFonts w:cs="Courier New"/>
      </w:rPr>
    </w:lvl>
    <w:lvl w:ilvl="2">
      <w:start w:val="1"/>
      <w:numFmt w:val="bullet"/>
      <w:lvlText w:val=""/>
      <w:lvlJc w:val="left"/>
      <w:pPr>
        <w:ind w:left="2205" w:hanging="360"/>
      </w:pPr>
      <w:rPr>
        <w:rFonts w:ascii="Wingdings" w:hAnsi="Wingdings" w:cs="Wingdings" w:hint="default"/>
        <w:rFonts w:cs="Wingdings"/>
      </w:rPr>
    </w:lvl>
    <w:lvl w:ilvl="3">
      <w:start w:val="1"/>
      <w:numFmt w:val="bullet"/>
      <w:lvlText w:val=""/>
      <w:lvlJc w:val="left"/>
      <w:pPr>
        <w:ind w:left="2925" w:hanging="360"/>
      </w:pPr>
      <w:rPr>
        <w:rFonts w:ascii="Symbol" w:hAnsi="Symbol" w:cs="Symbol" w:hint="default"/>
        <w:rFonts w:cs="Symbol"/>
      </w:rPr>
    </w:lvl>
    <w:lvl w:ilvl="4">
      <w:start w:val="1"/>
      <w:numFmt w:val="bullet"/>
      <w:lvlText w:val="o"/>
      <w:lvlJc w:val="left"/>
      <w:pPr>
        <w:ind w:left="3645" w:hanging="360"/>
      </w:pPr>
      <w:rPr>
        <w:rFonts w:ascii="Courier New" w:hAnsi="Courier New" w:cs="Courier New" w:hint="default"/>
        <w:rFonts w:cs="Courier New"/>
      </w:rPr>
    </w:lvl>
    <w:lvl w:ilvl="5">
      <w:start w:val="1"/>
      <w:numFmt w:val="bullet"/>
      <w:lvlText w:val=""/>
      <w:lvlJc w:val="left"/>
      <w:pPr>
        <w:ind w:left="4365" w:hanging="360"/>
      </w:pPr>
      <w:rPr>
        <w:rFonts w:ascii="Wingdings" w:hAnsi="Wingdings" w:cs="Wingdings" w:hint="default"/>
        <w:rFonts w:cs="Wingdings"/>
      </w:rPr>
    </w:lvl>
    <w:lvl w:ilvl="6">
      <w:start w:val="1"/>
      <w:numFmt w:val="bullet"/>
      <w:lvlText w:val=""/>
      <w:lvlJc w:val="left"/>
      <w:pPr>
        <w:ind w:left="5085" w:hanging="360"/>
      </w:pPr>
      <w:rPr>
        <w:rFonts w:ascii="Symbol" w:hAnsi="Symbol" w:cs="Symbol" w:hint="default"/>
        <w:rFonts w:cs="Symbol"/>
      </w:rPr>
    </w:lvl>
    <w:lvl w:ilvl="7">
      <w:start w:val="1"/>
      <w:numFmt w:val="bullet"/>
      <w:lvlText w:val="o"/>
      <w:lvlJc w:val="left"/>
      <w:pPr>
        <w:ind w:left="5805" w:hanging="360"/>
      </w:pPr>
      <w:rPr>
        <w:rFonts w:ascii="Courier New" w:hAnsi="Courier New" w:cs="Courier New" w:hint="default"/>
        <w:rFonts w:cs="Courier New"/>
      </w:rPr>
    </w:lvl>
    <w:lvl w:ilvl="8">
      <w:start w:val="1"/>
      <w:numFmt w:val="bullet"/>
      <w:lvlText w:val=""/>
      <w:lvlJc w:val="left"/>
      <w:pPr>
        <w:ind w:left="6525" w:hanging="360"/>
      </w:pPr>
      <w:rPr>
        <w:rFonts w:ascii="Wingdings" w:hAnsi="Wingdings" w:cs="Wingdings" w:hint="default"/>
        <w:rFonts w:cs="Wingdings"/>
      </w:rPr>
    </w:lvl>
  </w:abstractNum>
  <w:abstractNum w:abstractNumId="196">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97">
    <w:lvl w:ilvl="0">
      <w:start w:val="1"/>
      <w:numFmt w:val="bullet"/>
      <w:lvlText w:val=""/>
      <w:lvlJc w:val="left"/>
      <w:pPr>
        <w:ind w:left="770" w:hanging="360"/>
      </w:pPr>
      <w:rPr>
        <w:rFonts w:ascii="Wingdings" w:hAnsi="Wingdings" w:cs="Wingdings" w:hint="default"/>
        <w:b/>
        <w:rFonts w:cs="Wingdings"/>
      </w:rPr>
    </w:lvl>
    <w:lvl w:ilvl="1">
      <w:start w:val="1"/>
      <w:numFmt w:val="bullet"/>
      <w:lvlText w:val="o"/>
      <w:lvlJc w:val="left"/>
      <w:pPr>
        <w:ind w:left="1490" w:hanging="360"/>
      </w:pPr>
      <w:rPr>
        <w:rFonts w:ascii="Courier New" w:hAnsi="Courier New" w:cs="Courier New" w:hint="default"/>
        <w:rFonts w:cs="Courier New"/>
      </w:rPr>
    </w:lvl>
    <w:lvl w:ilvl="2">
      <w:start w:val="1"/>
      <w:numFmt w:val="bullet"/>
      <w:lvlText w:val=""/>
      <w:lvlJc w:val="left"/>
      <w:pPr>
        <w:ind w:left="2210" w:hanging="360"/>
      </w:pPr>
      <w:rPr>
        <w:rFonts w:ascii="Wingdings" w:hAnsi="Wingdings" w:cs="Wingdings" w:hint="default"/>
        <w:rFonts w:cs="Wingdings"/>
      </w:rPr>
    </w:lvl>
    <w:lvl w:ilvl="3">
      <w:start w:val="1"/>
      <w:numFmt w:val="bullet"/>
      <w:lvlText w:val=""/>
      <w:lvlJc w:val="left"/>
      <w:pPr>
        <w:ind w:left="2930" w:hanging="360"/>
      </w:pPr>
      <w:rPr>
        <w:rFonts w:ascii="Symbol" w:hAnsi="Symbol" w:cs="Symbol" w:hint="default"/>
        <w:rFonts w:cs="Symbol"/>
      </w:rPr>
    </w:lvl>
    <w:lvl w:ilvl="4">
      <w:start w:val="1"/>
      <w:numFmt w:val="bullet"/>
      <w:lvlText w:val="o"/>
      <w:lvlJc w:val="left"/>
      <w:pPr>
        <w:ind w:left="3650" w:hanging="360"/>
      </w:pPr>
      <w:rPr>
        <w:rFonts w:ascii="Courier New" w:hAnsi="Courier New" w:cs="Courier New" w:hint="default"/>
        <w:rFonts w:cs="Courier New"/>
      </w:rPr>
    </w:lvl>
    <w:lvl w:ilvl="5">
      <w:start w:val="1"/>
      <w:numFmt w:val="bullet"/>
      <w:lvlText w:val=""/>
      <w:lvlJc w:val="left"/>
      <w:pPr>
        <w:ind w:left="4370" w:hanging="360"/>
      </w:pPr>
      <w:rPr>
        <w:rFonts w:ascii="Wingdings" w:hAnsi="Wingdings" w:cs="Wingdings" w:hint="default"/>
        <w:rFonts w:cs="Wingdings"/>
      </w:rPr>
    </w:lvl>
    <w:lvl w:ilvl="6">
      <w:start w:val="1"/>
      <w:numFmt w:val="bullet"/>
      <w:lvlText w:val=""/>
      <w:lvlJc w:val="left"/>
      <w:pPr>
        <w:ind w:left="5090" w:hanging="360"/>
      </w:pPr>
      <w:rPr>
        <w:rFonts w:ascii="Symbol" w:hAnsi="Symbol" w:cs="Symbol" w:hint="default"/>
        <w:rFonts w:cs="Symbol"/>
      </w:rPr>
    </w:lvl>
    <w:lvl w:ilvl="7">
      <w:start w:val="1"/>
      <w:numFmt w:val="bullet"/>
      <w:lvlText w:val="o"/>
      <w:lvlJc w:val="left"/>
      <w:pPr>
        <w:ind w:left="5810" w:hanging="360"/>
      </w:pPr>
      <w:rPr>
        <w:rFonts w:ascii="Courier New" w:hAnsi="Courier New" w:cs="Courier New" w:hint="default"/>
        <w:rFonts w:cs="Courier New"/>
      </w:rPr>
    </w:lvl>
    <w:lvl w:ilvl="8">
      <w:start w:val="1"/>
      <w:numFmt w:val="bullet"/>
      <w:lvlText w:val=""/>
      <w:lvlJc w:val="left"/>
      <w:pPr>
        <w:ind w:left="6530" w:hanging="360"/>
      </w:pPr>
      <w:rPr>
        <w:rFonts w:ascii="Wingdings" w:hAnsi="Wingdings" w:cs="Wingdings" w:hint="default"/>
        <w:rFonts w:cs="Wingdings"/>
      </w:rPr>
    </w:lvl>
  </w:abstractNum>
  <w:abstractNum w:abstractNumId="198">
    <w:lvl w:ilvl="0">
      <w:start w:val="1"/>
      <w:numFmt w:val="bullet"/>
      <w:lvlText w:val=""/>
      <w:lvlJc w:val="left"/>
      <w:pPr>
        <w:ind w:left="720" w:hanging="360"/>
      </w:pPr>
      <w:rPr>
        <w:rFonts w:ascii="Wingdings" w:hAnsi="Wingdings" w:cs="Wingdings" w:hint="default"/>
        <w:b/>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99">
    <w:lvl w:ilvl="0">
      <w:start w:val="1"/>
      <w:numFmt w:val="bullet"/>
      <w:lvlText w:val=""/>
      <w:lvlJc w:val="left"/>
      <w:pPr>
        <w:ind w:left="720" w:hanging="360"/>
      </w:pPr>
      <w:rPr>
        <w:rFonts w:ascii="Wingdings" w:hAnsi="Wingdings" w:cs="Wingdings" w:hint="default"/>
        <w:sz w:val="20"/>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200">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201">
    <w:lvl w:ilvl="0">
      <w:start w:val="1"/>
      <w:numFmt w:val="bullet"/>
      <w:lvlText w:val=""/>
      <w:lvlJc w:val="left"/>
      <w:pPr>
        <w:ind w:left="765" w:hanging="360"/>
      </w:pPr>
      <w:rPr>
        <w:rFonts w:ascii="Wingdings" w:hAnsi="Wingdings" w:cs="Wingdings" w:hint="default"/>
        <w:b/>
        <w:rFonts w:cs="Wingdings"/>
      </w:rPr>
    </w:lvl>
    <w:lvl w:ilvl="1">
      <w:start w:val="1"/>
      <w:numFmt w:val="bullet"/>
      <w:lvlText w:val="o"/>
      <w:lvlJc w:val="left"/>
      <w:pPr>
        <w:ind w:left="1485" w:hanging="360"/>
      </w:pPr>
      <w:rPr>
        <w:rFonts w:ascii="Courier New" w:hAnsi="Courier New" w:cs="Courier New" w:hint="default"/>
        <w:rFonts w:cs="Courier New"/>
      </w:rPr>
    </w:lvl>
    <w:lvl w:ilvl="2">
      <w:start w:val="1"/>
      <w:numFmt w:val="bullet"/>
      <w:lvlText w:val=""/>
      <w:lvlJc w:val="left"/>
      <w:pPr>
        <w:ind w:left="2205" w:hanging="360"/>
      </w:pPr>
      <w:rPr>
        <w:rFonts w:ascii="Wingdings" w:hAnsi="Wingdings" w:cs="Wingdings" w:hint="default"/>
        <w:rFonts w:cs="Wingdings"/>
      </w:rPr>
    </w:lvl>
    <w:lvl w:ilvl="3">
      <w:start w:val="1"/>
      <w:numFmt w:val="bullet"/>
      <w:lvlText w:val=""/>
      <w:lvlJc w:val="left"/>
      <w:pPr>
        <w:ind w:left="2925" w:hanging="360"/>
      </w:pPr>
      <w:rPr>
        <w:rFonts w:ascii="Symbol" w:hAnsi="Symbol" w:cs="Symbol" w:hint="default"/>
        <w:rFonts w:cs="Symbol"/>
      </w:rPr>
    </w:lvl>
    <w:lvl w:ilvl="4">
      <w:start w:val="1"/>
      <w:numFmt w:val="bullet"/>
      <w:lvlText w:val="o"/>
      <w:lvlJc w:val="left"/>
      <w:pPr>
        <w:ind w:left="3645" w:hanging="360"/>
      </w:pPr>
      <w:rPr>
        <w:rFonts w:ascii="Courier New" w:hAnsi="Courier New" w:cs="Courier New" w:hint="default"/>
        <w:rFonts w:cs="Courier New"/>
      </w:rPr>
    </w:lvl>
    <w:lvl w:ilvl="5">
      <w:start w:val="1"/>
      <w:numFmt w:val="bullet"/>
      <w:lvlText w:val=""/>
      <w:lvlJc w:val="left"/>
      <w:pPr>
        <w:ind w:left="4365" w:hanging="360"/>
      </w:pPr>
      <w:rPr>
        <w:rFonts w:ascii="Wingdings" w:hAnsi="Wingdings" w:cs="Wingdings" w:hint="default"/>
        <w:rFonts w:cs="Wingdings"/>
      </w:rPr>
    </w:lvl>
    <w:lvl w:ilvl="6">
      <w:start w:val="1"/>
      <w:numFmt w:val="bullet"/>
      <w:lvlText w:val=""/>
      <w:lvlJc w:val="left"/>
      <w:pPr>
        <w:ind w:left="5085" w:hanging="360"/>
      </w:pPr>
      <w:rPr>
        <w:rFonts w:ascii="Symbol" w:hAnsi="Symbol" w:cs="Symbol" w:hint="default"/>
        <w:rFonts w:cs="Symbol"/>
      </w:rPr>
    </w:lvl>
    <w:lvl w:ilvl="7">
      <w:start w:val="1"/>
      <w:numFmt w:val="bullet"/>
      <w:lvlText w:val="o"/>
      <w:lvlJc w:val="left"/>
      <w:pPr>
        <w:ind w:left="5805" w:hanging="360"/>
      </w:pPr>
      <w:rPr>
        <w:rFonts w:ascii="Courier New" w:hAnsi="Courier New" w:cs="Courier New" w:hint="default"/>
        <w:rFonts w:cs="Courier New"/>
      </w:rPr>
    </w:lvl>
    <w:lvl w:ilvl="8">
      <w:start w:val="1"/>
      <w:numFmt w:val="bullet"/>
      <w:lvlText w:val=""/>
      <w:lvlJc w:val="left"/>
      <w:pPr>
        <w:ind w:left="6525" w:hanging="360"/>
      </w:pPr>
      <w:rPr>
        <w:rFonts w:ascii="Wingdings" w:hAnsi="Wingdings" w:cs="Wingdings" w:hint="default"/>
        <w:rFonts w:cs="Wingdings"/>
      </w:rPr>
    </w:lvl>
  </w:abstractNum>
  <w:abstractNum w:abstractNumId="202">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203">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204">
    <w:lvl w:ilvl="0">
      <w:start w:val="1"/>
      <w:numFmt w:val="bullet"/>
      <w:lvlText w:val=""/>
      <w:lvlJc w:val="left"/>
      <w:pPr>
        <w:ind w:left="720" w:hanging="360"/>
      </w:pPr>
      <w:rPr>
        <w:rFonts w:ascii="Wingdings" w:hAnsi="Wingdings" w:cs="Wingdings" w:hint="default"/>
        <w:b/>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205">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206">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207">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208">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209">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210">
    <w:lvl w:ilvl="0">
      <w:start w:val="1"/>
      <w:numFmt w:val="lowerLetter"/>
      <w:lvlText w:val="(%1)"/>
      <w:lvlJc w:val="left"/>
      <w:pPr>
        <w:ind w:left="720" w:hanging="360"/>
      </w:pPr>
      <w:rPr>
        <w:sz w:val="20"/>
      </w:rPr>
    </w:lvl>
    <w:lvl w:ilvl="1">
      <w:start w:val="1"/>
      <w:numFmt w:val="lowerRoman"/>
      <w:lvlText w:val="%2."/>
      <w:lvlJc w:val="left"/>
      <w:pPr>
        <w:ind w:left="1440" w:hanging="360"/>
      </w:pPr>
    </w:lvl>
    <w:lvl w:ilvl="2">
      <w:start w:val="1"/>
      <w:numFmt w:val="decimal"/>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1">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212">
    <w:lvl w:ilvl="0">
      <w:start w:val="1"/>
      <w:numFmt w:val="bullet"/>
      <w:lvlText w:val=""/>
      <w:lvlJc w:val="left"/>
      <w:pPr>
        <w:ind w:left="720" w:hanging="360"/>
      </w:pPr>
      <w:rPr>
        <w:rFonts w:ascii="Wingdings" w:hAnsi="Wingdings" w:cs="Wingdings" w:hint="default"/>
        <w:sz w:val="20"/>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213">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214">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215">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216">
    <w:lvl w:ilvl="0">
      <w:start w:val="1"/>
      <w:numFmt w:val="lowerLetter"/>
      <w:lvlText w:val="(%1)"/>
      <w:lvlJc w:val="left"/>
      <w:pPr>
        <w:ind w:left="720" w:hanging="360"/>
      </w:pPr>
      <w:rPr>
        <w:sz w:val="20"/>
      </w:rPr>
    </w:lvl>
    <w:lvl w:ilvl="1">
      <w:start w:val="1"/>
      <w:numFmt w:val="lowerRoman"/>
      <w:lvlText w:val="%2."/>
      <w:lvlJc w:val="left"/>
      <w:pPr>
        <w:ind w:left="1440" w:hanging="360"/>
      </w:pPr>
    </w:lvl>
    <w:lvl w:ilvl="2">
      <w:start w:val="1"/>
      <w:numFmt w:val="decimal"/>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7">
    <w:lvl w:ilvl="0">
      <w:start w:val="1"/>
      <w:numFmt w:val="lowerLetter"/>
      <w:lvlText w:val="(%1)"/>
      <w:lvlJc w:val="left"/>
      <w:pPr>
        <w:ind w:left="770" w:hanging="360"/>
      </w:pPr>
      <w:rPr>
        <w:sz w:val="20"/>
      </w:rPr>
    </w:lvl>
    <w:lvl w:ilvl="1">
      <w:start w:val="1"/>
      <w:numFmt w:val="decimal"/>
      <w:lvlText w:val="%2."/>
      <w:lvlJc w:val="left"/>
      <w:pPr>
        <w:ind w:left="1490" w:hanging="360"/>
      </w:pPr>
    </w:lvl>
    <w:lvl w:ilvl="2">
      <w:start w:val="1"/>
      <w:numFmt w:val="lowerRoman"/>
      <w:lvlText w:val="%3."/>
      <w:lvlJc w:val="right"/>
      <w:pPr>
        <w:ind w:left="2210" w:hanging="180"/>
      </w:pPr>
    </w:lvl>
    <w:lvl w:ilvl="3">
      <w:start w:val="1"/>
      <w:numFmt w:val="decimal"/>
      <w:lvlText w:val="%4."/>
      <w:lvlJc w:val="left"/>
      <w:pPr>
        <w:ind w:left="2930" w:hanging="360"/>
      </w:pPr>
    </w:lvl>
    <w:lvl w:ilvl="4">
      <w:start w:val="1"/>
      <w:numFmt w:val="lowerLetter"/>
      <w:lvlText w:val="%5."/>
      <w:lvlJc w:val="left"/>
      <w:pPr>
        <w:ind w:left="3650" w:hanging="360"/>
      </w:pPr>
    </w:lvl>
    <w:lvl w:ilvl="5">
      <w:start w:val="1"/>
      <w:numFmt w:val="lowerRoman"/>
      <w:lvlText w:val="%6."/>
      <w:lvlJc w:val="right"/>
      <w:pPr>
        <w:ind w:left="4370" w:hanging="180"/>
      </w:pPr>
    </w:lvl>
    <w:lvl w:ilvl="6">
      <w:start w:val="1"/>
      <w:numFmt w:val="decimal"/>
      <w:lvlText w:val="%7."/>
      <w:lvlJc w:val="left"/>
      <w:pPr>
        <w:ind w:left="5090" w:hanging="360"/>
      </w:pPr>
    </w:lvl>
    <w:lvl w:ilvl="7">
      <w:start w:val="1"/>
      <w:numFmt w:val="lowerLetter"/>
      <w:lvlText w:val="%8."/>
      <w:lvlJc w:val="left"/>
      <w:pPr>
        <w:ind w:left="5810" w:hanging="360"/>
      </w:pPr>
    </w:lvl>
    <w:lvl w:ilvl="8">
      <w:start w:val="1"/>
      <w:numFmt w:val="lowerRoman"/>
      <w:lvlText w:val="%9."/>
      <w:lvlJc w:val="right"/>
      <w:pPr>
        <w:ind w:left="6530" w:hanging="180"/>
      </w:pPr>
    </w:lvl>
  </w:abstractNum>
  <w:abstractNum w:abstractNumId="218">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219">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220">
    <w:lvl w:ilvl="0">
      <w:start w:val="1"/>
      <w:numFmt w:val="lowerLetter"/>
      <w:lvlText w:val="(%1)"/>
      <w:lvlJc w:val="left"/>
      <w:pPr>
        <w:ind w:left="720" w:hanging="360"/>
      </w:pPr>
      <w:rPr>
        <w:sz w:val="20"/>
      </w:rPr>
    </w:lvl>
    <w:lvl w:ilvl="1">
      <w:start w:val="1"/>
      <w:numFmt w:val="lowerRoman"/>
      <w:lvlText w:val="%2."/>
      <w:lvlJc w:val="left"/>
      <w:pPr>
        <w:ind w:left="1440" w:hanging="360"/>
      </w:pPr>
    </w:lvl>
    <w:lvl w:ilvl="2">
      <w:start w:val="1"/>
      <w:numFmt w:val="decimal"/>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1">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222">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223">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224">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5">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6">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7">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8">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9">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0">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1">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2">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3">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4">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5">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6">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7">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8">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9">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0">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1">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2">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3">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4">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5">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6">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7">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8">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9">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0">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1">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2">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3">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4">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5">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6">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7">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8">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9">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0">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1">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2">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3">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4">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5">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6">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7">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8">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9">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0">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1">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2">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3">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4">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5">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6">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7">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8">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9">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0">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1">
    <w:lvl w:ilvl="0">
      <w:start w:val="1"/>
      <w:numFmt w:val="bullet"/>
      <w:lvlText w:val=""/>
      <w:lvlJc w:val="left"/>
      <w:pPr>
        <w:ind w:left="720" w:hanging="360"/>
      </w:pPr>
      <w:rPr>
        <w:rFonts w:ascii="Wingdings" w:hAnsi="Wingdings" w:cs="Wingdings" w:hint="default"/>
        <w:sz w:val="20"/>
        <w:rFonts w:cs="Wingdings"/>
      </w:rPr>
    </w:lvl>
    <w:lvl w:ilvl="1">
      <w:start w:val="1"/>
      <w:numFmt w:val="lowerRoman"/>
      <w:lvlText w:val="%2."/>
      <w:lvlJc w:val="left"/>
      <w:pPr>
        <w:ind w:left="1440" w:hanging="360"/>
      </w:pPr>
    </w:lvl>
    <w:lvl w:ilvl="2">
      <w:start w:val="1"/>
      <w:numFmt w:val="decimal"/>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2">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3">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4">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5">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6">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7">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8">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9">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0">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1">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2">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3">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4">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5">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6">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7">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8">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9">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0">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1">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2">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3">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4">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5">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6">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7">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8">
    <w:lvl w:ilvl="0">
      <w:start w:val="1"/>
      <w:numFmt w:val="bullet"/>
      <w:lvlText w:val=""/>
      <w:lvlJc w:val="left"/>
      <w:pPr>
        <w:ind w:left="720" w:hanging="360"/>
      </w:pPr>
      <w:rPr>
        <w:rFonts w:ascii="Wingdings" w:hAnsi="Wingdings" w:cs="Wingdings" w:hint="default"/>
        <w:b/>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309">
    <w:lvl w:ilvl="0">
      <w:start w:val="1"/>
      <w:numFmt w:val="bullet"/>
      <w:lvlText w:val=""/>
      <w:lvlJc w:val="left"/>
      <w:pPr>
        <w:ind w:left="720" w:hanging="360"/>
      </w:pPr>
      <w:rPr>
        <w:rFonts w:ascii="Wingdings" w:hAnsi="Wingdings" w:cs="Wingdings" w:hint="default"/>
        <w:b/>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310">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1">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2">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3">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4">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5">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316">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7">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8">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9">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0">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1">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2">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3">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4">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5">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6">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7">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8">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9">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0">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1">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2">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3">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4">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335">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6">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7">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8">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9">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0">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1">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2">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3">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4">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5">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6">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7">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8">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9">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0">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1">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2">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3">
    <w:lvl w:ilvl="0">
      <w:start w:val="1"/>
      <w:numFmt w:val="lowerLetter"/>
      <w:lvlText w:val="(%1)"/>
      <w:lvlJc w:val="left"/>
      <w:pPr>
        <w:ind w:left="720" w:hanging="360"/>
      </w:pPr>
      <w:rPr>
        <w:sz w:val="20"/>
        <w:b/>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4">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5">
    <w:lvl w:ilvl="0">
      <w:start w:val="1"/>
      <w:numFmt w:val="lowerLetter"/>
      <w:lvlText w:val="(%1)"/>
      <w:lvlJc w:val="left"/>
      <w:pPr>
        <w:ind w:left="720" w:hanging="360"/>
      </w:pPr>
      <w:rPr>
        <w:sz w:val="20"/>
        <w:b w:val="false"/>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6">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7">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8">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9">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0">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1">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2">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3">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4">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5">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6">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7">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8">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9">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0">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1">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2">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3">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4">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5">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6">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7">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8">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9">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0">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1">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2">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3">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4">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5">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6">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7">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8">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9">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0">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1">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2">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3">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4">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5">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6">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7">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8">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9">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400">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1">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2">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3">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4">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5">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6">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7">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8">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9">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0">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1">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2">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3">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4">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5">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6">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7">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8">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9">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0">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1">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2">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3">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4">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5">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6">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7">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8">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9">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0">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1">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2">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3">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4">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5">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6">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7">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8">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9">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0">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1">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2">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3">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4">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5">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6">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7">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8">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9">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0">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1">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2">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3">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4">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5">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6">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7">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8">
    <w:lvl w:ilvl="0">
      <w:start w:val="1"/>
      <w:numFmt w:val="lowerLetter"/>
      <w:lvlText w:val="(%1)"/>
      <w:lvlJc w:val="left"/>
      <w:pPr>
        <w:ind w:left="720" w:hanging="360"/>
      </w:pPr>
      <w:rPr>
        <w:sz w:val="24"/>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9">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0">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1">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2">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3">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4">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5">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6">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7">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8">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9">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0">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1">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2">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3">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4">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5">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6">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7">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8">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9">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0">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1">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2">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3">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4">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5">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6">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7">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8">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9">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0">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1">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2">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3">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4">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5">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6">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7">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8">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9">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0">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1">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2">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3">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4">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5">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6">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7">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8">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9">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510">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1">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2">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513">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4">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5">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6">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7">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8">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9">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0">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521">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2">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3">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4">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5">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6">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7">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528">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529">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530">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531">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532">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533">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534">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5">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536">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537">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538">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539">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540">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541">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542">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543">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544">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545">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546">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547">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548">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549">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550">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551">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552">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3">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554">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555">
    <w:lvl w:ilvl="0">
      <w:start w:val="1"/>
      <w:numFmt w:val="bullet"/>
      <w:lvlText w:val=""/>
      <w:lvlJc w:val="left"/>
      <w:pPr>
        <w:ind w:left="720" w:hanging="360"/>
      </w:pPr>
      <w:rPr>
        <w:rFonts w:ascii="Wingdings" w:hAnsi="Wingdings" w:cs="Wingdings" w:hint="default"/>
        <w:rFonts w:cs="Wingdings"/>
      </w:rPr>
    </w:lvl>
    <w:lvl w:ilvl="1">
      <w:start w:val="1"/>
      <w:numFmt w:val="bullet"/>
      <w:lvlText w:val="-"/>
      <w:lvlJc w:val="left"/>
      <w:pPr>
        <w:ind w:left="1440" w:hanging="360"/>
      </w:pPr>
      <w:rPr>
        <w:rFonts w:ascii="Calibri" w:hAnsi="Calibri" w:cs="Calibri" w:hint="default"/>
        <w:rFonts w:cs="Calibri"/>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556">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557">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558">
    <w:lvl w:ilvl="0">
      <w:start w:val="1"/>
      <w:numFmt w:val="bullet"/>
      <w:lvlText w:val="o"/>
      <w:lvlJc w:val="left"/>
      <w:pPr>
        <w:ind w:left="720" w:hanging="360"/>
      </w:pPr>
      <w:rPr>
        <w:rFonts w:ascii="Courier New" w:hAnsi="Courier New" w:cs="Courier New" w:hint="default"/>
        <w:rFonts w:cs="Courier New"/>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559">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560">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561">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562">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563">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564">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565">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566">
    <w:lvl w:ilvl="0">
      <w:start w:val="1"/>
      <w:numFmt w:val="lowerLetter"/>
      <w:lvlText w:val="(%1)"/>
      <w:lvlJc w:val="left"/>
      <w:pPr>
        <w:ind w:left="765" w:hanging="360"/>
      </w:pPr>
      <w:rPr>
        <w:sz w:val="20"/>
      </w:rPr>
    </w:lvl>
    <w:lvl w:ilvl="1">
      <w:start w:val="1"/>
      <w:numFmt w:val="lowerLetter"/>
      <w:lvlText w:val="%2."/>
      <w:lvlJc w:val="left"/>
      <w:pPr>
        <w:ind w:left="1485" w:hanging="360"/>
      </w:pPr>
    </w:lvl>
    <w:lvl w:ilvl="2">
      <w:start w:val="1"/>
      <w:numFmt w:val="lowerRoman"/>
      <w:lvlText w:val="%3."/>
      <w:lvlJc w:val="right"/>
      <w:pPr>
        <w:ind w:left="2205" w:hanging="180"/>
      </w:pPr>
    </w:lvl>
    <w:lvl w:ilvl="3">
      <w:start w:val="1"/>
      <w:numFmt w:val="decimal"/>
      <w:lvlText w:val="%4."/>
      <w:lvlJc w:val="left"/>
      <w:pPr>
        <w:ind w:left="2925" w:hanging="360"/>
      </w:pPr>
    </w:lvl>
    <w:lvl w:ilvl="4">
      <w:start w:val="1"/>
      <w:numFmt w:val="lowerLetter"/>
      <w:lvlText w:val="%5."/>
      <w:lvlJc w:val="left"/>
      <w:pPr>
        <w:ind w:left="3645" w:hanging="360"/>
      </w:pPr>
    </w:lvl>
    <w:lvl w:ilvl="5">
      <w:start w:val="1"/>
      <w:numFmt w:val="lowerRoman"/>
      <w:lvlText w:val="%6."/>
      <w:lvlJc w:val="right"/>
      <w:pPr>
        <w:ind w:left="4365" w:hanging="180"/>
      </w:pPr>
    </w:lvl>
    <w:lvl w:ilvl="6">
      <w:start w:val="1"/>
      <w:numFmt w:val="decimal"/>
      <w:lvlText w:val="%7."/>
      <w:lvlJc w:val="left"/>
      <w:pPr>
        <w:ind w:left="5085" w:hanging="360"/>
      </w:pPr>
    </w:lvl>
    <w:lvl w:ilvl="7">
      <w:start w:val="1"/>
      <w:numFmt w:val="lowerLetter"/>
      <w:lvlText w:val="%8."/>
      <w:lvlJc w:val="left"/>
      <w:pPr>
        <w:ind w:left="5805" w:hanging="360"/>
      </w:pPr>
    </w:lvl>
    <w:lvl w:ilvl="8">
      <w:start w:val="1"/>
      <w:numFmt w:val="lowerRoman"/>
      <w:lvlText w:val="%9."/>
      <w:lvlJc w:val="right"/>
      <w:pPr>
        <w:ind w:left="6525" w:hanging="180"/>
      </w:pPr>
    </w:lvl>
  </w:abstractNum>
  <w:abstractNum w:abstractNumId="567">
    <w:lvl w:ilvl="0">
      <w:start w:val="1"/>
      <w:numFmt w:val="lowerLetter"/>
      <w:lvlText w:val="(%1)"/>
      <w:lvlJc w:val="left"/>
      <w:pPr>
        <w:ind w:left="765" w:hanging="360"/>
      </w:pPr>
      <w:rPr>
        <w:sz w:val="20"/>
      </w:rPr>
    </w:lvl>
    <w:lvl w:ilvl="1">
      <w:start w:val="1"/>
      <w:numFmt w:val="lowerLetter"/>
      <w:lvlText w:val="%2."/>
      <w:lvlJc w:val="left"/>
      <w:pPr>
        <w:ind w:left="1485" w:hanging="360"/>
      </w:pPr>
    </w:lvl>
    <w:lvl w:ilvl="2">
      <w:start w:val="1"/>
      <w:numFmt w:val="lowerRoman"/>
      <w:lvlText w:val="%3."/>
      <w:lvlJc w:val="right"/>
      <w:pPr>
        <w:ind w:left="2205" w:hanging="180"/>
      </w:pPr>
    </w:lvl>
    <w:lvl w:ilvl="3">
      <w:start w:val="1"/>
      <w:numFmt w:val="decimal"/>
      <w:lvlText w:val="%4."/>
      <w:lvlJc w:val="left"/>
      <w:pPr>
        <w:ind w:left="2925" w:hanging="360"/>
      </w:pPr>
    </w:lvl>
    <w:lvl w:ilvl="4">
      <w:start w:val="1"/>
      <w:numFmt w:val="lowerLetter"/>
      <w:lvlText w:val="%5."/>
      <w:lvlJc w:val="left"/>
      <w:pPr>
        <w:ind w:left="3645" w:hanging="360"/>
      </w:pPr>
    </w:lvl>
    <w:lvl w:ilvl="5">
      <w:start w:val="1"/>
      <w:numFmt w:val="lowerRoman"/>
      <w:lvlText w:val="%6."/>
      <w:lvlJc w:val="right"/>
      <w:pPr>
        <w:ind w:left="4365" w:hanging="180"/>
      </w:pPr>
    </w:lvl>
    <w:lvl w:ilvl="6">
      <w:start w:val="1"/>
      <w:numFmt w:val="decimal"/>
      <w:lvlText w:val="%7."/>
      <w:lvlJc w:val="left"/>
      <w:pPr>
        <w:ind w:left="5085" w:hanging="360"/>
      </w:pPr>
    </w:lvl>
    <w:lvl w:ilvl="7">
      <w:start w:val="1"/>
      <w:numFmt w:val="lowerLetter"/>
      <w:lvlText w:val="%8."/>
      <w:lvlJc w:val="left"/>
      <w:pPr>
        <w:ind w:left="5805" w:hanging="360"/>
      </w:pPr>
    </w:lvl>
    <w:lvl w:ilvl="8">
      <w:start w:val="1"/>
      <w:numFmt w:val="lowerRoman"/>
      <w:lvlText w:val="%9."/>
      <w:lvlJc w:val="right"/>
      <w:pPr>
        <w:ind w:left="6525" w:hanging="180"/>
      </w:pPr>
    </w:lvl>
  </w:abstractNum>
  <w:abstractNum w:abstractNumId="568">
    <w:lvl w:ilvl="0">
      <w:start w:val="1"/>
      <w:numFmt w:val="lowerLetter"/>
      <w:lvlText w:val="(%1)"/>
      <w:lvlJc w:val="left"/>
      <w:pPr>
        <w:ind w:left="720" w:hanging="360"/>
      </w:pPr>
      <w:rPr>
        <w:sz w:val="20"/>
      </w:rPr>
    </w:lvl>
    <w:lvl w:ilvl="1">
      <w:start w:val="1"/>
      <w:numFmt w:val="lowerRoman"/>
      <w:lvlText w:val="%2."/>
      <w:lvlJc w:val="left"/>
      <w:pPr>
        <w:ind w:left="1440" w:hanging="360"/>
      </w:pPr>
    </w:lvl>
    <w:lvl w:ilvl="2">
      <w:start w:val="1"/>
      <w:numFmt w:val="decimal"/>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9">
    <w:lvl w:ilvl="0">
      <w:start w:val="1"/>
      <w:numFmt w:val="lowerLetter"/>
      <w:lvlText w:val="(%1)"/>
      <w:lvlJc w:val="left"/>
      <w:pPr>
        <w:ind w:left="720" w:hanging="360"/>
      </w:pPr>
      <w:rPr>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0">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571">
    <w:lvl w:ilvl="0">
      <w:start w:val="1"/>
      <w:numFmt w:val="lowerLetter"/>
      <w:lvlText w:val="(%1)"/>
      <w:lvlJc w:val="left"/>
      <w:pPr>
        <w:ind w:left="720" w:hanging="360"/>
      </w:pPr>
      <w:rPr>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2">
    <w:lvl w:ilvl="0">
      <w:start w:val="1"/>
      <w:numFmt w:val="lowerLetter"/>
      <w:lvlText w:val="(%1)"/>
      <w:lvlJc w:val="left"/>
      <w:pPr>
        <w:ind w:left="720" w:hanging="360"/>
      </w:pPr>
      <w:rPr>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3">
    <w:lvl w:ilvl="0">
      <w:start w:val="1"/>
      <w:numFmt w:val="lowerLetter"/>
      <w:lvlText w:val="(%1)"/>
      <w:lvlJc w:val="left"/>
      <w:pPr>
        <w:ind w:left="720" w:hanging="360"/>
      </w:pPr>
      <w:rPr>
        <w:sz w:val="20"/>
      </w:rPr>
    </w:lvl>
    <w:lvl w:ilvl="1">
      <w:start w:val="1"/>
      <w:numFmt w:val="lowerRoman"/>
      <w:lvlText w:val="%2."/>
      <w:lvlJc w:val="left"/>
      <w:pPr>
        <w:ind w:left="1440" w:hanging="360"/>
      </w:pPr>
    </w:lvl>
    <w:lvl w:ilvl="2">
      <w:start w:val="1"/>
      <w:numFmt w:val="decimal"/>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4">
    <w:lvl w:ilvl="0">
      <w:start w:val="1"/>
      <w:numFmt w:val="lowerLetter"/>
      <w:lvlText w:val="(%1)"/>
      <w:lvlJc w:val="left"/>
      <w:pPr>
        <w:ind w:left="720" w:hanging="360"/>
      </w:pPr>
      <w:rPr>
        <w:sz w:val="20"/>
      </w:rPr>
    </w:lvl>
    <w:lvl w:ilvl="1">
      <w:start w:val="1"/>
      <w:numFmt w:val="lowerRoman"/>
      <w:lvlText w:val="%2."/>
      <w:lvlJc w:val="left"/>
      <w:pPr>
        <w:ind w:left="1440" w:hanging="360"/>
      </w:pPr>
    </w:lvl>
    <w:lvl w:ilvl="2">
      <w:start w:val="1"/>
      <w:numFmt w:val="decimal"/>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5">
    <w:lvl w:ilvl="0">
      <w:start w:val="1"/>
      <w:numFmt w:val="lowerLetter"/>
      <w:lvlText w:val="(%1)"/>
      <w:lvlJc w:val="left"/>
      <w:pPr>
        <w:ind w:left="720" w:hanging="360"/>
      </w:pPr>
      <w:rPr>
        <w:sz w:val="20"/>
      </w:rPr>
    </w:lvl>
    <w:lvl w:ilvl="1">
      <w:start w:val="1"/>
      <w:numFmt w:val="lowerRoman"/>
      <w:lvlText w:val="%2."/>
      <w:lvlJc w:val="left"/>
      <w:pPr>
        <w:ind w:left="1440" w:hanging="360"/>
      </w:pPr>
    </w:lvl>
    <w:lvl w:ilvl="2">
      <w:start w:val="1"/>
      <w:numFmt w:val="decimal"/>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6">
    <w:lvl w:ilvl="0">
      <w:start w:val="1"/>
      <w:numFmt w:val="lowerLetter"/>
      <w:lvlText w:val="(%1)"/>
      <w:lvlJc w:val="left"/>
      <w:pPr>
        <w:ind w:left="720" w:hanging="360"/>
      </w:pPr>
      <w:rPr>
        <w:sz w:val="20"/>
      </w:rPr>
    </w:lvl>
    <w:lvl w:ilvl="1">
      <w:start w:val="1"/>
      <w:numFmt w:val="lowerRoman"/>
      <w:lvlText w:val="%2."/>
      <w:lvlJc w:val="left"/>
      <w:pPr>
        <w:ind w:left="1440" w:hanging="360"/>
      </w:pPr>
    </w:lvl>
    <w:lvl w:ilvl="2">
      <w:start w:val="1"/>
      <w:numFmt w:val="decimal"/>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7">
    <w:lvl w:ilvl="0">
      <w:start w:val="1"/>
      <w:numFmt w:val="lowerLetter"/>
      <w:lvlText w:val="(%1)"/>
      <w:lvlJc w:val="left"/>
      <w:pPr>
        <w:ind w:left="720" w:hanging="360"/>
      </w:pPr>
      <w:rPr>
        <w:sz w:val="20"/>
      </w:rPr>
    </w:lvl>
    <w:lvl w:ilvl="1">
      <w:start w:val="1"/>
      <w:numFmt w:val="lowerRoman"/>
      <w:lvlText w:val="%2."/>
      <w:lvlJc w:val="left"/>
      <w:pPr>
        <w:ind w:left="1440" w:hanging="360"/>
      </w:pPr>
    </w:lvl>
    <w:lvl w:ilvl="2">
      <w:start w:val="1"/>
      <w:numFmt w:val="decimal"/>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8">
    <w:lvl w:ilvl="0">
      <w:start w:val="1"/>
      <w:numFmt w:val="lowerLetter"/>
      <w:lvlText w:val="(%1)"/>
      <w:lvlJc w:val="left"/>
      <w:pPr>
        <w:ind w:left="770" w:hanging="360"/>
      </w:pPr>
      <w:rPr>
        <w:sz w:val="20"/>
      </w:rPr>
    </w:lvl>
    <w:lvl w:ilvl="1">
      <w:start w:val="1"/>
      <w:numFmt w:val="decimal"/>
      <w:lvlText w:val="%2."/>
      <w:lvlJc w:val="left"/>
      <w:pPr>
        <w:ind w:left="1490" w:hanging="360"/>
      </w:pPr>
    </w:lvl>
    <w:lvl w:ilvl="2">
      <w:start w:val="1"/>
      <w:numFmt w:val="lowerRoman"/>
      <w:lvlText w:val="%3."/>
      <w:lvlJc w:val="right"/>
      <w:pPr>
        <w:ind w:left="2210" w:hanging="180"/>
      </w:pPr>
    </w:lvl>
    <w:lvl w:ilvl="3">
      <w:start w:val="1"/>
      <w:numFmt w:val="decimal"/>
      <w:lvlText w:val="%4."/>
      <w:lvlJc w:val="left"/>
      <w:pPr>
        <w:ind w:left="2930" w:hanging="360"/>
      </w:pPr>
    </w:lvl>
    <w:lvl w:ilvl="4">
      <w:start w:val="1"/>
      <w:numFmt w:val="lowerLetter"/>
      <w:lvlText w:val="%5."/>
      <w:lvlJc w:val="left"/>
      <w:pPr>
        <w:ind w:left="3650" w:hanging="360"/>
      </w:pPr>
    </w:lvl>
    <w:lvl w:ilvl="5">
      <w:start w:val="1"/>
      <w:numFmt w:val="lowerRoman"/>
      <w:lvlText w:val="%6."/>
      <w:lvlJc w:val="right"/>
      <w:pPr>
        <w:ind w:left="4370" w:hanging="180"/>
      </w:pPr>
    </w:lvl>
    <w:lvl w:ilvl="6">
      <w:start w:val="1"/>
      <w:numFmt w:val="decimal"/>
      <w:lvlText w:val="%7."/>
      <w:lvlJc w:val="left"/>
      <w:pPr>
        <w:ind w:left="5090" w:hanging="360"/>
      </w:pPr>
    </w:lvl>
    <w:lvl w:ilvl="7">
      <w:start w:val="1"/>
      <w:numFmt w:val="lowerLetter"/>
      <w:lvlText w:val="%8."/>
      <w:lvlJc w:val="left"/>
      <w:pPr>
        <w:ind w:left="5810" w:hanging="360"/>
      </w:pPr>
    </w:lvl>
    <w:lvl w:ilvl="8">
      <w:start w:val="1"/>
      <w:numFmt w:val="lowerRoman"/>
      <w:lvlText w:val="%9."/>
      <w:lvlJc w:val="right"/>
      <w:pPr>
        <w:ind w:left="6530" w:hanging="180"/>
      </w:pPr>
    </w:lvl>
  </w:abstractNum>
  <w:abstractNum w:abstractNumId="579">
    <w:lvl w:ilvl="0">
      <w:start w:val="1"/>
      <w:numFmt w:val="lowerLetter"/>
      <w:lvlText w:val="(%1)"/>
      <w:lvlJc w:val="left"/>
      <w:pPr>
        <w:ind w:left="720" w:hanging="360"/>
      </w:pPr>
      <w:rPr>
        <w:sz w:val="20"/>
        <w:b w:val="false"/>
      </w:rPr>
    </w:lvl>
    <w:lvl w:ilvl="1">
      <w:start w:val="1"/>
      <w:numFmt w:val="lowerRoman"/>
      <w:lvlText w:val="%2."/>
      <w:lvlJc w:val="left"/>
      <w:pPr>
        <w:ind w:left="1440" w:hanging="360"/>
      </w:pPr>
    </w:lvl>
    <w:lvl w:ilvl="2">
      <w:start w:val="1"/>
      <w:numFmt w:val="decimal"/>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0">
    <w:lvl w:ilvl="0">
      <w:start w:val="1"/>
      <w:numFmt w:val="lowerLetter"/>
      <w:lvlText w:val="(%1)"/>
      <w:lvlJc w:val="left"/>
      <w:pPr>
        <w:ind w:left="720" w:hanging="360"/>
      </w:pPr>
      <w:rPr>
        <w:sz w:val="20"/>
      </w:rPr>
    </w:lvl>
    <w:lvl w:ilvl="1">
      <w:start w:val="1"/>
      <w:numFmt w:val="lowerRoman"/>
      <w:lvlText w:val="%2."/>
      <w:lvlJc w:val="left"/>
      <w:pPr>
        <w:ind w:left="1440" w:hanging="360"/>
      </w:pPr>
    </w:lvl>
    <w:lvl w:ilvl="2">
      <w:start w:val="1"/>
      <w:numFmt w:val="decimal"/>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1">
    <w:lvl w:ilvl="0">
      <w:start w:val="1"/>
      <w:numFmt w:val="lowerLetter"/>
      <w:lvlText w:val="(%1)"/>
      <w:lvlJc w:val="left"/>
      <w:pPr>
        <w:ind w:left="720" w:hanging="360"/>
      </w:pPr>
      <w:rPr>
        <w:sz w:val="20"/>
      </w:rPr>
    </w:lvl>
    <w:lvl w:ilvl="1">
      <w:start w:val="1"/>
      <w:numFmt w:val="lowerRoman"/>
      <w:lvlText w:val="%2."/>
      <w:lvlJc w:val="left"/>
      <w:pPr>
        <w:ind w:left="1440" w:hanging="360"/>
      </w:pPr>
    </w:lvl>
    <w:lvl w:ilvl="2">
      <w:start w:val="1"/>
      <w:numFmt w:val="decimal"/>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2">
    <w:lvl w:ilvl="0">
      <w:start w:val="1"/>
      <w:numFmt w:val="lowerLetter"/>
      <w:lvlText w:val="(%1)"/>
      <w:lvlJc w:val="left"/>
      <w:pPr>
        <w:ind w:left="720" w:hanging="360"/>
      </w:pPr>
      <w:rPr>
        <w:sz w:val="20"/>
      </w:rPr>
    </w:lvl>
    <w:lvl w:ilvl="1">
      <w:start w:val="1"/>
      <w:numFmt w:val="lowerRoman"/>
      <w:lvlText w:val="%2."/>
      <w:lvlJc w:val="left"/>
      <w:pPr>
        <w:ind w:left="1440" w:hanging="360"/>
      </w:pPr>
    </w:lvl>
    <w:lvl w:ilvl="2">
      <w:start w:val="1"/>
      <w:numFmt w:val="decimal"/>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3">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4">
    <w:lvl w:ilvl="0">
      <w:start w:val="1"/>
      <w:numFmt w:val="lowerLetter"/>
      <w:lvlText w:val="(%1)"/>
      <w:lvlJc w:val="left"/>
      <w:pPr>
        <w:ind w:left="720" w:hanging="360"/>
      </w:pPr>
      <w:rPr>
        <w:sz w:val="20"/>
        <w:b w:val="false"/>
      </w:rPr>
    </w:lvl>
    <w:lvl w:ilvl="1">
      <w:start w:val="1"/>
      <w:numFmt w:val="lowerRoman"/>
      <w:lvlText w:val="%2."/>
      <w:lvlJc w:val="left"/>
      <w:pPr>
        <w:ind w:left="1440" w:hanging="360"/>
      </w:pPr>
    </w:lvl>
    <w:lvl w:ilvl="2">
      <w:start w:val="1"/>
      <w:numFmt w:val="decimal"/>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5">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6">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7">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8">
    <w:lvl w:ilvl="0">
      <w:start w:val="1"/>
      <w:numFmt w:val="lowerLetter"/>
      <w:lvlText w:val="(%1)"/>
      <w:lvlJc w:val="left"/>
      <w:pPr>
        <w:ind w:left="720" w:hanging="360"/>
      </w:pPr>
      <w:rPr>
        <w:sz w:val="20"/>
        <w:b w:val="false"/>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9">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0">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1">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2">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3">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4">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5">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6">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7">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sz w:val="24"/>
        <w:b w:val="false"/>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598">
    <w:lvl w:ilvl="0">
      <w:start w:val="1"/>
      <w:numFmt w:val="lowerLetter"/>
      <w:lvlText w:val="(%1)"/>
      <w:lvlJc w:val="left"/>
      <w:pPr>
        <w:ind w:left="720" w:hanging="360"/>
      </w:pPr>
      <w:rPr>
        <w:sz w:val="20"/>
      </w:rPr>
    </w:lvl>
    <w:lvl w:ilvl="1">
      <w:start w:val="1"/>
      <w:numFmt w:val="lowerRoman"/>
      <w:lvlText w:val="%2."/>
      <w:lvlJc w:val="left"/>
      <w:pPr>
        <w:ind w:left="1440" w:hanging="360"/>
      </w:pPr>
    </w:lvl>
    <w:lvl w:ilvl="2">
      <w:start w:val="1"/>
      <w:numFmt w:val="decimal"/>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9">
    <w:lvl w:ilvl="0">
      <w:start w:val="1"/>
      <w:numFmt w:val="lowerLetter"/>
      <w:lvlText w:val="(%1)"/>
      <w:lvlJc w:val="left"/>
      <w:pPr>
        <w:ind w:left="720" w:hanging="360"/>
      </w:pPr>
      <w:rPr>
        <w:sz w:val="20"/>
        <w:b w:val="false"/>
      </w:rPr>
    </w:lvl>
    <w:lvl w:ilvl="1">
      <w:start w:val="1"/>
      <w:numFmt w:val="lowerRoman"/>
      <w:lvlText w:val="%2."/>
      <w:lvlJc w:val="left"/>
      <w:pPr>
        <w:ind w:left="1440" w:hanging="360"/>
      </w:pPr>
    </w:lvl>
    <w:lvl w:ilvl="2">
      <w:start w:val="1"/>
      <w:numFmt w:val="decimal"/>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0">
    <w:lvl w:ilvl="0">
      <w:start w:val="1"/>
      <w:numFmt w:val="lowerLetter"/>
      <w:lvlText w:val="(%1)"/>
      <w:lvlJc w:val="left"/>
      <w:pPr>
        <w:ind w:left="720" w:hanging="360"/>
      </w:pPr>
      <w:rPr>
        <w:sz w:val="20"/>
      </w:rPr>
    </w:lvl>
    <w:lvl w:ilvl="1">
      <w:start w:val="1"/>
      <w:numFmt w:val="lowerRoman"/>
      <w:lvlText w:val="%2."/>
      <w:lvlJc w:val="left"/>
      <w:pPr>
        <w:ind w:left="1440" w:hanging="360"/>
      </w:pPr>
    </w:lvl>
    <w:lvl w:ilvl="2">
      <w:start w:val="1"/>
      <w:numFmt w:val="decimal"/>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1">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602">
    <w:lvl w:ilvl="0">
      <w:start w:val="1"/>
      <w:numFmt w:val="lowerLetter"/>
      <w:lvlText w:val="(%1)"/>
      <w:lvlJc w:val="left"/>
      <w:pPr>
        <w:ind w:left="720" w:hanging="360"/>
      </w:pPr>
      <w:rPr>
        <w:sz w:val="20"/>
      </w:rPr>
    </w:lvl>
    <w:lvl w:ilvl="1">
      <w:start w:val="1"/>
      <w:numFmt w:val="lowerRoman"/>
      <w:lvlText w:val="%2."/>
      <w:lvlJc w:val="left"/>
      <w:pPr>
        <w:ind w:left="1440" w:hanging="360"/>
      </w:pPr>
    </w:lvl>
    <w:lvl w:ilvl="2">
      <w:start w:val="1"/>
      <w:numFmt w:val="decimal"/>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3">
    <w:lvl w:ilvl="0">
      <w:start w:val="1"/>
      <w:numFmt w:val="lowerLetter"/>
      <w:lvlText w:val="(%1)"/>
      <w:lvlJc w:val="left"/>
      <w:pPr>
        <w:ind w:left="720" w:hanging="360"/>
      </w:pPr>
      <w:rPr>
        <w:sz w:val="20"/>
      </w:rPr>
    </w:lvl>
    <w:lvl w:ilvl="1">
      <w:start w:val="1"/>
      <w:numFmt w:val="lowerRoman"/>
      <w:lvlText w:val="%2."/>
      <w:lvlJc w:val="left"/>
      <w:pPr>
        <w:ind w:left="1440" w:hanging="360"/>
      </w:pPr>
    </w:lvl>
    <w:lvl w:ilvl="2">
      <w:start w:val="1"/>
      <w:numFmt w:val="decimal"/>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4">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605">
    <w:lvl w:ilvl="0">
      <w:start w:val="1"/>
      <w:numFmt w:val="lowerLetter"/>
      <w:lvlText w:val="(%1)"/>
      <w:lvlJc w:val="left"/>
      <w:pPr>
        <w:ind w:left="720" w:hanging="360"/>
      </w:pPr>
      <w:rPr>
        <w:sz w:val="20"/>
      </w:rPr>
    </w:lvl>
    <w:lvl w:ilvl="1">
      <w:start w:val="1"/>
      <w:numFmt w:val="lowerRoman"/>
      <w:lvlText w:val="%2."/>
      <w:lvlJc w:val="left"/>
      <w:pPr>
        <w:ind w:left="1440" w:hanging="360"/>
      </w:pPr>
    </w:lvl>
    <w:lvl w:ilvl="2">
      <w:start w:val="1"/>
      <w:numFmt w:val="decimal"/>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6">
    <w:lvl w:ilvl="0">
      <w:start w:val="1"/>
      <w:numFmt w:val="lowerLetter"/>
      <w:lvlText w:val="(%1)"/>
      <w:lvlJc w:val="left"/>
      <w:pPr>
        <w:ind w:left="720" w:hanging="360"/>
      </w:pPr>
      <w:rPr>
        <w:sz w:val="20"/>
      </w:rPr>
    </w:lvl>
    <w:lvl w:ilvl="1">
      <w:start w:val="1"/>
      <w:numFmt w:val="lowerRoman"/>
      <w:lvlText w:val="%2."/>
      <w:lvlJc w:val="left"/>
      <w:pPr>
        <w:ind w:left="1440" w:hanging="360"/>
      </w:pPr>
    </w:lvl>
    <w:lvl w:ilvl="2">
      <w:start w:val="1"/>
      <w:numFmt w:val="decimal"/>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7">
    <w:lvl w:ilvl="0">
      <w:start w:val="1"/>
      <w:numFmt w:val="lowerLetter"/>
      <w:lvlText w:val="(%1)"/>
      <w:lvlJc w:val="left"/>
      <w:pPr>
        <w:ind w:left="720" w:hanging="360"/>
      </w:pPr>
      <w:rPr>
        <w:sz w:val="20"/>
      </w:rPr>
    </w:lvl>
    <w:lvl w:ilvl="1">
      <w:start w:val="1"/>
      <w:numFmt w:val="lowerRoman"/>
      <w:lvlText w:val="%2."/>
      <w:lvlJc w:val="left"/>
      <w:pPr>
        <w:ind w:left="1440" w:hanging="360"/>
      </w:pPr>
    </w:lvl>
    <w:lvl w:ilvl="2">
      <w:start w:val="1"/>
      <w:numFmt w:val="decimal"/>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8">
    <w:lvl w:ilvl="0">
      <w:start w:val="1"/>
      <w:numFmt w:val="lowerLetter"/>
      <w:lvlText w:val="(%1)"/>
      <w:lvlJc w:val="left"/>
      <w:pPr>
        <w:ind w:left="720" w:hanging="360"/>
      </w:pPr>
      <w:rPr>
        <w:sz w:val="20"/>
      </w:rPr>
    </w:lvl>
    <w:lvl w:ilvl="1">
      <w:start w:val="1"/>
      <w:numFmt w:val="lowerRoman"/>
      <w:lvlText w:val="%2."/>
      <w:lvlJc w:val="left"/>
      <w:pPr>
        <w:ind w:left="1440" w:hanging="360"/>
      </w:pPr>
    </w:lvl>
    <w:lvl w:ilvl="2">
      <w:start w:val="1"/>
      <w:numFmt w:val="decimal"/>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9">
    <w:lvl w:ilvl="0">
      <w:start w:val="1"/>
      <w:numFmt w:val="lowerLetter"/>
      <w:lvlText w:val="(%1)"/>
      <w:lvlJc w:val="left"/>
      <w:pPr>
        <w:ind w:left="720" w:hanging="360"/>
      </w:pPr>
      <w:rPr>
        <w:sz w:val="20"/>
      </w:rPr>
    </w:lvl>
    <w:lvl w:ilvl="1">
      <w:start w:val="1"/>
      <w:numFmt w:val="lowerRoman"/>
      <w:lvlText w:val="%2."/>
      <w:lvlJc w:val="left"/>
      <w:pPr>
        <w:ind w:left="1440" w:hanging="360"/>
      </w:pPr>
    </w:lvl>
    <w:lvl w:ilvl="2">
      <w:start w:val="1"/>
      <w:numFmt w:val="decimal"/>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0">
    <w:lvl w:ilvl="0">
      <w:start w:val="1"/>
      <w:numFmt w:val="lowerLetter"/>
      <w:lvlText w:val="(%1)"/>
      <w:lvlJc w:val="left"/>
      <w:pPr>
        <w:ind w:left="720" w:hanging="360"/>
      </w:pPr>
      <w:rPr>
        <w:sz w:val="20"/>
      </w:rPr>
    </w:lvl>
    <w:lvl w:ilvl="1">
      <w:start w:val="1"/>
      <w:numFmt w:val="lowerRoman"/>
      <w:lvlText w:val="%2."/>
      <w:lvlJc w:val="left"/>
      <w:pPr>
        <w:ind w:left="1440" w:hanging="360"/>
      </w:pPr>
    </w:lvl>
    <w:lvl w:ilvl="2">
      <w:start w:val="1"/>
      <w:numFmt w:val="decimal"/>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1">
    <w:lvl w:ilvl="0">
      <w:start w:val="1"/>
      <w:numFmt w:val="lowerLetter"/>
      <w:lvlText w:val="(%1)"/>
      <w:lvlJc w:val="left"/>
      <w:pPr>
        <w:ind w:left="720" w:hanging="360"/>
      </w:pPr>
      <w:rPr>
        <w:sz w:val="20"/>
      </w:rPr>
    </w:lvl>
    <w:lvl w:ilvl="1">
      <w:start w:val="1"/>
      <w:numFmt w:val="lowerRoman"/>
      <w:lvlText w:val="%2."/>
      <w:lvlJc w:val="left"/>
      <w:pPr>
        <w:ind w:left="1440" w:hanging="360"/>
      </w:pPr>
    </w:lvl>
    <w:lvl w:ilvl="2">
      <w:start w:val="1"/>
      <w:numFmt w:val="decimal"/>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2">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613">
    <w:lvl w:ilvl="0">
      <w:start w:val="1"/>
      <w:numFmt w:val="lowerLetter"/>
      <w:lvlText w:val="(%1)"/>
      <w:lvlJc w:val="left"/>
      <w:pPr>
        <w:ind w:left="720" w:hanging="360"/>
      </w:pPr>
      <w:rPr>
        <w:sz w:val="20"/>
      </w:rPr>
    </w:lvl>
    <w:lvl w:ilvl="1">
      <w:start w:val="1"/>
      <w:numFmt w:val="lowerRoman"/>
      <w:lvlText w:val="%2."/>
      <w:lvlJc w:val="left"/>
      <w:pPr>
        <w:ind w:left="1440" w:hanging="360"/>
      </w:pPr>
    </w:lvl>
    <w:lvl w:ilvl="2">
      <w:start w:val="1"/>
      <w:numFmt w:val="decimal"/>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4">
    <w:lvl w:ilvl="0">
      <w:start w:val="1"/>
      <w:numFmt w:val="lowerLetter"/>
      <w:lvlText w:val="(%1)"/>
      <w:lvlJc w:val="left"/>
      <w:pPr>
        <w:ind w:left="720" w:hanging="360"/>
      </w:pPr>
      <w:rPr>
        <w:sz w:val="20"/>
      </w:rPr>
    </w:lvl>
    <w:lvl w:ilvl="1">
      <w:start w:val="1"/>
      <w:numFmt w:val="lowerRoman"/>
      <w:lvlText w:val="%2."/>
      <w:lvlJc w:val="left"/>
      <w:pPr>
        <w:ind w:left="1440" w:hanging="360"/>
      </w:pPr>
    </w:lvl>
    <w:lvl w:ilvl="2">
      <w:start w:val="1"/>
      <w:numFmt w:val="decimal"/>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5">
    <w:lvl w:ilvl="0">
      <w:start w:val="1"/>
      <w:numFmt w:val="lowerLetter"/>
      <w:lvlText w:val="(%1)"/>
      <w:lvlJc w:val="left"/>
      <w:pPr>
        <w:ind w:left="720" w:hanging="360"/>
      </w:pPr>
      <w:rPr>
        <w:sz w:val="20"/>
      </w:rPr>
    </w:lvl>
    <w:lvl w:ilvl="1">
      <w:start w:val="1"/>
      <w:numFmt w:val="lowerRoman"/>
      <w:lvlText w:val="%2."/>
      <w:lvlJc w:val="left"/>
      <w:pPr>
        <w:ind w:left="1440" w:hanging="360"/>
      </w:pPr>
    </w:lvl>
    <w:lvl w:ilvl="2">
      <w:start w:val="1"/>
      <w:numFmt w:val="decimal"/>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6">
    <w:lvl w:ilvl="0">
      <w:start w:val="1"/>
      <w:numFmt w:val="lowerLetter"/>
      <w:lvlText w:val="(%1)"/>
      <w:lvlJc w:val="left"/>
      <w:pPr>
        <w:ind w:left="720" w:hanging="360"/>
      </w:pPr>
      <w:rPr>
        <w:sz w:val="20"/>
      </w:rPr>
    </w:lvl>
    <w:lvl w:ilvl="1">
      <w:start w:val="1"/>
      <w:numFmt w:val="lowerRoman"/>
      <w:lvlText w:val="%2."/>
      <w:lvlJc w:val="left"/>
      <w:pPr>
        <w:ind w:left="1440" w:hanging="360"/>
      </w:pPr>
    </w:lvl>
    <w:lvl w:ilvl="2">
      <w:start w:val="1"/>
      <w:numFmt w:val="decimal"/>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7">
    <w:lvl w:ilvl="0">
      <w:start w:val="1"/>
      <w:numFmt w:val="lowerLetter"/>
      <w:lvlText w:val="(%1)"/>
      <w:lvlJc w:val="left"/>
      <w:pPr>
        <w:ind w:left="720" w:hanging="360"/>
      </w:pPr>
      <w:rPr>
        <w:sz w:val="20"/>
      </w:rPr>
    </w:lvl>
    <w:lvl w:ilvl="1">
      <w:start w:val="1"/>
      <w:numFmt w:val="lowerRoman"/>
      <w:lvlText w:val="%2."/>
      <w:lvlJc w:val="left"/>
      <w:pPr>
        <w:ind w:left="1440" w:hanging="360"/>
      </w:pPr>
    </w:lvl>
    <w:lvl w:ilvl="2">
      <w:start w:val="1"/>
      <w:numFmt w:val="decimal"/>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8">
    <w:lvl w:ilvl="0">
      <w:start w:val="1"/>
      <w:numFmt w:val="lowerLetter"/>
      <w:lvlText w:val="(%1)"/>
      <w:lvlJc w:val="left"/>
      <w:pPr>
        <w:ind w:left="720" w:hanging="360"/>
      </w:pPr>
      <w:rPr>
        <w:sz w:val="20"/>
      </w:rPr>
    </w:lvl>
    <w:lvl w:ilvl="1">
      <w:start w:val="1"/>
      <w:numFmt w:val="lowerRoman"/>
      <w:lvlText w:val="%2."/>
      <w:lvlJc w:val="left"/>
      <w:pPr>
        <w:ind w:left="1440" w:hanging="360"/>
      </w:pPr>
    </w:lvl>
    <w:lvl w:ilvl="2">
      <w:start w:val="1"/>
      <w:numFmt w:val="decimal"/>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9">
    <w:lvl w:ilvl="0">
      <w:start w:val="1"/>
      <w:numFmt w:val="lowerLetter"/>
      <w:lvlText w:val="(%1)"/>
      <w:lvlJc w:val="left"/>
      <w:pPr>
        <w:ind w:left="720" w:hanging="360"/>
      </w:pPr>
      <w:rPr>
        <w:sz w:val="20"/>
      </w:rPr>
    </w:lvl>
    <w:lvl w:ilvl="1">
      <w:start w:val="1"/>
      <w:numFmt w:val="lowerRoman"/>
      <w:lvlText w:val="%2."/>
      <w:lvlJc w:val="left"/>
      <w:pPr>
        <w:ind w:left="1440" w:hanging="360"/>
      </w:pPr>
    </w:lvl>
    <w:lvl w:ilvl="2">
      <w:start w:val="1"/>
      <w:numFmt w:val="decimal"/>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0">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621">
    <w:lvl w:ilvl="0">
      <w:start w:val="1"/>
      <w:numFmt w:val="lowerLetter"/>
      <w:lvlText w:val="(%1)"/>
      <w:lvlJc w:val="left"/>
      <w:pPr>
        <w:ind w:left="720" w:hanging="360"/>
      </w:pPr>
      <w:rPr>
        <w:sz w:val="20"/>
      </w:rPr>
    </w:lvl>
    <w:lvl w:ilvl="1">
      <w:start w:val="1"/>
      <w:numFmt w:val="lowerRoman"/>
      <w:lvlText w:val="%2."/>
      <w:lvlJc w:val="left"/>
      <w:pPr>
        <w:ind w:left="1440" w:hanging="360"/>
      </w:pPr>
    </w:lvl>
    <w:lvl w:ilvl="2">
      <w:start w:val="1"/>
      <w:numFmt w:val="decimal"/>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2">
    <w:lvl w:ilvl="0">
      <w:start w:val="1"/>
      <w:numFmt w:val="lowerLetter"/>
      <w:lvlText w:val="(%1)"/>
      <w:lvlJc w:val="left"/>
      <w:pPr>
        <w:ind w:left="720" w:hanging="360"/>
      </w:pPr>
      <w:rPr>
        <w:sz w:val="20"/>
      </w:rPr>
    </w:lvl>
    <w:lvl w:ilvl="1">
      <w:start w:val="1"/>
      <w:numFmt w:val="lowerRoman"/>
      <w:lvlText w:val="%2."/>
      <w:lvlJc w:val="left"/>
      <w:pPr>
        <w:ind w:left="1440" w:hanging="360"/>
      </w:pPr>
    </w:lvl>
    <w:lvl w:ilvl="2">
      <w:start w:val="1"/>
      <w:numFmt w:val="decimal"/>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3">
    <w:lvl w:ilvl="0">
      <w:start w:val="1"/>
      <w:numFmt w:val="bullet"/>
      <w:lvlText w:val=""/>
      <w:lvlJc w:val="left"/>
      <w:pPr>
        <w:ind w:left="765" w:hanging="360"/>
      </w:pPr>
      <w:rPr>
        <w:rFonts w:ascii="Wingdings" w:hAnsi="Wingdings" w:cs="Wingdings" w:hint="default"/>
        <w:rFonts w:cs="Wingdings"/>
      </w:rPr>
    </w:lvl>
    <w:lvl w:ilvl="1">
      <w:start w:val="1"/>
      <w:numFmt w:val="bullet"/>
      <w:lvlText w:val="o"/>
      <w:lvlJc w:val="left"/>
      <w:pPr>
        <w:ind w:left="1485" w:hanging="360"/>
      </w:pPr>
      <w:rPr>
        <w:rFonts w:ascii="Courier New" w:hAnsi="Courier New" w:cs="Courier New" w:hint="default"/>
        <w:rFonts w:cs="Courier New"/>
      </w:rPr>
    </w:lvl>
    <w:lvl w:ilvl="2">
      <w:start w:val="1"/>
      <w:numFmt w:val="bullet"/>
      <w:lvlText w:val=""/>
      <w:lvlJc w:val="left"/>
      <w:pPr>
        <w:ind w:left="2205" w:hanging="360"/>
      </w:pPr>
      <w:rPr>
        <w:rFonts w:ascii="Wingdings" w:hAnsi="Wingdings" w:cs="Wingdings" w:hint="default"/>
        <w:rFonts w:cs="Wingdings"/>
      </w:rPr>
    </w:lvl>
    <w:lvl w:ilvl="3">
      <w:start w:val="1"/>
      <w:numFmt w:val="bullet"/>
      <w:lvlText w:val=""/>
      <w:lvlJc w:val="left"/>
      <w:pPr>
        <w:ind w:left="2925" w:hanging="360"/>
      </w:pPr>
      <w:rPr>
        <w:rFonts w:ascii="Symbol" w:hAnsi="Symbol" w:cs="Symbol" w:hint="default"/>
        <w:rFonts w:cs="Symbol"/>
      </w:rPr>
    </w:lvl>
    <w:lvl w:ilvl="4">
      <w:start w:val="1"/>
      <w:numFmt w:val="bullet"/>
      <w:lvlText w:val="o"/>
      <w:lvlJc w:val="left"/>
      <w:pPr>
        <w:ind w:left="3645" w:hanging="360"/>
      </w:pPr>
      <w:rPr>
        <w:rFonts w:ascii="Courier New" w:hAnsi="Courier New" w:cs="Courier New" w:hint="default"/>
        <w:rFonts w:cs="Courier New"/>
      </w:rPr>
    </w:lvl>
    <w:lvl w:ilvl="5">
      <w:start w:val="1"/>
      <w:numFmt w:val="bullet"/>
      <w:lvlText w:val=""/>
      <w:lvlJc w:val="left"/>
      <w:pPr>
        <w:ind w:left="4365" w:hanging="360"/>
      </w:pPr>
      <w:rPr>
        <w:rFonts w:ascii="Wingdings" w:hAnsi="Wingdings" w:cs="Wingdings" w:hint="default"/>
        <w:rFonts w:cs="Wingdings"/>
      </w:rPr>
    </w:lvl>
    <w:lvl w:ilvl="6">
      <w:start w:val="1"/>
      <w:numFmt w:val="bullet"/>
      <w:lvlText w:val=""/>
      <w:lvlJc w:val="left"/>
      <w:pPr>
        <w:ind w:left="5085" w:hanging="360"/>
      </w:pPr>
      <w:rPr>
        <w:rFonts w:ascii="Symbol" w:hAnsi="Symbol" w:cs="Symbol" w:hint="default"/>
        <w:rFonts w:cs="Symbol"/>
      </w:rPr>
    </w:lvl>
    <w:lvl w:ilvl="7">
      <w:start w:val="1"/>
      <w:numFmt w:val="bullet"/>
      <w:lvlText w:val="o"/>
      <w:lvlJc w:val="left"/>
      <w:pPr>
        <w:ind w:left="5805" w:hanging="360"/>
      </w:pPr>
      <w:rPr>
        <w:rFonts w:ascii="Courier New" w:hAnsi="Courier New" w:cs="Courier New" w:hint="default"/>
        <w:rFonts w:cs="Courier New"/>
      </w:rPr>
    </w:lvl>
    <w:lvl w:ilvl="8">
      <w:start w:val="1"/>
      <w:numFmt w:val="bullet"/>
      <w:lvlText w:val=""/>
      <w:lvlJc w:val="left"/>
      <w:pPr>
        <w:ind w:left="6525" w:hanging="360"/>
      </w:pPr>
      <w:rPr>
        <w:rFonts w:ascii="Wingdings" w:hAnsi="Wingdings" w:cs="Wingdings" w:hint="default"/>
        <w:rFonts w:cs="Wingdings"/>
      </w:rPr>
    </w:lvl>
  </w:abstractNum>
  <w:abstractNum w:abstractNumId="624">
    <w:lvl w:ilvl="0">
      <w:start w:val="1"/>
      <w:numFmt w:val="lowerLetter"/>
      <w:lvlText w:val="(%1)"/>
      <w:lvlJc w:val="left"/>
      <w:pPr>
        <w:ind w:left="720" w:hanging="360"/>
      </w:pPr>
      <w:rPr>
        <w:sz w:val="20"/>
      </w:rPr>
    </w:lvl>
    <w:lvl w:ilvl="1">
      <w:start w:val="1"/>
      <w:numFmt w:val="lowerRoman"/>
      <w:lvlText w:val="%2."/>
      <w:lvlJc w:val="left"/>
      <w:pPr>
        <w:ind w:left="1440" w:hanging="360"/>
      </w:pPr>
    </w:lvl>
    <w:lvl w:ilvl="2">
      <w:start w:val="1"/>
      <w:numFmt w:val="decimal"/>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5">
    <w:lvl w:ilvl="0">
      <w:start w:val="1"/>
      <w:numFmt w:val="lowerLetter"/>
      <w:lvlText w:val="(%1)"/>
      <w:lvlJc w:val="left"/>
      <w:pPr>
        <w:ind w:left="720" w:hanging="360"/>
      </w:pPr>
      <w:rPr>
        <w:sz w:val="20"/>
      </w:rPr>
    </w:lvl>
    <w:lvl w:ilvl="1">
      <w:start w:val="1"/>
      <w:numFmt w:val="lowerRoman"/>
      <w:lvlText w:val="%2."/>
      <w:lvlJc w:val="left"/>
      <w:pPr>
        <w:ind w:left="1440" w:hanging="360"/>
      </w:pPr>
    </w:lvl>
    <w:lvl w:ilvl="2">
      <w:start w:val="1"/>
      <w:numFmt w:val="decimal"/>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6">
    <w:lvl w:ilvl="0">
      <w:start w:val="1"/>
      <w:numFmt w:val="lowerLetter"/>
      <w:lvlText w:val="(%1)"/>
      <w:lvlJc w:val="left"/>
      <w:pPr>
        <w:ind w:left="720" w:hanging="360"/>
      </w:pPr>
      <w:rPr>
        <w:sz w:val="20"/>
      </w:rPr>
    </w:lvl>
    <w:lvl w:ilvl="1">
      <w:start w:val="1"/>
      <w:numFmt w:val="lowerRoman"/>
      <w:lvlText w:val="%2."/>
      <w:lvlJc w:val="left"/>
      <w:pPr>
        <w:ind w:left="1440" w:hanging="360"/>
      </w:pPr>
    </w:lvl>
    <w:lvl w:ilvl="2">
      <w:start w:val="1"/>
      <w:numFmt w:val="decimal"/>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7">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628">
    <w:lvl w:ilvl="0">
      <w:start w:val="1"/>
      <w:numFmt w:val="lowerLetter"/>
      <w:lvlText w:val="(%1)"/>
      <w:lvlJc w:val="left"/>
      <w:pPr>
        <w:ind w:left="720" w:hanging="360"/>
      </w:pPr>
      <w:rPr>
        <w:sz w:val="20"/>
      </w:rPr>
    </w:lvl>
    <w:lvl w:ilvl="1">
      <w:start w:val="1"/>
      <w:numFmt w:val="lowerRoman"/>
      <w:lvlText w:val="%2."/>
      <w:lvlJc w:val="left"/>
      <w:pPr>
        <w:ind w:left="1440" w:hanging="360"/>
      </w:pPr>
    </w:lvl>
    <w:lvl w:ilvl="2">
      <w:start w:val="1"/>
      <w:numFmt w:val="decimal"/>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9">
    <w:lvl w:ilvl="0">
      <w:start w:val="1"/>
      <w:numFmt w:val="lowerLetter"/>
      <w:lvlText w:val="(%1)"/>
      <w:lvlJc w:val="left"/>
      <w:pPr>
        <w:ind w:left="720" w:hanging="360"/>
      </w:pPr>
      <w:rPr>
        <w:sz w:val="20"/>
      </w:rPr>
    </w:lvl>
    <w:lvl w:ilvl="1">
      <w:start w:val="1"/>
      <w:numFmt w:val="lowerRoman"/>
      <w:lvlText w:val="%2."/>
      <w:lvlJc w:val="left"/>
      <w:pPr>
        <w:ind w:left="1440" w:hanging="360"/>
      </w:pPr>
    </w:lvl>
    <w:lvl w:ilvl="2">
      <w:start w:val="1"/>
      <w:numFmt w:val="decimal"/>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0">
    <w:lvl w:ilvl="0">
      <w:start w:val="1"/>
      <w:numFmt w:val="lowerLetter"/>
      <w:lvlText w:val="(%1)"/>
      <w:lvlJc w:val="left"/>
      <w:pPr>
        <w:ind w:left="720" w:hanging="360"/>
      </w:pPr>
      <w:rPr>
        <w:sz w:val="20"/>
      </w:rPr>
    </w:lvl>
    <w:lvl w:ilvl="1">
      <w:start w:val="1"/>
      <w:numFmt w:val="lowerRoman"/>
      <w:lvlText w:val="%2."/>
      <w:lvlJc w:val="left"/>
      <w:pPr>
        <w:ind w:left="1440" w:hanging="360"/>
      </w:pPr>
    </w:lvl>
    <w:lvl w:ilvl="2">
      <w:start w:val="1"/>
      <w:numFmt w:val="decimal"/>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1">
    <w:lvl w:ilvl="0">
      <w:start w:val="1"/>
      <w:numFmt w:val="lowerLetter"/>
      <w:lvlText w:val="(%1)"/>
      <w:lvlJc w:val="left"/>
      <w:pPr>
        <w:ind w:left="720" w:hanging="360"/>
      </w:pPr>
      <w:rPr>
        <w:sz w:val="20"/>
      </w:rPr>
    </w:lvl>
    <w:lvl w:ilvl="1">
      <w:start w:val="1"/>
      <w:numFmt w:val="lowerRoman"/>
      <w:lvlText w:val="%2."/>
      <w:lvlJc w:val="left"/>
      <w:pPr>
        <w:ind w:left="1440" w:hanging="360"/>
      </w:pPr>
    </w:lvl>
    <w:lvl w:ilvl="2">
      <w:start w:val="1"/>
      <w:numFmt w:val="decimal"/>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2">
    <w:lvl w:ilvl="0">
      <w:start w:val="1"/>
      <w:numFmt w:val="lowerLetter"/>
      <w:lvlText w:val="(%1)"/>
      <w:lvlJc w:val="left"/>
      <w:pPr>
        <w:ind w:left="720" w:hanging="360"/>
      </w:pPr>
      <w:rPr>
        <w:sz w:val="20"/>
      </w:rPr>
    </w:lvl>
    <w:lvl w:ilvl="1">
      <w:start w:val="1"/>
      <w:numFmt w:val="lowerRoman"/>
      <w:lvlText w:val="%2."/>
      <w:lvlJc w:val="left"/>
      <w:pPr>
        <w:ind w:left="1440" w:hanging="360"/>
      </w:pPr>
    </w:lvl>
    <w:lvl w:ilvl="2">
      <w:start w:val="1"/>
      <w:numFmt w:val="decimal"/>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3">
    <w:lvl w:ilvl="0">
      <w:start w:val="1"/>
      <w:numFmt w:val="lowerLetter"/>
      <w:lvlText w:val="(%1)"/>
      <w:lvlJc w:val="left"/>
      <w:pPr>
        <w:ind w:left="720" w:hanging="360"/>
      </w:pPr>
      <w:rPr>
        <w:sz w:val="20"/>
      </w:rPr>
    </w:lvl>
    <w:lvl w:ilvl="1">
      <w:start w:val="1"/>
      <w:numFmt w:val="lowerRoman"/>
      <w:lvlText w:val="%2."/>
      <w:lvlJc w:val="left"/>
      <w:pPr>
        <w:ind w:left="1440" w:hanging="360"/>
      </w:pPr>
    </w:lvl>
    <w:lvl w:ilvl="2">
      <w:start w:val="1"/>
      <w:numFmt w:val="decimal"/>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4">
    <w:lvl w:ilvl="0">
      <w:start w:val="1"/>
      <w:numFmt w:val="lowerLetter"/>
      <w:lvlText w:val="(%1)"/>
      <w:lvlJc w:val="left"/>
      <w:pPr>
        <w:ind w:left="720" w:hanging="360"/>
      </w:pPr>
      <w:rPr>
        <w:sz w:val="20"/>
      </w:rPr>
    </w:lvl>
    <w:lvl w:ilvl="1">
      <w:start w:val="1"/>
      <w:numFmt w:val="lowerRoman"/>
      <w:lvlText w:val="%2."/>
      <w:lvlJc w:val="left"/>
      <w:pPr>
        <w:ind w:left="1440" w:hanging="360"/>
      </w:pPr>
    </w:lvl>
    <w:lvl w:ilvl="2">
      <w:start w:val="1"/>
      <w:numFmt w:val="decimal"/>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5">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636">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637">
    <w:lvl w:ilvl="0">
      <w:start w:val="1"/>
      <w:numFmt w:val="lowerLetter"/>
      <w:lvlText w:val="(%1)"/>
      <w:lvlJc w:val="left"/>
      <w:pPr>
        <w:ind w:left="720" w:hanging="360"/>
      </w:pPr>
      <w:rPr>
        <w:sz w:val="20"/>
      </w:rPr>
    </w:lvl>
    <w:lvl w:ilvl="1">
      <w:start w:val="1"/>
      <w:numFmt w:val="lowerRoman"/>
      <w:lvlText w:val="%2."/>
      <w:lvlJc w:val="left"/>
      <w:pPr>
        <w:ind w:left="1440" w:hanging="360"/>
      </w:pPr>
    </w:lvl>
    <w:lvl w:ilvl="2">
      <w:start w:val="1"/>
      <w:numFmt w:val="decimal"/>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8">
    <w:lvl w:ilvl="0">
      <w:start w:val="1"/>
      <w:numFmt w:val="lowerLetter"/>
      <w:lvlText w:val="(%1)"/>
      <w:lvlJc w:val="left"/>
      <w:pPr>
        <w:ind w:left="720" w:hanging="360"/>
      </w:pPr>
      <w:rPr>
        <w:sz w:val="20"/>
      </w:rPr>
    </w:lvl>
    <w:lvl w:ilvl="1">
      <w:start w:val="1"/>
      <w:numFmt w:val="lowerRoman"/>
      <w:lvlText w:val="%2."/>
      <w:lvlJc w:val="left"/>
      <w:pPr>
        <w:ind w:left="1440" w:hanging="360"/>
      </w:pPr>
    </w:lvl>
    <w:lvl w:ilvl="2">
      <w:start w:val="1"/>
      <w:numFmt w:val="decimal"/>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9">
    <w:lvl w:ilvl="0">
      <w:start w:val="1"/>
      <w:numFmt w:val="lowerLetter"/>
      <w:lvlText w:val="(%1)"/>
      <w:lvlJc w:val="left"/>
      <w:pPr>
        <w:ind w:left="720" w:hanging="360"/>
      </w:pPr>
      <w:rPr>
        <w:sz w:val="20"/>
      </w:rPr>
    </w:lvl>
    <w:lvl w:ilvl="1">
      <w:start w:val="1"/>
      <w:numFmt w:val="lowerRoman"/>
      <w:lvlText w:val="%2."/>
      <w:lvlJc w:val="left"/>
      <w:pPr>
        <w:ind w:left="1440" w:hanging="360"/>
      </w:pPr>
    </w:lvl>
    <w:lvl w:ilvl="2">
      <w:start w:val="1"/>
      <w:numFmt w:val="decimal"/>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0">
    <w:lvl w:ilvl="0">
      <w:start w:val="1"/>
      <w:numFmt w:val="lowerLetter"/>
      <w:lvlText w:val="(%1)"/>
      <w:lvlJc w:val="left"/>
      <w:pPr>
        <w:ind w:left="720" w:hanging="360"/>
      </w:pPr>
      <w:rPr>
        <w:sz w:val="20"/>
      </w:rPr>
    </w:lvl>
    <w:lvl w:ilvl="1">
      <w:start w:val="1"/>
      <w:numFmt w:val="lowerRoman"/>
      <w:lvlText w:val="%2."/>
      <w:lvlJc w:val="left"/>
      <w:pPr>
        <w:ind w:left="1440" w:hanging="360"/>
      </w:pPr>
    </w:lvl>
    <w:lvl w:ilvl="2">
      <w:start w:val="1"/>
      <w:numFmt w:val="decimal"/>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1">
    <w:lvl w:ilvl="0">
      <w:start w:val="1"/>
      <w:numFmt w:val="lowerLetter"/>
      <w:lvlText w:val="(%1)"/>
      <w:lvlJc w:val="left"/>
      <w:pPr>
        <w:ind w:left="720" w:hanging="360"/>
      </w:pPr>
      <w:rPr>
        <w:sz w:val="20"/>
      </w:rPr>
    </w:lvl>
    <w:lvl w:ilvl="1">
      <w:start w:val="1"/>
      <w:numFmt w:val="lowerRoman"/>
      <w:lvlText w:val="%2."/>
      <w:lvlJc w:val="left"/>
      <w:pPr>
        <w:ind w:left="1440" w:hanging="360"/>
      </w:pPr>
    </w:lvl>
    <w:lvl w:ilvl="2">
      <w:start w:val="1"/>
      <w:numFmt w:val="decimal"/>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2">
    <w:lvl w:ilvl="0">
      <w:start w:val="1"/>
      <w:numFmt w:val="lowerLetter"/>
      <w:lvlText w:val="(%1)"/>
      <w:lvlJc w:val="left"/>
      <w:pPr>
        <w:ind w:left="720" w:hanging="360"/>
      </w:pPr>
      <w:rPr>
        <w:sz w:val="20"/>
      </w:rPr>
    </w:lvl>
    <w:lvl w:ilvl="1">
      <w:start w:val="1"/>
      <w:numFmt w:val="lowerRoman"/>
      <w:lvlText w:val="%2."/>
      <w:lvlJc w:val="left"/>
      <w:pPr>
        <w:ind w:left="1440" w:hanging="360"/>
      </w:pPr>
    </w:lvl>
    <w:lvl w:ilvl="2">
      <w:start w:val="1"/>
      <w:numFmt w:val="decimal"/>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3">
    <w:lvl w:ilvl="0">
      <w:start w:val="1"/>
      <w:numFmt w:val="lowerLetter"/>
      <w:lvlText w:val="(%1)"/>
      <w:lvlJc w:val="left"/>
      <w:pPr>
        <w:ind w:left="720" w:hanging="360"/>
      </w:pPr>
      <w:rPr>
        <w:sz w:val="20"/>
      </w:rPr>
    </w:lvl>
    <w:lvl w:ilvl="1">
      <w:start w:val="1"/>
      <w:numFmt w:val="lowerRoman"/>
      <w:lvlText w:val="%2."/>
      <w:lvlJc w:val="left"/>
      <w:pPr>
        <w:ind w:left="1440" w:hanging="360"/>
      </w:pPr>
    </w:lvl>
    <w:lvl w:ilvl="2">
      <w:start w:val="1"/>
      <w:numFmt w:val="decimal"/>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4">
    <w:lvl w:ilvl="0">
      <w:start w:val="1"/>
      <w:numFmt w:val="lowerLetter"/>
      <w:lvlText w:val="(%1)"/>
      <w:lvlJc w:val="left"/>
      <w:pPr>
        <w:ind w:left="720" w:hanging="360"/>
      </w:pPr>
      <w:rPr>
        <w:sz w:val="20"/>
      </w:rPr>
    </w:lvl>
    <w:lvl w:ilvl="1">
      <w:start w:val="1"/>
      <w:numFmt w:val="lowerRoman"/>
      <w:lvlText w:val="%2."/>
      <w:lvlJc w:val="left"/>
      <w:pPr>
        <w:ind w:left="1440" w:hanging="360"/>
      </w:pPr>
    </w:lvl>
    <w:lvl w:ilvl="2">
      <w:start w:val="1"/>
      <w:numFmt w:val="decimal"/>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5">
    <w:lvl w:ilvl="0">
      <w:start w:val="1"/>
      <w:numFmt w:val="lowerLetter"/>
      <w:lvlText w:val="(%1)"/>
      <w:lvlJc w:val="left"/>
      <w:pPr>
        <w:ind w:left="720" w:hanging="360"/>
      </w:pPr>
      <w:rPr>
        <w:sz w:val="20"/>
      </w:rPr>
    </w:lvl>
    <w:lvl w:ilvl="1">
      <w:start w:val="1"/>
      <w:numFmt w:val="lowerRoman"/>
      <w:lvlText w:val="%2."/>
      <w:lvlJc w:val="left"/>
      <w:pPr>
        <w:ind w:left="1440" w:hanging="360"/>
      </w:pPr>
    </w:lvl>
    <w:lvl w:ilvl="2">
      <w:start w:val="1"/>
      <w:numFmt w:val="decimal"/>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6">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647">
    <w:lvl w:ilvl="0">
      <w:start w:val="1"/>
      <w:numFmt w:val="lowerLetter"/>
      <w:lvlText w:val="(%1)"/>
      <w:lvlJc w:val="left"/>
      <w:pPr>
        <w:ind w:left="720" w:hanging="360"/>
      </w:pPr>
      <w:rPr>
        <w:sz w:val="20"/>
      </w:rPr>
    </w:lvl>
    <w:lvl w:ilvl="1">
      <w:start w:val="1"/>
      <w:numFmt w:val="lowerRoman"/>
      <w:lvlText w:val="%2."/>
      <w:lvlJc w:val="left"/>
      <w:pPr>
        <w:ind w:left="1440" w:hanging="360"/>
      </w:pPr>
    </w:lvl>
    <w:lvl w:ilvl="2">
      <w:start w:val="1"/>
      <w:numFmt w:val="decimal"/>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8">
    <w:lvl w:ilvl="0">
      <w:start w:val="1"/>
      <w:numFmt w:val="lowerLetter"/>
      <w:lvlText w:val="(%1)"/>
      <w:lvlJc w:val="left"/>
      <w:pPr>
        <w:ind w:left="720" w:hanging="360"/>
      </w:pPr>
      <w:rPr>
        <w:sz w:val="20"/>
      </w:rPr>
    </w:lvl>
    <w:lvl w:ilvl="1">
      <w:start w:val="1"/>
      <w:numFmt w:val="lowerRoman"/>
      <w:lvlText w:val="%2."/>
      <w:lvlJc w:val="left"/>
      <w:pPr>
        <w:ind w:left="1440" w:hanging="360"/>
      </w:pPr>
    </w:lvl>
    <w:lvl w:ilvl="2">
      <w:start w:val="1"/>
      <w:numFmt w:val="decimal"/>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9">
    <w:lvl w:ilvl="0">
      <w:start w:val="1"/>
      <w:numFmt w:val="lowerLetter"/>
      <w:lvlText w:val="(%1)"/>
      <w:lvlJc w:val="left"/>
      <w:pPr>
        <w:ind w:left="720" w:hanging="360"/>
      </w:pPr>
      <w:rPr>
        <w:sz w:val="20"/>
      </w:rPr>
    </w:lvl>
    <w:lvl w:ilvl="1">
      <w:start w:val="1"/>
      <w:numFmt w:val="lowerRoman"/>
      <w:lvlText w:val="%2."/>
      <w:lvlJc w:val="left"/>
      <w:pPr>
        <w:ind w:left="1440" w:hanging="360"/>
      </w:pPr>
    </w:lvl>
    <w:lvl w:ilvl="2">
      <w:start w:val="1"/>
      <w:numFmt w:val="decimal"/>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0">
    <w:lvl w:ilvl="0">
      <w:start w:val="1"/>
      <w:numFmt w:val="lowerLetter"/>
      <w:lvlText w:val="(%1)"/>
      <w:lvlJc w:val="left"/>
      <w:pPr>
        <w:ind w:left="720" w:hanging="360"/>
      </w:pPr>
      <w:rPr>
        <w:sz w:val="20"/>
      </w:rPr>
    </w:lvl>
    <w:lvl w:ilvl="1">
      <w:start w:val="1"/>
      <w:numFmt w:val="lowerRoman"/>
      <w:lvlText w:val="%2."/>
      <w:lvlJc w:val="left"/>
      <w:pPr>
        <w:ind w:left="1440" w:hanging="360"/>
      </w:pPr>
    </w:lvl>
    <w:lvl w:ilvl="2">
      <w:start w:val="1"/>
      <w:numFmt w:val="decimal"/>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1">
    <w:lvl w:ilvl="0">
      <w:start w:val="1"/>
      <w:numFmt w:val="lowerLetter"/>
      <w:lvlText w:val="(%1)"/>
      <w:lvlJc w:val="left"/>
      <w:pPr>
        <w:ind w:left="720" w:hanging="360"/>
      </w:pPr>
      <w:rPr>
        <w:sz w:val="20"/>
      </w:rPr>
    </w:lvl>
    <w:lvl w:ilvl="1">
      <w:start w:val="1"/>
      <w:numFmt w:val="lowerRoman"/>
      <w:lvlText w:val="%2."/>
      <w:lvlJc w:val="left"/>
      <w:pPr>
        <w:ind w:left="1440" w:hanging="360"/>
      </w:pPr>
    </w:lvl>
    <w:lvl w:ilvl="2">
      <w:start w:val="1"/>
      <w:numFmt w:val="decimal"/>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2">
    <w:lvl w:ilvl="0">
      <w:start w:val="1"/>
      <w:numFmt w:val="lowerLetter"/>
      <w:lvlText w:val="(%1)"/>
      <w:lvlJc w:val="left"/>
      <w:pPr>
        <w:ind w:left="720" w:hanging="360"/>
      </w:pPr>
      <w:rPr>
        <w:sz w:val="20"/>
      </w:rPr>
    </w:lvl>
    <w:lvl w:ilvl="1">
      <w:start w:val="1"/>
      <w:numFmt w:val="lowerRoman"/>
      <w:lvlText w:val="%2."/>
      <w:lvlJc w:val="left"/>
      <w:pPr>
        <w:ind w:left="1440" w:hanging="360"/>
      </w:pPr>
    </w:lvl>
    <w:lvl w:ilvl="2">
      <w:start w:val="1"/>
      <w:numFmt w:val="decimal"/>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3">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654">
    <w:lvl w:ilvl="0">
      <w:start w:val="1"/>
      <w:numFmt w:val="lowerLetter"/>
      <w:lvlText w:val="(%1)"/>
      <w:lvlJc w:val="left"/>
      <w:pPr>
        <w:ind w:left="720" w:hanging="360"/>
      </w:pPr>
      <w:rPr>
        <w:sz w:val="20"/>
      </w:rPr>
    </w:lvl>
    <w:lvl w:ilvl="1">
      <w:start w:val="1"/>
      <w:numFmt w:val="lowerRoman"/>
      <w:lvlText w:val="%2."/>
      <w:lvlJc w:val="left"/>
      <w:pPr>
        <w:ind w:left="1440" w:hanging="360"/>
      </w:pPr>
    </w:lvl>
    <w:lvl w:ilvl="2">
      <w:start w:val="1"/>
      <w:numFmt w:val="decimal"/>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5">
    <w:lvl w:ilvl="0">
      <w:start w:val="1"/>
      <w:numFmt w:val="lowerLetter"/>
      <w:lvlText w:val="(%1)"/>
      <w:lvlJc w:val="left"/>
      <w:pPr>
        <w:ind w:left="720" w:hanging="360"/>
      </w:pPr>
      <w:rPr>
        <w:sz w:val="20"/>
      </w:rPr>
    </w:lvl>
    <w:lvl w:ilvl="1">
      <w:start w:val="1"/>
      <w:numFmt w:val="lowerRoman"/>
      <w:lvlText w:val="%2."/>
      <w:lvlJc w:val="left"/>
      <w:pPr>
        <w:ind w:left="1440" w:hanging="360"/>
      </w:pPr>
    </w:lvl>
    <w:lvl w:ilvl="2">
      <w:start w:val="1"/>
      <w:numFmt w:val="decimal"/>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6">
    <w:lvl w:ilvl="0">
      <w:start w:val="1"/>
      <w:numFmt w:val="lowerLetter"/>
      <w:lvlText w:val="(%1)"/>
      <w:lvlJc w:val="left"/>
      <w:pPr>
        <w:ind w:left="720" w:hanging="360"/>
      </w:pPr>
      <w:rPr>
        <w:sz w:val="20"/>
      </w:rPr>
    </w:lvl>
    <w:lvl w:ilvl="1">
      <w:start w:val="1"/>
      <w:numFmt w:val="lowerRoman"/>
      <w:lvlText w:val="%2."/>
      <w:lvlJc w:val="left"/>
      <w:pPr>
        <w:ind w:left="1440" w:hanging="360"/>
      </w:pPr>
    </w:lvl>
    <w:lvl w:ilvl="2">
      <w:start w:val="1"/>
      <w:numFmt w:val="decimal"/>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7">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658">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9">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0">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661">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2">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3">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4">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5">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6">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667">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8">
    <w:lvl w:ilvl="0">
      <w:start w:val="1"/>
      <w:numFmt w:val="bullet"/>
      <w:lvlText w:val=""/>
      <w:lvlJc w:val="left"/>
      <w:pPr>
        <w:ind w:left="765" w:hanging="360"/>
      </w:pPr>
      <w:rPr>
        <w:rFonts w:ascii="Wingdings" w:hAnsi="Wingdings" w:cs="Wingdings" w:hint="default"/>
        <w:rFonts w:cs="Wingdings"/>
      </w:rPr>
    </w:lvl>
    <w:lvl w:ilvl="1">
      <w:start w:val="1"/>
      <w:numFmt w:val="bullet"/>
      <w:lvlText w:val="o"/>
      <w:lvlJc w:val="left"/>
      <w:pPr>
        <w:ind w:left="1485" w:hanging="360"/>
      </w:pPr>
      <w:rPr>
        <w:rFonts w:ascii="Courier New" w:hAnsi="Courier New" w:cs="Courier New" w:hint="default"/>
        <w:rFonts w:cs="Courier New"/>
      </w:rPr>
    </w:lvl>
    <w:lvl w:ilvl="2">
      <w:start w:val="1"/>
      <w:numFmt w:val="bullet"/>
      <w:lvlText w:val=""/>
      <w:lvlJc w:val="left"/>
      <w:pPr>
        <w:ind w:left="2205" w:hanging="360"/>
      </w:pPr>
      <w:rPr>
        <w:rFonts w:ascii="Wingdings" w:hAnsi="Wingdings" w:cs="Wingdings" w:hint="default"/>
        <w:rFonts w:cs="Wingdings"/>
      </w:rPr>
    </w:lvl>
    <w:lvl w:ilvl="3">
      <w:start w:val="1"/>
      <w:numFmt w:val="bullet"/>
      <w:lvlText w:val=""/>
      <w:lvlJc w:val="left"/>
      <w:pPr>
        <w:ind w:left="2925" w:hanging="360"/>
      </w:pPr>
      <w:rPr>
        <w:rFonts w:ascii="Symbol" w:hAnsi="Symbol" w:cs="Symbol" w:hint="default"/>
        <w:rFonts w:cs="Symbol"/>
      </w:rPr>
    </w:lvl>
    <w:lvl w:ilvl="4">
      <w:start w:val="1"/>
      <w:numFmt w:val="bullet"/>
      <w:lvlText w:val="o"/>
      <w:lvlJc w:val="left"/>
      <w:pPr>
        <w:ind w:left="3645" w:hanging="360"/>
      </w:pPr>
      <w:rPr>
        <w:rFonts w:ascii="Courier New" w:hAnsi="Courier New" w:cs="Courier New" w:hint="default"/>
        <w:rFonts w:cs="Courier New"/>
      </w:rPr>
    </w:lvl>
    <w:lvl w:ilvl="5">
      <w:start w:val="1"/>
      <w:numFmt w:val="bullet"/>
      <w:lvlText w:val=""/>
      <w:lvlJc w:val="left"/>
      <w:pPr>
        <w:ind w:left="4365" w:hanging="360"/>
      </w:pPr>
      <w:rPr>
        <w:rFonts w:ascii="Wingdings" w:hAnsi="Wingdings" w:cs="Wingdings" w:hint="default"/>
        <w:rFonts w:cs="Wingdings"/>
      </w:rPr>
    </w:lvl>
    <w:lvl w:ilvl="6">
      <w:start w:val="1"/>
      <w:numFmt w:val="bullet"/>
      <w:lvlText w:val=""/>
      <w:lvlJc w:val="left"/>
      <w:pPr>
        <w:ind w:left="5085" w:hanging="360"/>
      </w:pPr>
      <w:rPr>
        <w:rFonts w:ascii="Symbol" w:hAnsi="Symbol" w:cs="Symbol" w:hint="default"/>
        <w:rFonts w:cs="Symbol"/>
      </w:rPr>
    </w:lvl>
    <w:lvl w:ilvl="7">
      <w:start w:val="1"/>
      <w:numFmt w:val="bullet"/>
      <w:lvlText w:val="o"/>
      <w:lvlJc w:val="left"/>
      <w:pPr>
        <w:ind w:left="5805" w:hanging="360"/>
      </w:pPr>
      <w:rPr>
        <w:rFonts w:ascii="Courier New" w:hAnsi="Courier New" w:cs="Courier New" w:hint="default"/>
        <w:rFonts w:cs="Courier New"/>
      </w:rPr>
    </w:lvl>
    <w:lvl w:ilvl="8">
      <w:start w:val="1"/>
      <w:numFmt w:val="bullet"/>
      <w:lvlText w:val=""/>
      <w:lvlJc w:val="left"/>
      <w:pPr>
        <w:ind w:left="6525" w:hanging="360"/>
      </w:pPr>
      <w:rPr>
        <w:rFonts w:ascii="Wingdings" w:hAnsi="Wingdings" w:cs="Wingdings" w:hint="default"/>
        <w:rFonts w:cs="Wingdings"/>
      </w:rPr>
    </w:lvl>
  </w:abstractNum>
  <w:abstractNum w:abstractNumId="669">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0">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1">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2">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3">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4">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5">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6">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7">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8">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9">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80">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81">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82">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83">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84">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85">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86">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87">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88">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89">
    <w:lvl w:ilvl="0">
      <w:start w:val="1"/>
      <w:numFmt w:val="lowerLetter"/>
      <w:lvlText w:val="(%1)"/>
      <w:lvlJc w:val="left"/>
      <w:pPr>
        <w:ind w:left="720" w:hanging="360"/>
      </w:pPr>
      <w:rPr>
        <w:sz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upp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bering>
</file>

<file path=word/settings.xml><?xml version="1.0" encoding="utf-8"?>
<w:settings xmlns:w="http://schemas.openxmlformats.org/wordprocessingml/2006/main">
  <w:zoom w:percent="80"/>
  <w:defaultTabStop w:val="72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imes New Roman"/>
        <w:lang w:val="en-US" w:eastAsia="en-US" w:bidi="ar-SA"/>
      </w:rPr>
    </w:rPrDefault>
    <w:pPrDefault>
      <w:pPr/>
    </w:pPrDefault>
  </w:docDefaults>
  <w:latentStyles w:defLockedState="0" w:defUIPriority="99" w:defSemiHidden="0" w:defUnhideWhenUsed="0" w:defQFormat="0" w:count="377">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uiPriority="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0"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styleId="Normal" w:default="1">
    <w:name w:val="Normal"/>
    <w:qFormat/>
    <w:rsid w:val="00223e81"/>
    <w:pPr>
      <w:widowControl/>
      <w:tabs>
        <w:tab w:val="left" w:pos="360" w:leader="none"/>
        <w:tab w:val="left" w:pos="720" w:leader="none"/>
        <w:tab w:val="left" w:pos="1080" w:leader="none"/>
      </w:tabs>
      <w:bidi w:val="0"/>
      <w:jc w:val="both"/>
    </w:pPr>
    <w:rPr>
      <w:rFonts w:ascii="Calibri" w:hAnsi="Calibri" w:eastAsia="Times New Roman" w:cs="Calibri" w:asciiTheme="minorHAnsi" w:cstheme="minorHAnsi" w:hAnsiTheme="minorHAnsi"/>
      <w:bCs/>
      <w:color w:val="auto"/>
      <w:kern w:val="0"/>
      <w:sz w:val="20"/>
      <w:szCs w:val="20"/>
      <w:lang w:val="en-US" w:eastAsia="en-US" w:bidi="ar-SA"/>
    </w:rPr>
  </w:style>
  <w:style w:type="paragraph" w:styleId="Heading1">
    <w:name w:val="Heading 1"/>
    <w:basedOn w:val="Normal"/>
    <w:next w:val="Normal"/>
    <w:link w:val="Heading1Char"/>
    <w:qFormat/>
    <w:rsid w:val="009c730c"/>
    <w:pPr>
      <w:keepNext w:val="true"/>
      <w:keepLines/>
      <w:pBdr>
        <w:top w:val="single" w:sz="6" w:space="6" w:color="808080"/>
        <w:bottom w:val="single" w:sz="6" w:space="6" w:color="808080"/>
      </w:pBdr>
      <w:outlineLvl w:val="0"/>
    </w:pPr>
    <w:rPr>
      <w:rFonts w:eastAsia="Calibri" w:cs="Calibri"/>
      <w:b/>
      <w:bCs w:val="false"/>
      <w:smallCaps/>
      <w:sz w:val="24"/>
    </w:rPr>
  </w:style>
  <w:style w:type="paragraph" w:styleId="Heading2">
    <w:name w:val="Heading 2"/>
    <w:basedOn w:val="Normal"/>
    <w:next w:val="Normal"/>
    <w:link w:val="Heading2Char1"/>
    <w:qFormat/>
    <w:rsid w:val="00f47910"/>
    <w:pPr>
      <w:keepNext w:val="true"/>
      <w:keepLines/>
      <w:outlineLvl w:val="1"/>
    </w:pPr>
    <w:rPr>
      <w:rFonts w:eastAsia="Calibri" w:cs="Calibri"/>
      <w:b/>
      <w:bCs w:val="false"/>
      <w:smallCaps/>
      <w:color w:val="C00000"/>
      <w:sz w:val="24"/>
    </w:rPr>
  </w:style>
  <w:style w:type="paragraph" w:styleId="Heading3">
    <w:name w:val="Heading 3"/>
    <w:basedOn w:val="Normal"/>
    <w:next w:val="Normal"/>
    <w:link w:val="Heading3Char"/>
    <w:qFormat/>
    <w:rsid w:val="00203580"/>
    <w:pPr>
      <w:keepNext w:val="true"/>
      <w:outlineLvl w:val="2"/>
    </w:pPr>
    <w:rPr>
      <w:rFonts w:cs="Calibri"/>
      <w:b/>
      <w:bCs w:val="false"/>
      <w:i/>
      <w:smallCaps/>
      <w:color w:val="1F497D" w:themeColor="text2"/>
      <w:sz w:val="22"/>
    </w:rPr>
  </w:style>
  <w:style w:type="paragraph" w:styleId="Heading4">
    <w:name w:val="Heading 4"/>
    <w:basedOn w:val="Normal"/>
    <w:next w:val="Normal"/>
    <w:link w:val="Heading4Char"/>
    <w:qFormat/>
    <w:rsid w:val="00203580"/>
    <w:pPr>
      <w:keepNext w:val="true"/>
      <w:keepLines/>
      <w:outlineLvl w:val="3"/>
    </w:pPr>
    <w:rPr>
      <w:rFonts w:eastAsia="Calibri" w:cs="Calibri"/>
      <w:b/>
      <w:bCs w:val="false"/>
      <w:i/>
      <w:iCs/>
      <w:smallCaps/>
      <w:color w:val="984806" w:themeColor="accent6" w:themeShade="80"/>
    </w:rPr>
  </w:style>
  <w:style w:type="paragraph" w:styleId="Heading5">
    <w:name w:val="Heading 5"/>
    <w:basedOn w:val="Normal"/>
    <w:next w:val="Normal"/>
    <w:qFormat/>
    <w:rsid w:val="00e16ed2"/>
    <w:pPr>
      <w:numPr>
        <w:ilvl w:val="4"/>
        <w:numId w:val="1"/>
      </w:numPr>
      <w:outlineLvl w:val="4"/>
    </w:pPr>
    <w:rPr>
      <w:b/>
      <w:bCs w:val="false"/>
      <w:i/>
      <w:iCs/>
      <w:szCs w:val="26"/>
    </w:rPr>
  </w:style>
  <w:style w:type="paragraph" w:styleId="Heading6">
    <w:name w:val="Heading 6"/>
    <w:basedOn w:val="Normal"/>
    <w:next w:val="Normal"/>
    <w:qFormat/>
    <w:rsid w:val="003e2ed3"/>
    <w:pPr>
      <w:numPr>
        <w:ilvl w:val="5"/>
        <w:numId w:val="1"/>
      </w:numPr>
      <w:spacing w:before="240" w:after="60"/>
      <w:outlineLvl w:val="5"/>
    </w:pPr>
    <w:rPr>
      <w:rFonts w:ascii="Times New Roman" w:hAnsi="Times New Roman"/>
      <w:b/>
      <w:bCs w:val="false"/>
    </w:rPr>
  </w:style>
  <w:style w:type="paragraph" w:styleId="Heading7">
    <w:name w:val="Heading 7"/>
    <w:basedOn w:val="Normal"/>
    <w:next w:val="Normal"/>
    <w:qFormat/>
    <w:rsid w:val="003e2ed3"/>
    <w:pPr>
      <w:numPr>
        <w:ilvl w:val="6"/>
        <w:numId w:val="1"/>
      </w:numPr>
      <w:spacing w:before="240" w:after="60"/>
      <w:outlineLvl w:val="6"/>
    </w:pPr>
    <w:rPr>
      <w:rFonts w:ascii="Times New Roman" w:hAnsi="Times New Roman"/>
      <w:sz w:val="24"/>
      <w:szCs w:val="24"/>
    </w:rPr>
  </w:style>
  <w:style w:type="paragraph" w:styleId="Heading8">
    <w:name w:val="Heading 8"/>
    <w:basedOn w:val="Normal"/>
    <w:next w:val="Normal"/>
    <w:qFormat/>
    <w:rsid w:val="003e2ed3"/>
    <w:pPr>
      <w:numPr>
        <w:ilvl w:val="7"/>
        <w:numId w:val="1"/>
      </w:numPr>
      <w:spacing w:before="240" w:after="60"/>
      <w:outlineLvl w:val="7"/>
    </w:pPr>
    <w:rPr>
      <w:rFonts w:ascii="Times New Roman" w:hAnsi="Times New Roman"/>
      <w:i/>
      <w:iCs/>
      <w:sz w:val="24"/>
      <w:szCs w:val="24"/>
    </w:rPr>
  </w:style>
  <w:style w:type="paragraph" w:styleId="Heading9">
    <w:name w:val="Heading 9"/>
    <w:basedOn w:val="Normal"/>
    <w:next w:val="Normal"/>
    <w:qFormat/>
    <w:rsid w:val="003e2ed3"/>
    <w:pPr>
      <w:numPr>
        <w:ilvl w:val="8"/>
        <w:numId w:val="1"/>
      </w:numPr>
      <w:spacing w:before="240" w:after="60"/>
      <w:outlineLvl w:val="8"/>
    </w:pPr>
    <w:rPr>
      <w:rFonts w:ascii="Arial" w:hAnsi="Arial" w:cs="Arial"/>
    </w:rPr>
  </w:style>
  <w:style w:type="character" w:styleId="DefaultParagraphFont" w:default="1">
    <w:name w:val="Default Paragraph Font"/>
    <w:uiPriority w:val="1"/>
    <w:semiHidden/>
    <w:unhideWhenUsed/>
    <w:qFormat/>
    <w:rPr/>
  </w:style>
  <w:style w:type="character" w:styleId="Heading1Char" w:customStyle="1">
    <w:name w:val="Heading 1 Char"/>
    <w:link w:val="Heading1"/>
    <w:qFormat/>
    <w:rsid w:val="009c730c"/>
    <w:rPr>
      <w:rFonts w:cs="Calibri"/>
      <w:b/>
      <w:bCs/>
      <w:smallCaps/>
      <w:sz w:val="24"/>
    </w:rPr>
  </w:style>
  <w:style w:type="character" w:styleId="Heading2Char1" w:customStyle="1">
    <w:name w:val="Heading 2 Char1"/>
    <w:link w:val="Heading2"/>
    <w:qFormat/>
    <w:rsid w:val="00f47910"/>
    <w:rPr>
      <w:rFonts w:ascii="Calibri" w:hAnsi="Calibri" w:cs="Calibri" w:asciiTheme="minorHAnsi" w:hAnsiTheme="minorHAnsi"/>
      <w:b/>
      <w:smallCaps/>
      <w:color w:val="C00000"/>
      <w:sz w:val="24"/>
    </w:rPr>
  </w:style>
  <w:style w:type="character" w:styleId="Heading3Char" w:customStyle="1">
    <w:name w:val="Heading 3 Char"/>
    <w:basedOn w:val="DefaultParagraphFont"/>
    <w:link w:val="Heading3"/>
    <w:qFormat/>
    <w:rsid w:val="00203580"/>
    <w:rPr>
      <w:rFonts w:ascii="Calibri" w:hAnsi="Calibri" w:eastAsia="Times New Roman" w:cs="Calibri" w:asciiTheme="minorHAnsi" w:hAnsiTheme="minorHAnsi"/>
      <w:b/>
      <w:i/>
      <w:smallCaps/>
      <w:color w:val="1F497D" w:themeColor="text2"/>
      <w:sz w:val="22"/>
    </w:rPr>
  </w:style>
  <w:style w:type="character" w:styleId="Heading4Char" w:customStyle="1">
    <w:name w:val="Heading 4 Char"/>
    <w:link w:val="Heading4"/>
    <w:qFormat/>
    <w:rsid w:val="00203580"/>
    <w:rPr>
      <w:rFonts w:ascii="Calibri" w:hAnsi="Calibri" w:cs="Calibri" w:asciiTheme="minorHAnsi" w:hAnsiTheme="minorHAnsi"/>
      <w:b/>
      <w:i/>
      <w:iCs/>
      <w:smallCaps/>
      <w:color w:val="984806" w:themeColor="accent6" w:themeShade="80"/>
    </w:rPr>
  </w:style>
  <w:style w:type="character" w:styleId="TitleChar" w:customStyle="1">
    <w:name w:val="Title Char"/>
    <w:link w:val="Title"/>
    <w:qFormat/>
    <w:rsid w:val="002f5412"/>
    <w:rPr>
      <w:rFonts w:ascii="Cambria" w:hAnsi="Cambria" w:cs="Times New Roman"/>
      <w:color w:val="17365D"/>
      <w:spacing w:val="5"/>
      <w:kern w:val="2"/>
      <w:sz w:val="52"/>
      <w:szCs w:val="52"/>
    </w:rPr>
  </w:style>
  <w:style w:type="character" w:styleId="HeaderChar" w:customStyle="1">
    <w:name w:val="Header Char"/>
    <w:link w:val="Header"/>
    <w:uiPriority w:val="99"/>
    <w:qFormat/>
    <w:rsid w:val="00cb53bd"/>
    <w:rPr>
      <w:rFonts w:cs="Times New Roman"/>
    </w:rPr>
  </w:style>
  <w:style w:type="character" w:styleId="FooterChar" w:customStyle="1">
    <w:name w:val="Footer Char"/>
    <w:link w:val="Footer"/>
    <w:uiPriority w:val="99"/>
    <w:qFormat/>
    <w:rsid w:val="00cb53bd"/>
    <w:rPr>
      <w:rFonts w:cs="Times New Roman"/>
    </w:rPr>
  </w:style>
  <w:style w:type="character" w:styleId="BalloonTextChar" w:customStyle="1">
    <w:name w:val="Balloon Text Char"/>
    <w:link w:val="BalloonText"/>
    <w:semiHidden/>
    <w:qFormat/>
    <w:rsid w:val="00d44312"/>
    <w:rPr>
      <w:rFonts w:ascii="Tahoma" w:hAnsi="Tahoma" w:cs="Tahoma"/>
      <w:sz w:val="16"/>
      <w:szCs w:val="16"/>
    </w:rPr>
  </w:style>
  <w:style w:type="character" w:styleId="InternetLink">
    <w:name w:val="Internet Link"/>
    <w:uiPriority w:val="99"/>
    <w:rsid w:val="00d44312"/>
    <w:rPr>
      <w:rFonts w:cs="Times New Roman"/>
      <w:color w:val="0000FF"/>
      <w:u w:val="single"/>
    </w:rPr>
  </w:style>
  <w:style w:type="character" w:styleId="SubtleEmphasis">
    <w:name w:val="Subtle Emphasis"/>
    <w:qFormat/>
    <w:rsid w:val="00013534"/>
    <w:rPr>
      <w:rFonts w:cs="Times New Roman"/>
      <w:i/>
      <w:iCs/>
      <w:color w:val="808080"/>
    </w:rPr>
  </w:style>
  <w:style w:type="character" w:styleId="Emphasis">
    <w:name w:val="Emphasis"/>
    <w:qFormat/>
    <w:rsid w:val="00013534"/>
    <w:rPr>
      <w:rFonts w:cs="Times New Roman"/>
      <w:i/>
      <w:iCs/>
    </w:rPr>
  </w:style>
  <w:style w:type="character" w:styleId="Strong">
    <w:name w:val="Strong"/>
    <w:uiPriority w:val="22"/>
    <w:qFormat/>
    <w:rsid w:val="00501cfc"/>
    <w:rPr>
      <w:rFonts w:cs="Times New Roman"/>
      <w:b/>
      <w:bCs/>
    </w:rPr>
  </w:style>
  <w:style w:type="character" w:styleId="FootnoteTextChar" w:customStyle="1">
    <w:name w:val="Footnote Text Char"/>
    <w:basedOn w:val="DefaultParagraphFont"/>
    <w:link w:val="FootnoteText"/>
    <w:qFormat/>
    <w:rsid w:val="00d5437a"/>
    <w:rPr>
      <w:rFonts w:eastAsia="Times New Roman"/>
    </w:rPr>
  </w:style>
  <w:style w:type="character" w:styleId="FootnoteCharacters" w:customStyle="1">
    <w:name w:val="Footnote Characters"/>
    <w:qFormat/>
    <w:rsid w:val="00bf721f"/>
    <w:rPr>
      <w:vertAlign w:val="superscript"/>
    </w:rPr>
  </w:style>
  <w:style w:type="character" w:styleId="FootnoteAnchor">
    <w:name w:val="Footnote Anchor"/>
    <w:rPr>
      <w:vertAlign w:val="superscript"/>
    </w:rPr>
  </w:style>
  <w:style w:type="character" w:styleId="FollowedHyperlink">
    <w:name w:val="FollowedHyperlink"/>
    <w:uiPriority w:val="99"/>
    <w:qFormat/>
    <w:rsid w:val="001835db"/>
    <w:rPr>
      <w:color w:val="800080"/>
      <w:u w:val="single"/>
    </w:rPr>
  </w:style>
  <w:style w:type="character" w:styleId="Highlightedsearchterm" w:customStyle="1">
    <w:name w:val="highlightedsearchterm"/>
    <w:basedOn w:val="DefaultParagraphFont"/>
    <w:qFormat/>
    <w:rsid w:val="006120d8"/>
    <w:rPr/>
  </w:style>
  <w:style w:type="character" w:styleId="BodyTextChar" w:customStyle="1">
    <w:name w:val="Body Text Char"/>
    <w:link w:val="BodyText"/>
    <w:qFormat/>
    <w:rsid w:val="00b97da5"/>
    <w:rPr>
      <w:rFonts w:ascii="Calibri" w:hAnsi="Calibri"/>
      <w:sz w:val="22"/>
      <w:szCs w:val="22"/>
      <w:lang w:val="en-US" w:eastAsia="en-US" w:bidi="ar-SA"/>
    </w:rPr>
  </w:style>
  <w:style w:type="character" w:styleId="Title1" w:customStyle="1">
    <w:name w:val="Title1"/>
    <w:basedOn w:val="DefaultParagraphFont"/>
    <w:qFormat/>
    <w:rsid w:val="002148e5"/>
    <w:rPr/>
  </w:style>
  <w:style w:type="character" w:styleId="Annotationreference">
    <w:name w:val="annotation reference"/>
    <w:semiHidden/>
    <w:qFormat/>
    <w:rsid w:val="00d87c13"/>
    <w:rPr>
      <w:sz w:val="16"/>
      <w:szCs w:val="16"/>
    </w:rPr>
  </w:style>
  <w:style w:type="character" w:styleId="EndnoteTextChar" w:customStyle="1">
    <w:name w:val="Endnote Text Char"/>
    <w:link w:val="EndnoteText"/>
    <w:uiPriority w:val="99"/>
    <w:semiHidden/>
    <w:qFormat/>
    <w:rsid w:val="00533a1e"/>
    <w:rPr>
      <w:rFonts w:eastAsia="Times New Roman"/>
    </w:rPr>
  </w:style>
  <w:style w:type="character" w:styleId="EndnoteCharacters">
    <w:name w:val="Endnote Characters"/>
    <w:uiPriority w:val="99"/>
    <w:semiHidden/>
    <w:qFormat/>
    <w:rsid w:val="00422031"/>
    <w:rPr>
      <w:vertAlign w:val="superscript"/>
    </w:rPr>
  </w:style>
  <w:style w:type="character" w:styleId="EndnoteAnchor">
    <w:name w:val="Endnote Anchor"/>
    <w:rPr>
      <w:vertAlign w:val="superscript"/>
    </w:rPr>
  </w:style>
  <w:style w:type="character" w:styleId="Char6" w:customStyle="1">
    <w:name w:val="Char6"/>
    <w:qFormat/>
    <w:rsid w:val="005776b5"/>
    <w:rPr>
      <w:rFonts w:ascii="Cambria" w:hAnsi="Cambria" w:eastAsia="Calibri"/>
      <w:b/>
      <w:bCs/>
      <w:color w:val="4F81BD"/>
      <w:sz w:val="26"/>
      <w:szCs w:val="26"/>
      <w:lang w:val="en-US" w:eastAsia="en-US" w:bidi="ar-SA"/>
    </w:rPr>
  </w:style>
  <w:style w:type="character" w:styleId="Heading2Char" w:customStyle="1">
    <w:name w:val="Heading 2 Char"/>
    <w:qFormat/>
    <w:rsid w:val="00c00f27"/>
    <w:rPr>
      <w:rFonts w:ascii="Cambria" w:hAnsi="Cambria" w:eastAsia="Calibri"/>
      <w:b/>
      <w:bCs/>
      <w:color w:val="4F81BD"/>
      <w:sz w:val="26"/>
      <w:szCs w:val="26"/>
      <w:lang w:val="en-US" w:eastAsia="en-US" w:bidi="ar-SA"/>
    </w:rPr>
  </w:style>
  <w:style w:type="character" w:styleId="C3" w:customStyle="1">
    <w:name w:val="c3"/>
    <w:basedOn w:val="DefaultParagraphFont"/>
    <w:qFormat/>
    <w:rsid w:val="00e41b79"/>
    <w:rPr/>
  </w:style>
  <w:style w:type="character" w:styleId="Mention">
    <w:name w:val="Mention"/>
    <w:basedOn w:val="DefaultParagraphFont"/>
    <w:uiPriority w:val="99"/>
    <w:semiHidden/>
    <w:unhideWhenUsed/>
    <w:qFormat/>
    <w:rsid w:val="00c36ce5"/>
    <w:rPr>
      <w:color w:val="2B579A"/>
      <w:shd w:fill="E6E6E6" w:val="clear"/>
    </w:rPr>
  </w:style>
  <w:style w:type="character" w:styleId="UnresolvedMention">
    <w:name w:val="Unresolved Mention"/>
    <w:basedOn w:val="DefaultParagraphFont"/>
    <w:uiPriority w:val="99"/>
    <w:semiHidden/>
    <w:unhideWhenUsed/>
    <w:qFormat/>
    <w:rsid w:val="00fa0291"/>
    <w:rPr>
      <w:color w:val="808080"/>
      <w:shd w:fill="E6E6E6" w:val="clear"/>
    </w:rPr>
  </w:style>
  <w:style w:type="character" w:styleId="ListLabel1">
    <w:name w:val="ListLabel 1"/>
    <w:qFormat/>
    <w:rPr>
      <w:rFonts w:cs="Courier New"/>
    </w:rPr>
  </w:style>
  <w:style w:type="character" w:styleId="ListLabel2">
    <w:name w:val="ListLabel 2"/>
    <w:qFormat/>
    <w:rPr>
      <w:rFonts w:cs="Courier New"/>
    </w:rPr>
  </w:style>
  <w:style w:type="character" w:styleId="ListLabel3">
    <w:name w:val="ListLabel 3"/>
    <w:qFormat/>
    <w:rPr>
      <w:rFonts w:cs="Courier New"/>
    </w:rPr>
  </w:style>
  <w:style w:type="character" w:styleId="ListLabel4">
    <w:name w:val="ListLabel 4"/>
    <w:qFormat/>
    <w:rPr>
      <w:rFonts w:cs="Courier New"/>
    </w:rPr>
  </w:style>
  <w:style w:type="character" w:styleId="ListLabel5">
    <w:name w:val="ListLabel 5"/>
    <w:qFormat/>
    <w:rPr>
      <w:rFonts w:cs="Courier New"/>
    </w:rPr>
  </w:style>
  <w:style w:type="character" w:styleId="ListLabel6">
    <w:name w:val="ListLabel 6"/>
    <w:qFormat/>
    <w:rPr>
      <w:rFonts w:cs="Courier New"/>
    </w:rPr>
  </w:style>
  <w:style w:type="character" w:styleId="ListLabel7">
    <w:name w:val="ListLabel 7"/>
    <w:qFormat/>
    <w:rPr>
      <w:rFonts w:cs="Courier New"/>
    </w:rPr>
  </w:style>
  <w:style w:type="character" w:styleId="ListLabel8">
    <w:name w:val="ListLabel 8"/>
    <w:qFormat/>
    <w:rPr>
      <w:rFonts w:cs="Courier New"/>
    </w:rPr>
  </w:style>
  <w:style w:type="character" w:styleId="ListLabel9">
    <w:name w:val="ListLabel 9"/>
    <w:qFormat/>
    <w:rPr>
      <w:rFonts w:cs="Courier New"/>
    </w:rPr>
  </w:style>
  <w:style w:type="character" w:styleId="ListLabel10">
    <w:name w:val="ListLabel 10"/>
    <w:qFormat/>
    <w:rPr>
      <w:rFonts w:cs="Courier New"/>
    </w:rPr>
  </w:style>
  <w:style w:type="character" w:styleId="ListLabel11">
    <w:name w:val="ListLabel 11"/>
    <w:qFormat/>
    <w:rPr>
      <w:rFonts w:cs="Courier New"/>
    </w:rPr>
  </w:style>
  <w:style w:type="character" w:styleId="ListLabel12">
    <w:name w:val="ListLabel 12"/>
    <w:qFormat/>
    <w:rPr>
      <w:rFonts w:cs="Courier New"/>
    </w:rPr>
  </w:style>
  <w:style w:type="character" w:styleId="ListLabel13">
    <w:name w:val="ListLabel 13"/>
    <w:qFormat/>
    <w:rPr>
      <w:rFonts w:cs="Courier New"/>
    </w:rPr>
  </w:style>
  <w:style w:type="character" w:styleId="ListLabel14">
    <w:name w:val="ListLabel 14"/>
    <w:qFormat/>
    <w:rPr>
      <w:rFonts w:cs="Courier New"/>
    </w:rPr>
  </w:style>
  <w:style w:type="character" w:styleId="ListLabel15">
    <w:name w:val="ListLabel 15"/>
    <w:qFormat/>
    <w:rPr>
      <w:rFonts w:cs="Courier New"/>
    </w:rPr>
  </w:style>
  <w:style w:type="character" w:styleId="ListLabel16">
    <w:name w:val="ListLabel 16"/>
    <w:qFormat/>
    <w:rPr>
      <w:rFonts w:cs="Courier New"/>
    </w:rPr>
  </w:style>
  <w:style w:type="character" w:styleId="ListLabel17">
    <w:name w:val="ListLabel 17"/>
    <w:qFormat/>
    <w:rPr>
      <w:rFonts w:cs="Courier New"/>
    </w:rPr>
  </w:style>
  <w:style w:type="character" w:styleId="ListLabel18">
    <w:name w:val="ListLabel 18"/>
    <w:qFormat/>
    <w:rPr>
      <w:rFonts w:cs="Courier New"/>
    </w:rPr>
  </w:style>
  <w:style w:type="character" w:styleId="ListLabel19">
    <w:name w:val="ListLabel 19"/>
    <w:qFormat/>
    <w:rPr>
      <w:rFonts w:cs="Courier New"/>
    </w:rPr>
  </w:style>
  <w:style w:type="character" w:styleId="ListLabel20">
    <w:name w:val="ListLabel 20"/>
    <w:qFormat/>
    <w:rPr>
      <w:rFonts w:cs="Courier New"/>
    </w:rPr>
  </w:style>
  <w:style w:type="character" w:styleId="ListLabel21">
    <w:name w:val="ListLabel 21"/>
    <w:qFormat/>
    <w:rPr>
      <w:rFonts w:cs="Courier New"/>
    </w:rPr>
  </w:style>
  <w:style w:type="character" w:styleId="ListLabel22">
    <w:name w:val="ListLabel 22"/>
    <w:qFormat/>
    <w:rPr>
      <w:rFonts w:cs="Courier New"/>
    </w:rPr>
  </w:style>
  <w:style w:type="character" w:styleId="ListLabel23">
    <w:name w:val="ListLabel 23"/>
    <w:qFormat/>
    <w:rPr>
      <w:rFonts w:cs="Courier New"/>
    </w:rPr>
  </w:style>
  <w:style w:type="character" w:styleId="ListLabel24">
    <w:name w:val="ListLabel 24"/>
    <w:qFormat/>
    <w:rPr>
      <w:rFonts w:cs="Courier New"/>
    </w:rPr>
  </w:style>
  <w:style w:type="character" w:styleId="ListLabel25">
    <w:name w:val="ListLabel 25"/>
    <w:qFormat/>
    <w:rPr>
      <w:rFonts w:cs="Courier New"/>
    </w:rPr>
  </w:style>
  <w:style w:type="character" w:styleId="ListLabel26">
    <w:name w:val="ListLabel 26"/>
    <w:qFormat/>
    <w:rPr>
      <w:rFonts w:cs="Courier New"/>
    </w:rPr>
  </w:style>
  <w:style w:type="character" w:styleId="ListLabel27">
    <w:name w:val="ListLabel 27"/>
    <w:qFormat/>
    <w:rPr>
      <w:rFonts w:cs="Courier New"/>
    </w:rPr>
  </w:style>
  <w:style w:type="character" w:styleId="ListLabel28">
    <w:name w:val="ListLabel 28"/>
    <w:qFormat/>
    <w:rPr>
      <w:rFonts w:cs="Courier New"/>
    </w:rPr>
  </w:style>
  <w:style w:type="character" w:styleId="ListLabel29">
    <w:name w:val="ListLabel 29"/>
    <w:qFormat/>
    <w:rPr>
      <w:rFonts w:cs="Courier New"/>
    </w:rPr>
  </w:style>
  <w:style w:type="character" w:styleId="ListLabel30">
    <w:name w:val="ListLabel 30"/>
    <w:qFormat/>
    <w:rPr>
      <w:rFonts w:cs="Courier New"/>
    </w:rPr>
  </w:style>
  <w:style w:type="character" w:styleId="ListLabel31">
    <w:name w:val="ListLabel 31"/>
    <w:qFormat/>
    <w:rPr>
      <w:rFonts w:cs="Courier New"/>
    </w:rPr>
  </w:style>
  <w:style w:type="character" w:styleId="ListLabel32">
    <w:name w:val="ListLabel 32"/>
    <w:qFormat/>
    <w:rPr>
      <w:rFonts w:cs="Courier New"/>
    </w:rPr>
  </w:style>
  <w:style w:type="character" w:styleId="ListLabel33">
    <w:name w:val="ListLabel 33"/>
    <w:qFormat/>
    <w:rPr>
      <w:rFonts w:cs="Courier New"/>
    </w:rPr>
  </w:style>
  <w:style w:type="character" w:styleId="ListLabel34">
    <w:name w:val="ListLabel 34"/>
    <w:qFormat/>
    <w:rPr>
      <w:rFonts w:cs="Courier New"/>
    </w:rPr>
  </w:style>
  <w:style w:type="character" w:styleId="ListLabel35">
    <w:name w:val="ListLabel 35"/>
    <w:qFormat/>
    <w:rPr>
      <w:rFonts w:cs="Courier New"/>
    </w:rPr>
  </w:style>
  <w:style w:type="character" w:styleId="ListLabel36">
    <w:name w:val="ListLabel 36"/>
    <w:qFormat/>
    <w:rPr>
      <w:rFonts w:cs="Courier New"/>
    </w:rPr>
  </w:style>
  <w:style w:type="character" w:styleId="ListLabel37">
    <w:name w:val="ListLabel 37"/>
    <w:qFormat/>
    <w:rPr>
      <w:rFonts w:cs="Courier New"/>
    </w:rPr>
  </w:style>
  <w:style w:type="character" w:styleId="ListLabel38">
    <w:name w:val="ListLabel 38"/>
    <w:qFormat/>
    <w:rPr>
      <w:rFonts w:cs="Courier New"/>
    </w:rPr>
  </w:style>
  <w:style w:type="character" w:styleId="ListLabel39">
    <w:name w:val="ListLabel 39"/>
    <w:qFormat/>
    <w:rPr>
      <w:rFonts w:cs="Courier New"/>
    </w:rPr>
  </w:style>
  <w:style w:type="character" w:styleId="ListLabel40">
    <w:name w:val="ListLabel 40"/>
    <w:qFormat/>
    <w:rPr>
      <w:rFonts w:cs="Courier New"/>
    </w:rPr>
  </w:style>
  <w:style w:type="character" w:styleId="ListLabel41">
    <w:name w:val="ListLabel 41"/>
    <w:qFormat/>
    <w:rPr>
      <w:rFonts w:cs="Courier New"/>
    </w:rPr>
  </w:style>
  <w:style w:type="character" w:styleId="ListLabel42">
    <w:name w:val="ListLabel 42"/>
    <w:qFormat/>
    <w:rPr>
      <w:rFonts w:cs="Courier New"/>
    </w:rPr>
  </w:style>
  <w:style w:type="character" w:styleId="ListLabel43">
    <w:name w:val="ListLabel 43"/>
    <w:qFormat/>
    <w:rPr>
      <w:rFonts w:cs="Courier New"/>
    </w:rPr>
  </w:style>
  <w:style w:type="character" w:styleId="ListLabel44">
    <w:name w:val="ListLabel 44"/>
    <w:qFormat/>
    <w:rPr>
      <w:rFonts w:cs="Courier New"/>
    </w:rPr>
  </w:style>
  <w:style w:type="character" w:styleId="ListLabel45">
    <w:name w:val="ListLabel 45"/>
    <w:qFormat/>
    <w:rPr>
      <w:rFonts w:cs="Courier New"/>
    </w:rPr>
  </w:style>
  <w:style w:type="character" w:styleId="ListLabel46">
    <w:name w:val="ListLabel 46"/>
    <w:qFormat/>
    <w:rPr>
      <w:rFonts w:cs="Courier New"/>
    </w:rPr>
  </w:style>
  <w:style w:type="character" w:styleId="ListLabel47">
    <w:name w:val="ListLabel 47"/>
    <w:qFormat/>
    <w:rPr>
      <w:rFonts w:cs="Courier New"/>
    </w:rPr>
  </w:style>
  <w:style w:type="character" w:styleId="ListLabel48">
    <w:name w:val="ListLabel 48"/>
    <w:qFormat/>
    <w:rPr>
      <w:rFonts w:cs="Courier New"/>
    </w:rPr>
  </w:style>
  <w:style w:type="character" w:styleId="ListLabel49">
    <w:name w:val="ListLabel 49"/>
    <w:qFormat/>
    <w:rPr>
      <w:rFonts w:cs="Courier New"/>
    </w:rPr>
  </w:style>
  <w:style w:type="character" w:styleId="ListLabel50">
    <w:name w:val="ListLabel 50"/>
    <w:qFormat/>
    <w:rPr>
      <w:rFonts w:cs="Courier New"/>
    </w:rPr>
  </w:style>
  <w:style w:type="character" w:styleId="ListLabel51">
    <w:name w:val="ListLabel 51"/>
    <w:qFormat/>
    <w:rPr>
      <w:rFonts w:cs="Courier New"/>
    </w:rPr>
  </w:style>
  <w:style w:type="character" w:styleId="ListLabel52">
    <w:name w:val="ListLabel 52"/>
    <w:qFormat/>
    <w:rPr>
      <w:rFonts w:cs="Courier New"/>
    </w:rPr>
  </w:style>
  <w:style w:type="character" w:styleId="ListLabel53">
    <w:name w:val="ListLabel 53"/>
    <w:qFormat/>
    <w:rPr>
      <w:rFonts w:cs="Courier New"/>
    </w:rPr>
  </w:style>
  <w:style w:type="character" w:styleId="ListLabel54">
    <w:name w:val="ListLabel 54"/>
    <w:qFormat/>
    <w:rPr>
      <w:rFonts w:cs="Courier New"/>
    </w:rPr>
  </w:style>
  <w:style w:type="character" w:styleId="ListLabel55">
    <w:name w:val="ListLabel 55"/>
    <w:qFormat/>
    <w:rPr>
      <w:rFonts w:cs="Courier New"/>
    </w:rPr>
  </w:style>
  <w:style w:type="character" w:styleId="ListLabel56">
    <w:name w:val="ListLabel 56"/>
    <w:qFormat/>
    <w:rPr>
      <w:rFonts w:cs="Courier New"/>
    </w:rPr>
  </w:style>
  <w:style w:type="character" w:styleId="ListLabel57">
    <w:name w:val="ListLabel 57"/>
    <w:qFormat/>
    <w:rPr>
      <w:rFonts w:cs="Courier New"/>
    </w:rPr>
  </w:style>
  <w:style w:type="character" w:styleId="ListLabel58">
    <w:name w:val="ListLabel 58"/>
    <w:qFormat/>
    <w:rPr>
      <w:rFonts w:cs="Courier New"/>
    </w:rPr>
  </w:style>
  <w:style w:type="character" w:styleId="ListLabel59">
    <w:name w:val="ListLabel 59"/>
    <w:qFormat/>
    <w:rPr>
      <w:rFonts w:cs="Courier New"/>
    </w:rPr>
  </w:style>
  <w:style w:type="character" w:styleId="ListLabel60">
    <w:name w:val="ListLabel 60"/>
    <w:qFormat/>
    <w:rPr>
      <w:rFonts w:cs="Courier New"/>
    </w:rPr>
  </w:style>
  <w:style w:type="character" w:styleId="ListLabel61">
    <w:name w:val="ListLabel 61"/>
    <w:qFormat/>
    <w:rPr>
      <w:rFonts w:cs="Courier New"/>
    </w:rPr>
  </w:style>
  <w:style w:type="character" w:styleId="ListLabel62">
    <w:name w:val="ListLabel 62"/>
    <w:qFormat/>
    <w:rPr>
      <w:rFonts w:cs="Courier New"/>
    </w:rPr>
  </w:style>
  <w:style w:type="character" w:styleId="ListLabel63">
    <w:name w:val="ListLabel 63"/>
    <w:qFormat/>
    <w:rPr>
      <w:rFonts w:cs="Courier New"/>
    </w:rPr>
  </w:style>
  <w:style w:type="character" w:styleId="ListLabel64">
    <w:name w:val="ListLabel 64"/>
    <w:qFormat/>
    <w:rPr>
      <w:rFonts w:cs="Courier New"/>
    </w:rPr>
  </w:style>
  <w:style w:type="character" w:styleId="ListLabel65">
    <w:name w:val="ListLabel 65"/>
    <w:qFormat/>
    <w:rPr>
      <w:rFonts w:cs="Courier New"/>
    </w:rPr>
  </w:style>
  <w:style w:type="character" w:styleId="ListLabel66">
    <w:name w:val="ListLabel 66"/>
    <w:qFormat/>
    <w:rPr>
      <w:rFonts w:cs="Courier New"/>
    </w:rPr>
  </w:style>
  <w:style w:type="character" w:styleId="ListLabel67">
    <w:name w:val="ListLabel 67"/>
    <w:qFormat/>
    <w:rPr>
      <w:rFonts w:cs="Courier New"/>
    </w:rPr>
  </w:style>
  <w:style w:type="character" w:styleId="ListLabel68">
    <w:name w:val="ListLabel 68"/>
    <w:qFormat/>
    <w:rPr>
      <w:rFonts w:cs="Courier New"/>
    </w:rPr>
  </w:style>
  <w:style w:type="character" w:styleId="ListLabel69">
    <w:name w:val="ListLabel 69"/>
    <w:qFormat/>
    <w:rPr>
      <w:rFonts w:cs="Courier New"/>
    </w:rPr>
  </w:style>
  <w:style w:type="character" w:styleId="ListLabel70">
    <w:name w:val="ListLabel 70"/>
    <w:qFormat/>
    <w:rPr>
      <w:rFonts w:cs="Courier New"/>
    </w:rPr>
  </w:style>
  <w:style w:type="character" w:styleId="ListLabel71">
    <w:name w:val="ListLabel 71"/>
    <w:qFormat/>
    <w:rPr>
      <w:rFonts w:cs="Courier New"/>
    </w:rPr>
  </w:style>
  <w:style w:type="character" w:styleId="ListLabel72">
    <w:name w:val="ListLabel 72"/>
    <w:qFormat/>
    <w:rPr>
      <w:rFonts w:cs="Courier New"/>
    </w:rPr>
  </w:style>
  <w:style w:type="character" w:styleId="ListLabel73">
    <w:name w:val="ListLabel 73"/>
    <w:qFormat/>
    <w:rPr>
      <w:rFonts w:cs="Courier New"/>
    </w:rPr>
  </w:style>
  <w:style w:type="character" w:styleId="ListLabel74">
    <w:name w:val="ListLabel 74"/>
    <w:qFormat/>
    <w:rPr>
      <w:rFonts w:cs="Courier New"/>
    </w:rPr>
  </w:style>
  <w:style w:type="character" w:styleId="ListLabel75">
    <w:name w:val="ListLabel 75"/>
    <w:qFormat/>
    <w:rPr>
      <w:rFonts w:cs="Courier New"/>
    </w:rPr>
  </w:style>
  <w:style w:type="character" w:styleId="ListLabel76">
    <w:name w:val="ListLabel 76"/>
    <w:qFormat/>
    <w:rPr>
      <w:rFonts w:cs="Courier New"/>
    </w:rPr>
  </w:style>
  <w:style w:type="character" w:styleId="ListLabel77">
    <w:name w:val="ListLabel 77"/>
    <w:qFormat/>
    <w:rPr>
      <w:rFonts w:cs="Courier New"/>
    </w:rPr>
  </w:style>
  <w:style w:type="character" w:styleId="ListLabel78">
    <w:name w:val="ListLabel 78"/>
    <w:qFormat/>
    <w:rPr>
      <w:rFonts w:cs="Courier New"/>
    </w:rPr>
  </w:style>
  <w:style w:type="character" w:styleId="ListLabel79">
    <w:name w:val="ListLabel 79"/>
    <w:qFormat/>
    <w:rPr>
      <w:rFonts w:cs="Courier New"/>
    </w:rPr>
  </w:style>
  <w:style w:type="character" w:styleId="ListLabel80">
    <w:name w:val="ListLabel 80"/>
    <w:qFormat/>
    <w:rPr>
      <w:rFonts w:cs="Courier New"/>
    </w:rPr>
  </w:style>
  <w:style w:type="character" w:styleId="ListLabel81">
    <w:name w:val="ListLabel 81"/>
    <w:qFormat/>
    <w:rPr>
      <w:rFonts w:cs="Courier New"/>
    </w:rPr>
  </w:style>
  <w:style w:type="character" w:styleId="ListLabel82">
    <w:name w:val="ListLabel 82"/>
    <w:qFormat/>
    <w:rPr>
      <w:rFonts w:cs="Courier New"/>
    </w:rPr>
  </w:style>
  <w:style w:type="character" w:styleId="ListLabel83">
    <w:name w:val="ListLabel 83"/>
    <w:qFormat/>
    <w:rPr>
      <w:rFonts w:cs="Courier New"/>
    </w:rPr>
  </w:style>
  <w:style w:type="character" w:styleId="ListLabel84">
    <w:name w:val="ListLabel 84"/>
    <w:qFormat/>
    <w:rPr>
      <w:rFonts w:cs="Courier New"/>
    </w:rPr>
  </w:style>
  <w:style w:type="character" w:styleId="ListLabel85">
    <w:name w:val="ListLabel 85"/>
    <w:qFormat/>
    <w:rPr>
      <w:rFonts w:cs="Courier New"/>
    </w:rPr>
  </w:style>
  <w:style w:type="character" w:styleId="ListLabel86">
    <w:name w:val="ListLabel 86"/>
    <w:qFormat/>
    <w:rPr>
      <w:rFonts w:cs="Courier New"/>
    </w:rPr>
  </w:style>
  <w:style w:type="character" w:styleId="ListLabel87">
    <w:name w:val="ListLabel 87"/>
    <w:qFormat/>
    <w:rPr>
      <w:rFonts w:cs="Courier New"/>
    </w:rPr>
  </w:style>
  <w:style w:type="character" w:styleId="ListLabel88">
    <w:name w:val="ListLabel 88"/>
    <w:qFormat/>
    <w:rPr>
      <w:rFonts w:cs="Courier New"/>
    </w:rPr>
  </w:style>
  <w:style w:type="character" w:styleId="ListLabel89">
    <w:name w:val="ListLabel 89"/>
    <w:qFormat/>
    <w:rPr>
      <w:rFonts w:cs="Courier New"/>
    </w:rPr>
  </w:style>
  <w:style w:type="character" w:styleId="ListLabel90">
    <w:name w:val="ListLabel 90"/>
    <w:qFormat/>
    <w:rPr>
      <w:rFonts w:cs="Courier New"/>
    </w:rPr>
  </w:style>
  <w:style w:type="character" w:styleId="ListLabel91">
    <w:name w:val="ListLabel 91"/>
    <w:qFormat/>
    <w:rPr>
      <w:rFonts w:cs="Courier New"/>
    </w:rPr>
  </w:style>
  <w:style w:type="character" w:styleId="ListLabel92">
    <w:name w:val="ListLabel 92"/>
    <w:qFormat/>
    <w:rPr>
      <w:rFonts w:cs="Courier New"/>
    </w:rPr>
  </w:style>
  <w:style w:type="character" w:styleId="ListLabel93">
    <w:name w:val="ListLabel 93"/>
    <w:qFormat/>
    <w:rPr>
      <w:rFonts w:cs="Courier New"/>
    </w:rPr>
  </w:style>
  <w:style w:type="character" w:styleId="ListLabel94">
    <w:name w:val="ListLabel 94"/>
    <w:qFormat/>
    <w:rPr>
      <w:rFonts w:cs="Courier New"/>
    </w:rPr>
  </w:style>
  <w:style w:type="character" w:styleId="ListLabel95">
    <w:name w:val="ListLabel 95"/>
    <w:qFormat/>
    <w:rPr>
      <w:rFonts w:cs="Courier New"/>
    </w:rPr>
  </w:style>
  <w:style w:type="character" w:styleId="ListLabel96">
    <w:name w:val="ListLabel 96"/>
    <w:qFormat/>
    <w:rPr>
      <w:rFonts w:cs="Courier New"/>
    </w:rPr>
  </w:style>
  <w:style w:type="character" w:styleId="ListLabel97">
    <w:name w:val="ListLabel 97"/>
    <w:qFormat/>
    <w:rPr>
      <w:rFonts w:cs="Courier New"/>
    </w:rPr>
  </w:style>
  <w:style w:type="character" w:styleId="ListLabel98">
    <w:name w:val="ListLabel 98"/>
    <w:qFormat/>
    <w:rPr>
      <w:rFonts w:cs="Courier New"/>
    </w:rPr>
  </w:style>
  <w:style w:type="character" w:styleId="ListLabel99">
    <w:name w:val="ListLabel 99"/>
    <w:qFormat/>
    <w:rPr>
      <w:rFonts w:cs="Courier New"/>
    </w:rPr>
  </w:style>
  <w:style w:type="character" w:styleId="ListLabel100">
    <w:name w:val="ListLabel 100"/>
    <w:qFormat/>
    <w:rPr>
      <w:rFonts w:cs="Courier New"/>
    </w:rPr>
  </w:style>
  <w:style w:type="character" w:styleId="ListLabel101">
    <w:name w:val="ListLabel 101"/>
    <w:qFormat/>
    <w:rPr>
      <w:rFonts w:cs="Courier New"/>
    </w:rPr>
  </w:style>
  <w:style w:type="character" w:styleId="ListLabel102">
    <w:name w:val="ListLabel 102"/>
    <w:qFormat/>
    <w:rPr>
      <w:rFonts w:cs="Courier New"/>
    </w:rPr>
  </w:style>
  <w:style w:type="character" w:styleId="ListLabel103">
    <w:name w:val="ListLabel 103"/>
    <w:qFormat/>
    <w:rPr>
      <w:rFonts w:cs="Courier New"/>
    </w:rPr>
  </w:style>
  <w:style w:type="character" w:styleId="ListLabel104">
    <w:name w:val="ListLabel 104"/>
    <w:qFormat/>
    <w:rPr>
      <w:rFonts w:cs="Courier New"/>
    </w:rPr>
  </w:style>
  <w:style w:type="character" w:styleId="ListLabel105">
    <w:name w:val="ListLabel 105"/>
    <w:qFormat/>
    <w:rPr>
      <w:rFonts w:cs="Courier New"/>
    </w:rPr>
  </w:style>
  <w:style w:type="character" w:styleId="ListLabel106">
    <w:name w:val="ListLabel 106"/>
    <w:qFormat/>
    <w:rPr>
      <w:rFonts w:cs="Courier New"/>
    </w:rPr>
  </w:style>
  <w:style w:type="character" w:styleId="ListLabel107">
    <w:name w:val="ListLabel 107"/>
    <w:qFormat/>
    <w:rPr>
      <w:rFonts w:cs="Courier New"/>
    </w:rPr>
  </w:style>
  <w:style w:type="character" w:styleId="ListLabel108">
    <w:name w:val="ListLabel 108"/>
    <w:qFormat/>
    <w:rPr>
      <w:rFonts w:cs="Courier New"/>
    </w:rPr>
  </w:style>
  <w:style w:type="character" w:styleId="ListLabel109">
    <w:name w:val="ListLabel 109"/>
    <w:qFormat/>
    <w:rPr>
      <w:rFonts w:cs="Courier New"/>
    </w:rPr>
  </w:style>
  <w:style w:type="character" w:styleId="ListLabel110">
    <w:name w:val="ListLabel 110"/>
    <w:qFormat/>
    <w:rPr>
      <w:rFonts w:cs="Courier New"/>
    </w:rPr>
  </w:style>
  <w:style w:type="character" w:styleId="ListLabel111">
    <w:name w:val="ListLabel 111"/>
    <w:qFormat/>
    <w:rPr>
      <w:rFonts w:cs="Courier New"/>
    </w:rPr>
  </w:style>
  <w:style w:type="character" w:styleId="ListLabel112">
    <w:name w:val="ListLabel 112"/>
    <w:qFormat/>
    <w:rPr>
      <w:rFonts w:eastAsia="Calibri" w:cs="Calibri"/>
    </w:rPr>
  </w:style>
  <w:style w:type="character" w:styleId="ListLabel113">
    <w:name w:val="ListLabel 113"/>
    <w:qFormat/>
    <w:rPr>
      <w:rFonts w:cs="Courier New"/>
    </w:rPr>
  </w:style>
  <w:style w:type="character" w:styleId="ListLabel114">
    <w:name w:val="ListLabel 114"/>
    <w:qFormat/>
    <w:rPr>
      <w:rFonts w:cs="Courier New"/>
    </w:rPr>
  </w:style>
  <w:style w:type="character" w:styleId="ListLabel115">
    <w:name w:val="ListLabel 115"/>
    <w:qFormat/>
    <w:rPr>
      <w:rFonts w:cs="Courier New"/>
    </w:rPr>
  </w:style>
  <w:style w:type="character" w:styleId="ListLabel116">
    <w:name w:val="ListLabel 116"/>
    <w:qFormat/>
    <w:rPr>
      <w:rFonts w:cs="Courier New"/>
    </w:rPr>
  </w:style>
  <w:style w:type="character" w:styleId="ListLabel117">
    <w:name w:val="ListLabel 117"/>
    <w:qFormat/>
    <w:rPr>
      <w:rFonts w:cs="Courier New"/>
    </w:rPr>
  </w:style>
  <w:style w:type="character" w:styleId="ListLabel118">
    <w:name w:val="ListLabel 118"/>
    <w:qFormat/>
    <w:rPr>
      <w:rFonts w:cs="Courier New"/>
    </w:rPr>
  </w:style>
  <w:style w:type="character" w:styleId="ListLabel119">
    <w:name w:val="ListLabel 119"/>
    <w:qFormat/>
    <w:rPr>
      <w:rFonts w:cs="Courier New"/>
    </w:rPr>
  </w:style>
  <w:style w:type="character" w:styleId="ListLabel120">
    <w:name w:val="ListLabel 120"/>
    <w:qFormat/>
    <w:rPr>
      <w:rFonts w:cs="Courier New"/>
    </w:rPr>
  </w:style>
  <w:style w:type="character" w:styleId="ListLabel121">
    <w:name w:val="ListLabel 121"/>
    <w:qFormat/>
    <w:rPr>
      <w:rFonts w:cs="Courier New"/>
    </w:rPr>
  </w:style>
  <w:style w:type="character" w:styleId="ListLabel122">
    <w:name w:val="ListLabel 122"/>
    <w:qFormat/>
    <w:rPr>
      <w:rFonts w:cs="Courier New"/>
    </w:rPr>
  </w:style>
  <w:style w:type="character" w:styleId="ListLabel123">
    <w:name w:val="ListLabel 123"/>
    <w:qFormat/>
    <w:rPr>
      <w:rFonts w:cs="Courier New"/>
    </w:rPr>
  </w:style>
  <w:style w:type="character" w:styleId="ListLabel124">
    <w:name w:val="ListLabel 124"/>
    <w:qFormat/>
    <w:rPr>
      <w:rFonts w:cs="Courier New"/>
    </w:rPr>
  </w:style>
  <w:style w:type="character" w:styleId="ListLabel125">
    <w:name w:val="ListLabel 125"/>
    <w:qFormat/>
    <w:rPr>
      <w:rFonts w:cs="Courier New"/>
    </w:rPr>
  </w:style>
  <w:style w:type="character" w:styleId="ListLabel126">
    <w:name w:val="ListLabel 126"/>
    <w:qFormat/>
    <w:rPr>
      <w:rFonts w:cs="Courier New"/>
    </w:rPr>
  </w:style>
  <w:style w:type="character" w:styleId="ListLabel127">
    <w:name w:val="ListLabel 127"/>
    <w:qFormat/>
    <w:rPr>
      <w:rFonts w:cs="Courier New"/>
    </w:rPr>
  </w:style>
  <w:style w:type="character" w:styleId="ListLabel128">
    <w:name w:val="ListLabel 128"/>
    <w:qFormat/>
    <w:rPr>
      <w:rFonts w:cs="Courier New"/>
    </w:rPr>
  </w:style>
  <w:style w:type="character" w:styleId="ListLabel129">
    <w:name w:val="ListLabel 129"/>
    <w:qFormat/>
    <w:rPr>
      <w:rFonts w:cs="Courier New"/>
    </w:rPr>
  </w:style>
  <w:style w:type="character" w:styleId="ListLabel130">
    <w:name w:val="ListLabel 130"/>
    <w:qFormat/>
    <w:rPr>
      <w:rFonts w:cs="Courier New"/>
    </w:rPr>
  </w:style>
  <w:style w:type="character" w:styleId="ListLabel131">
    <w:name w:val="ListLabel 131"/>
    <w:qFormat/>
    <w:rPr>
      <w:rFonts w:cs="Courier New"/>
    </w:rPr>
  </w:style>
  <w:style w:type="character" w:styleId="ListLabel132">
    <w:name w:val="ListLabel 132"/>
    <w:qFormat/>
    <w:rPr>
      <w:rFonts w:cs="Courier New"/>
    </w:rPr>
  </w:style>
  <w:style w:type="character" w:styleId="ListLabel133">
    <w:name w:val="ListLabel 133"/>
    <w:qFormat/>
    <w:rPr>
      <w:rFonts w:cs="Courier New"/>
    </w:rPr>
  </w:style>
  <w:style w:type="character" w:styleId="ListLabel134">
    <w:name w:val="ListLabel 134"/>
    <w:qFormat/>
    <w:rPr>
      <w:rFonts w:cs="Courier New"/>
    </w:rPr>
  </w:style>
  <w:style w:type="character" w:styleId="ListLabel135">
    <w:name w:val="ListLabel 135"/>
    <w:qFormat/>
    <w:rPr>
      <w:rFonts w:cs="Courier New"/>
    </w:rPr>
  </w:style>
  <w:style w:type="character" w:styleId="ListLabel136">
    <w:name w:val="ListLabel 136"/>
    <w:qFormat/>
    <w:rPr>
      <w:rFonts w:cs="Courier New"/>
    </w:rPr>
  </w:style>
  <w:style w:type="character" w:styleId="ListLabel137">
    <w:name w:val="ListLabel 137"/>
    <w:qFormat/>
    <w:rPr>
      <w:rFonts w:cs="Courier New"/>
    </w:rPr>
  </w:style>
  <w:style w:type="character" w:styleId="ListLabel138">
    <w:name w:val="ListLabel 138"/>
    <w:qFormat/>
    <w:rPr>
      <w:rFonts w:cs="Courier New"/>
    </w:rPr>
  </w:style>
  <w:style w:type="character" w:styleId="ListLabel139">
    <w:name w:val="ListLabel 139"/>
    <w:qFormat/>
    <w:rPr>
      <w:rFonts w:cs="Courier New"/>
    </w:rPr>
  </w:style>
  <w:style w:type="character" w:styleId="ListLabel140">
    <w:name w:val="ListLabel 140"/>
    <w:qFormat/>
    <w:rPr>
      <w:rFonts w:cs="Courier New"/>
    </w:rPr>
  </w:style>
  <w:style w:type="character" w:styleId="ListLabel141">
    <w:name w:val="ListLabel 141"/>
    <w:qFormat/>
    <w:rPr>
      <w:rFonts w:cs="Courier New"/>
    </w:rPr>
  </w:style>
  <w:style w:type="character" w:styleId="ListLabel142">
    <w:name w:val="ListLabel 142"/>
    <w:qFormat/>
    <w:rPr>
      <w:rFonts w:cs="Courier New"/>
    </w:rPr>
  </w:style>
  <w:style w:type="character" w:styleId="ListLabel143">
    <w:name w:val="ListLabel 143"/>
    <w:qFormat/>
    <w:rPr>
      <w:rFonts w:cs="Courier New"/>
    </w:rPr>
  </w:style>
  <w:style w:type="character" w:styleId="ListLabel144">
    <w:name w:val="ListLabel 144"/>
    <w:qFormat/>
    <w:rPr>
      <w:rFonts w:cs="Courier New"/>
    </w:rPr>
  </w:style>
  <w:style w:type="character" w:styleId="ListLabel145">
    <w:name w:val="ListLabel 145"/>
    <w:qFormat/>
    <w:rPr>
      <w:rFonts w:cs="Courier New"/>
    </w:rPr>
  </w:style>
  <w:style w:type="character" w:styleId="ListLabel146">
    <w:name w:val="ListLabel 146"/>
    <w:qFormat/>
    <w:rPr>
      <w:sz w:val="22"/>
    </w:rPr>
  </w:style>
  <w:style w:type="character" w:styleId="ListLabel147">
    <w:name w:val="ListLabel 147"/>
    <w:qFormat/>
    <w:rPr>
      <w:rFonts w:cs="Courier New"/>
    </w:rPr>
  </w:style>
  <w:style w:type="character" w:styleId="ListLabel148">
    <w:name w:val="ListLabel 148"/>
    <w:qFormat/>
    <w:rPr>
      <w:rFonts w:cs="Courier New"/>
    </w:rPr>
  </w:style>
  <w:style w:type="character" w:styleId="ListLabel149">
    <w:name w:val="ListLabel 149"/>
    <w:qFormat/>
    <w:rPr>
      <w:rFonts w:cs="Courier New"/>
    </w:rPr>
  </w:style>
  <w:style w:type="character" w:styleId="ListLabel150">
    <w:name w:val="ListLabel 150"/>
    <w:qFormat/>
    <w:rPr>
      <w:rFonts w:cs="Courier New"/>
    </w:rPr>
  </w:style>
  <w:style w:type="character" w:styleId="ListLabel151">
    <w:name w:val="ListLabel 151"/>
    <w:qFormat/>
    <w:rPr>
      <w:rFonts w:cs="Courier New"/>
    </w:rPr>
  </w:style>
  <w:style w:type="character" w:styleId="ListLabel152">
    <w:name w:val="ListLabel 152"/>
    <w:qFormat/>
    <w:rPr>
      <w:rFonts w:cs="Courier New"/>
    </w:rPr>
  </w:style>
  <w:style w:type="character" w:styleId="ListLabel153">
    <w:name w:val="ListLabel 153"/>
    <w:qFormat/>
    <w:rPr>
      <w:rFonts w:cs="Courier New"/>
    </w:rPr>
  </w:style>
  <w:style w:type="character" w:styleId="ListLabel154">
    <w:name w:val="ListLabel 154"/>
    <w:qFormat/>
    <w:rPr>
      <w:rFonts w:cs="Courier New"/>
    </w:rPr>
  </w:style>
  <w:style w:type="character" w:styleId="ListLabel155">
    <w:name w:val="ListLabel 155"/>
    <w:qFormat/>
    <w:rPr>
      <w:rFonts w:cs="Courier New"/>
    </w:rPr>
  </w:style>
  <w:style w:type="character" w:styleId="ListLabel156">
    <w:name w:val="ListLabel 156"/>
    <w:qFormat/>
    <w:rPr>
      <w:rFonts w:cs="Courier New"/>
    </w:rPr>
  </w:style>
  <w:style w:type="character" w:styleId="ListLabel157">
    <w:name w:val="ListLabel 157"/>
    <w:qFormat/>
    <w:rPr>
      <w:rFonts w:cs="Courier New"/>
    </w:rPr>
  </w:style>
  <w:style w:type="character" w:styleId="ListLabel158">
    <w:name w:val="ListLabel 158"/>
    <w:qFormat/>
    <w:rPr>
      <w:rFonts w:cs="Courier New"/>
    </w:rPr>
  </w:style>
  <w:style w:type="character" w:styleId="ListLabel159">
    <w:name w:val="ListLabel 159"/>
    <w:qFormat/>
    <w:rPr>
      <w:rFonts w:cs="Courier New"/>
    </w:rPr>
  </w:style>
  <w:style w:type="character" w:styleId="ListLabel160">
    <w:name w:val="ListLabel 160"/>
    <w:qFormat/>
    <w:rPr>
      <w:rFonts w:cs="Courier New"/>
    </w:rPr>
  </w:style>
  <w:style w:type="character" w:styleId="ListLabel161">
    <w:name w:val="ListLabel 161"/>
    <w:qFormat/>
    <w:rPr>
      <w:rFonts w:cs="Courier New"/>
    </w:rPr>
  </w:style>
  <w:style w:type="character" w:styleId="ListLabel162">
    <w:name w:val="ListLabel 162"/>
    <w:qFormat/>
    <w:rPr>
      <w:rFonts w:cs="Courier New"/>
    </w:rPr>
  </w:style>
  <w:style w:type="character" w:styleId="ListLabel163">
    <w:name w:val="ListLabel 163"/>
    <w:qFormat/>
    <w:rPr>
      <w:rFonts w:cs="Courier New"/>
    </w:rPr>
  </w:style>
  <w:style w:type="character" w:styleId="ListLabel164">
    <w:name w:val="ListLabel 164"/>
    <w:qFormat/>
    <w:rPr>
      <w:rFonts w:cs="Courier New"/>
    </w:rPr>
  </w:style>
  <w:style w:type="character" w:styleId="ListLabel165">
    <w:name w:val="ListLabel 165"/>
    <w:qFormat/>
    <w:rPr>
      <w:rFonts w:cs="Courier New"/>
    </w:rPr>
  </w:style>
  <w:style w:type="character" w:styleId="ListLabel166">
    <w:name w:val="ListLabel 166"/>
    <w:qFormat/>
    <w:rPr>
      <w:rFonts w:cs="Courier New"/>
    </w:rPr>
  </w:style>
  <w:style w:type="character" w:styleId="ListLabel167">
    <w:name w:val="ListLabel 167"/>
    <w:qFormat/>
    <w:rPr>
      <w:rFonts w:cs="Courier New"/>
    </w:rPr>
  </w:style>
  <w:style w:type="character" w:styleId="ListLabel168">
    <w:name w:val="ListLabel 168"/>
    <w:qFormat/>
    <w:rPr>
      <w:rFonts w:cs="Courier New"/>
    </w:rPr>
  </w:style>
  <w:style w:type="character" w:styleId="ListLabel169">
    <w:name w:val="ListLabel 169"/>
    <w:qFormat/>
    <w:rPr>
      <w:rFonts w:cs="Courier New"/>
    </w:rPr>
  </w:style>
  <w:style w:type="character" w:styleId="ListLabel170">
    <w:name w:val="ListLabel 170"/>
    <w:qFormat/>
    <w:rPr>
      <w:rFonts w:cs="Courier New"/>
    </w:rPr>
  </w:style>
  <w:style w:type="character" w:styleId="ListLabel171">
    <w:name w:val="ListLabel 171"/>
    <w:qFormat/>
    <w:rPr>
      <w:rFonts w:cs="Courier New"/>
    </w:rPr>
  </w:style>
  <w:style w:type="character" w:styleId="ListLabel172">
    <w:name w:val="ListLabel 172"/>
    <w:qFormat/>
    <w:rPr>
      <w:rFonts w:cs="Courier New"/>
    </w:rPr>
  </w:style>
  <w:style w:type="character" w:styleId="ListLabel173">
    <w:name w:val="ListLabel 173"/>
    <w:qFormat/>
    <w:rPr>
      <w:rFonts w:cs="Courier New"/>
    </w:rPr>
  </w:style>
  <w:style w:type="character" w:styleId="ListLabel174">
    <w:name w:val="ListLabel 174"/>
    <w:qFormat/>
    <w:rPr>
      <w:rFonts w:cs="Courier New"/>
    </w:rPr>
  </w:style>
  <w:style w:type="character" w:styleId="ListLabel175">
    <w:name w:val="ListLabel 175"/>
    <w:qFormat/>
    <w:rPr>
      <w:rFonts w:cs="Courier New"/>
    </w:rPr>
  </w:style>
  <w:style w:type="character" w:styleId="ListLabel176">
    <w:name w:val="ListLabel 176"/>
    <w:qFormat/>
    <w:rPr>
      <w:rFonts w:cs="Courier New"/>
    </w:rPr>
  </w:style>
  <w:style w:type="character" w:styleId="ListLabel177">
    <w:name w:val="ListLabel 177"/>
    <w:qFormat/>
    <w:rPr>
      <w:rFonts w:cs="Courier New"/>
    </w:rPr>
  </w:style>
  <w:style w:type="character" w:styleId="ListLabel178">
    <w:name w:val="ListLabel 178"/>
    <w:qFormat/>
    <w:rPr>
      <w:rFonts w:cs="Courier New"/>
    </w:rPr>
  </w:style>
  <w:style w:type="character" w:styleId="ListLabel179">
    <w:name w:val="ListLabel 179"/>
    <w:qFormat/>
    <w:rPr>
      <w:rFonts w:cs="Courier New"/>
    </w:rPr>
  </w:style>
  <w:style w:type="character" w:styleId="ListLabel180">
    <w:name w:val="ListLabel 180"/>
    <w:qFormat/>
    <w:rPr>
      <w:rFonts w:cs="Courier New"/>
    </w:rPr>
  </w:style>
  <w:style w:type="character" w:styleId="ListLabel181">
    <w:name w:val="ListLabel 181"/>
    <w:qFormat/>
    <w:rPr>
      <w:rFonts w:cs="Courier New"/>
    </w:rPr>
  </w:style>
  <w:style w:type="character" w:styleId="ListLabel182">
    <w:name w:val="ListLabel 182"/>
    <w:qFormat/>
    <w:rPr>
      <w:rFonts w:cs="Courier New"/>
    </w:rPr>
  </w:style>
  <w:style w:type="character" w:styleId="ListLabel183">
    <w:name w:val="ListLabel 183"/>
    <w:qFormat/>
    <w:rPr>
      <w:rFonts w:cs="Courier New"/>
    </w:rPr>
  </w:style>
  <w:style w:type="character" w:styleId="ListLabel184">
    <w:name w:val="ListLabel 184"/>
    <w:qFormat/>
    <w:rPr>
      <w:rFonts w:cs="Courier New"/>
    </w:rPr>
  </w:style>
  <w:style w:type="character" w:styleId="ListLabel185">
    <w:name w:val="ListLabel 185"/>
    <w:qFormat/>
    <w:rPr>
      <w:rFonts w:cs="Courier New"/>
    </w:rPr>
  </w:style>
  <w:style w:type="character" w:styleId="ListLabel186">
    <w:name w:val="ListLabel 186"/>
    <w:qFormat/>
    <w:rPr>
      <w:rFonts w:cs="Courier New"/>
    </w:rPr>
  </w:style>
  <w:style w:type="character" w:styleId="ListLabel187">
    <w:name w:val="ListLabel 187"/>
    <w:qFormat/>
    <w:rPr>
      <w:rFonts w:cs="Courier New"/>
    </w:rPr>
  </w:style>
  <w:style w:type="character" w:styleId="ListLabel188">
    <w:name w:val="ListLabel 188"/>
    <w:qFormat/>
    <w:rPr>
      <w:rFonts w:cs="Courier New"/>
    </w:rPr>
  </w:style>
  <w:style w:type="character" w:styleId="ListLabel189">
    <w:name w:val="ListLabel 189"/>
    <w:qFormat/>
    <w:rPr>
      <w:rFonts w:cs="Courier New"/>
    </w:rPr>
  </w:style>
  <w:style w:type="character" w:styleId="ListLabel190">
    <w:name w:val="ListLabel 190"/>
    <w:qFormat/>
    <w:rPr>
      <w:rFonts w:cs="Courier New"/>
    </w:rPr>
  </w:style>
  <w:style w:type="character" w:styleId="ListLabel191">
    <w:name w:val="ListLabel 191"/>
    <w:qFormat/>
    <w:rPr>
      <w:rFonts w:cs="Courier New"/>
    </w:rPr>
  </w:style>
  <w:style w:type="character" w:styleId="ListLabel192">
    <w:name w:val="ListLabel 192"/>
    <w:qFormat/>
    <w:rPr>
      <w:rFonts w:cs="Courier New"/>
    </w:rPr>
  </w:style>
  <w:style w:type="character" w:styleId="ListLabel193">
    <w:name w:val="ListLabel 193"/>
    <w:qFormat/>
    <w:rPr>
      <w:rFonts w:cs="Courier New"/>
    </w:rPr>
  </w:style>
  <w:style w:type="character" w:styleId="ListLabel194">
    <w:name w:val="ListLabel 194"/>
    <w:qFormat/>
    <w:rPr>
      <w:rFonts w:cs="Courier New"/>
    </w:rPr>
  </w:style>
  <w:style w:type="character" w:styleId="ListLabel195">
    <w:name w:val="ListLabel 195"/>
    <w:qFormat/>
    <w:rPr>
      <w:rFonts w:cs="Courier New"/>
    </w:rPr>
  </w:style>
  <w:style w:type="character" w:styleId="ListLabel196">
    <w:name w:val="ListLabel 196"/>
    <w:qFormat/>
    <w:rPr>
      <w:rFonts w:cs="Courier New"/>
    </w:rPr>
  </w:style>
  <w:style w:type="character" w:styleId="ListLabel197">
    <w:name w:val="ListLabel 197"/>
    <w:qFormat/>
    <w:rPr>
      <w:rFonts w:cs="Courier New"/>
    </w:rPr>
  </w:style>
  <w:style w:type="character" w:styleId="ListLabel198">
    <w:name w:val="ListLabel 198"/>
    <w:qFormat/>
    <w:rPr>
      <w:rFonts w:cs="Courier New"/>
    </w:rPr>
  </w:style>
  <w:style w:type="character" w:styleId="ListLabel199">
    <w:name w:val="ListLabel 199"/>
    <w:qFormat/>
    <w:rPr>
      <w:rFonts w:cs="Courier New"/>
    </w:rPr>
  </w:style>
  <w:style w:type="character" w:styleId="ListLabel200">
    <w:name w:val="ListLabel 200"/>
    <w:qFormat/>
    <w:rPr>
      <w:rFonts w:cs="Courier New"/>
    </w:rPr>
  </w:style>
  <w:style w:type="character" w:styleId="ListLabel201">
    <w:name w:val="ListLabel 201"/>
    <w:qFormat/>
    <w:rPr>
      <w:rFonts w:cs="Courier New"/>
    </w:rPr>
  </w:style>
  <w:style w:type="character" w:styleId="ListLabel202">
    <w:name w:val="ListLabel 202"/>
    <w:qFormat/>
    <w:rPr>
      <w:rFonts w:cs="Courier New"/>
    </w:rPr>
  </w:style>
  <w:style w:type="character" w:styleId="ListLabel203">
    <w:name w:val="ListLabel 203"/>
    <w:qFormat/>
    <w:rPr>
      <w:rFonts w:cs="Courier New"/>
    </w:rPr>
  </w:style>
  <w:style w:type="character" w:styleId="ListLabel204">
    <w:name w:val="ListLabel 204"/>
    <w:qFormat/>
    <w:rPr>
      <w:rFonts w:cs="Courier New"/>
    </w:rPr>
  </w:style>
  <w:style w:type="character" w:styleId="ListLabel205">
    <w:name w:val="ListLabel 205"/>
    <w:qFormat/>
    <w:rPr>
      <w:rFonts w:cs="Courier New"/>
    </w:rPr>
  </w:style>
  <w:style w:type="character" w:styleId="ListLabel206">
    <w:name w:val="ListLabel 206"/>
    <w:qFormat/>
    <w:rPr>
      <w:rFonts w:cs="Courier New"/>
    </w:rPr>
  </w:style>
  <w:style w:type="character" w:styleId="ListLabel207">
    <w:name w:val="ListLabel 207"/>
    <w:qFormat/>
    <w:rPr>
      <w:rFonts w:cs="Courier New"/>
    </w:rPr>
  </w:style>
  <w:style w:type="character" w:styleId="ListLabel208">
    <w:name w:val="ListLabel 208"/>
    <w:qFormat/>
    <w:rPr>
      <w:rFonts w:cs="Courier New"/>
    </w:rPr>
  </w:style>
  <w:style w:type="character" w:styleId="ListLabel209">
    <w:name w:val="ListLabel 209"/>
    <w:qFormat/>
    <w:rPr>
      <w:rFonts w:cs="Courier New"/>
    </w:rPr>
  </w:style>
  <w:style w:type="character" w:styleId="ListLabel210">
    <w:name w:val="ListLabel 210"/>
    <w:qFormat/>
    <w:rPr>
      <w:rFonts w:cs="Courier New"/>
    </w:rPr>
  </w:style>
  <w:style w:type="character" w:styleId="ListLabel211">
    <w:name w:val="ListLabel 211"/>
    <w:qFormat/>
    <w:rPr>
      <w:rFonts w:cs="Courier New"/>
    </w:rPr>
  </w:style>
  <w:style w:type="character" w:styleId="ListLabel212">
    <w:name w:val="ListLabel 212"/>
    <w:qFormat/>
    <w:rPr>
      <w:rFonts w:cs="Courier New"/>
    </w:rPr>
  </w:style>
  <w:style w:type="character" w:styleId="ListLabel213">
    <w:name w:val="ListLabel 213"/>
    <w:qFormat/>
    <w:rPr>
      <w:rFonts w:cs="Courier New"/>
    </w:rPr>
  </w:style>
  <w:style w:type="character" w:styleId="ListLabel214">
    <w:name w:val="ListLabel 214"/>
    <w:qFormat/>
    <w:rPr>
      <w:rFonts w:cs="Courier New"/>
    </w:rPr>
  </w:style>
  <w:style w:type="character" w:styleId="ListLabel215">
    <w:name w:val="ListLabel 215"/>
    <w:qFormat/>
    <w:rPr>
      <w:rFonts w:cs="Courier New"/>
    </w:rPr>
  </w:style>
  <w:style w:type="character" w:styleId="ListLabel216">
    <w:name w:val="ListLabel 216"/>
    <w:qFormat/>
    <w:rPr>
      <w:rFonts w:cs="Courier New"/>
    </w:rPr>
  </w:style>
  <w:style w:type="character" w:styleId="ListLabel217">
    <w:name w:val="ListLabel 217"/>
    <w:qFormat/>
    <w:rPr>
      <w:rFonts w:cs="Courier New"/>
    </w:rPr>
  </w:style>
  <w:style w:type="character" w:styleId="ListLabel218">
    <w:name w:val="ListLabel 218"/>
    <w:qFormat/>
    <w:rPr>
      <w:rFonts w:cs="Courier New"/>
    </w:rPr>
  </w:style>
  <w:style w:type="character" w:styleId="ListLabel219">
    <w:name w:val="ListLabel 219"/>
    <w:qFormat/>
    <w:rPr>
      <w:rFonts w:cs="Courier New"/>
    </w:rPr>
  </w:style>
  <w:style w:type="character" w:styleId="ListLabel220">
    <w:name w:val="ListLabel 220"/>
    <w:qFormat/>
    <w:rPr>
      <w:rFonts w:cs="Courier New"/>
    </w:rPr>
  </w:style>
  <w:style w:type="character" w:styleId="ListLabel221">
    <w:name w:val="ListLabel 221"/>
    <w:qFormat/>
    <w:rPr>
      <w:rFonts w:cs="Courier New"/>
    </w:rPr>
  </w:style>
  <w:style w:type="character" w:styleId="ListLabel222">
    <w:name w:val="ListLabel 222"/>
    <w:qFormat/>
    <w:rPr>
      <w:rFonts w:cs="Courier New"/>
    </w:rPr>
  </w:style>
  <w:style w:type="character" w:styleId="ListLabel223">
    <w:name w:val="ListLabel 223"/>
    <w:qFormat/>
    <w:rPr>
      <w:rFonts w:cs="Courier New"/>
    </w:rPr>
  </w:style>
  <w:style w:type="character" w:styleId="ListLabel224">
    <w:name w:val="ListLabel 224"/>
    <w:qFormat/>
    <w:rPr>
      <w:rFonts w:cs="Courier New"/>
    </w:rPr>
  </w:style>
  <w:style w:type="character" w:styleId="ListLabel225">
    <w:name w:val="ListLabel 225"/>
    <w:qFormat/>
    <w:rPr>
      <w:rFonts w:cs="Courier New"/>
    </w:rPr>
  </w:style>
  <w:style w:type="character" w:styleId="ListLabel226">
    <w:name w:val="ListLabel 226"/>
    <w:qFormat/>
    <w:rPr>
      <w:rFonts w:cs="Courier New"/>
    </w:rPr>
  </w:style>
  <w:style w:type="character" w:styleId="ListLabel227">
    <w:name w:val="ListLabel 227"/>
    <w:qFormat/>
    <w:rPr>
      <w:rFonts w:cs="Courier New"/>
    </w:rPr>
  </w:style>
  <w:style w:type="character" w:styleId="ListLabel228">
    <w:name w:val="ListLabel 228"/>
    <w:qFormat/>
    <w:rPr>
      <w:rFonts w:cs="Courier New"/>
    </w:rPr>
  </w:style>
  <w:style w:type="character" w:styleId="ListLabel229">
    <w:name w:val="ListLabel 229"/>
    <w:qFormat/>
    <w:rPr>
      <w:rFonts w:cs="Courier New"/>
    </w:rPr>
  </w:style>
  <w:style w:type="character" w:styleId="ListLabel230">
    <w:name w:val="ListLabel 230"/>
    <w:qFormat/>
    <w:rPr>
      <w:rFonts w:cs="Courier New"/>
    </w:rPr>
  </w:style>
  <w:style w:type="character" w:styleId="ListLabel231">
    <w:name w:val="ListLabel 231"/>
    <w:qFormat/>
    <w:rPr>
      <w:rFonts w:cs="Courier New"/>
    </w:rPr>
  </w:style>
  <w:style w:type="character" w:styleId="ListLabel232">
    <w:name w:val="ListLabel 232"/>
    <w:qFormat/>
    <w:rPr>
      <w:rFonts w:cs="Courier New"/>
    </w:rPr>
  </w:style>
  <w:style w:type="character" w:styleId="ListLabel233">
    <w:name w:val="ListLabel 233"/>
    <w:qFormat/>
    <w:rPr>
      <w:rFonts w:cs="Courier New"/>
    </w:rPr>
  </w:style>
  <w:style w:type="character" w:styleId="ListLabel234">
    <w:name w:val="ListLabel 234"/>
    <w:qFormat/>
    <w:rPr>
      <w:rFonts w:cs="Courier New"/>
    </w:rPr>
  </w:style>
  <w:style w:type="character" w:styleId="ListLabel235">
    <w:name w:val="ListLabel 235"/>
    <w:qFormat/>
    <w:rPr>
      <w:rFonts w:cs="Courier New"/>
    </w:rPr>
  </w:style>
  <w:style w:type="character" w:styleId="ListLabel236">
    <w:name w:val="ListLabel 236"/>
    <w:qFormat/>
    <w:rPr>
      <w:rFonts w:cs="Courier New"/>
    </w:rPr>
  </w:style>
  <w:style w:type="character" w:styleId="ListLabel237">
    <w:name w:val="ListLabel 237"/>
    <w:qFormat/>
    <w:rPr>
      <w:rFonts w:cs="Courier New"/>
    </w:rPr>
  </w:style>
  <w:style w:type="character" w:styleId="ListLabel238">
    <w:name w:val="ListLabel 238"/>
    <w:qFormat/>
    <w:rPr>
      <w:rFonts w:cs="Courier New"/>
    </w:rPr>
  </w:style>
  <w:style w:type="character" w:styleId="ListLabel239">
    <w:name w:val="ListLabel 239"/>
    <w:qFormat/>
    <w:rPr>
      <w:rFonts w:cs="Courier New"/>
    </w:rPr>
  </w:style>
  <w:style w:type="character" w:styleId="ListLabel240">
    <w:name w:val="ListLabel 240"/>
    <w:qFormat/>
    <w:rPr>
      <w:rFonts w:cs="Courier New"/>
    </w:rPr>
  </w:style>
  <w:style w:type="character" w:styleId="ListLabel241">
    <w:name w:val="ListLabel 241"/>
    <w:qFormat/>
    <w:rPr>
      <w:rFonts w:cs="Courier New"/>
    </w:rPr>
  </w:style>
  <w:style w:type="character" w:styleId="ListLabel242">
    <w:name w:val="ListLabel 242"/>
    <w:qFormat/>
    <w:rPr>
      <w:rFonts w:cs="Courier New"/>
    </w:rPr>
  </w:style>
  <w:style w:type="character" w:styleId="ListLabel243">
    <w:name w:val="ListLabel 243"/>
    <w:qFormat/>
    <w:rPr>
      <w:rFonts w:cs="Courier New"/>
    </w:rPr>
  </w:style>
  <w:style w:type="character" w:styleId="ListLabel244">
    <w:name w:val="ListLabel 244"/>
    <w:qFormat/>
    <w:rPr>
      <w:rFonts w:cs="Courier New"/>
    </w:rPr>
  </w:style>
  <w:style w:type="character" w:styleId="ListLabel245">
    <w:name w:val="ListLabel 245"/>
    <w:qFormat/>
    <w:rPr>
      <w:rFonts w:cs="Courier New"/>
    </w:rPr>
  </w:style>
  <w:style w:type="character" w:styleId="ListLabel246">
    <w:name w:val="ListLabel 246"/>
    <w:qFormat/>
    <w:rPr>
      <w:rFonts w:cs="Courier New"/>
    </w:rPr>
  </w:style>
  <w:style w:type="character" w:styleId="ListLabel247">
    <w:name w:val="ListLabel 247"/>
    <w:qFormat/>
    <w:rPr>
      <w:rFonts w:cs="Courier New"/>
    </w:rPr>
  </w:style>
  <w:style w:type="character" w:styleId="ListLabel248">
    <w:name w:val="ListLabel 248"/>
    <w:qFormat/>
    <w:rPr>
      <w:rFonts w:cs="Courier New"/>
    </w:rPr>
  </w:style>
  <w:style w:type="character" w:styleId="ListLabel249">
    <w:name w:val="ListLabel 249"/>
    <w:qFormat/>
    <w:rPr>
      <w:rFonts w:cs="Courier New"/>
    </w:rPr>
  </w:style>
  <w:style w:type="character" w:styleId="ListLabel250">
    <w:name w:val="ListLabel 250"/>
    <w:qFormat/>
    <w:rPr>
      <w:rFonts w:cs="Courier New"/>
    </w:rPr>
  </w:style>
  <w:style w:type="character" w:styleId="ListLabel251">
    <w:name w:val="ListLabel 251"/>
    <w:qFormat/>
    <w:rPr>
      <w:rFonts w:cs="Courier New"/>
    </w:rPr>
  </w:style>
  <w:style w:type="character" w:styleId="ListLabel252">
    <w:name w:val="ListLabel 252"/>
    <w:qFormat/>
    <w:rPr>
      <w:rFonts w:cs="Courier New"/>
    </w:rPr>
  </w:style>
  <w:style w:type="character" w:styleId="ListLabel253">
    <w:name w:val="ListLabel 253"/>
    <w:qFormat/>
    <w:rPr>
      <w:rFonts w:cs="Courier New"/>
    </w:rPr>
  </w:style>
  <w:style w:type="character" w:styleId="ListLabel254">
    <w:name w:val="ListLabel 254"/>
    <w:qFormat/>
    <w:rPr>
      <w:rFonts w:cs="Courier New"/>
    </w:rPr>
  </w:style>
  <w:style w:type="character" w:styleId="ListLabel255">
    <w:name w:val="ListLabel 255"/>
    <w:qFormat/>
    <w:rPr>
      <w:rFonts w:cs="Courier New"/>
    </w:rPr>
  </w:style>
  <w:style w:type="character" w:styleId="ListLabel256">
    <w:name w:val="ListLabel 256"/>
    <w:qFormat/>
    <w:rPr>
      <w:rFonts w:cs="Courier New"/>
    </w:rPr>
  </w:style>
  <w:style w:type="character" w:styleId="ListLabel257">
    <w:name w:val="ListLabel 257"/>
    <w:qFormat/>
    <w:rPr>
      <w:rFonts w:cs="Courier New"/>
    </w:rPr>
  </w:style>
  <w:style w:type="character" w:styleId="ListLabel258">
    <w:name w:val="ListLabel 258"/>
    <w:qFormat/>
    <w:rPr>
      <w:rFonts w:cs="Courier New"/>
    </w:rPr>
  </w:style>
  <w:style w:type="character" w:styleId="ListLabel259">
    <w:name w:val="ListLabel 259"/>
    <w:qFormat/>
    <w:rPr>
      <w:rFonts w:cs="Courier New"/>
    </w:rPr>
  </w:style>
  <w:style w:type="character" w:styleId="ListLabel260">
    <w:name w:val="ListLabel 260"/>
    <w:qFormat/>
    <w:rPr>
      <w:rFonts w:cs="Courier New"/>
    </w:rPr>
  </w:style>
  <w:style w:type="character" w:styleId="ListLabel261">
    <w:name w:val="ListLabel 261"/>
    <w:qFormat/>
    <w:rPr>
      <w:rFonts w:cs="Courier New"/>
    </w:rPr>
  </w:style>
  <w:style w:type="character" w:styleId="ListLabel262">
    <w:name w:val="ListLabel 262"/>
    <w:qFormat/>
    <w:rPr>
      <w:rFonts w:cs="Courier New"/>
    </w:rPr>
  </w:style>
  <w:style w:type="character" w:styleId="ListLabel263">
    <w:name w:val="ListLabel 263"/>
    <w:qFormat/>
    <w:rPr>
      <w:rFonts w:cs="Courier New"/>
    </w:rPr>
  </w:style>
  <w:style w:type="character" w:styleId="ListLabel264">
    <w:name w:val="ListLabel 264"/>
    <w:qFormat/>
    <w:rPr>
      <w:rFonts w:cs="Courier New"/>
    </w:rPr>
  </w:style>
  <w:style w:type="character" w:styleId="ListLabel265">
    <w:name w:val="ListLabel 265"/>
    <w:qFormat/>
    <w:rPr>
      <w:rFonts w:cs="Courier New"/>
    </w:rPr>
  </w:style>
  <w:style w:type="character" w:styleId="ListLabel266">
    <w:name w:val="ListLabel 266"/>
    <w:qFormat/>
    <w:rPr>
      <w:rFonts w:cs="Courier New"/>
    </w:rPr>
  </w:style>
  <w:style w:type="character" w:styleId="ListLabel267">
    <w:name w:val="ListLabel 267"/>
    <w:qFormat/>
    <w:rPr>
      <w:rFonts w:cs="Courier New"/>
    </w:rPr>
  </w:style>
  <w:style w:type="character" w:styleId="ListLabel268">
    <w:name w:val="ListLabel 268"/>
    <w:qFormat/>
    <w:rPr>
      <w:rFonts w:cs="Courier New"/>
    </w:rPr>
  </w:style>
  <w:style w:type="character" w:styleId="ListLabel269">
    <w:name w:val="ListLabel 269"/>
    <w:qFormat/>
    <w:rPr>
      <w:rFonts w:cs="Courier New"/>
    </w:rPr>
  </w:style>
  <w:style w:type="character" w:styleId="ListLabel270">
    <w:name w:val="ListLabel 270"/>
    <w:qFormat/>
    <w:rPr>
      <w:rFonts w:cs="Courier New"/>
    </w:rPr>
  </w:style>
  <w:style w:type="character" w:styleId="ListLabel271">
    <w:name w:val="ListLabel 271"/>
    <w:qFormat/>
    <w:rPr>
      <w:rFonts w:cs="Courier New"/>
    </w:rPr>
  </w:style>
  <w:style w:type="character" w:styleId="ListLabel272">
    <w:name w:val="ListLabel 272"/>
    <w:qFormat/>
    <w:rPr>
      <w:rFonts w:cs="Courier New"/>
    </w:rPr>
  </w:style>
  <w:style w:type="character" w:styleId="ListLabel273">
    <w:name w:val="ListLabel 273"/>
    <w:qFormat/>
    <w:rPr>
      <w:rFonts w:cs="Courier New"/>
    </w:rPr>
  </w:style>
  <w:style w:type="character" w:styleId="ListLabel274">
    <w:name w:val="ListLabel 274"/>
    <w:qFormat/>
    <w:rPr>
      <w:rFonts w:cs="Courier New"/>
    </w:rPr>
  </w:style>
  <w:style w:type="character" w:styleId="ListLabel275">
    <w:name w:val="ListLabel 275"/>
    <w:qFormat/>
    <w:rPr>
      <w:rFonts w:cs="Courier New"/>
    </w:rPr>
  </w:style>
  <w:style w:type="character" w:styleId="ListLabel276">
    <w:name w:val="ListLabel 276"/>
    <w:qFormat/>
    <w:rPr>
      <w:rFonts w:cs="Courier New"/>
    </w:rPr>
  </w:style>
  <w:style w:type="character" w:styleId="ListLabel277">
    <w:name w:val="ListLabel 277"/>
    <w:qFormat/>
    <w:rPr>
      <w:rFonts w:cs="Courier New"/>
    </w:rPr>
  </w:style>
  <w:style w:type="character" w:styleId="ListLabel278">
    <w:name w:val="ListLabel 278"/>
    <w:qFormat/>
    <w:rPr>
      <w:rFonts w:cs="Courier New"/>
    </w:rPr>
  </w:style>
  <w:style w:type="character" w:styleId="ListLabel279">
    <w:name w:val="ListLabel 279"/>
    <w:qFormat/>
    <w:rPr>
      <w:rFonts w:cs="Courier New"/>
    </w:rPr>
  </w:style>
  <w:style w:type="character" w:styleId="ListLabel280">
    <w:name w:val="ListLabel 280"/>
    <w:qFormat/>
    <w:rPr>
      <w:rFonts w:cs="Courier New"/>
    </w:rPr>
  </w:style>
  <w:style w:type="character" w:styleId="ListLabel281">
    <w:name w:val="ListLabel 281"/>
    <w:qFormat/>
    <w:rPr>
      <w:rFonts w:cs="Courier New"/>
    </w:rPr>
  </w:style>
  <w:style w:type="character" w:styleId="ListLabel282">
    <w:name w:val="ListLabel 282"/>
    <w:qFormat/>
    <w:rPr>
      <w:rFonts w:cs="Courier New"/>
    </w:rPr>
  </w:style>
  <w:style w:type="character" w:styleId="ListLabel283">
    <w:name w:val="ListLabel 283"/>
    <w:qFormat/>
    <w:rPr>
      <w:rFonts w:cs="Courier New"/>
    </w:rPr>
  </w:style>
  <w:style w:type="character" w:styleId="ListLabel284">
    <w:name w:val="ListLabel 284"/>
    <w:qFormat/>
    <w:rPr>
      <w:rFonts w:cs="Courier New"/>
    </w:rPr>
  </w:style>
  <w:style w:type="character" w:styleId="ListLabel285">
    <w:name w:val="ListLabel 285"/>
    <w:qFormat/>
    <w:rPr>
      <w:rFonts w:cs="Courier New"/>
    </w:rPr>
  </w:style>
  <w:style w:type="character" w:styleId="ListLabel286">
    <w:name w:val="ListLabel 286"/>
    <w:qFormat/>
    <w:rPr>
      <w:rFonts w:cs="Courier New"/>
    </w:rPr>
  </w:style>
  <w:style w:type="character" w:styleId="ListLabel287">
    <w:name w:val="ListLabel 287"/>
    <w:qFormat/>
    <w:rPr>
      <w:rFonts w:cs="Courier New"/>
    </w:rPr>
  </w:style>
  <w:style w:type="character" w:styleId="ListLabel288">
    <w:name w:val="ListLabel 288"/>
    <w:qFormat/>
    <w:rPr>
      <w:rFonts w:cs="Courier New"/>
    </w:rPr>
  </w:style>
  <w:style w:type="character" w:styleId="ListLabel289">
    <w:name w:val="ListLabel 289"/>
    <w:qFormat/>
    <w:rPr>
      <w:rFonts w:cs="Courier New"/>
    </w:rPr>
  </w:style>
  <w:style w:type="character" w:styleId="ListLabel290">
    <w:name w:val="ListLabel 290"/>
    <w:qFormat/>
    <w:rPr>
      <w:rFonts w:cs="Courier New"/>
    </w:rPr>
  </w:style>
  <w:style w:type="character" w:styleId="ListLabel291">
    <w:name w:val="ListLabel 291"/>
    <w:qFormat/>
    <w:rPr>
      <w:rFonts w:cs="Courier New"/>
    </w:rPr>
  </w:style>
  <w:style w:type="character" w:styleId="ListLabel292">
    <w:name w:val="ListLabel 292"/>
    <w:qFormat/>
    <w:rPr>
      <w:rFonts w:cs="Courier New"/>
    </w:rPr>
  </w:style>
  <w:style w:type="character" w:styleId="ListLabel293">
    <w:name w:val="ListLabel 293"/>
    <w:qFormat/>
    <w:rPr>
      <w:rFonts w:cs="Courier New"/>
    </w:rPr>
  </w:style>
  <w:style w:type="character" w:styleId="ListLabel294">
    <w:name w:val="ListLabel 294"/>
    <w:qFormat/>
    <w:rPr>
      <w:rFonts w:cs="Courier New"/>
    </w:rPr>
  </w:style>
  <w:style w:type="character" w:styleId="ListLabel295">
    <w:name w:val="ListLabel 295"/>
    <w:qFormat/>
    <w:rPr>
      <w:rFonts w:cs="Courier New"/>
    </w:rPr>
  </w:style>
  <w:style w:type="character" w:styleId="ListLabel296">
    <w:name w:val="ListLabel 296"/>
    <w:qFormat/>
    <w:rPr>
      <w:rFonts w:cs="Courier New"/>
    </w:rPr>
  </w:style>
  <w:style w:type="character" w:styleId="ListLabel297">
    <w:name w:val="ListLabel 297"/>
    <w:qFormat/>
    <w:rPr>
      <w:rFonts w:cs="Courier New"/>
    </w:rPr>
  </w:style>
  <w:style w:type="character" w:styleId="ListLabel298">
    <w:name w:val="ListLabel 298"/>
    <w:qFormat/>
    <w:rPr>
      <w:rFonts w:cs="Courier New"/>
    </w:rPr>
  </w:style>
  <w:style w:type="character" w:styleId="ListLabel299">
    <w:name w:val="ListLabel 299"/>
    <w:qFormat/>
    <w:rPr>
      <w:rFonts w:cs="Courier New"/>
    </w:rPr>
  </w:style>
  <w:style w:type="character" w:styleId="ListLabel300">
    <w:name w:val="ListLabel 300"/>
    <w:qFormat/>
    <w:rPr>
      <w:rFonts w:cs="Courier New"/>
    </w:rPr>
  </w:style>
  <w:style w:type="character" w:styleId="ListLabel301">
    <w:name w:val="ListLabel 301"/>
    <w:qFormat/>
    <w:rPr>
      <w:rFonts w:cs="Courier New"/>
    </w:rPr>
  </w:style>
  <w:style w:type="character" w:styleId="ListLabel302">
    <w:name w:val="ListLabel 302"/>
    <w:qFormat/>
    <w:rPr>
      <w:rFonts w:cs="Courier New"/>
    </w:rPr>
  </w:style>
  <w:style w:type="character" w:styleId="ListLabel303">
    <w:name w:val="ListLabel 303"/>
    <w:qFormat/>
    <w:rPr>
      <w:rFonts w:cs="Courier New"/>
    </w:rPr>
  </w:style>
  <w:style w:type="character" w:styleId="ListLabel304">
    <w:name w:val="ListLabel 304"/>
    <w:qFormat/>
    <w:rPr>
      <w:rFonts w:cs="Courier New"/>
    </w:rPr>
  </w:style>
  <w:style w:type="character" w:styleId="ListLabel305">
    <w:name w:val="ListLabel 305"/>
    <w:qFormat/>
    <w:rPr>
      <w:rFonts w:cs="Courier New"/>
    </w:rPr>
  </w:style>
  <w:style w:type="character" w:styleId="ListLabel306">
    <w:name w:val="ListLabel 306"/>
    <w:qFormat/>
    <w:rPr>
      <w:sz w:val="20"/>
    </w:rPr>
  </w:style>
  <w:style w:type="character" w:styleId="ListLabel307">
    <w:name w:val="ListLabel 307"/>
    <w:qFormat/>
    <w:rPr>
      <w:rFonts w:cs="Courier New"/>
    </w:rPr>
  </w:style>
  <w:style w:type="character" w:styleId="ListLabel308">
    <w:name w:val="ListLabel 308"/>
    <w:qFormat/>
    <w:rPr>
      <w:rFonts w:cs="Courier New"/>
    </w:rPr>
  </w:style>
  <w:style w:type="character" w:styleId="ListLabel309">
    <w:name w:val="ListLabel 309"/>
    <w:qFormat/>
    <w:rPr>
      <w:rFonts w:cs="Courier New"/>
    </w:rPr>
  </w:style>
  <w:style w:type="character" w:styleId="ListLabel310">
    <w:name w:val="ListLabel 310"/>
    <w:qFormat/>
    <w:rPr>
      <w:sz w:val="20"/>
    </w:rPr>
  </w:style>
  <w:style w:type="character" w:styleId="ListLabel311">
    <w:name w:val="ListLabel 311"/>
    <w:qFormat/>
    <w:rPr>
      <w:sz w:val="20"/>
    </w:rPr>
  </w:style>
  <w:style w:type="character" w:styleId="ListLabel312">
    <w:name w:val="ListLabel 312"/>
    <w:qFormat/>
    <w:rPr>
      <w:rFonts w:ascii="Times New Roman" w:hAnsi="Times New Roman"/>
      <w:sz w:val="24"/>
    </w:rPr>
  </w:style>
  <w:style w:type="character" w:styleId="ListLabel313">
    <w:name w:val="ListLabel 313"/>
    <w:qFormat/>
    <w:rPr>
      <w:rFonts w:cs="Courier New"/>
    </w:rPr>
  </w:style>
  <w:style w:type="character" w:styleId="ListLabel314">
    <w:name w:val="ListLabel 314"/>
    <w:qFormat/>
    <w:rPr>
      <w:rFonts w:cs="Courier New"/>
    </w:rPr>
  </w:style>
  <w:style w:type="character" w:styleId="ListLabel315">
    <w:name w:val="ListLabel 315"/>
    <w:qFormat/>
    <w:rPr>
      <w:rFonts w:cs="Courier New"/>
    </w:rPr>
  </w:style>
  <w:style w:type="character" w:styleId="ListLabel316">
    <w:name w:val="ListLabel 316"/>
    <w:qFormat/>
    <w:rPr>
      <w:rFonts w:cs="Courier New"/>
    </w:rPr>
  </w:style>
  <w:style w:type="character" w:styleId="ListLabel317">
    <w:name w:val="ListLabel 317"/>
    <w:qFormat/>
    <w:rPr>
      <w:rFonts w:cs="Courier New"/>
    </w:rPr>
  </w:style>
  <w:style w:type="character" w:styleId="ListLabel318">
    <w:name w:val="ListLabel 318"/>
    <w:qFormat/>
    <w:rPr>
      <w:rFonts w:cs="Courier New"/>
    </w:rPr>
  </w:style>
  <w:style w:type="character" w:styleId="ListLabel319">
    <w:name w:val="ListLabel 319"/>
    <w:qFormat/>
    <w:rPr>
      <w:rFonts w:cs="Courier New"/>
    </w:rPr>
  </w:style>
  <w:style w:type="character" w:styleId="ListLabel320">
    <w:name w:val="ListLabel 320"/>
    <w:qFormat/>
    <w:rPr>
      <w:rFonts w:cs="Courier New"/>
    </w:rPr>
  </w:style>
  <w:style w:type="character" w:styleId="ListLabel321">
    <w:name w:val="ListLabel 321"/>
    <w:qFormat/>
    <w:rPr>
      <w:rFonts w:cs="Courier New"/>
    </w:rPr>
  </w:style>
  <w:style w:type="character" w:styleId="ListLabel322">
    <w:name w:val="ListLabel 322"/>
    <w:qFormat/>
    <w:rPr>
      <w:rFonts w:cs="Courier New"/>
    </w:rPr>
  </w:style>
  <w:style w:type="character" w:styleId="ListLabel323">
    <w:name w:val="ListLabel 323"/>
    <w:qFormat/>
    <w:rPr>
      <w:rFonts w:cs="Courier New"/>
    </w:rPr>
  </w:style>
  <w:style w:type="character" w:styleId="ListLabel324">
    <w:name w:val="ListLabel 324"/>
    <w:qFormat/>
    <w:rPr>
      <w:rFonts w:cs="Courier New"/>
    </w:rPr>
  </w:style>
  <w:style w:type="character" w:styleId="ListLabel325">
    <w:name w:val="ListLabel 325"/>
    <w:qFormat/>
    <w:rPr>
      <w:rFonts w:cs="Courier New"/>
    </w:rPr>
  </w:style>
  <w:style w:type="character" w:styleId="ListLabel326">
    <w:name w:val="ListLabel 326"/>
    <w:qFormat/>
    <w:rPr>
      <w:rFonts w:cs="Courier New"/>
    </w:rPr>
  </w:style>
  <w:style w:type="character" w:styleId="ListLabel327">
    <w:name w:val="ListLabel 327"/>
    <w:qFormat/>
    <w:rPr>
      <w:rFonts w:cs="Courier New"/>
    </w:rPr>
  </w:style>
  <w:style w:type="character" w:styleId="ListLabel328">
    <w:name w:val="ListLabel 328"/>
    <w:qFormat/>
    <w:rPr>
      <w:rFonts w:cs="Courier New"/>
    </w:rPr>
  </w:style>
  <w:style w:type="character" w:styleId="ListLabel329">
    <w:name w:val="ListLabel 329"/>
    <w:qFormat/>
    <w:rPr>
      <w:rFonts w:cs="Courier New"/>
    </w:rPr>
  </w:style>
  <w:style w:type="character" w:styleId="ListLabel330">
    <w:name w:val="ListLabel 330"/>
    <w:qFormat/>
    <w:rPr>
      <w:rFonts w:cs="Courier New"/>
    </w:rPr>
  </w:style>
  <w:style w:type="character" w:styleId="ListLabel331">
    <w:name w:val="ListLabel 331"/>
    <w:qFormat/>
    <w:rPr>
      <w:rFonts w:cs="Courier New"/>
    </w:rPr>
  </w:style>
  <w:style w:type="character" w:styleId="ListLabel332">
    <w:name w:val="ListLabel 332"/>
    <w:qFormat/>
    <w:rPr>
      <w:rFonts w:cs="Courier New"/>
    </w:rPr>
  </w:style>
  <w:style w:type="character" w:styleId="ListLabel333">
    <w:name w:val="ListLabel 333"/>
    <w:qFormat/>
    <w:rPr>
      <w:rFonts w:cs="Courier New"/>
    </w:rPr>
  </w:style>
  <w:style w:type="character" w:styleId="ListLabel334">
    <w:name w:val="ListLabel 334"/>
    <w:qFormat/>
    <w:rPr>
      <w:rFonts w:cs="Courier New"/>
    </w:rPr>
  </w:style>
  <w:style w:type="character" w:styleId="ListLabel335">
    <w:name w:val="ListLabel 335"/>
    <w:qFormat/>
    <w:rPr>
      <w:rFonts w:cs="Courier New"/>
    </w:rPr>
  </w:style>
  <w:style w:type="character" w:styleId="ListLabel336">
    <w:name w:val="ListLabel 336"/>
    <w:qFormat/>
    <w:rPr>
      <w:rFonts w:cs="Courier New"/>
    </w:rPr>
  </w:style>
  <w:style w:type="character" w:styleId="ListLabel337">
    <w:name w:val="ListLabel 337"/>
    <w:qFormat/>
    <w:rPr>
      <w:rFonts w:cs="Courier New"/>
    </w:rPr>
  </w:style>
  <w:style w:type="character" w:styleId="ListLabel338">
    <w:name w:val="ListLabel 338"/>
    <w:qFormat/>
    <w:rPr>
      <w:rFonts w:cs="Courier New"/>
    </w:rPr>
  </w:style>
  <w:style w:type="character" w:styleId="ListLabel339">
    <w:name w:val="ListLabel 339"/>
    <w:qFormat/>
    <w:rPr>
      <w:rFonts w:cs="Courier New"/>
    </w:rPr>
  </w:style>
  <w:style w:type="character" w:styleId="ListLabel340">
    <w:name w:val="ListLabel 340"/>
    <w:qFormat/>
    <w:rPr>
      <w:rFonts w:cs="Courier New"/>
    </w:rPr>
  </w:style>
  <w:style w:type="character" w:styleId="ListLabel341">
    <w:name w:val="ListLabel 341"/>
    <w:qFormat/>
    <w:rPr>
      <w:rFonts w:cs="Courier New"/>
    </w:rPr>
  </w:style>
  <w:style w:type="character" w:styleId="ListLabel342">
    <w:name w:val="ListLabel 342"/>
    <w:qFormat/>
    <w:rPr>
      <w:rFonts w:cs="Courier New"/>
    </w:rPr>
  </w:style>
  <w:style w:type="character" w:styleId="ListLabel343">
    <w:name w:val="ListLabel 343"/>
    <w:qFormat/>
    <w:rPr>
      <w:rFonts w:cs="Courier New"/>
    </w:rPr>
  </w:style>
  <w:style w:type="character" w:styleId="ListLabel344">
    <w:name w:val="ListLabel 344"/>
    <w:qFormat/>
    <w:rPr>
      <w:rFonts w:cs="Courier New"/>
    </w:rPr>
  </w:style>
  <w:style w:type="character" w:styleId="ListLabel345">
    <w:name w:val="ListLabel 345"/>
    <w:qFormat/>
    <w:rPr>
      <w:rFonts w:cs="Courier New"/>
    </w:rPr>
  </w:style>
  <w:style w:type="character" w:styleId="ListLabel346">
    <w:name w:val="ListLabel 346"/>
    <w:qFormat/>
    <w:rPr>
      <w:rFonts w:cs="Courier New"/>
    </w:rPr>
  </w:style>
  <w:style w:type="character" w:styleId="ListLabel347">
    <w:name w:val="ListLabel 347"/>
    <w:qFormat/>
    <w:rPr>
      <w:rFonts w:cs="Courier New"/>
    </w:rPr>
  </w:style>
  <w:style w:type="character" w:styleId="ListLabel348">
    <w:name w:val="ListLabel 348"/>
    <w:qFormat/>
    <w:rPr>
      <w:rFonts w:cs="Courier New"/>
    </w:rPr>
  </w:style>
  <w:style w:type="character" w:styleId="ListLabel349">
    <w:name w:val="ListLabel 349"/>
    <w:qFormat/>
    <w:rPr>
      <w:rFonts w:eastAsia="Times New Roman" w:cs="Calibri"/>
    </w:rPr>
  </w:style>
  <w:style w:type="character" w:styleId="ListLabel350">
    <w:name w:val="ListLabel 350"/>
    <w:qFormat/>
    <w:rPr>
      <w:rFonts w:cs="Courier New"/>
    </w:rPr>
  </w:style>
  <w:style w:type="character" w:styleId="ListLabel351">
    <w:name w:val="ListLabel 351"/>
    <w:qFormat/>
    <w:rPr>
      <w:rFonts w:cs="Courier New"/>
    </w:rPr>
  </w:style>
  <w:style w:type="character" w:styleId="ListLabel352">
    <w:name w:val="ListLabel 352"/>
    <w:qFormat/>
    <w:rPr>
      <w:rFonts w:cs="Courier New"/>
    </w:rPr>
  </w:style>
  <w:style w:type="character" w:styleId="ListLabel353">
    <w:name w:val="ListLabel 353"/>
    <w:qFormat/>
    <w:rPr>
      <w:rFonts w:cs="Courier New"/>
    </w:rPr>
  </w:style>
  <w:style w:type="character" w:styleId="ListLabel354">
    <w:name w:val="ListLabel 354"/>
    <w:qFormat/>
    <w:rPr>
      <w:rFonts w:cs="Courier New"/>
    </w:rPr>
  </w:style>
  <w:style w:type="character" w:styleId="ListLabel355">
    <w:name w:val="ListLabel 355"/>
    <w:qFormat/>
    <w:rPr>
      <w:rFonts w:cs="Courier New"/>
    </w:rPr>
  </w:style>
  <w:style w:type="character" w:styleId="ListLabel356">
    <w:name w:val="ListLabel 356"/>
    <w:qFormat/>
    <w:rPr>
      <w:rFonts w:cs="Courier New"/>
    </w:rPr>
  </w:style>
  <w:style w:type="character" w:styleId="ListLabel357">
    <w:name w:val="ListLabel 357"/>
    <w:qFormat/>
    <w:rPr>
      <w:rFonts w:cs="Courier New"/>
    </w:rPr>
  </w:style>
  <w:style w:type="character" w:styleId="ListLabel358">
    <w:name w:val="ListLabel 358"/>
    <w:qFormat/>
    <w:rPr>
      <w:rFonts w:cs="Courier New"/>
    </w:rPr>
  </w:style>
  <w:style w:type="character" w:styleId="ListLabel359">
    <w:name w:val="ListLabel 359"/>
    <w:qFormat/>
    <w:rPr>
      <w:rFonts w:cs="Courier New"/>
    </w:rPr>
  </w:style>
  <w:style w:type="character" w:styleId="ListLabel360">
    <w:name w:val="ListLabel 360"/>
    <w:qFormat/>
    <w:rPr>
      <w:rFonts w:cs="Courier New"/>
    </w:rPr>
  </w:style>
  <w:style w:type="character" w:styleId="ListLabel361">
    <w:name w:val="ListLabel 361"/>
    <w:qFormat/>
    <w:rPr>
      <w:rFonts w:cs="Courier New"/>
    </w:rPr>
  </w:style>
  <w:style w:type="character" w:styleId="ListLabel362">
    <w:name w:val="ListLabel 362"/>
    <w:qFormat/>
    <w:rPr>
      <w:rFonts w:cs="Courier New"/>
    </w:rPr>
  </w:style>
  <w:style w:type="character" w:styleId="ListLabel363">
    <w:name w:val="ListLabel 363"/>
    <w:qFormat/>
    <w:rPr>
      <w:rFonts w:cs="Courier New"/>
    </w:rPr>
  </w:style>
  <w:style w:type="character" w:styleId="ListLabel364">
    <w:name w:val="ListLabel 364"/>
    <w:qFormat/>
    <w:rPr>
      <w:rFonts w:cs="Courier New"/>
    </w:rPr>
  </w:style>
  <w:style w:type="character" w:styleId="ListLabel365">
    <w:name w:val="ListLabel 365"/>
    <w:qFormat/>
    <w:rPr>
      <w:rFonts w:cs="Courier New"/>
    </w:rPr>
  </w:style>
  <w:style w:type="character" w:styleId="ListLabel366">
    <w:name w:val="ListLabel 366"/>
    <w:qFormat/>
    <w:rPr>
      <w:rFonts w:cs="Courier New"/>
    </w:rPr>
  </w:style>
  <w:style w:type="character" w:styleId="ListLabel367">
    <w:name w:val="ListLabel 367"/>
    <w:qFormat/>
    <w:rPr>
      <w:rFonts w:cs="Courier New"/>
    </w:rPr>
  </w:style>
  <w:style w:type="character" w:styleId="ListLabel368">
    <w:name w:val="ListLabel 368"/>
    <w:qFormat/>
    <w:rPr>
      <w:rFonts w:cs="Courier New"/>
    </w:rPr>
  </w:style>
  <w:style w:type="character" w:styleId="ListLabel369">
    <w:name w:val="ListLabel 369"/>
    <w:qFormat/>
    <w:rPr>
      <w:rFonts w:cs="Courier New"/>
    </w:rPr>
  </w:style>
  <w:style w:type="character" w:styleId="ListLabel370">
    <w:name w:val="ListLabel 370"/>
    <w:qFormat/>
    <w:rPr>
      <w:rFonts w:cs="Courier New"/>
    </w:rPr>
  </w:style>
  <w:style w:type="character" w:styleId="ListLabel371">
    <w:name w:val="ListLabel 371"/>
    <w:qFormat/>
    <w:rPr>
      <w:rFonts w:cs="Courier New"/>
    </w:rPr>
  </w:style>
  <w:style w:type="character" w:styleId="ListLabel372">
    <w:name w:val="ListLabel 372"/>
    <w:qFormat/>
    <w:rPr>
      <w:rFonts w:cs="Courier New"/>
    </w:rPr>
  </w:style>
  <w:style w:type="character" w:styleId="ListLabel373">
    <w:name w:val="ListLabel 373"/>
    <w:qFormat/>
    <w:rPr>
      <w:rFonts w:cs="Courier New"/>
    </w:rPr>
  </w:style>
  <w:style w:type="character" w:styleId="ListLabel374">
    <w:name w:val="ListLabel 374"/>
    <w:qFormat/>
    <w:rPr>
      <w:rFonts w:cs="Courier New"/>
    </w:rPr>
  </w:style>
  <w:style w:type="character" w:styleId="ListLabel375">
    <w:name w:val="ListLabel 375"/>
    <w:qFormat/>
    <w:rPr>
      <w:rFonts w:cs="Courier New"/>
    </w:rPr>
  </w:style>
  <w:style w:type="character" w:styleId="ListLabel376">
    <w:name w:val="ListLabel 376"/>
    <w:qFormat/>
    <w:rPr>
      <w:rFonts w:cs="Courier New"/>
    </w:rPr>
  </w:style>
  <w:style w:type="character" w:styleId="ListLabel377">
    <w:name w:val="ListLabel 377"/>
    <w:qFormat/>
    <w:rPr>
      <w:rFonts w:cs="Courier New"/>
    </w:rPr>
  </w:style>
  <w:style w:type="character" w:styleId="ListLabel378">
    <w:name w:val="ListLabel 378"/>
    <w:qFormat/>
    <w:rPr>
      <w:rFonts w:cs="Courier New"/>
    </w:rPr>
  </w:style>
  <w:style w:type="character" w:styleId="ListLabel379">
    <w:name w:val="ListLabel 379"/>
    <w:qFormat/>
    <w:rPr>
      <w:sz w:val="20"/>
    </w:rPr>
  </w:style>
  <w:style w:type="character" w:styleId="ListLabel380">
    <w:name w:val="ListLabel 380"/>
    <w:qFormat/>
    <w:rPr>
      <w:rFonts w:cs="Courier New"/>
    </w:rPr>
  </w:style>
  <w:style w:type="character" w:styleId="ListLabel381">
    <w:name w:val="ListLabel 381"/>
    <w:qFormat/>
    <w:rPr>
      <w:rFonts w:cs="Courier New"/>
    </w:rPr>
  </w:style>
  <w:style w:type="character" w:styleId="ListLabel382">
    <w:name w:val="ListLabel 382"/>
    <w:qFormat/>
    <w:rPr>
      <w:rFonts w:cs="Courier New"/>
    </w:rPr>
  </w:style>
  <w:style w:type="character" w:styleId="ListLabel383">
    <w:name w:val="ListLabel 383"/>
    <w:qFormat/>
    <w:rPr>
      <w:rFonts w:cs="Courier New"/>
    </w:rPr>
  </w:style>
  <w:style w:type="character" w:styleId="ListLabel384">
    <w:name w:val="ListLabel 384"/>
    <w:qFormat/>
    <w:rPr>
      <w:rFonts w:cs="Courier New"/>
    </w:rPr>
  </w:style>
  <w:style w:type="character" w:styleId="ListLabel385">
    <w:name w:val="ListLabel 385"/>
    <w:qFormat/>
    <w:rPr>
      <w:rFonts w:cs="Courier New"/>
    </w:rPr>
  </w:style>
  <w:style w:type="character" w:styleId="ListLabel386">
    <w:name w:val="ListLabel 386"/>
    <w:qFormat/>
    <w:rPr>
      <w:rFonts w:cs="Courier New"/>
    </w:rPr>
  </w:style>
  <w:style w:type="character" w:styleId="ListLabel387">
    <w:name w:val="ListLabel 387"/>
    <w:qFormat/>
    <w:rPr>
      <w:rFonts w:cs="Courier New"/>
    </w:rPr>
  </w:style>
  <w:style w:type="character" w:styleId="ListLabel388">
    <w:name w:val="ListLabel 388"/>
    <w:qFormat/>
    <w:rPr>
      <w:rFonts w:cs="Courier New"/>
    </w:rPr>
  </w:style>
  <w:style w:type="character" w:styleId="ListLabel389">
    <w:name w:val="ListLabel 389"/>
    <w:qFormat/>
    <w:rPr>
      <w:rFonts w:cs="Courier New"/>
    </w:rPr>
  </w:style>
  <w:style w:type="character" w:styleId="ListLabel390">
    <w:name w:val="ListLabel 390"/>
    <w:qFormat/>
    <w:rPr>
      <w:rFonts w:cs="Courier New"/>
    </w:rPr>
  </w:style>
  <w:style w:type="character" w:styleId="ListLabel391">
    <w:name w:val="ListLabel 391"/>
    <w:qFormat/>
    <w:rPr>
      <w:rFonts w:cs="Courier New"/>
    </w:rPr>
  </w:style>
  <w:style w:type="character" w:styleId="ListLabel392">
    <w:name w:val="ListLabel 392"/>
    <w:qFormat/>
    <w:rPr>
      <w:sz w:val="20"/>
    </w:rPr>
  </w:style>
  <w:style w:type="character" w:styleId="ListLabel393">
    <w:name w:val="ListLabel 393"/>
    <w:qFormat/>
    <w:rPr>
      <w:rFonts w:cs="Courier New"/>
    </w:rPr>
  </w:style>
  <w:style w:type="character" w:styleId="ListLabel394">
    <w:name w:val="ListLabel 394"/>
    <w:qFormat/>
    <w:rPr>
      <w:rFonts w:cs="Courier New"/>
    </w:rPr>
  </w:style>
  <w:style w:type="character" w:styleId="ListLabel395">
    <w:name w:val="ListLabel 395"/>
    <w:qFormat/>
    <w:rPr>
      <w:rFonts w:cs="Courier New"/>
    </w:rPr>
  </w:style>
  <w:style w:type="character" w:styleId="ListLabel396">
    <w:name w:val="ListLabel 396"/>
    <w:qFormat/>
    <w:rPr>
      <w:rFonts w:cs="Courier New"/>
    </w:rPr>
  </w:style>
  <w:style w:type="character" w:styleId="ListLabel397">
    <w:name w:val="ListLabel 397"/>
    <w:qFormat/>
    <w:rPr>
      <w:rFonts w:cs="Courier New"/>
    </w:rPr>
  </w:style>
  <w:style w:type="character" w:styleId="ListLabel398">
    <w:name w:val="ListLabel 398"/>
    <w:qFormat/>
    <w:rPr>
      <w:rFonts w:cs="Courier New"/>
    </w:rPr>
  </w:style>
  <w:style w:type="character" w:styleId="ListLabel399">
    <w:name w:val="ListLabel 399"/>
    <w:qFormat/>
    <w:rPr>
      <w:rFonts w:cs="Courier New"/>
    </w:rPr>
  </w:style>
  <w:style w:type="character" w:styleId="ListLabel400">
    <w:name w:val="ListLabel 400"/>
    <w:qFormat/>
    <w:rPr>
      <w:rFonts w:cs="Courier New"/>
    </w:rPr>
  </w:style>
  <w:style w:type="character" w:styleId="ListLabel401">
    <w:name w:val="ListLabel 401"/>
    <w:qFormat/>
    <w:rPr>
      <w:rFonts w:cs="Courier New"/>
    </w:rPr>
  </w:style>
  <w:style w:type="character" w:styleId="ListLabel402">
    <w:name w:val="ListLabel 402"/>
    <w:qFormat/>
    <w:rPr>
      <w:rFonts w:cs="Courier New"/>
    </w:rPr>
  </w:style>
  <w:style w:type="character" w:styleId="ListLabel403">
    <w:name w:val="ListLabel 403"/>
    <w:qFormat/>
    <w:rPr>
      <w:rFonts w:cs="Courier New"/>
    </w:rPr>
  </w:style>
  <w:style w:type="character" w:styleId="ListLabel404">
    <w:name w:val="ListLabel 404"/>
    <w:qFormat/>
    <w:rPr>
      <w:rFonts w:cs="Courier New"/>
    </w:rPr>
  </w:style>
  <w:style w:type="character" w:styleId="ListLabel405">
    <w:name w:val="ListLabel 405"/>
    <w:qFormat/>
    <w:rPr>
      <w:rFonts w:cs="Courier New"/>
    </w:rPr>
  </w:style>
  <w:style w:type="character" w:styleId="ListLabel406">
    <w:name w:val="ListLabel 406"/>
    <w:qFormat/>
    <w:rPr>
      <w:rFonts w:cs="Courier New"/>
    </w:rPr>
  </w:style>
  <w:style w:type="character" w:styleId="ListLabel407">
    <w:name w:val="ListLabel 407"/>
    <w:qFormat/>
    <w:rPr>
      <w:rFonts w:cs="Courier New"/>
    </w:rPr>
  </w:style>
  <w:style w:type="character" w:styleId="ListLabel408">
    <w:name w:val="ListLabel 408"/>
    <w:qFormat/>
    <w:rPr>
      <w:sz w:val="20"/>
    </w:rPr>
  </w:style>
  <w:style w:type="character" w:styleId="ListLabel409">
    <w:name w:val="ListLabel 409"/>
    <w:qFormat/>
    <w:rPr>
      <w:rFonts w:cs="Courier New"/>
    </w:rPr>
  </w:style>
  <w:style w:type="character" w:styleId="ListLabel410">
    <w:name w:val="ListLabel 410"/>
    <w:qFormat/>
    <w:rPr>
      <w:rFonts w:cs="Courier New"/>
    </w:rPr>
  </w:style>
  <w:style w:type="character" w:styleId="ListLabel411">
    <w:name w:val="ListLabel 411"/>
    <w:qFormat/>
    <w:rPr>
      <w:rFonts w:cs="Courier New"/>
    </w:rPr>
  </w:style>
  <w:style w:type="character" w:styleId="ListLabel412">
    <w:name w:val="ListLabel 412"/>
    <w:qFormat/>
    <w:rPr>
      <w:rFonts w:cs="Courier New"/>
    </w:rPr>
  </w:style>
  <w:style w:type="character" w:styleId="ListLabel413">
    <w:name w:val="ListLabel 413"/>
    <w:qFormat/>
    <w:rPr>
      <w:rFonts w:cs="Courier New"/>
    </w:rPr>
  </w:style>
  <w:style w:type="character" w:styleId="ListLabel414">
    <w:name w:val="ListLabel 414"/>
    <w:qFormat/>
    <w:rPr>
      <w:rFonts w:cs="Courier New"/>
    </w:rPr>
  </w:style>
  <w:style w:type="character" w:styleId="ListLabel415">
    <w:name w:val="ListLabel 415"/>
    <w:qFormat/>
    <w:rPr>
      <w:rFonts w:cs="Courier New"/>
    </w:rPr>
  </w:style>
  <w:style w:type="character" w:styleId="ListLabel416">
    <w:name w:val="ListLabel 416"/>
    <w:qFormat/>
    <w:rPr>
      <w:rFonts w:cs="Courier New"/>
    </w:rPr>
  </w:style>
  <w:style w:type="character" w:styleId="ListLabel417">
    <w:name w:val="ListLabel 417"/>
    <w:qFormat/>
    <w:rPr>
      <w:rFonts w:cs="Courier New"/>
    </w:rPr>
  </w:style>
  <w:style w:type="character" w:styleId="ListLabel418">
    <w:name w:val="ListLabel 418"/>
    <w:qFormat/>
    <w:rPr>
      <w:rFonts w:cs="Courier New"/>
    </w:rPr>
  </w:style>
  <w:style w:type="character" w:styleId="ListLabel419">
    <w:name w:val="ListLabel 419"/>
    <w:qFormat/>
    <w:rPr>
      <w:rFonts w:cs="Courier New"/>
    </w:rPr>
  </w:style>
  <w:style w:type="character" w:styleId="ListLabel420">
    <w:name w:val="ListLabel 420"/>
    <w:qFormat/>
    <w:rPr>
      <w:rFonts w:cs="Courier New"/>
    </w:rPr>
  </w:style>
  <w:style w:type="character" w:styleId="ListLabel421">
    <w:name w:val="ListLabel 421"/>
    <w:qFormat/>
    <w:rPr>
      <w:rFonts w:cs="Courier New"/>
    </w:rPr>
  </w:style>
  <w:style w:type="character" w:styleId="ListLabel422">
    <w:name w:val="ListLabel 422"/>
    <w:qFormat/>
    <w:rPr>
      <w:rFonts w:cs="Courier New"/>
    </w:rPr>
  </w:style>
  <w:style w:type="character" w:styleId="ListLabel423">
    <w:name w:val="ListLabel 423"/>
    <w:qFormat/>
    <w:rPr>
      <w:rFonts w:cs="Courier New"/>
    </w:rPr>
  </w:style>
  <w:style w:type="character" w:styleId="ListLabel424">
    <w:name w:val="ListLabel 424"/>
    <w:qFormat/>
    <w:rPr>
      <w:rFonts w:cs="Courier New"/>
    </w:rPr>
  </w:style>
  <w:style w:type="character" w:styleId="ListLabel425">
    <w:name w:val="ListLabel 425"/>
    <w:qFormat/>
    <w:rPr>
      <w:rFonts w:cs="Courier New"/>
    </w:rPr>
  </w:style>
  <w:style w:type="character" w:styleId="ListLabel426">
    <w:name w:val="ListLabel 426"/>
    <w:qFormat/>
    <w:rPr>
      <w:rFonts w:cs="Courier New"/>
    </w:rPr>
  </w:style>
  <w:style w:type="character" w:styleId="ListLabel427">
    <w:name w:val="ListLabel 427"/>
    <w:qFormat/>
    <w:rPr>
      <w:rFonts w:cs="Courier New"/>
    </w:rPr>
  </w:style>
  <w:style w:type="character" w:styleId="ListLabel428">
    <w:name w:val="ListLabel 428"/>
    <w:qFormat/>
    <w:rPr>
      <w:rFonts w:cs="Courier New"/>
    </w:rPr>
  </w:style>
  <w:style w:type="character" w:styleId="ListLabel429">
    <w:name w:val="ListLabel 429"/>
    <w:qFormat/>
    <w:rPr>
      <w:rFonts w:cs="Courier New"/>
    </w:rPr>
  </w:style>
  <w:style w:type="character" w:styleId="ListLabel430">
    <w:name w:val="ListLabel 430"/>
    <w:qFormat/>
    <w:rPr>
      <w:rFonts w:cs="Courier New"/>
    </w:rPr>
  </w:style>
  <w:style w:type="character" w:styleId="ListLabel431">
    <w:name w:val="ListLabel 431"/>
    <w:qFormat/>
    <w:rPr>
      <w:rFonts w:cs="Courier New"/>
    </w:rPr>
  </w:style>
  <w:style w:type="character" w:styleId="ListLabel432">
    <w:name w:val="ListLabel 432"/>
    <w:qFormat/>
    <w:rPr>
      <w:rFonts w:cs="Courier New"/>
    </w:rPr>
  </w:style>
  <w:style w:type="character" w:styleId="ListLabel433">
    <w:name w:val="ListLabel 433"/>
    <w:qFormat/>
    <w:rPr>
      <w:rFonts w:cs="Courier New"/>
    </w:rPr>
  </w:style>
  <w:style w:type="character" w:styleId="ListLabel434">
    <w:name w:val="ListLabel 434"/>
    <w:qFormat/>
    <w:rPr>
      <w:rFonts w:cs="Courier New"/>
    </w:rPr>
  </w:style>
  <w:style w:type="character" w:styleId="ListLabel435">
    <w:name w:val="ListLabel 435"/>
    <w:qFormat/>
    <w:rPr>
      <w:rFonts w:cs="Courier New"/>
    </w:rPr>
  </w:style>
  <w:style w:type="character" w:styleId="ListLabel436">
    <w:name w:val="ListLabel 436"/>
    <w:qFormat/>
    <w:rPr>
      <w:rFonts w:cs="Courier New"/>
    </w:rPr>
  </w:style>
  <w:style w:type="character" w:styleId="ListLabel437">
    <w:name w:val="ListLabel 437"/>
    <w:qFormat/>
    <w:rPr>
      <w:rFonts w:cs="Courier New"/>
    </w:rPr>
  </w:style>
  <w:style w:type="character" w:styleId="ListLabel438">
    <w:name w:val="ListLabel 438"/>
    <w:qFormat/>
    <w:rPr>
      <w:rFonts w:cs="Courier New"/>
    </w:rPr>
  </w:style>
  <w:style w:type="character" w:styleId="ListLabel439">
    <w:name w:val="ListLabel 439"/>
    <w:qFormat/>
    <w:rPr>
      <w:rFonts w:cs="Courier New"/>
    </w:rPr>
  </w:style>
  <w:style w:type="character" w:styleId="ListLabel440">
    <w:name w:val="ListLabel 440"/>
    <w:qFormat/>
    <w:rPr>
      <w:rFonts w:cs="Courier New"/>
    </w:rPr>
  </w:style>
  <w:style w:type="character" w:styleId="ListLabel441">
    <w:name w:val="ListLabel 441"/>
    <w:qFormat/>
    <w:rPr>
      <w:rFonts w:cs="Courier New"/>
    </w:rPr>
  </w:style>
  <w:style w:type="character" w:styleId="ListLabel442">
    <w:name w:val="ListLabel 442"/>
    <w:qFormat/>
    <w:rPr>
      <w:sz w:val="20"/>
    </w:rPr>
  </w:style>
  <w:style w:type="character" w:styleId="ListLabel443">
    <w:name w:val="ListLabel 443"/>
    <w:qFormat/>
    <w:rPr>
      <w:rFonts w:cs="Courier New"/>
    </w:rPr>
  </w:style>
  <w:style w:type="character" w:styleId="ListLabel444">
    <w:name w:val="ListLabel 444"/>
    <w:qFormat/>
    <w:rPr>
      <w:rFonts w:cs="Courier New"/>
    </w:rPr>
  </w:style>
  <w:style w:type="character" w:styleId="ListLabel445">
    <w:name w:val="ListLabel 445"/>
    <w:qFormat/>
    <w:rPr>
      <w:rFonts w:cs="Courier New"/>
    </w:rPr>
  </w:style>
  <w:style w:type="character" w:styleId="ListLabel446">
    <w:name w:val="ListLabel 446"/>
    <w:qFormat/>
    <w:rPr>
      <w:rFonts w:cs="Courier New"/>
    </w:rPr>
  </w:style>
  <w:style w:type="character" w:styleId="ListLabel447">
    <w:name w:val="ListLabel 447"/>
    <w:qFormat/>
    <w:rPr>
      <w:rFonts w:cs="Courier New"/>
    </w:rPr>
  </w:style>
  <w:style w:type="character" w:styleId="ListLabel448">
    <w:name w:val="ListLabel 448"/>
    <w:qFormat/>
    <w:rPr>
      <w:rFonts w:cs="Courier New"/>
    </w:rPr>
  </w:style>
  <w:style w:type="character" w:styleId="ListLabel449">
    <w:name w:val="ListLabel 449"/>
    <w:qFormat/>
    <w:rPr>
      <w:rFonts w:cs="Courier New"/>
    </w:rPr>
  </w:style>
  <w:style w:type="character" w:styleId="ListLabel450">
    <w:name w:val="ListLabel 450"/>
    <w:qFormat/>
    <w:rPr>
      <w:rFonts w:cs="Courier New"/>
    </w:rPr>
  </w:style>
  <w:style w:type="character" w:styleId="ListLabel451">
    <w:name w:val="ListLabel 451"/>
    <w:qFormat/>
    <w:rPr>
      <w:rFonts w:cs="Courier New"/>
    </w:rPr>
  </w:style>
  <w:style w:type="character" w:styleId="ListLabel452">
    <w:name w:val="ListLabel 452"/>
    <w:qFormat/>
    <w:rPr>
      <w:rFonts w:cs="Courier New"/>
    </w:rPr>
  </w:style>
  <w:style w:type="character" w:styleId="ListLabel453">
    <w:name w:val="ListLabel 453"/>
    <w:qFormat/>
    <w:rPr>
      <w:rFonts w:cs="Courier New"/>
    </w:rPr>
  </w:style>
  <w:style w:type="character" w:styleId="ListLabel454">
    <w:name w:val="ListLabel 454"/>
    <w:qFormat/>
    <w:rPr>
      <w:rFonts w:cs="Courier New"/>
    </w:rPr>
  </w:style>
  <w:style w:type="character" w:styleId="ListLabel455">
    <w:name w:val="ListLabel 455"/>
    <w:qFormat/>
    <w:rPr>
      <w:rFonts w:cs="Courier New"/>
    </w:rPr>
  </w:style>
  <w:style w:type="character" w:styleId="ListLabel456">
    <w:name w:val="ListLabel 456"/>
    <w:qFormat/>
    <w:rPr>
      <w:rFonts w:cs="Courier New"/>
    </w:rPr>
  </w:style>
  <w:style w:type="character" w:styleId="ListLabel457">
    <w:name w:val="ListLabel 457"/>
    <w:qFormat/>
    <w:rPr>
      <w:rFonts w:cs="Courier New"/>
    </w:rPr>
  </w:style>
  <w:style w:type="character" w:styleId="ListLabel458">
    <w:name w:val="ListLabel 458"/>
    <w:qFormat/>
    <w:rPr>
      <w:sz w:val="20"/>
    </w:rPr>
  </w:style>
  <w:style w:type="character" w:styleId="ListLabel459">
    <w:name w:val="ListLabel 459"/>
    <w:qFormat/>
    <w:rPr>
      <w:sz w:val="20"/>
    </w:rPr>
  </w:style>
  <w:style w:type="character" w:styleId="ListLabel460">
    <w:name w:val="ListLabel 460"/>
    <w:qFormat/>
    <w:rPr>
      <w:rFonts w:cs="Courier New"/>
    </w:rPr>
  </w:style>
  <w:style w:type="character" w:styleId="ListLabel461">
    <w:name w:val="ListLabel 461"/>
    <w:qFormat/>
    <w:rPr>
      <w:rFonts w:cs="Courier New"/>
    </w:rPr>
  </w:style>
  <w:style w:type="character" w:styleId="ListLabel462">
    <w:name w:val="ListLabel 462"/>
    <w:qFormat/>
    <w:rPr>
      <w:rFonts w:cs="Courier New"/>
    </w:rPr>
  </w:style>
  <w:style w:type="character" w:styleId="ListLabel463">
    <w:name w:val="ListLabel 463"/>
    <w:qFormat/>
    <w:rPr>
      <w:rFonts w:cs="Courier New"/>
    </w:rPr>
  </w:style>
  <w:style w:type="character" w:styleId="ListLabel464">
    <w:name w:val="ListLabel 464"/>
    <w:qFormat/>
    <w:rPr>
      <w:rFonts w:cs="Courier New"/>
    </w:rPr>
  </w:style>
  <w:style w:type="character" w:styleId="ListLabel465">
    <w:name w:val="ListLabel 465"/>
    <w:qFormat/>
    <w:rPr>
      <w:rFonts w:cs="Courier New"/>
    </w:rPr>
  </w:style>
  <w:style w:type="character" w:styleId="ListLabel466">
    <w:name w:val="ListLabel 466"/>
    <w:qFormat/>
    <w:rPr>
      <w:sz w:val="20"/>
    </w:rPr>
  </w:style>
  <w:style w:type="character" w:styleId="ListLabel467">
    <w:name w:val="ListLabel 467"/>
    <w:qFormat/>
    <w:rPr>
      <w:rFonts w:cs="Courier New"/>
    </w:rPr>
  </w:style>
  <w:style w:type="character" w:styleId="ListLabel468">
    <w:name w:val="ListLabel 468"/>
    <w:qFormat/>
    <w:rPr>
      <w:rFonts w:cs="Courier New"/>
    </w:rPr>
  </w:style>
  <w:style w:type="character" w:styleId="ListLabel469">
    <w:name w:val="ListLabel 469"/>
    <w:qFormat/>
    <w:rPr>
      <w:rFonts w:cs="Courier New"/>
    </w:rPr>
  </w:style>
  <w:style w:type="character" w:styleId="ListLabel470">
    <w:name w:val="ListLabel 470"/>
    <w:qFormat/>
    <w:rPr>
      <w:rFonts w:cs="Courier New"/>
    </w:rPr>
  </w:style>
  <w:style w:type="character" w:styleId="ListLabel471">
    <w:name w:val="ListLabel 471"/>
    <w:qFormat/>
    <w:rPr>
      <w:rFonts w:cs="Courier New"/>
    </w:rPr>
  </w:style>
  <w:style w:type="character" w:styleId="ListLabel472">
    <w:name w:val="ListLabel 472"/>
    <w:qFormat/>
    <w:rPr>
      <w:rFonts w:cs="Courier New"/>
    </w:rPr>
  </w:style>
  <w:style w:type="character" w:styleId="ListLabel473">
    <w:name w:val="ListLabel 473"/>
    <w:qFormat/>
    <w:rPr>
      <w:rFonts w:cs="Courier New"/>
    </w:rPr>
  </w:style>
  <w:style w:type="character" w:styleId="ListLabel474">
    <w:name w:val="ListLabel 474"/>
    <w:qFormat/>
    <w:rPr>
      <w:rFonts w:cs="Courier New"/>
    </w:rPr>
  </w:style>
  <w:style w:type="character" w:styleId="ListLabel475">
    <w:name w:val="ListLabel 475"/>
    <w:qFormat/>
    <w:rPr>
      <w:rFonts w:cs="Courier New"/>
    </w:rPr>
  </w:style>
  <w:style w:type="character" w:styleId="ListLabel476">
    <w:name w:val="ListLabel 476"/>
    <w:qFormat/>
    <w:rPr>
      <w:sz w:val="20"/>
    </w:rPr>
  </w:style>
  <w:style w:type="character" w:styleId="ListLabel477">
    <w:name w:val="ListLabel 477"/>
    <w:qFormat/>
    <w:rPr>
      <w:sz w:val="20"/>
    </w:rPr>
  </w:style>
  <w:style w:type="character" w:styleId="ListLabel478">
    <w:name w:val="ListLabel 478"/>
    <w:qFormat/>
    <w:rPr>
      <w:sz w:val="20"/>
    </w:rPr>
  </w:style>
  <w:style w:type="character" w:styleId="ListLabel479">
    <w:name w:val="ListLabel 479"/>
    <w:qFormat/>
    <w:rPr>
      <w:sz w:val="20"/>
    </w:rPr>
  </w:style>
  <w:style w:type="character" w:styleId="ListLabel480">
    <w:name w:val="ListLabel 480"/>
    <w:qFormat/>
    <w:rPr>
      <w:sz w:val="20"/>
    </w:rPr>
  </w:style>
  <w:style w:type="character" w:styleId="ListLabel481">
    <w:name w:val="ListLabel 481"/>
    <w:qFormat/>
    <w:rPr>
      <w:sz w:val="20"/>
    </w:rPr>
  </w:style>
  <w:style w:type="character" w:styleId="ListLabel482">
    <w:name w:val="ListLabel 482"/>
    <w:qFormat/>
    <w:rPr>
      <w:sz w:val="20"/>
    </w:rPr>
  </w:style>
  <w:style w:type="character" w:styleId="ListLabel483">
    <w:name w:val="ListLabel 483"/>
    <w:qFormat/>
    <w:rPr>
      <w:sz w:val="20"/>
    </w:rPr>
  </w:style>
  <w:style w:type="character" w:styleId="ListLabel484">
    <w:name w:val="ListLabel 484"/>
    <w:qFormat/>
    <w:rPr>
      <w:sz w:val="20"/>
    </w:rPr>
  </w:style>
  <w:style w:type="character" w:styleId="ListLabel485">
    <w:name w:val="ListLabel 485"/>
    <w:qFormat/>
    <w:rPr>
      <w:sz w:val="20"/>
    </w:rPr>
  </w:style>
  <w:style w:type="character" w:styleId="ListLabel486">
    <w:name w:val="ListLabel 486"/>
    <w:qFormat/>
    <w:rPr>
      <w:sz w:val="20"/>
    </w:rPr>
  </w:style>
  <w:style w:type="character" w:styleId="ListLabel487">
    <w:name w:val="ListLabel 487"/>
    <w:qFormat/>
    <w:rPr>
      <w:sz w:val="20"/>
    </w:rPr>
  </w:style>
  <w:style w:type="character" w:styleId="ListLabel488">
    <w:name w:val="ListLabel 488"/>
    <w:qFormat/>
    <w:rPr>
      <w:sz w:val="20"/>
    </w:rPr>
  </w:style>
  <w:style w:type="character" w:styleId="ListLabel489">
    <w:name w:val="ListLabel 489"/>
    <w:qFormat/>
    <w:rPr>
      <w:sz w:val="20"/>
    </w:rPr>
  </w:style>
  <w:style w:type="character" w:styleId="ListLabel490">
    <w:name w:val="ListLabel 490"/>
    <w:qFormat/>
    <w:rPr>
      <w:sz w:val="20"/>
    </w:rPr>
  </w:style>
  <w:style w:type="character" w:styleId="ListLabel491">
    <w:name w:val="ListLabel 491"/>
    <w:qFormat/>
    <w:rPr>
      <w:sz w:val="20"/>
    </w:rPr>
  </w:style>
  <w:style w:type="character" w:styleId="ListLabel492">
    <w:name w:val="ListLabel 492"/>
    <w:qFormat/>
    <w:rPr>
      <w:sz w:val="20"/>
    </w:rPr>
  </w:style>
  <w:style w:type="character" w:styleId="ListLabel493">
    <w:name w:val="ListLabel 493"/>
    <w:qFormat/>
    <w:rPr>
      <w:sz w:val="20"/>
    </w:rPr>
  </w:style>
  <w:style w:type="character" w:styleId="ListLabel494">
    <w:name w:val="ListLabel 494"/>
    <w:qFormat/>
    <w:rPr>
      <w:sz w:val="20"/>
    </w:rPr>
  </w:style>
  <w:style w:type="character" w:styleId="ListLabel495">
    <w:name w:val="ListLabel 495"/>
    <w:qFormat/>
    <w:rPr>
      <w:sz w:val="20"/>
    </w:rPr>
  </w:style>
  <w:style w:type="character" w:styleId="ListLabel496">
    <w:name w:val="ListLabel 496"/>
    <w:qFormat/>
    <w:rPr>
      <w:sz w:val="20"/>
    </w:rPr>
  </w:style>
  <w:style w:type="character" w:styleId="ListLabel497">
    <w:name w:val="ListLabel 497"/>
    <w:qFormat/>
    <w:rPr>
      <w:sz w:val="20"/>
    </w:rPr>
  </w:style>
  <w:style w:type="character" w:styleId="ListLabel498">
    <w:name w:val="ListLabel 498"/>
    <w:qFormat/>
    <w:rPr>
      <w:sz w:val="20"/>
    </w:rPr>
  </w:style>
  <w:style w:type="character" w:styleId="ListLabel499">
    <w:name w:val="ListLabel 499"/>
    <w:qFormat/>
    <w:rPr>
      <w:sz w:val="20"/>
    </w:rPr>
  </w:style>
  <w:style w:type="character" w:styleId="ListLabel500">
    <w:name w:val="ListLabel 500"/>
    <w:qFormat/>
    <w:rPr>
      <w:sz w:val="20"/>
    </w:rPr>
  </w:style>
  <w:style w:type="character" w:styleId="ListLabel501">
    <w:name w:val="ListLabel 501"/>
    <w:qFormat/>
    <w:rPr>
      <w:sz w:val="20"/>
    </w:rPr>
  </w:style>
  <w:style w:type="character" w:styleId="ListLabel502">
    <w:name w:val="ListLabel 502"/>
    <w:qFormat/>
    <w:rPr>
      <w:sz w:val="20"/>
    </w:rPr>
  </w:style>
  <w:style w:type="character" w:styleId="ListLabel503">
    <w:name w:val="ListLabel 503"/>
    <w:qFormat/>
    <w:rPr>
      <w:sz w:val="20"/>
    </w:rPr>
  </w:style>
  <w:style w:type="character" w:styleId="ListLabel504">
    <w:name w:val="ListLabel 504"/>
    <w:qFormat/>
    <w:rPr>
      <w:sz w:val="20"/>
    </w:rPr>
  </w:style>
  <w:style w:type="character" w:styleId="ListLabel505">
    <w:name w:val="ListLabel 505"/>
    <w:qFormat/>
    <w:rPr>
      <w:sz w:val="20"/>
    </w:rPr>
  </w:style>
  <w:style w:type="character" w:styleId="ListLabel506">
    <w:name w:val="ListLabel 506"/>
    <w:qFormat/>
    <w:rPr>
      <w:sz w:val="20"/>
    </w:rPr>
  </w:style>
  <w:style w:type="character" w:styleId="ListLabel507">
    <w:name w:val="ListLabel 507"/>
    <w:qFormat/>
    <w:rPr>
      <w:sz w:val="20"/>
    </w:rPr>
  </w:style>
  <w:style w:type="character" w:styleId="ListLabel508">
    <w:name w:val="ListLabel 508"/>
    <w:qFormat/>
    <w:rPr>
      <w:sz w:val="20"/>
    </w:rPr>
  </w:style>
  <w:style w:type="character" w:styleId="ListLabel509">
    <w:name w:val="ListLabel 509"/>
    <w:qFormat/>
    <w:rPr>
      <w:sz w:val="20"/>
    </w:rPr>
  </w:style>
  <w:style w:type="character" w:styleId="ListLabel510">
    <w:name w:val="ListLabel 510"/>
    <w:qFormat/>
    <w:rPr>
      <w:sz w:val="20"/>
    </w:rPr>
  </w:style>
  <w:style w:type="character" w:styleId="ListLabel511">
    <w:name w:val="ListLabel 511"/>
    <w:qFormat/>
    <w:rPr>
      <w:sz w:val="20"/>
    </w:rPr>
  </w:style>
  <w:style w:type="character" w:styleId="ListLabel512">
    <w:name w:val="ListLabel 512"/>
    <w:qFormat/>
    <w:rPr>
      <w:sz w:val="20"/>
    </w:rPr>
  </w:style>
  <w:style w:type="character" w:styleId="ListLabel513">
    <w:name w:val="ListLabel 513"/>
    <w:qFormat/>
    <w:rPr>
      <w:sz w:val="20"/>
    </w:rPr>
  </w:style>
  <w:style w:type="character" w:styleId="ListLabel514">
    <w:name w:val="ListLabel 514"/>
    <w:qFormat/>
    <w:rPr>
      <w:sz w:val="20"/>
    </w:rPr>
  </w:style>
  <w:style w:type="character" w:styleId="ListLabel515">
    <w:name w:val="ListLabel 515"/>
    <w:qFormat/>
    <w:rPr>
      <w:sz w:val="20"/>
    </w:rPr>
  </w:style>
  <w:style w:type="character" w:styleId="ListLabel516">
    <w:name w:val="ListLabel 516"/>
    <w:qFormat/>
    <w:rPr>
      <w:sz w:val="20"/>
    </w:rPr>
  </w:style>
  <w:style w:type="character" w:styleId="ListLabel517">
    <w:name w:val="ListLabel 517"/>
    <w:qFormat/>
    <w:rPr>
      <w:sz w:val="20"/>
    </w:rPr>
  </w:style>
  <w:style w:type="character" w:styleId="ListLabel518">
    <w:name w:val="ListLabel 518"/>
    <w:qFormat/>
    <w:rPr>
      <w:sz w:val="20"/>
    </w:rPr>
  </w:style>
  <w:style w:type="character" w:styleId="ListLabel519">
    <w:name w:val="ListLabel 519"/>
    <w:qFormat/>
    <w:rPr>
      <w:sz w:val="20"/>
    </w:rPr>
  </w:style>
  <w:style w:type="character" w:styleId="ListLabel520">
    <w:name w:val="ListLabel 520"/>
    <w:qFormat/>
    <w:rPr>
      <w:sz w:val="20"/>
    </w:rPr>
  </w:style>
  <w:style w:type="character" w:styleId="ListLabel521">
    <w:name w:val="ListLabel 521"/>
    <w:qFormat/>
    <w:rPr>
      <w:sz w:val="20"/>
    </w:rPr>
  </w:style>
  <w:style w:type="character" w:styleId="ListLabel522">
    <w:name w:val="ListLabel 522"/>
    <w:qFormat/>
    <w:rPr>
      <w:sz w:val="20"/>
    </w:rPr>
  </w:style>
  <w:style w:type="character" w:styleId="ListLabel523">
    <w:name w:val="ListLabel 523"/>
    <w:qFormat/>
    <w:rPr>
      <w:sz w:val="20"/>
    </w:rPr>
  </w:style>
  <w:style w:type="character" w:styleId="ListLabel524">
    <w:name w:val="ListLabel 524"/>
    <w:qFormat/>
    <w:rPr>
      <w:sz w:val="20"/>
    </w:rPr>
  </w:style>
  <w:style w:type="character" w:styleId="ListLabel525">
    <w:name w:val="ListLabel 525"/>
    <w:qFormat/>
    <w:rPr>
      <w:sz w:val="20"/>
    </w:rPr>
  </w:style>
  <w:style w:type="character" w:styleId="ListLabel526">
    <w:name w:val="ListLabel 526"/>
    <w:qFormat/>
    <w:rPr>
      <w:sz w:val="20"/>
    </w:rPr>
  </w:style>
  <w:style w:type="character" w:styleId="ListLabel527">
    <w:name w:val="ListLabel 527"/>
    <w:qFormat/>
    <w:rPr>
      <w:sz w:val="20"/>
    </w:rPr>
  </w:style>
  <w:style w:type="character" w:styleId="ListLabel528">
    <w:name w:val="ListLabel 528"/>
    <w:qFormat/>
    <w:rPr>
      <w:sz w:val="20"/>
    </w:rPr>
  </w:style>
  <w:style w:type="character" w:styleId="ListLabel529">
    <w:name w:val="ListLabel 529"/>
    <w:qFormat/>
    <w:rPr>
      <w:sz w:val="20"/>
    </w:rPr>
  </w:style>
  <w:style w:type="character" w:styleId="ListLabel530">
    <w:name w:val="ListLabel 530"/>
    <w:qFormat/>
    <w:rPr>
      <w:sz w:val="20"/>
    </w:rPr>
  </w:style>
  <w:style w:type="character" w:styleId="ListLabel531">
    <w:name w:val="ListLabel 531"/>
    <w:qFormat/>
    <w:rPr>
      <w:sz w:val="20"/>
    </w:rPr>
  </w:style>
  <w:style w:type="character" w:styleId="ListLabel532">
    <w:name w:val="ListLabel 532"/>
    <w:qFormat/>
    <w:rPr>
      <w:sz w:val="20"/>
    </w:rPr>
  </w:style>
  <w:style w:type="character" w:styleId="ListLabel533">
    <w:name w:val="ListLabel 533"/>
    <w:qFormat/>
    <w:rPr>
      <w:sz w:val="20"/>
    </w:rPr>
  </w:style>
  <w:style w:type="character" w:styleId="ListLabel534">
    <w:name w:val="ListLabel 534"/>
    <w:qFormat/>
    <w:rPr>
      <w:sz w:val="20"/>
    </w:rPr>
  </w:style>
  <w:style w:type="character" w:styleId="ListLabel535">
    <w:name w:val="ListLabel 535"/>
    <w:qFormat/>
    <w:rPr>
      <w:sz w:val="20"/>
    </w:rPr>
  </w:style>
  <w:style w:type="character" w:styleId="ListLabel536">
    <w:name w:val="ListLabel 536"/>
    <w:qFormat/>
    <w:rPr>
      <w:sz w:val="20"/>
    </w:rPr>
  </w:style>
  <w:style w:type="character" w:styleId="ListLabel537">
    <w:name w:val="ListLabel 537"/>
    <w:qFormat/>
    <w:rPr>
      <w:sz w:val="20"/>
    </w:rPr>
  </w:style>
  <w:style w:type="character" w:styleId="ListLabel538">
    <w:name w:val="ListLabel 538"/>
    <w:qFormat/>
    <w:rPr>
      <w:sz w:val="20"/>
    </w:rPr>
  </w:style>
  <w:style w:type="character" w:styleId="ListLabel539">
    <w:name w:val="ListLabel 539"/>
    <w:qFormat/>
    <w:rPr>
      <w:sz w:val="20"/>
    </w:rPr>
  </w:style>
  <w:style w:type="character" w:styleId="ListLabel540">
    <w:name w:val="ListLabel 540"/>
    <w:qFormat/>
    <w:rPr>
      <w:sz w:val="20"/>
    </w:rPr>
  </w:style>
  <w:style w:type="character" w:styleId="ListLabel541">
    <w:name w:val="ListLabel 541"/>
    <w:qFormat/>
    <w:rPr>
      <w:sz w:val="20"/>
    </w:rPr>
  </w:style>
  <w:style w:type="character" w:styleId="ListLabel542">
    <w:name w:val="ListLabel 542"/>
    <w:qFormat/>
    <w:rPr>
      <w:sz w:val="20"/>
    </w:rPr>
  </w:style>
  <w:style w:type="character" w:styleId="ListLabel543">
    <w:name w:val="ListLabel 543"/>
    <w:qFormat/>
    <w:rPr>
      <w:sz w:val="20"/>
    </w:rPr>
  </w:style>
  <w:style w:type="character" w:styleId="ListLabel544">
    <w:name w:val="ListLabel 544"/>
    <w:qFormat/>
    <w:rPr>
      <w:sz w:val="20"/>
    </w:rPr>
  </w:style>
  <w:style w:type="character" w:styleId="ListLabel545">
    <w:name w:val="ListLabel 545"/>
    <w:qFormat/>
    <w:rPr>
      <w:sz w:val="20"/>
    </w:rPr>
  </w:style>
  <w:style w:type="character" w:styleId="ListLabel546">
    <w:name w:val="ListLabel 546"/>
    <w:qFormat/>
    <w:rPr>
      <w:sz w:val="20"/>
    </w:rPr>
  </w:style>
  <w:style w:type="character" w:styleId="ListLabel547">
    <w:name w:val="ListLabel 547"/>
    <w:qFormat/>
    <w:rPr>
      <w:sz w:val="20"/>
    </w:rPr>
  </w:style>
  <w:style w:type="character" w:styleId="ListLabel548">
    <w:name w:val="ListLabel 548"/>
    <w:qFormat/>
    <w:rPr>
      <w:sz w:val="20"/>
    </w:rPr>
  </w:style>
  <w:style w:type="character" w:styleId="ListLabel549">
    <w:name w:val="ListLabel 549"/>
    <w:qFormat/>
    <w:rPr>
      <w:sz w:val="20"/>
    </w:rPr>
  </w:style>
  <w:style w:type="character" w:styleId="ListLabel550">
    <w:name w:val="ListLabel 550"/>
    <w:qFormat/>
    <w:rPr>
      <w:sz w:val="20"/>
    </w:rPr>
  </w:style>
  <w:style w:type="character" w:styleId="ListLabel551">
    <w:name w:val="ListLabel 551"/>
    <w:qFormat/>
    <w:rPr>
      <w:sz w:val="20"/>
    </w:rPr>
  </w:style>
  <w:style w:type="character" w:styleId="ListLabel552">
    <w:name w:val="ListLabel 552"/>
    <w:qFormat/>
    <w:rPr>
      <w:sz w:val="20"/>
    </w:rPr>
  </w:style>
  <w:style w:type="character" w:styleId="ListLabel553">
    <w:name w:val="ListLabel 553"/>
    <w:qFormat/>
    <w:rPr>
      <w:sz w:val="20"/>
    </w:rPr>
  </w:style>
  <w:style w:type="character" w:styleId="ListLabel554">
    <w:name w:val="ListLabel 554"/>
    <w:qFormat/>
    <w:rPr>
      <w:sz w:val="20"/>
    </w:rPr>
  </w:style>
  <w:style w:type="character" w:styleId="ListLabel555">
    <w:name w:val="ListLabel 555"/>
    <w:qFormat/>
    <w:rPr>
      <w:sz w:val="20"/>
    </w:rPr>
  </w:style>
  <w:style w:type="character" w:styleId="ListLabel556">
    <w:name w:val="ListLabel 556"/>
    <w:qFormat/>
    <w:rPr>
      <w:sz w:val="20"/>
    </w:rPr>
  </w:style>
  <w:style w:type="character" w:styleId="ListLabel557">
    <w:name w:val="ListLabel 557"/>
    <w:qFormat/>
    <w:rPr>
      <w:sz w:val="20"/>
    </w:rPr>
  </w:style>
  <w:style w:type="character" w:styleId="ListLabel558">
    <w:name w:val="ListLabel 558"/>
    <w:qFormat/>
    <w:rPr>
      <w:sz w:val="20"/>
    </w:rPr>
  </w:style>
  <w:style w:type="character" w:styleId="ListLabel559">
    <w:name w:val="ListLabel 559"/>
    <w:qFormat/>
    <w:rPr>
      <w:sz w:val="20"/>
    </w:rPr>
  </w:style>
  <w:style w:type="character" w:styleId="ListLabel560">
    <w:name w:val="ListLabel 560"/>
    <w:qFormat/>
    <w:rPr>
      <w:sz w:val="20"/>
    </w:rPr>
  </w:style>
  <w:style w:type="character" w:styleId="ListLabel561">
    <w:name w:val="ListLabel 561"/>
    <w:qFormat/>
    <w:rPr>
      <w:rFonts w:cs="Courier New"/>
    </w:rPr>
  </w:style>
  <w:style w:type="character" w:styleId="ListLabel562">
    <w:name w:val="ListLabel 562"/>
    <w:qFormat/>
    <w:rPr>
      <w:rFonts w:cs="Courier New"/>
    </w:rPr>
  </w:style>
  <w:style w:type="character" w:styleId="ListLabel563">
    <w:name w:val="ListLabel 563"/>
    <w:qFormat/>
    <w:rPr>
      <w:rFonts w:cs="Courier New"/>
    </w:rPr>
  </w:style>
  <w:style w:type="character" w:styleId="ListLabel564">
    <w:name w:val="ListLabel 564"/>
    <w:qFormat/>
    <w:rPr>
      <w:rFonts w:cs="Courier New"/>
    </w:rPr>
  </w:style>
  <w:style w:type="character" w:styleId="ListLabel565">
    <w:name w:val="ListLabel 565"/>
    <w:qFormat/>
    <w:rPr>
      <w:rFonts w:cs="Courier New"/>
    </w:rPr>
  </w:style>
  <w:style w:type="character" w:styleId="ListLabel566">
    <w:name w:val="ListLabel 566"/>
    <w:qFormat/>
    <w:rPr>
      <w:rFonts w:cs="Courier New"/>
    </w:rPr>
  </w:style>
  <w:style w:type="character" w:styleId="ListLabel567">
    <w:name w:val="ListLabel 567"/>
    <w:qFormat/>
    <w:rPr>
      <w:sz w:val="20"/>
    </w:rPr>
  </w:style>
  <w:style w:type="character" w:styleId="ListLabel568">
    <w:name w:val="ListLabel 568"/>
    <w:qFormat/>
    <w:rPr>
      <w:sz w:val="20"/>
    </w:rPr>
  </w:style>
  <w:style w:type="character" w:styleId="ListLabel569">
    <w:name w:val="ListLabel 569"/>
    <w:qFormat/>
    <w:rPr>
      <w:sz w:val="20"/>
    </w:rPr>
  </w:style>
  <w:style w:type="character" w:styleId="ListLabel570">
    <w:name w:val="ListLabel 570"/>
    <w:qFormat/>
    <w:rPr>
      <w:sz w:val="20"/>
    </w:rPr>
  </w:style>
  <w:style w:type="character" w:styleId="ListLabel571">
    <w:name w:val="ListLabel 571"/>
    <w:qFormat/>
    <w:rPr>
      <w:sz w:val="20"/>
    </w:rPr>
  </w:style>
  <w:style w:type="character" w:styleId="ListLabel572">
    <w:name w:val="ListLabel 572"/>
    <w:qFormat/>
    <w:rPr>
      <w:rFonts w:cs="Courier New"/>
    </w:rPr>
  </w:style>
  <w:style w:type="character" w:styleId="ListLabel573">
    <w:name w:val="ListLabel 573"/>
    <w:qFormat/>
    <w:rPr>
      <w:rFonts w:cs="Courier New"/>
    </w:rPr>
  </w:style>
  <w:style w:type="character" w:styleId="ListLabel574">
    <w:name w:val="ListLabel 574"/>
    <w:qFormat/>
    <w:rPr>
      <w:rFonts w:cs="Courier New"/>
    </w:rPr>
  </w:style>
  <w:style w:type="character" w:styleId="ListLabel575">
    <w:name w:val="ListLabel 575"/>
    <w:qFormat/>
    <w:rPr>
      <w:sz w:val="20"/>
    </w:rPr>
  </w:style>
  <w:style w:type="character" w:styleId="ListLabel576">
    <w:name w:val="ListLabel 576"/>
    <w:qFormat/>
    <w:rPr>
      <w:sz w:val="20"/>
    </w:rPr>
  </w:style>
  <w:style w:type="character" w:styleId="ListLabel577">
    <w:name w:val="ListLabel 577"/>
    <w:qFormat/>
    <w:rPr>
      <w:sz w:val="20"/>
    </w:rPr>
  </w:style>
  <w:style w:type="character" w:styleId="ListLabel578">
    <w:name w:val="ListLabel 578"/>
    <w:qFormat/>
    <w:rPr>
      <w:sz w:val="20"/>
    </w:rPr>
  </w:style>
  <w:style w:type="character" w:styleId="ListLabel579">
    <w:name w:val="ListLabel 579"/>
    <w:qFormat/>
    <w:rPr>
      <w:sz w:val="20"/>
    </w:rPr>
  </w:style>
  <w:style w:type="character" w:styleId="ListLabel580">
    <w:name w:val="ListLabel 580"/>
    <w:qFormat/>
    <w:rPr>
      <w:sz w:val="20"/>
    </w:rPr>
  </w:style>
  <w:style w:type="character" w:styleId="ListLabel581">
    <w:name w:val="ListLabel 581"/>
    <w:qFormat/>
    <w:rPr>
      <w:sz w:val="20"/>
    </w:rPr>
  </w:style>
  <w:style w:type="character" w:styleId="ListLabel582">
    <w:name w:val="ListLabel 582"/>
    <w:qFormat/>
    <w:rPr>
      <w:sz w:val="20"/>
    </w:rPr>
  </w:style>
  <w:style w:type="character" w:styleId="ListLabel583">
    <w:name w:val="ListLabel 583"/>
    <w:qFormat/>
    <w:rPr>
      <w:sz w:val="20"/>
    </w:rPr>
  </w:style>
  <w:style w:type="character" w:styleId="ListLabel584">
    <w:name w:val="ListLabel 584"/>
    <w:qFormat/>
    <w:rPr>
      <w:sz w:val="20"/>
    </w:rPr>
  </w:style>
  <w:style w:type="character" w:styleId="ListLabel585">
    <w:name w:val="ListLabel 585"/>
    <w:qFormat/>
    <w:rPr>
      <w:sz w:val="20"/>
    </w:rPr>
  </w:style>
  <w:style w:type="character" w:styleId="ListLabel586">
    <w:name w:val="ListLabel 586"/>
    <w:qFormat/>
    <w:rPr>
      <w:sz w:val="20"/>
    </w:rPr>
  </w:style>
  <w:style w:type="character" w:styleId="ListLabel587">
    <w:name w:val="ListLabel 587"/>
    <w:qFormat/>
    <w:rPr>
      <w:sz w:val="20"/>
    </w:rPr>
  </w:style>
  <w:style w:type="character" w:styleId="ListLabel588">
    <w:name w:val="ListLabel 588"/>
    <w:qFormat/>
    <w:rPr>
      <w:sz w:val="20"/>
    </w:rPr>
  </w:style>
  <w:style w:type="character" w:styleId="ListLabel589">
    <w:name w:val="ListLabel 589"/>
    <w:qFormat/>
    <w:rPr>
      <w:sz w:val="20"/>
    </w:rPr>
  </w:style>
  <w:style w:type="character" w:styleId="ListLabel590">
    <w:name w:val="ListLabel 590"/>
    <w:qFormat/>
    <w:rPr>
      <w:sz w:val="20"/>
    </w:rPr>
  </w:style>
  <w:style w:type="character" w:styleId="ListLabel591">
    <w:name w:val="ListLabel 591"/>
    <w:qFormat/>
    <w:rPr>
      <w:sz w:val="20"/>
    </w:rPr>
  </w:style>
  <w:style w:type="character" w:styleId="ListLabel592">
    <w:name w:val="ListLabel 592"/>
    <w:qFormat/>
    <w:rPr>
      <w:sz w:val="20"/>
    </w:rPr>
  </w:style>
  <w:style w:type="character" w:styleId="ListLabel593">
    <w:name w:val="ListLabel 593"/>
    <w:qFormat/>
    <w:rPr>
      <w:rFonts w:cs="Courier New"/>
    </w:rPr>
  </w:style>
  <w:style w:type="character" w:styleId="ListLabel594">
    <w:name w:val="ListLabel 594"/>
    <w:qFormat/>
    <w:rPr>
      <w:rFonts w:cs="Courier New"/>
    </w:rPr>
  </w:style>
  <w:style w:type="character" w:styleId="ListLabel595">
    <w:name w:val="ListLabel 595"/>
    <w:qFormat/>
    <w:rPr>
      <w:rFonts w:cs="Courier New"/>
    </w:rPr>
  </w:style>
  <w:style w:type="character" w:styleId="ListLabel596">
    <w:name w:val="ListLabel 596"/>
    <w:qFormat/>
    <w:rPr>
      <w:sz w:val="20"/>
    </w:rPr>
  </w:style>
  <w:style w:type="character" w:styleId="ListLabel597">
    <w:name w:val="ListLabel 597"/>
    <w:qFormat/>
    <w:rPr>
      <w:sz w:val="20"/>
    </w:rPr>
  </w:style>
  <w:style w:type="character" w:styleId="ListLabel598">
    <w:name w:val="ListLabel 598"/>
    <w:qFormat/>
    <w:rPr>
      <w:sz w:val="20"/>
    </w:rPr>
  </w:style>
  <w:style w:type="character" w:styleId="ListLabel599">
    <w:name w:val="ListLabel 599"/>
    <w:qFormat/>
    <w:rPr>
      <w:sz w:val="20"/>
    </w:rPr>
  </w:style>
  <w:style w:type="character" w:styleId="ListLabel600">
    <w:name w:val="ListLabel 600"/>
    <w:qFormat/>
    <w:rPr>
      <w:sz w:val="20"/>
    </w:rPr>
  </w:style>
  <w:style w:type="character" w:styleId="ListLabel601">
    <w:name w:val="ListLabel 601"/>
    <w:qFormat/>
    <w:rPr>
      <w:sz w:val="20"/>
    </w:rPr>
  </w:style>
  <w:style w:type="character" w:styleId="ListLabel602">
    <w:name w:val="ListLabel 602"/>
    <w:qFormat/>
    <w:rPr>
      <w:sz w:val="20"/>
    </w:rPr>
  </w:style>
  <w:style w:type="character" w:styleId="ListLabel603">
    <w:name w:val="ListLabel 603"/>
    <w:qFormat/>
    <w:rPr>
      <w:sz w:val="20"/>
    </w:rPr>
  </w:style>
  <w:style w:type="character" w:styleId="ListLabel604">
    <w:name w:val="ListLabel 604"/>
    <w:qFormat/>
    <w:rPr>
      <w:sz w:val="20"/>
    </w:rPr>
  </w:style>
  <w:style w:type="character" w:styleId="ListLabel605">
    <w:name w:val="ListLabel 605"/>
    <w:qFormat/>
    <w:rPr>
      <w:sz w:val="20"/>
    </w:rPr>
  </w:style>
  <w:style w:type="character" w:styleId="ListLabel606">
    <w:name w:val="ListLabel 606"/>
    <w:qFormat/>
    <w:rPr>
      <w:sz w:val="20"/>
    </w:rPr>
  </w:style>
  <w:style w:type="character" w:styleId="ListLabel607">
    <w:name w:val="ListLabel 607"/>
    <w:qFormat/>
    <w:rPr>
      <w:sz w:val="20"/>
    </w:rPr>
  </w:style>
  <w:style w:type="character" w:styleId="ListLabel608">
    <w:name w:val="ListLabel 608"/>
    <w:qFormat/>
    <w:rPr>
      <w:sz w:val="20"/>
    </w:rPr>
  </w:style>
  <w:style w:type="character" w:styleId="ListLabel609">
    <w:name w:val="ListLabel 609"/>
    <w:qFormat/>
    <w:rPr>
      <w:sz w:val="20"/>
    </w:rPr>
  </w:style>
  <w:style w:type="character" w:styleId="ListLabel610">
    <w:name w:val="ListLabel 610"/>
    <w:qFormat/>
    <w:rPr>
      <w:sz w:val="20"/>
    </w:rPr>
  </w:style>
  <w:style w:type="character" w:styleId="ListLabel611">
    <w:name w:val="ListLabel 611"/>
    <w:qFormat/>
    <w:rPr>
      <w:sz w:val="20"/>
    </w:rPr>
  </w:style>
  <w:style w:type="character" w:styleId="ListLabel612">
    <w:name w:val="ListLabel 612"/>
    <w:qFormat/>
    <w:rPr>
      <w:sz w:val="20"/>
    </w:rPr>
  </w:style>
  <w:style w:type="character" w:styleId="ListLabel613">
    <w:name w:val="ListLabel 613"/>
    <w:qFormat/>
    <w:rPr>
      <w:sz w:val="20"/>
    </w:rPr>
  </w:style>
  <w:style w:type="character" w:styleId="ListLabel614">
    <w:name w:val="ListLabel 614"/>
    <w:qFormat/>
    <w:rPr>
      <w:b/>
      <w:sz w:val="20"/>
    </w:rPr>
  </w:style>
  <w:style w:type="character" w:styleId="ListLabel615">
    <w:name w:val="ListLabel 615"/>
    <w:qFormat/>
    <w:rPr>
      <w:sz w:val="20"/>
    </w:rPr>
  </w:style>
  <w:style w:type="character" w:styleId="ListLabel616">
    <w:name w:val="ListLabel 616"/>
    <w:qFormat/>
    <w:rPr>
      <w:b w:val="false"/>
      <w:sz w:val="20"/>
    </w:rPr>
  </w:style>
  <w:style w:type="character" w:styleId="ListLabel617">
    <w:name w:val="ListLabel 617"/>
    <w:qFormat/>
    <w:rPr>
      <w:sz w:val="20"/>
    </w:rPr>
  </w:style>
  <w:style w:type="character" w:styleId="ListLabel618">
    <w:name w:val="ListLabel 618"/>
    <w:qFormat/>
    <w:rPr>
      <w:sz w:val="20"/>
    </w:rPr>
  </w:style>
  <w:style w:type="character" w:styleId="ListLabel619">
    <w:name w:val="ListLabel 619"/>
    <w:qFormat/>
    <w:rPr>
      <w:sz w:val="20"/>
    </w:rPr>
  </w:style>
  <w:style w:type="character" w:styleId="ListLabel620">
    <w:name w:val="ListLabel 620"/>
    <w:qFormat/>
    <w:rPr>
      <w:sz w:val="20"/>
    </w:rPr>
  </w:style>
  <w:style w:type="character" w:styleId="ListLabel621">
    <w:name w:val="ListLabel 621"/>
    <w:qFormat/>
    <w:rPr>
      <w:sz w:val="20"/>
    </w:rPr>
  </w:style>
  <w:style w:type="character" w:styleId="ListLabel622">
    <w:name w:val="ListLabel 622"/>
    <w:qFormat/>
    <w:rPr>
      <w:sz w:val="20"/>
    </w:rPr>
  </w:style>
  <w:style w:type="character" w:styleId="ListLabel623">
    <w:name w:val="ListLabel 623"/>
    <w:qFormat/>
    <w:rPr>
      <w:sz w:val="20"/>
    </w:rPr>
  </w:style>
  <w:style w:type="character" w:styleId="ListLabel624">
    <w:name w:val="ListLabel 624"/>
    <w:qFormat/>
    <w:rPr>
      <w:sz w:val="20"/>
    </w:rPr>
  </w:style>
  <w:style w:type="character" w:styleId="ListLabel625">
    <w:name w:val="ListLabel 625"/>
    <w:qFormat/>
    <w:rPr>
      <w:sz w:val="20"/>
    </w:rPr>
  </w:style>
  <w:style w:type="character" w:styleId="ListLabel626">
    <w:name w:val="ListLabel 626"/>
    <w:qFormat/>
    <w:rPr>
      <w:sz w:val="20"/>
    </w:rPr>
  </w:style>
  <w:style w:type="character" w:styleId="ListLabel627">
    <w:name w:val="ListLabel 627"/>
    <w:qFormat/>
    <w:rPr>
      <w:sz w:val="20"/>
    </w:rPr>
  </w:style>
  <w:style w:type="character" w:styleId="ListLabel628">
    <w:name w:val="ListLabel 628"/>
    <w:qFormat/>
    <w:rPr>
      <w:sz w:val="20"/>
    </w:rPr>
  </w:style>
  <w:style w:type="character" w:styleId="ListLabel629">
    <w:name w:val="ListLabel 629"/>
    <w:qFormat/>
    <w:rPr>
      <w:sz w:val="20"/>
    </w:rPr>
  </w:style>
  <w:style w:type="character" w:styleId="ListLabel630">
    <w:name w:val="ListLabel 630"/>
    <w:qFormat/>
    <w:rPr>
      <w:sz w:val="20"/>
    </w:rPr>
  </w:style>
  <w:style w:type="character" w:styleId="ListLabel631">
    <w:name w:val="ListLabel 631"/>
    <w:qFormat/>
    <w:rPr>
      <w:sz w:val="20"/>
    </w:rPr>
  </w:style>
  <w:style w:type="character" w:styleId="ListLabel632">
    <w:name w:val="ListLabel 632"/>
    <w:qFormat/>
    <w:rPr>
      <w:sz w:val="20"/>
    </w:rPr>
  </w:style>
  <w:style w:type="character" w:styleId="ListLabel633">
    <w:name w:val="ListLabel 633"/>
    <w:qFormat/>
    <w:rPr>
      <w:sz w:val="20"/>
    </w:rPr>
  </w:style>
  <w:style w:type="character" w:styleId="ListLabel634">
    <w:name w:val="ListLabel 634"/>
    <w:qFormat/>
    <w:rPr>
      <w:sz w:val="20"/>
    </w:rPr>
  </w:style>
  <w:style w:type="character" w:styleId="ListLabel635">
    <w:name w:val="ListLabel 635"/>
    <w:qFormat/>
    <w:rPr>
      <w:sz w:val="20"/>
    </w:rPr>
  </w:style>
  <w:style w:type="character" w:styleId="ListLabel636">
    <w:name w:val="ListLabel 636"/>
    <w:qFormat/>
    <w:rPr>
      <w:sz w:val="20"/>
    </w:rPr>
  </w:style>
  <w:style w:type="character" w:styleId="ListLabel637">
    <w:name w:val="ListLabel 637"/>
    <w:qFormat/>
    <w:rPr>
      <w:sz w:val="20"/>
    </w:rPr>
  </w:style>
  <w:style w:type="character" w:styleId="ListLabel638">
    <w:name w:val="ListLabel 638"/>
    <w:qFormat/>
    <w:rPr>
      <w:sz w:val="20"/>
    </w:rPr>
  </w:style>
  <w:style w:type="character" w:styleId="ListLabel639">
    <w:name w:val="ListLabel 639"/>
    <w:qFormat/>
    <w:rPr>
      <w:sz w:val="20"/>
    </w:rPr>
  </w:style>
  <w:style w:type="character" w:styleId="ListLabel640">
    <w:name w:val="ListLabel 640"/>
    <w:qFormat/>
    <w:rPr>
      <w:sz w:val="20"/>
    </w:rPr>
  </w:style>
  <w:style w:type="character" w:styleId="ListLabel641">
    <w:name w:val="ListLabel 641"/>
    <w:qFormat/>
    <w:rPr>
      <w:sz w:val="20"/>
    </w:rPr>
  </w:style>
  <w:style w:type="character" w:styleId="ListLabel642">
    <w:name w:val="ListLabel 642"/>
    <w:qFormat/>
    <w:rPr>
      <w:sz w:val="20"/>
    </w:rPr>
  </w:style>
  <w:style w:type="character" w:styleId="ListLabel643">
    <w:name w:val="ListLabel 643"/>
    <w:qFormat/>
    <w:rPr>
      <w:sz w:val="20"/>
    </w:rPr>
  </w:style>
  <w:style w:type="character" w:styleId="ListLabel644">
    <w:name w:val="ListLabel 644"/>
    <w:qFormat/>
    <w:rPr>
      <w:sz w:val="20"/>
    </w:rPr>
  </w:style>
  <w:style w:type="character" w:styleId="ListLabel645">
    <w:name w:val="ListLabel 645"/>
    <w:qFormat/>
    <w:rPr>
      <w:sz w:val="20"/>
    </w:rPr>
  </w:style>
  <w:style w:type="character" w:styleId="ListLabel646">
    <w:name w:val="ListLabel 646"/>
    <w:qFormat/>
    <w:rPr>
      <w:sz w:val="20"/>
    </w:rPr>
  </w:style>
  <w:style w:type="character" w:styleId="ListLabel647">
    <w:name w:val="ListLabel 647"/>
    <w:qFormat/>
    <w:rPr>
      <w:sz w:val="20"/>
    </w:rPr>
  </w:style>
  <w:style w:type="character" w:styleId="ListLabel648">
    <w:name w:val="ListLabel 648"/>
    <w:qFormat/>
    <w:rPr>
      <w:sz w:val="20"/>
    </w:rPr>
  </w:style>
  <w:style w:type="character" w:styleId="ListLabel649">
    <w:name w:val="ListLabel 649"/>
    <w:qFormat/>
    <w:rPr>
      <w:sz w:val="20"/>
    </w:rPr>
  </w:style>
  <w:style w:type="character" w:styleId="ListLabel650">
    <w:name w:val="ListLabel 650"/>
    <w:qFormat/>
    <w:rPr>
      <w:sz w:val="20"/>
    </w:rPr>
  </w:style>
  <w:style w:type="character" w:styleId="ListLabel651">
    <w:name w:val="ListLabel 651"/>
    <w:qFormat/>
    <w:rPr>
      <w:sz w:val="20"/>
    </w:rPr>
  </w:style>
  <w:style w:type="character" w:styleId="ListLabel652">
    <w:name w:val="ListLabel 652"/>
    <w:qFormat/>
    <w:rPr>
      <w:sz w:val="20"/>
    </w:rPr>
  </w:style>
  <w:style w:type="character" w:styleId="ListLabel653">
    <w:name w:val="ListLabel 653"/>
    <w:qFormat/>
    <w:rPr>
      <w:sz w:val="20"/>
    </w:rPr>
  </w:style>
  <w:style w:type="character" w:styleId="ListLabel654">
    <w:name w:val="ListLabel 654"/>
    <w:qFormat/>
    <w:rPr>
      <w:sz w:val="20"/>
    </w:rPr>
  </w:style>
  <w:style w:type="character" w:styleId="ListLabel655">
    <w:name w:val="ListLabel 655"/>
    <w:qFormat/>
    <w:rPr>
      <w:sz w:val="20"/>
    </w:rPr>
  </w:style>
  <w:style w:type="character" w:styleId="ListLabel656">
    <w:name w:val="ListLabel 656"/>
    <w:qFormat/>
    <w:rPr>
      <w:sz w:val="20"/>
    </w:rPr>
  </w:style>
  <w:style w:type="character" w:styleId="ListLabel657">
    <w:name w:val="ListLabel 657"/>
    <w:qFormat/>
    <w:rPr>
      <w:sz w:val="20"/>
    </w:rPr>
  </w:style>
  <w:style w:type="character" w:styleId="ListLabel658">
    <w:name w:val="ListLabel 658"/>
    <w:qFormat/>
    <w:rPr>
      <w:sz w:val="20"/>
    </w:rPr>
  </w:style>
  <w:style w:type="character" w:styleId="ListLabel659">
    <w:name w:val="ListLabel 659"/>
    <w:qFormat/>
    <w:rPr>
      <w:sz w:val="20"/>
    </w:rPr>
  </w:style>
  <w:style w:type="character" w:styleId="ListLabel660">
    <w:name w:val="ListLabel 660"/>
    <w:qFormat/>
    <w:rPr>
      <w:rFonts w:cs="Courier New"/>
    </w:rPr>
  </w:style>
  <w:style w:type="character" w:styleId="ListLabel661">
    <w:name w:val="ListLabel 661"/>
    <w:qFormat/>
    <w:rPr>
      <w:rFonts w:cs="Courier New"/>
    </w:rPr>
  </w:style>
  <w:style w:type="character" w:styleId="ListLabel662">
    <w:name w:val="ListLabel 662"/>
    <w:qFormat/>
    <w:rPr>
      <w:rFonts w:cs="Courier New"/>
    </w:rPr>
  </w:style>
  <w:style w:type="character" w:styleId="ListLabel663">
    <w:name w:val="ListLabel 663"/>
    <w:qFormat/>
    <w:rPr>
      <w:sz w:val="20"/>
    </w:rPr>
  </w:style>
  <w:style w:type="character" w:styleId="ListLabel664">
    <w:name w:val="ListLabel 664"/>
    <w:qFormat/>
    <w:rPr>
      <w:sz w:val="20"/>
    </w:rPr>
  </w:style>
  <w:style w:type="character" w:styleId="ListLabel665">
    <w:name w:val="ListLabel 665"/>
    <w:qFormat/>
    <w:rPr>
      <w:sz w:val="20"/>
    </w:rPr>
  </w:style>
  <w:style w:type="character" w:styleId="ListLabel666">
    <w:name w:val="ListLabel 666"/>
    <w:qFormat/>
    <w:rPr>
      <w:sz w:val="20"/>
    </w:rPr>
  </w:style>
  <w:style w:type="character" w:styleId="ListLabel667">
    <w:name w:val="ListLabel 667"/>
    <w:qFormat/>
    <w:rPr>
      <w:sz w:val="20"/>
    </w:rPr>
  </w:style>
  <w:style w:type="character" w:styleId="ListLabel668">
    <w:name w:val="ListLabel 668"/>
    <w:qFormat/>
    <w:rPr>
      <w:sz w:val="20"/>
    </w:rPr>
  </w:style>
  <w:style w:type="character" w:styleId="ListLabel669">
    <w:name w:val="ListLabel 669"/>
    <w:qFormat/>
    <w:rPr>
      <w:sz w:val="20"/>
    </w:rPr>
  </w:style>
  <w:style w:type="character" w:styleId="ListLabel670">
    <w:name w:val="ListLabel 670"/>
    <w:qFormat/>
    <w:rPr>
      <w:sz w:val="20"/>
    </w:rPr>
  </w:style>
  <w:style w:type="character" w:styleId="ListLabel671">
    <w:name w:val="ListLabel 671"/>
    <w:qFormat/>
    <w:rPr>
      <w:sz w:val="20"/>
    </w:rPr>
  </w:style>
  <w:style w:type="character" w:styleId="ListLabel672">
    <w:name w:val="ListLabel 672"/>
    <w:qFormat/>
    <w:rPr>
      <w:sz w:val="20"/>
    </w:rPr>
  </w:style>
  <w:style w:type="character" w:styleId="ListLabel673">
    <w:name w:val="ListLabel 673"/>
    <w:qFormat/>
    <w:rPr>
      <w:sz w:val="20"/>
    </w:rPr>
  </w:style>
  <w:style w:type="character" w:styleId="ListLabel674">
    <w:name w:val="ListLabel 674"/>
    <w:qFormat/>
    <w:rPr>
      <w:sz w:val="20"/>
    </w:rPr>
  </w:style>
  <w:style w:type="character" w:styleId="ListLabel675">
    <w:name w:val="ListLabel 675"/>
    <w:qFormat/>
    <w:rPr>
      <w:sz w:val="20"/>
    </w:rPr>
  </w:style>
  <w:style w:type="character" w:styleId="ListLabel676">
    <w:name w:val="ListLabel 676"/>
    <w:qFormat/>
    <w:rPr>
      <w:sz w:val="20"/>
    </w:rPr>
  </w:style>
  <w:style w:type="character" w:styleId="ListLabel677">
    <w:name w:val="ListLabel 677"/>
    <w:qFormat/>
    <w:rPr>
      <w:sz w:val="20"/>
    </w:rPr>
  </w:style>
  <w:style w:type="character" w:styleId="ListLabel678">
    <w:name w:val="ListLabel 678"/>
    <w:qFormat/>
    <w:rPr>
      <w:sz w:val="20"/>
    </w:rPr>
  </w:style>
  <w:style w:type="character" w:styleId="ListLabel679">
    <w:name w:val="ListLabel 679"/>
    <w:qFormat/>
    <w:rPr>
      <w:sz w:val="20"/>
    </w:rPr>
  </w:style>
  <w:style w:type="character" w:styleId="ListLabel680">
    <w:name w:val="ListLabel 680"/>
    <w:qFormat/>
    <w:rPr>
      <w:sz w:val="20"/>
    </w:rPr>
  </w:style>
  <w:style w:type="character" w:styleId="ListLabel681">
    <w:name w:val="ListLabel 681"/>
    <w:qFormat/>
    <w:rPr>
      <w:sz w:val="20"/>
    </w:rPr>
  </w:style>
  <w:style w:type="character" w:styleId="ListLabel682">
    <w:name w:val="ListLabel 682"/>
    <w:qFormat/>
    <w:rPr>
      <w:sz w:val="20"/>
    </w:rPr>
  </w:style>
  <w:style w:type="character" w:styleId="ListLabel683">
    <w:name w:val="ListLabel 683"/>
    <w:qFormat/>
    <w:rPr>
      <w:sz w:val="20"/>
    </w:rPr>
  </w:style>
  <w:style w:type="character" w:styleId="ListLabel684">
    <w:name w:val="ListLabel 684"/>
    <w:qFormat/>
    <w:rPr>
      <w:sz w:val="20"/>
    </w:rPr>
  </w:style>
  <w:style w:type="character" w:styleId="ListLabel685">
    <w:name w:val="ListLabel 685"/>
    <w:qFormat/>
    <w:rPr>
      <w:sz w:val="20"/>
    </w:rPr>
  </w:style>
  <w:style w:type="character" w:styleId="ListLabel686">
    <w:name w:val="ListLabel 686"/>
    <w:qFormat/>
    <w:rPr>
      <w:sz w:val="20"/>
    </w:rPr>
  </w:style>
  <w:style w:type="character" w:styleId="ListLabel687">
    <w:name w:val="ListLabel 687"/>
    <w:qFormat/>
    <w:rPr>
      <w:sz w:val="20"/>
    </w:rPr>
  </w:style>
  <w:style w:type="character" w:styleId="ListLabel688">
    <w:name w:val="ListLabel 688"/>
    <w:qFormat/>
    <w:rPr>
      <w:sz w:val="20"/>
    </w:rPr>
  </w:style>
  <w:style w:type="character" w:styleId="ListLabel689">
    <w:name w:val="ListLabel 689"/>
    <w:qFormat/>
    <w:rPr>
      <w:sz w:val="20"/>
    </w:rPr>
  </w:style>
  <w:style w:type="character" w:styleId="ListLabel690">
    <w:name w:val="ListLabel 690"/>
    <w:qFormat/>
    <w:rPr>
      <w:sz w:val="20"/>
    </w:rPr>
  </w:style>
  <w:style w:type="character" w:styleId="ListLabel691">
    <w:name w:val="ListLabel 691"/>
    <w:qFormat/>
    <w:rPr>
      <w:sz w:val="20"/>
    </w:rPr>
  </w:style>
  <w:style w:type="character" w:styleId="ListLabel692">
    <w:name w:val="ListLabel 692"/>
    <w:qFormat/>
    <w:rPr>
      <w:sz w:val="20"/>
    </w:rPr>
  </w:style>
  <w:style w:type="character" w:styleId="ListLabel693">
    <w:name w:val="ListLabel 693"/>
    <w:qFormat/>
    <w:rPr>
      <w:sz w:val="20"/>
    </w:rPr>
  </w:style>
  <w:style w:type="character" w:styleId="ListLabel694">
    <w:name w:val="ListLabel 694"/>
    <w:qFormat/>
    <w:rPr>
      <w:sz w:val="20"/>
    </w:rPr>
  </w:style>
  <w:style w:type="character" w:styleId="ListLabel695">
    <w:name w:val="ListLabel 695"/>
    <w:qFormat/>
    <w:rPr>
      <w:sz w:val="20"/>
    </w:rPr>
  </w:style>
  <w:style w:type="character" w:styleId="ListLabel696">
    <w:name w:val="ListLabel 696"/>
    <w:qFormat/>
    <w:rPr>
      <w:sz w:val="20"/>
    </w:rPr>
  </w:style>
  <w:style w:type="character" w:styleId="ListLabel697">
    <w:name w:val="ListLabel 697"/>
    <w:qFormat/>
    <w:rPr>
      <w:sz w:val="20"/>
    </w:rPr>
  </w:style>
  <w:style w:type="character" w:styleId="ListLabel698">
    <w:name w:val="ListLabel 698"/>
    <w:qFormat/>
    <w:rPr>
      <w:sz w:val="20"/>
    </w:rPr>
  </w:style>
  <w:style w:type="character" w:styleId="ListLabel699">
    <w:name w:val="ListLabel 699"/>
    <w:qFormat/>
    <w:rPr>
      <w:sz w:val="20"/>
    </w:rPr>
  </w:style>
  <w:style w:type="character" w:styleId="ListLabel700">
    <w:name w:val="ListLabel 700"/>
    <w:qFormat/>
    <w:rPr>
      <w:sz w:val="20"/>
    </w:rPr>
  </w:style>
  <w:style w:type="character" w:styleId="ListLabel701">
    <w:name w:val="ListLabel 701"/>
    <w:qFormat/>
    <w:rPr>
      <w:sz w:val="20"/>
    </w:rPr>
  </w:style>
  <w:style w:type="character" w:styleId="ListLabel702">
    <w:name w:val="ListLabel 702"/>
    <w:qFormat/>
    <w:rPr>
      <w:sz w:val="20"/>
    </w:rPr>
  </w:style>
  <w:style w:type="character" w:styleId="ListLabel703">
    <w:name w:val="ListLabel 703"/>
    <w:qFormat/>
    <w:rPr>
      <w:sz w:val="20"/>
    </w:rPr>
  </w:style>
  <w:style w:type="character" w:styleId="ListLabel704">
    <w:name w:val="ListLabel 704"/>
    <w:qFormat/>
    <w:rPr>
      <w:sz w:val="20"/>
    </w:rPr>
  </w:style>
  <w:style w:type="character" w:styleId="ListLabel705">
    <w:name w:val="ListLabel 705"/>
    <w:qFormat/>
    <w:rPr>
      <w:sz w:val="20"/>
    </w:rPr>
  </w:style>
  <w:style w:type="character" w:styleId="ListLabel706">
    <w:name w:val="ListLabel 706"/>
    <w:qFormat/>
    <w:rPr>
      <w:sz w:val="20"/>
    </w:rPr>
  </w:style>
  <w:style w:type="character" w:styleId="ListLabel707">
    <w:name w:val="ListLabel 707"/>
    <w:qFormat/>
    <w:rPr>
      <w:sz w:val="20"/>
    </w:rPr>
  </w:style>
  <w:style w:type="character" w:styleId="ListLabel708">
    <w:name w:val="ListLabel 708"/>
    <w:qFormat/>
    <w:rPr>
      <w:sz w:val="20"/>
    </w:rPr>
  </w:style>
  <w:style w:type="character" w:styleId="ListLabel709">
    <w:name w:val="ListLabel 709"/>
    <w:qFormat/>
    <w:rPr>
      <w:sz w:val="20"/>
    </w:rPr>
  </w:style>
  <w:style w:type="character" w:styleId="ListLabel710">
    <w:name w:val="ListLabel 710"/>
    <w:qFormat/>
    <w:rPr>
      <w:sz w:val="20"/>
    </w:rPr>
  </w:style>
  <w:style w:type="character" w:styleId="ListLabel711">
    <w:name w:val="ListLabel 711"/>
    <w:qFormat/>
    <w:rPr>
      <w:sz w:val="20"/>
    </w:rPr>
  </w:style>
  <w:style w:type="character" w:styleId="ListLabel712">
    <w:name w:val="ListLabel 712"/>
    <w:qFormat/>
    <w:rPr>
      <w:sz w:val="20"/>
    </w:rPr>
  </w:style>
  <w:style w:type="character" w:styleId="ListLabel713">
    <w:name w:val="ListLabel 713"/>
    <w:qFormat/>
    <w:rPr>
      <w:sz w:val="20"/>
    </w:rPr>
  </w:style>
  <w:style w:type="character" w:styleId="ListLabel714">
    <w:name w:val="ListLabel 714"/>
    <w:qFormat/>
    <w:rPr>
      <w:sz w:val="20"/>
    </w:rPr>
  </w:style>
  <w:style w:type="character" w:styleId="ListLabel715">
    <w:name w:val="ListLabel 715"/>
    <w:qFormat/>
    <w:rPr>
      <w:sz w:val="20"/>
    </w:rPr>
  </w:style>
  <w:style w:type="character" w:styleId="ListLabel716">
    <w:name w:val="ListLabel 716"/>
    <w:qFormat/>
    <w:rPr>
      <w:sz w:val="20"/>
    </w:rPr>
  </w:style>
  <w:style w:type="character" w:styleId="ListLabel717">
    <w:name w:val="ListLabel 717"/>
    <w:qFormat/>
    <w:rPr>
      <w:sz w:val="20"/>
    </w:rPr>
  </w:style>
  <w:style w:type="character" w:styleId="ListLabel718">
    <w:name w:val="ListLabel 718"/>
    <w:qFormat/>
    <w:rPr>
      <w:sz w:val="20"/>
    </w:rPr>
  </w:style>
  <w:style w:type="character" w:styleId="ListLabel719">
    <w:name w:val="ListLabel 719"/>
    <w:qFormat/>
    <w:rPr>
      <w:sz w:val="20"/>
    </w:rPr>
  </w:style>
  <w:style w:type="character" w:styleId="ListLabel720">
    <w:name w:val="ListLabel 720"/>
    <w:qFormat/>
    <w:rPr>
      <w:sz w:val="20"/>
    </w:rPr>
  </w:style>
  <w:style w:type="character" w:styleId="ListLabel721">
    <w:name w:val="ListLabel 721"/>
    <w:qFormat/>
    <w:rPr>
      <w:sz w:val="24"/>
    </w:rPr>
  </w:style>
  <w:style w:type="character" w:styleId="ListLabel722">
    <w:name w:val="ListLabel 722"/>
    <w:qFormat/>
    <w:rPr>
      <w:sz w:val="20"/>
    </w:rPr>
  </w:style>
  <w:style w:type="character" w:styleId="ListLabel723">
    <w:name w:val="ListLabel 723"/>
    <w:qFormat/>
    <w:rPr>
      <w:sz w:val="20"/>
    </w:rPr>
  </w:style>
  <w:style w:type="character" w:styleId="ListLabel724">
    <w:name w:val="ListLabel 724"/>
    <w:qFormat/>
    <w:rPr>
      <w:sz w:val="20"/>
    </w:rPr>
  </w:style>
  <w:style w:type="character" w:styleId="ListLabel725">
    <w:name w:val="ListLabel 725"/>
    <w:qFormat/>
    <w:rPr>
      <w:sz w:val="20"/>
    </w:rPr>
  </w:style>
  <w:style w:type="character" w:styleId="ListLabel726">
    <w:name w:val="ListLabel 726"/>
    <w:qFormat/>
    <w:rPr>
      <w:sz w:val="20"/>
    </w:rPr>
  </w:style>
  <w:style w:type="character" w:styleId="ListLabel727">
    <w:name w:val="ListLabel 727"/>
    <w:qFormat/>
    <w:rPr>
      <w:sz w:val="20"/>
    </w:rPr>
  </w:style>
  <w:style w:type="character" w:styleId="ListLabel728">
    <w:name w:val="ListLabel 728"/>
    <w:qFormat/>
    <w:rPr>
      <w:sz w:val="20"/>
    </w:rPr>
  </w:style>
  <w:style w:type="character" w:styleId="ListLabel729">
    <w:name w:val="ListLabel 729"/>
    <w:qFormat/>
    <w:rPr>
      <w:sz w:val="20"/>
    </w:rPr>
  </w:style>
  <w:style w:type="character" w:styleId="ListLabel730">
    <w:name w:val="ListLabel 730"/>
    <w:qFormat/>
    <w:rPr>
      <w:sz w:val="20"/>
    </w:rPr>
  </w:style>
  <w:style w:type="character" w:styleId="ListLabel731">
    <w:name w:val="ListLabel 731"/>
    <w:qFormat/>
    <w:rPr>
      <w:sz w:val="20"/>
    </w:rPr>
  </w:style>
  <w:style w:type="character" w:styleId="ListLabel732">
    <w:name w:val="ListLabel 732"/>
    <w:qFormat/>
    <w:rPr>
      <w:sz w:val="20"/>
    </w:rPr>
  </w:style>
  <w:style w:type="character" w:styleId="ListLabel733">
    <w:name w:val="ListLabel 733"/>
    <w:qFormat/>
    <w:rPr>
      <w:sz w:val="20"/>
    </w:rPr>
  </w:style>
  <w:style w:type="character" w:styleId="ListLabel734">
    <w:name w:val="ListLabel 734"/>
    <w:qFormat/>
    <w:rPr>
      <w:sz w:val="20"/>
    </w:rPr>
  </w:style>
  <w:style w:type="character" w:styleId="ListLabel735">
    <w:name w:val="ListLabel 735"/>
    <w:qFormat/>
    <w:rPr>
      <w:sz w:val="20"/>
    </w:rPr>
  </w:style>
  <w:style w:type="character" w:styleId="ListLabel736">
    <w:name w:val="ListLabel 736"/>
    <w:qFormat/>
    <w:rPr>
      <w:sz w:val="20"/>
    </w:rPr>
  </w:style>
  <w:style w:type="character" w:styleId="ListLabel737">
    <w:name w:val="ListLabel 737"/>
    <w:qFormat/>
    <w:rPr>
      <w:sz w:val="20"/>
    </w:rPr>
  </w:style>
  <w:style w:type="character" w:styleId="ListLabel738">
    <w:name w:val="ListLabel 738"/>
    <w:qFormat/>
    <w:rPr>
      <w:sz w:val="20"/>
    </w:rPr>
  </w:style>
  <w:style w:type="character" w:styleId="ListLabel739">
    <w:name w:val="ListLabel 739"/>
    <w:qFormat/>
    <w:rPr>
      <w:sz w:val="20"/>
    </w:rPr>
  </w:style>
  <w:style w:type="character" w:styleId="ListLabel740">
    <w:name w:val="ListLabel 740"/>
    <w:qFormat/>
    <w:rPr>
      <w:sz w:val="20"/>
    </w:rPr>
  </w:style>
  <w:style w:type="character" w:styleId="ListLabel741">
    <w:name w:val="ListLabel 741"/>
    <w:qFormat/>
    <w:rPr>
      <w:sz w:val="20"/>
    </w:rPr>
  </w:style>
  <w:style w:type="character" w:styleId="ListLabel742">
    <w:name w:val="ListLabel 742"/>
    <w:qFormat/>
    <w:rPr>
      <w:sz w:val="20"/>
    </w:rPr>
  </w:style>
  <w:style w:type="character" w:styleId="ListLabel743">
    <w:name w:val="ListLabel 743"/>
    <w:qFormat/>
    <w:rPr>
      <w:sz w:val="20"/>
    </w:rPr>
  </w:style>
  <w:style w:type="character" w:styleId="ListLabel744">
    <w:name w:val="ListLabel 744"/>
    <w:qFormat/>
    <w:rPr>
      <w:sz w:val="20"/>
    </w:rPr>
  </w:style>
  <w:style w:type="character" w:styleId="ListLabel745">
    <w:name w:val="ListLabel 745"/>
    <w:qFormat/>
    <w:rPr>
      <w:sz w:val="20"/>
    </w:rPr>
  </w:style>
  <w:style w:type="character" w:styleId="ListLabel746">
    <w:name w:val="ListLabel 746"/>
    <w:qFormat/>
    <w:rPr>
      <w:sz w:val="20"/>
    </w:rPr>
  </w:style>
  <w:style w:type="character" w:styleId="ListLabel747">
    <w:name w:val="ListLabel 747"/>
    <w:qFormat/>
    <w:rPr>
      <w:sz w:val="20"/>
    </w:rPr>
  </w:style>
  <w:style w:type="character" w:styleId="ListLabel748">
    <w:name w:val="ListLabel 748"/>
    <w:qFormat/>
    <w:rPr>
      <w:sz w:val="20"/>
    </w:rPr>
  </w:style>
  <w:style w:type="character" w:styleId="ListLabel749">
    <w:name w:val="ListLabel 749"/>
    <w:qFormat/>
    <w:rPr>
      <w:sz w:val="20"/>
    </w:rPr>
  </w:style>
  <w:style w:type="character" w:styleId="ListLabel750">
    <w:name w:val="ListLabel 750"/>
    <w:qFormat/>
    <w:rPr>
      <w:sz w:val="20"/>
    </w:rPr>
  </w:style>
  <w:style w:type="character" w:styleId="ListLabel751">
    <w:name w:val="ListLabel 751"/>
    <w:qFormat/>
    <w:rPr>
      <w:sz w:val="20"/>
    </w:rPr>
  </w:style>
  <w:style w:type="character" w:styleId="ListLabel752">
    <w:name w:val="ListLabel 752"/>
    <w:qFormat/>
    <w:rPr>
      <w:sz w:val="20"/>
    </w:rPr>
  </w:style>
  <w:style w:type="character" w:styleId="ListLabel753">
    <w:name w:val="ListLabel 753"/>
    <w:qFormat/>
    <w:rPr>
      <w:sz w:val="20"/>
    </w:rPr>
  </w:style>
  <w:style w:type="character" w:styleId="ListLabel754">
    <w:name w:val="ListLabel 754"/>
    <w:qFormat/>
    <w:rPr>
      <w:sz w:val="20"/>
    </w:rPr>
  </w:style>
  <w:style w:type="character" w:styleId="ListLabel755">
    <w:name w:val="ListLabel 755"/>
    <w:qFormat/>
    <w:rPr>
      <w:sz w:val="20"/>
    </w:rPr>
  </w:style>
  <w:style w:type="character" w:styleId="ListLabel756">
    <w:name w:val="ListLabel 756"/>
    <w:qFormat/>
    <w:rPr>
      <w:sz w:val="20"/>
    </w:rPr>
  </w:style>
  <w:style w:type="character" w:styleId="ListLabel757">
    <w:name w:val="ListLabel 757"/>
    <w:qFormat/>
    <w:rPr>
      <w:sz w:val="20"/>
    </w:rPr>
  </w:style>
  <w:style w:type="character" w:styleId="ListLabel758">
    <w:name w:val="ListLabel 758"/>
    <w:qFormat/>
    <w:rPr>
      <w:sz w:val="20"/>
    </w:rPr>
  </w:style>
  <w:style w:type="character" w:styleId="ListLabel759">
    <w:name w:val="ListLabel 759"/>
    <w:qFormat/>
    <w:rPr>
      <w:sz w:val="20"/>
    </w:rPr>
  </w:style>
  <w:style w:type="character" w:styleId="ListLabel760">
    <w:name w:val="ListLabel 760"/>
    <w:qFormat/>
    <w:rPr>
      <w:sz w:val="20"/>
    </w:rPr>
  </w:style>
  <w:style w:type="character" w:styleId="ListLabel761">
    <w:name w:val="ListLabel 761"/>
    <w:qFormat/>
    <w:rPr>
      <w:sz w:val="20"/>
    </w:rPr>
  </w:style>
  <w:style w:type="character" w:styleId="ListLabel762">
    <w:name w:val="ListLabel 762"/>
    <w:qFormat/>
    <w:rPr>
      <w:sz w:val="20"/>
    </w:rPr>
  </w:style>
  <w:style w:type="character" w:styleId="ListLabel763">
    <w:name w:val="ListLabel 763"/>
    <w:qFormat/>
    <w:rPr>
      <w:sz w:val="20"/>
    </w:rPr>
  </w:style>
  <w:style w:type="character" w:styleId="ListLabel764">
    <w:name w:val="ListLabel 764"/>
    <w:qFormat/>
    <w:rPr>
      <w:sz w:val="20"/>
    </w:rPr>
  </w:style>
  <w:style w:type="character" w:styleId="ListLabel765">
    <w:name w:val="ListLabel 765"/>
    <w:qFormat/>
    <w:rPr>
      <w:sz w:val="20"/>
    </w:rPr>
  </w:style>
  <w:style w:type="character" w:styleId="ListLabel766">
    <w:name w:val="ListLabel 766"/>
    <w:qFormat/>
    <w:rPr>
      <w:sz w:val="20"/>
    </w:rPr>
  </w:style>
  <w:style w:type="character" w:styleId="ListLabel767">
    <w:name w:val="ListLabel 767"/>
    <w:qFormat/>
    <w:rPr>
      <w:sz w:val="20"/>
    </w:rPr>
  </w:style>
  <w:style w:type="character" w:styleId="ListLabel768">
    <w:name w:val="ListLabel 768"/>
    <w:qFormat/>
    <w:rPr>
      <w:sz w:val="20"/>
    </w:rPr>
  </w:style>
  <w:style w:type="character" w:styleId="ListLabel769">
    <w:name w:val="ListLabel 769"/>
    <w:qFormat/>
    <w:rPr>
      <w:sz w:val="20"/>
    </w:rPr>
  </w:style>
  <w:style w:type="character" w:styleId="ListLabel770">
    <w:name w:val="ListLabel 770"/>
    <w:qFormat/>
    <w:rPr>
      <w:sz w:val="20"/>
    </w:rPr>
  </w:style>
  <w:style w:type="character" w:styleId="ListLabel771">
    <w:name w:val="ListLabel 771"/>
    <w:qFormat/>
    <w:rPr>
      <w:sz w:val="20"/>
    </w:rPr>
  </w:style>
  <w:style w:type="character" w:styleId="ListLabel772">
    <w:name w:val="ListLabel 772"/>
    <w:qFormat/>
    <w:rPr>
      <w:rFonts w:cs="Courier New"/>
    </w:rPr>
  </w:style>
  <w:style w:type="character" w:styleId="ListLabel773">
    <w:name w:val="ListLabel 773"/>
    <w:qFormat/>
    <w:rPr>
      <w:rFonts w:cs="Courier New"/>
    </w:rPr>
  </w:style>
  <w:style w:type="character" w:styleId="ListLabel774">
    <w:name w:val="ListLabel 774"/>
    <w:qFormat/>
    <w:rPr>
      <w:rFonts w:cs="Courier New"/>
    </w:rPr>
  </w:style>
  <w:style w:type="character" w:styleId="ListLabel775">
    <w:name w:val="ListLabel 775"/>
    <w:qFormat/>
    <w:rPr>
      <w:sz w:val="20"/>
    </w:rPr>
  </w:style>
  <w:style w:type="character" w:styleId="ListLabel776">
    <w:name w:val="ListLabel 776"/>
    <w:qFormat/>
    <w:rPr>
      <w:sz w:val="20"/>
    </w:rPr>
  </w:style>
  <w:style w:type="character" w:styleId="ListLabel777">
    <w:name w:val="ListLabel 777"/>
    <w:qFormat/>
    <w:rPr>
      <w:rFonts w:cs="Courier New"/>
    </w:rPr>
  </w:style>
  <w:style w:type="character" w:styleId="ListLabel778">
    <w:name w:val="ListLabel 778"/>
    <w:qFormat/>
    <w:rPr>
      <w:rFonts w:cs="Courier New"/>
    </w:rPr>
  </w:style>
  <w:style w:type="character" w:styleId="ListLabel779">
    <w:name w:val="ListLabel 779"/>
    <w:qFormat/>
    <w:rPr>
      <w:rFonts w:cs="Courier New"/>
    </w:rPr>
  </w:style>
  <w:style w:type="character" w:styleId="ListLabel780">
    <w:name w:val="ListLabel 780"/>
    <w:qFormat/>
    <w:rPr>
      <w:sz w:val="20"/>
    </w:rPr>
  </w:style>
  <w:style w:type="character" w:styleId="ListLabel781">
    <w:name w:val="ListLabel 781"/>
    <w:qFormat/>
    <w:rPr>
      <w:sz w:val="20"/>
    </w:rPr>
  </w:style>
  <w:style w:type="character" w:styleId="ListLabel782">
    <w:name w:val="ListLabel 782"/>
    <w:qFormat/>
    <w:rPr>
      <w:sz w:val="20"/>
    </w:rPr>
  </w:style>
  <w:style w:type="character" w:styleId="ListLabel783">
    <w:name w:val="ListLabel 783"/>
    <w:qFormat/>
    <w:rPr>
      <w:sz w:val="20"/>
    </w:rPr>
  </w:style>
  <w:style w:type="character" w:styleId="ListLabel784">
    <w:name w:val="ListLabel 784"/>
    <w:qFormat/>
    <w:rPr>
      <w:sz w:val="20"/>
    </w:rPr>
  </w:style>
  <w:style w:type="character" w:styleId="ListLabel785">
    <w:name w:val="ListLabel 785"/>
    <w:qFormat/>
    <w:rPr>
      <w:sz w:val="20"/>
    </w:rPr>
  </w:style>
  <w:style w:type="character" w:styleId="ListLabel786">
    <w:name w:val="ListLabel 786"/>
    <w:qFormat/>
    <w:rPr>
      <w:sz w:val="20"/>
    </w:rPr>
  </w:style>
  <w:style w:type="character" w:styleId="ListLabel787">
    <w:name w:val="ListLabel 787"/>
    <w:qFormat/>
    <w:rPr>
      <w:rFonts w:cs="Courier New"/>
    </w:rPr>
  </w:style>
  <w:style w:type="character" w:styleId="ListLabel788">
    <w:name w:val="ListLabel 788"/>
    <w:qFormat/>
    <w:rPr>
      <w:rFonts w:cs="Courier New"/>
    </w:rPr>
  </w:style>
  <w:style w:type="character" w:styleId="ListLabel789">
    <w:name w:val="ListLabel 789"/>
    <w:qFormat/>
    <w:rPr>
      <w:rFonts w:cs="Courier New"/>
    </w:rPr>
  </w:style>
  <w:style w:type="character" w:styleId="ListLabel790">
    <w:name w:val="ListLabel 790"/>
    <w:qFormat/>
    <w:rPr>
      <w:sz w:val="20"/>
    </w:rPr>
  </w:style>
  <w:style w:type="character" w:styleId="ListLabel791">
    <w:name w:val="ListLabel 791"/>
    <w:qFormat/>
    <w:rPr>
      <w:sz w:val="20"/>
    </w:rPr>
  </w:style>
  <w:style w:type="character" w:styleId="ListLabel792">
    <w:name w:val="ListLabel 792"/>
    <w:qFormat/>
    <w:rPr>
      <w:sz w:val="20"/>
    </w:rPr>
  </w:style>
  <w:style w:type="character" w:styleId="ListLabel793">
    <w:name w:val="ListLabel 793"/>
    <w:qFormat/>
    <w:rPr>
      <w:sz w:val="20"/>
    </w:rPr>
  </w:style>
  <w:style w:type="character" w:styleId="ListLabel794">
    <w:name w:val="ListLabel 794"/>
    <w:qFormat/>
    <w:rPr>
      <w:sz w:val="20"/>
    </w:rPr>
  </w:style>
  <w:style w:type="character" w:styleId="ListLabel795">
    <w:name w:val="ListLabel 795"/>
    <w:qFormat/>
    <w:rPr>
      <w:sz w:val="20"/>
    </w:rPr>
  </w:style>
  <w:style w:type="character" w:styleId="ListLabel796">
    <w:name w:val="ListLabel 796"/>
    <w:qFormat/>
    <w:rPr>
      <w:rFonts w:cs="Courier New"/>
    </w:rPr>
  </w:style>
  <w:style w:type="character" w:styleId="ListLabel797">
    <w:name w:val="ListLabel 797"/>
    <w:qFormat/>
    <w:rPr>
      <w:rFonts w:cs="Courier New"/>
    </w:rPr>
  </w:style>
  <w:style w:type="character" w:styleId="ListLabel798">
    <w:name w:val="ListLabel 798"/>
    <w:qFormat/>
    <w:rPr>
      <w:rFonts w:cs="Courier New"/>
    </w:rPr>
  </w:style>
  <w:style w:type="character" w:styleId="ListLabel799">
    <w:name w:val="ListLabel 799"/>
    <w:qFormat/>
    <w:rPr>
      <w:rFonts w:cs="Courier New"/>
    </w:rPr>
  </w:style>
  <w:style w:type="character" w:styleId="ListLabel800">
    <w:name w:val="ListLabel 800"/>
    <w:qFormat/>
    <w:rPr>
      <w:rFonts w:cs="Courier New"/>
    </w:rPr>
  </w:style>
  <w:style w:type="character" w:styleId="ListLabel801">
    <w:name w:val="ListLabel 801"/>
    <w:qFormat/>
    <w:rPr>
      <w:rFonts w:cs="Courier New"/>
    </w:rPr>
  </w:style>
  <w:style w:type="character" w:styleId="ListLabel802">
    <w:name w:val="ListLabel 802"/>
    <w:qFormat/>
    <w:rPr>
      <w:rFonts w:cs="Courier New"/>
    </w:rPr>
  </w:style>
  <w:style w:type="character" w:styleId="ListLabel803">
    <w:name w:val="ListLabel 803"/>
    <w:qFormat/>
    <w:rPr>
      <w:rFonts w:cs="Courier New"/>
    </w:rPr>
  </w:style>
  <w:style w:type="character" w:styleId="ListLabel804">
    <w:name w:val="ListLabel 804"/>
    <w:qFormat/>
    <w:rPr>
      <w:rFonts w:cs="Courier New"/>
    </w:rPr>
  </w:style>
  <w:style w:type="character" w:styleId="ListLabel805">
    <w:name w:val="ListLabel 805"/>
    <w:qFormat/>
    <w:rPr>
      <w:rFonts w:cs="Courier New"/>
    </w:rPr>
  </w:style>
  <w:style w:type="character" w:styleId="ListLabel806">
    <w:name w:val="ListLabel 806"/>
    <w:qFormat/>
    <w:rPr>
      <w:rFonts w:cs="Courier New"/>
    </w:rPr>
  </w:style>
  <w:style w:type="character" w:styleId="ListLabel807">
    <w:name w:val="ListLabel 807"/>
    <w:qFormat/>
    <w:rPr>
      <w:rFonts w:cs="Courier New"/>
    </w:rPr>
  </w:style>
  <w:style w:type="character" w:styleId="ListLabel808">
    <w:name w:val="ListLabel 808"/>
    <w:qFormat/>
    <w:rPr>
      <w:rFonts w:cs="Courier New"/>
    </w:rPr>
  </w:style>
  <w:style w:type="character" w:styleId="ListLabel809">
    <w:name w:val="ListLabel 809"/>
    <w:qFormat/>
    <w:rPr>
      <w:rFonts w:cs="Courier New"/>
    </w:rPr>
  </w:style>
  <w:style w:type="character" w:styleId="ListLabel810">
    <w:name w:val="ListLabel 810"/>
    <w:qFormat/>
    <w:rPr>
      <w:rFonts w:cs="Courier New"/>
    </w:rPr>
  </w:style>
  <w:style w:type="character" w:styleId="ListLabel811">
    <w:name w:val="ListLabel 811"/>
    <w:qFormat/>
    <w:rPr>
      <w:rFonts w:cs="Courier New"/>
    </w:rPr>
  </w:style>
  <w:style w:type="character" w:styleId="ListLabel812">
    <w:name w:val="ListLabel 812"/>
    <w:qFormat/>
    <w:rPr>
      <w:rFonts w:cs="Courier New"/>
    </w:rPr>
  </w:style>
  <w:style w:type="character" w:styleId="ListLabel813">
    <w:name w:val="ListLabel 813"/>
    <w:qFormat/>
    <w:rPr>
      <w:rFonts w:cs="Courier New"/>
    </w:rPr>
  </w:style>
  <w:style w:type="character" w:styleId="ListLabel814">
    <w:name w:val="ListLabel 814"/>
    <w:qFormat/>
    <w:rPr>
      <w:rFonts w:cs="Courier New"/>
    </w:rPr>
  </w:style>
  <w:style w:type="character" w:styleId="ListLabel815">
    <w:name w:val="ListLabel 815"/>
    <w:qFormat/>
    <w:rPr>
      <w:rFonts w:cs="Courier New"/>
    </w:rPr>
  </w:style>
  <w:style w:type="character" w:styleId="ListLabel816">
    <w:name w:val="ListLabel 816"/>
    <w:qFormat/>
    <w:rPr>
      <w:rFonts w:cs="Courier New"/>
    </w:rPr>
  </w:style>
  <w:style w:type="character" w:styleId="ListLabel817">
    <w:name w:val="ListLabel 817"/>
    <w:qFormat/>
    <w:rPr>
      <w:sz w:val="20"/>
    </w:rPr>
  </w:style>
  <w:style w:type="character" w:styleId="ListLabel818">
    <w:name w:val="ListLabel 818"/>
    <w:qFormat/>
    <w:rPr>
      <w:rFonts w:cs="Courier New"/>
    </w:rPr>
  </w:style>
  <w:style w:type="character" w:styleId="ListLabel819">
    <w:name w:val="ListLabel 819"/>
    <w:qFormat/>
    <w:rPr>
      <w:rFonts w:cs="Courier New"/>
    </w:rPr>
  </w:style>
  <w:style w:type="character" w:styleId="ListLabel820">
    <w:name w:val="ListLabel 820"/>
    <w:qFormat/>
    <w:rPr>
      <w:rFonts w:cs="Courier New"/>
    </w:rPr>
  </w:style>
  <w:style w:type="character" w:styleId="ListLabel821">
    <w:name w:val="ListLabel 821"/>
    <w:qFormat/>
    <w:rPr>
      <w:rFonts w:cs="Courier New"/>
    </w:rPr>
  </w:style>
  <w:style w:type="character" w:styleId="ListLabel822">
    <w:name w:val="ListLabel 822"/>
    <w:qFormat/>
    <w:rPr>
      <w:rFonts w:cs="Courier New"/>
    </w:rPr>
  </w:style>
  <w:style w:type="character" w:styleId="ListLabel823">
    <w:name w:val="ListLabel 823"/>
    <w:qFormat/>
    <w:rPr>
      <w:rFonts w:cs="Courier New"/>
    </w:rPr>
  </w:style>
  <w:style w:type="character" w:styleId="ListLabel824">
    <w:name w:val="ListLabel 824"/>
    <w:qFormat/>
    <w:rPr>
      <w:rFonts w:cs="Courier New"/>
    </w:rPr>
  </w:style>
  <w:style w:type="character" w:styleId="ListLabel825">
    <w:name w:val="ListLabel 825"/>
    <w:qFormat/>
    <w:rPr>
      <w:rFonts w:cs="Courier New"/>
    </w:rPr>
  </w:style>
  <w:style w:type="character" w:styleId="ListLabel826">
    <w:name w:val="ListLabel 826"/>
    <w:qFormat/>
    <w:rPr>
      <w:rFonts w:cs="Courier New"/>
    </w:rPr>
  </w:style>
  <w:style w:type="character" w:styleId="ListLabel827">
    <w:name w:val="ListLabel 827"/>
    <w:qFormat/>
    <w:rPr>
      <w:rFonts w:cs="Courier New"/>
    </w:rPr>
  </w:style>
  <w:style w:type="character" w:styleId="ListLabel828">
    <w:name w:val="ListLabel 828"/>
    <w:qFormat/>
    <w:rPr>
      <w:rFonts w:cs="Courier New"/>
    </w:rPr>
  </w:style>
  <w:style w:type="character" w:styleId="ListLabel829">
    <w:name w:val="ListLabel 829"/>
    <w:qFormat/>
    <w:rPr>
      <w:rFonts w:cs="Courier New"/>
    </w:rPr>
  </w:style>
  <w:style w:type="character" w:styleId="ListLabel830">
    <w:name w:val="ListLabel 830"/>
    <w:qFormat/>
    <w:rPr>
      <w:rFonts w:cs="Courier New"/>
    </w:rPr>
  </w:style>
  <w:style w:type="character" w:styleId="ListLabel831">
    <w:name w:val="ListLabel 831"/>
    <w:qFormat/>
    <w:rPr>
      <w:rFonts w:cs="Courier New"/>
    </w:rPr>
  </w:style>
  <w:style w:type="character" w:styleId="ListLabel832">
    <w:name w:val="ListLabel 832"/>
    <w:qFormat/>
    <w:rPr>
      <w:rFonts w:cs="Courier New"/>
    </w:rPr>
  </w:style>
  <w:style w:type="character" w:styleId="ListLabel833">
    <w:name w:val="ListLabel 833"/>
    <w:qFormat/>
    <w:rPr>
      <w:rFonts w:cs="Courier New"/>
    </w:rPr>
  </w:style>
  <w:style w:type="character" w:styleId="ListLabel834">
    <w:name w:val="ListLabel 834"/>
    <w:qFormat/>
    <w:rPr>
      <w:rFonts w:cs="Courier New"/>
    </w:rPr>
  </w:style>
  <w:style w:type="character" w:styleId="ListLabel835">
    <w:name w:val="ListLabel 835"/>
    <w:qFormat/>
    <w:rPr>
      <w:rFonts w:cs="Courier New"/>
    </w:rPr>
  </w:style>
  <w:style w:type="character" w:styleId="ListLabel836">
    <w:name w:val="ListLabel 836"/>
    <w:qFormat/>
    <w:rPr>
      <w:rFonts w:cs="Courier New"/>
    </w:rPr>
  </w:style>
  <w:style w:type="character" w:styleId="ListLabel837">
    <w:name w:val="ListLabel 837"/>
    <w:qFormat/>
    <w:rPr>
      <w:rFonts w:cs="Courier New"/>
    </w:rPr>
  </w:style>
  <w:style w:type="character" w:styleId="ListLabel838">
    <w:name w:val="ListLabel 838"/>
    <w:qFormat/>
    <w:rPr>
      <w:rFonts w:cs="Courier New"/>
    </w:rPr>
  </w:style>
  <w:style w:type="character" w:styleId="ListLabel839">
    <w:name w:val="ListLabel 839"/>
    <w:qFormat/>
    <w:rPr>
      <w:rFonts w:cs="Courier New"/>
    </w:rPr>
  </w:style>
  <w:style w:type="character" w:styleId="ListLabel840">
    <w:name w:val="ListLabel 840"/>
    <w:qFormat/>
    <w:rPr>
      <w:rFonts w:cs="Courier New"/>
    </w:rPr>
  </w:style>
  <w:style w:type="character" w:styleId="ListLabel841">
    <w:name w:val="ListLabel 841"/>
    <w:qFormat/>
    <w:rPr>
      <w:rFonts w:cs="Courier New"/>
    </w:rPr>
  </w:style>
  <w:style w:type="character" w:styleId="ListLabel842">
    <w:name w:val="ListLabel 842"/>
    <w:qFormat/>
    <w:rPr>
      <w:rFonts w:cs="Courier New"/>
    </w:rPr>
  </w:style>
  <w:style w:type="character" w:styleId="ListLabel843">
    <w:name w:val="ListLabel 843"/>
    <w:qFormat/>
    <w:rPr>
      <w:rFonts w:cs="Courier New"/>
    </w:rPr>
  </w:style>
  <w:style w:type="character" w:styleId="ListLabel844">
    <w:name w:val="ListLabel 844"/>
    <w:qFormat/>
    <w:rPr>
      <w:rFonts w:cs="Courier New"/>
    </w:rPr>
  </w:style>
  <w:style w:type="character" w:styleId="ListLabel845">
    <w:name w:val="ListLabel 845"/>
    <w:qFormat/>
    <w:rPr>
      <w:rFonts w:cs="Courier New"/>
    </w:rPr>
  </w:style>
  <w:style w:type="character" w:styleId="ListLabel846">
    <w:name w:val="ListLabel 846"/>
    <w:qFormat/>
    <w:rPr>
      <w:rFonts w:cs="Courier New"/>
    </w:rPr>
  </w:style>
  <w:style w:type="character" w:styleId="ListLabel847">
    <w:name w:val="ListLabel 847"/>
    <w:qFormat/>
    <w:rPr>
      <w:rFonts w:cs="Courier New"/>
    </w:rPr>
  </w:style>
  <w:style w:type="character" w:styleId="ListLabel848">
    <w:name w:val="ListLabel 848"/>
    <w:qFormat/>
    <w:rPr>
      <w:rFonts w:cs="Courier New"/>
    </w:rPr>
  </w:style>
  <w:style w:type="character" w:styleId="ListLabel849">
    <w:name w:val="ListLabel 849"/>
    <w:qFormat/>
    <w:rPr>
      <w:rFonts w:cs="Courier New"/>
    </w:rPr>
  </w:style>
  <w:style w:type="character" w:styleId="ListLabel850">
    <w:name w:val="ListLabel 850"/>
    <w:qFormat/>
    <w:rPr>
      <w:rFonts w:cs="Courier New"/>
    </w:rPr>
  </w:style>
  <w:style w:type="character" w:styleId="ListLabel851">
    <w:name w:val="ListLabel 851"/>
    <w:qFormat/>
    <w:rPr>
      <w:rFonts w:cs="Courier New"/>
    </w:rPr>
  </w:style>
  <w:style w:type="character" w:styleId="ListLabel852">
    <w:name w:val="ListLabel 852"/>
    <w:qFormat/>
    <w:rPr>
      <w:rFonts w:cs="Courier New"/>
    </w:rPr>
  </w:style>
  <w:style w:type="character" w:styleId="ListLabel853">
    <w:name w:val="ListLabel 853"/>
    <w:qFormat/>
    <w:rPr>
      <w:rFonts w:cs="Courier New"/>
    </w:rPr>
  </w:style>
  <w:style w:type="character" w:styleId="ListLabel854">
    <w:name w:val="ListLabel 854"/>
    <w:qFormat/>
    <w:rPr>
      <w:rFonts w:cs="Courier New"/>
    </w:rPr>
  </w:style>
  <w:style w:type="character" w:styleId="ListLabel855">
    <w:name w:val="ListLabel 855"/>
    <w:qFormat/>
    <w:rPr>
      <w:rFonts w:cs="Courier New"/>
    </w:rPr>
  </w:style>
  <w:style w:type="character" w:styleId="ListLabel856">
    <w:name w:val="ListLabel 856"/>
    <w:qFormat/>
    <w:rPr>
      <w:rFonts w:cs="Courier New"/>
    </w:rPr>
  </w:style>
  <w:style w:type="character" w:styleId="ListLabel857">
    <w:name w:val="ListLabel 857"/>
    <w:qFormat/>
    <w:rPr>
      <w:rFonts w:cs="Courier New"/>
    </w:rPr>
  </w:style>
  <w:style w:type="character" w:styleId="ListLabel858">
    <w:name w:val="ListLabel 858"/>
    <w:qFormat/>
    <w:rPr>
      <w:rFonts w:cs="Courier New"/>
    </w:rPr>
  </w:style>
  <w:style w:type="character" w:styleId="ListLabel859">
    <w:name w:val="ListLabel 859"/>
    <w:qFormat/>
    <w:rPr>
      <w:rFonts w:cs="Courier New"/>
    </w:rPr>
  </w:style>
  <w:style w:type="character" w:styleId="ListLabel860">
    <w:name w:val="ListLabel 860"/>
    <w:qFormat/>
    <w:rPr>
      <w:rFonts w:cs="Courier New"/>
    </w:rPr>
  </w:style>
  <w:style w:type="character" w:styleId="ListLabel861">
    <w:name w:val="ListLabel 861"/>
    <w:qFormat/>
    <w:rPr>
      <w:rFonts w:cs="Courier New"/>
    </w:rPr>
  </w:style>
  <w:style w:type="character" w:styleId="ListLabel862">
    <w:name w:val="ListLabel 862"/>
    <w:qFormat/>
    <w:rPr>
      <w:rFonts w:cs="Courier New"/>
    </w:rPr>
  </w:style>
  <w:style w:type="character" w:styleId="ListLabel863">
    <w:name w:val="ListLabel 863"/>
    <w:qFormat/>
    <w:rPr>
      <w:rFonts w:cs="Courier New"/>
    </w:rPr>
  </w:style>
  <w:style w:type="character" w:styleId="ListLabel864">
    <w:name w:val="ListLabel 864"/>
    <w:qFormat/>
    <w:rPr>
      <w:rFonts w:cs="Courier New"/>
    </w:rPr>
  </w:style>
  <w:style w:type="character" w:styleId="ListLabel865">
    <w:name w:val="ListLabel 865"/>
    <w:qFormat/>
    <w:rPr>
      <w:rFonts w:cs="Courier New"/>
    </w:rPr>
  </w:style>
  <w:style w:type="character" w:styleId="ListLabel866">
    <w:name w:val="ListLabel 866"/>
    <w:qFormat/>
    <w:rPr>
      <w:rFonts w:cs="Courier New"/>
    </w:rPr>
  </w:style>
  <w:style w:type="character" w:styleId="ListLabel867">
    <w:name w:val="ListLabel 867"/>
    <w:qFormat/>
    <w:rPr>
      <w:rFonts w:cs="Courier New"/>
    </w:rPr>
  </w:style>
  <w:style w:type="character" w:styleId="ListLabel868">
    <w:name w:val="ListLabel 868"/>
    <w:qFormat/>
    <w:rPr>
      <w:rFonts w:cs="Courier New"/>
    </w:rPr>
  </w:style>
  <w:style w:type="character" w:styleId="ListLabel869">
    <w:name w:val="ListLabel 869"/>
    <w:qFormat/>
    <w:rPr>
      <w:sz w:val="20"/>
    </w:rPr>
  </w:style>
  <w:style w:type="character" w:styleId="ListLabel870">
    <w:name w:val="ListLabel 870"/>
    <w:qFormat/>
    <w:rPr>
      <w:rFonts w:cs="Courier New"/>
    </w:rPr>
  </w:style>
  <w:style w:type="character" w:styleId="ListLabel871">
    <w:name w:val="ListLabel 871"/>
    <w:qFormat/>
    <w:rPr>
      <w:rFonts w:cs="Courier New"/>
    </w:rPr>
  </w:style>
  <w:style w:type="character" w:styleId="ListLabel872">
    <w:name w:val="ListLabel 872"/>
    <w:qFormat/>
    <w:rPr>
      <w:rFonts w:cs="Courier New"/>
    </w:rPr>
  </w:style>
  <w:style w:type="character" w:styleId="ListLabel873">
    <w:name w:val="ListLabel 873"/>
    <w:qFormat/>
    <w:rPr>
      <w:rFonts w:cs="Courier New"/>
    </w:rPr>
  </w:style>
  <w:style w:type="character" w:styleId="ListLabel874">
    <w:name w:val="ListLabel 874"/>
    <w:qFormat/>
    <w:rPr>
      <w:rFonts w:cs="Courier New"/>
    </w:rPr>
  </w:style>
  <w:style w:type="character" w:styleId="ListLabel875">
    <w:name w:val="ListLabel 875"/>
    <w:qFormat/>
    <w:rPr>
      <w:rFonts w:cs="Courier New"/>
    </w:rPr>
  </w:style>
  <w:style w:type="character" w:styleId="ListLabel876">
    <w:name w:val="ListLabel 876"/>
    <w:qFormat/>
    <w:rPr>
      <w:rFonts w:eastAsia="Times New Roman" w:cs="Calibri"/>
    </w:rPr>
  </w:style>
  <w:style w:type="character" w:styleId="ListLabel877">
    <w:name w:val="ListLabel 877"/>
    <w:qFormat/>
    <w:rPr>
      <w:rFonts w:cs="Courier New"/>
    </w:rPr>
  </w:style>
  <w:style w:type="character" w:styleId="ListLabel878">
    <w:name w:val="ListLabel 878"/>
    <w:qFormat/>
    <w:rPr>
      <w:rFonts w:cs="Courier New"/>
    </w:rPr>
  </w:style>
  <w:style w:type="character" w:styleId="ListLabel879">
    <w:name w:val="ListLabel 879"/>
    <w:qFormat/>
    <w:rPr>
      <w:rFonts w:cs="Courier New"/>
    </w:rPr>
  </w:style>
  <w:style w:type="character" w:styleId="ListLabel880">
    <w:name w:val="ListLabel 880"/>
    <w:qFormat/>
    <w:rPr>
      <w:rFonts w:cs="Courier New"/>
    </w:rPr>
  </w:style>
  <w:style w:type="character" w:styleId="ListLabel881">
    <w:name w:val="ListLabel 881"/>
    <w:qFormat/>
    <w:rPr>
      <w:rFonts w:cs="Courier New"/>
    </w:rPr>
  </w:style>
  <w:style w:type="character" w:styleId="ListLabel882">
    <w:name w:val="ListLabel 882"/>
    <w:qFormat/>
    <w:rPr>
      <w:rFonts w:cs="Courier New"/>
    </w:rPr>
  </w:style>
  <w:style w:type="character" w:styleId="ListLabel883">
    <w:name w:val="ListLabel 883"/>
    <w:qFormat/>
    <w:rPr>
      <w:rFonts w:cs="Courier New"/>
    </w:rPr>
  </w:style>
  <w:style w:type="character" w:styleId="ListLabel884">
    <w:name w:val="ListLabel 884"/>
    <w:qFormat/>
    <w:rPr>
      <w:rFonts w:cs="Courier New"/>
    </w:rPr>
  </w:style>
  <w:style w:type="character" w:styleId="ListLabel885">
    <w:name w:val="ListLabel 885"/>
    <w:qFormat/>
    <w:rPr>
      <w:rFonts w:cs="Courier New"/>
    </w:rPr>
  </w:style>
  <w:style w:type="character" w:styleId="ListLabel886">
    <w:name w:val="ListLabel 886"/>
    <w:qFormat/>
    <w:rPr>
      <w:rFonts w:cs="Courier New"/>
    </w:rPr>
  </w:style>
  <w:style w:type="character" w:styleId="ListLabel887">
    <w:name w:val="ListLabel 887"/>
    <w:qFormat/>
    <w:rPr>
      <w:rFonts w:cs="Courier New"/>
    </w:rPr>
  </w:style>
  <w:style w:type="character" w:styleId="ListLabel888">
    <w:name w:val="ListLabel 888"/>
    <w:qFormat/>
    <w:rPr>
      <w:rFonts w:cs="Courier New"/>
    </w:rPr>
  </w:style>
  <w:style w:type="character" w:styleId="ListLabel889">
    <w:name w:val="ListLabel 889"/>
    <w:qFormat/>
    <w:rPr>
      <w:rFonts w:cs="Courier New"/>
    </w:rPr>
  </w:style>
  <w:style w:type="character" w:styleId="ListLabel890">
    <w:name w:val="ListLabel 890"/>
    <w:qFormat/>
    <w:rPr>
      <w:rFonts w:cs="Courier New"/>
    </w:rPr>
  </w:style>
  <w:style w:type="character" w:styleId="ListLabel891">
    <w:name w:val="ListLabel 891"/>
    <w:qFormat/>
    <w:rPr>
      <w:rFonts w:cs="Courier New"/>
    </w:rPr>
  </w:style>
  <w:style w:type="character" w:styleId="ListLabel892">
    <w:name w:val="ListLabel 892"/>
    <w:qFormat/>
    <w:rPr>
      <w:rFonts w:cs="Courier New"/>
    </w:rPr>
  </w:style>
  <w:style w:type="character" w:styleId="ListLabel893">
    <w:name w:val="ListLabel 893"/>
    <w:qFormat/>
    <w:rPr>
      <w:rFonts w:cs="Courier New"/>
    </w:rPr>
  </w:style>
  <w:style w:type="character" w:styleId="ListLabel894">
    <w:name w:val="ListLabel 894"/>
    <w:qFormat/>
    <w:rPr>
      <w:rFonts w:cs="Courier New"/>
    </w:rPr>
  </w:style>
  <w:style w:type="character" w:styleId="ListLabel895">
    <w:name w:val="ListLabel 895"/>
    <w:qFormat/>
    <w:rPr>
      <w:rFonts w:cs="Courier New"/>
    </w:rPr>
  </w:style>
  <w:style w:type="character" w:styleId="ListLabel896">
    <w:name w:val="ListLabel 896"/>
    <w:qFormat/>
    <w:rPr>
      <w:rFonts w:cs="Courier New"/>
    </w:rPr>
  </w:style>
  <w:style w:type="character" w:styleId="ListLabel897">
    <w:name w:val="ListLabel 897"/>
    <w:qFormat/>
    <w:rPr>
      <w:rFonts w:cs="Courier New"/>
    </w:rPr>
  </w:style>
  <w:style w:type="character" w:styleId="ListLabel898">
    <w:name w:val="ListLabel 898"/>
    <w:qFormat/>
    <w:rPr>
      <w:rFonts w:cs="Courier New"/>
    </w:rPr>
  </w:style>
  <w:style w:type="character" w:styleId="ListLabel899">
    <w:name w:val="ListLabel 899"/>
    <w:qFormat/>
    <w:rPr>
      <w:rFonts w:cs="Courier New"/>
    </w:rPr>
  </w:style>
  <w:style w:type="character" w:styleId="ListLabel900">
    <w:name w:val="ListLabel 900"/>
    <w:qFormat/>
    <w:rPr>
      <w:rFonts w:cs="Courier New"/>
    </w:rPr>
  </w:style>
  <w:style w:type="character" w:styleId="ListLabel901">
    <w:name w:val="ListLabel 901"/>
    <w:qFormat/>
    <w:rPr>
      <w:rFonts w:cs="Courier New"/>
    </w:rPr>
  </w:style>
  <w:style w:type="character" w:styleId="ListLabel902">
    <w:name w:val="ListLabel 902"/>
    <w:qFormat/>
    <w:rPr>
      <w:rFonts w:cs="Courier New"/>
    </w:rPr>
  </w:style>
  <w:style w:type="character" w:styleId="ListLabel903">
    <w:name w:val="ListLabel 903"/>
    <w:qFormat/>
    <w:rPr>
      <w:rFonts w:cs="Courier New"/>
    </w:rPr>
  </w:style>
  <w:style w:type="character" w:styleId="ListLabel904">
    <w:name w:val="ListLabel 904"/>
    <w:qFormat/>
    <w:rPr>
      <w:rFonts w:cs="Courier New"/>
    </w:rPr>
  </w:style>
  <w:style w:type="character" w:styleId="ListLabel905">
    <w:name w:val="ListLabel 905"/>
    <w:qFormat/>
    <w:rPr>
      <w:rFonts w:cs="Courier New"/>
    </w:rPr>
  </w:style>
  <w:style w:type="character" w:styleId="ListLabel906">
    <w:name w:val="ListLabel 906"/>
    <w:qFormat/>
    <w:rPr>
      <w:rFonts w:cs="Courier New"/>
    </w:rPr>
  </w:style>
  <w:style w:type="character" w:styleId="ListLabel907">
    <w:name w:val="ListLabel 907"/>
    <w:qFormat/>
    <w:rPr>
      <w:rFonts w:cs="Courier New"/>
    </w:rPr>
  </w:style>
  <w:style w:type="character" w:styleId="ListLabel908">
    <w:name w:val="ListLabel 908"/>
    <w:qFormat/>
    <w:rPr>
      <w:rFonts w:cs="Courier New"/>
    </w:rPr>
  </w:style>
  <w:style w:type="character" w:styleId="ListLabel909">
    <w:name w:val="ListLabel 909"/>
    <w:qFormat/>
    <w:rPr>
      <w:rFonts w:cs="Courier New"/>
    </w:rPr>
  </w:style>
  <w:style w:type="character" w:styleId="ListLabel910">
    <w:name w:val="ListLabel 910"/>
    <w:qFormat/>
    <w:rPr>
      <w:sz w:val="20"/>
    </w:rPr>
  </w:style>
  <w:style w:type="character" w:styleId="ListLabel911">
    <w:name w:val="ListLabel 911"/>
    <w:qFormat/>
    <w:rPr>
      <w:sz w:val="20"/>
    </w:rPr>
  </w:style>
  <w:style w:type="character" w:styleId="ListLabel912">
    <w:name w:val="ListLabel 912"/>
    <w:qFormat/>
    <w:rPr>
      <w:sz w:val="20"/>
    </w:rPr>
  </w:style>
  <w:style w:type="character" w:styleId="ListLabel913">
    <w:name w:val="ListLabel 913"/>
    <w:qFormat/>
    <w:rPr>
      <w:sz w:val="20"/>
    </w:rPr>
  </w:style>
  <w:style w:type="character" w:styleId="ListLabel914">
    <w:name w:val="ListLabel 914"/>
    <w:qFormat/>
    <w:rPr>
      <w:rFonts w:cs="Courier New"/>
    </w:rPr>
  </w:style>
  <w:style w:type="character" w:styleId="ListLabel915">
    <w:name w:val="ListLabel 915"/>
    <w:qFormat/>
    <w:rPr>
      <w:rFonts w:cs="Courier New"/>
    </w:rPr>
  </w:style>
  <w:style w:type="character" w:styleId="ListLabel916">
    <w:name w:val="ListLabel 916"/>
    <w:qFormat/>
    <w:rPr>
      <w:rFonts w:cs="Courier New"/>
    </w:rPr>
  </w:style>
  <w:style w:type="character" w:styleId="ListLabel917">
    <w:name w:val="ListLabel 917"/>
    <w:qFormat/>
    <w:rPr>
      <w:sz w:val="20"/>
    </w:rPr>
  </w:style>
  <w:style w:type="character" w:styleId="ListLabel918">
    <w:name w:val="ListLabel 918"/>
    <w:qFormat/>
    <w:rPr>
      <w:sz w:val="20"/>
    </w:rPr>
  </w:style>
  <w:style w:type="character" w:styleId="ListLabel919">
    <w:name w:val="ListLabel 919"/>
    <w:qFormat/>
    <w:rPr>
      <w:sz w:val="20"/>
    </w:rPr>
  </w:style>
  <w:style w:type="character" w:styleId="ListLabel920">
    <w:name w:val="ListLabel 920"/>
    <w:qFormat/>
    <w:rPr>
      <w:sz w:val="20"/>
    </w:rPr>
  </w:style>
  <w:style w:type="character" w:styleId="ListLabel921">
    <w:name w:val="ListLabel 921"/>
    <w:qFormat/>
    <w:rPr>
      <w:sz w:val="20"/>
    </w:rPr>
  </w:style>
  <w:style w:type="character" w:styleId="ListLabel922">
    <w:name w:val="ListLabel 922"/>
    <w:qFormat/>
    <w:rPr>
      <w:sz w:val="20"/>
    </w:rPr>
  </w:style>
  <w:style w:type="character" w:styleId="ListLabel923">
    <w:name w:val="ListLabel 923"/>
    <w:qFormat/>
    <w:rPr>
      <w:sz w:val="20"/>
    </w:rPr>
  </w:style>
  <w:style w:type="character" w:styleId="ListLabel924">
    <w:name w:val="ListLabel 924"/>
    <w:qFormat/>
    <w:rPr>
      <w:sz w:val="20"/>
    </w:rPr>
  </w:style>
  <w:style w:type="character" w:styleId="ListLabel925">
    <w:name w:val="ListLabel 925"/>
    <w:qFormat/>
    <w:rPr>
      <w:b w:val="false"/>
      <w:sz w:val="20"/>
    </w:rPr>
  </w:style>
  <w:style w:type="character" w:styleId="ListLabel926">
    <w:name w:val="ListLabel 926"/>
    <w:qFormat/>
    <w:rPr>
      <w:sz w:val="20"/>
    </w:rPr>
  </w:style>
  <w:style w:type="character" w:styleId="ListLabel927">
    <w:name w:val="ListLabel 927"/>
    <w:qFormat/>
    <w:rPr>
      <w:sz w:val="20"/>
    </w:rPr>
  </w:style>
  <w:style w:type="character" w:styleId="ListLabel928">
    <w:name w:val="ListLabel 928"/>
    <w:qFormat/>
    <w:rPr>
      <w:sz w:val="20"/>
    </w:rPr>
  </w:style>
  <w:style w:type="character" w:styleId="ListLabel929">
    <w:name w:val="ListLabel 929"/>
    <w:qFormat/>
    <w:rPr>
      <w:sz w:val="20"/>
    </w:rPr>
  </w:style>
  <w:style w:type="character" w:styleId="ListLabel930">
    <w:name w:val="ListLabel 930"/>
    <w:qFormat/>
    <w:rPr>
      <w:b w:val="false"/>
      <w:sz w:val="20"/>
    </w:rPr>
  </w:style>
  <w:style w:type="character" w:styleId="ListLabel931">
    <w:name w:val="ListLabel 931"/>
    <w:qFormat/>
    <w:rPr>
      <w:sz w:val="20"/>
    </w:rPr>
  </w:style>
  <w:style w:type="character" w:styleId="ListLabel932">
    <w:name w:val="ListLabel 932"/>
    <w:qFormat/>
    <w:rPr>
      <w:sz w:val="20"/>
    </w:rPr>
  </w:style>
  <w:style w:type="character" w:styleId="ListLabel933">
    <w:name w:val="ListLabel 933"/>
    <w:qFormat/>
    <w:rPr>
      <w:sz w:val="20"/>
    </w:rPr>
  </w:style>
  <w:style w:type="character" w:styleId="ListLabel934">
    <w:name w:val="ListLabel 934"/>
    <w:qFormat/>
    <w:rPr>
      <w:b w:val="false"/>
      <w:sz w:val="20"/>
    </w:rPr>
  </w:style>
  <w:style w:type="character" w:styleId="ListLabel935">
    <w:name w:val="ListLabel 935"/>
    <w:qFormat/>
    <w:rPr>
      <w:sz w:val="20"/>
    </w:rPr>
  </w:style>
  <w:style w:type="character" w:styleId="ListLabel936">
    <w:name w:val="ListLabel 936"/>
    <w:qFormat/>
    <w:rPr>
      <w:sz w:val="20"/>
    </w:rPr>
  </w:style>
  <w:style w:type="character" w:styleId="ListLabel937">
    <w:name w:val="ListLabel 937"/>
    <w:qFormat/>
    <w:rPr>
      <w:sz w:val="20"/>
    </w:rPr>
  </w:style>
  <w:style w:type="character" w:styleId="ListLabel938">
    <w:name w:val="ListLabel 938"/>
    <w:qFormat/>
    <w:rPr>
      <w:sz w:val="20"/>
    </w:rPr>
  </w:style>
  <w:style w:type="character" w:styleId="ListLabel939">
    <w:name w:val="ListLabel 939"/>
    <w:qFormat/>
    <w:rPr>
      <w:sz w:val="20"/>
    </w:rPr>
  </w:style>
  <w:style w:type="character" w:styleId="ListLabel940">
    <w:name w:val="ListLabel 940"/>
    <w:qFormat/>
    <w:rPr>
      <w:sz w:val="20"/>
    </w:rPr>
  </w:style>
  <w:style w:type="character" w:styleId="ListLabel941">
    <w:name w:val="ListLabel 941"/>
    <w:qFormat/>
    <w:rPr>
      <w:sz w:val="20"/>
    </w:rPr>
  </w:style>
  <w:style w:type="character" w:styleId="ListLabel942">
    <w:name w:val="ListLabel 942"/>
    <w:qFormat/>
    <w:rPr>
      <w:sz w:val="20"/>
    </w:rPr>
  </w:style>
  <w:style w:type="character" w:styleId="ListLabel943">
    <w:name w:val="ListLabel 943"/>
    <w:qFormat/>
    <w:rPr>
      <w:rFonts w:cs="Courier New"/>
      <w:b w:val="false"/>
      <w:sz w:val="24"/>
    </w:rPr>
  </w:style>
  <w:style w:type="character" w:styleId="ListLabel944">
    <w:name w:val="ListLabel 944"/>
    <w:qFormat/>
    <w:rPr>
      <w:rFonts w:cs="Courier New"/>
    </w:rPr>
  </w:style>
  <w:style w:type="character" w:styleId="ListLabel945">
    <w:name w:val="ListLabel 945"/>
    <w:qFormat/>
    <w:rPr>
      <w:rFonts w:cs="Courier New"/>
    </w:rPr>
  </w:style>
  <w:style w:type="character" w:styleId="ListLabel946">
    <w:name w:val="ListLabel 946"/>
    <w:qFormat/>
    <w:rPr>
      <w:sz w:val="20"/>
    </w:rPr>
  </w:style>
  <w:style w:type="character" w:styleId="ListLabel947">
    <w:name w:val="ListLabel 947"/>
    <w:qFormat/>
    <w:rPr>
      <w:b w:val="false"/>
      <w:sz w:val="20"/>
    </w:rPr>
  </w:style>
  <w:style w:type="character" w:styleId="ListLabel948">
    <w:name w:val="ListLabel 948"/>
    <w:qFormat/>
    <w:rPr>
      <w:sz w:val="20"/>
    </w:rPr>
  </w:style>
  <w:style w:type="character" w:styleId="ListLabel949">
    <w:name w:val="ListLabel 949"/>
    <w:qFormat/>
    <w:rPr>
      <w:rFonts w:cs="Courier New"/>
    </w:rPr>
  </w:style>
  <w:style w:type="character" w:styleId="ListLabel950">
    <w:name w:val="ListLabel 950"/>
    <w:qFormat/>
    <w:rPr>
      <w:rFonts w:cs="Courier New"/>
    </w:rPr>
  </w:style>
  <w:style w:type="character" w:styleId="ListLabel951">
    <w:name w:val="ListLabel 951"/>
    <w:qFormat/>
    <w:rPr>
      <w:rFonts w:cs="Courier New"/>
    </w:rPr>
  </w:style>
  <w:style w:type="character" w:styleId="ListLabel952">
    <w:name w:val="ListLabel 952"/>
    <w:qFormat/>
    <w:rPr>
      <w:sz w:val="20"/>
    </w:rPr>
  </w:style>
  <w:style w:type="character" w:styleId="ListLabel953">
    <w:name w:val="ListLabel 953"/>
    <w:qFormat/>
    <w:rPr>
      <w:sz w:val="20"/>
    </w:rPr>
  </w:style>
  <w:style w:type="character" w:styleId="ListLabel954">
    <w:name w:val="ListLabel 954"/>
    <w:qFormat/>
    <w:rPr>
      <w:rFonts w:cs="Courier New"/>
    </w:rPr>
  </w:style>
  <w:style w:type="character" w:styleId="ListLabel955">
    <w:name w:val="ListLabel 955"/>
    <w:qFormat/>
    <w:rPr>
      <w:rFonts w:cs="Courier New"/>
    </w:rPr>
  </w:style>
  <w:style w:type="character" w:styleId="ListLabel956">
    <w:name w:val="ListLabel 956"/>
    <w:qFormat/>
    <w:rPr>
      <w:rFonts w:cs="Courier New"/>
    </w:rPr>
  </w:style>
  <w:style w:type="character" w:styleId="ListLabel957">
    <w:name w:val="ListLabel 957"/>
    <w:qFormat/>
    <w:rPr>
      <w:sz w:val="20"/>
    </w:rPr>
  </w:style>
  <w:style w:type="character" w:styleId="ListLabel958">
    <w:name w:val="ListLabel 958"/>
    <w:qFormat/>
    <w:rPr>
      <w:sz w:val="20"/>
    </w:rPr>
  </w:style>
  <w:style w:type="character" w:styleId="ListLabel959">
    <w:name w:val="ListLabel 959"/>
    <w:qFormat/>
    <w:rPr>
      <w:sz w:val="20"/>
    </w:rPr>
  </w:style>
  <w:style w:type="character" w:styleId="ListLabel960">
    <w:name w:val="ListLabel 960"/>
    <w:qFormat/>
    <w:rPr>
      <w:sz w:val="20"/>
    </w:rPr>
  </w:style>
  <w:style w:type="character" w:styleId="ListLabel961">
    <w:name w:val="ListLabel 961"/>
    <w:qFormat/>
    <w:rPr>
      <w:sz w:val="20"/>
    </w:rPr>
  </w:style>
  <w:style w:type="character" w:styleId="ListLabel962">
    <w:name w:val="ListLabel 962"/>
    <w:qFormat/>
    <w:rPr>
      <w:sz w:val="20"/>
    </w:rPr>
  </w:style>
  <w:style w:type="character" w:styleId="ListLabel963">
    <w:name w:val="ListLabel 963"/>
    <w:qFormat/>
    <w:rPr>
      <w:sz w:val="20"/>
    </w:rPr>
  </w:style>
  <w:style w:type="character" w:styleId="ListLabel964">
    <w:name w:val="ListLabel 964"/>
    <w:qFormat/>
    <w:rPr>
      <w:rFonts w:cs="Courier New"/>
    </w:rPr>
  </w:style>
  <w:style w:type="character" w:styleId="ListLabel965">
    <w:name w:val="ListLabel 965"/>
    <w:qFormat/>
    <w:rPr>
      <w:rFonts w:cs="Courier New"/>
    </w:rPr>
  </w:style>
  <w:style w:type="character" w:styleId="ListLabel966">
    <w:name w:val="ListLabel 966"/>
    <w:qFormat/>
    <w:rPr>
      <w:rFonts w:cs="Courier New"/>
    </w:rPr>
  </w:style>
  <w:style w:type="character" w:styleId="ListLabel967">
    <w:name w:val="ListLabel 967"/>
    <w:qFormat/>
    <w:rPr>
      <w:sz w:val="20"/>
    </w:rPr>
  </w:style>
  <w:style w:type="character" w:styleId="ListLabel968">
    <w:name w:val="ListLabel 968"/>
    <w:qFormat/>
    <w:rPr>
      <w:sz w:val="20"/>
    </w:rPr>
  </w:style>
  <w:style w:type="character" w:styleId="ListLabel969">
    <w:name w:val="ListLabel 969"/>
    <w:qFormat/>
    <w:rPr>
      <w:sz w:val="20"/>
    </w:rPr>
  </w:style>
  <w:style w:type="character" w:styleId="ListLabel970">
    <w:name w:val="ListLabel 970"/>
    <w:qFormat/>
    <w:rPr>
      <w:sz w:val="20"/>
    </w:rPr>
  </w:style>
  <w:style w:type="character" w:styleId="ListLabel971">
    <w:name w:val="ListLabel 971"/>
    <w:qFormat/>
    <w:rPr>
      <w:sz w:val="20"/>
    </w:rPr>
  </w:style>
  <w:style w:type="character" w:styleId="ListLabel972">
    <w:name w:val="ListLabel 972"/>
    <w:qFormat/>
    <w:rPr>
      <w:sz w:val="20"/>
    </w:rPr>
  </w:style>
  <w:style w:type="character" w:styleId="ListLabel973">
    <w:name w:val="ListLabel 973"/>
    <w:qFormat/>
    <w:rPr>
      <w:sz w:val="20"/>
    </w:rPr>
  </w:style>
  <w:style w:type="character" w:styleId="ListLabel974">
    <w:name w:val="ListLabel 974"/>
    <w:qFormat/>
    <w:rPr>
      <w:rFonts w:cs="Courier New"/>
    </w:rPr>
  </w:style>
  <w:style w:type="character" w:styleId="ListLabel975">
    <w:name w:val="ListLabel 975"/>
    <w:qFormat/>
    <w:rPr>
      <w:rFonts w:cs="Courier New"/>
    </w:rPr>
  </w:style>
  <w:style w:type="character" w:styleId="ListLabel976">
    <w:name w:val="ListLabel 976"/>
    <w:qFormat/>
    <w:rPr>
      <w:rFonts w:cs="Courier New"/>
    </w:rPr>
  </w:style>
  <w:style w:type="character" w:styleId="ListLabel977">
    <w:name w:val="ListLabel 977"/>
    <w:qFormat/>
    <w:rPr>
      <w:sz w:val="20"/>
    </w:rPr>
  </w:style>
  <w:style w:type="character" w:styleId="ListLabel978">
    <w:name w:val="ListLabel 978"/>
    <w:qFormat/>
    <w:rPr>
      <w:sz w:val="20"/>
    </w:rPr>
  </w:style>
  <w:style w:type="character" w:styleId="ListLabel979">
    <w:name w:val="ListLabel 979"/>
    <w:qFormat/>
    <w:rPr>
      <w:rFonts w:cs="Courier New"/>
    </w:rPr>
  </w:style>
  <w:style w:type="character" w:styleId="ListLabel980">
    <w:name w:val="ListLabel 980"/>
    <w:qFormat/>
    <w:rPr>
      <w:rFonts w:cs="Courier New"/>
    </w:rPr>
  </w:style>
  <w:style w:type="character" w:styleId="ListLabel981">
    <w:name w:val="ListLabel 981"/>
    <w:qFormat/>
    <w:rPr>
      <w:rFonts w:cs="Courier New"/>
    </w:rPr>
  </w:style>
  <w:style w:type="character" w:styleId="ListLabel982">
    <w:name w:val="ListLabel 982"/>
    <w:qFormat/>
    <w:rPr>
      <w:sz w:val="20"/>
    </w:rPr>
  </w:style>
  <w:style w:type="character" w:styleId="ListLabel983">
    <w:name w:val="ListLabel 983"/>
    <w:qFormat/>
    <w:rPr>
      <w:sz w:val="20"/>
    </w:rPr>
  </w:style>
  <w:style w:type="character" w:styleId="ListLabel984">
    <w:name w:val="ListLabel 984"/>
    <w:qFormat/>
    <w:rPr>
      <w:sz w:val="20"/>
    </w:rPr>
  </w:style>
  <w:style w:type="character" w:styleId="ListLabel985">
    <w:name w:val="ListLabel 985"/>
    <w:qFormat/>
    <w:rPr>
      <w:rFonts w:cs="Courier New"/>
    </w:rPr>
  </w:style>
  <w:style w:type="character" w:styleId="ListLabel986">
    <w:name w:val="ListLabel 986"/>
    <w:qFormat/>
    <w:rPr>
      <w:rFonts w:cs="Courier New"/>
    </w:rPr>
  </w:style>
  <w:style w:type="character" w:styleId="ListLabel987">
    <w:name w:val="ListLabel 987"/>
    <w:qFormat/>
    <w:rPr>
      <w:rFonts w:cs="Courier New"/>
    </w:rPr>
  </w:style>
  <w:style w:type="character" w:styleId="ListLabel988">
    <w:name w:val="ListLabel 988"/>
    <w:qFormat/>
    <w:rPr>
      <w:sz w:val="20"/>
    </w:rPr>
  </w:style>
  <w:style w:type="character" w:styleId="ListLabel989">
    <w:name w:val="ListLabel 989"/>
    <w:qFormat/>
    <w:rPr>
      <w:sz w:val="20"/>
    </w:rPr>
  </w:style>
  <w:style w:type="character" w:styleId="ListLabel990">
    <w:name w:val="ListLabel 990"/>
    <w:qFormat/>
    <w:rPr>
      <w:sz w:val="20"/>
    </w:rPr>
  </w:style>
  <w:style w:type="character" w:styleId="ListLabel991">
    <w:name w:val="ListLabel 991"/>
    <w:qFormat/>
    <w:rPr>
      <w:sz w:val="20"/>
    </w:rPr>
  </w:style>
  <w:style w:type="character" w:styleId="ListLabel992">
    <w:name w:val="ListLabel 992"/>
    <w:qFormat/>
    <w:rPr>
      <w:sz w:val="20"/>
    </w:rPr>
  </w:style>
  <w:style w:type="character" w:styleId="ListLabel993">
    <w:name w:val="ListLabel 993"/>
    <w:qFormat/>
    <w:rPr>
      <w:sz w:val="20"/>
    </w:rPr>
  </w:style>
  <w:style w:type="character" w:styleId="ListLabel994">
    <w:name w:val="ListLabel 994"/>
    <w:qFormat/>
    <w:rPr>
      <w:sz w:val="20"/>
    </w:rPr>
  </w:style>
  <w:style w:type="character" w:styleId="ListLabel995">
    <w:name w:val="ListLabel 995"/>
    <w:qFormat/>
    <w:rPr>
      <w:rFonts w:cs="Courier New"/>
    </w:rPr>
  </w:style>
  <w:style w:type="character" w:styleId="ListLabel996">
    <w:name w:val="ListLabel 996"/>
    <w:qFormat/>
    <w:rPr>
      <w:rFonts w:cs="Courier New"/>
    </w:rPr>
  </w:style>
  <w:style w:type="character" w:styleId="ListLabel997">
    <w:name w:val="ListLabel 997"/>
    <w:qFormat/>
    <w:rPr>
      <w:rFonts w:cs="Courier New"/>
    </w:rPr>
  </w:style>
  <w:style w:type="character" w:styleId="ListLabel998">
    <w:name w:val="ListLabel 998"/>
    <w:qFormat/>
    <w:rPr>
      <w:rFonts w:cs="Courier New"/>
    </w:rPr>
  </w:style>
  <w:style w:type="character" w:styleId="ListLabel999">
    <w:name w:val="ListLabel 999"/>
    <w:qFormat/>
    <w:rPr>
      <w:rFonts w:cs="Courier New"/>
    </w:rPr>
  </w:style>
  <w:style w:type="character" w:styleId="ListLabel1000">
    <w:name w:val="ListLabel 1000"/>
    <w:qFormat/>
    <w:rPr>
      <w:rFonts w:cs="Courier New"/>
    </w:rPr>
  </w:style>
  <w:style w:type="character" w:styleId="ListLabel1001">
    <w:name w:val="ListLabel 1001"/>
    <w:qFormat/>
    <w:rPr>
      <w:sz w:val="20"/>
    </w:rPr>
  </w:style>
  <w:style w:type="character" w:styleId="ListLabel1002">
    <w:name w:val="ListLabel 1002"/>
    <w:qFormat/>
    <w:rPr>
      <w:sz w:val="20"/>
    </w:rPr>
  </w:style>
  <w:style w:type="character" w:styleId="ListLabel1003">
    <w:name w:val="ListLabel 1003"/>
    <w:qFormat/>
    <w:rPr>
      <w:sz w:val="20"/>
    </w:rPr>
  </w:style>
  <w:style w:type="character" w:styleId="ListLabel1004">
    <w:name w:val="ListLabel 1004"/>
    <w:qFormat/>
    <w:rPr>
      <w:sz w:val="20"/>
    </w:rPr>
  </w:style>
  <w:style w:type="character" w:styleId="ListLabel1005">
    <w:name w:val="ListLabel 1005"/>
    <w:qFormat/>
    <w:rPr>
      <w:sz w:val="20"/>
    </w:rPr>
  </w:style>
  <w:style w:type="character" w:styleId="ListLabel1006">
    <w:name w:val="ListLabel 1006"/>
    <w:qFormat/>
    <w:rPr>
      <w:sz w:val="20"/>
    </w:rPr>
  </w:style>
  <w:style w:type="character" w:styleId="ListLabel1007">
    <w:name w:val="ListLabel 1007"/>
    <w:qFormat/>
    <w:rPr>
      <w:sz w:val="20"/>
    </w:rPr>
  </w:style>
  <w:style w:type="character" w:styleId="ListLabel1008">
    <w:name w:val="ListLabel 1008"/>
    <w:qFormat/>
    <w:rPr>
      <w:sz w:val="20"/>
    </w:rPr>
  </w:style>
  <w:style w:type="character" w:styleId="ListLabel1009">
    <w:name w:val="ListLabel 1009"/>
    <w:qFormat/>
    <w:rPr>
      <w:sz w:val="20"/>
    </w:rPr>
  </w:style>
  <w:style w:type="character" w:styleId="ListLabel1010">
    <w:name w:val="ListLabel 1010"/>
    <w:qFormat/>
    <w:rPr>
      <w:rFonts w:cs="Courier New"/>
    </w:rPr>
  </w:style>
  <w:style w:type="character" w:styleId="ListLabel1011">
    <w:name w:val="ListLabel 1011"/>
    <w:qFormat/>
    <w:rPr>
      <w:rFonts w:cs="Courier New"/>
    </w:rPr>
  </w:style>
  <w:style w:type="character" w:styleId="ListLabel1012">
    <w:name w:val="ListLabel 1012"/>
    <w:qFormat/>
    <w:rPr>
      <w:rFonts w:cs="Courier New"/>
    </w:rPr>
  </w:style>
  <w:style w:type="character" w:styleId="ListLabel1013">
    <w:name w:val="ListLabel 1013"/>
    <w:qFormat/>
    <w:rPr>
      <w:sz w:val="20"/>
    </w:rPr>
  </w:style>
  <w:style w:type="character" w:styleId="ListLabel1014">
    <w:name w:val="ListLabel 1014"/>
    <w:qFormat/>
    <w:rPr>
      <w:sz w:val="20"/>
    </w:rPr>
  </w:style>
  <w:style w:type="character" w:styleId="ListLabel1015">
    <w:name w:val="ListLabel 1015"/>
    <w:qFormat/>
    <w:rPr>
      <w:sz w:val="20"/>
    </w:rPr>
  </w:style>
  <w:style w:type="character" w:styleId="ListLabel1016">
    <w:name w:val="ListLabel 1016"/>
    <w:qFormat/>
    <w:rPr>
      <w:sz w:val="20"/>
    </w:rPr>
  </w:style>
  <w:style w:type="character" w:styleId="ListLabel1017">
    <w:name w:val="ListLabel 1017"/>
    <w:qFormat/>
    <w:rPr>
      <w:sz w:val="20"/>
    </w:rPr>
  </w:style>
  <w:style w:type="character" w:styleId="ListLabel1018">
    <w:name w:val="ListLabel 1018"/>
    <w:qFormat/>
    <w:rPr>
      <w:sz w:val="20"/>
    </w:rPr>
  </w:style>
  <w:style w:type="character" w:styleId="ListLabel1019">
    <w:name w:val="ListLabel 1019"/>
    <w:qFormat/>
    <w:rPr>
      <w:rFonts w:cs="Courier New"/>
    </w:rPr>
  </w:style>
  <w:style w:type="character" w:styleId="ListLabel1020">
    <w:name w:val="ListLabel 1020"/>
    <w:qFormat/>
    <w:rPr>
      <w:rFonts w:cs="Courier New"/>
    </w:rPr>
  </w:style>
  <w:style w:type="character" w:styleId="ListLabel1021">
    <w:name w:val="ListLabel 1021"/>
    <w:qFormat/>
    <w:rPr>
      <w:rFonts w:cs="Courier New"/>
    </w:rPr>
  </w:style>
  <w:style w:type="character" w:styleId="ListLabel1022">
    <w:name w:val="ListLabel 1022"/>
    <w:qFormat/>
    <w:rPr>
      <w:sz w:val="20"/>
    </w:rPr>
  </w:style>
  <w:style w:type="character" w:styleId="ListLabel1023">
    <w:name w:val="ListLabel 1023"/>
    <w:qFormat/>
    <w:rPr>
      <w:sz w:val="20"/>
    </w:rPr>
  </w:style>
  <w:style w:type="character" w:styleId="ListLabel1024">
    <w:name w:val="ListLabel 1024"/>
    <w:qFormat/>
    <w:rPr>
      <w:sz w:val="20"/>
    </w:rPr>
  </w:style>
  <w:style w:type="character" w:styleId="ListLabel1025">
    <w:name w:val="ListLabel 1025"/>
    <w:qFormat/>
    <w:rPr>
      <w:rFonts w:cs="Courier New"/>
    </w:rPr>
  </w:style>
  <w:style w:type="character" w:styleId="ListLabel1026">
    <w:name w:val="ListLabel 1026"/>
    <w:qFormat/>
    <w:rPr>
      <w:rFonts w:cs="Courier New"/>
    </w:rPr>
  </w:style>
  <w:style w:type="character" w:styleId="ListLabel1027">
    <w:name w:val="ListLabel 1027"/>
    <w:qFormat/>
    <w:rPr>
      <w:rFonts w:cs="Courier New"/>
    </w:rPr>
  </w:style>
  <w:style w:type="character" w:styleId="ListLabel1028">
    <w:name w:val="ListLabel 1028"/>
    <w:qFormat/>
    <w:rPr>
      <w:sz w:val="20"/>
    </w:rPr>
  </w:style>
  <w:style w:type="character" w:styleId="ListLabel1029">
    <w:name w:val="ListLabel 1029"/>
    <w:qFormat/>
    <w:rPr>
      <w:sz w:val="20"/>
    </w:rPr>
  </w:style>
  <w:style w:type="character" w:styleId="ListLabel1030">
    <w:name w:val="ListLabel 1030"/>
    <w:qFormat/>
    <w:rPr>
      <w:rFonts w:cs="Courier New"/>
    </w:rPr>
  </w:style>
  <w:style w:type="character" w:styleId="ListLabel1031">
    <w:name w:val="ListLabel 1031"/>
    <w:qFormat/>
    <w:rPr>
      <w:rFonts w:cs="Courier New"/>
    </w:rPr>
  </w:style>
  <w:style w:type="character" w:styleId="ListLabel1032">
    <w:name w:val="ListLabel 1032"/>
    <w:qFormat/>
    <w:rPr>
      <w:rFonts w:cs="Courier New"/>
    </w:rPr>
  </w:style>
  <w:style w:type="character" w:styleId="ListLabel1033">
    <w:name w:val="ListLabel 1033"/>
    <w:qFormat/>
    <w:rPr>
      <w:sz w:val="20"/>
    </w:rPr>
  </w:style>
  <w:style w:type="character" w:styleId="ListLabel1034">
    <w:name w:val="ListLabel 1034"/>
    <w:qFormat/>
    <w:rPr>
      <w:sz w:val="20"/>
    </w:rPr>
  </w:style>
  <w:style w:type="character" w:styleId="ListLabel1035">
    <w:name w:val="ListLabel 1035"/>
    <w:qFormat/>
    <w:rPr>
      <w:sz w:val="20"/>
    </w:rPr>
  </w:style>
  <w:style w:type="character" w:styleId="ListLabel1036">
    <w:name w:val="ListLabel 1036"/>
    <w:qFormat/>
    <w:rPr>
      <w:sz w:val="20"/>
    </w:rPr>
  </w:style>
  <w:style w:type="character" w:styleId="ListLabel1037">
    <w:name w:val="ListLabel 1037"/>
    <w:qFormat/>
    <w:rPr>
      <w:sz w:val="20"/>
    </w:rPr>
  </w:style>
  <w:style w:type="character" w:styleId="ListLabel1038">
    <w:name w:val="ListLabel 1038"/>
    <w:qFormat/>
    <w:rPr>
      <w:rFonts w:cs="Courier New"/>
    </w:rPr>
  </w:style>
  <w:style w:type="character" w:styleId="ListLabel1039">
    <w:name w:val="ListLabel 1039"/>
    <w:qFormat/>
    <w:rPr>
      <w:rFonts w:cs="Courier New"/>
    </w:rPr>
  </w:style>
  <w:style w:type="character" w:styleId="ListLabel1040">
    <w:name w:val="ListLabel 1040"/>
    <w:qFormat/>
    <w:rPr>
      <w:rFonts w:cs="Courier New"/>
    </w:rPr>
  </w:style>
  <w:style w:type="character" w:styleId="ListLabel1041">
    <w:name w:val="ListLabel 1041"/>
    <w:qFormat/>
    <w:rPr>
      <w:sz w:val="20"/>
    </w:rPr>
  </w:style>
  <w:style w:type="character" w:styleId="ListLabel1042">
    <w:name w:val="ListLabel 1042"/>
    <w:qFormat/>
    <w:rPr>
      <w:rFonts w:cs="Courier New"/>
    </w:rPr>
  </w:style>
  <w:style w:type="character" w:styleId="ListLabel1043">
    <w:name w:val="ListLabel 1043"/>
    <w:qFormat/>
    <w:rPr>
      <w:rFonts w:cs="Courier New"/>
    </w:rPr>
  </w:style>
  <w:style w:type="character" w:styleId="ListLabel1044">
    <w:name w:val="ListLabel 1044"/>
    <w:qFormat/>
    <w:rPr>
      <w:rFonts w:cs="Courier New"/>
    </w:rPr>
  </w:style>
  <w:style w:type="character" w:styleId="ListLabel1045">
    <w:name w:val="ListLabel 1045"/>
    <w:qFormat/>
    <w:rPr>
      <w:sz w:val="20"/>
    </w:rPr>
  </w:style>
  <w:style w:type="character" w:styleId="ListLabel1046">
    <w:name w:val="ListLabel 1046"/>
    <w:qFormat/>
    <w:rPr>
      <w:sz w:val="20"/>
    </w:rPr>
  </w:style>
  <w:style w:type="character" w:styleId="ListLabel1047">
    <w:name w:val="ListLabel 1047"/>
    <w:qFormat/>
    <w:rPr>
      <w:sz w:val="20"/>
    </w:rPr>
  </w:style>
  <w:style w:type="character" w:styleId="ListLabel1048">
    <w:name w:val="ListLabel 1048"/>
    <w:qFormat/>
    <w:rPr>
      <w:sz w:val="20"/>
    </w:rPr>
  </w:style>
  <w:style w:type="character" w:styleId="ListLabel1049">
    <w:name w:val="ListLabel 1049"/>
    <w:qFormat/>
    <w:rPr>
      <w:sz w:val="20"/>
    </w:rPr>
  </w:style>
  <w:style w:type="character" w:styleId="ListLabel1050">
    <w:name w:val="ListLabel 1050"/>
    <w:qFormat/>
    <w:rPr>
      <w:sz w:val="20"/>
    </w:rPr>
  </w:style>
  <w:style w:type="character" w:styleId="ListLabel1051">
    <w:name w:val="ListLabel 1051"/>
    <w:qFormat/>
    <w:rPr>
      <w:sz w:val="20"/>
    </w:rPr>
  </w:style>
  <w:style w:type="character" w:styleId="ListLabel1052">
    <w:name w:val="ListLabel 1052"/>
    <w:qFormat/>
    <w:rPr>
      <w:sz w:val="20"/>
    </w:rPr>
  </w:style>
  <w:style w:type="character" w:styleId="ListLabel1053">
    <w:name w:val="ListLabel 1053"/>
    <w:qFormat/>
    <w:rPr>
      <w:sz w:val="20"/>
    </w:rPr>
  </w:style>
  <w:style w:type="character" w:styleId="ListLabel1054">
    <w:name w:val="ListLabel 1054"/>
    <w:qFormat/>
    <w:rPr>
      <w:sz w:val="20"/>
    </w:rPr>
  </w:style>
  <w:style w:type="character" w:styleId="ListLabel1055">
    <w:name w:val="ListLabel 1055"/>
    <w:qFormat/>
    <w:rPr>
      <w:sz w:val="20"/>
    </w:rPr>
  </w:style>
  <w:style w:type="character" w:styleId="ListLabel1056">
    <w:name w:val="ListLabel 1056"/>
    <w:qFormat/>
    <w:rPr>
      <w:sz w:val="20"/>
    </w:rPr>
  </w:style>
  <w:style w:type="character" w:styleId="ListLabel1057">
    <w:name w:val="ListLabel 1057"/>
    <w:qFormat/>
    <w:rPr>
      <w:sz w:val="20"/>
    </w:rPr>
  </w:style>
  <w:style w:type="character" w:styleId="ListLabel1058">
    <w:name w:val="ListLabel 1058"/>
    <w:qFormat/>
    <w:rPr>
      <w:sz w:val="20"/>
    </w:rPr>
  </w:style>
  <w:style w:type="character" w:styleId="ListLabel1059">
    <w:name w:val="ListLabel 1059"/>
    <w:qFormat/>
    <w:rPr>
      <w:sz w:val="20"/>
    </w:rPr>
  </w:style>
  <w:style w:type="character" w:styleId="ListLabel1060">
    <w:name w:val="ListLabel 1060"/>
    <w:qFormat/>
    <w:rPr>
      <w:sz w:val="20"/>
    </w:rPr>
  </w:style>
  <w:style w:type="character" w:styleId="ListLabel1061">
    <w:name w:val="ListLabel 1061"/>
    <w:qFormat/>
    <w:rPr>
      <w:sz w:val="20"/>
    </w:rPr>
  </w:style>
  <w:style w:type="character" w:styleId="ListLabel1062">
    <w:name w:val="ListLabel 1062"/>
    <w:qFormat/>
    <w:rPr>
      <w:sz w:val="20"/>
    </w:rPr>
  </w:style>
  <w:style w:type="character" w:styleId="ListLabel1063">
    <w:name w:val="ListLabel 1063"/>
    <w:qFormat/>
    <w:rPr>
      <w:sz w:val="20"/>
    </w:rPr>
  </w:style>
  <w:style w:type="character" w:styleId="ListLabel1064">
    <w:name w:val="ListLabel 1064"/>
    <w:qFormat/>
    <w:rPr>
      <w:sz w:val="20"/>
    </w:rPr>
  </w:style>
  <w:style w:type="character" w:styleId="ListLabel1065">
    <w:name w:val="ListLabel 1065"/>
    <w:qFormat/>
    <w:rPr>
      <w:sz w:val="20"/>
    </w:rPr>
  </w:style>
  <w:style w:type="character" w:styleId="ListLabel1066">
    <w:name w:val="ListLabel 1066"/>
    <w:qFormat/>
    <w:rPr>
      <w:rFonts w:cs="Courier New"/>
    </w:rPr>
  </w:style>
  <w:style w:type="character" w:styleId="ListLabel1067">
    <w:name w:val="ListLabel 1067"/>
    <w:qFormat/>
    <w:rPr>
      <w:rFonts w:cs="Courier New"/>
    </w:rPr>
  </w:style>
  <w:style w:type="character" w:styleId="ListLabel1068">
    <w:name w:val="ListLabel 1068"/>
    <w:qFormat/>
    <w:rPr>
      <w:rFonts w:cs="Courier New"/>
    </w:rPr>
  </w:style>
  <w:style w:type="character" w:styleId="ListLabel1069">
    <w:name w:val="ListLabel 1069"/>
    <w:qFormat/>
    <w:rPr>
      <w:rFonts w:cs="Calibri"/>
    </w:rPr>
  </w:style>
  <w:style w:type="character" w:styleId="ListLabel1070">
    <w:name w:val="ListLabel 1070"/>
    <w:qFormat/>
    <w:rPr/>
  </w:style>
  <w:style w:type="character" w:styleId="ListLabel1071">
    <w:name w:val="ListLabel 1071"/>
    <w:qFormat/>
    <w:rPr>
      <w:rFonts w:cs="Calibri"/>
      <w:bCs w:val="false"/>
    </w:rPr>
  </w:style>
  <w:style w:type="character" w:styleId="ListLabel1072">
    <w:name w:val="ListLabel 1072"/>
    <w:qFormat/>
    <w:rPr>
      <w:rFonts w:cs="Calibri"/>
      <w:bCs w:val="false"/>
      <w:u w:val="none"/>
    </w:rPr>
  </w:style>
  <w:style w:type="character" w:styleId="ListLabel1073">
    <w:name w:val="ListLabel 1073"/>
    <w:qFormat/>
    <w:rPr>
      <w:rFonts w:cs="Calibri" w:cstheme="minorHAnsi"/>
      <w:i/>
    </w:rPr>
  </w:style>
  <w:style w:type="character" w:styleId="IndexLink">
    <w:name w:val="Index Link"/>
    <w:qFormat/>
    <w:rPr/>
  </w:style>
  <w:style w:type="character" w:styleId="ListLabel1074">
    <w:name w:val="ListLabel 1074"/>
    <w:qFormat/>
    <w:rPr>
      <w:rFonts w:cs="Wingdings"/>
    </w:rPr>
  </w:style>
  <w:style w:type="character" w:styleId="ListLabel1075">
    <w:name w:val="ListLabel 1075"/>
    <w:qFormat/>
    <w:rPr>
      <w:rFonts w:cs="Courier New"/>
    </w:rPr>
  </w:style>
  <w:style w:type="character" w:styleId="ListLabel1076">
    <w:name w:val="ListLabel 1076"/>
    <w:qFormat/>
    <w:rPr>
      <w:rFonts w:cs="Wingdings"/>
    </w:rPr>
  </w:style>
  <w:style w:type="character" w:styleId="ListLabel1077">
    <w:name w:val="ListLabel 1077"/>
    <w:qFormat/>
    <w:rPr>
      <w:rFonts w:cs="Symbol"/>
    </w:rPr>
  </w:style>
  <w:style w:type="character" w:styleId="ListLabel1078">
    <w:name w:val="ListLabel 1078"/>
    <w:qFormat/>
    <w:rPr>
      <w:rFonts w:cs="Courier New"/>
    </w:rPr>
  </w:style>
  <w:style w:type="character" w:styleId="ListLabel1079">
    <w:name w:val="ListLabel 1079"/>
    <w:qFormat/>
    <w:rPr>
      <w:rFonts w:cs="Wingdings"/>
    </w:rPr>
  </w:style>
  <w:style w:type="character" w:styleId="ListLabel1080">
    <w:name w:val="ListLabel 1080"/>
    <w:qFormat/>
    <w:rPr>
      <w:rFonts w:cs="Symbol"/>
    </w:rPr>
  </w:style>
  <w:style w:type="character" w:styleId="ListLabel1081">
    <w:name w:val="ListLabel 1081"/>
    <w:qFormat/>
    <w:rPr>
      <w:rFonts w:cs="Courier New"/>
    </w:rPr>
  </w:style>
  <w:style w:type="character" w:styleId="ListLabel1082">
    <w:name w:val="ListLabel 1082"/>
    <w:qFormat/>
    <w:rPr>
      <w:rFonts w:cs="Wingdings"/>
    </w:rPr>
  </w:style>
  <w:style w:type="character" w:styleId="ListLabel1083">
    <w:name w:val="ListLabel 1083"/>
    <w:qFormat/>
    <w:rPr>
      <w:rFonts w:cs="Wingdings"/>
    </w:rPr>
  </w:style>
  <w:style w:type="character" w:styleId="ListLabel1084">
    <w:name w:val="ListLabel 1084"/>
    <w:qFormat/>
    <w:rPr>
      <w:rFonts w:cs="Wingdings"/>
    </w:rPr>
  </w:style>
  <w:style w:type="character" w:styleId="ListLabel1085">
    <w:name w:val="ListLabel 1085"/>
    <w:qFormat/>
    <w:rPr>
      <w:rFonts w:cs="Courier New"/>
    </w:rPr>
  </w:style>
  <w:style w:type="character" w:styleId="ListLabel1086">
    <w:name w:val="ListLabel 1086"/>
    <w:qFormat/>
    <w:rPr>
      <w:rFonts w:cs="Wingdings"/>
    </w:rPr>
  </w:style>
  <w:style w:type="character" w:styleId="ListLabel1087">
    <w:name w:val="ListLabel 1087"/>
    <w:qFormat/>
    <w:rPr>
      <w:rFonts w:cs="Symbol"/>
    </w:rPr>
  </w:style>
  <w:style w:type="character" w:styleId="ListLabel1088">
    <w:name w:val="ListLabel 1088"/>
    <w:qFormat/>
    <w:rPr>
      <w:rFonts w:cs="Courier New"/>
    </w:rPr>
  </w:style>
  <w:style w:type="character" w:styleId="ListLabel1089">
    <w:name w:val="ListLabel 1089"/>
    <w:qFormat/>
    <w:rPr>
      <w:rFonts w:cs="Wingdings"/>
    </w:rPr>
  </w:style>
  <w:style w:type="character" w:styleId="ListLabel1090">
    <w:name w:val="ListLabel 1090"/>
    <w:qFormat/>
    <w:rPr>
      <w:rFonts w:cs="Symbol"/>
    </w:rPr>
  </w:style>
  <w:style w:type="character" w:styleId="ListLabel1091">
    <w:name w:val="ListLabel 1091"/>
    <w:qFormat/>
    <w:rPr>
      <w:rFonts w:cs="Courier New"/>
    </w:rPr>
  </w:style>
  <w:style w:type="character" w:styleId="ListLabel1092">
    <w:name w:val="ListLabel 1092"/>
    <w:qFormat/>
    <w:rPr>
      <w:rFonts w:cs="Wingdings"/>
    </w:rPr>
  </w:style>
  <w:style w:type="character" w:styleId="ListLabel1093">
    <w:name w:val="ListLabel 1093"/>
    <w:qFormat/>
    <w:rPr>
      <w:rFonts w:cs="Wingdings"/>
    </w:rPr>
  </w:style>
  <w:style w:type="character" w:styleId="ListLabel1094">
    <w:name w:val="ListLabel 1094"/>
    <w:qFormat/>
    <w:rPr>
      <w:rFonts w:cs="Courier New"/>
    </w:rPr>
  </w:style>
  <w:style w:type="character" w:styleId="ListLabel1095">
    <w:name w:val="ListLabel 1095"/>
    <w:qFormat/>
    <w:rPr>
      <w:rFonts w:cs="Wingdings"/>
    </w:rPr>
  </w:style>
  <w:style w:type="character" w:styleId="ListLabel1096">
    <w:name w:val="ListLabel 1096"/>
    <w:qFormat/>
    <w:rPr>
      <w:rFonts w:cs="Symbol"/>
    </w:rPr>
  </w:style>
  <w:style w:type="character" w:styleId="ListLabel1097">
    <w:name w:val="ListLabel 1097"/>
    <w:qFormat/>
    <w:rPr>
      <w:rFonts w:cs="Courier New"/>
    </w:rPr>
  </w:style>
  <w:style w:type="character" w:styleId="ListLabel1098">
    <w:name w:val="ListLabel 1098"/>
    <w:qFormat/>
    <w:rPr>
      <w:rFonts w:cs="Wingdings"/>
    </w:rPr>
  </w:style>
  <w:style w:type="character" w:styleId="ListLabel1099">
    <w:name w:val="ListLabel 1099"/>
    <w:qFormat/>
    <w:rPr>
      <w:rFonts w:cs="Symbol"/>
    </w:rPr>
  </w:style>
  <w:style w:type="character" w:styleId="ListLabel1100">
    <w:name w:val="ListLabel 1100"/>
    <w:qFormat/>
    <w:rPr>
      <w:rFonts w:cs="Courier New"/>
    </w:rPr>
  </w:style>
  <w:style w:type="character" w:styleId="ListLabel1101">
    <w:name w:val="ListLabel 1101"/>
    <w:qFormat/>
    <w:rPr>
      <w:rFonts w:cs="Wingdings"/>
    </w:rPr>
  </w:style>
  <w:style w:type="character" w:styleId="ListLabel1102">
    <w:name w:val="ListLabel 1102"/>
    <w:qFormat/>
    <w:rPr>
      <w:rFonts w:cs="Wingdings"/>
    </w:rPr>
  </w:style>
  <w:style w:type="character" w:styleId="ListLabel1103">
    <w:name w:val="ListLabel 1103"/>
    <w:qFormat/>
    <w:rPr>
      <w:rFonts w:cs="Courier New"/>
    </w:rPr>
  </w:style>
  <w:style w:type="character" w:styleId="ListLabel1104">
    <w:name w:val="ListLabel 1104"/>
    <w:qFormat/>
    <w:rPr>
      <w:rFonts w:cs="Wingdings"/>
    </w:rPr>
  </w:style>
  <w:style w:type="character" w:styleId="ListLabel1105">
    <w:name w:val="ListLabel 1105"/>
    <w:qFormat/>
    <w:rPr>
      <w:rFonts w:cs="Symbol"/>
    </w:rPr>
  </w:style>
  <w:style w:type="character" w:styleId="ListLabel1106">
    <w:name w:val="ListLabel 1106"/>
    <w:qFormat/>
    <w:rPr>
      <w:rFonts w:cs="Courier New"/>
    </w:rPr>
  </w:style>
  <w:style w:type="character" w:styleId="ListLabel1107">
    <w:name w:val="ListLabel 1107"/>
    <w:qFormat/>
    <w:rPr>
      <w:rFonts w:cs="Wingdings"/>
    </w:rPr>
  </w:style>
  <w:style w:type="character" w:styleId="ListLabel1108">
    <w:name w:val="ListLabel 1108"/>
    <w:qFormat/>
    <w:rPr>
      <w:rFonts w:cs="Symbol"/>
    </w:rPr>
  </w:style>
  <w:style w:type="character" w:styleId="ListLabel1109">
    <w:name w:val="ListLabel 1109"/>
    <w:qFormat/>
    <w:rPr>
      <w:rFonts w:cs="Courier New"/>
    </w:rPr>
  </w:style>
  <w:style w:type="character" w:styleId="ListLabel1110">
    <w:name w:val="ListLabel 1110"/>
    <w:qFormat/>
    <w:rPr>
      <w:rFonts w:cs="Wingdings"/>
    </w:rPr>
  </w:style>
  <w:style w:type="character" w:styleId="ListLabel1111">
    <w:name w:val="ListLabel 1111"/>
    <w:qFormat/>
    <w:rPr>
      <w:rFonts w:cs="Wingdings"/>
    </w:rPr>
  </w:style>
  <w:style w:type="character" w:styleId="ListLabel1112">
    <w:name w:val="ListLabel 1112"/>
    <w:qFormat/>
    <w:rPr>
      <w:rFonts w:cs="Courier New"/>
    </w:rPr>
  </w:style>
  <w:style w:type="character" w:styleId="ListLabel1113">
    <w:name w:val="ListLabel 1113"/>
    <w:qFormat/>
    <w:rPr>
      <w:rFonts w:cs="Wingdings"/>
    </w:rPr>
  </w:style>
  <w:style w:type="character" w:styleId="ListLabel1114">
    <w:name w:val="ListLabel 1114"/>
    <w:qFormat/>
    <w:rPr>
      <w:rFonts w:cs="Symbol"/>
    </w:rPr>
  </w:style>
  <w:style w:type="character" w:styleId="ListLabel1115">
    <w:name w:val="ListLabel 1115"/>
    <w:qFormat/>
    <w:rPr>
      <w:rFonts w:cs="Courier New"/>
    </w:rPr>
  </w:style>
  <w:style w:type="character" w:styleId="ListLabel1116">
    <w:name w:val="ListLabel 1116"/>
    <w:qFormat/>
    <w:rPr>
      <w:rFonts w:cs="Wingdings"/>
    </w:rPr>
  </w:style>
  <w:style w:type="character" w:styleId="ListLabel1117">
    <w:name w:val="ListLabel 1117"/>
    <w:qFormat/>
    <w:rPr>
      <w:rFonts w:cs="Symbol"/>
    </w:rPr>
  </w:style>
  <w:style w:type="character" w:styleId="ListLabel1118">
    <w:name w:val="ListLabel 1118"/>
    <w:qFormat/>
    <w:rPr>
      <w:rFonts w:cs="Courier New"/>
    </w:rPr>
  </w:style>
  <w:style w:type="character" w:styleId="ListLabel1119">
    <w:name w:val="ListLabel 1119"/>
    <w:qFormat/>
    <w:rPr>
      <w:rFonts w:cs="Wingdings"/>
    </w:rPr>
  </w:style>
  <w:style w:type="character" w:styleId="ListLabel1120">
    <w:name w:val="ListLabel 1120"/>
    <w:qFormat/>
    <w:rPr>
      <w:rFonts w:cs="Wingdings"/>
    </w:rPr>
  </w:style>
  <w:style w:type="character" w:styleId="ListLabel1121">
    <w:name w:val="ListLabel 1121"/>
    <w:qFormat/>
    <w:rPr>
      <w:rFonts w:cs="Courier New"/>
    </w:rPr>
  </w:style>
  <w:style w:type="character" w:styleId="ListLabel1122">
    <w:name w:val="ListLabel 1122"/>
    <w:qFormat/>
    <w:rPr>
      <w:rFonts w:cs="Wingdings"/>
    </w:rPr>
  </w:style>
  <w:style w:type="character" w:styleId="ListLabel1123">
    <w:name w:val="ListLabel 1123"/>
    <w:qFormat/>
    <w:rPr>
      <w:rFonts w:cs="Symbol"/>
    </w:rPr>
  </w:style>
  <w:style w:type="character" w:styleId="ListLabel1124">
    <w:name w:val="ListLabel 1124"/>
    <w:qFormat/>
    <w:rPr>
      <w:rFonts w:cs="Courier New"/>
    </w:rPr>
  </w:style>
  <w:style w:type="character" w:styleId="ListLabel1125">
    <w:name w:val="ListLabel 1125"/>
    <w:qFormat/>
    <w:rPr>
      <w:rFonts w:cs="Wingdings"/>
    </w:rPr>
  </w:style>
  <w:style w:type="character" w:styleId="ListLabel1126">
    <w:name w:val="ListLabel 1126"/>
    <w:qFormat/>
    <w:rPr>
      <w:rFonts w:cs="Symbol"/>
    </w:rPr>
  </w:style>
  <w:style w:type="character" w:styleId="ListLabel1127">
    <w:name w:val="ListLabel 1127"/>
    <w:qFormat/>
    <w:rPr>
      <w:rFonts w:cs="Courier New"/>
    </w:rPr>
  </w:style>
  <w:style w:type="character" w:styleId="ListLabel1128">
    <w:name w:val="ListLabel 1128"/>
    <w:qFormat/>
    <w:rPr>
      <w:rFonts w:cs="Wingdings"/>
    </w:rPr>
  </w:style>
  <w:style w:type="character" w:styleId="ListLabel1129">
    <w:name w:val="ListLabel 1129"/>
    <w:qFormat/>
    <w:rPr>
      <w:rFonts w:cs="Wingdings"/>
    </w:rPr>
  </w:style>
  <w:style w:type="character" w:styleId="ListLabel1130">
    <w:name w:val="ListLabel 1130"/>
    <w:qFormat/>
    <w:rPr>
      <w:rFonts w:cs="Courier New"/>
    </w:rPr>
  </w:style>
  <w:style w:type="character" w:styleId="ListLabel1131">
    <w:name w:val="ListLabel 1131"/>
    <w:qFormat/>
    <w:rPr>
      <w:rFonts w:cs="Wingdings"/>
    </w:rPr>
  </w:style>
  <w:style w:type="character" w:styleId="ListLabel1132">
    <w:name w:val="ListLabel 1132"/>
    <w:qFormat/>
    <w:rPr>
      <w:rFonts w:cs="Symbol"/>
    </w:rPr>
  </w:style>
  <w:style w:type="character" w:styleId="ListLabel1133">
    <w:name w:val="ListLabel 1133"/>
    <w:qFormat/>
    <w:rPr>
      <w:rFonts w:cs="Courier New"/>
    </w:rPr>
  </w:style>
  <w:style w:type="character" w:styleId="ListLabel1134">
    <w:name w:val="ListLabel 1134"/>
    <w:qFormat/>
    <w:rPr>
      <w:rFonts w:cs="Wingdings"/>
    </w:rPr>
  </w:style>
  <w:style w:type="character" w:styleId="ListLabel1135">
    <w:name w:val="ListLabel 1135"/>
    <w:qFormat/>
    <w:rPr>
      <w:rFonts w:cs="Symbol"/>
    </w:rPr>
  </w:style>
  <w:style w:type="character" w:styleId="ListLabel1136">
    <w:name w:val="ListLabel 1136"/>
    <w:qFormat/>
    <w:rPr>
      <w:rFonts w:cs="Courier New"/>
    </w:rPr>
  </w:style>
  <w:style w:type="character" w:styleId="ListLabel1137">
    <w:name w:val="ListLabel 1137"/>
    <w:qFormat/>
    <w:rPr>
      <w:rFonts w:cs="Wingdings"/>
    </w:rPr>
  </w:style>
  <w:style w:type="character" w:styleId="ListLabel1138">
    <w:name w:val="ListLabel 1138"/>
    <w:qFormat/>
    <w:rPr>
      <w:rFonts w:cs="Wingdings"/>
    </w:rPr>
  </w:style>
  <w:style w:type="character" w:styleId="ListLabel1139">
    <w:name w:val="ListLabel 1139"/>
    <w:qFormat/>
    <w:rPr>
      <w:rFonts w:cs="Courier New"/>
    </w:rPr>
  </w:style>
  <w:style w:type="character" w:styleId="ListLabel1140">
    <w:name w:val="ListLabel 1140"/>
    <w:qFormat/>
    <w:rPr>
      <w:rFonts w:cs="Wingdings"/>
    </w:rPr>
  </w:style>
  <w:style w:type="character" w:styleId="ListLabel1141">
    <w:name w:val="ListLabel 1141"/>
    <w:qFormat/>
    <w:rPr>
      <w:rFonts w:cs="Symbol"/>
    </w:rPr>
  </w:style>
  <w:style w:type="character" w:styleId="ListLabel1142">
    <w:name w:val="ListLabel 1142"/>
    <w:qFormat/>
    <w:rPr>
      <w:rFonts w:cs="Courier New"/>
    </w:rPr>
  </w:style>
  <w:style w:type="character" w:styleId="ListLabel1143">
    <w:name w:val="ListLabel 1143"/>
    <w:qFormat/>
    <w:rPr>
      <w:rFonts w:cs="Wingdings"/>
    </w:rPr>
  </w:style>
  <w:style w:type="character" w:styleId="ListLabel1144">
    <w:name w:val="ListLabel 1144"/>
    <w:qFormat/>
    <w:rPr>
      <w:rFonts w:cs="Symbol"/>
    </w:rPr>
  </w:style>
  <w:style w:type="character" w:styleId="ListLabel1145">
    <w:name w:val="ListLabel 1145"/>
    <w:qFormat/>
    <w:rPr>
      <w:rFonts w:cs="Courier New"/>
    </w:rPr>
  </w:style>
  <w:style w:type="character" w:styleId="ListLabel1146">
    <w:name w:val="ListLabel 1146"/>
    <w:qFormat/>
    <w:rPr>
      <w:rFonts w:cs="Wingdings"/>
    </w:rPr>
  </w:style>
  <w:style w:type="character" w:styleId="ListLabel1147">
    <w:name w:val="ListLabel 1147"/>
    <w:qFormat/>
    <w:rPr>
      <w:rFonts w:cs="Wingdings"/>
    </w:rPr>
  </w:style>
  <w:style w:type="character" w:styleId="ListLabel1148">
    <w:name w:val="ListLabel 1148"/>
    <w:qFormat/>
    <w:rPr>
      <w:rFonts w:cs="Courier New"/>
    </w:rPr>
  </w:style>
  <w:style w:type="character" w:styleId="ListLabel1149">
    <w:name w:val="ListLabel 1149"/>
    <w:qFormat/>
    <w:rPr>
      <w:rFonts w:cs="Wingdings"/>
    </w:rPr>
  </w:style>
  <w:style w:type="character" w:styleId="ListLabel1150">
    <w:name w:val="ListLabel 1150"/>
    <w:qFormat/>
    <w:rPr>
      <w:rFonts w:cs="Symbol"/>
    </w:rPr>
  </w:style>
  <w:style w:type="character" w:styleId="ListLabel1151">
    <w:name w:val="ListLabel 1151"/>
    <w:qFormat/>
    <w:rPr>
      <w:rFonts w:cs="Courier New"/>
    </w:rPr>
  </w:style>
  <w:style w:type="character" w:styleId="ListLabel1152">
    <w:name w:val="ListLabel 1152"/>
    <w:qFormat/>
    <w:rPr>
      <w:rFonts w:cs="Wingdings"/>
    </w:rPr>
  </w:style>
  <w:style w:type="character" w:styleId="ListLabel1153">
    <w:name w:val="ListLabel 1153"/>
    <w:qFormat/>
    <w:rPr>
      <w:rFonts w:cs="Symbol"/>
    </w:rPr>
  </w:style>
  <w:style w:type="character" w:styleId="ListLabel1154">
    <w:name w:val="ListLabel 1154"/>
    <w:qFormat/>
    <w:rPr>
      <w:rFonts w:cs="Courier New"/>
    </w:rPr>
  </w:style>
  <w:style w:type="character" w:styleId="ListLabel1155">
    <w:name w:val="ListLabel 1155"/>
    <w:qFormat/>
    <w:rPr>
      <w:rFonts w:cs="Wingdings"/>
    </w:rPr>
  </w:style>
  <w:style w:type="character" w:styleId="ListLabel1156">
    <w:name w:val="ListLabel 1156"/>
    <w:qFormat/>
    <w:rPr>
      <w:rFonts w:cs="Wingdings"/>
    </w:rPr>
  </w:style>
  <w:style w:type="character" w:styleId="ListLabel1157">
    <w:name w:val="ListLabel 1157"/>
    <w:qFormat/>
    <w:rPr>
      <w:rFonts w:cs="Wingdings"/>
    </w:rPr>
  </w:style>
  <w:style w:type="character" w:styleId="ListLabel1158">
    <w:name w:val="ListLabel 1158"/>
    <w:qFormat/>
    <w:rPr>
      <w:rFonts w:cs="Wingdings"/>
    </w:rPr>
  </w:style>
  <w:style w:type="character" w:styleId="ListLabel1159">
    <w:name w:val="ListLabel 1159"/>
    <w:qFormat/>
    <w:rPr>
      <w:rFonts w:cs="Wingdings"/>
    </w:rPr>
  </w:style>
  <w:style w:type="character" w:styleId="ListLabel1160">
    <w:name w:val="ListLabel 1160"/>
    <w:qFormat/>
    <w:rPr>
      <w:rFonts w:cs="Courier New"/>
    </w:rPr>
  </w:style>
  <w:style w:type="character" w:styleId="ListLabel1161">
    <w:name w:val="ListLabel 1161"/>
    <w:qFormat/>
    <w:rPr>
      <w:rFonts w:cs="Wingdings"/>
    </w:rPr>
  </w:style>
  <w:style w:type="character" w:styleId="ListLabel1162">
    <w:name w:val="ListLabel 1162"/>
    <w:qFormat/>
    <w:rPr>
      <w:rFonts w:cs="Symbol"/>
    </w:rPr>
  </w:style>
  <w:style w:type="character" w:styleId="ListLabel1163">
    <w:name w:val="ListLabel 1163"/>
    <w:qFormat/>
    <w:rPr>
      <w:rFonts w:cs="Courier New"/>
    </w:rPr>
  </w:style>
  <w:style w:type="character" w:styleId="ListLabel1164">
    <w:name w:val="ListLabel 1164"/>
    <w:qFormat/>
    <w:rPr>
      <w:rFonts w:cs="Wingdings"/>
    </w:rPr>
  </w:style>
  <w:style w:type="character" w:styleId="ListLabel1165">
    <w:name w:val="ListLabel 1165"/>
    <w:qFormat/>
    <w:rPr>
      <w:rFonts w:cs="Symbol"/>
    </w:rPr>
  </w:style>
  <w:style w:type="character" w:styleId="ListLabel1166">
    <w:name w:val="ListLabel 1166"/>
    <w:qFormat/>
    <w:rPr>
      <w:rFonts w:cs="Courier New"/>
    </w:rPr>
  </w:style>
  <w:style w:type="character" w:styleId="ListLabel1167">
    <w:name w:val="ListLabel 1167"/>
    <w:qFormat/>
    <w:rPr>
      <w:rFonts w:cs="Wingdings"/>
    </w:rPr>
  </w:style>
  <w:style w:type="character" w:styleId="ListLabel1168">
    <w:name w:val="ListLabel 1168"/>
    <w:qFormat/>
    <w:rPr>
      <w:rFonts w:cs="Wingdings"/>
    </w:rPr>
  </w:style>
  <w:style w:type="character" w:styleId="ListLabel1169">
    <w:name w:val="ListLabel 1169"/>
    <w:qFormat/>
    <w:rPr>
      <w:rFonts w:cs="Courier New"/>
    </w:rPr>
  </w:style>
  <w:style w:type="character" w:styleId="ListLabel1170">
    <w:name w:val="ListLabel 1170"/>
    <w:qFormat/>
    <w:rPr>
      <w:rFonts w:cs="Wingdings"/>
    </w:rPr>
  </w:style>
  <w:style w:type="character" w:styleId="ListLabel1171">
    <w:name w:val="ListLabel 1171"/>
    <w:qFormat/>
    <w:rPr>
      <w:rFonts w:cs="Symbol"/>
    </w:rPr>
  </w:style>
  <w:style w:type="character" w:styleId="ListLabel1172">
    <w:name w:val="ListLabel 1172"/>
    <w:qFormat/>
    <w:rPr>
      <w:rFonts w:cs="Courier New"/>
    </w:rPr>
  </w:style>
  <w:style w:type="character" w:styleId="ListLabel1173">
    <w:name w:val="ListLabel 1173"/>
    <w:qFormat/>
    <w:rPr>
      <w:rFonts w:cs="Wingdings"/>
    </w:rPr>
  </w:style>
  <w:style w:type="character" w:styleId="ListLabel1174">
    <w:name w:val="ListLabel 1174"/>
    <w:qFormat/>
    <w:rPr>
      <w:rFonts w:cs="Symbol"/>
    </w:rPr>
  </w:style>
  <w:style w:type="character" w:styleId="ListLabel1175">
    <w:name w:val="ListLabel 1175"/>
    <w:qFormat/>
    <w:rPr>
      <w:rFonts w:cs="Courier New"/>
    </w:rPr>
  </w:style>
  <w:style w:type="character" w:styleId="ListLabel1176">
    <w:name w:val="ListLabel 1176"/>
    <w:qFormat/>
    <w:rPr>
      <w:rFonts w:cs="Wingdings"/>
    </w:rPr>
  </w:style>
  <w:style w:type="character" w:styleId="ListLabel1177">
    <w:name w:val="ListLabel 1177"/>
    <w:qFormat/>
    <w:rPr>
      <w:rFonts w:cs="Wingdings"/>
    </w:rPr>
  </w:style>
  <w:style w:type="character" w:styleId="ListLabel1178">
    <w:name w:val="ListLabel 1178"/>
    <w:qFormat/>
    <w:rPr>
      <w:rFonts w:cs="Courier New"/>
    </w:rPr>
  </w:style>
  <w:style w:type="character" w:styleId="ListLabel1179">
    <w:name w:val="ListLabel 1179"/>
    <w:qFormat/>
    <w:rPr>
      <w:rFonts w:cs="Wingdings"/>
    </w:rPr>
  </w:style>
  <w:style w:type="character" w:styleId="ListLabel1180">
    <w:name w:val="ListLabel 1180"/>
    <w:qFormat/>
    <w:rPr>
      <w:rFonts w:cs="Symbol"/>
    </w:rPr>
  </w:style>
  <w:style w:type="character" w:styleId="ListLabel1181">
    <w:name w:val="ListLabel 1181"/>
    <w:qFormat/>
    <w:rPr>
      <w:rFonts w:cs="Courier New"/>
    </w:rPr>
  </w:style>
  <w:style w:type="character" w:styleId="ListLabel1182">
    <w:name w:val="ListLabel 1182"/>
    <w:qFormat/>
    <w:rPr>
      <w:rFonts w:cs="Wingdings"/>
    </w:rPr>
  </w:style>
  <w:style w:type="character" w:styleId="ListLabel1183">
    <w:name w:val="ListLabel 1183"/>
    <w:qFormat/>
    <w:rPr>
      <w:rFonts w:cs="Symbol"/>
    </w:rPr>
  </w:style>
  <w:style w:type="character" w:styleId="ListLabel1184">
    <w:name w:val="ListLabel 1184"/>
    <w:qFormat/>
    <w:rPr>
      <w:rFonts w:cs="Courier New"/>
    </w:rPr>
  </w:style>
  <w:style w:type="character" w:styleId="ListLabel1185">
    <w:name w:val="ListLabel 1185"/>
    <w:qFormat/>
    <w:rPr>
      <w:rFonts w:cs="Wingdings"/>
    </w:rPr>
  </w:style>
  <w:style w:type="character" w:styleId="ListLabel1186">
    <w:name w:val="ListLabel 1186"/>
    <w:qFormat/>
    <w:rPr>
      <w:rFonts w:cs="Wingdings"/>
    </w:rPr>
  </w:style>
  <w:style w:type="character" w:styleId="ListLabel1187">
    <w:name w:val="ListLabel 1187"/>
    <w:qFormat/>
    <w:rPr>
      <w:rFonts w:cs="Courier New"/>
    </w:rPr>
  </w:style>
  <w:style w:type="character" w:styleId="ListLabel1188">
    <w:name w:val="ListLabel 1188"/>
    <w:qFormat/>
    <w:rPr>
      <w:rFonts w:cs="Wingdings"/>
    </w:rPr>
  </w:style>
  <w:style w:type="character" w:styleId="ListLabel1189">
    <w:name w:val="ListLabel 1189"/>
    <w:qFormat/>
    <w:rPr>
      <w:rFonts w:cs="Symbol"/>
    </w:rPr>
  </w:style>
  <w:style w:type="character" w:styleId="ListLabel1190">
    <w:name w:val="ListLabel 1190"/>
    <w:qFormat/>
    <w:rPr>
      <w:rFonts w:cs="Courier New"/>
    </w:rPr>
  </w:style>
  <w:style w:type="character" w:styleId="ListLabel1191">
    <w:name w:val="ListLabel 1191"/>
    <w:qFormat/>
    <w:rPr>
      <w:rFonts w:cs="Wingdings"/>
    </w:rPr>
  </w:style>
  <w:style w:type="character" w:styleId="ListLabel1192">
    <w:name w:val="ListLabel 1192"/>
    <w:qFormat/>
    <w:rPr>
      <w:rFonts w:cs="Symbol"/>
    </w:rPr>
  </w:style>
  <w:style w:type="character" w:styleId="ListLabel1193">
    <w:name w:val="ListLabel 1193"/>
    <w:qFormat/>
    <w:rPr>
      <w:rFonts w:cs="Courier New"/>
    </w:rPr>
  </w:style>
  <w:style w:type="character" w:styleId="ListLabel1194">
    <w:name w:val="ListLabel 1194"/>
    <w:qFormat/>
    <w:rPr>
      <w:rFonts w:cs="Wingdings"/>
    </w:rPr>
  </w:style>
  <w:style w:type="character" w:styleId="ListLabel1195">
    <w:name w:val="ListLabel 1195"/>
    <w:qFormat/>
    <w:rPr>
      <w:rFonts w:cs="Wingdings"/>
    </w:rPr>
  </w:style>
  <w:style w:type="character" w:styleId="ListLabel1196">
    <w:name w:val="ListLabel 1196"/>
    <w:qFormat/>
    <w:rPr>
      <w:rFonts w:cs="Wingdings"/>
    </w:rPr>
  </w:style>
  <w:style w:type="character" w:styleId="ListLabel1197">
    <w:name w:val="ListLabel 1197"/>
    <w:qFormat/>
    <w:rPr>
      <w:rFonts w:cs="Courier New"/>
    </w:rPr>
  </w:style>
  <w:style w:type="character" w:styleId="ListLabel1198">
    <w:name w:val="ListLabel 1198"/>
    <w:qFormat/>
    <w:rPr>
      <w:rFonts w:cs="Wingdings"/>
    </w:rPr>
  </w:style>
  <w:style w:type="character" w:styleId="ListLabel1199">
    <w:name w:val="ListLabel 1199"/>
    <w:qFormat/>
    <w:rPr>
      <w:rFonts w:cs="Symbol"/>
    </w:rPr>
  </w:style>
  <w:style w:type="character" w:styleId="ListLabel1200">
    <w:name w:val="ListLabel 1200"/>
    <w:qFormat/>
    <w:rPr>
      <w:rFonts w:cs="Courier New"/>
    </w:rPr>
  </w:style>
  <w:style w:type="character" w:styleId="ListLabel1201">
    <w:name w:val="ListLabel 1201"/>
    <w:qFormat/>
    <w:rPr>
      <w:rFonts w:cs="Wingdings"/>
    </w:rPr>
  </w:style>
  <w:style w:type="character" w:styleId="ListLabel1202">
    <w:name w:val="ListLabel 1202"/>
    <w:qFormat/>
    <w:rPr>
      <w:rFonts w:cs="Symbol"/>
    </w:rPr>
  </w:style>
  <w:style w:type="character" w:styleId="ListLabel1203">
    <w:name w:val="ListLabel 1203"/>
    <w:qFormat/>
    <w:rPr>
      <w:rFonts w:cs="Courier New"/>
    </w:rPr>
  </w:style>
  <w:style w:type="character" w:styleId="ListLabel1204">
    <w:name w:val="ListLabel 1204"/>
    <w:qFormat/>
    <w:rPr>
      <w:rFonts w:cs="Wingdings"/>
    </w:rPr>
  </w:style>
  <w:style w:type="character" w:styleId="ListLabel1205">
    <w:name w:val="ListLabel 1205"/>
    <w:qFormat/>
    <w:rPr>
      <w:rFonts w:cs="Wingdings"/>
    </w:rPr>
  </w:style>
  <w:style w:type="character" w:styleId="ListLabel1206">
    <w:name w:val="ListLabel 1206"/>
    <w:qFormat/>
    <w:rPr>
      <w:rFonts w:cs="Wingdings"/>
    </w:rPr>
  </w:style>
  <w:style w:type="character" w:styleId="ListLabel1207">
    <w:name w:val="ListLabel 1207"/>
    <w:qFormat/>
    <w:rPr>
      <w:rFonts w:cs="Courier New"/>
    </w:rPr>
  </w:style>
  <w:style w:type="character" w:styleId="ListLabel1208">
    <w:name w:val="ListLabel 1208"/>
    <w:qFormat/>
    <w:rPr>
      <w:rFonts w:cs="Wingdings"/>
    </w:rPr>
  </w:style>
  <w:style w:type="character" w:styleId="ListLabel1209">
    <w:name w:val="ListLabel 1209"/>
    <w:qFormat/>
    <w:rPr>
      <w:rFonts w:cs="Symbol"/>
    </w:rPr>
  </w:style>
  <w:style w:type="character" w:styleId="ListLabel1210">
    <w:name w:val="ListLabel 1210"/>
    <w:qFormat/>
    <w:rPr>
      <w:rFonts w:cs="Courier New"/>
    </w:rPr>
  </w:style>
  <w:style w:type="character" w:styleId="ListLabel1211">
    <w:name w:val="ListLabel 1211"/>
    <w:qFormat/>
    <w:rPr>
      <w:rFonts w:cs="Wingdings"/>
    </w:rPr>
  </w:style>
  <w:style w:type="character" w:styleId="ListLabel1212">
    <w:name w:val="ListLabel 1212"/>
    <w:qFormat/>
    <w:rPr>
      <w:rFonts w:cs="Symbol"/>
    </w:rPr>
  </w:style>
  <w:style w:type="character" w:styleId="ListLabel1213">
    <w:name w:val="ListLabel 1213"/>
    <w:qFormat/>
    <w:rPr>
      <w:rFonts w:cs="Courier New"/>
    </w:rPr>
  </w:style>
  <w:style w:type="character" w:styleId="ListLabel1214">
    <w:name w:val="ListLabel 1214"/>
    <w:qFormat/>
    <w:rPr>
      <w:rFonts w:cs="Wingdings"/>
    </w:rPr>
  </w:style>
  <w:style w:type="character" w:styleId="ListLabel1215">
    <w:name w:val="ListLabel 1215"/>
    <w:qFormat/>
    <w:rPr>
      <w:rFonts w:cs="Wingdings"/>
    </w:rPr>
  </w:style>
  <w:style w:type="character" w:styleId="ListLabel1216">
    <w:name w:val="ListLabel 1216"/>
    <w:qFormat/>
    <w:rPr>
      <w:rFonts w:cs="Wingdings"/>
    </w:rPr>
  </w:style>
  <w:style w:type="character" w:styleId="ListLabel1217">
    <w:name w:val="ListLabel 1217"/>
    <w:qFormat/>
    <w:rPr>
      <w:rFonts w:cs="Courier New"/>
    </w:rPr>
  </w:style>
  <w:style w:type="character" w:styleId="ListLabel1218">
    <w:name w:val="ListLabel 1218"/>
    <w:qFormat/>
    <w:rPr>
      <w:rFonts w:cs="Wingdings"/>
    </w:rPr>
  </w:style>
  <w:style w:type="character" w:styleId="ListLabel1219">
    <w:name w:val="ListLabel 1219"/>
    <w:qFormat/>
    <w:rPr>
      <w:rFonts w:cs="Symbol"/>
    </w:rPr>
  </w:style>
  <w:style w:type="character" w:styleId="ListLabel1220">
    <w:name w:val="ListLabel 1220"/>
    <w:qFormat/>
    <w:rPr>
      <w:rFonts w:cs="Courier New"/>
    </w:rPr>
  </w:style>
  <w:style w:type="character" w:styleId="ListLabel1221">
    <w:name w:val="ListLabel 1221"/>
    <w:qFormat/>
    <w:rPr>
      <w:rFonts w:cs="Wingdings"/>
    </w:rPr>
  </w:style>
  <w:style w:type="character" w:styleId="ListLabel1222">
    <w:name w:val="ListLabel 1222"/>
    <w:qFormat/>
    <w:rPr>
      <w:rFonts w:cs="Symbol"/>
    </w:rPr>
  </w:style>
  <w:style w:type="character" w:styleId="ListLabel1223">
    <w:name w:val="ListLabel 1223"/>
    <w:qFormat/>
    <w:rPr>
      <w:rFonts w:cs="Courier New"/>
    </w:rPr>
  </w:style>
  <w:style w:type="character" w:styleId="ListLabel1224">
    <w:name w:val="ListLabel 1224"/>
    <w:qFormat/>
    <w:rPr>
      <w:rFonts w:cs="Wingdings"/>
    </w:rPr>
  </w:style>
  <w:style w:type="character" w:styleId="ListLabel1225">
    <w:name w:val="ListLabel 1225"/>
    <w:qFormat/>
    <w:rPr>
      <w:rFonts w:cs="Wingdings"/>
    </w:rPr>
  </w:style>
  <w:style w:type="character" w:styleId="ListLabel1226">
    <w:name w:val="ListLabel 1226"/>
    <w:qFormat/>
    <w:rPr>
      <w:rFonts w:cs="Courier New"/>
    </w:rPr>
  </w:style>
  <w:style w:type="character" w:styleId="ListLabel1227">
    <w:name w:val="ListLabel 1227"/>
    <w:qFormat/>
    <w:rPr>
      <w:rFonts w:cs="Wingdings"/>
    </w:rPr>
  </w:style>
  <w:style w:type="character" w:styleId="ListLabel1228">
    <w:name w:val="ListLabel 1228"/>
    <w:qFormat/>
    <w:rPr>
      <w:rFonts w:cs="Symbol"/>
    </w:rPr>
  </w:style>
  <w:style w:type="character" w:styleId="ListLabel1229">
    <w:name w:val="ListLabel 1229"/>
    <w:qFormat/>
    <w:rPr>
      <w:rFonts w:cs="Courier New"/>
    </w:rPr>
  </w:style>
  <w:style w:type="character" w:styleId="ListLabel1230">
    <w:name w:val="ListLabel 1230"/>
    <w:qFormat/>
    <w:rPr>
      <w:rFonts w:cs="Wingdings"/>
    </w:rPr>
  </w:style>
  <w:style w:type="character" w:styleId="ListLabel1231">
    <w:name w:val="ListLabel 1231"/>
    <w:qFormat/>
    <w:rPr>
      <w:rFonts w:cs="Symbol"/>
    </w:rPr>
  </w:style>
  <w:style w:type="character" w:styleId="ListLabel1232">
    <w:name w:val="ListLabel 1232"/>
    <w:qFormat/>
    <w:rPr>
      <w:rFonts w:cs="Courier New"/>
    </w:rPr>
  </w:style>
  <w:style w:type="character" w:styleId="ListLabel1233">
    <w:name w:val="ListLabel 1233"/>
    <w:qFormat/>
    <w:rPr>
      <w:rFonts w:cs="Wingdings"/>
    </w:rPr>
  </w:style>
  <w:style w:type="character" w:styleId="ListLabel1234">
    <w:name w:val="ListLabel 1234"/>
    <w:qFormat/>
    <w:rPr>
      <w:rFonts w:cs="Wingdings"/>
    </w:rPr>
  </w:style>
  <w:style w:type="character" w:styleId="ListLabel1235">
    <w:name w:val="ListLabel 1235"/>
    <w:qFormat/>
    <w:rPr>
      <w:rFonts w:cs="Courier New"/>
    </w:rPr>
  </w:style>
  <w:style w:type="character" w:styleId="ListLabel1236">
    <w:name w:val="ListLabel 1236"/>
    <w:qFormat/>
    <w:rPr>
      <w:rFonts w:cs="Wingdings"/>
    </w:rPr>
  </w:style>
  <w:style w:type="character" w:styleId="ListLabel1237">
    <w:name w:val="ListLabel 1237"/>
    <w:qFormat/>
    <w:rPr>
      <w:rFonts w:cs="Symbol"/>
    </w:rPr>
  </w:style>
  <w:style w:type="character" w:styleId="ListLabel1238">
    <w:name w:val="ListLabel 1238"/>
    <w:qFormat/>
    <w:rPr>
      <w:rFonts w:cs="Courier New"/>
    </w:rPr>
  </w:style>
  <w:style w:type="character" w:styleId="ListLabel1239">
    <w:name w:val="ListLabel 1239"/>
    <w:qFormat/>
    <w:rPr>
      <w:rFonts w:cs="Wingdings"/>
    </w:rPr>
  </w:style>
  <w:style w:type="character" w:styleId="ListLabel1240">
    <w:name w:val="ListLabel 1240"/>
    <w:qFormat/>
    <w:rPr>
      <w:rFonts w:cs="Symbol"/>
    </w:rPr>
  </w:style>
  <w:style w:type="character" w:styleId="ListLabel1241">
    <w:name w:val="ListLabel 1241"/>
    <w:qFormat/>
    <w:rPr>
      <w:rFonts w:cs="Courier New"/>
    </w:rPr>
  </w:style>
  <w:style w:type="character" w:styleId="ListLabel1242">
    <w:name w:val="ListLabel 1242"/>
    <w:qFormat/>
    <w:rPr>
      <w:rFonts w:cs="Wingdings"/>
    </w:rPr>
  </w:style>
  <w:style w:type="character" w:styleId="ListLabel1243">
    <w:name w:val="ListLabel 1243"/>
    <w:qFormat/>
    <w:rPr>
      <w:rFonts w:cs="Wingdings"/>
    </w:rPr>
  </w:style>
  <w:style w:type="character" w:styleId="ListLabel1244">
    <w:name w:val="ListLabel 1244"/>
    <w:qFormat/>
    <w:rPr>
      <w:rFonts w:cs="Wingdings"/>
    </w:rPr>
  </w:style>
  <w:style w:type="character" w:styleId="ListLabel1245">
    <w:name w:val="ListLabel 1245"/>
    <w:qFormat/>
    <w:rPr>
      <w:rFonts w:cs="Courier New"/>
    </w:rPr>
  </w:style>
  <w:style w:type="character" w:styleId="ListLabel1246">
    <w:name w:val="ListLabel 1246"/>
    <w:qFormat/>
    <w:rPr>
      <w:rFonts w:cs="Wingdings"/>
    </w:rPr>
  </w:style>
  <w:style w:type="character" w:styleId="ListLabel1247">
    <w:name w:val="ListLabel 1247"/>
    <w:qFormat/>
    <w:rPr>
      <w:rFonts w:cs="Symbol"/>
    </w:rPr>
  </w:style>
  <w:style w:type="character" w:styleId="ListLabel1248">
    <w:name w:val="ListLabel 1248"/>
    <w:qFormat/>
    <w:rPr>
      <w:rFonts w:cs="Courier New"/>
    </w:rPr>
  </w:style>
  <w:style w:type="character" w:styleId="ListLabel1249">
    <w:name w:val="ListLabel 1249"/>
    <w:qFormat/>
    <w:rPr>
      <w:rFonts w:cs="Wingdings"/>
    </w:rPr>
  </w:style>
  <w:style w:type="character" w:styleId="ListLabel1250">
    <w:name w:val="ListLabel 1250"/>
    <w:qFormat/>
    <w:rPr>
      <w:rFonts w:cs="Symbol"/>
    </w:rPr>
  </w:style>
  <w:style w:type="character" w:styleId="ListLabel1251">
    <w:name w:val="ListLabel 1251"/>
    <w:qFormat/>
    <w:rPr>
      <w:rFonts w:cs="Courier New"/>
    </w:rPr>
  </w:style>
  <w:style w:type="character" w:styleId="ListLabel1252">
    <w:name w:val="ListLabel 1252"/>
    <w:qFormat/>
    <w:rPr>
      <w:rFonts w:cs="Wingdings"/>
    </w:rPr>
  </w:style>
  <w:style w:type="character" w:styleId="ListLabel1253">
    <w:name w:val="ListLabel 1253"/>
    <w:qFormat/>
    <w:rPr>
      <w:rFonts w:cs="Wingdings"/>
    </w:rPr>
  </w:style>
  <w:style w:type="character" w:styleId="ListLabel1254">
    <w:name w:val="ListLabel 1254"/>
    <w:qFormat/>
    <w:rPr>
      <w:rFonts w:cs="Wingdings"/>
    </w:rPr>
  </w:style>
  <w:style w:type="character" w:styleId="ListLabel1255">
    <w:name w:val="ListLabel 1255"/>
    <w:qFormat/>
    <w:rPr>
      <w:rFonts w:cs="Courier New"/>
    </w:rPr>
  </w:style>
  <w:style w:type="character" w:styleId="ListLabel1256">
    <w:name w:val="ListLabel 1256"/>
    <w:qFormat/>
    <w:rPr>
      <w:rFonts w:cs="Wingdings"/>
    </w:rPr>
  </w:style>
  <w:style w:type="character" w:styleId="ListLabel1257">
    <w:name w:val="ListLabel 1257"/>
    <w:qFormat/>
    <w:rPr>
      <w:rFonts w:cs="Symbol"/>
    </w:rPr>
  </w:style>
  <w:style w:type="character" w:styleId="ListLabel1258">
    <w:name w:val="ListLabel 1258"/>
    <w:qFormat/>
    <w:rPr>
      <w:rFonts w:cs="Courier New"/>
    </w:rPr>
  </w:style>
  <w:style w:type="character" w:styleId="ListLabel1259">
    <w:name w:val="ListLabel 1259"/>
    <w:qFormat/>
    <w:rPr>
      <w:rFonts w:cs="Wingdings"/>
    </w:rPr>
  </w:style>
  <w:style w:type="character" w:styleId="ListLabel1260">
    <w:name w:val="ListLabel 1260"/>
    <w:qFormat/>
    <w:rPr>
      <w:rFonts w:cs="Symbol"/>
    </w:rPr>
  </w:style>
  <w:style w:type="character" w:styleId="ListLabel1261">
    <w:name w:val="ListLabel 1261"/>
    <w:qFormat/>
    <w:rPr>
      <w:rFonts w:cs="Courier New"/>
    </w:rPr>
  </w:style>
  <w:style w:type="character" w:styleId="ListLabel1262">
    <w:name w:val="ListLabel 1262"/>
    <w:qFormat/>
    <w:rPr>
      <w:rFonts w:cs="Wingdings"/>
    </w:rPr>
  </w:style>
  <w:style w:type="character" w:styleId="ListLabel1263">
    <w:name w:val="ListLabel 1263"/>
    <w:qFormat/>
    <w:rPr>
      <w:rFonts w:cs="Wingdings"/>
    </w:rPr>
  </w:style>
  <w:style w:type="character" w:styleId="ListLabel1264">
    <w:name w:val="ListLabel 1264"/>
    <w:qFormat/>
    <w:rPr>
      <w:rFonts w:cs="Courier New"/>
    </w:rPr>
  </w:style>
  <w:style w:type="character" w:styleId="ListLabel1265">
    <w:name w:val="ListLabel 1265"/>
    <w:qFormat/>
    <w:rPr>
      <w:rFonts w:cs="Wingdings"/>
    </w:rPr>
  </w:style>
  <w:style w:type="character" w:styleId="ListLabel1266">
    <w:name w:val="ListLabel 1266"/>
    <w:qFormat/>
    <w:rPr>
      <w:rFonts w:cs="Symbol"/>
    </w:rPr>
  </w:style>
  <w:style w:type="character" w:styleId="ListLabel1267">
    <w:name w:val="ListLabel 1267"/>
    <w:qFormat/>
    <w:rPr>
      <w:rFonts w:cs="Courier New"/>
    </w:rPr>
  </w:style>
  <w:style w:type="character" w:styleId="ListLabel1268">
    <w:name w:val="ListLabel 1268"/>
    <w:qFormat/>
    <w:rPr>
      <w:rFonts w:cs="Wingdings"/>
    </w:rPr>
  </w:style>
  <w:style w:type="character" w:styleId="ListLabel1269">
    <w:name w:val="ListLabel 1269"/>
    <w:qFormat/>
    <w:rPr>
      <w:rFonts w:cs="Symbol"/>
    </w:rPr>
  </w:style>
  <w:style w:type="character" w:styleId="ListLabel1270">
    <w:name w:val="ListLabel 1270"/>
    <w:qFormat/>
    <w:rPr>
      <w:rFonts w:cs="Courier New"/>
    </w:rPr>
  </w:style>
  <w:style w:type="character" w:styleId="ListLabel1271">
    <w:name w:val="ListLabel 1271"/>
    <w:qFormat/>
    <w:rPr>
      <w:rFonts w:cs="Wingdings"/>
    </w:rPr>
  </w:style>
  <w:style w:type="character" w:styleId="ListLabel1272">
    <w:name w:val="ListLabel 1272"/>
    <w:qFormat/>
    <w:rPr>
      <w:rFonts w:cs="Wingdings"/>
    </w:rPr>
  </w:style>
  <w:style w:type="character" w:styleId="ListLabel1273">
    <w:name w:val="ListLabel 1273"/>
    <w:qFormat/>
    <w:rPr>
      <w:rFonts w:cs="Courier New"/>
    </w:rPr>
  </w:style>
  <w:style w:type="character" w:styleId="ListLabel1274">
    <w:name w:val="ListLabel 1274"/>
    <w:qFormat/>
    <w:rPr>
      <w:rFonts w:cs="Wingdings"/>
    </w:rPr>
  </w:style>
  <w:style w:type="character" w:styleId="ListLabel1275">
    <w:name w:val="ListLabel 1275"/>
    <w:qFormat/>
    <w:rPr>
      <w:rFonts w:cs="Symbol"/>
    </w:rPr>
  </w:style>
  <w:style w:type="character" w:styleId="ListLabel1276">
    <w:name w:val="ListLabel 1276"/>
    <w:qFormat/>
    <w:rPr>
      <w:rFonts w:cs="Courier New"/>
    </w:rPr>
  </w:style>
  <w:style w:type="character" w:styleId="ListLabel1277">
    <w:name w:val="ListLabel 1277"/>
    <w:qFormat/>
    <w:rPr>
      <w:rFonts w:cs="Wingdings"/>
    </w:rPr>
  </w:style>
  <w:style w:type="character" w:styleId="ListLabel1278">
    <w:name w:val="ListLabel 1278"/>
    <w:qFormat/>
    <w:rPr>
      <w:rFonts w:cs="Symbol"/>
    </w:rPr>
  </w:style>
  <w:style w:type="character" w:styleId="ListLabel1279">
    <w:name w:val="ListLabel 1279"/>
    <w:qFormat/>
    <w:rPr>
      <w:rFonts w:cs="Courier New"/>
    </w:rPr>
  </w:style>
  <w:style w:type="character" w:styleId="ListLabel1280">
    <w:name w:val="ListLabel 1280"/>
    <w:qFormat/>
    <w:rPr>
      <w:rFonts w:cs="Wingdings"/>
    </w:rPr>
  </w:style>
  <w:style w:type="character" w:styleId="ListLabel1281">
    <w:name w:val="ListLabel 1281"/>
    <w:qFormat/>
    <w:rPr>
      <w:rFonts w:cs="Wingdings"/>
    </w:rPr>
  </w:style>
  <w:style w:type="character" w:styleId="ListLabel1282">
    <w:name w:val="ListLabel 1282"/>
    <w:qFormat/>
    <w:rPr>
      <w:rFonts w:cs="Courier New"/>
    </w:rPr>
  </w:style>
  <w:style w:type="character" w:styleId="ListLabel1283">
    <w:name w:val="ListLabel 1283"/>
    <w:qFormat/>
    <w:rPr>
      <w:rFonts w:cs="Wingdings"/>
    </w:rPr>
  </w:style>
  <w:style w:type="character" w:styleId="ListLabel1284">
    <w:name w:val="ListLabel 1284"/>
    <w:qFormat/>
    <w:rPr>
      <w:rFonts w:cs="Symbol"/>
    </w:rPr>
  </w:style>
  <w:style w:type="character" w:styleId="ListLabel1285">
    <w:name w:val="ListLabel 1285"/>
    <w:qFormat/>
    <w:rPr>
      <w:rFonts w:cs="Courier New"/>
    </w:rPr>
  </w:style>
  <w:style w:type="character" w:styleId="ListLabel1286">
    <w:name w:val="ListLabel 1286"/>
    <w:qFormat/>
    <w:rPr>
      <w:rFonts w:cs="Wingdings"/>
    </w:rPr>
  </w:style>
  <w:style w:type="character" w:styleId="ListLabel1287">
    <w:name w:val="ListLabel 1287"/>
    <w:qFormat/>
    <w:rPr>
      <w:rFonts w:cs="Symbol"/>
    </w:rPr>
  </w:style>
  <w:style w:type="character" w:styleId="ListLabel1288">
    <w:name w:val="ListLabel 1288"/>
    <w:qFormat/>
    <w:rPr>
      <w:rFonts w:cs="Courier New"/>
    </w:rPr>
  </w:style>
  <w:style w:type="character" w:styleId="ListLabel1289">
    <w:name w:val="ListLabel 1289"/>
    <w:qFormat/>
    <w:rPr>
      <w:rFonts w:cs="Wingdings"/>
    </w:rPr>
  </w:style>
  <w:style w:type="character" w:styleId="ListLabel1290">
    <w:name w:val="ListLabel 1290"/>
    <w:qFormat/>
    <w:rPr>
      <w:rFonts w:cs="Wingdings"/>
    </w:rPr>
  </w:style>
  <w:style w:type="character" w:styleId="ListLabel1291">
    <w:name w:val="ListLabel 1291"/>
    <w:qFormat/>
    <w:rPr>
      <w:rFonts w:cs="Courier New"/>
    </w:rPr>
  </w:style>
  <w:style w:type="character" w:styleId="ListLabel1292">
    <w:name w:val="ListLabel 1292"/>
    <w:qFormat/>
    <w:rPr>
      <w:rFonts w:cs="Wingdings"/>
    </w:rPr>
  </w:style>
  <w:style w:type="character" w:styleId="ListLabel1293">
    <w:name w:val="ListLabel 1293"/>
    <w:qFormat/>
    <w:rPr>
      <w:rFonts w:cs="Symbol"/>
    </w:rPr>
  </w:style>
  <w:style w:type="character" w:styleId="ListLabel1294">
    <w:name w:val="ListLabel 1294"/>
    <w:qFormat/>
    <w:rPr>
      <w:rFonts w:cs="Courier New"/>
    </w:rPr>
  </w:style>
  <w:style w:type="character" w:styleId="ListLabel1295">
    <w:name w:val="ListLabel 1295"/>
    <w:qFormat/>
    <w:rPr>
      <w:rFonts w:cs="Wingdings"/>
    </w:rPr>
  </w:style>
  <w:style w:type="character" w:styleId="ListLabel1296">
    <w:name w:val="ListLabel 1296"/>
    <w:qFormat/>
    <w:rPr>
      <w:rFonts w:cs="Symbol"/>
    </w:rPr>
  </w:style>
  <w:style w:type="character" w:styleId="ListLabel1297">
    <w:name w:val="ListLabel 1297"/>
    <w:qFormat/>
    <w:rPr>
      <w:rFonts w:cs="Courier New"/>
    </w:rPr>
  </w:style>
  <w:style w:type="character" w:styleId="ListLabel1298">
    <w:name w:val="ListLabel 1298"/>
    <w:qFormat/>
    <w:rPr>
      <w:rFonts w:cs="Wingdings"/>
    </w:rPr>
  </w:style>
  <w:style w:type="character" w:styleId="ListLabel1299">
    <w:name w:val="ListLabel 1299"/>
    <w:qFormat/>
    <w:rPr>
      <w:rFonts w:cs="Wingdings"/>
    </w:rPr>
  </w:style>
  <w:style w:type="character" w:styleId="ListLabel1300">
    <w:name w:val="ListLabel 1300"/>
    <w:qFormat/>
    <w:rPr>
      <w:rFonts w:cs="Courier New"/>
    </w:rPr>
  </w:style>
  <w:style w:type="character" w:styleId="ListLabel1301">
    <w:name w:val="ListLabel 1301"/>
    <w:qFormat/>
    <w:rPr>
      <w:rFonts w:cs="Wingdings"/>
    </w:rPr>
  </w:style>
  <w:style w:type="character" w:styleId="ListLabel1302">
    <w:name w:val="ListLabel 1302"/>
    <w:qFormat/>
    <w:rPr>
      <w:rFonts w:cs="Symbol"/>
    </w:rPr>
  </w:style>
  <w:style w:type="character" w:styleId="ListLabel1303">
    <w:name w:val="ListLabel 1303"/>
    <w:qFormat/>
    <w:rPr>
      <w:rFonts w:cs="Courier New"/>
    </w:rPr>
  </w:style>
  <w:style w:type="character" w:styleId="ListLabel1304">
    <w:name w:val="ListLabel 1304"/>
    <w:qFormat/>
    <w:rPr>
      <w:rFonts w:cs="Wingdings"/>
    </w:rPr>
  </w:style>
  <w:style w:type="character" w:styleId="ListLabel1305">
    <w:name w:val="ListLabel 1305"/>
    <w:qFormat/>
    <w:rPr>
      <w:rFonts w:cs="Symbol"/>
    </w:rPr>
  </w:style>
  <w:style w:type="character" w:styleId="ListLabel1306">
    <w:name w:val="ListLabel 1306"/>
    <w:qFormat/>
    <w:rPr>
      <w:rFonts w:cs="Courier New"/>
    </w:rPr>
  </w:style>
  <w:style w:type="character" w:styleId="ListLabel1307">
    <w:name w:val="ListLabel 1307"/>
    <w:qFormat/>
    <w:rPr>
      <w:rFonts w:cs="Wingdings"/>
    </w:rPr>
  </w:style>
  <w:style w:type="character" w:styleId="ListLabel1308">
    <w:name w:val="ListLabel 1308"/>
    <w:qFormat/>
    <w:rPr>
      <w:rFonts w:cs="Wingdings"/>
    </w:rPr>
  </w:style>
  <w:style w:type="character" w:styleId="ListLabel1309">
    <w:name w:val="ListLabel 1309"/>
    <w:qFormat/>
    <w:rPr>
      <w:rFonts w:cs="Courier New"/>
    </w:rPr>
  </w:style>
  <w:style w:type="character" w:styleId="ListLabel1310">
    <w:name w:val="ListLabel 1310"/>
    <w:qFormat/>
    <w:rPr>
      <w:rFonts w:cs="Wingdings"/>
    </w:rPr>
  </w:style>
  <w:style w:type="character" w:styleId="ListLabel1311">
    <w:name w:val="ListLabel 1311"/>
    <w:qFormat/>
    <w:rPr>
      <w:rFonts w:cs="Symbol"/>
    </w:rPr>
  </w:style>
  <w:style w:type="character" w:styleId="ListLabel1312">
    <w:name w:val="ListLabel 1312"/>
    <w:qFormat/>
    <w:rPr>
      <w:rFonts w:cs="Courier New"/>
    </w:rPr>
  </w:style>
  <w:style w:type="character" w:styleId="ListLabel1313">
    <w:name w:val="ListLabel 1313"/>
    <w:qFormat/>
    <w:rPr>
      <w:rFonts w:cs="Wingdings"/>
    </w:rPr>
  </w:style>
  <w:style w:type="character" w:styleId="ListLabel1314">
    <w:name w:val="ListLabel 1314"/>
    <w:qFormat/>
    <w:rPr>
      <w:rFonts w:cs="Symbol"/>
    </w:rPr>
  </w:style>
  <w:style w:type="character" w:styleId="ListLabel1315">
    <w:name w:val="ListLabel 1315"/>
    <w:qFormat/>
    <w:rPr>
      <w:rFonts w:cs="Courier New"/>
    </w:rPr>
  </w:style>
  <w:style w:type="character" w:styleId="ListLabel1316">
    <w:name w:val="ListLabel 1316"/>
    <w:qFormat/>
    <w:rPr>
      <w:rFonts w:cs="Wingdings"/>
    </w:rPr>
  </w:style>
  <w:style w:type="character" w:styleId="ListLabel1317">
    <w:name w:val="ListLabel 1317"/>
    <w:qFormat/>
    <w:rPr>
      <w:rFonts w:cs="Wingdings"/>
    </w:rPr>
  </w:style>
  <w:style w:type="character" w:styleId="ListLabel1318">
    <w:name w:val="ListLabel 1318"/>
    <w:qFormat/>
    <w:rPr>
      <w:rFonts w:cs="Wingdings"/>
    </w:rPr>
  </w:style>
  <w:style w:type="character" w:styleId="ListLabel1319">
    <w:name w:val="ListLabel 1319"/>
    <w:qFormat/>
    <w:rPr>
      <w:rFonts w:cs="Courier New"/>
    </w:rPr>
  </w:style>
  <w:style w:type="character" w:styleId="ListLabel1320">
    <w:name w:val="ListLabel 1320"/>
    <w:qFormat/>
    <w:rPr>
      <w:rFonts w:cs="Wingdings"/>
    </w:rPr>
  </w:style>
  <w:style w:type="character" w:styleId="ListLabel1321">
    <w:name w:val="ListLabel 1321"/>
    <w:qFormat/>
    <w:rPr>
      <w:rFonts w:cs="Symbol"/>
    </w:rPr>
  </w:style>
  <w:style w:type="character" w:styleId="ListLabel1322">
    <w:name w:val="ListLabel 1322"/>
    <w:qFormat/>
    <w:rPr>
      <w:rFonts w:cs="Courier New"/>
    </w:rPr>
  </w:style>
  <w:style w:type="character" w:styleId="ListLabel1323">
    <w:name w:val="ListLabel 1323"/>
    <w:qFormat/>
    <w:rPr>
      <w:rFonts w:cs="Wingdings"/>
    </w:rPr>
  </w:style>
  <w:style w:type="character" w:styleId="ListLabel1324">
    <w:name w:val="ListLabel 1324"/>
    <w:qFormat/>
    <w:rPr>
      <w:rFonts w:cs="Symbol"/>
    </w:rPr>
  </w:style>
  <w:style w:type="character" w:styleId="ListLabel1325">
    <w:name w:val="ListLabel 1325"/>
    <w:qFormat/>
    <w:rPr>
      <w:rFonts w:cs="Courier New"/>
    </w:rPr>
  </w:style>
  <w:style w:type="character" w:styleId="ListLabel1326">
    <w:name w:val="ListLabel 1326"/>
    <w:qFormat/>
    <w:rPr>
      <w:rFonts w:cs="Wingdings"/>
    </w:rPr>
  </w:style>
  <w:style w:type="character" w:styleId="ListLabel1327">
    <w:name w:val="ListLabel 1327"/>
    <w:qFormat/>
    <w:rPr>
      <w:rFonts w:cs="Wingdings"/>
    </w:rPr>
  </w:style>
  <w:style w:type="character" w:styleId="ListLabel1328">
    <w:name w:val="ListLabel 1328"/>
    <w:qFormat/>
    <w:rPr>
      <w:rFonts w:cs="Courier New"/>
    </w:rPr>
  </w:style>
  <w:style w:type="character" w:styleId="ListLabel1329">
    <w:name w:val="ListLabel 1329"/>
    <w:qFormat/>
    <w:rPr>
      <w:rFonts w:cs="Wingdings"/>
    </w:rPr>
  </w:style>
  <w:style w:type="character" w:styleId="ListLabel1330">
    <w:name w:val="ListLabel 1330"/>
    <w:qFormat/>
    <w:rPr>
      <w:rFonts w:cs="Symbol"/>
    </w:rPr>
  </w:style>
  <w:style w:type="character" w:styleId="ListLabel1331">
    <w:name w:val="ListLabel 1331"/>
    <w:qFormat/>
    <w:rPr>
      <w:rFonts w:cs="Courier New"/>
    </w:rPr>
  </w:style>
  <w:style w:type="character" w:styleId="ListLabel1332">
    <w:name w:val="ListLabel 1332"/>
    <w:qFormat/>
    <w:rPr>
      <w:rFonts w:cs="Wingdings"/>
    </w:rPr>
  </w:style>
  <w:style w:type="character" w:styleId="ListLabel1333">
    <w:name w:val="ListLabel 1333"/>
    <w:qFormat/>
    <w:rPr>
      <w:rFonts w:cs="Symbol"/>
    </w:rPr>
  </w:style>
  <w:style w:type="character" w:styleId="ListLabel1334">
    <w:name w:val="ListLabel 1334"/>
    <w:qFormat/>
    <w:rPr>
      <w:rFonts w:cs="Courier New"/>
    </w:rPr>
  </w:style>
  <w:style w:type="character" w:styleId="ListLabel1335">
    <w:name w:val="ListLabel 1335"/>
    <w:qFormat/>
    <w:rPr>
      <w:rFonts w:cs="Wingdings"/>
    </w:rPr>
  </w:style>
  <w:style w:type="character" w:styleId="ListLabel1336">
    <w:name w:val="ListLabel 1336"/>
    <w:qFormat/>
    <w:rPr>
      <w:rFonts w:cs="Wingdings"/>
    </w:rPr>
  </w:style>
  <w:style w:type="character" w:styleId="ListLabel1337">
    <w:name w:val="ListLabel 1337"/>
    <w:qFormat/>
    <w:rPr>
      <w:rFonts w:cs="Wingdings"/>
    </w:rPr>
  </w:style>
  <w:style w:type="character" w:styleId="ListLabel1338">
    <w:name w:val="ListLabel 1338"/>
    <w:qFormat/>
    <w:rPr>
      <w:rFonts w:cs="Courier New"/>
    </w:rPr>
  </w:style>
  <w:style w:type="character" w:styleId="ListLabel1339">
    <w:name w:val="ListLabel 1339"/>
    <w:qFormat/>
    <w:rPr>
      <w:rFonts w:cs="Wingdings"/>
    </w:rPr>
  </w:style>
  <w:style w:type="character" w:styleId="ListLabel1340">
    <w:name w:val="ListLabel 1340"/>
    <w:qFormat/>
    <w:rPr>
      <w:rFonts w:cs="Symbol"/>
    </w:rPr>
  </w:style>
  <w:style w:type="character" w:styleId="ListLabel1341">
    <w:name w:val="ListLabel 1341"/>
    <w:qFormat/>
    <w:rPr>
      <w:rFonts w:cs="Courier New"/>
    </w:rPr>
  </w:style>
  <w:style w:type="character" w:styleId="ListLabel1342">
    <w:name w:val="ListLabel 1342"/>
    <w:qFormat/>
    <w:rPr>
      <w:rFonts w:cs="Wingdings"/>
    </w:rPr>
  </w:style>
  <w:style w:type="character" w:styleId="ListLabel1343">
    <w:name w:val="ListLabel 1343"/>
    <w:qFormat/>
    <w:rPr>
      <w:rFonts w:cs="Symbol"/>
    </w:rPr>
  </w:style>
  <w:style w:type="character" w:styleId="ListLabel1344">
    <w:name w:val="ListLabel 1344"/>
    <w:qFormat/>
    <w:rPr>
      <w:rFonts w:cs="Courier New"/>
    </w:rPr>
  </w:style>
  <w:style w:type="character" w:styleId="ListLabel1345">
    <w:name w:val="ListLabel 1345"/>
    <w:qFormat/>
    <w:rPr>
      <w:rFonts w:cs="Wingdings"/>
    </w:rPr>
  </w:style>
  <w:style w:type="character" w:styleId="ListLabel1346">
    <w:name w:val="ListLabel 1346"/>
    <w:qFormat/>
    <w:rPr>
      <w:rFonts w:cs="Wingdings"/>
    </w:rPr>
  </w:style>
  <w:style w:type="character" w:styleId="ListLabel1347">
    <w:name w:val="ListLabel 1347"/>
    <w:qFormat/>
    <w:rPr>
      <w:rFonts w:cs="Courier New"/>
    </w:rPr>
  </w:style>
  <w:style w:type="character" w:styleId="ListLabel1348">
    <w:name w:val="ListLabel 1348"/>
    <w:qFormat/>
    <w:rPr>
      <w:rFonts w:cs="Wingdings"/>
    </w:rPr>
  </w:style>
  <w:style w:type="character" w:styleId="ListLabel1349">
    <w:name w:val="ListLabel 1349"/>
    <w:qFormat/>
    <w:rPr>
      <w:rFonts w:cs="Symbol"/>
    </w:rPr>
  </w:style>
  <w:style w:type="character" w:styleId="ListLabel1350">
    <w:name w:val="ListLabel 1350"/>
    <w:qFormat/>
    <w:rPr>
      <w:rFonts w:cs="Courier New"/>
    </w:rPr>
  </w:style>
  <w:style w:type="character" w:styleId="ListLabel1351">
    <w:name w:val="ListLabel 1351"/>
    <w:qFormat/>
    <w:rPr>
      <w:rFonts w:cs="Wingdings"/>
    </w:rPr>
  </w:style>
  <w:style w:type="character" w:styleId="ListLabel1352">
    <w:name w:val="ListLabel 1352"/>
    <w:qFormat/>
    <w:rPr>
      <w:rFonts w:cs="Symbol"/>
    </w:rPr>
  </w:style>
  <w:style w:type="character" w:styleId="ListLabel1353">
    <w:name w:val="ListLabel 1353"/>
    <w:qFormat/>
    <w:rPr>
      <w:rFonts w:cs="Courier New"/>
    </w:rPr>
  </w:style>
  <w:style w:type="character" w:styleId="ListLabel1354">
    <w:name w:val="ListLabel 1354"/>
    <w:qFormat/>
    <w:rPr>
      <w:rFonts w:cs="Wingdings"/>
    </w:rPr>
  </w:style>
  <w:style w:type="character" w:styleId="ListLabel1355">
    <w:name w:val="ListLabel 1355"/>
    <w:qFormat/>
    <w:rPr>
      <w:rFonts w:cs="Wingdings"/>
    </w:rPr>
  </w:style>
  <w:style w:type="character" w:styleId="ListLabel1356">
    <w:name w:val="ListLabel 1356"/>
    <w:qFormat/>
    <w:rPr>
      <w:rFonts w:cs="Wingdings"/>
    </w:rPr>
  </w:style>
  <w:style w:type="character" w:styleId="ListLabel1357">
    <w:name w:val="ListLabel 1357"/>
    <w:qFormat/>
    <w:rPr>
      <w:rFonts w:cs="Wingdings"/>
    </w:rPr>
  </w:style>
  <w:style w:type="character" w:styleId="ListLabel1358">
    <w:name w:val="ListLabel 1358"/>
    <w:qFormat/>
    <w:rPr>
      <w:rFonts w:cs="Wingdings"/>
    </w:rPr>
  </w:style>
  <w:style w:type="character" w:styleId="ListLabel1359">
    <w:name w:val="ListLabel 1359"/>
    <w:qFormat/>
    <w:rPr>
      <w:rFonts w:cs="Wingdings"/>
    </w:rPr>
  </w:style>
  <w:style w:type="character" w:styleId="ListLabel1360">
    <w:name w:val="ListLabel 1360"/>
    <w:qFormat/>
    <w:rPr>
      <w:rFonts w:cs="Courier New"/>
    </w:rPr>
  </w:style>
  <w:style w:type="character" w:styleId="ListLabel1361">
    <w:name w:val="ListLabel 1361"/>
    <w:qFormat/>
    <w:rPr>
      <w:rFonts w:cs="Wingdings"/>
    </w:rPr>
  </w:style>
  <w:style w:type="character" w:styleId="ListLabel1362">
    <w:name w:val="ListLabel 1362"/>
    <w:qFormat/>
    <w:rPr>
      <w:rFonts w:cs="Symbol"/>
    </w:rPr>
  </w:style>
  <w:style w:type="character" w:styleId="ListLabel1363">
    <w:name w:val="ListLabel 1363"/>
    <w:qFormat/>
    <w:rPr>
      <w:rFonts w:cs="Courier New"/>
    </w:rPr>
  </w:style>
  <w:style w:type="character" w:styleId="ListLabel1364">
    <w:name w:val="ListLabel 1364"/>
    <w:qFormat/>
    <w:rPr>
      <w:rFonts w:cs="Wingdings"/>
    </w:rPr>
  </w:style>
  <w:style w:type="character" w:styleId="ListLabel1365">
    <w:name w:val="ListLabel 1365"/>
    <w:qFormat/>
    <w:rPr>
      <w:rFonts w:cs="Symbol"/>
    </w:rPr>
  </w:style>
  <w:style w:type="character" w:styleId="ListLabel1366">
    <w:name w:val="ListLabel 1366"/>
    <w:qFormat/>
    <w:rPr>
      <w:rFonts w:cs="Courier New"/>
    </w:rPr>
  </w:style>
  <w:style w:type="character" w:styleId="ListLabel1367">
    <w:name w:val="ListLabel 1367"/>
    <w:qFormat/>
    <w:rPr>
      <w:rFonts w:cs="Wingdings"/>
    </w:rPr>
  </w:style>
  <w:style w:type="character" w:styleId="ListLabel1368">
    <w:name w:val="ListLabel 1368"/>
    <w:qFormat/>
    <w:rPr>
      <w:rFonts w:cs="Wingdings"/>
    </w:rPr>
  </w:style>
  <w:style w:type="character" w:styleId="ListLabel1369">
    <w:name w:val="ListLabel 1369"/>
    <w:qFormat/>
    <w:rPr>
      <w:rFonts w:cs="Wingdings"/>
    </w:rPr>
  </w:style>
  <w:style w:type="character" w:styleId="ListLabel1370">
    <w:name w:val="ListLabel 1370"/>
    <w:qFormat/>
    <w:rPr>
      <w:rFonts w:cs="Wingdings"/>
    </w:rPr>
  </w:style>
  <w:style w:type="character" w:styleId="ListLabel1371">
    <w:name w:val="ListLabel 1371"/>
    <w:qFormat/>
    <w:rPr>
      <w:rFonts w:cs="Wingdings"/>
    </w:rPr>
  </w:style>
  <w:style w:type="character" w:styleId="ListLabel1372">
    <w:name w:val="ListLabel 1372"/>
    <w:qFormat/>
    <w:rPr>
      <w:rFonts w:cs="Courier New"/>
    </w:rPr>
  </w:style>
  <w:style w:type="character" w:styleId="ListLabel1373">
    <w:name w:val="ListLabel 1373"/>
    <w:qFormat/>
    <w:rPr>
      <w:rFonts w:cs="Wingdings"/>
    </w:rPr>
  </w:style>
  <w:style w:type="character" w:styleId="ListLabel1374">
    <w:name w:val="ListLabel 1374"/>
    <w:qFormat/>
    <w:rPr>
      <w:rFonts w:cs="Symbol"/>
    </w:rPr>
  </w:style>
  <w:style w:type="character" w:styleId="ListLabel1375">
    <w:name w:val="ListLabel 1375"/>
    <w:qFormat/>
    <w:rPr>
      <w:rFonts w:cs="Courier New"/>
    </w:rPr>
  </w:style>
  <w:style w:type="character" w:styleId="ListLabel1376">
    <w:name w:val="ListLabel 1376"/>
    <w:qFormat/>
    <w:rPr>
      <w:rFonts w:cs="Wingdings"/>
    </w:rPr>
  </w:style>
  <w:style w:type="character" w:styleId="ListLabel1377">
    <w:name w:val="ListLabel 1377"/>
    <w:qFormat/>
    <w:rPr>
      <w:rFonts w:cs="Symbol"/>
    </w:rPr>
  </w:style>
  <w:style w:type="character" w:styleId="ListLabel1378">
    <w:name w:val="ListLabel 1378"/>
    <w:qFormat/>
    <w:rPr>
      <w:rFonts w:cs="Courier New"/>
    </w:rPr>
  </w:style>
  <w:style w:type="character" w:styleId="ListLabel1379">
    <w:name w:val="ListLabel 1379"/>
    <w:qFormat/>
    <w:rPr>
      <w:rFonts w:cs="Wingdings"/>
    </w:rPr>
  </w:style>
  <w:style w:type="character" w:styleId="ListLabel1380">
    <w:name w:val="ListLabel 1380"/>
    <w:qFormat/>
    <w:rPr>
      <w:rFonts w:cs="Wingdings"/>
    </w:rPr>
  </w:style>
  <w:style w:type="character" w:styleId="ListLabel1381">
    <w:name w:val="ListLabel 1381"/>
    <w:qFormat/>
    <w:rPr>
      <w:rFonts w:cs="Wingdings"/>
    </w:rPr>
  </w:style>
  <w:style w:type="character" w:styleId="ListLabel1382">
    <w:name w:val="ListLabel 1382"/>
    <w:qFormat/>
    <w:rPr>
      <w:rFonts w:cs="Courier New"/>
    </w:rPr>
  </w:style>
  <w:style w:type="character" w:styleId="ListLabel1383">
    <w:name w:val="ListLabel 1383"/>
    <w:qFormat/>
    <w:rPr>
      <w:rFonts w:cs="Wingdings"/>
    </w:rPr>
  </w:style>
  <w:style w:type="character" w:styleId="ListLabel1384">
    <w:name w:val="ListLabel 1384"/>
    <w:qFormat/>
    <w:rPr>
      <w:rFonts w:cs="Symbol"/>
    </w:rPr>
  </w:style>
  <w:style w:type="character" w:styleId="ListLabel1385">
    <w:name w:val="ListLabel 1385"/>
    <w:qFormat/>
    <w:rPr>
      <w:rFonts w:cs="Courier New"/>
    </w:rPr>
  </w:style>
  <w:style w:type="character" w:styleId="ListLabel1386">
    <w:name w:val="ListLabel 1386"/>
    <w:qFormat/>
    <w:rPr>
      <w:rFonts w:cs="Wingdings"/>
    </w:rPr>
  </w:style>
  <w:style w:type="character" w:styleId="ListLabel1387">
    <w:name w:val="ListLabel 1387"/>
    <w:qFormat/>
    <w:rPr>
      <w:rFonts w:cs="Symbol"/>
    </w:rPr>
  </w:style>
  <w:style w:type="character" w:styleId="ListLabel1388">
    <w:name w:val="ListLabel 1388"/>
    <w:qFormat/>
    <w:rPr>
      <w:rFonts w:cs="Courier New"/>
    </w:rPr>
  </w:style>
  <w:style w:type="character" w:styleId="ListLabel1389">
    <w:name w:val="ListLabel 1389"/>
    <w:qFormat/>
    <w:rPr>
      <w:rFonts w:cs="Wingdings"/>
    </w:rPr>
  </w:style>
  <w:style w:type="character" w:styleId="ListLabel1390">
    <w:name w:val="ListLabel 1390"/>
    <w:qFormat/>
    <w:rPr>
      <w:rFonts w:cs="Wingdings"/>
    </w:rPr>
  </w:style>
  <w:style w:type="character" w:styleId="ListLabel1391">
    <w:name w:val="ListLabel 1391"/>
    <w:qFormat/>
    <w:rPr>
      <w:rFonts w:cs="Courier New"/>
    </w:rPr>
  </w:style>
  <w:style w:type="character" w:styleId="ListLabel1392">
    <w:name w:val="ListLabel 1392"/>
    <w:qFormat/>
    <w:rPr>
      <w:rFonts w:cs="Wingdings"/>
    </w:rPr>
  </w:style>
  <w:style w:type="character" w:styleId="ListLabel1393">
    <w:name w:val="ListLabel 1393"/>
    <w:qFormat/>
    <w:rPr>
      <w:rFonts w:cs="Symbol"/>
    </w:rPr>
  </w:style>
  <w:style w:type="character" w:styleId="ListLabel1394">
    <w:name w:val="ListLabel 1394"/>
    <w:qFormat/>
    <w:rPr>
      <w:rFonts w:cs="Courier New"/>
    </w:rPr>
  </w:style>
  <w:style w:type="character" w:styleId="ListLabel1395">
    <w:name w:val="ListLabel 1395"/>
    <w:qFormat/>
    <w:rPr>
      <w:rFonts w:cs="Wingdings"/>
    </w:rPr>
  </w:style>
  <w:style w:type="character" w:styleId="ListLabel1396">
    <w:name w:val="ListLabel 1396"/>
    <w:qFormat/>
    <w:rPr>
      <w:rFonts w:cs="Symbol"/>
    </w:rPr>
  </w:style>
  <w:style w:type="character" w:styleId="ListLabel1397">
    <w:name w:val="ListLabel 1397"/>
    <w:qFormat/>
    <w:rPr>
      <w:rFonts w:cs="Courier New"/>
    </w:rPr>
  </w:style>
  <w:style w:type="character" w:styleId="ListLabel1398">
    <w:name w:val="ListLabel 1398"/>
    <w:qFormat/>
    <w:rPr>
      <w:rFonts w:cs="Wingdings"/>
    </w:rPr>
  </w:style>
  <w:style w:type="character" w:styleId="ListLabel1399">
    <w:name w:val="ListLabel 1399"/>
    <w:qFormat/>
    <w:rPr>
      <w:rFonts w:cs="Wingdings"/>
    </w:rPr>
  </w:style>
  <w:style w:type="character" w:styleId="ListLabel1400">
    <w:name w:val="ListLabel 1400"/>
    <w:qFormat/>
    <w:rPr>
      <w:rFonts w:cs="Wingdings"/>
    </w:rPr>
  </w:style>
  <w:style w:type="character" w:styleId="ListLabel1401">
    <w:name w:val="ListLabel 1401"/>
    <w:qFormat/>
    <w:rPr>
      <w:rFonts w:cs="Wingdings"/>
    </w:rPr>
  </w:style>
  <w:style w:type="character" w:styleId="ListLabel1402">
    <w:name w:val="ListLabel 1402"/>
    <w:qFormat/>
    <w:rPr>
      <w:rFonts w:cs="Courier New"/>
    </w:rPr>
  </w:style>
  <w:style w:type="character" w:styleId="ListLabel1403">
    <w:name w:val="ListLabel 1403"/>
    <w:qFormat/>
    <w:rPr>
      <w:rFonts w:cs="Wingdings"/>
    </w:rPr>
  </w:style>
  <w:style w:type="character" w:styleId="ListLabel1404">
    <w:name w:val="ListLabel 1404"/>
    <w:qFormat/>
    <w:rPr>
      <w:rFonts w:cs="Symbol"/>
    </w:rPr>
  </w:style>
  <w:style w:type="character" w:styleId="ListLabel1405">
    <w:name w:val="ListLabel 1405"/>
    <w:qFormat/>
    <w:rPr>
      <w:rFonts w:cs="Courier New"/>
    </w:rPr>
  </w:style>
  <w:style w:type="character" w:styleId="ListLabel1406">
    <w:name w:val="ListLabel 1406"/>
    <w:qFormat/>
    <w:rPr>
      <w:rFonts w:cs="Wingdings"/>
    </w:rPr>
  </w:style>
  <w:style w:type="character" w:styleId="ListLabel1407">
    <w:name w:val="ListLabel 1407"/>
    <w:qFormat/>
    <w:rPr>
      <w:rFonts w:cs="Symbol"/>
    </w:rPr>
  </w:style>
  <w:style w:type="character" w:styleId="ListLabel1408">
    <w:name w:val="ListLabel 1408"/>
    <w:qFormat/>
    <w:rPr>
      <w:rFonts w:cs="Courier New"/>
    </w:rPr>
  </w:style>
  <w:style w:type="character" w:styleId="ListLabel1409">
    <w:name w:val="ListLabel 1409"/>
    <w:qFormat/>
    <w:rPr>
      <w:rFonts w:cs="Wingdings"/>
    </w:rPr>
  </w:style>
  <w:style w:type="character" w:styleId="ListLabel1410">
    <w:name w:val="ListLabel 1410"/>
    <w:qFormat/>
    <w:rPr>
      <w:rFonts w:cs="Wingdings"/>
    </w:rPr>
  </w:style>
  <w:style w:type="character" w:styleId="ListLabel1411">
    <w:name w:val="ListLabel 1411"/>
    <w:qFormat/>
    <w:rPr>
      <w:rFonts w:cs="Wingdings"/>
    </w:rPr>
  </w:style>
  <w:style w:type="character" w:styleId="ListLabel1412">
    <w:name w:val="ListLabel 1412"/>
    <w:qFormat/>
    <w:rPr>
      <w:rFonts w:cs="Courier New"/>
    </w:rPr>
  </w:style>
  <w:style w:type="character" w:styleId="ListLabel1413">
    <w:name w:val="ListLabel 1413"/>
    <w:qFormat/>
    <w:rPr>
      <w:rFonts w:cs="Wingdings"/>
    </w:rPr>
  </w:style>
  <w:style w:type="character" w:styleId="ListLabel1414">
    <w:name w:val="ListLabel 1414"/>
    <w:qFormat/>
    <w:rPr>
      <w:rFonts w:cs="Symbol"/>
    </w:rPr>
  </w:style>
  <w:style w:type="character" w:styleId="ListLabel1415">
    <w:name w:val="ListLabel 1415"/>
    <w:qFormat/>
    <w:rPr>
      <w:rFonts w:cs="Courier New"/>
    </w:rPr>
  </w:style>
  <w:style w:type="character" w:styleId="ListLabel1416">
    <w:name w:val="ListLabel 1416"/>
    <w:qFormat/>
    <w:rPr>
      <w:rFonts w:cs="Wingdings"/>
    </w:rPr>
  </w:style>
  <w:style w:type="character" w:styleId="ListLabel1417">
    <w:name w:val="ListLabel 1417"/>
    <w:qFormat/>
    <w:rPr>
      <w:rFonts w:cs="Symbol"/>
    </w:rPr>
  </w:style>
  <w:style w:type="character" w:styleId="ListLabel1418">
    <w:name w:val="ListLabel 1418"/>
    <w:qFormat/>
    <w:rPr>
      <w:rFonts w:cs="Courier New"/>
    </w:rPr>
  </w:style>
  <w:style w:type="character" w:styleId="ListLabel1419">
    <w:name w:val="ListLabel 1419"/>
    <w:qFormat/>
    <w:rPr>
      <w:rFonts w:cs="Wingdings"/>
    </w:rPr>
  </w:style>
  <w:style w:type="character" w:styleId="ListLabel1420">
    <w:name w:val="ListLabel 1420"/>
    <w:qFormat/>
    <w:rPr>
      <w:rFonts w:cs="Wingdings"/>
    </w:rPr>
  </w:style>
  <w:style w:type="character" w:styleId="ListLabel1421">
    <w:name w:val="ListLabel 1421"/>
    <w:qFormat/>
    <w:rPr>
      <w:rFonts w:cs="Courier New"/>
    </w:rPr>
  </w:style>
  <w:style w:type="character" w:styleId="ListLabel1422">
    <w:name w:val="ListLabel 1422"/>
    <w:qFormat/>
    <w:rPr>
      <w:rFonts w:cs="Wingdings"/>
    </w:rPr>
  </w:style>
  <w:style w:type="character" w:styleId="ListLabel1423">
    <w:name w:val="ListLabel 1423"/>
    <w:qFormat/>
    <w:rPr>
      <w:rFonts w:cs="Symbol"/>
    </w:rPr>
  </w:style>
  <w:style w:type="character" w:styleId="ListLabel1424">
    <w:name w:val="ListLabel 1424"/>
    <w:qFormat/>
    <w:rPr>
      <w:rFonts w:cs="Courier New"/>
    </w:rPr>
  </w:style>
  <w:style w:type="character" w:styleId="ListLabel1425">
    <w:name w:val="ListLabel 1425"/>
    <w:qFormat/>
    <w:rPr>
      <w:rFonts w:cs="Wingdings"/>
    </w:rPr>
  </w:style>
  <w:style w:type="character" w:styleId="ListLabel1426">
    <w:name w:val="ListLabel 1426"/>
    <w:qFormat/>
    <w:rPr>
      <w:rFonts w:cs="Symbol"/>
    </w:rPr>
  </w:style>
  <w:style w:type="character" w:styleId="ListLabel1427">
    <w:name w:val="ListLabel 1427"/>
    <w:qFormat/>
    <w:rPr>
      <w:rFonts w:cs="Courier New"/>
    </w:rPr>
  </w:style>
  <w:style w:type="character" w:styleId="ListLabel1428">
    <w:name w:val="ListLabel 1428"/>
    <w:qFormat/>
    <w:rPr>
      <w:rFonts w:cs="Wingdings"/>
    </w:rPr>
  </w:style>
  <w:style w:type="character" w:styleId="ListLabel1429">
    <w:name w:val="ListLabel 1429"/>
    <w:qFormat/>
    <w:rPr>
      <w:rFonts w:cs="Wingdings"/>
    </w:rPr>
  </w:style>
  <w:style w:type="character" w:styleId="ListLabel1430">
    <w:name w:val="ListLabel 1430"/>
    <w:qFormat/>
    <w:rPr>
      <w:rFonts w:cs="Calibri"/>
    </w:rPr>
  </w:style>
  <w:style w:type="character" w:styleId="ListLabel1431">
    <w:name w:val="ListLabel 1431"/>
    <w:qFormat/>
    <w:rPr>
      <w:rFonts w:cs="Wingdings"/>
    </w:rPr>
  </w:style>
  <w:style w:type="character" w:styleId="ListLabel1432">
    <w:name w:val="ListLabel 1432"/>
    <w:qFormat/>
    <w:rPr>
      <w:rFonts w:cs="Courier New"/>
    </w:rPr>
  </w:style>
  <w:style w:type="character" w:styleId="ListLabel1433">
    <w:name w:val="ListLabel 1433"/>
    <w:qFormat/>
    <w:rPr>
      <w:rFonts w:cs="Wingdings"/>
    </w:rPr>
  </w:style>
  <w:style w:type="character" w:styleId="ListLabel1434">
    <w:name w:val="ListLabel 1434"/>
    <w:qFormat/>
    <w:rPr>
      <w:rFonts w:cs="Symbol"/>
    </w:rPr>
  </w:style>
  <w:style w:type="character" w:styleId="ListLabel1435">
    <w:name w:val="ListLabel 1435"/>
    <w:qFormat/>
    <w:rPr>
      <w:rFonts w:cs="Courier New"/>
    </w:rPr>
  </w:style>
  <w:style w:type="character" w:styleId="ListLabel1436">
    <w:name w:val="ListLabel 1436"/>
    <w:qFormat/>
    <w:rPr>
      <w:rFonts w:cs="Wingdings"/>
    </w:rPr>
  </w:style>
  <w:style w:type="character" w:styleId="ListLabel1437">
    <w:name w:val="ListLabel 1437"/>
    <w:qFormat/>
    <w:rPr>
      <w:rFonts w:cs="Symbol"/>
    </w:rPr>
  </w:style>
  <w:style w:type="character" w:styleId="ListLabel1438">
    <w:name w:val="ListLabel 1438"/>
    <w:qFormat/>
    <w:rPr>
      <w:rFonts w:cs="Courier New"/>
    </w:rPr>
  </w:style>
  <w:style w:type="character" w:styleId="ListLabel1439">
    <w:name w:val="ListLabel 1439"/>
    <w:qFormat/>
    <w:rPr>
      <w:rFonts w:cs="Wingdings"/>
    </w:rPr>
  </w:style>
  <w:style w:type="character" w:styleId="ListLabel1440">
    <w:name w:val="ListLabel 1440"/>
    <w:qFormat/>
    <w:rPr>
      <w:rFonts w:cs="Wingdings"/>
    </w:rPr>
  </w:style>
  <w:style w:type="character" w:styleId="ListLabel1441">
    <w:name w:val="ListLabel 1441"/>
    <w:qFormat/>
    <w:rPr>
      <w:rFonts w:cs="Courier New"/>
    </w:rPr>
  </w:style>
  <w:style w:type="character" w:styleId="ListLabel1442">
    <w:name w:val="ListLabel 1442"/>
    <w:qFormat/>
    <w:rPr>
      <w:rFonts w:cs="Wingdings"/>
    </w:rPr>
  </w:style>
  <w:style w:type="character" w:styleId="ListLabel1443">
    <w:name w:val="ListLabel 1443"/>
    <w:qFormat/>
    <w:rPr>
      <w:rFonts w:cs="Symbol"/>
    </w:rPr>
  </w:style>
  <w:style w:type="character" w:styleId="ListLabel1444">
    <w:name w:val="ListLabel 1444"/>
    <w:qFormat/>
    <w:rPr>
      <w:rFonts w:cs="Courier New"/>
    </w:rPr>
  </w:style>
  <w:style w:type="character" w:styleId="ListLabel1445">
    <w:name w:val="ListLabel 1445"/>
    <w:qFormat/>
    <w:rPr>
      <w:rFonts w:cs="Wingdings"/>
    </w:rPr>
  </w:style>
  <w:style w:type="character" w:styleId="ListLabel1446">
    <w:name w:val="ListLabel 1446"/>
    <w:qFormat/>
    <w:rPr>
      <w:rFonts w:cs="Symbol"/>
    </w:rPr>
  </w:style>
  <w:style w:type="character" w:styleId="ListLabel1447">
    <w:name w:val="ListLabel 1447"/>
    <w:qFormat/>
    <w:rPr>
      <w:rFonts w:cs="Courier New"/>
    </w:rPr>
  </w:style>
  <w:style w:type="character" w:styleId="ListLabel1448">
    <w:name w:val="ListLabel 1448"/>
    <w:qFormat/>
    <w:rPr>
      <w:rFonts w:cs="Wingdings"/>
    </w:rPr>
  </w:style>
  <w:style w:type="character" w:styleId="ListLabel1449">
    <w:name w:val="ListLabel 1449"/>
    <w:qFormat/>
    <w:rPr>
      <w:rFonts w:cs="Wingdings"/>
    </w:rPr>
  </w:style>
  <w:style w:type="character" w:styleId="ListLabel1450">
    <w:name w:val="ListLabel 1450"/>
    <w:qFormat/>
    <w:rPr>
      <w:rFonts w:cs="Courier New"/>
    </w:rPr>
  </w:style>
  <w:style w:type="character" w:styleId="ListLabel1451">
    <w:name w:val="ListLabel 1451"/>
    <w:qFormat/>
    <w:rPr>
      <w:rFonts w:cs="Wingdings"/>
    </w:rPr>
  </w:style>
  <w:style w:type="character" w:styleId="ListLabel1452">
    <w:name w:val="ListLabel 1452"/>
    <w:qFormat/>
    <w:rPr>
      <w:rFonts w:cs="Symbol"/>
    </w:rPr>
  </w:style>
  <w:style w:type="character" w:styleId="ListLabel1453">
    <w:name w:val="ListLabel 1453"/>
    <w:qFormat/>
    <w:rPr>
      <w:rFonts w:cs="Courier New"/>
    </w:rPr>
  </w:style>
  <w:style w:type="character" w:styleId="ListLabel1454">
    <w:name w:val="ListLabel 1454"/>
    <w:qFormat/>
    <w:rPr>
      <w:rFonts w:cs="Wingdings"/>
    </w:rPr>
  </w:style>
  <w:style w:type="character" w:styleId="ListLabel1455">
    <w:name w:val="ListLabel 1455"/>
    <w:qFormat/>
    <w:rPr>
      <w:rFonts w:cs="Symbol"/>
    </w:rPr>
  </w:style>
  <w:style w:type="character" w:styleId="ListLabel1456">
    <w:name w:val="ListLabel 1456"/>
    <w:qFormat/>
    <w:rPr>
      <w:rFonts w:cs="Courier New"/>
    </w:rPr>
  </w:style>
  <w:style w:type="character" w:styleId="ListLabel1457">
    <w:name w:val="ListLabel 1457"/>
    <w:qFormat/>
    <w:rPr>
      <w:rFonts w:cs="Wingdings"/>
    </w:rPr>
  </w:style>
  <w:style w:type="character" w:styleId="ListLabel1458">
    <w:name w:val="ListLabel 1458"/>
    <w:qFormat/>
    <w:rPr>
      <w:rFonts w:cs="Wingdings"/>
    </w:rPr>
  </w:style>
  <w:style w:type="character" w:styleId="ListLabel1459">
    <w:name w:val="ListLabel 1459"/>
    <w:qFormat/>
    <w:rPr>
      <w:rFonts w:cs="Wingdings"/>
    </w:rPr>
  </w:style>
  <w:style w:type="character" w:styleId="ListLabel1460">
    <w:name w:val="ListLabel 1460"/>
    <w:qFormat/>
    <w:rPr>
      <w:rFonts w:cs="Wingdings"/>
      <w:b/>
    </w:rPr>
  </w:style>
  <w:style w:type="character" w:styleId="ListLabel1461">
    <w:name w:val="ListLabel 1461"/>
    <w:qFormat/>
    <w:rPr>
      <w:rFonts w:cs="Wingdings"/>
    </w:rPr>
  </w:style>
  <w:style w:type="character" w:styleId="ListLabel1462">
    <w:name w:val="ListLabel 1462"/>
    <w:qFormat/>
    <w:rPr>
      <w:rFonts w:cs="Wingdings"/>
    </w:rPr>
  </w:style>
  <w:style w:type="character" w:styleId="ListLabel1463">
    <w:name w:val="ListLabel 1463"/>
    <w:qFormat/>
    <w:rPr>
      <w:rFonts w:cs="Wingdings"/>
    </w:rPr>
  </w:style>
  <w:style w:type="character" w:styleId="ListLabel1464">
    <w:name w:val="ListLabel 1464"/>
    <w:qFormat/>
    <w:rPr>
      <w:rFonts w:cs="Courier New"/>
    </w:rPr>
  </w:style>
  <w:style w:type="character" w:styleId="ListLabel1465">
    <w:name w:val="ListLabel 1465"/>
    <w:qFormat/>
    <w:rPr>
      <w:rFonts w:cs="Wingdings"/>
    </w:rPr>
  </w:style>
  <w:style w:type="character" w:styleId="ListLabel1466">
    <w:name w:val="ListLabel 1466"/>
    <w:qFormat/>
    <w:rPr>
      <w:rFonts w:cs="Symbol"/>
    </w:rPr>
  </w:style>
  <w:style w:type="character" w:styleId="ListLabel1467">
    <w:name w:val="ListLabel 1467"/>
    <w:qFormat/>
    <w:rPr>
      <w:rFonts w:cs="Courier New"/>
    </w:rPr>
  </w:style>
  <w:style w:type="character" w:styleId="ListLabel1468">
    <w:name w:val="ListLabel 1468"/>
    <w:qFormat/>
    <w:rPr>
      <w:rFonts w:cs="Wingdings"/>
    </w:rPr>
  </w:style>
  <w:style w:type="character" w:styleId="ListLabel1469">
    <w:name w:val="ListLabel 1469"/>
    <w:qFormat/>
    <w:rPr>
      <w:rFonts w:cs="Symbol"/>
    </w:rPr>
  </w:style>
  <w:style w:type="character" w:styleId="ListLabel1470">
    <w:name w:val="ListLabel 1470"/>
    <w:qFormat/>
    <w:rPr>
      <w:rFonts w:cs="Courier New"/>
    </w:rPr>
  </w:style>
  <w:style w:type="character" w:styleId="ListLabel1471">
    <w:name w:val="ListLabel 1471"/>
    <w:qFormat/>
    <w:rPr>
      <w:rFonts w:cs="Wingdings"/>
    </w:rPr>
  </w:style>
  <w:style w:type="character" w:styleId="ListLabel1472">
    <w:name w:val="ListLabel 1472"/>
    <w:qFormat/>
    <w:rPr>
      <w:rFonts w:cs="Wingdings"/>
    </w:rPr>
  </w:style>
  <w:style w:type="character" w:styleId="ListLabel1473">
    <w:name w:val="ListLabel 1473"/>
    <w:qFormat/>
    <w:rPr>
      <w:rFonts w:cs="Courier New"/>
    </w:rPr>
  </w:style>
  <w:style w:type="character" w:styleId="ListLabel1474">
    <w:name w:val="ListLabel 1474"/>
    <w:qFormat/>
    <w:rPr>
      <w:rFonts w:cs="Wingdings"/>
    </w:rPr>
  </w:style>
  <w:style w:type="character" w:styleId="ListLabel1475">
    <w:name w:val="ListLabel 1475"/>
    <w:qFormat/>
    <w:rPr>
      <w:rFonts w:cs="Symbol"/>
    </w:rPr>
  </w:style>
  <w:style w:type="character" w:styleId="ListLabel1476">
    <w:name w:val="ListLabel 1476"/>
    <w:qFormat/>
    <w:rPr>
      <w:rFonts w:cs="Courier New"/>
    </w:rPr>
  </w:style>
  <w:style w:type="character" w:styleId="ListLabel1477">
    <w:name w:val="ListLabel 1477"/>
    <w:qFormat/>
    <w:rPr>
      <w:rFonts w:cs="Wingdings"/>
    </w:rPr>
  </w:style>
  <w:style w:type="character" w:styleId="ListLabel1478">
    <w:name w:val="ListLabel 1478"/>
    <w:qFormat/>
    <w:rPr>
      <w:rFonts w:cs="Symbol"/>
    </w:rPr>
  </w:style>
  <w:style w:type="character" w:styleId="ListLabel1479">
    <w:name w:val="ListLabel 1479"/>
    <w:qFormat/>
    <w:rPr>
      <w:rFonts w:cs="Courier New"/>
    </w:rPr>
  </w:style>
  <w:style w:type="character" w:styleId="ListLabel1480">
    <w:name w:val="ListLabel 1480"/>
    <w:qFormat/>
    <w:rPr>
      <w:rFonts w:cs="Wingdings"/>
    </w:rPr>
  </w:style>
  <w:style w:type="character" w:styleId="ListLabel1481">
    <w:name w:val="ListLabel 1481"/>
    <w:qFormat/>
    <w:rPr>
      <w:rFonts w:cs="Wingdings"/>
      <w:b/>
    </w:rPr>
  </w:style>
  <w:style w:type="character" w:styleId="ListLabel1482">
    <w:name w:val="ListLabel 1482"/>
    <w:qFormat/>
    <w:rPr>
      <w:rFonts w:cs="Wingdings"/>
    </w:rPr>
  </w:style>
  <w:style w:type="character" w:styleId="ListLabel1483">
    <w:name w:val="ListLabel 1483"/>
    <w:qFormat/>
    <w:rPr>
      <w:rFonts w:cs="Wingdings"/>
    </w:rPr>
  </w:style>
  <w:style w:type="character" w:styleId="ListLabel1484">
    <w:name w:val="ListLabel 1484"/>
    <w:qFormat/>
    <w:rPr>
      <w:rFonts w:cs="Courier New"/>
    </w:rPr>
  </w:style>
  <w:style w:type="character" w:styleId="ListLabel1485">
    <w:name w:val="ListLabel 1485"/>
    <w:qFormat/>
    <w:rPr>
      <w:rFonts w:cs="Wingdings"/>
    </w:rPr>
  </w:style>
  <w:style w:type="character" w:styleId="ListLabel1486">
    <w:name w:val="ListLabel 1486"/>
    <w:qFormat/>
    <w:rPr>
      <w:rFonts w:cs="Symbol"/>
    </w:rPr>
  </w:style>
  <w:style w:type="character" w:styleId="ListLabel1487">
    <w:name w:val="ListLabel 1487"/>
    <w:qFormat/>
    <w:rPr>
      <w:rFonts w:cs="Courier New"/>
    </w:rPr>
  </w:style>
  <w:style w:type="character" w:styleId="ListLabel1488">
    <w:name w:val="ListLabel 1488"/>
    <w:qFormat/>
    <w:rPr>
      <w:rFonts w:cs="Wingdings"/>
    </w:rPr>
  </w:style>
  <w:style w:type="character" w:styleId="ListLabel1489">
    <w:name w:val="ListLabel 1489"/>
    <w:qFormat/>
    <w:rPr>
      <w:rFonts w:cs="Symbol"/>
    </w:rPr>
  </w:style>
  <w:style w:type="character" w:styleId="ListLabel1490">
    <w:name w:val="ListLabel 1490"/>
    <w:qFormat/>
    <w:rPr>
      <w:rFonts w:cs="Courier New"/>
    </w:rPr>
  </w:style>
  <w:style w:type="character" w:styleId="ListLabel1491">
    <w:name w:val="ListLabel 1491"/>
    <w:qFormat/>
    <w:rPr>
      <w:rFonts w:cs="Wingdings"/>
    </w:rPr>
  </w:style>
  <w:style w:type="character" w:styleId="ListLabel1492">
    <w:name w:val="ListLabel 1492"/>
    <w:qFormat/>
    <w:rPr>
      <w:rFonts w:cs="Wingdings"/>
    </w:rPr>
  </w:style>
  <w:style w:type="character" w:styleId="ListLabel1493">
    <w:name w:val="ListLabel 1493"/>
    <w:qFormat/>
    <w:rPr>
      <w:rFonts w:cs="Courier New"/>
    </w:rPr>
  </w:style>
  <w:style w:type="character" w:styleId="ListLabel1494">
    <w:name w:val="ListLabel 1494"/>
    <w:qFormat/>
    <w:rPr>
      <w:rFonts w:cs="Wingdings"/>
    </w:rPr>
  </w:style>
  <w:style w:type="character" w:styleId="ListLabel1495">
    <w:name w:val="ListLabel 1495"/>
    <w:qFormat/>
    <w:rPr>
      <w:rFonts w:cs="Symbol"/>
    </w:rPr>
  </w:style>
  <w:style w:type="character" w:styleId="ListLabel1496">
    <w:name w:val="ListLabel 1496"/>
    <w:qFormat/>
    <w:rPr>
      <w:rFonts w:cs="Courier New"/>
    </w:rPr>
  </w:style>
  <w:style w:type="character" w:styleId="ListLabel1497">
    <w:name w:val="ListLabel 1497"/>
    <w:qFormat/>
    <w:rPr>
      <w:rFonts w:cs="Wingdings"/>
    </w:rPr>
  </w:style>
  <w:style w:type="character" w:styleId="ListLabel1498">
    <w:name w:val="ListLabel 1498"/>
    <w:qFormat/>
    <w:rPr>
      <w:rFonts w:cs="Symbol"/>
    </w:rPr>
  </w:style>
  <w:style w:type="character" w:styleId="ListLabel1499">
    <w:name w:val="ListLabel 1499"/>
    <w:qFormat/>
    <w:rPr>
      <w:rFonts w:cs="Courier New"/>
    </w:rPr>
  </w:style>
  <w:style w:type="character" w:styleId="ListLabel1500">
    <w:name w:val="ListLabel 1500"/>
    <w:qFormat/>
    <w:rPr>
      <w:rFonts w:cs="Wingdings"/>
    </w:rPr>
  </w:style>
  <w:style w:type="character" w:styleId="ListLabel1501">
    <w:name w:val="ListLabel 1501"/>
    <w:qFormat/>
    <w:rPr>
      <w:rFonts w:cs="Wingdings"/>
    </w:rPr>
  </w:style>
  <w:style w:type="character" w:styleId="ListLabel1502">
    <w:name w:val="ListLabel 1502"/>
    <w:qFormat/>
    <w:rPr>
      <w:rFonts w:cs="Courier New"/>
    </w:rPr>
  </w:style>
  <w:style w:type="character" w:styleId="ListLabel1503">
    <w:name w:val="ListLabel 1503"/>
    <w:qFormat/>
    <w:rPr>
      <w:rFonts w:cs="Wingdings"/>
    </w:rPr>
  </w:style>
  <w:style w:type="character" w:styleId="ListLabel1504">
    <w:name w:val="ListLabel 1504"/>
    <w:qFormat/>
    <w:rPr>
      <w:rFonts w:cs="Symbol"/>
    </w:rPr>
  </w:style>
  <w:style w:type="character" w:styleId="ListLabel1505">
    <w:name w:val="ListLabel 1505"/>
    <w:qFormat/>
    <w:rPr>
      <w:rFonts w:cs="Courier New"/>
    </w:rPr>
  </w:style>
  <w:style w:type="character" w:styleId="ListLabel1506">
    <w:name w:val="ListLabel 1506"/>
    <w:qFormat/>
    <w:rPr>
      <w:rFonts w:cs="Wingdings"/>
    </w:rPr>
  </w:style>
  <w:style w:type="character" w:styleId="ListLabel1507">
    <w:name w:val="ListLabel 1507"/>
    <w:qFormat/>
    <w:rPr>
      <w:rFonts w:cs="Symbol"/>
    </w:rPr>
  </w:style>
  <w:style w:type="character" w:styleId="ListLabel1508">
    <w:name w:val="ListLabel 1508"/>
    <w:qFormat/>
    <w:rPr>
      <w:rFonts w:cs="Courier New"/>
    </w:rPr>
  </w:style>
  <w:style w:type="character" w:styleId="ListLabel1509">
    <w:name w:val="ListLabel 1509"/>
    <w:qFormat/>
    <w:rPr>
      <w:rFonts w:cs="Wingdings"/>
    </w:rPr>
  </w:style>
  <w:style w:type="character" w:styleId="ListLabel1510">
    <w:name w:val="ListLabel 1510"/>
    <w:qFormat/>
    <w:rPr>
      <w:rFonts w:cs="Wingdings"/>
    </w:rPr>
  </w:style>
  <w:style w:type="character" w:styleId="ListLabel1511">
    <w:name w:val="ListLabel 1511"/>
    <w:qFormat/>
    <w:rPr>
      <w:rFonts w:cs="Courier New"/>
    </w:rPr>
  </w:style>
  <w:style w:type="character" w:styleId="ListLabel1512">
    <w:name w:val="ListLabel 1512"/>
    <w:qFormat/>
    <w:rPr>
      <w:rFonts w:cs="Wingdings"/>
    </w:rPr>
  </w:style>
  <w:style w:type="character" w:styleId="ListLabel1513">
    <w:name w:val="ListLabel 1513"/>
    <w:qFormat/>
    <w:rPr>
      <w:rFonts w:cs="Symbol"/>
    </w:rPr>
  </w:style>
  <w:style w:type="character" w:styleId="ListLabel1514">
    <w:name w:val="ListLabel 1514"/>
    <w:qFormat/>
    <w:rPr>
      <w:rFonts w:cs="Courier New"/>
    </w:rPr>
  </w:style>
  <w:style w:type="character" w:styleId="ListLabel1515">
    <w:name w:val="ListLabel 1515"/>
    <w:qFormat/>
    <w:rPr>
      <w:rFonts w:cs="Wingdings"/>
    </w:rPr>
  </w:style>
  <w:style w:type="character" w:styleId="ListLabel1516">
    <w:name w:val="ListLabel 1516"/>
    <w:qFormat/>
    <w:rPr>
      <w:rFonts w:cs="Symbol"/>
    </w:rPr>
  </w:style>
  <w:style w:type="character" w:styleId="ListLabel1517">
    <w:name w:val="ListLabel 1517"/>
    <w:qFormat/>
    <w:rPr>
      <w:rFonts w:cs="Courier New"/>
    </w:rPr>
  </w:style>
  <w:style w:type="character" w:styleId="ListLabel1518">
    <w:name w:val="ListLabel 1518"/>
    <w:qFormat/>
    <w:rPr>
      <w:rFonts w:cs="Wingdings"/>
    </w:rPr>
  </w:style>
  <w:style w:type="character" w:styleId="ListLabel1519">
    <w:name w:val="ListLabel 1519"/>
    <w:qFormat/>
    <w:rPr>
      <w:rFonts w:cs="Wingdings"/>
    </w:rPr>
  </w:style>
  <w:style w:type="character" w:styleId="ListLabel1520">
    <w:name w:val="ListLabel 1520"/>
    <w:qFormat/>
    <w:rPr>
      <w:rFonts w:cs="Courier New"/>
    </w:rPr>
  </w:style>
  <w:style w:type="character" w:styleId="ListLabel1521">
    <w:name w:val="ListLabel 1521"/>
    <w:qFormat/>
    <w:rPr>
      <w:rFonts w:cs="Wingdings"/>
    </w:rPr>
  </w:style>
  <w:style w:type="character" w:styleId="ListLabel1522">
    <w:name w:val="ListLabel 1522"/>
    <w:qFormat/>
    <w:rPr>
      <w:rFonts w:cs="Symbol"/>
    </w:rPr>
  </w:style>
  <w:style w:type="character" w:styleId="ListLabel1523">
    <w:name w:val="ListLabel 1523"/>
    <w:qFormat/>
    <w:rPr>
      <w:rFonts w:cs="Courier New"/>
    </w:rPr>
  </w:style>
  <w:style w:type="character" w:styleId="ListLabel1524">
    <w:name w:val="ListLabel 1524"/>
    <w:qFormat/>
    <w:rPr>
      <w:rFonts w:cs="Wingdings"/>
    </w:rPr>
  </w:style>
  <w:style w:type="character" w:styleId="ListLabel1525">
    <w:name w:val="ListLabel 1525"/>
    <w:qFormat/>
    <w:rPr>
      <w:rFonts w:cs="Symbol"/>
    </w:rPr>
  </w:style>
  <w:style w:type="character" w:styleId="ListLabel1526">
    <w:name w:val="ListLabel 1526"/>
    <w:qFormat/>
    <w:rPr>
      <w:rFonts w:cs="Courier New"/>
    </w:rPr>
  </w:style>
  <w:style w:type="character" w:styleId="ListLabel1527">
    <w:name w:val="ListLabel 1527"/>
    <w:qFormat/>
    <w:rPr>
      <w:rFonts w:cs="Wingdings"/>
    </w:rPr>
  </w:style>
  <w:style w:type="character" w:styleId="ListLabel1528">
    <w:name w:val="ListLabel 1528"/>
    <w:qFormat/>
    <w:rPr>
      <w:rFonts w:cs="Wingdings"/>
    </w:rPr>
  </w:style>
  <w:style w:type="character" w:styleId="ListLabel1529">
    <w:name w:val="ListLabel 1529"/>
    <w:qFormat/>
    <w:rPr>
      <w:rFonts w:cs="Courier New"/>
    </w:rPr>
  </w:style>
  <w:style w:type="character" w:styleId="ListLabel1530">
    <w:name w:val="ListLabel 1530"/>
    <w:qFormat/>
    <w:rPr>
      <w:rFonts w:cs="Wingdings"/>
    </w:rPr>
  </w:style>
  <w:style w:type="character" w:styleId="ListLabel1531">
    <w:name w:val="ListLabel 1531"/>
    <w:qFormat/>
    <w:rPr>
      <w:rFonts w:cs="Symbol"/>
    </w:rPr>
  </w:style>
  <w:style w:type="character" w:styleId="ListLabel1532">
    <w:name w:val="ListLabel 1532"/>
    <w:qFormat/>
    <w:rPr>
      <w:rFonts w:cs="Courier New"/>
    </w:rPr>
  </w:style>
  <w:style w:type="character" w:styleId="ListLabel1533">
    <w:name w:val="ListLabel 1533"/>
    <w:qFormat/>
    <w:rPr>
      <w:rFonts w:cs="Wingdings"/>
    </w:rPr>
  </w:style>
  <w:style w:type="character" w:styleId="ListLabel1534">
    <w:name w:val="ListLabel 1534"/>
    <w:qFormat/>
    <w:rPr>
      <w:rFonts w:cs="Symbol"/>
    </w:rPr>
  </w:style>
  <w:style w:type="character" w:styleId="ListLabel1535">
    <w:name w:val="ListLabel 1535"/>
    <w:qFormat/>
    <w:rPr>
      <w:rFonts w:cs="Courier New"/>
    </w:rPr>
  </w:style>
  <w:style w:type="character" w:styleId="ListLabel1536">
    <w:name w:val="ListLabel 1536"/>
    <w:qFormat/>
    <w:rPr>
      <w:rFonts w:cs="Wingdings"/>
    </w:rPr>
  </w:style>
  <w:style w:type="character" w:styleId="ListLabel1537">
    <w:name w:val="ListLabel 1537"/>
    <w:qFormat/>
    <w:rPr>
      <w:rFonts w:cs="Wingdings"/>
    </w:rPr>
  </w:style>
  <w:style w:type="character" w:styleId="ListLabel1538">
    <w:name w:val="ListLabel 1538"/>
    <w:qFormat/>
    <w:rPr>
      <w:rFonts w:cs="Wingdings"/>
    </w:rPr>
  </w:style>
  <w:style w:type="character" w:styleId="ListLabel1539">
    <w:name w:val="ListLabel 1539"/>
    <w:qFormat/>
    <w:rPr>
      <w:rFonts w:cs="Wingdings"/>
    </w:rPr>
  </w:style>
  <w:style w:type="character" w:styleId="ListLabel1540">
    <w:name w:val="ListLabel 1540"/>
    <w:qFormat/>
    <w:rPr>
      <w:rFonts w:cs="Wingdings"/>
    </w:rPr>
  </w:style>
  <w:style w:type="character" w:styleId="ListLabel1541">
    <w:name w:val="ListLabel 1541"/>
    <w:qFormat/>
    <w:rPr>
      <w:rFonts w:cs="Wingdings"/>
    </w:rPr>
  </w:style>
  <w:style w:type="character" w:styleId="ListLabel1542">
    <w:name w:val="ListLabel 1542"/>
    <w:qFormat/>
    <w:rPr>
      <w:rFonts w:cs="Wingdings"/>
      <w:sz w:val="22"/>
    </w:rPr>
  </w:style>
  <w:style w:type="character" w:styleId="ListLabel1543">
    <w:name w:val="ListLabel 1543"/>
    <w:qFormat/>
    <w:rPr>
      <w:rFonts w:cs="Wingdings"/>
    </w:rPr>
  </w:style>
  <w:style w:type="character" w:styleId="ListLabel1544">
    <w:name w:val="ListLabel 1544"/>
    <w:qFormat/>
    <w:rPr>
      <w:rFonts w:cs="Courier New"/>
    </w:rPr>
  </w:style>
  <w:style w:type="character" w:styleId="ListLabel1545">
    <w:name w:val="ListLabel 1545"/>
    <w:qFormat/>
    <w:rPr>
      <w:rFonts w:cs="Wingdings"/>
    </w:rPr>
  </w:style>
  <w:style w:type="character" w:styleId="ListLabel1546">
    <w:name w:val="ListLabel 1546"/>
    <w:qFormat/>
    <w:rPr>
      <w:rFonts w:cs="Symbol"/>
    </w:rPr>
  </w:style>
  <w:style w:type="character" w:styleId="ListLabel1547">
    <w:name w:val="ListLabel 1547"/>
    <w:qFormat/>
    <w:rPr>
      <w:rFonts w:cs="Courier New"/>
    </w:rPr>
  </w:style>
  <w:style w:type="character" w:styleId="ListLabel1548">
    <w:name w:val="ListLabel 1548"/>
    <w:qFormat/>
    <w:rPr>
      <w:rFonts w:cs="Wingdings"/>
    </w:rPr>
  </w:style>
  <w:style w:type="character" w:styleId="ListLabel1549">
    <w:name w:val="ListLabel 1549"/>
    <w:qFormat/>
    <w:rPr>
      <w:rFonts w:cs="Symbol"/>
    </w:rPr>
  </w:style>
  <w:style w:type="character" w:styleId="ListLabel1550">
    <w:name w:val="ListLabel 1550"/>
    <w:qFormat/>
    <w:rPr>
      <w:rFonts w:cs="Courier New"/>
    </w:rPr>
  </w:style>
  <w:style w:type="character" w:styleId="ListLabel1551">
    <w:name w:val="ListLabel 1551"/>
    <w:qFormat/>
    <w:rPr>
      <w:rFonts w:cs="Wingdings"/>
    </w:rPr>
  </w:style>
  <w:style w:type="character" w:styleId="ListLabel1552">
    <w:name w:val="ListLabel 1552"/>
    <w:qFormat/>
    <w:rPr>
      <w:rFonts w:cs="Wingdings"/>
    </w:rPr>
  </w:style>
  <w:style w:type="character" w:styleId="ListLabel1553">
    <w:name w:val="ListLabel 1553"/>
    <w:qFormat/>
    <w:rPr>
      <w:rFonts w:cs="Courier New"/>
    </w:rPr>
  </w:style>
  <w:style w:type="character" w:styleId="ListLabel1554">
    <w:name w:val="ListLabel 1554"/>
    <w:qFormat/>
    <w:rPr>
      <w:rFonts w:cs="Wingdings"/>
    </w:rPr>
  </w:style>
  <w:style w:type="character" w:styleId="ListLabel1555">
    <w:name w:val="ListLabel 1555"/>
    <w:qFormat/>
    <w:rPr>
      <w:rFonts w:cs="Symbol"/>
    </w:rPr>
  </w:style>
  <w:style w:type="character" w:styleId="ListLabel1556">
    <w:name w:val="ListLabel 1556"/>
    <w:qFormat/>
    <w:rPr>
      <w:rFonts w:cs="Courier New"/>
    </w:rPr>
  </w:style>
  <w:style w:type="character" w:styleId="ListLabel1557">
    <w:name w:val="ListLabel 1557"/>
    <w:qFormat/>
    <w:rPr>
      <w:rFonts w:cs="Wingdings"/>
    </w:rPr>
  </w:style>
  <w:style w:type="character" w:styleId="ListLabel1558">
    <w:name w:val="ListLabel 1558"/>
    <w:qFormat/>
    <w:rPr>
      <w:rFonts w:cs="Symbol"/>
    </w:rPr>
  </w:style>
  <w:style w:type="character" w:styleId="ListLabel1559">
    <w:name w:val="ListLabel 1559"/>
    <w:qFormat/>
    <w:rPr>
      <w:rFonts w:cs="Courier New"/>
    </w:rPr>
  </w:style>
  <w:style w:type="character" w:styleId="ListLabel1560">
    <w:name w:val="ListLabel 1560"/>
    <w:qFormat/>
    <w:rPr>
      <w:rFonts w:cs="Wingdings"/>
    </w:rPr>
  </w:style>
  <w:style w:type="character" w:styleId="ListLabel1561">
    <w:name w:val="ListLabel 1561"/>
    <w:qFormat/>
    <w:rPr>
      <w:rFonts w:cs="Wingdings"/>
    </w:rPr>
  </w:style>
  <w:style w:type="character" w:styleId="ListLabel1562">
    <w:name w:val="ListLabel 1562"/>
    <w:qFormat/>
    <w:rPr>
      <w:rFonts w:cs="Courier New"/>
    </w:rPr>
  </w:style>
  <w:style w:type="character" w:styleId="ListLabel1563">
    <w:name w:val="ListLabel 1563"/>
    <w:qFormat/>
    <w:rPr>
      <w:rFonts w:cs="Wingdings"/>
    </w:rPr>
  </w:style>
  <w:style w:type="character" w:styleId="ListLabel1564">
    <w:name w:val="ListLabel 1564"/>
    <w:qFormat/>
    <w:rPr>
      <w:rFonts w:cs="Symbol"/>
    </w:rPr>
  </w:style>
  <w:style w:type="character" w:styleId="ListLabel1565">
    <w:name w:val="ListLabel 1565"/>
    <w:qFormat/>
    <w:rPr>
      <w:rFonts w:cs="Courier New"/>
    </w:rPr>
  </w:style>
  <w:style w:type="character" w:styleId="ListLabel1566">
    <w:name w:val="ListLabel 1566"/>
    <w:qFormat/>
    <w:rPr>
      <w:rFonts w:cs="Wingdings"/>
    </w:rPr>
  </w:style>
  <w:style w:type="character" w:styleId="ListLabel1567">
    <w:name w:val="ListLabel 1567"/>
    <w:qFormat/>
    <w:rPr>
      <w:rFonts w:cs="Symbol"/>
    </w:rPr>
  </w:style>
  <w:style w:type="character" w:styleId="ListLabel1568">
    <w:name w:val="ListLabel 1568"/>
    <w:qFormat/>
    <w:rPr>
      <w:rFonts w:cs="Courier New"/>
    </w:rPr>
  </w:style>
  <w:style w:type="character" w:styleId="ListLabel1569">
    <w:name w:val="ListLabel 1569"/>
    <w:qFormat/>
    <w:rPr>
      <w:rFonts w:cs="Wingdings"/>
    </w:rPr>
  </w:style>
  <w:style w:type="character" w:styleId="ListLabel1570">
    <w:name w:val="ListLabel 1570"/>
    <w:qFormat/>
    <w:rPr>
      <w:rFonts w:cs="Wingdings"/>
    </w:rPr>
  </w:style>
  <w:style w:type="character" w:styleId="ListLabel1571">
    <w:name w:val="ListLabel 1571"/>
    <w:qFormat/>
    <w:rPr>
      <w:rFonts w:cs="Wingdings"/>
    </w:rPr>
  </w:style>
  <w:style w:type="character" w:styleId="ListLabel1572">
    <w:name w:val="ListLabel 1572"/>
    <w:qFormat/>
    <w:rPr>
      <w:rFonts w:cs="Wingdings"/>
    </w:rPr>
  </w:style>
  <w:style w:type="character" w:styleId="ListLabel1573">
    <w:name w:val="ListLabel 1573"/>
    <w:qFormat/>
    <w:rPr>
      <w:rFonts w:cs="Wingdings"/>
    </w:rPr>
  </w:style>
  <w:style w:type="character" w:styleId="ListLabel1574">
    <w:name w:val="ListLabel 1574"/>
    <w:qFormat/>
    <w:rPr>
      <w:rFonts w:cs="Wingdings"/>
    </w:rPr>
  </w:style>
  <w:style w:type="character" w:styleId="ListLabel1575">
    <w:name w:val="ListLabel 1575"/>
    <w:qFormat/>
    <w:rPr>
      <w:rFonts w:cs="Wingdings"/>
    </w:rPr>
  </w:style>
  <w:style w:type="character" w:styleId="ListLabel1576">
    <w:name w:val="ListLabel 1576"/>
    <w:qFormat/>
    <w:rPr>
      <w:rFonts w:cs="Courier New"/>
    </w:rPr>
  </w:style>
  <w:style w:type="character" w:styleId="ListLabel1577">
    <w:name w:val="ListLabel 1577"/>
    <w:qFormat/>
    <w:rPr>
      <w:rFonts w:cs="Wingdings"/>
    </w:rPr>
  </w:style>
  <w:style w:type="character" w:styleId="ListLabel1578">
    <w:name w:val="ListLabel 1578"/>
    <w:qFormat/>
    <w:rPr>
      <w:rFonts w:cs="Symbol"/>
    </w:rPr>
  </w:style>
  <w:style w:type="character" w:styleId="ListLabel1579">
    <w:name w:val="ListLabel 1579"/>
    <w:qFormat/>
    <w:rPr>
      <w:rFonts w:cs="Courier New"/>
    </w:rPr>
  </w:style>
  <w:style w:type="character" w:styleId="ListLabel1580">
    <w:name w:val="ListLabel 1580"/>
    <w:qFormat/>
    <w:rPr>
      <w:rFonts w:cs="Wingdings"/>
    </w:rPr>
  </w:style>
  <w:style w:type="character" w:styleId="ListLabel1581">
    <w:name w:val="ListLabel 1581"/>
    <w:qFormat/>
    <w:rPr>
      <w:rFonts w:cs="Symbol"/>
    </w:rPr>
  </w:style>
  <w:style w:type="character" w:styleId="ListLabel1582">
    <w:name w:val="ListLabel 1582"/>
    <w:qFormat/>
    <w:rPr>
      <w:rFonts w:cs="Courier New"/>
    </w:rPr>
  </w:style>
  <w:style w:type="character" w:styleId="ListLabel1583">
    <w:name w:val="ListLabel 1583"/>
    <w:qFormat/>
    <w:rPr>
      <w:rFonts w:cs="Wingdings"/>
    </w:rPr>
  </w:style>
  <w:style w:type="character" w:styleId="ListLabel1584">
    <w:name w:val="ListLabel 1584"/>
    <w:qFormat/>
    <w:rPr>
      <w:rFonts w:cs="Wingdings"/>
    </w:rPr>
  </w:style>
  <w:style w:type="character" w:styleId="ListLabel1585">
    <w:name w:val="ListLabel 1585"/>
    <w:qFormat/>
    <w:rPr>
      <w:rFonts w:cs="Courier New"/>
    </w:rPr>
  </w:style>
  <w:style w:type="character" w:styleId="ListLabel1586">
    <w:name w:val="ListLabel 1586"/>
    <w:qFormat/>
    <w:rPr>
      <w:rFonts w:cs="Wingdings"/>
    </w:rPr>
  </w:style>
  <w:style w:type="character" w:styleId="ListLabel1587">
    <w:name w:val="ListLabel 1587"/>
    <w:qFormat/>
    <w:rPr>
      <w:rFonts w:cs="Symbol"/>
    </w:rPr>
  </w:style>
  <w:style w:type="character" w:styleId="ListLabel1588">
    <w:name w:val="ListLabel 1588"/>
    <w:qFormat/>
    <w:rPr>
      <w:rFonts w:cs="Courier New"/>
    </w:rPr>
  </w:style>
  <w:style w:type="character" w:styleId="ListLabel1589">
    <w:name w:val="ListLabel 1589"/>
    <w:qFormat/>
    <w:rPr>
      <w:rFonts w:cs="Wingdings"/>
    </w:rPr>
  </w:style>
  <w:style w:type="character" w:styleId="ListLabel1590">
    <w:name w:val="ListLabel 1590"/>
    <w:qFormat/>
    <w:rPr>
      <w:rFonts w:cs="Symbol"/>
    </w:rPr>
  </w:style>
  <w:style w:type="character" w:styleId="ListLabel1591">
    <w:name w:val="ListLabel 1591"/>
    <w:qFormat/>
    <w:rPr>
      <w:rFonts w:cs="Courier New"/>
    </w:rPr>
  </w:style>
  <w:style w:type="character" w:styleId="ListLabel1592">
    <w:name w:val="ListLabel 1592"/>
    <w:qFormat/>
    <w:rPr>
      <w:rFonts w:cs="Wingdings"/>
    </w:rPr>
  </w:style>
  <w:style w:type="character" w:styleId="ListLabel1593">
    <w:name w:val="ListLabel 1593"/>
    <w:qFormat/>
    <w:rPr>
      <w:rFonts w:cs="Wingdings"/>
    </w:rPr>
  </w:style>
  <w:style w:type="character" w:styleId="ListLabel1594">
    <w:name w:val="ListLabel 1594"/>
    <w:qFormat/>
    <w:rPr>
      <w:rFonts w:cs="Wingdings"/>
    </w:rPr>
  </w:style>
  <w:style w:type="character" w:styleId="ListLabel1595">
    <w:name w:val="ListLabel 1595"/>
    <w:qFormat/>
    <w:rPr>
      <w:rFonts w:cs="Wingdings"/>
    </w:rPr>
  </w:style>
  <w:style w:type="character" w:styleId="ListLabel1596">
    <w:name w:val="ListLabel 1596"/>
    <w:qFormat/>
    <w:rPr>
      <w:rFonts w:cs="Wingdings"/>
    </w:rPr>
  </w:style>
  <w:style w:type="character" w:styleId="ListLabel1597">
    <w:name w:val="ListLabel 1597"/>
    <w:qFormat/>
    <w:rPr>
      <w:rFonts w:cs="Wingdings"/>
    </w:rPr>
  </w:style>
  <w:style w:type="character" w:styleId="ListLabel1598">
    <w:name w:val="ListLabel 1598"/>
    <w:qFormat/>
    <w:rPr>
      <w:rFonts w:cs="Courier New"/>
    </w:rPr>
  </w:style>
  <w:style w:type="character" w:styleId="ListLabel1599">
    <w:name w:val="ListLabel 1599"/>
    <w:qFormat/>
    <w:rPr>
      <w:rFonts w:cs="Wingdings"/>
    </w:rPr>
  </w:style>
  <w:style w:type="character" w:styleId="ListLabel1600">
    <w:name w:val="ListLabel 1600"/>
    <w:qFormat/>
    <w:rPr>
      <w:rFonts w:cs="Symbol"/>
    </w:rPr>
  </w:style>
  <w:style w:type="character" w:styleId="ListLabel1601">
    <w:name w:val="ListLabel 1601"/>
    <w:qFormat/>
    <w:rPr>
      <w:rFonts w:cs="Courier New"/>
    </w:rPr>
  </w:style>
  <w:style w:type="character" w:styleId="ListLabel1602">
    <w:name w:val="ListLabel 1602"/>
    <w:qFormat/>
    <w:rPr>
      <w:rFonts w:cs="Wingdings"/>
    </w:rPr>
  </w:style>
  <w:style w:type="character" w:styleId="ListLabel1603">
    <w:name w:val="ListLabel 1603"/>
    <w:qFormat/>
    <w:rPr>
      <w:rFonts w:cs="Symbol"/>
    </w:rPr>
  </w:style>
  <w:style w:type="character" w:styleId="ListLabel1604">
    <w:name w:val="ListLabel 1604"/>
    <w:qFormat/>
    <w:rPr>
      <w:rFonts w:cs="Courier New"/>
    </w:rPr>
  </w:style>
  <w:style w:type="character" w:styleId="ListLabel1605">
    <w:name w:val="ListLabel 1605"/>
    <w:qFormat/>
    <w:rPr>
      <w:rFonts w:cs="Wingdings"/>
    </w:rPr>
  </w:style>
  <w:style w:type="character" w:styleId="ListLabel1606">
    <w:name w:val="ListLabel 1606"/>
    <w:qFormat/>
    <w:rPr>
      <w:rFonts w:cs="Wingdings"/>
    </w:rPr>
  </w:style>
  <w:style w:type="character" w:styleId="ListLabel1607">
    <w:name w:val="ListLabel 1607"/>
    <w:qFormat/>
    <w:rPr>
      <w:rFonts w:cs="Wingdings"/>
    </w:rPr>
  </w:style>
  <w:style w:type="character" w:styleId="ListLabel1608">
    <w:name w:val="ListLabel 1608"/>
    <w:qFormat/>
    <w:rPr>
      <w:rFonts w:cs="Courier New"/>
    </w:rPr>
  </w:style>
  <w:style w:type="character" w:styleId="ListLabel1609">
    <w:name w:val="ListLabel 1609"/>
    <w:qFormat/>
    <w:rPr>
      <w:rFonts w:cs="Wingdings"/>
    </w:rPr>
  </w:style>
  <w:style w:type="character" w:styleId="ListLabel1610">
    <w:name w:val="ListLabel 1610"/>
    <w:qFormat/>
    <w:rPr>
      <w:rFonts w:cs="Symbol"/>
    </w:rPr>
  </w:style>
  <w:style w:type="character" w:styleId="ListLabel1611">
    <w:name w:val="ListLabel 1611"/>
    <w:qFormat/>
    <w:rPr>
      <w:rFonts w:cs="Courier New"/>
    </w:rPr>
  </w:style>
  <w:style w:type="character" w:styleId="ListLabel1612">
    <w:name w:val="ListLabel 1612"/>
    <w:qFormat/>
    <w:rPr>
      <w:rFonts w:cs="Wingdings"/>
    </w:rPr>
  </w:style>
  <w:style w:type="character" w:styleId="ListLabel1613">
    <w:name w:val="ListLabel 1613"/>
    <w:qFormat/>
    <w:rPr>
      <w:rFonts w:cs="Symbol"/>
    </w:rPr>
  </w:style>
  <w:style w:type="character" w:styleId="ListLabel1614">
    <w:name w:val="ListLabel 1614"/>
    <w:qFormat/>
    <w:rPr>
      <w:rFonts w:cs="Courier New"/>
    </w:rPr>
  </w:style>
  <w:style w:type="character" w:styleId="ListLabel1615">
    <w:name w:val="ListLabel 1615"/>
    <w:qFormat/>
    <w:rPr>
      <w:rFonts w:cs="Wingdings"/>
    </w:rPr>
  </w:style>
  <w:style w:type="character" w:styleId="ListLabel1616">
    <w:name w:val="ListLabel 1616"/>
    <w:qFormat/>
    <w:rPr>
      <w:rFonts w:cs="Wingdings"/>
    </w:rPr>
  </w:style>
  <w:style w:type="character" w:styleId="ListLabel1617">
    <w:name w:val="ListLabel 1617"/>
    <w:qFormat/>
    <w:rPr>
      <w:rFonts w:cs="Courier New"/>
    </w:rPr>
  </w:style>
  <w:style w:type="character" w:styleId="ListLabel1618">
    <w:name w:val="ListLabel 1618"/>
    <w:qFormat/>
    <w:rPr>
      <w:rFonts w:cs="Wingdings"/>
    </w:rPr>
  </w:style>
  <w:style w:type="character" w:styleId="ListLabel1619">
    <w:name w:val="ListLabel 1619"/>
    <w:qFormat/>
    <w:rPr>
      <w:rFonts w:cs="Symbol"/>
    </w:rPr>
  </w:style>
  <w:style w:type="character" w:styleId="ListLabel1620">
    <w:name w:val="ListLabel 1620"/>
    <w:qFormat/>
    <w:rPr>
      <w:rFonts w:cs="Courier New"/>
    </w:rPr>
  </w:style>
  <w:style w:type="character" w:styleId="ListLabel1621">
    <w:name w:val="ListLabel 1621"/>
    <w:qFormat/>
    <w:rPr>
      <w:rFonts w:cs="Wingdings"/>
    </w:rPr>
  </w:style>
  <w:style w:type="character" w:styleId="ListLabel1622">
    <w:name w:val="ListLabel 1622"/>
    <w:qFormat/>
    <w:rPr>
      <w:rFonts w:cs="Symbol"/>
    </w:rPr>
  </w:style>
  <w:style w:type="character" w:styleId="ListLabel1623">
    <w:name w:val="ListLabel 1623"/>
    <w:qFormat/>
    <w:rPr>
      <w:rFonts w:cs="Courier New"/>
    </w:rPr>
  </w:style>
  <w:style w:type="character" w:styleId="ListLabel1624">
    <w:name w:val="ListLabel 1624"/>
    <w:qFormat/>
    <w:rPr>
      <w:rFonts w:cs="Wingdings"/>
    </w:rPr>
  </w:style>
  <w:style w:type="character" w:styleId="ListLabel1625">
    <w:name w:val="ListLabel 1625"/>
    <w:qFormat/>
    <w:rPr>
      <w:rFonts w:cs="Wingdings"/>
    </w:rPr>
  </w:style>
  <w:style w:type="character" w:styleId="ListLabel1626">
    <w:name w:val="ListLabel 1626"/>
    <w:qFormat/>
    <w:rPr>
      <w:rFonts w:cs="Wingdings"/>
    </w:rPr>
  </w:style>
  <w:style w:type="character" w:styleId="ListLabel1627">
    <w:name w:val="ListLabel 1627"/>
    <w:qFormat/>
    <w:rPr>
      <w:rFonts w:cs="Courier New"/>
    </w:rPr>
  </w:style>
  <w:style w:type="character" w:styleId="ListLabel1628">
    <w:name w:val="ListLabel 1628"/>
    <w:qFormat/>
    <w:rPr>
      <w:rFonts w:cs="Wingdings"/>
    </w:rPr>
  </w:style>
  <w:style w:type="character" w:styleId="ListLabel1629">
    <w:name w:val="ListLabel 1629"/>
    <w:qFormat/>
    <w:rPr>
      <w:rFonts w:cs="Symbol"/>
    </w:rPr>
  </w:style>
  <w:style w:type="character" w:styleId="ListLabel1630">
    <w:name w:val="ListLabel 1630"/>
    <w:qFormat/>
    <w:rPr>
      <w:rFonts w:cs="Courier New"/>
    </w:rPr>
  </w:style>
  <w:style w:type="character" w:styleId="ListLabel1631">
    <w:name w:val="ListLabel 1631"/>
    <w:qFormat/>
    <w:rPr>
      <w:rFonts w:cs="Wingdings"/>
    </w:rPr>
  </w:style>
  <w:style w:type="character" w:styleId="ListLabel1632">
    <w:name w:val="ListLabel 1632"/>
    <w:qFormat/>
    <w:rPr>
      <w:rFonts w:cs="Symbol"/>
    </w:rPr>
  </w:style>
  <w:style w:type="character" w:styleId="ListLabel1633">
    <w:name w:val="ListLabel 1633"/>
    <w:qFormat/>
    <w:rPr>
      <w:rFonts w:cs="Courier New"/>
    </w:rPr>
  </w:style>
  <w:style w:type="character" w:styleId="ListLabel1634">
    <w:name w:val="ListLabel 1634"/>
    <w:qFormat/>
    <w:rPr>
      <w:rFonts w:cs="Wingdings"/>
    </w:rPr>
  </w:style>
  <w:style w:type="character" w:styleId="ListLabel1635">
    <w:name w:val="ListLabel 1635"/>
    <w:qFormat/>
    <w:rPr>
      <w:rFonts w:cs="Wingdings"/>
    </w:rPr>
  </w:style>
  <w:style w:type="character" w:styleId="ListLabel1636">
    <w:name w:val="ListLabel 1636"/>
    <w:qFormat/>
    <w:rPr>
      <w:rFonts w:cs="Courier New"/>
    </w:rPr>
  </w:style>
  <w:style w:type="character" w:styleId="ListLabel1637">
    <w:name w:val="ListLabel 1637"/>
    <w:qFormat/>
    <w:rPr>
      <w:rFonts w:cs="Wingdings"/>
    </w:rPr>
  </w:style>
  <w:style w:type="character" w:styleId="ListLabel1638">
    <w:name w:val="ListLabel 1638"/>
    <w:qFormat/>
    <w:rPr>
      <w:rFonts w:cs="Symbol"/>
    </w:rPr>
  </w:style>
  <w:style w:type="character" w:styleId="ListLabel1639">
    <w:name w:val="ListLabel 1639"/>
    <w:qFormat/>
    <w:rPr>
      <w:rFonts w:cs="Courier New"/>
    </w:rPr>
  </w:style>
  <w:style w:type="character" w:styleId="ListLabel1640">
    <w:name w:val="ListLabel 1640"/>
    <w:qFormat/>
    <w:rPr>
      <w:rFonts w:cs="Wingdings"/>
    </w:rPr>
  </w:style>
  <w:style w:type="character" w:styleId="ListLabel1641">
    <w:name w:val="ListLabel 1641"/>
    <w:qFormat/>
    <w:rPr>
      <w:rFonts w:cs="Symbol"/>
    </w:rPr>
  </w:style>
  <w:style w:type="character" w:styleId="ListLabel1642">
    <w:name w:val="ListLabel 1642"/>
    <w:qFormat/>
    <w:rPr>
      <w:rFonts w:cs="Courier New"/>
    </w:rPr>
  </w:style>
  <w:style w:type="character" w:styleId="ListLabel1643">
    <w:name w:val="ListLabel 1643"/>
    <w:qFormat/>
    <w:rPr>
      <w:rFonts w:cs="Wingdings"/>
    </w:rPr>
  </w:style>
  <w:style w:type="character" w:styleId="ListLabel1644">
    <w:name w:val="ListLabel 1644"/>
    <w:qFormat/>
    <w:rPr>
      <w:rFonts w:cs="Wingdings"/>
    </w:rPr>
  </w:style>
  <w:style w:type="character" w:styleId="ListLabel1645">
    <w:name w:val="ListLabel 1645"/>
    <w:qFormat/>
    <w:rPr>
      <w:rFonts w:cs="Courier New"/>
    </w:rPr>
  </w:style>
  <w:style w:type="character" w:styleId="ListLabel1646">
    <w:name w:val="ListLabel 1646"/>
    <w:qFormat/>
    <w:rPr>
      <w:rFonts w:cs="Wingdings"/>
    </w:rPr>
  </w:style>
  <w:style w:type="character" w:styleId="ListLabel1647">
    <w:name w:val="ListLabel 1647"/>
    <w:qFormat/>
    <w:rPr>
      <w:rFonts w:cs="Symbol"/>
    </w:rPr>
  </w:style>
  <w:style w:type="character" w:styleId="ListLabel1648">
    <w:name w:val="ListLabel 1648"/>
    <w:qFormat/>
    <w:rPr>
      <w:rFonts w:cs="Courier New"/>
    </w:rPr>
  </w:style>
  <w:style w:type="character" w:styleId="ListLabel1649">
    <w:name w:val="ListLabel 1649"/>
    <w:qFormat/>
    <w:rPr>
      <w:rFonts w:cs="Wingdings"/>
    </w:rPr>
  </w:style>
  <w:style w:type="character" w:styleId="ListLabel1650">
    <w:name w:val="ListLabel 1650"/>
    <w:qFormat/>
    <w:rPr>
      <w:rFonts w:cs="Symbol"/>
    </w:rPr>
  </w:style>
  <w:style w:type="character" w:styleId="ListLabel1651">
    <w:name w:val="ListLabel 1651"/>
    <w:qFormat/>
    <w:rPr>
      <w:rFonts w:cs="Courier New"/>
    </w:rPr>
  </w:style>
  <w:style w:type="character" w:styleId="ListLabel1652">
    <w:name w:val="ListLabel 1652"/>
    <w:qFormat/>
    <w:rPr>
      <w:rFonts w:cs="Wingdings"/>
    </w:rPr>
  </w:style>
  <w:style w:type="character" w:styleId="ListLabel1653">
    <w:name w:val="ListLabel 1653"/>
    <w:qFormat/>
    <w:rPr>
      <w:rFonts w:cs="Wingdings"/>
    </w:rPr>
  </w:style>
  <w:style w:type="character" w:styleId="ListLabel1654">
    <w:name w:val="ListLabel 1654"/>
    <w:qFormat/>
    <w:rPr>
      <w:rFonts w:cs="Courier New"/>
    </w:rPr>
  </w:style>
  <w:style w:type="character" w:styleId="ListLabel1655">
    <w:name w:val="ListLabel 1655"/>
    <w:qFormat/>
    <w:rPr>
      <w:rFonts w:cs="Wingdings"/>
    </w:rPr>
  </w:style>
  <w:style w:type="character" w:styleId="ListLabel1656">
    <w:name w:val="ListLabel 1656"/>
    <w:qFormat/>
    <w:rPr>
      <w:rFonts w:cs="Symbol"/>
    </w:rPr>
  </w:style>
  <w:style w:type="character" w:styleId="ListLabel1657">
    <w:name w:val="ListLabel 1657"/>
    <w:qFormat/>
    <w:rPr>
      <w:rFonts w:cs="Courier New"/>
    </w:rPr>
  </w:style>
  <w:style w:type="character" w:styleId="ListLabel1658">
    <w:name w:val="ListLabel 1658"/>
    <w:qFormat/>
    <w:rPr>
      <w:rFonts w:cs="Wingdings"/>
    </w:rPr>
  </w:style>
  <w:style w:type="character" w:styleId="ListLabel1659">
    <w:name w:val="ListLabel 1659"/>
    <w:qFormat/>
    <w:rPr>
      <w:rFonts w:cs="Symbol"/>
    </w:rPr>
  </w:style>
  <w:style w:type="character" w:styleId="ListLabel1660">
    <w:name w:val="ListLabel 1660"/>
    <w:qFormat/>
    <w:rPr>
      <w:rFonts w:cs="Courier New"/>
    </w:rPr>
  </w:style>
  <w:style w:type="character" w:styleId="ListLabel1661">
    <w:name w:val="ListLabel 1661"/>
    <w:qFormat/>
    <w:rPr>
      <w:rFonts w:cs="Wingdings"/>
    </w:rPr>
  </w:style>
  <w:style w:type="character" w:styleId="ListLabel1662">
    <w:name w:val="ListLabel 1662"/>
    <w:qFormat/>
    <w:rPr>
      <w:rFonts w:cs="Wingdings"/>
    </w:rPr>
  </w:style>
  <w:style w:type="character" w:styleId="ListLabel1663">
    <w:name w:val="ListLabel 1663"/>
    <w:qFormat/>
    <w:rPr>
      <w:rFonts w:cs="Courier New"/>
    </w:rPr>
  </w:style>
  <w:style w:type="character" w:styleId="ListLabel1664">
    <w:name w:val="ListLabel 1664"/>
    <w:qFormat/>
    <w:rPr>
      <w:rFonts w:cs="Wingdings"/>
    </w:rPr>
  </w:style>
  <w:style w:type="character" w:styleId="ListLabel1665">
    <w:name w:val="ListLabel 1665"/>
    <w:qFormat/>
    <w:rPr>
      <w:rFonts w:cs="Symbol"/>
    </w:rPr>
  </w:style>
  <w:style w:type="character" w:styleId="ListLabel1666">
    <w:name w:val="ListLabel 1666"/>
    <w:qFormat/>
    <w:rPr>
      <w:rFonts w:cs="Courier New"/>
    </w:rPr>
  </w:style>
  <w:style w:type="character" w:styleId="ListLabel1667">
    <w:name w:val="ListLabel 1667"/>
    <w:qFormat/>
    <w:rPr>
      <w:rFonts w:cs="Wingdings"/>
    </w:rPr>
  </w:style>
  <w:style w:type="character" w:styleId="ListLabel1668">
    <w:name w:val="ListLabel 1668"/>
    <w:qFormat/>
    <w:rPr>
      <w:rFonts w:cs="Symbol"/>
    </w:rPr>
  </w:style>
  <w:style w:type="character" w:styleId="ListLabel1669">
    <w:name w:val="ListLabel 1669"/>
    <w:qFormat/>
    <w:rPr>
      <w:rFonts w:cs="Courier New"/>
    </w:rPr>
  </w:style>
  <w:style w:type="character" w:styleId="ListLabel1670">
    <w:name w:val="ListLabel 1670"/>
    <w:qFormat/>
    <w:rPr>
      <w:rFonts w:cs="Wingdings"/>
    </w:rPr>
  </w:style>
  <w:style w:type="character" w:styleId="ListLabel1671">
    <w:name w:val="ListLabel 1671"/>
    <w:qFormat/>
    <w:rPr>
      <w:rFonts w:cs="Wingdings"/>
    </w:rPr>
  </w:style>
  <w:style w:type="character" w:styleId="ListLabel1672">
    <w:name w:val="ListLabel 1672"/>
    <w:qFormat/>
    <w:rPr>
      <w:rFonts w:cs="Courier New"/>
    </w:rPr>
  </w:style>
  <w:style w:type="character" w:styleId="ListLabel1673">
    <w:name w:val="ListLabel 1673"/>
    <w:qFormat/>
    <w:rPr>
      <w:rFonts w:cs="Wingdings"/>
    </w:rPr>
  </w:style>
  <w:style w:type="character" w:styleId="ListLabel1674">
    <w:name w:val="ListLabel 1674"/>
    <w:qFormat/>
    <w:rPr>
      <w:rFonts w:cs="Symbol"/>
    </w:rPr>
  </w:style>
  <w:style w:type="character" w:styleId="ListLabel1675">
    <w:name w:val="ListLabel 1675"/>
    <w:qFormat/>
    <w:rPr>
      <w:rFonts w:cs="Courier New"/>
    </w:rPr>
  </w:style>
  <w:style w:type="character" w:styleId="ListLabel1676">
    <w:name w:val="ListLabel 1676"/>
    <w:qFormat/>
    <w:rPr>
      <w:rFonts w:cs="Wingdings"/>
    </w:rPr>
  </w:style>
  <w:style w:type="character" w:styleId="ListLabel1677">
    <w:name w:val="ListLabel 1677"/>
    <w:qFormat/>
    <w:rPr>
      <w:rFonts w:cs="Symbol"/>
    </w:rPr>
  </w:style>
  <w:style w:type="character" w:styleId="ListLabel1678">
    <w:name w:val="ListLabel 1678"/>
    <w:qFormat/>
    <w:rPr>
      <w:rFonts w:cs="Courier New"/>
    </w:rPr>
  </w:style>
  <w:style w:type="character" w:styleId="ListLabel1679">
    <w:name w:val="ListLabel 1679"/>
    <w:qFormat/>
    <w:rPr>
      <w:rFonts w:cs="Wingdings"/>
    </w:rPr>
  </w:style>
  <w:style w:type="character" w:styleId="ListLabel1680">
    <w:name w:val="ListLabel 1680"/>
    <w:qFormat/>
    <w:rPr>
      <w:rFonts w:cs="Wingdings"/>
    </w:rPr>
  </w:style>
  <w:style w:type="character" w:styleId="ListLabel1681">
    <w:name w:val="ListLabel 1681"/>
    <w:qFormat/>
    <w:rPr>
      <w:rFonts w:cs="Courier New"/>
    </w:rPr>
  </w:style>
  <w:style w:type="character" w:styleId="ListLabel1682">
    <w:name w:val="ListLabel 1682"/>
    <w:qFormat/>
    <w:rPr>
      <w:rFonts w:cs="Wingdings"/>
    </w:rPr>
  </w:style>
  <w:style w:type="character" w:styleId="ListLabel1683">
    <w:name w:val="ListLabel 1683"/>
    <w:qFormat/>
    <w:rPr>
      <w:rFonts w:cs="Symbol"/>
    </w:rPr>
  </w:style>
  <w:style w:type="character" w:styleId="ListLabel1684">
    <w:name w:val="ListLabel 1684"/>
    <w:qFormat/>
    <w:rPr>
      <w:rFonts w:cs="Courier New"/>
    </w:rPr>
  </w:style>
  <w:style w:type="character" w:styleId="ListLabel1685">
    <w:name w:val="ListLabel 1685"/>
    <w:qFormat/>
    <w:rPr>
      <w:rFonts w:cs="Wingdings"/>
    </w:rPr>
  </w:style>
  <w:style w:type="character" w:styleId="ListLabel1686">
    <w:name w:val="ListLabel 1686"/>
    <w:qFormat/>
    <w:rPr>
      <w:rFonts w:cs="Symbol"/>
    </w:rPr>
  </w:style>
  <w:style w:type="character" w:styleId="ListLabel1687">
    <w:name w:val="ListLabel 1687"/>
    <w:qFormat/>
    <w:rPr>
      <w:rFonts w:cs="Courier New"/>
    </w:rPr>
  </w:style>
  <w:style w:type="character" w:styleId="ListLabel1688">
    <w:name w:val="ListLabel 1688"/>
    <w:qFormat/>
    <w:rPr>
      <w:rFonts w:cs="Wingdings"/>
    </w:rPr>
  </w:style>
  <w:style w:type="character" w:styleId="ListLabel1689">
    <w:name w:val="ListLabel 1689"/>
    <w:qFormat/>
    <w:rPr>
      <w:rFonts w:cs="Wingdings"/>
    </w:rPr>
  </w:style>
  <w:style w:type="character" w:styleId="ListLabel1690">
    <w:name w:val="ListLabel 1690"/>
    <w:qFormat/>
    <w:rPr>
      <w:rFonts w:cs="Courier New"/>
    </w:rPr>
  </w:style>
  <w:style w:type="character" w:styleId="ListLabel1691">
    <w:name w:val="ListLabel 1691"/>
    <w:qFormat/>
    <w:rPr>
      <w:rFonts w:cs="Wingdings"/>
    </w:rPr>
  </w:style>
  <w:style w:type="character" w:styleId="ListLabel1692">
    <w:name w:val="ListLabel 1692"/>
    <w:qFormat/>
    <w:rPr>
      <w:rFonts w:cs="Symbol"/>
    </w:rPr>
  </w:style>
  <w:style w:type="character" w:styleId="ListLabel1693">
    <w:name w:val="ListLabel 1693"/>
    <w:qFormat/>
    <w:rPr>
      <w:rFonts w:cs="Courier New"/>
    </w:rPr>
  </w:style>
  <w:style w:type="character" w:styleId="ListLabel1694">
    <w:name w:val="ListLabel 1694"/>
    <w:qFormat/>
    <w:rPr>
      <w:rFonts w:cs="Wingdings"/>
    </w:rPr>
  </w:style>
  <w:style w:type="character" w:styleId="ListLabel1695">
    <w:name w:val="ListLabel 1695"/>
    <w:qFormat/>
    <w:rPr>
      <w:rFonts w:cs="Symbol"/>
    </w:rPr>
  </w:style>
  <w:style w:type="character" w:styleId="ListLabel1696">
    <w:name w:val="ListLabel 1696"/>
    <w:qFormat/>
    <w:rPr>
      <w:rFonts w:cs="Courier New"/>
    </w:rPr>
  </w:style>
  <w:style w:type="character" w:styleId="ListLabel1697">
    <w:name w:val="ListLabel 1697"/>
    <w:qFormat/>
    <w:rPr>
      <w:rFonts w:cs="Wingdings"/>
    </w:rPr>
  </w:style>
  <w:style w:type="character" w:styleId="ListLabel1698">
    <w:name w:val="ListLabel 1698"/>
    <w:qFormat/>
    <w:rPr>
      <w:rFonts w:cs="Wingdings"/>
    </w:rPr>
  </w:style>
  <w:style w:type="character" w:styleId="ListLabel1699">
    <w:name w:val="ListLabel 1699"/>
    <w:qFormat/>
    <w:rPr>
      <w:rFonts w:cs="Wingdings"/>
    </w:rPr>
  </w:style>
  <w:style w:type="character" w:styleId="ListLabel1700">
    <w:name w:val="ListLabel 1700"/>
    <w:qFormat/>
    <w:rPr>
      <w:rFonts w:cs="Courier New"/>
    </w:rPr>
  </w:style>
  <w:style w:type="character" w:styleId="ListLabel1701">
    <w:name w:val="ListLabel 1701"/>
    <w:qFormat/>
    <w:rPr>
      <w:rFonts w:cs="Wingdings"/>
    </w:rPr>
  </w:style>
  <w:style w:type="character" w:styleId="ListLabel1702">
    <w:name w:val="ListLabel 1702"/>
    <w:qFormat/>
    <w:rPr>
      <w:rFonts w:cs="Symbol"/>
    </w:rPr>
  </w:style>
  <w:style w:type="character" w:styleId="ListLabel1703">
    <w:name w:val="ListLabel 1703"/>
    <w:qFormat/>
    <w:rPr>
      <w:rFonts w:cs="Courier New"/>
    </w:rPr>
  </w:style>
  <w:style w:type="character" w:styleId="ListLabel1704">
    <w:name w:val="ListLabel 1704"/>
    <w:qFormat/>
    <w:rPr>
      <w:rFonts w:cs="Wingdings"/>
    </w:rPr>
  </w:style>
  <w:style w:type="character" w:styleId="ListLabel1705">
    <w:name w:val="ListLabel 1705"/>
    <w:qFormat/>
    <w:rPr>
      <w:rFonts w:cs="Symbol"/>
    </w:rPr>
  </w:style>
  <w:style w:type="character" w:styleId="ListLabel1706">
    <w:name w:val="ListLabel 1706"/>
    <w:qFormat/>
    <w:rPr>
      <w:rFonts w:cs="Courier New"/>
    </w:rPr>
  </w:style>
  <w:style w:type="character" w:styleId="ListLabel1707">
    <w:name w:val="ListLabel 1707"/>
    <w:qFormat/>
    <w:rPr>
      <w:rFonts w:cs="Wingdings"/>
    </w:rPr>
  </w:style>
  <w:style w:type="character" w:styleId="ListLabel1708">
    <w:name w:val="ListLabel 1708"/>
    <w:qFormat/>
    <w:rPr>
      <w:rFonts w:cs="Wingdings"/>
    </w:rPr>
  </w:style>
  <w:style w:type="character" w:styleId="ListLabel1709">
    <w:name w:val="ListLabel 1709"/>
    <w:qFormat/>
    <w:rPr>
      <w:rFonts w:cs="Courier New"/>
    </w:rPr>
  </w:style>
  <w:style w:type="character" w:styleId="ListLabel1710">
    <w:name w:val="ListLabel 1710"/>
    <w:qFormat/>
    <w:rPr>
      <w:rFonts w:cs="Wingdings"/>
    </w:rPr>
  </w:style>
  <w:style w:type="character" w:styleId="ListLabel1711">
    <w:name w:val="ListLabel 1711"/>
    <w:qFormat/>
    <w:rPr>
      <w:rFonts w:cs="Symbol"/>
    </w:rPr>
  </w:style>
  <w:style w:type="character" w:styleId="ListLabel1712">
    <w:name w:val="ListLabel 1712"/>
    <w:qFormat/>
    <w:rPr>
      <w:rFonts w:cs="Courier New"/>
    </w:rPr>
  </w:style>
  <w:style w:type="character" w:styleId="ListLabel1713">
    <w:name w:val="ListLabel 1713"/>
    <w:qFormat/>
    <w:rPr>
      <w:rFonts w:cs="Wingdings"/>
    </w:rPr>
  </w:style>
  <w:style w:type="character" w:styleId="ListLabel1714">
    <w:name w:val="ListLabel 1714"/>
    <w:qFormat/>
    <w:rPr>
      <w:rFonts w:cs="Symbol"/>
    </w:rPr>
  </w:style>
  <w:style w:type="character" w:styleId="ListLabel1715">
    <w:name w:val="ListLabel 1715"/>
    <w:qFormat/>
    <w:rPr>
      <w:rFonts w:cs="Courier New"/>
    </w:rPr>
  </w:style>
  <w:style w:type="character" w:styleId="ListLabel1716">
    <w:name w:val="ListLabel 1716"/>
    <w:qFormat/>
    <w:rPr>
      <w:rFonts w:cs="Wingdings"/>
    </w:rPr>
  </w:style>
  <w:style w:type="character" w:styleId="ListLabel1717">
    <w:name w:val="ListLabel 1717"/>
    <w:qFormat/>
    <w:rPr>
      <w:rFonts w:cs="Wingdings"/>
    </w:rPr>
  </w:style>
  <w:style w:type="character" w:styleId="ListLabel1718">
    <w:name w:val="ListLabel 1718"/>
    <w:qFormat/>
    <w:rPr>
      <w:rFonts w:cs="Wingdings"/>
    </w:rPr>
  </w:style>
  <w:style w:type="character" w:styleId="ListLabel1719">
    <w:name w:val="ListLabel 1719"/>
    <w:qFormat/>
    <w:rPr>
      <w:rFonts w:cs="Courier New"/>
    </w:rPr>
  </w:style>
  <w:style w:type="character" w:styleId="ListLabel1720">
    <w:name w:val="ListLabel 1720"/>
    <w:qFormat/>
    <w:rPr>
      <w:rFonts w:cs="Wingdings"/>
    </w:rPr>
  </w:style>
  <w:style w:type="character" w:styleId="ListLabel1721">
    <w:name w:val="ListLabel 1721"/>
    <w:qFormat/>
    <w:rPr>
      <w:rFonts w:cs="Symbol"/>
    </w:rPr>
  </w:style>
  <w:style w:type="character" w:styleId="ListLabel1722">
    <w:name w:val="ListLabel 1722"/>
    <w:qFormat/>
    <w:rPr>
      <w:rFonts w:cs="Courier New"/>
    </w:rPr>
  </w:style>
  <w:style w:type="character" w:styleId="ListLabel1723">
    <w:name w:val="ListLabel 1723"/>
    <w:qFormat/>
    <w:rPr>
      <w:rFonts w:cs="Wingdings"/>
    </w:rPr>
  </w:style>
  <w:style w:type="character" w:styleId="ListLabel1724">
    <w:name w:val="ListLabel 1724"/>
    <w:qFormat/>
    <w:rPr>
      <w:rFonts w:cs="Symbol"/>
    </w:rPr>
  </w:style>
  <w:style w:type="character" w:styleId="ListLabel1725">
    <w:name w:val="ListLabel 1725"/>
    <w:qFormat/>
    <w:rPr>
      <w:rFonts w:cs="Courier New"/>
    </w:rPr>
  </w:style>
  <w:style w:type="character" w:styleId="ListLabel1726">
    <w:name w:val="ListLabel 1726"/>
    <w:qFormat/>
    <w:rPr>
      <w:rFonts w:cs="Wingdings"/>
    </w:rPr>
  </w:style>
  <w:style w:type="character" w:styleId="ListLabel1727">
    <w:name w:val="ListLabel 1727"/>
    <w:qFormat/>
    <w:rPr>
      <w:rFonts w:cs="Wingdings"/>
    </w:rPr>
  </w:style>
  <w:style w:type="character" w:styleId="ListLabel1728">
    <w:name w:val="ListLabel 1728"/>
    <w:qFormat/>
    <w:rPr>
      <w:rFonts w:cs="Courier New"/>
    </w:rPr>
  </w:style>
  <w:style w:type="character" w:styleId="ListLabel1729">
    <w:name w:val="ListLabel 1729"/>
    <w:qFormat/>
    <w:rPr>
      <w:rFonts w:cs="Wingdings"/>
    </w:rPr>
  </w:style>
  <w:style w:type="character" w:styleId="ListLabel1730">
    <w:name w:val="ListLabel 1730"/>
    <w:qFormat/>
    <w:rPr>
      <w:rFonts w:cs="Symbol"/>
    </w:rPr>
  </w:style>
  <w:style w:type="character" w:styleId="ListLabel1731">
    <w:name w:val="ListLabel 1731"/>
    <w:qFormat/>
    <w:rPr>
      <w:rFonts w:cs="Courier New"/>
    </w:rPr>
  </w:style>
  <w:style w:type="character" w:styleId="ListLabel1732">
    <w:name w:val="ListLabel 1732"/>
    <w:qFormat/>
    <w:rPr>
      <w:rFonts w:cs="Wingdings"/>
    </w:rPr>
  </w:style>
  <w:style w:type="character" w:styleId="ListLabel1733">
    <w:name w:val="ListLabel 1733"/>
    <w:qFormat/>
    <w:rPr>
      <w:rFonts w:cs="Symbol"/>
    </w:rPr>
  </w:style>
  <w:style w:type="character" w:styleId="ListLabel1734">
    <w:name w:val="ListLabel 1734"/>
    <w:qFormat/>
    <w:rPr>
      <w:rFonts w:cs="Courier New"/>
    </w:rPr>
  </w:style>
  <w:style w:type="character" w:styleId="ListLabel1735">
    <w:name w:val="ListLabel 1735"/>
    <w:qFormat/>
    <w:rPr>
      <w:rFonts w:cs="Wingdings"/>
    </w:rPr>
  </w:style>
  <w:style w:type="character" w:styleId="ListLabel1736">
    <w:name w:val="ListLabel 1736"/>
    <w:qFormat/>
    <w:rPr>
      <w:rFonts w:cs="Wingdings"/>
    </w:rPr>
  </w:style>
  <w:style w:type="character" w:styleId="ListLabel1737">
    <w:name w:val="ListLabel 1737"/>
    <w:qFormat/>
    <w:rPr>
      <w:rFonts w:cs="Courier New"/>
    </w:rPr>
  </w:style>
  <w:style w:type="character" w:styleId="ListLabel1738">
    <w:name w:val="ListLabel 1738"/>
    <w:qFormat/>
    <w:rPr>
      <w:rFonts w:cs="Wingdings"/>
    </w:rPr>
  </w:style>
  <w:style w:type="character" w:styleId="ListLabel1739">
    <w:name w:val="ListLabel 1739"/>
    <w:qFormat/>
    <w:rPr>
      <w:rFonts w:cs="Symbol"/>
    </w:rPr>
  </w:style>
  <w:style w:type="character" w:styleId="ListLabel1740">
    <w:name w:val="ListLabel 1740"/>
    <w:qFormat/>
    <w:rPr>
      <w:rFonts w:cs="Courier New"/>
    </w:rPr>
  </w:style>
  <w:style w:type="character" w:styleId="ListLabel1741">
    <w:name w:val="ListLabel 1741"/>
    <w:qFormat/>
    <w:rPr>
      <w:rFonts w:cs="Wingdings"/>
    </w:rPr>
  </w:style>
  <w:style w:type="character" w:styleId="ListLabel1742">
    <w:name w:val="ListLabel 1742"/>
    <w:qFormat/>
    <w:rPr>
      <w:rFonts w:cs="Symbol"/>
    </w:rPr>
  </w:style>
  <w:style w:type="character" w:styleId="ListLabel1743">
    <w:name w:val="ListLabel 1743"/>
    <w:qFormat/>
    <w:rPr>
      <w:rFonts w:cs="Courier New"/>
    </w:rPr>
  </w:style>
  <w:style w:type="character" w:styleId="ListLabel1744">
    <w:name w:val="ListLabel 1744"/>
    <w:qFormat/>
    <w:rPr>
      <w:rFonts w:cs="Wingdings"/>
    </w:rPr>
  </w:style>
  <w:style w:type="character" w:styleId="ListLabel1745">
    <w:name w:val="ListLabel 1745"/>
    <w:qFormat/>
    <w:rPr>
      <w:rFonts w:cs="Wingdings"/>
    </w:rPr>
  </w:style>
  <w:style w:type="character" w:styleId="ListLabel1746">
    <w:name w:val="ListLabel 1746"/>
    <w:qFormat/>
    <w:rPr>
      <w:rFonts w:cs="Wingdings"/>
    </w:rPr>
  </w:style>
  <w:style w:type="character" w:styleId="ListLabel1747">
    <w:name w:val="ListLabel 1747"/>
    <w:qFormat/>
    <w:rPr>
      <w:rFonts w:cs="Wingdings"/>
    </w:rPr>
  </w:style>
  <w:style w:type="character" w:styleId="ListLabel1748">
    <w:name w:val="ListLabel 1748"/>
    <w:qFormat/>
    <w:rPr>
      <w:rFonts w:cs="Courier New"/>
    </w:rPr>
  </w:style>
  <w:style w:type="character" w:styleId="ListLabel1749">
    <w:name w:val="ListLabel 1749"/>
    <w:qFormat/>
    <w:rPr>
      <w:rFonts w:cs="Wingdings"/>
    </w:rPr>
  </w:style>
  <w:style w:type="character" w:styleId="ListLabel1750">
    <w:name w:val="ListLabel 1750"/>
    <w:qFormat/>
    <w:rPr>
      <w:rFonts w:cs="Symbol"/>
    </w:rPr>
  </w:style>
  <w:style w:type="character" w:styleId="ListLabel1751">
    <w:name w:val="ListLabel 1751"/>
    <w:qFormat/>
    <w:rPr>
      <w:rFonts w:cs="Courier New"/>
    </w:rPr>
  </w:style>
  <w:style w:type="character" w:styleId="ListLabel1752">
    <w:name w:val="ListLabel 1752"/>
    <w:qFormat/>
    <w:rPr>
      <w:rFonts w:cs="Wingdings"/>
    </w:rPr>
  </w:style>
  <w:style w:type="character" w:styleId="ListLabel1753">
    <w:name w:val="ListLabel 1753"/>
    <w:qFormat/>
    <w:rPr>
      <w:rFonts w:cs="Symbol"/>
    </w:rPr>
  </w:style>
  <w:style w:type="character" w:styleId="ListLabel1754">
    <w:name w:val="ListLabel 1754"/>
    <w:qFormat/>
    <w:rPr>
      <w:rFonts w:cs="Courier New"/>
    </w:rPr>
  </w:style>
  <w:style w:type="character" w:styleId="ListLabel1755">
    <w:name w:val="ListLabel 1755"/>
    <w:qFormat/>
    <w:rPr>
      <w:rFonts w:cs="Wingdings"/>
    </w:rPr>
  </w:style>
  <w:style w:type="character" w:styleId="ListLabel1756">
    <w:name w:val="ListLabel 1756"/>
    <w:qFormat/>
    <w:rPr>
      <w:rFonts w:cs="Wingdings"/>
    </w:rPr>
  </w:style>
  <w:style w:type="character" w:styleId="ListLabel1757">
    <w:name w:val="ListLabel 1757"/>
    <w:qFormat/>
    <w:rPr>
      <w:rFonts w:cs="Courier New"/>
    </w:rPr>
  </w:style>
  <w:style w:type="character" w:styleId="ListLabel1758">
    <w:name w:val="ListLabel 1758"/>
    <w:qFormat/>
    <w:rPr>
      <w:rFonts w:cs="Wingdings"/>
    </w:rPr>
  </w:style>
  <w:style w:type="character" w:styleId="ListLabel1759">
    <w:name w:val="ListLabel 1759"/>
    <w:qFormat/>
    <w:rPr>
      <w:rFonts w:cs="Symbol"/>
    </w:rPr>
  </w:style>
  <w:style w:type="character" w:styleId="ListLabel1760">
    <w:name w:val="ListLabel 1760"/>
    <w:qFormat/>
    <w:rPr>
      <w:rFonts w:cs="Courier New"/>
    </w:rPr>
  </w:style>
  <w:style w:type="character" w:styleId="ListLabel1761">
    <w:name w:val="ListLabel 1761"/>
    <w:qFormat/>
    <w:rPr>
      <w:rFonts w:cs="Wingdings"/>
    </w:rPr>
  </w:style>
  <w:style w:type="character" w:styleId="ListLabel1762">
    <w:name w:val="ListLabel 1762"/>
    <w:qFormat/>
    <w:rPr>
      <w:rFonts w:cs="Symbol"/>
    </w:rPr>
  </w:style>
  <w:style w:type="character" w:styleId="ListLabel1763">
    <w:name w:val="ListLabel 1763"/>
    <w:qFormat/>
    <w:rPr>
      <w:rFonts w:cs="Courier New"/>
    </w:rPr>
  </w:style>
  <w:style w:type="character" w:styleId="ListLabel1764">
    <w:name w:val="ListLabel 1764"/>
    <w:qFormat/>
    <w:rPr>
      <w:rFonts w:cs="Wingdings"/>
    </w:rPr>
  </w:style>
  <w:style w:type="character" w:styleId="ListLabel1765">
    <w:name w:val="ListLabel 1765"/>
    <w:qFormat/>
    <w:rPr>
      <w:rFonts w:cs="Wingdings"/>
    </w:rPr>
  </w:style>
  <w:style w:type="character" w:styleId="ListLabel1766">
    <w:name w:val="ListLabel 1766"/>
    <w:qFormat/>
    <w:rPr>
      <w:rFonts w:cs="Courier New"/>
    </w:rPr>
  </w:style>
  <w:style w:type="character" w:styleId="ListLabel1767">
    <w:name w:val="ListLabel 1767"/>
    <w:qFormat/>
    <w:rPr>
      <w:rFonts w:cs="Wingdings"/>
    </w:rPr>
  </w:style>
  <w:style w:type="character" w:styleId="ListLabel1768">
    <w:name w:val="ListLabel 1768"/>
    <w:qFormat/>
    <w:rPr>
      <w:rFonts w:cs="Symbol"/>
    </w:rPr>
  </w:style>
  <w:style w:type="character" w:styleId="ListLabel1769">
    <w:name w:val="ListLabel 1769"/>
    <w:qFormat/>
    <w:rPr>
      <w:rFonts w:cs="Courier New"/>
    </w:rPr>
  </w:style>
  <w:style w:type="character" w:styleId="ListLabel1770">
    <w:name w:val="ListLabel 1770"/>
    <w:qFormat/>
    <w:rPr>
      <w:rFonts w:cs="Wingdings"/>
    </w:rPr>
  </w:style>
  <w:style w:type="character" w:styleId="ListLabel1771">
    <w:name w:val="ListLabel 1771"/>
    <w:qFormat/>
    <w:rPr>
      <w:rFonts w:cs="Symbol"/>
    </w:rPr>
  </w:style>
  <w:style w:type="character" w:styleId="ListLabel1772">
    <w:name w:val="ListLabel 1772"/>
    <w:qFormat/>
    <w:rPr>
      <w:rFonts w:cs="Courier New"/>
    </w:rPr>
  </w:style>
  <w:style w:type="character" w:styleId="ListLabel1773">
    <w:name w:val="ListLabel 1773"/>
    <w:qFormat/>
    <w:rPr>
      <w:rFonts w:cs="Wingdings"/>
    </w:rPr>
  </w:style>
  <w:style w:type="character" w:styleId="ListLabel1774">
    <w:name w:val="ListLabel 1774"/>
    <w:qFormat/>
    <w:rPr>
      <w:rFonts w:cs="Wingdings"/>
    </w:rPr>
  </w:style>
  <w:style w:type="character" w:styleId="ListLabel1775">
    <w:name w:val="ListLabel 1775"/>
    <w:qFormat/>
    <w:rPr>
      <w:rFonts w:cs="Courier New"/>
    </w:rPr>
  </w:style>
  <w:style w:type="character" w:styleId="ListLabel1776">
    <w:name w:val="ListLabel 1776"/>
    <w:qFormat/>
    <w:rPr>
      <w:rFonts w:cs="Wingdings"/>
    </w:rPr>
  </w:style>
  <w:style w:type="character" w:styleId="ListLabel1777">
    <w:name w:val="ListLabel 1777"/>
    <w:qFormat/>
    <w:rPr>
      <w:rFonts w:cs="Symbol"/>
    </w:rPr>
  </w:style>
  <w:style w:type="character" w:styleId="ListLabel1778">
    <w:name w:val="ListLabel 1778"/>
    <w:qFormat/>
    <w:rPr>
      <w:rFonts w:cs="Courier New"/>
    </w:rPr>
  </w:style>
  <w:style w:type="character" w:styleId="ListLabel1779">
    <w:name w:val="ListLabel 1779"/>
    <w:qFormat/>
    <w:rPr>
      <w:rFonts w:cs="Wingdings"/>
    </w:rPr>
  </w:style>
  <w:style w:type="character" w:styleId="ListLabel1780">
    <w:name w:val="ListLabel 1780"/>
    <w:qFormat/>
    <w:rPr>
      <w:rFonts w:cs="Symbol"/>
    </w:rPr>
  </w:style>
  <w:style w:type="character" w:styleId="ListLabel1781">
    <w:name w:val="ListLabel 1781"/>
    <w:qFormat/>
    <w:rPr>
      <w:rFonts w:cs="Courier New"/>
    </w:rPr>
  </w:style>
  <w:style w:type="character" w:styleId="ListLabel1782">
    <w:name w:val="ListLabel 1782"/>
    <w:qFormat/>
    <w:rPr>
      <w:rFonts w:cs="Wingdings"/>
    </w:rPr>
  </w:style>
  <w:style w:type="character" w:styleId="ListLabel1783">
    <w:name w:val="ListLabel 1783"/>
    <w:qFormat/>
    <w:rPr>
      <w:rFonts w:cs="Wingdings"/>
    </w:rPr>
  </w:style>
  <w:style w:type="character" w:styleId="ListLabel1784">
    <w:name w:val="ListLabel 1784"/>
    <w:qFormat/>
    <w:rPr>
      <w:rFonts w:cs="Courier New"/>
    </w:rPr>
  </w:style>
  <w:style w:type="character" w:styleId="ListLabel1785">
    <w:name w:val="ListLabel 1785"/>
    <w:qFormat/>
    <w:rPr>
      <w:rFonts w:cs="Wingdings"/>
    </w:rPr>
  </w:style>
  <w:style w:type="character" w:styleId="ListLabel1786">
    <w:name w:val="ListLabel 1786"/>
    <w:qFormat/>
    <w:rPr>
      <w:rFonts w:cs="Symbol"/>
    </w:rPr>
  </w:style>
  <w:style w:type="character" w:styleId="ListLabel1787">
    <w:name w:val="ListLabel 1787"/>
    <w:qFormat/>
    <w:rPr>
      <w:rFonts w:cs="Courier New"/>
    </w:rPr>
  </w:style>
  <w:style w:type="character" w:styleId="ListLabel1788">
    <w:name w:val="ListLabel 1788"/>
    <w:qFormat/>
    <w:rPr>
      <w:rFonts w:cs="Wingdings"/>
    </w:rPr>
  </w:style>
  <w:style w:type="character" w:styleId="ListLabel1789">
    <w:name w:val="ListLabel 1789"/>
    <w:qFormat/>
    <w:rPr>
      <w:rFonts w:cs="Symbol"/>
    </w:rPr>
  </w:style>
  <w:style w:type="character" w:styleId="ListLabel1790">
    <w:name w:val="ListLabel 1790"/>
    <w:qFormat/>
    <w:rPr>
      <w:rFonts w:cs="Courier New"/>
    </w:rPr>
  </w:style>
  <w:style w:type="character" w:styleId="ListLabel1791">
    <w:name w:val="ListLabel 1791"/>
    <w:qFormat/>
    <w:rPr>
      <w:rFonts w:cs="Wingdings"/>
    </w:rPr>
  </w:style>
  <w:style w:type="character" w:styleId="ListLabel1792">
    <w:name w:val="ListLabel 1792"/>
    <w:qFormat/>
    <w:rPr>
      <w:rFonts w:cs="Wingdings"/>
    </w:rPr>
  </w:style>
  <w:style w:type="character" w:styleId="ListLabel1793">
    <w:name w:val="ListLabel 1793"/>
    <w:qFormat/>
    <w:rPr>
      <w:rFonts w:cs="Wingdings"/>
    </w:rPr>
  </w:style>
  <w:style w:type="character" w:styleId="ListLabel1794">
    <w:name w:val="ListLabel 1794"/>
    <w:qFormat/>
    <w:rPr>
      <w:rFonts w:cs="Wingdings"/>
    </w:rPr>
  </w:style>
  <w:style w:type="character" w:styleId="ListLabel1795">
    <w:name w:val="ListLabel 1795"/>
    <w:qFormat/>
    <w:rPr>
      <w:rFonts w:cs="Courier New"/>
    </w:rPr>
  </w:style>
  <w:style w:type="character" w:styleId="ListLabel1796">
    <w:name w:val="ListLabel 1796"/>
    <w:qFormat/>
    <w:rPr>
      <w:rFonts w:cs="Wingdings"/>
    </w:rPr>
  </w:style>
  <w:style w:type="character" w:styleId="ListLabel1797">
    <w:name w:val="ListLabel 1797"/>
    <w:qFormat/>
    <w:rPr>
      <w:rFonts w:cs="Symbol"/>
    </w:rPr>
  </w:style>
  <w:style w:type="character" w:styleId="ListLabel1798">
    <w:name w:val="ListLabel 1798"/>
    <w:qFormat/>
    <w:rPr>
      <w:rFonts w:cs="Courier New"/>
    </w:rPr>
  </w:style>
  <w:style w:type="character" w:styleId="ListLabel1799">
    <w:name w:val="ListLabel 1799"/>
    <w:qFormat/>
    <w:rPr>
      <w:rFonts w:cs="Wingdings"/>
    </w:rPr>
  </w:style>
  <w:style w:type="character" w:styleId="ListLabel1800">
    <w:name w:val="ListLabel 1800"/>
    <w:qFormat/>
    <w:rPr>
      <w:rFonts w:cs="Symbol"/>
    </w:rPr>
  </w:style>
  <w:style w:type="character" w:styleId="ListLabel1801">
    <w:name w:val="ListLabel 1801"/>
    <w:qFormat/>
    <w:rPr>
      <w:rFonts w:cs="Courier New"/>
    </w:rPr>
  </w:style>
  <w:style w:type="character" w:styleId="ListLabel1802">
    <w:name w:val="ListLabel 1802"/>
    <w:qFormat/>
    <w:rPr>
      <w:rFonts w:cs="Wingdings"/>
    </w:rPr>
  </w:style>
  <w:style w:type="character" w:styleId="ListLabel1803">
    <w:name w:val="ListLabel 1803"/>
    <w:qFormat/>
    <w:rPr>
      <w:rFonts w:cs="Wingdings"/>
    </w:rPr>
  </w:style>
  <w:style w:type="character" w:styleId="ListLabel1804">
    <w:name w:val="ListLabel 1804"/>
    <w:qFormat/>
    <w:rPr>
      <w:rFonts w:cs="Courier New"/>
    </w:rPr>
  </w:style>
  <w:style w:type="character" w:styleId="ListLabel1805">
    <w:name w:val="ListLabel 1805"/>
    <w:qFormat/>
    <w:rPr>
      <w:rFonts w:cs="Wingdings"/>
    </w:rPr>
  </w:style>
  <w:style w:type="character" w:styleId="ListLabel1806">
    <w:name w:val="ListLabel 1806"/>
    <w:qFormat/>
    <w:rPr>
      <w:rFonts w:cs="Symbol"/>
    </w:rPr>
  </w:style>
  <w:style w:type="character" w:styleId="ListLabel1807">
    <w:name w:val="ListLabel 1807"/>
    <w:qFormat/>
    <w:rPr>
      <w:rFonts w:cs="Courier New"/>
    </w:rPr>
  </w:style>
  <w:style w:type="character" w:styleId="ListLabel1808">
    <w:name w:val="ListLabel 1808"/>
    <w:qFormat/>
    <w:rPr>
      <w:rFonts w:cs="Wingdings"/>
    </w:rPr>
  </w:style>
  <w:style w:type="character" w:styleId="ListLabel1809">
    <w:name w:val="ListLabel 1809"/>
    <w:qFormat/>
    <w:rPr>
      <w:rFonts w:cs="Symbol"/>
    </w:rPr>
  </w:style>
  <w:style w:type="character" w:styleId="ListLabel1810">
    <w:name w:val="ListLabel 1810"/>
    <w:qFormat/>
    <w:rPr>
      <w:rFonts w:cs="Courier New"/>
    </w:rPr>
  </w:style>
  <w:style w:type="character" w:styleId="ListLabel1811">
    <w:name w:val="ListLabel 1811"/>
    <w:qFormat/>
    <w:rPr>
      <w:rFonts w:cs="Wingdings"/>
    </w:rPr>
  </w:style>
  <w:style w:type="character" w:styleId="ListLabel1812">
    <w:name w:val="ListLabel 1812"/>
    <w:qFormat/>
    <w:rPr>
      <w:rFonts w:cs="Wingdings"/>
    </w:rPr>
  </w:style>
  <w:style w:type="character" w:styleId="ListLabel1813">
    <w:name w:val="ListLabel 1813"/>
    <w:qFormat/>
    <w:rPr>
      <w:rFonts w:cs="Courier New"/>
    </w:rPr>
  </w:style>
  <w:style w:type="character" w:styleId="ListLabel1814">
    <w:name w:val="ListLabel 1814"/>
    <w:qFormat/>
    <w:rPr>
      <w:rFonts w:cs="Wingdings"/>
    </w:rPr>
  </w:style>
  <w:style w:type="character" w:styleId="ListLabel1815">
    <w:name w:val="ListLabel 1815"/>
    <w:qFormat/>
    <w:rPr>
      <w:rFonts w:cs="Symbol"/>
    </w:rPr>
  </w:style>
  <w:style w:type="character" w:styleId="ListLabel1816">
    <w:name w:val="ListLabel 1816"/>
    <w:qFormat/>
    <w:rPr>
      <w:rFonts w:cs="Courier New"/>
    </w:rPr>
  </w:style>
  <w:style w:type="character" w:styleId="ListLabel1817">
    <w:name w:val="ListLabel 1817"/>
    <w:qFormat/>
    <w:rPr>
      <w:rFonts w:cs="Wingdings"/>
    </w:rPr>
  </w:style>
  <w:style w:type="character" w:styleId="ListLabel1818">
    <w:name w:val="ListLabel 1818"/>
    <w:qFormat/>
    <w:rPr>
      <w:rFonts w:cs="Symbol"/>
    </w:rPr>
  </w:style>
  <w:style w:type="character" w:styleId="ListLabel1819">
    <w:name w:val="ListLabel 1819"/>
    <w:qFormat/>
    <w:rPr>
      <w:rFonts w:cs="Courier New"/>
    </w:rPr>
  </w:style>
  <w:style w:type="character" w:styleId="ListLabel1820">
    <w:name w:val="ListLabel 1820"/>
    <w:qFormat/>
    <w:rPr>
      <w:rFonts w:cs="Wingdings"/>
    </w:rPr>
  </w:style>
  <w:style w:type="character" w:styleId="ListLabel1821">
    <w:name w:val="ListLabel 1821"/>
    <w:qFormat/>
    <w:rPr>
      <w:rFonts w:cs="Wingdings"/>
    </w:rPr>
  </w:style>
  <w:style w:type="character" w:styleId="ListLabel1822">
    <w:name w:val="ListLabel 1822"/>
    <w:qFormat/>
    <w:rPr>
      <w:rFonts w:cs="Courier New"/>
    </w:rPr>
  </w:style>
  <w:style w:type="character" w:styleId="ListLabel1823">
    <w:name w:val="ListLabel 1823"/>
    <w:qFormat/>
    <w:rPr>
      <w:rFonts w:cs="Wingdings"/>
    </w:rPr>
  </w:style>
  <w:style w:type="character" w:styleId="ListLabel1824">
    <w:name w:val="ListLabel 1824"/>
    <w:qFormat/>
    <w:rPr>
      <w:rFonts w:cs="Symbol"/>
    </w:rPr>
  </w:style>
  <w:style w:type="character" w:styleId="ListLabel1825">
    <w:name w:val="ListLabel 1825"/>
    <w:qFormat/>
    <w:rPr>
      <w:rFonts w:cs="Courier New"/>
    </w:rPr>
  </w:style>
  <w:style w:type="character" w:styleId="ListLabel1826">
    <w:name w:val="ListLabel 1826"/>
    <w:qFormat/>
    <w:rPr>
      <w:rFonts w:cs="Wingdings"/>
    </w:rPr>
  </w:style>
  <w:style w:type="character" w:styleId="ListLabel1827">
    <w:name w:val="ListLabel 1827"/>
    <w:qFormat/>
    <w:rPr>
      <w:rFonts w:cs="Symbol"/>
    </w:rPr>
  </w:style>
  <w:style w:type="character" w:styleId="ListLabel1828">
    <w:name w:val="ListLabel 1828"/>
    <w:qFormat/>
    <w:rPr>
      <w:rFonts w:cs="Courier New"/>
    </w:rPr>
  </w:style>
  <w:style w:type="character" w:styleId="ListLabel1829">
    <w:name w:val="ListLabel 1829"/>
    <w:qFormat/>
    <w:rPr>
      <w:rFonts w:cs="Wingdings"/>
    </w:rPr>
  </w:style>
  <w:style w:type="character" w:styleId="ListLabel1830">
    <w:name w:val="ListLabel 1830"/>
    <w:qFormat/>
    <w:rPr>
      <w:rFonts w:cs="Wingdings"/>
    </w:rPr>
  </w:style>
  <w:style w:type="character" w:styleId="ListLabel1831">
    <w:name w:val="ListLabel 1831"/>
    <w:qFormat/>
    <w:rPr>
      <w:rFonts w:cs="Courier New"/>
    </w:rPr>
  </w:style>
  <w:style w:type="character" w:styleId="ListLabel1832">
    <w:name w:val="ListLabel 1832"/>
    <w:qFormat/>
    <w:rPr>
      <w:rFonts w:cs="Wingdings"/>
    </w:rPr>
  </w:style>
  <w:style w:type="character" w:styleId="ListLabel1833">
    <w:name w:val="ListLabel 1833"/>
    <w:qFormat/>
    <w:rPr>
      <w:rFonts w:cs="Symbol"/>
    </w:rPr>
  </w:style>
  <w:style w:type="character" w:styleId="ListLabel1834">
    <w:name w:val="ListLabel 1834"/>
    <w:qFormat/>
    <w:rPr>
      <w:rFonts w:cs="Courier New"/>
    </w:rPr>
  </w:style>
  <w:style w:type="character" w:styleId="ListLabel1835">
    <w:name w:val="ListLabel 1835"/>
    <w:qFormat/>
    <w:rPr>
      <w:rFonts w:cs="Wingdings"/>
    </w:rPr>
  </w:style>
  <w:style w:type="character" w:styleId="ListLabel1836">
    <w:name w:val="ListLabel 1836"/>
    <w:qFormat/>
    <w:rPr>
      <w:rFonts w:cs="Symbol"/>
    </w:rPr>
  </w:style>
  <w:style w:type="character" w:styleId="ListLabel1837">
    <w:name w:val="ListLabel 1837"/>
    <w:qFormat/>
    <w:rPr>
      <w:rFonts w:cs="Courier New"/>
    </w:rPr>
  </w:style>
  <w:style w:type="character" w:styleId="ListLabel1838">
    <w:name w:val="ListLabel 1838"/>
    <w:qFormat/>
    <w:rPr>
      <w:rFonts w:cs="Wingdings"/>
    </w:rPr>
  </w:style>
  <w:style w:type="character" w:styleId="ListLabel1839">
    <w:name w:val="ListLabel 1839"/>
    <w:qFormat/>
    <w:rPr>
      <w:rFonts w:cs="Wingdings"/>
    </w:rPr>
  </w:style>
  <w:style w:type="character" w:styleId="ListLabel1840">
    <w:name w:val="ListLabel 1840"/>
    <w:qFormat/>
    <w:rPr>
      <w:rFonts w:cs="Courier New"/>
    </w:rPr>
  </w:style>
  <w:style w:type="character" w:styleId="ListLabel1841">
    <w:name w:val="ListLabel 1841"/>
    <w:qFormat/>
    <w:rPr>
      <w:rFonts w:cs="Wingdings"/>
    </w:rPr>
  </w:style>
  <w:style w:type="character" w:styleId="ListLabel1842">
    <w:name w:val="ListLabel 1842"/>
    <w:qFormat/>
    <w:rPr>
      <w:rFonts w:cs="Symbol"/>
    </w:rPr>
  </w:style>
  <w:style w:type="character" w:styleId="ListLabel1843">
    <w:name w:val="ListLabel 1843"/>
    <w:qFormat/>
    <w:rPr>
      <w:rFonts w:cs="Courier New"/>
    </w:rPr>
  </w:style>
  <w:style w:type="character" w:styleId="ListLabel1844">
    <w:name w:val="ListLabel 1844"/>
    <w:qFormat/>
    <w:rPr>
      <w:rFonts w:cs="Wingdings"/>
    </w:rPr>
  </w:style>
  <w:style w:type="character" w:styleId="ListLabel1845">
    <w:name w:val="ListLabel 1845"/>
    <w:qFormat/>
    <w:rPr>
      <w:rFonts w:cs="Symbol"/>
    </w:rPr>
  </w:style>
  <w:style w:type="character" w:styleId="ListLabel1846">
    <w:name w:val="ListLabel 1846"/>
    <w:qFormat/>
    <w:rPr>
      <w:rFonts w:cs="Courier New"/>
    </w:rPr>
  </w:style>
  <w:style w:type="character" w:styleId="ListLabel1847">
    <w:name w:val="ListLabel 1847"/>
    <w:qFormat/>
    <w:rPr>
      <w:rFonts w:cs="Wingdings"/>
    </w:rPr>
  </w:style>
  <w:style w:type="character" w:styleId="ListLabel1848">
    <w:name w:val="ListLabel 1848"/>
    <w:qFormat/>
    <w:rPr>
      <w:rFonts w:cs="Wingdings"/>
    </w:rPr>
  </w:style>
  <w:style w:type="character" w:styleId="ListLabel1849">
    <w:name w:val="ListLabel 1849"/>
    <w:qFormat/>
    <w:rPr>
      <w:rFonts w:cs="Courier New"/>
    </w:rPr>
  </w:style>
  <w:style w:type="character" w:styleId="ListLabel1850">
    <w:name w:val="ListLabel 1850"/>
    <w:qFormat/>
    <w:rPr>
      <w:rFonts w:cs="Wingdings"/>
    </w:rPr>
  </w:style>
  <w:style w:type="character" w:styleId="ListLabel1851">
    <w:name w:val="ListLabel 1851"/>
    <w:qFormat/>
    <w:rPr>
      <w:rFonts w:cs="Symbol"/>
    </w:rPr>
  </w:style>
  <w:style w:type="character" w:styleId="ListLabel1852">
    <w:name w:val="ListLabel 1852"/>
    <w:qFormat/>
    <w:rPr>
      <w:rFonts w:cs="Courier New"/>
    </w:rPr>
  </w:style>
  <w:style w:type="character" w:styleId="ListLabel1853">
    <w:name w:val="ListLabel 1853"/>
    <w:qFormat/>
    <w:rPr>
      <w:rFonts w:cs="Wingdings"/>
    </w:rPr>
  </w:style>
  <w:style w:type="character" w:styleId="ListLabel1854">
    <w:name w:val="ListLabel 1854"/>
    <w:qFormat/>
    <w:rPr>
      <w:rFonts w:cs="Symbol"/>
    </w:rPr>
  </w:style>
  <w:style w:type="character" w:styleId="ListLabel1855">
    <w:name w:val="ListLabel 1855"/>
    <w:qFormat/>
    <w:rPr>
      <w:rFonts w:cs="Courier New"/>
    </w:rPr>
  </w:style>
  <w:style w:type="character" w:styleId="ListLabel1856">
    <w:name w:val="ListLabel 1856"/>
    <w:qFormat/>
    <w:rPr>
      <w:rFonts w:cs="Wingdings"/>
    </w:rPr>
  </w:style>
  <w:style w:type="character" w:styleId="ListLabel1857">
    <w:name w:val="ListLabel 1857"/>
    <w:qFormat/>
    <w:rPr>
      <w:rFonts w:cs="Wingdings"/>
    </w:rPr>
  </w:style>
  <w:style w:type="character" w:styleId="ListLabel1858">
    <w:name w:val="ListLabel 1858"/>
    <w:qFormat/>
    <w:rPr>
      <w:rFonts w:cs="Courier New"/>
    </w:rPr>
  </w:style>
  <w:style w:type="character" w:styleId="ListLabel1859">
    <w:name w:val="ListLabel 1859"/>
    <w:qFormat/>
    <w:rPr>
      <w:rFonts w:cs="Wingdings"/>
    </w:rPr>
  </w:style>
  <w:style w:type="character" w:styleId="ListLabel1860">
    <w:name w:val="ListLabel 1860"/>
    <w:qFormat/>
    <w:rPr>
      <w:rFonts w:cs="Symbol"/>
    </w:rPr>
  </w:style>
  <w:style w:type="character" w:styleId="ListLabel1861">
    <w:name w:val="ListLabel 1861"/>
    <w:qFormat/>
    <w:rPr>
      <w:rFonts w:cs="Courier New"/>
    </w:rPr>
  </w:style>
  <w:style w:type="character" w:styleId="ListLabel1862">
    <w:name w:val="ListLabel 1862"/>
    <w:qFormat/>
    <w:rPr>
      <w:rFonts w:cs="Wingdings"/>
    </w:rPr>
  </w:style>
  <w:style w:type="character" w:styleId="ListLabel1863">
    <w:name w:val="ListLabel 1863"/>
    <w:qFormat/>
    <w:rPr>
      <w:rFonts w:cs="Symbol"/>
    </w:rPr>
  </w:style>
  <w:style w:type="character" w:styleId="ListLabel1864">
    <w:name w:val="ListLabel 1864"/>
    <w:qFormat/>
    <w:rPr>
      <w:rFonts w:cs="Courier New"/>
    </w:rPr>
  </w:style>
  <w:style w:type="character" w:styleId="ListLabel1865">
    <w:name w:val="ListLabel 1865"/>
    <w:qFormat/>
    <w:rPr>
      <w:rFonts w:cs="Wingdings"/>
    </w:rPr>
  </w:style>
  <w:style w:type="character" w:styleId="ListLabel1866">
    <w:name w:val="ListLabel 1866"/>
    <w:qFormat/>
    <w:rPr>
      <w:rFonts w:cs="Wingdings"/>
    </w:rPr>
  </w:style>
  <w:style w:type="character" w:styleId="ListLabel1867">
    <w:name w:val="ListLabel 1867"/>
    <w:qFormat/>
    <w:rPr>
      <w:rFonts w:cs="Courier New"/>
    </w:rPr>
  </w:style>
  <w:style w:type="character" w:styleId="ListLabel1868">
    <w:name w:val="ListLabel 1868"/>
    <w:qFormat/>
    <w:rPr>
      <w:rFonts w:cs="Wingdings"/>
    </w:rPr>
  </w:style>
  <w:style w:type="character" w:styleId="ListLabel1869">
    <w:name w:val="ListLabel 1869"/>
    <w:qFormat/>
    <w:rPr>
      <w:rFonts w:cs="Symbol"/>
    </w:rPr>
  </w:style>
  <w:style w:type="character" w:styleId="ListLabel1870">
    <w:name w:val="ListLabel 1870"/>
    <w:qFormat/>
    <w:rPr>
      <w:rFonts w:cs="Courier New"/>
    </w:rPr>
  </w:style>
  <w:style w:type="character" w:styleId="ListLabel1871">
    <w:name w:val="ListLabel 1871"/>
    <w:qFormat/>
    <w:rPr>
      <w:rFonts w:cs="Wingdings"/>
    </w:rPr>
  </w:style>
  <w:style w:type="character" w:styleId="ListLabel1872">
    <w:name w:val="ListLabel 1872"/>
    <w:qFormat/>
    <w:rPr>
      <w:rFonts w:cs="Symbol"/>
    </w:rPr>
  </w:style>
  <w:style w:type="character" w:styleId="ListLabel1873">
    <w:name w:val="ListLabel 1873"/>
    <w:qFormat/>
    <w:rPr>
      <w:rFonts w:cs="Courier New"/>
    </w:rPr>
  </w:style>
  <w:style w:type="character" w:styleId="ListLabel1874">
    <w:name w:val="ListLabel 1874"/>
    <w:qFormat/>
    <w:rPr>
      <w:rFonts w:cs="Wingdings"/>
    </w:rPr>
  </w:style>
  <w:style w:type="character" w:styleId="ListLabel1875">
    <w:name w:val="ListLabel 1875"/>
    <w:qFormat/>
    <w:rPr>
      <w:rFonts w:cs="Wingdings"/>
    </w:rPr>
  </w:style>
  <w:style w:type="character" w:styleId="ListLabel1876">
    <w:name w:val="ListLabel 1876"/>
    <w:qFormat/>
    <w:rPr>
      <w:rFonts w:cs="Courier New"/>
    </w:rPr>
  </w:style>
  <w:style w:type="character" w:styleId="ListLabel1877">
    <w:name w:val="ListLabel 1877"/>
    <w:qFormat/>
    <w:rPr>
      <w:rFonts w:cs="Wingdings"/>
    </w:rPr>
  </w:style>
  <w:style w:type="character" w:styleId="ListLabel1878">
    <w:name w:val="ListLabel 1878"/>
    <w:qFormat/>
    <w:rPr>
      <w:rFonts w:cs="Symbol"/>
    </w:rPr>
  </w:style>
  <w:style w:type="character" w:styleId="ListLabel1879">
    <w:name w:val="ListLabel 1879"/>
    <w:qFormat/>
    <w:rPr>
      <w:rFonts w:cs="Courier New"/>
    </w:rPr>
  </w:style>
  <w:style w:type="character" w:styleId="ListLabel1880">
    <w:name w:val="ListLabel 1880"/>
    <w:qFormat/>
    <w:rPr>
      <w:rFonts w:cs="Wingdings"/>
    </w:rPr>
  </w:style>
  <w:style w:type="character" w:styleId="ListLabel1881">
    <w:name w:val="ListLabel 1881"/>
    <w:qFormat/>
    <w:rPr>
      <w:rFonts w:cs="Symbol"/>
    </w:rPr>
  </w:style>
  <w:style w:type="character" w:styleId="ListLabel1882">
    <w:name w:val="ListLabel 1882"/>
    <w:qFormat/>
    <w:rPr>
      <w:rFonts w:cs="Courier New"/>
    </w:rPr>
  </w:style>
  <w:style w:type="character" w:styleId="ListLabel1883">
    <w:name w:val="ListLabel 1883"/>
    <w:qFormat/>
    <w:rPr>
      <w:rFonts w:cs="Wingdings"/>
    </w:rPr>
  </w:style>
  <w:style w:type="character" w:styleId="ListLabel1884">
    <w:name w:val="ListLabel 1884"/>
    <w:qFormat/>
    <w:rPr>
      <w:rFonts w:cs="Wingdings"/>
    </w:rPr>
  </w:style>
  <w:style w:type="character" w:styleId="ListLabel1885">
    <w:name w:val="ListLabel 1885"/>
    <w:qFormat/>
    <w:rPr>
      <w:rFonts w:cs="Courier New"/>
    </w:rPr>
  </w:style>
  <w:style w:type="character" w:styleId="ListLabel1886">
    <w:name w:val="ListLabel 1886"/>
    <w:qFormat/>
    <w:rPr>
      <w:rFonts w:cs="Wingdings"/>
    </w:rPr>
  </w:style>
  <w:style w:type="character" w:styleId="ListLabel1887">
    <w:name w:val="ListLabel 1887"/>
    <w:qFormat/>
    <w:rPr>
      <w:rFonts w:cs="Symbol"/>
    </w:rPr>
  </w:style>
  <w:style w:type="character" w:styleId="ListLabel1888">
    <w:name w:val="ListLabel 1888"/>
    <w:qFormat/>
    <w:rPr>
      <w:rFonts w:cs="Courier New"/>
    </w:rPr>
  </w:style>
  <w:style w:type="character" w:styleId="ListLabel1889">
    <w:name w:val="ListLabel 1889"/>
    <w:qFormat/>
    <w:rPr>
      <w:rFonts w:cs="Wingdings"/>
    </w:rPr>
  </w:style>
  <w:style w:type="character" w:styleId="ListLabel1890">
    <w:name w:val="ListLabel 1890"/>
    <w:qFormat/>
    <w:rPr>
      <w:rFonts w:cs="Symbol"/>
    </w:rPr>
  </w:style>
  <w:style w:type="character" w:styleId="ListLabel1891">
    <w:name w:val="ListLabel 1891"/>
    <w:qFormat/>
    <w:rPr>
      <w:rFonts w:cs="Courier New"/>
    </w:rPr>
  </w:style>
  <w:style w:type="character" w:styleId="ListLabel1892">
    <w:name w:val="ListLabel 1892"/>
    <w:qFormat/>
    <w:rPr>
      <w:rFonts w:cs="Wingdings"/>
    </w:rPr>
  </w:style>
  <w:style w:type="character" w:styleId="ListLabel1893">
    <w:name w:val="ListLabel 1893"/>
    <w:qFormat/>
    <w:rPr>
      <w:rFonts w:cs="Wingdings"/>
    </w:rPr>
  </w:style>
  <w:style w:type="character" w:styleId="ListLabel1894">
    <w:name w:val="ListLabel 1894"/>
    <w:qFormat/>
    <w:rPr>
      <w:rFonts w:cs="Courier New"/>
    </w:rPr>
  </w:style>
  <w:style w:type="character" w:styleId="ListLabel1895">
    <w:name w:val="ListLabel 1895"/>
    <w:qFormat/>
    <w:rPr>
      <w:rFonts w:cs="Wingdings"/>
    </w:rPr>
  </w:style>
  <w:style w:type="character" w:styleId="ListLabel1896">
    <w:name w:val="ListLabel 1896"/>
    <w:qFormat/>
    <w:rPr>
      <w:rFonts w:cs="Symbol"/>
    </w:rPr>
  </w:style>
  <w:style w:type="character" w:styleId="ListLabel1897">
    <w:name w:val="ListLabel 1897"/>
    <w:qFormat/>
    <w:rPr>
      <w:rFonts w:cs="Courier New"/>
    </w:rPr>
  </w:style>
  <w:style w:type="character" w:styleId="ListLabel1898">
    <w:name w:val="ListLabel 1898"/>
    <w:qFormat/>
    <w:rPr>
      <w:rFonts w:cs="Wingdings"/>
    </w:rPr>
  </w:style>
  <w:style w:type="character" w:styleId="ListLabel1899">
    <w:name w:val="ListLabel 1899"/>
    <w:qFormat/>
    <w:rPr>
      <w:rFonts w:cs="Symbol"/>
    </w:rPr>
  </w:style>
  <w:style w:type="character" w:styleId="ListLabel1900">
    <w:name w:val="ListLabel 1900"/>
    <w:qFormat/>
    <w:rPr>
      <w:rFonts w:cs="Courier New"/>
    </w:rPr>
  </w:style>
  <w:style w:type="character" w:styleId="ListLabel1901">
    <w:name w:val="ListLabel 1901"/>
    <w:qFormat/>
    <w:rPr>
      <w:rFonts w:cs="Wingdings"/>
    </w:rPr>
  </w:style>
  <w:style w:type="character" w:styleId="ListLabel1902">
    <w:name w:val="ListLabel 1902"/>
    <w:qFormat/>
    <w:rPr>
      <w:rFonts w:cs="Wingdings"/>
    </w:rPr>
  </w:style>
  <w:style w:type="character" w:styleId="ListLabel1903">
    <w:name w:val="ListLabel 1903"/>
    <w:qFormat/>
    <w:rPr>
      <w:rFonts w:cs="Courier New"/>
    </w:rPr>
  </w:style>
  <w:style w:type="character" w:styleId="ListLabel1904">
    <w:name w:val="ListLabel 1904"/>
    <w:qFormat/>
    <w:rPr>
      <w:rFonts w:cs="Wingdings"/>
    </w:rPr>
  </w:style>
  <w:style w:type="character" w:styleId="ListLabel1905">
    <w:name w:val="ListLabel 1905"/>
    <w:qFormat/>
    <w:rPr>
      <w:rFonts w:cs="Symbol"/>
    </w:rPr>
  </w:style>
  <w:style w:type="character" w:styleId="ListLabel1906">
    <w:name w:val="ListLabel 1906"/>
    <w:qFormat/>
    <w:rPr>
      <w:rFonts w:cs="Courier New"/>
    </w:rPr>
  </w:style>
  <w:style w:type="character" w:styleId="ListLabel1907">
    <w:name w:val="ListLabel 1907"/>
    <w:qFormat/>
    <w:rPr>
      <w:rFonts w:cs="Wingdings"/>
    </w:rPr>
  </w:style>
  <w:style w:type="character" w:styleId="ListLabel1908">
    <w:name w:val="ListLabel 1908"/>
    <w:qFormat/>
    <w:rPr>
      <w:rFonts w:cs="Symbol"/>
    </w:rPr>
  </w:style>
  <w:style w:type="character" w:styleId="ListLabel1909">
    <w:name w:val="ListLabel 1909"/>
    <w:qFormat/>
    <w:rPr>
      <w:rFonts w:cs="Courier New"/>
    </w:rPr>
  </w:style>
  <w:style w:type="character" w:styleId="ListLabel1910">
    <w:name w:val="ListLabel 1910"/>
    <w:qFormat/>
    <w:rPr>
      <w:rFonts w:cs="Wingdings"/>
    </w:rPr>
  </w:style>
  <w:style w:type="character" w:styleId="ListLabel1911">
    <w:name w:val="ListLabel 1911"/>
    <w:qFormat/>
    <w:rPr>
      <w:rFonts w:cs="Wingdings"/>
    </w:rPr>
  </w:style>
  <w:style w:type="character" w:styleId="ListLabel1912">
    <w:name w:val="ListLabel 1912"/>
    <w:qFormat/>
    <w:rPr>
      <w:rFonts w:cs="Courier New"/>
    </w:rPr>
  </w:style>
  <w:style w:type="character" w:styleId="ListLabel1913">
    <w:name w:val="ListLabel 1913"/>
    <w:qFormat/>
    <w:rPr>
      <w:rFonts w:cs="Wingdings"/>
    </w:rPr>
  </w:style>
  <w:style w:type="character" w:styleId="ListLabel1914">
    <w:name w:val="ListLabel 1914"/>
    <w:qFormat/>
    <w:rPr>
      <w:rFonts w:cs="Symbol"/>
    </w:rPr>
  </w:style>
  <w:style w:type="character" w:styleId="ListLabel1915">
    <w:name w:val="ListLabel 1915"/>
    <w:qFormat/>
    <w:rPr>
      <w:rFonts w:cs="Courier New"/>
    </w:rPr>
  </w:style>
  <w:style w:type="character" w:styleId="ListLabel1916">
    <w:name w:val="ListLabel 1916"/>
    <w:qFormat/>
    <w:rPr>
      <w:rFonts w:cs="Wingdings"/>
    </w:rPr>
  </w:style>
  <w:style w:type="character" w:styleId="ListLabel1917">
    <w:name w:val="ListLabel 1917"/>
    <w:qFormat/>
    <w:rPr>
      <w:rFonts w:cs="Symbol"/>
    </w:rPr>
  </w:style>
  <w:style w:type="character" w:styleId="ListLabel1918">
    <w:name w:val="ListLabel 1918"/>
    <w:qFormat/>
    <w:rPr>
      <w:rFonts w:cs="Courier New"/>
    </w:rPr>
  </w:style>
  <w:style w:type="character" w:styleId="ListLabel1919">
    <w:name w:val="ListLabel 1919"/>
    <w:qFormat/>
    <w:rPr>
      <w:rFonts w:cs="Wingdings"/>
    </w:rPr>
  </w:style>
  <w:style w:type="character" w:styleId="ListLabel1920">
    <w:name w:val="ListLabel 1920"/>
    <w:qFormat/>
    <w:rPr>
      <w:rFonts w:cs="Wingdings"/>
    </w:rPr>
  </w:style>
  <w:style w:type="character" w:styleId="ListLabel1921">
    <w:name w:val="ListLabel 1921"/>
    <w:qFormat/>
    <w:rPr>
      <w:rFonts w:cs="Courier New"/>
    </w:rPr>
  </w:style>
  <w:style w:type="character" w:styleId="ListLabel1922">
    <w:name w:val="ListLabel 1922"/>
    <w:qFormat/>
    <w:rPr>
      <w:rFonts w:cs="Wingdings"/>
    </w:rPr>
  </w:style>
  <w:style w:type="character" w:styleId="ListLabel1923">
    <w:name w:val="ListLabel 1923"/>
    <w:qFormat/>
    <w:rPr>
      <w:rFonts w:cs="Symbol"/>
    </w:rPr>
  </w:style>
  <w:style w:type="character" w:styleId="ListLabel1924">
    <w:name w:val="ListLabel 1924"/>
    <w:qFormat/>
    <w:rPr>
      <w:rFonts w:cs="Courier New"/>
    </w:rPr>
  </w:style>
  <w:style w:type="character" w:styleId="ListLabel1925">
    <w:name w:val="ListLabel 1925"/>
    <w:qFormat/>
    <w:rPr>
      <w:rFonts w:cs="Wingdings"/>
    </w:rPr>
  </w:style>
  <w:style w:type="character" w:styleId="ListLabel1926">
    <w:name w:val="ListLabel 1926"/>
    <w:qFormat/>
    <w:rPr>
      <w:rFonts w:cs="Symbol"/>
    </w:rPr>
  </w:style>
  <w:style w:type="character" w:styleId="ListLabel1927">
    <w:name w:val="ListLabel 1927"/>
    <w:qFormat/>
    <w:rPr>
      <w:rFonts w:cs="Courier New"/>
    </w:rPr>
  </w:style>
  <w:style w:type="character" w:styleId="ListLabel1928">
    <w:name w:val="ListLabel 1928"/>
    <w:qFormat/>
    <w:rPr>
      <w:rFonts w:cs="Wingdings"/>
    </w:rPr>
  </w:style>
  <w:style w:type="character" w:styleId="ListLabel1929">
    <w:name w:val="ListLabel 1929"/>
    <w:qFormat/>
    <w:rPr>
      <w:rFonts w:cs="Wingdings"/>
    </w:rPr>
  </w:style>
  <w:style w:type="character" w:styleId="ListLabel1930">
    <w:name w:val="ListLabel 1930"/>
    <w:qFormat/>
    <w:rPr>
      <w:rFonts w:cs="Courier New"/>
    </w:rPr>
  </w:style>
  <w:style w:type="character" w:styleId="ListLabel1931">
    <w:name w:val="ListLabel 1931"/>
    <w:qFormat/>
    <w:rPr>
      <w:rFonts w:cs="Wingdings"/>
    </w:rPr>
  </w:style>
  <w:style w:type="character" w:styleId="ListLabel1932">
    <w:name w:val="ListLabel 1932"/>
    <w:qFormat/>
    <w:rPr>
      <w:rFonts w:cs="Symbol"/>
    </w:rPr>
  </w:style>
  <w:style w:type="character" w:styleId="ListLabel1933">
    <w:name w:val="ListLabel 1933"/>
    <w:qFormat/>
    <w:rPr>
      <w:rFonts w:cs="Courier New"/>
    </w:rPr>
  </w:style>
  <w:style w:type="character" w:styleId="ListLabel1934">
    <w:name w:val="ListLabel 1934"/>
    <w:qFormat/>
    <w:rPr>
      <w:rFonts w:cs="Wingdings"/>
    </w:rPr>
  </w:style>
  <w:style w:type="character" w:styleId="ListLabel1935">
    <w:name w:val="ListLabel 1935"/>
    <w:qFormat/>
    <w:rPr>
      <w:rFonts w:cs="Symbol"/>
    </w:rPr>
  </w:style>
  <w:style w:type="character" w:styleId="ListLabel1936">
    <w:name w:val="ListLabel 1936"/>
    <w:qFormat/>
    <w:rPr>
      <w:rFonts w:cs="Courier New"/>
    </w:rPr>
  </w:style>
  <w:style w:type="character" w:styleId="ListLabel1937">
    <w:name w:val="ListLabel 1937"/>
    <w:qFormat/>
    <w:rPr>
      <w:rFonts w:cs="Wingdings"/>
    </w:rPr>
  </w:style>
  <w:style w:type="character" w:styleId="ListLabel1938">
    <w:name w:val="ListLabel 1938"/>
    <w:qFormat/>
    <w:rPr>
      <w:rFonts w:cs="Wingdings"/>
    </w:rPr>
  </w:style>
  <w:style w:type="character" w:styleId="ListLabel1939">
    <w:name w:val="ListLabel 1939"/>
    <w:qFormat/>
    <w:rPr>
      <w:rFonts w:cs="Courier New"/>
    </w:rPr>
  </w:style>
  <w:style w:type="character" w:styleId="ListLabel1940">
    <w:name w:val="ListLabel 1940"/>
    <w:qFormat/>
    <w:rPr>
      <w:rFonts w:cs="Wingdings"/>
    </w:rPr>
  </w:style>
  <w:style w:type="character" w:styleId="ListLabel1941">
    <w:name w:val="ListLabel 1941"/>
    <w:qFormat/>
    <w:rPr>
      <w:rFonts w:cs="Symbol"/>
    </w:rPr>
  </w:style>
  <w:style w:type="character" w:styleId="ListLabel1942">
    <w:name w:val="ListLabel 1942"/>
    <w:qFormat/>
    <w:rPr>
      <w:rFonts w:cs="Courier New"/>
    </w:rPr>
  </w:style>
  <w:style w:type="character" w:styleId="ListLabel1943">
    <w:name w:val="ListLabel 1943"/>
    <w:qFormat/>
    <w:rPr>
      <w:rFonts w:cs="Wingdings"/>
    </w:rPr>
  </w:style>
  <w:style w:type="character" w:styleId="ListLabel1944">
    <w:name w:val="ListLabel 1944"/>
    <w:qFormat/>
    <w:rPr>
      <w:rFonts w:cs="Symbol"/>
    </w:rPr>
  </w:style>
  <w:style w:type="character" w:styleId="ListLabel1945">
    <w:name w:val="ListLabel 1945"/>
    <w:qFormat/>
    <w:rPr>
      <w:rFonts w:cs="Courier New"/>
    </w:rPr>
  </w:style>
  <w:style w:type="character" w:styleId="ListLabel1946">
    <w:name w:val="ListLabel 1946"/>
    <w:qFormat/>
    <w:rPr>
      <w:rFonts w:cs="Wingdings"/>
    </w:rPr>
  </w:style>
  <w:style w:type="character" w:styleId="ListLabel1947">
    <w:name w:val="ListLabel 1947"/>
    <w:qFormat/>
    <w:rPr>
      <w:rFonts w:cs="Wingdings"/>
    </w:rPr>
  </w:style>
  <w:style w:type="character" w:styleId="ListLabel1948">
    <w:name w:val="ListLabel 1948"/>
    <w:qFormat/>
    <w:rPr>
      <w:rFonts w:cs="Courier New"/>
    </w:rPr>
  </w:style>
  <w:style w:type="character" w:styleId="ListLabel1949">
    <w:name w:val="ListLabel 1949"/>
    <w:qFormat/>
    <w:rPr>
      <w:rFonts w:cs="Wingdings"/>
    </w:rPr>
  </w:style>
  <w:style w:type="character" w:styleId="ListLabel1950">
    <w:name w:val="ListLabel 1950"/>
    <w:qFormat/>
    <w:rPr>
      <w:rFonts w:cs="Symbol"/>
    </w:rPr>
  </w:style>
  <w:style w:type="character" w:styleId="ListLabel1951">
    <w:name w:val="ListLabel 1951"/>
    <w:qFormat/>
    <w:rPr>
      <w:rFonts w:cs="Courier New"/>
    </w:rPr>
  </w:style>
  <w:style w:type="character" w:styleId="ListLabel1952">
    <w:name w:val="ListLabel 1952"/>
    <w:qFormat/>
    <w:rPr>
      <w:rFonts w:cs="Wingdings"/>
    </w:rPr>
  </w:style>
  <w:style w:type="character" w:styleId="ListLabel1953">
    <w:name w:val="ListLabel 1953"/>
    <w:qFormat/>
    <w:rPr>
      <w:rFonts w:cs="Symbol"/>
    </w:rPr>
  </w:style>
  <w:style w:type="character" w:styleId="ListLabel1954">
    <w:name w:val="ListLabel 1954"/>
    <w:qFormat/>
    <w:rPr>
      <w:rFonts w:cs="Courier New"/>
    </w:rPr>
  </w:style>
  <w:style w:type="character" w:styleId="ListLabel1955">
    <w:name w:val="ListLabel 1955"/>
    <w:qFormat/>
    <w:rPr>
      <w:rFonts w:cs="Wingdings"/>
    </w:rPr>
  </w:style>
  <w:style w:type="character" w:styleId="ListLabel1956">
    <w:name w:val="ListLabel 1956"/>
    <w:qFormat/>
    <w:rPr>
      <w:rFonts w:cs="Wingdings"/>
    </w:rPr>
  </w:style>
  <w:style w:type="character" w:styleId="ListLabel1957">
    <w:name w:val="ListLabel 1957"/>
    <w:qFormat/>
    <w:rPr>
      <w:rFonts w:cs="Courier New"/>
    </w:rPr>
  </w:style>
  <w:style w:type="character" w:styleId="ListLabel1958">
    <w:name w:val="ListLabel 1958"/>
    <w:qFormat/>
    <w:rPr>
      <w:rFonts w:cs="Wingdings"/>
    </w:rPr>
  </w:style>
  <w:style w:type="character" w:styleId="ListLabel1959">
    <w:name w:val="ListLabel 1959"/>
    <w:qFormat/>
    <w:rPr>
      <w:rFonts w:cs="Symbol"/>
    </w:rPr>
  </w:style>
  <w:style w:type="character" w:styleId="ListLabel1960">
    <w:name w:val="ListLabel 1960"/>
    <w:qFormat/>
    <w:rPr>
      <w:rFonts w:cs="Courier New"/>
    </w:rPr>
  </w:style>
  <w:style w:type="character" w:styleId="ListLabel1961">
    <w:name w:val="ListLabel 1961"/>
    <w:qFormat/>
    <w:rPr>
      <w:rFonts w:cs="Wingdings"/>
    </w:rPr>
  </w:style>
  <w:style w:type="character" w:styleId="ListLabel1962">
    <w:name w:val="ListLabel 1962"/>
    <w:qFormat/>
    <w:rPr>
      <w:rFonts w:cs="Symbol"/>
    </w:rPr>
  </w:style>
  <w:style w:type="character" w:styleId="ListLabel1963">
    <w:name w:val="ListLabel 1963"/>
    <w:qFormat/>
    <w:rPr>
      <w:rFonts w:cs="Courier New"/>
    </w:rPr>
  </w:style>
  <w:style w:type="character" w:styleId="ListLabel1964">
    <w:name w:val="ListLabel 1964"/>
    <w:qFormat/>
    <w:rPr>
      <w:rFonts w:cs="Wingdings"/>
    </w:rPr>
  </w:style>
  <w:style w:type="character" w:styleId="ListLabel1965">
    <w:name w:val="ListLabel 1965"/>
    <w:qFormat/>
    <w:rPr>
      <w:rFonts w:cs="Wingdings"/>
    </w:rPr>
  </w:style>
  <w:style w:type="character" w:styleId="ListLabel1966">
    <w:name w:val="ListLabel 1966"/>
    <w:qFormat/>
    <w:rPr>
      <w:rFonts w:cs="Courier New"/>
    </w:rPr>
  </w:style>
  <w:style w:type="character" w:styleId="ListLabel1967">
    <w:name w:val="ListLabel 1967"/>
    <w:qFormat/>
    <w:rPr>
      <w:rFonts w:cs="Wingdings"/>
    </w:rPr>
  </w:style>
  <w:style w:type="character" w:styleId="ListLabel1968">
    <w:name w:val="ListLabel 1968"/>
    <w:qFormat/>
    <w:rPr>
      <w:rFonts w:cs="Symbol"/>
    </w:rPr>
  </w:style>
  <w:style w:type="character" w:styleId="ListLabel1969">
    <w:name w:val="ListLabel 1969"/>
    <w:qFormat/>
    <w:rPr>
      <w:rFonts w:cs="Courier New"/>
    </w:rPr>
  </w:style>
  <w:style w:type="character" w:styleId="ListLabel1970">
    <w:name w:val="ListLabel 1970"/>
    <w:qFormat/>
    <w:rPr>
      <w:rFonts w:cs="Wingdings"/>
    </w:rPr>
  </w:style>
  <w:style w:type="character" w:styleId="ListLabel1971">
    <w:name w:val="ListLabel 1971"/>
    <w:qFormat/>
    <w:rPr>
      <w:rFonts w:cs="Symbol"/>
    </w:rPr>
  </w:style>
  <w:style w:type="character" w:styleId="ListLabel1972">
    <w:name w:val="ListLabel 1972"/>
    <w:qFormat/>
    <w:rPr>
      <w:rFonts w:cs="Courier New"/>
    </w:rPr>
  </w:style>
  <w:style w:type="character" w:styleId="ListLabel1973">
    <w:name w:val="ListLabel 1973"/>
    <w:qFormat/>
    <w:rPr>
      <w:rFonts w:cs="Wingdings"/>
    </w:rPr>
  </w:style>
  <w:style w:type="character" w:styleId="ListLabel1974">
    <w:name w:val="ListLabel 1974"/>
    <w:qFormat/>
    <w:rPr>
      <w:rFonts w:cs="Wingdings"/>
    </w:rPr>
  </w:style>
  <w:style w:type="character" w:styleId="ListLabel1975">
    <w:name w:val="ListLabel 1975"/>
    <w:qFormat/>
    <w:rPr>
      <w:rFonts w:cs="Courier New"/>
    </w:rPr>
  </w:style>
  <w:style w:type="character" w:styleId="ListLabel1976">
    <w:name w:val="ListLabel 1976"/>
    <w:qFormat/>
    <w:rPr>
      <w:rFonts w:cs="Wingdings"/>
    </w:rPr>
  </w:style>
  <w:style w:type="character" w:styleId="ListLabel1977">
    <w:name w:val="ListLabel 1977"/>
    <w:qFormat/>
    <w:rPr>
      <w:rFonts w:cs="Symbol"/>
    </w:rPr>
  </w:style>
  <w:style w:type="character" w:styleId="ListLabel1978">
    <w:name w:val="ListLabel 1978"/>
    <w:qFormat/>
    <w:rPr>
      <w:rFonts w:cs="Courier New"/>
    </w:rPr>
  </w:style>
  <w:style w:type="character" w:styleId="ListLabel1979">
    <w:name w:val="ListLabel 1979"/>
    <w:qFormat/>
    <w:rPr>
      <w:rFonts w:cs="Wingdings"/>
    </w:rPr>
  </w:style>
  <w:style w:type="character" w:styleId="ListLabel1980">
    <w:name w:val="ListLabel 1980"/>
    <w:qFormat/>
    <w:rPr>
      <w:rFonts w:cs="Symbol"/>
    </w:rPr>
  </w:style>
  <w:style w:type="character" w:styleId="ListLabel1981">
    <w:name w:val="ListLabel 1981"/>
    <w:qFormat/>
    <w:rPr>
      <w:rFonts w:cs="Courier New"/>
    </w:rPr>
  </w:style>
  <w:style w:type="character" w:styleId="ListLabel1982">
    <w:name w:val="ListLabel 1982"/>
    <w:qFormat/>
    <w:rPr>
      <w:rFonts w:cs="Wingdings"/>
    </w:rPr>
  </w:style>
  <w:style w:type="character" w:styleId="ListLabel1983">
    <w:name w:val="ListLabel 1983"/>
    <w:qFormat/>
    <w:rPr>
      <w:rFonts w:cs="Wingdings"/>
    </w:rPr>
  </w:style>
  <w:style w:type="character" w:styleId="ListLabel1984">
    <w:name w:val="ListLabel 1984"/>
    <w:qFormat/>
    <w:rPr>
      <w:rFonts w:cs="Courier New"/>
    </w:rPr>
  </w:style>
  <w:style w:type="character" w:styleId="ListLabel1985">
    <w:name w:val="ListLabel 1985"/>
    <w:qFormat/>
    <w:rPr>
      <w:rFonts w:cs="Wingdings"/>
    </w:rPr>
  </w:style>
  <w:style w:type="character" w:styleId="ListLabel1986">
    <w:name w:val="ListLabel 1986"/>
    <w:qFormat/>
    <w:rPr>
      <w:rFonts w:cs="Symbol"/>
    </w:rPr>
  </w:style>
  <w:style w:type="character" w:styleId="ListLabel1987">
    <w:name w:val="ListLabel 1987"/>
    <w:qFormat/>
    <w:rPr>
      <w:rFonts w:cs="Courier New"/>
    </w:rPr>
  </w:style>
  <w:style w:type="character" w:styleId="ListLabel1988">
    <w:name w:val="ListLabel 1988"/>
    <w:qFormat/>
    <w:rPr>
      <w:rFonts w:cs="Wingdings"/>
    </w:rPr>
  </w:style>
  <w:style w:type="character" w:styleId="ListLabel1989">
    <w:name w:val="ListLabel 1989"/>
    <w:qFormat/>
    <w:rPr>
      <w:rFonts w:cs="Symbol"/>
    </w:rPr>
  </w:style>
  <w:style w:type="character" w:styleId="ListLabel1990">
    <w:name w:val="ListLabel 1990"/>
    <w:qFormat/>
    <w:rPr>
      <w:rFonts w:cs="Courier New"/>
    </w:rPr>
  </w:style>
  <w:style w:type="character" w:styleId="ListLabel1991">
    <w:name w:val="ListLabel 1991"/>
    <w:qFormat/>
    <w:rPr>
      <w:rFonts w:cs="Wingdings"/>
    </w:rPr>
  </w:style>
  <w:style w:type="character" w:styleId="ListLabel1992">
    <w:name w:val="ListLabel 1992"/>
    <w:qFormat/>
    <w:rPr>
      <w:rFonts w:cs="Wingdings"/>
    </w:rPr>
  </w:style>
  <w:style w:type="character" w:styleId="ListLabel1993">
    <w:name w:val="ListLabel 1993"/>
    <w:qFormat/>
    <w:rPr>
      <w:rFonts w:cs="Courier New"/>
    </w:rPr>
  </w:style>
  <w:style w:type="character" w:styleId="ListLabel1994">
    <w:name w:val="ListLabel 1994"/>
    <w:qFormat/>
    <w:rPr>
      <w:rFonts w:cs="Wingdings"/>
    </w:rPr>
  </w:style>
  <w:style w:type="character" w:styleId="ListLabel1995">
    <w:name w:val="ListLabel 1995"/>
    <w:qFormat/>
    <w:rPr>
      <w:rFonts w:cs="Symbol"/>
    </w:rPr>
  </w:style>
  <w:style w:type="character" w:styleId="ListLabel1996">
    <w:name w:val="ListLabel 1996"/>
    <w:qFormat/>
    <w:rPr>
      <w:rFonts w:cs="Courier New"/>
    </w:rPr>
  </w:style>
  <w:style w:type="character" w:styleId="ListLabel1997">
    <w:name w:val="ListLabel 1997"/>
    <w:qFormat/>
    <w:rPr>
      <w:rFonts w:cs="Wingdings"/>
    </w:rPr>
  </w:style>
  <w:style w:type="character" w:styleId="ListLabel1998">
    <w:name w:val="ListLabel 1998"/>
    <w:qFormat/>
    <w:rPr>
      <w:rFonts w:cs="Symbol"/>
    </w:rPr>
  </w:style>
  <w:style w:type="character" w:styleId="ListLabel1999">
    <w:name w:val="ListLabel 1999"/>
    <w:qFormat/>
    <w:rPr>
      <w:rFonts w:cs="Courier New"/>
    </w:rPr>
  </w:style>
  <w:style w:type="character" w:styleId="ListLabel2000">
    <w:name w:val="ListLabel 2000"/>
    <w:qFormat/>
    <w:rPr>
      <w:rFonts w:cs="Wingdings"/>
    </w:rPr>
  </w:style>
  <w:style w:type="character" w:styleId="ListLabel2001">
    <w:name w:val="ListLabel 2001"/>
    <w:qFormat/>
    <w:rPr>
      <w:rFonts w:cs="Wingdings"/>
    </w:rPr>
  </w:style>
  <w:style w:type="character" w:styleId="ListLabel2002">
    <w:name w:val="ListLabel 2002"/>
    <w:qFormat/>
    <w:rPr>
      <w:rFonts w:cs="Courier New"/>
    </w:rPr>
  </w:style>
  <w:style w:type="character" w:styleId="ListLabel2003">
    <w:name w:val="ListLabel 2003"/>
    <w:qFormat/>
    <w:rPr>
      <w:rFonts w:cs="Wingdings"/>
    </w:rPr>
  </w:style>
  <w:style w:type="character" w:styleId="ListLabel2004">
    <w:name w:val="ListLabel 2004"/>
    <w:qFormat/>
    <w:rPr>
      <w:rFonts w:cs="Symbol"/>
    </w:rPr>
  </w:style>
  <w:style w:type="character" w:styleId="ListLabel2005">
    <w:name w:val="ListLabel 2005"/>
    <w:qFormat/>
    <w:rPr>
      <w:rFonts w:cs="Courier New"/>
    </w:rPr>
  </w:style>
  <w:style w:type="character" w:styleId="ListLabel2006">
    <w:name w:val="ListLabel 2006"/>
    <w:qFormat/>
    <w:rPr>
      <w:rFonts w:cs="Wingdings"/>
    </w:rPr>
  </w:style>
  <w:style w:type="character" w:styleId="ListLabel2007">
    <w:name w:val="ListLabel 2007"/>
    <w:qFormat/>
    <w:rPr>
      <w:rFonts w:cs="Symbol"/>
    </w:rPr>
  </w:style>
  <w:style w:type="character" w:styleId="ListLabel2008">
    <w:name w:val="ListLabel 2008"/>
    <w:qFormat/>
    <w:rPr>
      <w:rFonts w:cs="Courier New"/>
    </w:rPr>
  </w:style>
  <w:style w:type="character" w:styleId="ListLabel2009">
    <w:name w:val="ListLabel 2009"/>
    <w:qFormat/>
    <w:rPr>
      <w:rFonts w:cs="Wingdings"/>
    </w:rPr>
  </w:style>
  <w:style w:type="character" w:styleId="ListLabel2010">
    <w:name w:val="ListLabel 2010"/>
    <w:qFormat/>
    <w:rPr>
      <w:rFonts w:cs="Wingdings"/>
    </w:rPr>
  </w:style>
  <w:style w:type="character" w:styleId="ListLabel2011">
    <w:name w:val="ListLabel 2011"/>
    <w:qFormat/>
    <w:rPr>
      <w:rFonts w:cs="Courier New"/>
    </w:rPr>
  </w:style>
  <w:style w:type="character" w:styleId="ListLabel2012">
    <w:name w:val="ListLabel 2012"/>
    <w:qFormat/>
    <w:rPr>
      <w:rFonts w:cs="Wingdings"/>
    </w:rPr>
  </w:style>
  <w:style w:type="character" w:styleId="ListLabel2013">
    <w:name w:val="ListLabel 2013"/>
    <w:qFormat/>
    <w:rPr>
      <w:rFonts w:cs="Symbol"/>
    </w:rPr>
  </w:style>
  <w:style w:type="character" w:styleId="ListLabel2014">
    <w:name w:val="ListLabel 2014"/>
    <w:qFormat/>
    <w:rPr>
      <w:rFonts w:cs="Courier New"/>
    </w:rPr>
  </w:style>
  <w:style w:type="character" w:styleId="ListLabel2015">
    <w:name w:val="ListLabel 2015"/>
    <w:qFormat/>
    <w:rPr>
      <w:rFonts w:cs="Wingdings"/>
    </w:rPr>
  </w:style>
  <w:style w:type="character" w:styleId="ListLabel2016">
    <w:name w:val="ListLabel 2016"/>
    <w:qFormat/>
    <w:rPr>
      <w:rFonts w:cs="Symbol"/>
    </w:rPr>
  </w:style>
  <w:style w:type="character" w:styleId="ListLabel2017">
    <w:name w:val="ListLabel 2017"/>
    <w:qFormat/>
    <w:rPr>
      <w:rFonts w:cs="Courier New"/>
    </w:rPr>
  </w:style>
  <w:style w:type="character" w:styleId="ListLabel2018">
    <w:name w:val="ListLabel 2018"/>
    <w:qFormat/>
    <w:rPr>
      <w:rFonts w:cs="Wingdings"/>
    </w:rPr>
  </w:style>
  <w:style w:type="character" w:styleId="ListLabel2019">
    <w:name w:val="ListLabel 2019"/>
    <w:qFormat/>
    <w:rPr>
      <w:rFonts w:cs="Wingdings"/>
    </w:rPr>
  </w:style>
  <w:style w:type="character" w:styleId="ListLabel2020">
    <w:name w:val="ListLabel 2020"/>
    <w:qFormat/>
    <w:rPr>
      <w:rFonts w:cs="Courier New"/>
    </w:rPr>
  </w:style>
  <w:style w:type="character" w:styleId="ListLabel2021">
    <w:name w:val="ListLabel 2021"/>
    <w:qFormat/>
    <w:rPr>
      <w:rFonts w:cs="Wingdings"/>
    </w:rPr>
  </w:style>
  <w:style w:type="character" w:styleId="ListLabel2022">
    <w:name w:val="ListLabel 2022"/>
    <w:qFormat/>
    <w:rPr>
      <w:rFonts w:cs="Symbol"/>
    </w:rPr>
  </w:style>
  <w:style w:type="character" w:styleId="ListLabel2023">
    <w:name w:val="ListLabel 2023"/>
    <w:qFormat/>
    <w:rPr>
      <w:rFonts w:cs="Courier New"/>
    </w:rPr>
  </w:style>
  <w:style w:type="character" w:styleId="ListLabel2024">
    <w:name w:val="ListLabel 2024"/>
    <w:qFormat/>
    <w:rPr>
      <w:rFonts w:cs="Wingdings"/>
    </w:rPr>
  </w:style>
  <w:style w:type="character" w:styleId="ListLabel2025">
    <w:name w:val="ListLabel 2025"/>
    <w:qFormat/>
    <w:rPr>
      <w:rFonts w:cs="Symbol"/>
    </w:rPr>
  </w:style>
  <w:style w:type="character" w:styleId="ListLabel2026">
    <w:name w:val="ListLabel 2026"/>
    <w:qFormat/>
    <w:rPr>
      <w:rFonts w:cs="Courier New"/>
    </w:rPr>
  </w:style>
  <w:style w:type="character" w:styleId="ListLabel2027">
    <w:name w:val="ListLabel 2027"/>
    <w:qFormat/>
    <w:rPr>
      <w:rFonts w:cs="Wingdings"/>
    </w:rPr>
  </w:style>
  <w:style w:type="character" w:styleId="ListLabel2028">
    <w:name w:val="ListLabel 2028"/>
    <w:qFormat/>
    <w:rPr>
      <w:rFonts w:cs="Wingdings"/>
    </w:rPr>
  </w:style>
  <w:style w:type="character" w:styleId="ListLabel2029">
    <w:name w:val="ListLabel 2029"/>
    <w:qFormat/>
    <w:rPr>
      <w:rFonts w:cs="Courier New"/>
    </w:rPr>
  </w:style>
  <w:style w:type="character" w:styleId="ListLabel2030">
    <w:name w:val="ListLabel 2030"/>
    <w:qFormat/>
    <w:rPr>
      <w:rFonts w:cs="Wingdings"/>
    </w:rPr>
  </w:style>
  <w:style w:type="character" w:styleId="ListLabel2031">
    <w:name w:val="ListLabel 2031"/>
    <w:qFormat/>
    <w:rPr>
      <w:rFonts w:cs="Symbol"/>
    </w:rPr>
  </w:style>
  <w:style w:type="character" w:styleId="ListLabel2032">
    <w:name w:val="ListLabel 2032"/>
    <w:qFormat/>
    <w:rPr>
      <w:rFonts w:cs="Courier New"/>
    </w:rPr>
  </w:style>
  <w:style w:type="character" w:styleId="ListLabel2033">
    <w:name w:val="ListLabel 2033"/>
    <w:qFormat/>
    <w:rPr>
      <w:rFonts w:cs="Wingdings"/>
    </w:rPr>
  </w:style>
  <w:style w:type="character" w:styleId="ListLabel2034">
    <w:name w:val="ListLabel 2034"/>
    <w:qFormat/>
    <w:rPr>
      <w:rFonts w:cs="Symbol"/>
    </w:rPr>
  </w:style>
  <w:style w:type="character" w:styleId="ListLabel2035">
    <w:name w:val="ListLabel 2035"/>
    <w:qFormat/>
    <w:rPr>
      <w:rFonts w:cs="Courier New"/>
    </w:rPr>
  </w:style>
  <w:style w:type="character" w:styleId="ListLabel2036">
    <w:name w:val="ListLabel 2036"/>
    <w:qFormat/>
    <w:rPr>
      <w:rFonts w:cs="Wingdings"/>
    </w:rPr>
  </w:style>
  <w:style w:type="character" w:styleId="ListLabel2037">
    <w:name w:val="ListLabel 2037"/>
    <w:qFormat/>
    <w:rPr>
      <w:rFonts w:cs="Wingdings"/>
    </w:rPr>
  </w:style>
  <w:style w:type="character" w:styleId="ListLabel2038">
    <w:name w:val="ListLabel 2038"/>
    <w:qFormat/>
    <w:rPr>
      <w:rFonts w:cs="Courier New"/>
    </w:rPr>
  </w:style>
  <w:style w:type="character" w:styleId="ListLabel2039">
    <w:name w:val="ListLabel 2039"/>
    <w:qFormat/>
    <w:rPr>
      <w:rFonts w:cs="Wingdings"/>
    </w:rPr>
  </w:style>
  <w:style w:type="character" w:styleId="ListLabel2040">
    <w:name w:val="ListLabel 2040"/>
    <w:qFormat/>
    <w:rPr>
      <w:rFonts w:cs="Symbol"/>
    </w:rPr>
  </w:style>
  <w:style w:type="character" w:styleId="ListLabel2041">
    <w:name w:val="ListLabel 2041"/>
    <w:qFormat/>
    <w:rPr>
      <w:rFonts w:cs="Courier New"/>
    </w:rPr>
  </w:style>
  <w:style w:type="character" w:styleId="ListLabel2042">
    <w:name w:val="ListLabel 2042"/>
    <w:qFormat/>
    <w:rPr>
      <w:rFonts w:cs="Wingdings"/>
    </w:rPr>
  </w:style>
  <w:style w:type="character" w:styleId="ListLabel2043">
    <w:name w:val="ListLabel 2043"/>
    <w:qFormat/>
    <w:rPr>
      <w:rFonts w:cs="Symbol"/>
    </w:rPr>
  </w:style>
  <w:style w:type="character" w:styleId="ListLabel2044">
    <w:name w:val="ListLabel 2044"/>
    <w:qFormat/>
    <w:rPr>
      <w:rFonts w:cs="Courier New"/>
    </w:rPr>
  </w:style>
  <w:style w:type="character" w:styleId="ListLabel2045">
    <w:name w:val="ListLabel 2045"/>
    <w:qFormat/>
    <w:rPr>
      <w:rFonts w:cs="Wingdings"/>
    </w:rPr>
  </w:style>
  <w:style w:type="character" w:styleId="ListLabel2046">
    <w:name w:val="ListLabel 2046"/>
    <w:qFormat/>
    <w:rPr>
      <w:sz w:val="20"/>
    </w:rPr>
  </w:style>
  <w:style w:type="character" w:styleId="ListLabel2047">
    <w:name w:val="ListLabel 2047"/>
    <w:qFormat/>
    <w:rPr>
      <w:rFonts w:cs="Wingdings"/>
    </w:rPr>
  </w:style>
  <w:style w:type="character" w:styleId="ListLabel2048">
    <w:name w:val="ListLabel 2048"/>
    <w:qFormat/>
    <w:rPr>
      <w:rFonts w:cs="Courier New"/>
    </w:rPr>
  </w:style>
  <w:style w:type="character" w:styleId="ListLabel2049">
    <w:name w:val="ListLabel 2049"/>
    <w:qFormat/>
    <w:rPr>
      <w:rFonts w:cs="Wingdings"/>
    </w:rPr>
  </w:style>
  <w:style w:type="character" w:styleId="ListLabel2050">
    <w:name w:val="ListLabel 2050"/>
    <w:qFormat/>
    <w:rPr>
      <w:rFonts w:cs="Symbol"/>
    </w:rPr>
  </w:style>
  <w:style w:type="character" w:styleId="ListLabel2051">
    <w:name w:val="ListLabel 2051"/>
    <w:qFormat/>
    <w:rPr>
      <w:rFonts w:cs="Courier New"/>
    </w:rPr>
  </w:style>
  <w:style w:type="character" w:styleId="ListLabel2052">
    <w:name w:val="ListLabel 2052"/>
    <w:qFormat/>
    <w:rPr>
      <w:rFonts w:cs="Wingdings"/>
    </w:rPr>
  </w:style>
  <w:style w:type="character" w:styleId="ListLabel2053">
    <w:name w:val="ListLabel 2053"/>
    <w:qFormat/>
    <w:rPr>
      <w:rFonts w:cs="Symbol"/>
    </w:rPr>
  </w:style>
  <w:style w:type="character" w:styleId="ListLabel2054">
    <w:name w:val="ListLabel 2054"/>
    <w:qFormat/>
    <w:rPr>
      <w:rFonts w:cs="Courier New"/>
    </w:rPr>
  </w:style>
  <w:style w:type="character" w:styleId="ListLabel2055">
    <w:name w:val="ListLabel 2055"/>
    <w:qFormat/>
    <w:rPr>
      <w:rFonts w:cs="Wingdings"/>
    </w:rPr>
  </w:style>
  <w:style w:type="character" w:styleId="ListLabel2056">
    <w:name w:val="ListLabel 2056"/>
    <w:qFormat/>
    <w:rPr>
      <w:sz w:val="20"/>
    </w:rPr>
  </w:style>
  <w:style w:type="character" w:styleId="ListLabel2057">
    <w:name w:val="ListLabel 2057"/>
    <w:qFormat/>
    <w:rPr>
      <w:sz w:val="20"/>
    </w:rPr>
  </w:style>
  <w:style w:type="character" w:styleId="ListLabel2058">
    <w:name w:val="ListLabel 2058"/>
    <w:qFormat/>
    <w:rPr>
      <w:rFonts w:ascii="Times New Roman" w:hAnsi="Times New Roman"/>
      <w:sz w:val="24"/>
    </w:rPr>
  </w:style>
  <w:style w:type="character" w:styleId="ListLabel2059">
    <w:name w:val="ListLabel 2059"/>
    <w:qFormat/>
    <w:rPr>
      <w:rFonts w:cs="Wingdings"/>
    </w:rPr>
  </w:style>
  <w:style w:type="character" w:styleId="ListLabel2060">
    <w:name w:val="ListLabel 2060"/>
    <w:qFormat/>
    <w:rPr>
      <w:rFonts w:cs="Courier New"/>
    </w:rPr>
  </w:style>
  <w:style w:type="character" w:styleId="ListLabel2061">
    <w:name w:val="ListLabel 2061"/>
    <w:qFormat/>
    <w:rPr>
      <w:rFonts w:cs="Wingdings"/>
    </w:rPr>
  </w:style>
  <w:style w:type="character" w:styleId="ListLabel2062">
    <w:name w:val="ListLabel 2062"/>
    <w:qFormat/>
    <w:rPr>
      <w:rFonts w:cs="Symbol"/>
    </w:rPr>
  </w:style>
  <w:style w:type="character" w:styleId="ListLabel2063">
    <w:name w:val="ListLabel 2063"/>
    <w:qFormat/>
    <w:rPr>
      <w:rFonts w:cs="Courier New"/>
    </w:rPr>
  </w:style>
  <w:style w:type="character" w:styleId="ListLabel2064">
    <w:name w:val="ListLabel 2064"/>
    <w:qFormat/>
    <w:rPr>
      <w:rFonts w:cs="Wingdings"/>
    </w:rPr>
  </w:style>
  <w:style w:type="character" w:styleId="ListLabel2065">
    <w:name w:val="ListLabel 2065"/>
    <w:qFormat/>
    <w:rPr>
      <w:rFonts w:cs="Symbol"/>
    </w:rPr>
  </w:style>
  <w:style w:type="character" w:styleId="ListLabel2066">
    <w:name w:val="ListLabel 2066"/>
    <w:qFormat/>
    <w:rPr>
      <w:rFonts w:cs="Courier New"/>
    </w:rPr>
  </w:style>
  <w:style w:type="character" w:styleId="ListLabel2067">
    <w:name w:val="ListLabel 2067"/>
    <w:qFormat/>
    <w:rPr>
      <w:rFonts w:cs="Wingdings"/>
    </w:rPr>
  </w:style>
  <w:style w:type="character" w:styleId="ListLabel2068">
    <w:name w:val="ListLabel 2068"/>
    <w:qFormat/>
    <w:rPr>
      <w:rFonts w:cs="Wingdings"/>
    </w:rPr>
  </w:style>
  <w:style w:type="character" w:styleId="ListLabel2069">
    <w:name w:val="ListLabel 2069"/>
    <w:qFormat/>
    <w:rPr>
      <w:rFonts w:cs="Courier New"/>
    </w:rPr>
  </w:style>
  <w:style w:type="character" w:styleId="ListLabel2070">
    <w:name w:val="ListLabel 2070"/>
    <w:qFormat/>
    <w:rPr>
      <w:rFonts w:cs="Wingdings"/>
    </w:rPr>
  </w:style>
  <w:style w:type="character" w:styleId="ListLabel2071">
    <w:name w:val="ListLabel 2071"/>
    <w:qFormat/>
    <w:rPr>
      <w:rFonts w:cs="Symbol"/>
    </w:rPr>
  </w:style>
  <w:style w:type="character" w:styleId="ListLabel2072">
    <w:name w:val="ListLabel 2072"/>
    <w:qFormat/>
    <w:rPr>
      <w:rFonts w:cs="Courier New"/>
    </w:rPr>
  </w:style>
  <w:style w:type="character" w:styleId="ListLabel2073">
    <w:name w:val="ListLabel 2073"/>
    <w:qFormat/>
    <w:rPr>
      <w:rFonts w:cs="Wingdings"/>
    </w:rPr>
  </w:style>
  <w:style w:type="character" w:styleId="ListLabel2074">
    <w:name w:val="ListLabel 2074"/>
    <w:qFormat/>
    <w:rPr>
      <w:rFonts w:cs="Symbol"/>
    </w:rPr>
  </w:style>
  <w:style w:type="character" w:styleId="ListLabel2075">
    <w:name w:val="ListLabel 2075"/>
    <w:qFormat/>
    <w:rPr>
      <w:rFonts w:cs="Courier New"/>
    </w:rPr>
  </w:style>
  <w:style w:type="character" w:styleId="ListLabel2076">
    <w:name w:val="ListLabel 2076"/>
    <w:qFormat/>
    <w:rPr>
      <w:rFonts w:cs="Wingdings"/>
    </w:rPr>
  </w:style>
  <w:style w:type="character" w:styleId="ListLabel2077">
    <w:name w:val="ListLabel 2077"/>
    <w:qFormat/>
    <w:rPr>
      <w:rFonts w:cs="Wingdings"/>
    </w:rPr>
  </w:style>
  <w:style w:type="character" w:styleId="ListLabel2078">
    <w:name w:val="ListLabel 2078"/>
    <w:qFormat/>
    <w:rPr>
      <w:rFonts w:cs="Courier New"/>
    </w:rPr>
  </w:style>
  <w:style w:type="character" w:styleId="ListLabel2079">
    <w:name w:val="ListLabel 2079"/>
    <w:qFormat/>
    <w:rPr>
      <w:rFonts w:cs="Wingdings"/>
    </w:rPr>
  </w:style>
  <w:style w:type="character" w:styleId="ListLabel2080">
    <w:name w:val="ListLabel 2080"/>
    <w:qFormat/>
    <w:rPr>
      <w:rFonts w:cs="Symbol"/>
    </w:rPr>
  </w:style>
  <w:style w:type="character" w:styleId="ListLabel2081">
    <w:name w:val="ListLabel 2081"/>
    <w:qFormat/>
    <w:rPr>
      <w:rFonts w:cs="Courier New"/>
    </w:rPr>
  </w:style>
  <w:style w:type="character" w:styleId="ListLabel2082">
    <w:name w:val="ListLabel 2082"/>
    <w:qFormat/>
    <w:rPr>
      <w:rFonts w:cs="Wingdings"/>
    </w:rPr>
  </w:style>
  <w:style w:type="character" w:styleId="ListLabel2083">
    <w:name w:val="ListLabel 2083"/>
    <w:qFormat/>
    <w:rPr>
      <w:rFonts w:cs="Symbol"/>
    </w:rPr>
  </w:style>
  <w:style w:type="character" w:styleId="ListLabel2084">
    <w:name w:val="ListLabel 2084"/>
    <w:qFormat/>
    <w:rPr>
      <w:rFonts w:cs="Courier New"/>
    </w:rPr>
  </w:style>
  <w:style w:type="character" w:styleId="ListLabel2085">
    <w:name w:val="ListLabel 2085"/>
    <w:qFormat/>
    <w:rPr>
      <w:rFonts w:cs="Wingdings"/>
    </w:rPr>
  </w:style>
  <w:style w:type="character" w:styleId="ListLabel2086">
    <w:name w:val="ListLabel 2086"/>
    <w:qFormat/>
    <w:rPr>
      <w:rFonts w:cs="Wingdings"/>
    </w:rPr>
  </w:style>
  <w:style w:type="character" w:styleId="ListLabel2087">
    <w:name w:val="ListLabel 2087"/>
    <w:qFormat/>
    <w:rPr>
      <w:rFonts w:cs="Courier New"/>
    </w:rPr>
  </w:style>
  <w:style w:type="character" w:styleId="ListLabel2088">
    <w:name w:val="ListLabel 2088"/>
    <w:qFormat/>
    <w:rPr>
      <w:rFonts w:cs="Wingdings"/>
    </w:rPr>
  </w:style>
  <w:style w:type="character" w:styleId="ListLabel2089">
    <w:name w:val="ListLabel 2089"/>
    <w:qFormat/>
    <w:rPr>
      <w:rFonts w:cs="Symbol"/>
    </w:rPr>
  </w:style>
  <w:style w:type="character" w:styleId="ListLabel2090">
    <w:name w:val="ListLabel 2090"/>
    <w:qFormat/>
    <w:rPr>
      <w:rFonts w:cs="Courier New"/>
    </w:rPr>
  </w:style>
  <w:style w:type="character" w:styleId="ListLabel2091">
    <w:name w:val="ListLabel 2091"/>
    <w:qFormat/>
    <w:rPr>
      <w:rFonts w:cs="Wingdings"/>
    </w:rPr>
  </w:style>
  <w:style w:type="character" w:styleId="ListLabel2092">
    <w:name w:val="ListLabel 2092"/>
    <w:qFormat/>
    <w:rPr>
      <w:rFonts w:cs="Symbol"/>
    </w:rPr>
  </w:style>
  <w:style w:type="character" w:styleId="ListLabel2093">
    <w:name w:val="ListLabel 2093"/>
    <w:qFormat/>
    <w:rPr>
      <w:rFonts w:cs="Courier New"/>
    </w:rPr>
  </w:style>
  <w:style w:type="character" w:styleId="ListLabel2094">
    <w:name w:val="ListLabel 2094"/>
    <w:qFormat/>
    <w:rPr>
      <w:rFonts w:cs="Wingdings"/>
    </w:rPr>
  </w:style>
  <w:style w:type="character" w:styleId="ListLabel2095">
    <w:name w:val="ListLabel 2095"/>
    <w:qFormat/>
    <w:rPr>
      <w:rFonts w:cs="Wingdings"/>
    </w:rPr>
  </w:style>
  <w:style w:type="character" w:styleId="ListLabel2096">
    <w:name w:val="ListLabel 2096"/>
    <w:qFormat/>
    <w:rPr>
      <w:rFonts w:cs="Courier New"/>
    </w:rPr>
  </w:style>
  <w:style w:type="character" w:styleId="ListLabel2097">
    <w:name w:val="ListLabel 2097"/>
    <w:qFormat/>
    <w:rPr>
      <w:rFonts w:cs="Wingdings"/>
    </w:rPr>
  </w:style>
  <w:style w:type="character" w:styleId="ListLabel2098">
    <w:name w:val="ListLabel 2098"/>
    <w:qFormat/>
    <w:rPr>
      <w:rFonts w:cs="Symbol"/>
    </w:rPr>
  </w:style>
  <w:style w:type="character" w:styleId="ListLabel2099">
    <w:name w:val="ListLabel 2099"/>
    <w:qFormat/>
    <w:rPr>
      <w:rFonts w:cs="Courier New"/>
    </w:rPr>
  </w:style>
  <w:style w:type="character" w:styleId="ListLabel2100">
    <w:name w:val="ListLabel 2100"/>
    <w:qFormat/>
    <w:rPr>
      <w:rFonts w:cs="Wingdings"/>
    </w:rPr>
  </w:style>
  <w:style w:type="character" w:styleId="ListLabel2101">
    <w:name w:val="ListLabel 2101"/>
    <w:qFormat/>
    <w:rPr>
      <w:rFonts w:cs="Symbol"/>
    </w:rPr>
  </w:style>
  <w:style w:type="character" w:styleId="ListLabel2102">
    <w:name w:val="ListLabel 2102"/>
    <w:qFormat/>
    <w:rPr>
      <w:rFonts w:cs="Courier New"/>
    </w:rPr>
  </w:style>
  <w:style w:type="character" w:styleId="ListLabel2103">
    <w:name w:val="ListLabel 2103"/>
    <w:qFormat/>
    <w:rPr>
      <w:rFonts w:cs="Wingdings"/>
    </w:rPr>
  </w:style>
  <w:style w:type="character" w:styleId="ListLabel2104">
    <w:name w:val="ListLabel 2104"/>
    <w:qFormat/>
    <w:rPr>
      <w:rFonts w:cs="Wingdings"/>
    </w:rPr>
  </w:style>
  <w:style w:type="character" w:styleId="ListLabel2105">
    <w:name w:val="ListLabel 2105"/>
    <w:qFormat/>
    <w:rPr>
      <w:rFonts w:cs="Courier New"/>
    </w:rPr>
  </w:style>
  <w:style w:type="character" w:styleId="ListLabel2106">
    <w:name w:val="ListLabel 2106"/>
    <w:qFormat/>
    <w:rPr>
      <w:rFonts w:cs="Wingdings"/>
    </w:rPr>
  </w:style>
  <w:style w:type="character" w:styleId="ListLabel2107">
    <w:name w:val="ListLabel 2107"/>
    <w:qFormat/>
    <w:rPr>
      <w:rFonts w:cs="Symbol"/>
    </w:rPr>
  </w:style>
  <w:style w:type="character" w:styleId="ListLabel2108">
    <w:name w:val="ListLabel 2108"/>
    <w:qFormat/>
    <w:rPr>
      <w:rFonts w:cs="Courier New"/>
    </w:rPr>
  </w:style>
  <w:style w:type="character" w:styleId="ListLabel2109">
    <w:name w:val="ListLabel 2109"/>
    <w:qFormat/>
    <w:rPr>
      <w:rFonts w:cs="Wingdings"/>
    </w:rPr>
  </w:style>
  <w:style w:type="character" w:styleId="ListLabel2110">
    <w:name w:val="ListLabel 2110"/>
    <w:qFormat/>
    <w:rPr>
      <w:rFonts w:cs="Symbol"/>
    </w:rPr>
  </w:style>
  <w:style w:type="character" w:styleId="ListLabel2111">
    <w:name w:val="ListLabel 2111"/>
    <w:qFormat/>
    <w:rPr>
      <w:rFonts w:cs="Courier New"/>
    </w:rPr>
  </w:style>
  <w:style w:type="character" w:styleId="ListLabel2112">
    <w:name w:val="ListLabel 2112"/>
    <w:qFormat/>
    <w:rPr>
      <w:rFonts w:cs="Wingdings"/>
    </w:rPr>
  </w:style>
  <w:style w:type="character" w:styleId="ListLabel2113">
    <w:name w:val="ListLabel 2113"/>
    <w:qFormat/>
    <w:rPr>
      <w:rFonts w:cs="Wingdings"/>
    </w:rPr>
  </w:style>
  <w:style w:type="character" w:styleId="ListLabel2114">
    <w:name w:val="ListLabel 2114"/>
    <w:qFormat/>
    <w:rPr>
      <w:rFonts w:cs="Courier New"/>
    </w:rPr>
  </w:style>
  <w:style w:type="character" w:styleId="ListLabel2115">
    <w:name w:val="ListLabel 2115"/>
    <w:qFormat/>
    <w:rPr>
      <w:rFonts w:cs="Wingdings"/>
    </w:rPr>
  </w:style>
  <w:style w:type="character" w:styleId="ListLabel2116">
    <w:name w:val="ListLabel 2116"/>
    <w:qFormat/>
    <w:rPr>
      <w:rFonts w:cs="Symbol"/>
    </w:rPr>
  </w:style>
  <w:style w:type="character" w:styleId="ListLabel2117">
    <w:name w:val="ListLabel 2117"/>
    <w:qFormat/>
    <w:rPr>
      <w:rFonts w:cs="Courier New"/>
    </w:rPr>
  </w:style>
  <w:style w:type="character" w:styleId="ListLabel2118">
    <w:name w:val="ListLabel 2118"/>
    <w:qFormat/>
    <w:rPr>
      <w:rFonts w:cs="Wingdings"/>
    </w:rPr>
  </w:style>
  <w:style w:type="character" w:styleId="ListLabel2119">
    <w:name w:val="ListLabel 2119"/>
    <w:qFormat/>
    <w:rPr>
      <w:rFonts w:cs="Symbol"/>
    </w:rPr>
  </w:style>
  <w:style w:type="character" w:styleId="ListLabel2120">
    <w:name w:val="ListLabel 2120"/>
    <w:qFormat/>
    <w:rPr>
      <w:rFonts w:cs="Courier New"/>
    </w:rPr>
  </w:style>
  <w:style w:type="character" w:styleId="ListLabel2121">
    <w:name w:val="ListLabel 2121"/>
    <w:qFormat/>
    <w:rPr>
      <w:rFonts w:cs="Wingdings"/>
    </w:rPr>
  </w:style>
  <w:style w:type="character" w:styleId="ListLabel2122">
    <w:name w:val="ListLabel 2122"/>
    <w:qFormat/>
    <w:rPr>
      <w:rFonts w:cs="Wingdings"/>
    </w:rPr>
  </w:style>
  <w:style w:type="character" w:styleId="ListLabel2123">
    <w:name w:val="ListLabel 2123"/>
    <w:qFormat/>
    <w:rPr>
      <w:rFonts w:cs="Courier New"/>
    </w:rPr>
  </w:style>
  <w:style w:type="character" w:styleId="ListLabel2124">
    <w:name w:val="ListLabel 2124"/>
    <w:qFormat/>
    <w:rPr>
      <w:rFonts w:cs="Wingdings"/>
    </w:rPr>
  </w:style>
  <w:style w:type="character" w:styleId="ListLabel2125">
    <w:name w:val="ListLabel 2125"/>
    <w:qFormat/>
    <w:rPr>
      <w:rFonts w:cs="Symbol"/>
    </w:rPr>
  </w:style>
  <w:style w:type="character" w:styleId="ListLabel2126">
    <w:name w:val="ListLabel 2126"/>
    <w:qFormat/>
    <w:rPr>
      <w:rFonts w:cs="Courier New"/>
    </w:rPr>
  </w:style>
  <w:style w:type="character" w:styleId="ListLabel2127">
    <w:name w:val="ListLabel 2127"/>
    <w:qFormat/>
    <w:rPr>
      <w:rFonts w:cs="Wingdings"/>
    </w:rPr>
  </w:style>
  <w:style w:type="character" w:styleId="ListLabel2128">
    <w:name w:val="ListLabel 2128"/>
    <w:qFormat/>
    <w:rPr>
      <w:rFonts w:cs="Symbol"/>
    </w:rPr>
  </w:style>
  <w:style w:type="character" w:styleId="ListLabel2129">
    <w:name w:val="ListLabel 2129"/>
    <w:qFormat/>
    <w:rPr>
      <w:rFonts w:cs="Courier New"/>
    </w:rPr>
  </w:style>
  <w:style w:type="character" w:styleId="ListLabel2130">
    <w:name w:val="ListLabel 2130"/>
    <w:qFormat/>
    <w:rPr>
      <w:rFonts w:cs="Wingdings"/>
    </w:rPr>
  </w:style>
  <w:style w:type="character" w:styleId="ListLabel2131">
    <w:name w:val="ListLabel 2131"/>
    <w:qFormat/>
    <w:rPr>
      <w:rFonts w:cs="Wingdings"/>
    </w:rPr>
  </w:style>
  <w:style w:type="character" w:styleId="ListLabel2132">
    <w:name w:val="ListLabel 2132"/>
    <w:qFormat/>
    <w:rPr>
      <w:rFonts w:cs="Courier New"/>
    </w:rPr>
  </w:style>
  <w:style w:type="character" w:styleId="ListLabel2133">
    <w:name w:val="ListLabel 2133"/>
    <w:qFormat/>
    <w:rPr>
      <w:rFonts w:cs="Wingdings"/>
    </w:rPr>
  </w:style>
  <w:style w:type="character" w:styleId="ListLabel2134">
    <w:name w:val="ListLabel 2134"/>
    <w:qFormat/>
    <w:rPr>
      <w:rFonts w:cs="Symbol"/>
    </w:rPr>
  </w:style>
  <w:style w:type="character" w:styleId="ListLabel2135">
    <w:name w:val="ListLabel 2135"/>
    <w:qFormat/>
    <w:rPr>
      <w:rFonts w:cs="Courier New"/>
    </w:rPr>
  </w:style>
  <w:style w:type="character" w:styleId="ListLabel2136">
    <w:name w:val="ListLabel 2136"/>
    <w:qFormat/>
    <w:rPr>
      <w:rFonts w:cs="Wingdings"/>
    </w:rPr>
  </w:style>
  <w:style w:type="character" w:styleId="ListLabel2137">
    <w:name w:val="ListLabel 2137"/>
    <w:qFormat/>
    <w:rPr>
      <w:rFonts w:cs="Symbol"/>
    </w:rPr>
  </w:style>
  <w:style w:type="character" w:styleId="ListLabel2138">
    <w:name w:val="ListLabel 2138"/>
    <w:qFormat/>
    <w:rPr>
      <w:rFonts w:cs="Courier New"/>
    </w:rPr>
  </w:style>
  <w:style w:type="character" w:styleId="ListLabel2139">
    <w:name w:val="ListLabel 2139"/>
    <w:qFormat/>
    <w:rPr>
      <w:rFonts w:cs="Wingdings"/>
    </w:rPr>
  </w:style>
  <w:style w:type="character" w:styleId="ListLabel2140">
    <w:name w:val="ListLabel 2140"/>
    <w:qFormat/>
    <w:rPr>
      <w:rFonts w:cs="Wingdings"/>
    </w:rPr>
  </w:style>
  <w:style w:type="character" w:styleId="ListLabel2141">
    <w:name w:val="ListLabel 2141"/>
    <w:qFormat/>
    <w:rPr>
      <w:rFonts w:cs="Courier New"/>
    </w:rPr>
  </w:style>
  <w:style w:type="character" w:styleId="ListLabel2142">
    <w:name w:val="ListLabel 2142"/>
    <w:qFormat/>
    <w:rPr>
      <w:rFonts w:cs="Wingdings"/>
    </w:rPr>
  </w:style>
  <w:style w:type="character" w:styleId="ListLabel2143">
    <w:name w:val="ListLabel 2143"/>
    <w:qFormat/>
    <w:rPr>
      <w:rFonts w:cs="Symbol"/>
    </w:rPr>
  </w:style>
  <w:style w:type="character" w:styleId="ListLabel2144">
    <w:name w:val="ListLabel 2144"/>
    <w:qFormat/>
    <w:rPr>
      <w:rFonts w:cs="Courier New"/>
    </w:rPr>
  </w:style>
  <w:style w:type="character" w:styleId="ListLabel2145">
    <w:name w:val="ListLabel 2145"/>
    <w:qFormat/>
    <w:rPr>
      <w:rFonts w:cs="Wingdings"/>
    </w:rPr>
  </w:style>
  <w:style w:type="character" w:styleId="ListLabel2146">
    <w:name w:val="ListLabel 2146"/>
    <w:qFormat/>
    <w:rPr>
      <w:rFonts w:cs="Symbol"/>
    </w:rPr>
  </w:style>
  <w:style w:type="character" w:styleId="ListLabel2147">
    <w:name w:val="ListLabel 2147"/>
    <w:qFormat/>
    <w:rPr>
      <w:rFonts w:cs="Courier New"/>
    </w:rPr>
  </w:style>
  <w:style w:type="character" w:styleId="ListLabel2148">
    <w:name w:val="ListLabel 2148"/>
    <w:qFormat/>
    <w:rPr>
      <w:rFonts w:cs="Wingdings"/>
    </w:rPr>
  </w:style>
  <w:style w:type="character" w:styleId="ListLabel2149">
    <w:name w:val="ListLabel 2149"/>
    <w:qFormat/>
    <w:rPr>
      <w:rFonts w:cs="Wingdings"/>
    </w:rPr>
  </w:style>
  <w:style w:type="character" w:styleId="ListLabel2150">
    <w:name w:val="ListLabel 2150"/>
    <w:qFormat/>
    <w:rPr>
      <w:rFonts w:cs="Courier New"/>
    </w:rPr>
  </w:style>
  <w:style w:type="character" w:styleId="ListLabel2151">
    <w:name w:val="ListLabel 2151"/>
    <w:qFormat/>
    <w:rPr>
      <w:rFonts w:cs="Wingdings"/>
    </w:rPr>
  </w:style>
  <w:style w:type="character" w:styleId="ListLabel2152">
    <w:name w:val="ListLabel 2152"/>
    <w:qFormat/>
    <w:rPr>
      <w:rFonts w:cs="Symbol"/>
    </w:rPr>
  </w:style>
  <w:style w:type="character" w:styleId="ListLabel2153">
    <w:name w:val="ListLabel 2153"/>
    <w:qFormat/>
    <w:rPr>
      <w:rFonts w:cs="Courier New"/>
    </w:rPr>
  </w:style>
  <w:style w:type="character" w:styleId="ListLabel2154">
    <w:name w:val="ListLabel 2154"/>
    <w:qFormat/>
    <w:rPr>
      <w:rFonts w:cs="Wingdings"/>
    </w:rPr>
  </w:style>
  <w:style w:type="character" w:styleId="ListLabel2155">
    <w:name w:val="ListLabel 2155"/>
    <w:qFormat/>
    <w:rPr>
      <w:rFonts w:cs="Symbol"/>
    </w:rPr>
  </w:style>
  <w:style w:type="character" w:styleId="ListLabel2156">
    <w:name w:val="ListLabel 2156"/>
    <w:qFormat/>
    <w:rPr>
      <w:rFonts w:cs="Courier New"/>
    </w:rPr>
  </w:style>
  <w:style w:type="character" w:styleId="ListLabel2157">
    <w:name w:val="ListLabel 2157"/>
    <w:qFormat/>
    <w:rPr>
      <w:rFonts w:cs="Wingdings"/>
    </w:rPr>
  </w:style>
  <w:style w:type="character" w:styleId="ListLabel2158">
    <w:name w:val="ListLabel 2158"/>
    <w:qFormat/>
    <w:rPr>
      <w:rFonts w:cs="Wingdings"/>
    </w:rPr>
  </w:style>
  <w:style w:type="character" w:styleId="ListLabel2159">
    <w:name w:val="ListLabel 2159"/>
    <w:qFormat/>
    <w:rPr>
      <w:rFonts w:cs="Courier New"/>
    </w:rPr>
  </w:style>
  <w:style w:type="character" w:styleId="ListLabel2160">
    <w:name w:val="ListLabel 2160"/>
    <w:qFormat/>
    <w:rPr>
      <w:rFonts w:cs="Wingdings"/>
    </w:rPr>
  </w:style>
  <w:style w:type="character" w:styleId="ListLabel2161">
    <w:name w:val="ListLabel 2161"/>
    <w:qFormat/>
    <w:rPr>
      <w:rFonts w:cs="Symbol"/>
    </w:rPr>
  </w:style>
  <w:style w:type="character" w:styleId="ListLabel2162">
    <w:name w:val="ListLabel 2162"/>
    <w:qFormat/>
    <w:rPr>
      <w:rFonts w:cs="Courier New"/>
    </w:rPr>
  </w:style>
  <w:style w:type="character" w:styleId="ListLabel2163">
    <w:name w:val="ListLabel 2163"/>
    <w:qFormat/>
    <w:rPr>
      <w:rFonts w:cs="Wingdings"/>
    </w:rPr>
  </w:style>
  <w:style w:type="character" w:styleId="ListLabel2164">
    <w:name w:val="ListLabel 2164"/>
    <w:qFormat/>
    <w:rPr>
      <w:rFonts w:cs="Symbol"/>
    </w:rPr>
  </w:style>
  <w:style w:type="character" w:styleId="ListLabel2165">
    <w:name w:val="ListLabel 2165"/>
    <w:qFormat/>
    <w:rPr>
      <w:rFonts w:cs="Courier New"/>
    </w:rPr>
  </w:style>
  <w:style w:type="character" w:styleId="ListLabel2166">
    <w:name w:val="ListLabel 2166"/>
    <w:qFormat/>
    <w:rPr>
      <w:rFonts w:cs="Wingdings"/>
    </w:rPr>
  </w:style>
  <w:style w:type="character" w:styleId="ListLabel2167">
    <w:name w:val="ListLabel 2167"/>
    <w:qFormat/>
    <w:rPr>
      <w:rFonts w:cs="Wingdings"/>
    </w:rPr>
  </w:style>
  <w:style w:type="character" w:styleId="ListLabel2168">
    <w:name w:val="ListLabel 2168"/>
    <w:qFormat/>
    <w:rPr>
      <w:rFonts w:cs="Calibri"/>
    </w:rPr>
  </w:style>
  <w:style w:type="character" w:styleId="ListLabel2169">
    <w:name w:val="ListLabel 2169"/>
    <w:qFormat/>
    <w:rPr>
      <w:rFonts w:cs="Wingdings"/>
    </w:rPr>
  </w:style>
  <w:style w:type="character" w:styleId="ListLabel2170">
    <w:name w:val="ListLabel 2170"/>
    <w:qFormat/>
    <w:rPr>
      <w:rFonts w:cs="Symbol"/>
    </w:rPr>
  </w:style>
  <w:style w:type="character" w:styleId="ListLabel2171">
    <w:name w:val="ListLabel 2171"/>
    <w:qFormat/>
    <w:rPr>
      <w:rFonts w:cs="Courier New"/>
    </w:rPr>
  </w:style>
  <w:style w:type="character" w:styleId="ListLabel2172">
    <w:name w:val="ListLabel 2172"/>
    <w:qFormat/>
    <w:rPr>
      <w:rFonts w:cs="Wingdings"/>
    </w:rPr>
  </w:style>
  <w:style w:type="character" w:styleId="ListLabel2173">
    <w:name w:val="ListLabel 2173"/>
    <w:qFormat/>
    <w:rPr>
      <w:rFonts w:cs="Symbol"/>
    </w:rPr>
  </w:style>
  <w:style w:type="character" w:styleId="ListLabel2174">
    <w:name w:val="ListLabel 2174"/>
    <w:qFormat/>
    <w:rPr>
      <w:rFonts w:cs="Courier New"/>
    </w:rPr>
  </w:style>
  <w:style w:type="character" w:styleId="ListLabel2175">
    <w:name w:val="ListLabel 2175"/>
    <w:qFormat/>
    <w:rPr>
      <w:rFonts w:cs="Wingdings"/>
    </w:rPr>
  </w:style>
  <w:style w:type="character" w:styleId="ListLabel2176">
    <w:name w:val="ListLabel 2176"/>
    <w:qFormat/>
    <w:rPr>
      <w:rFonts w:cs="Wingdings"/>
    </w:rPr>
  </w:style>
  <w:style w:type="character" w:styleId="ListLabel2177">
    <w:name w:val="ListLabel 2177"/>
    <w:qFormat/>
    <w:rPr>
      <w:rFonts w:cs="Courier New"/>
    </w:rPr>
  </w:style>
  <w:style w:type="character" w:styleId="ListLabel2178">
    <w:name w:val="ListLabel 2178"/>
    <w:qFormat/>
    <w:rPr>
      <w:rFonts w:cs="Wingdings"/>
    </w:rPr>
  </w:style>
  <w:style w:type="character" w:styleId="ListLabel2179">
    <w:name w:val="ListLabel 2179"/>
    <w:qFormat/>
    <w:rPr>
      <w:rFonts w:cs="Symbol"/>
    </w:rPr>
  </w:style>
  <w:style w:type="character" w:styleId="ListLabel2180">
    <w:name w:val="ListLabel 2180"/>
    <w:qFormat/>
    <w:rPr>
      <w:rFonts w:cs="Courier New"/>
    </w:rPr>
  </w:style>
  <w:style w:type="character" w:styleId="ListLabel2181">
    <w:name w:val="ListLabel 2181"/>
    <w:qFormat/>
    <w:rPr>
      <w:rFonts w:cs="Wingdings"/>
    </w:rPr>
  </w:style>
  <w:style w:type="character" w:styleId="ListLabel2182">
    <w:name w:val="ListLabel 2182"/>
    <w:qFormat/>
    <w:rPr>
      <w:rFonts w:cs="Symbol"/>
    </w:rPr>
  </w:style>
  <w:style w:type="character" w:styleId="ListLabel2183">
    <w:name w:val="ListLabel 2183"/>
    <w:qFormat/>
    <w:rPr>
      <w:rFonts w:cs="Courier New"/>
    </w:rPr>
  </w:style>
  <w:style w:type="character" w:styleId="ListLabel2184">
    <w:name w:val="ListLabel 2184"/>
    <w:qFormat/>
    <w:rPr>
      <w:rFonts w:cs="Wingdings"/>
    </w:rPr>
  </w:style>
  <w:style w:type="character" w:styleId="ListLabel2185">
    <w:name w:val="ListLabel 2185"/>
    <w:qFormat/>
    <w:rPr>
      <w:rFonts w:cs="Wingdings"/>
    </w:rPr>
  </w:style>
  <w:style w:type="character" w:styleId="ListLabel2186">
    <w:name w:val="ListLabel 2186"/>
    <w:qFormat/>
    <w:rPr>
      <w:rFonts w:cs="Courier New"/>
    </w:rPr>
  </w:style>
  <w:style w:type="character" w:styleId="ListLabel2187">
    <w:name w:val="ListLabel 2187"/>
    <w:qFormat/>
    <w:rPr>
      <w:rFonts w:cs="Wingdings"/>
    </w:rPr>
  </w:style>
  <w:style w:type="character" w:styleId="ListLabel2188">
    <w:name w:val="ListLabel 2188"/>
    <w:qFormat/>
    <w:rPr>
      <w:rFonts w:cs="Symbol"/>
    </w:rPr>
  </w:style>
  <w:style w:type="character" w:styleId="ListLabel2189">
    <w:name w:val="ListLabel 2189"/>
    <w:qFormat/>
    <w:rPr>
      <w:rFonts w:cs="Courier New"/>
    </w:rPr>
  </w:style>
  <w:style w:type="character" w:styleId="ListLabel2190">
    <w:name w:val="ListLabel 2190"/>
    <w:qFormat/>
    <w:rPr>
      <w:rFonts w:cs="Wingdings"/>
    </w:rPr>
  </w:style>
  <w:style w:type="character" w:styleId="ListLabel2191">
    <w:name w:val="ListLabel 2191"/>
    <w:qFormat/>
    <w:rPr>
      <w:rFonts w:cs="Symbol"/>
    </w:rPr>
  </w:style>
  <w:style w:type="character" w:styleId="ListLabel2192">
    <w:name w:val="ListLabel 2192"/>
    <w:qFormat/>
    <w:rPr>
      <w:rFonts w:cs="Courier New"/>
    </w:rPr>
  </w:style>
  <w:style w:type="character" w:styleId="ListLabel2193">
    <w:name w:val="ListLabel 2193"/>
    <w:qFormat/>
    <w:rPr>
      <w:rFonts w:cs="Wingdings"/>
    </w:rPr>
  </w:style>
  <w:style w:type="character" w:styleId="ListLabel2194">
    <w:name w:val="ListLabel 2194"/>
    <w:qFormat/>
    <w:rPr>
      <w:rFonts w:cs="Wingdings"/>
    </w:rPr>
  </w:style>
  <w:style w:type="character" w:styleId="ListLabel2195">
    <w:name w:val="ListLabel 2195"/>
    <w:qFormat/>
    <w:rPr>
      <w:rFonts w:cs="Courier New"/>
    </w:rPr>
  </w:style>
  <w:style w:type="character" w:styleId="ListLabel2196">
    <w:name w:val="ListLabel 2196"/>
    <w:qFormat/>
    <w:rPr>
      <w:rFonts w:cs="Wingdings"/>
    </w:rPr>
  </w:style>
  <w:style w:type="character" w:styleId="ListLabel2197">
    <w:name w:val="ListLabel 2197"/>
    <w:qFormat/>
    <w:rPr>
      <w:rFonts w:cs="Symbol"/>
    </w:rPr>
  </w:style>
  <w:style w:type="character" w:styleId="ListLabel2198">
    <w:name w:val="ListLabel 2198"/>
    <w:qFormat/>
    <w:rPr>
      <w:rFonts w:cs="Courier New"/>
    </w:rPr>
  </w:style>
  <w:style w:type="character" w:styleId="ListLabel2199">
    <w:name w:val="ListLabel 2199"/>
    <w:qFormat/>
    <w:rPr>
      <w:rFonts w:cs="Wingdings"/>
    </w:rPr>
  </w:style>
  <w:style w:type="character" w:styleId="ListLabel2200">
    <w:name w:val="ListLabel 2200"/>
    <w:qFormat/>
    <w:rPr>
      <w:rFonts w:cs="Symbol"/>
    </w:rPr>
  </w:style>
  <w:style w:type="character" w:styleId="ListLabel2201">
    <w:name w:val="ListLabel 2201"/>
    <w:qFormat/>
    <w:rPr>
      <w:rFonts w:cs="Courier New"/>
    </w:rPr>
  </w:style>
  <w:style w:type="character" w:styleId="ListLabel2202">
    <w:name w:val="ListLabel 2202"/>
    <w:qFormat/>
    <w:rPr>
      <w:rFonts w:cs="Wingdings"/>
    </w:rPr>
  </w:style>
  <w:style w:type="character" w:styleId="ListLabel2203">
    <w:name w:val="ListLabel 2203"/>
    <w:qFormat/>
    <w:rPr>
      <w:rFonts w:cs="Wingdings"/>
    </w:rPr>
  </w:style>
  <w:style w:type="character" w:styleId="ListLabel2204">
    <w:name w:val="ListLabel 2204"/>
    <w:qFormat/>
    <w:rPr>
      <w:rFonts w:cs="Courier New"/>
    </w:rPr>
  </w:style>
  <w:style w:type="character" w:styleId="ListLabel2205">
    <w:name w:val="ListLabel 2205"/>
    <w:qFormat/>
    <w:rPr>
      <w:rFonts w:cs="Wingdings"/>
    </w:rPr>
  </w:style>
  <w:style w:type="character" w:styleId="ListLabel2206">
    <w:name w:val="ListLabel 2206"/>
    <w:qFormat/>
    <w:rPr>
      <w:rFonts w:cs="Symbol"/>
    </w:rPr>
  </w:style>
  <w:style w:type="character" w:styleId="ListLabel2207">
    <w:name w:val="ListLabel 2207"/>
    <w:qFormat/>
    <w:rPr>
      <w:rFonts w:cs="Courier New"/>
    </w:rPr>
  </w:style>
  <w:style w:type="character" w:styleId="ListLabel2208">
    <w:name w:val="ListLabel 2208"/>
    <w:qFormat/>
    <w:rPr>
      <w:rFonts w:cs="Wingdings"/>
    </w:rPr>
  </w:style>
  <w:style w:type="character" w:styleId="ListLabel2209">
    <w:name w:val="ListLabel 2209"/>
    <w:qFormat/>
    <w:rPr>
      <w:rFonts w:cs="Symbol"/>
    </w:rPr>
  </w:style>
  <w:style w:type="character" w:styleId="ListLabel2210">
    <w:name w:val="ListLabel 2210"/>
    <w:qFormat/>
    <w:rPr>
      <w:rFonts w:cs="Courier New"/>
    </w:rPr>
  </w:style>
  <w:style w:type="character" w:styleId="ListLabel2211">
    <w:name w:val="ListLabel 2211"/>
    <w:qFormat/>
    <w:rPr>
      <w:rFonts w:cs="Wingdings"/>
    </w:rPr>
  </w:style>
  <w:style w:type="character" w:styleId="ListLabel2212">
    <w:name w:val="ListLabel 2212"/>
    <w:qFormat/>
    <w:rPr>
      <w:rFonts w:cs="Wingdings"/>
    </w:rPr>
  </w:style>
  <w:style w:type="character" w:styleId="ListLabel2213">
    <w:name w:val="ListLabel 2213"/>
    <w:qFormat/>
    <w:rPr>
      <w:rFonts w:cs="Courier New"/>
    </w:rPr>
  </w:style>
  <w:style w:type="character" w:styleId="ListLabel2214">
    <w:name w:val="ListLabel 2214"/>
    <w:qFormat/>
    <w:rPr>
      <w:rFonts w:cs="Wingdings"/>
    </w:rPr>
  </w:style>
  <w:style w:type="character" w:styleId="ListLabel2215">
    <w:name w:val="ListLabel 2215"/>
    <w:qFormat/>
    <w:rPr>
      <w:rFonts w:cs="Symbol"/>
    </w:rPr>
  </w:style>
  <w:style w:type="character" w:styleId="ListLabel2216">
    <w:name w:val="ListLabel 2216"/>
    <w:qFormat/>
    <w:rPr>
      <w:rFonts w:cs="Courier New"/>
    </w:rPr>
  </w:style>
  <w:style w:type="character" w:styleId="ListLabel2217">
    <w:name w:val="ListLabel 2217"/>
    <w:qFormat/>
    <w:rPr>
      <w:rFonts w:cs="Wingdings"/>
    </w:rPr>
  </w:style>
  <w:style w:type="character" w:styleId="ListLabel2218">
    <w:name w:val="ListLabel 2218"/>
    <w:qFormat/>
    <w:rPr>
      <w:rFonts w:cs="Symbol"/>
    </w:rPr>
  </w:style>
  <w:style w:type="character" w:styleId="ListLabel2219">
    <w:name w:val="ListLabel 2219"/>
    <w:qFormat/>
    <w:rPr>
      <w:rFonts w:cs="Courier New"/>
    </w:rPr>
  </w:style>
  <w:style w:type="character" w:styleId="ListLabel2220">
    <w:name w:val="ListLabel 2220"/>
    <w:qFormat/>
    <w:rPr>
      <w:rFonts w:cs="Wingdings"/>
    </w:rPr>
  </w:style>
  <w:style w:type="character" w:styleId="ListLabel2221">
    <w:name w:val="ListLabel 2221"/>
    <w:qFormat/>
    <w:rPr>
      <w:rFonts w:cs="Wingdings"/>
    </w:rPr>
  </w:style>
  <w:style w:type="character" w:styleId="ListLabel2222">
    <w:name w:val="ListLabel 2222"/>
    <w:qFormat/>
    <w:rPr>
      <w:rFonts w:cs="Courier New"/>
    </w:rPr>
  </w:style>
  <w:style w:type="character" w:styleId="ListLabel2223">
    <w:name w:val="ListLabel 2223"/>
    <w:qFormat/>
    <w:rPr>
      <w:rFonts w:cs="Wingdings"/>
    </w:rPr>
  </w:style>
  <w:style w:type="character" w:styleId="ListLabel2224">
    <w:name w:val="ListLabel 2224"/>
    <w:qFormat/>
    <w:rPr>
      <w:rFonts w:cs="Symbol"/>
    </w:rPr>
  </w:style>
  <w:style w:type="character" w:styleId="ListLabel2225">
    <w:name w:val="ListLabel 2225"/>
    <w:qFormat/>
    <w:rPr>
      <w:rFonts w:cs="Courier New"/>
    </w:rPr>
  </w:style>
  <w:style w:type="character" w:styleId="ListLabel2226">
    <w:name w:val="ListLabel 2226"/>
    <w:qFormat/>
    <w:rPr>
      <w:rFonts w:cs="Wingdings"/>
    </w:rPr>
  </w:style>
  <w:style w:type="character" w:styleId="ListLabel2227">
    <w:name w:val="ListLabel 2227"/>
    <w:qFormat/>
    <w:rPr>
      <w:rFonts w:cs="Symbol"/>
    </w:rPr>
  </w:style>
  <w:style w:type="character" w:styleId="ListLabel2228">
    <w:name w:val="ListLabel 2228"/>
    <w:qFormat/>
    <w:rPr>
      <w:rFonts w:cs="Courier New"/>
    </w:rPr>
  </w:style>
  <w:style w:type="character" w:styleId="ListLabel2229">
    <w:name w:val="ListLabel 2229"/>
    <w:qFormat/>
    <w:rPr>
      <w:rFonts w:cs="Wingdings"/>
    </w:rPr>
  </w:style>
  <w:style w:type="character" w:styleId="ListLabel2230">
    <w:name w:val="ListLabel 2230"/>
    <w:qFormat/>
    <w:rPr>
      <w:rFonts w:cs="Wingdings"/>
    </w:rPr>
  </w:style>
  <w:style w:type="character" w:styleId="ListLabel2231">
    <w:name w:val="ListLabel 2231"/>
    <w:qFormat/>
    <w:rPr>
      <w:rFonts w:cs="Courier New"/>
    </w:rPr>
  </w:style>
  <w:style w:type="character" w:styleId="ListLabel2232">
    <w:name w:val="ListLabel 2232"/>
    <w:qFormat/>
    <w:rPr>
      <w:rFonts w:cs="Wingdings"/>
    </w:rPr>
  </w:style>
  <w:style w:type="character" w:styleId="ListLabel2233">
    <w:name w:val="ListLabel 2233"/>
    <w:qFormat/>
    <w:rPr>
      <w:rFonts w:cs="Symbol"/>
    </w:rPr>
  </w:style>
  <w:style w:type="character" w:styleId="ListLabel2234">
    <w:name w:val="ListLabel 2234"/>
    <w:qFormat/>
    <w:rPr>
      <w:rFonts w:cs="Courier New"/>
    </w:rPr>
  </w:style>
  <w:style w:type="character" w:styleId="ListLabel2235">
    <w:name w:val="ListLabel 2235"/>
    <w:qFormat/>
    <w:rPr>
      <w:rFonts w:cs="Wingdings"/>
    </w:rPr>
  </w:style>
  <w:style w:type="character" w:styleId="ListLabel2236">
    <w:name w:val="ListLabel 2236"/>
    <w:qFormat/>
    <w:rPr>
      <w:rFonts w:cs="Symbol"/>
    </w:rPr>
  </w:style>
  <w:style w:type="character" w:styleId="ListLabel2237">
    <w:name w:val="ListLabel 2237"/>
    <w:qFormat/>
    <w:rPr>
      <w:rFonts w:cs="Courier New"/>
    </w:rPr>
  </w:style>
  <w:style w:type="character" w:styleId="ListLabel2238">
    <w:name w:val="ListLabel 2238"/>
    <w:qFormat/>
    <w:rPr>
      <w:rFonts w:cs="Wingdings"/>
    </w:rPr>
  </w:style>
  <w:style w:type="character" w:styleId="ListLabel2239">
    <w:name w:val="ListLabel 2239"/>
    <w:qFormat/>
    <w:rPr>
      <w:rFonts w:cs="Wingdings"/>
    </w:rPr>
  </w:style>
  <w:style w:type="character" w:styleId="ListLabel2240">
    <w:name w:val="ListLabel 2240"/>
    <w:qFormat/>
    <w:rPr>
      <w:rFonts w:cs="Courier New"/>
    </w:rPr>
  </w:style>
  <w:style w:type="character" w:styleId="ListLabel2241">
    <w:name w:val="ListLabel 2241"/>
    <w:qFormat/>
    <w:rPr>
      <w:rFonts w:cs="Wingdings"/>
    </w:rPr>
  </w:style>
  <w:style w:type="character" w:styleId="ListLabel2242">
    <w:name w:val="ListLabel 2242"/>
    <w:qFormat/>
    <w:rPr>
      <w:rFonts w:cs="Symbol"/>
    </w:rPr>
  </w:style>
  <w:style w:type="character" w:styleId="ListLabel2243">
    <w:name w:val="ListLabel 2243"/>
    <w:qFormat/>
    <w:rPr>
      <w:rFonts w:cs="Courier New"/>
    </w:rPr>
  </w:style>
  <w:style w:type="character" w:styleId="ListLabel2244">
    <w:name w:val="ListLabel 2244"/>
    <w:qFormat/>
    <w:rPr>
      <w:rFonts w:cs="Wingdings"/>
    </w:rPr>
  </w:style>
  <w:style w:type="character" w:styleId="ListLabel2245">
    <w:name w:val="ListLabel 2245"/>
    <w:qFormat/>
    <w:rPr>
      <w:rFonts w:cs="Symbol"/>
    </w:rPr>
  </w:style>
  <w:style w:type="character" w:styleId="ListLabel2246">
    <w:name w:val="ListLabel 2246"/>
    <w:qFormat/>
    <w:rPr>
      <w:rFonts w:cs="Courier New"/>
    </w:rPr>
  </w:style>
  <w:style w:type="character" w:styleId="ListLabel2247">
    <w:name w:val="ListLabel 2247"/>
    <w:qFormat/>
    <w:rPr>
      <w:rFonts w:cs="Wingdings"/>
    </w:rPr>
  </w:style>
  <w:style w:type="character" w:styleId="ListLabel2248">
    <w:name w:val="ListLabel 2248"/>
    <w:qFormat/>
    <w:rPr>
      <w:rFonts w:cs="Wingdings"/>
    </w:rPr>
  </w:style>
  <w:style w:type="character" w:styleId="ListLabel2249">
    <w:name w:val="ListLabel 2249"/>
    <w:qFormat/>
    <w:rPr>
      <w:rFonts w:cs="Courier New"/>
    </w:rPr>
  </w:style>
  <w:style w:type="character" w:styleId="ListLabel2250">
    <w:name w:val="ListLabel 2250"/>
    <w:qFormat/>
    <w:rPr>
      <w:rFonts w:cs="Wingdings"/>
    </w:rPr>
  </w:style>
  <w:style w:type="character" w:styleId="ListLabel2251">
    <w:name w:val="ListLabel 2251"/>
    <w:qFormat/>
    <w:rPr>
      <w:rFonts w:cs="Symbol"/>
    </w:rPr>
  </w:style>
  <w:style w:type="character" w:styleId="ListLabel2252">
    <w:name w:val="ListLabel 2252"/>
    <w:qFormat/>
    <w:rPr>
      <w:rFonts w:cs="Courier New"/>
    </w:rPr>
  </w:style>
  <w:style w:type="character" w:styleId="ListLabel2253">
    <w:name w:val="ListLabel 2253"/>
    <w:qFormat/>
    <w:rPr>
      <w:rFonts w:cs="Wingdings"/>
    </w:rPr>
  </w:style>
  <w:style w:type="character" w:styleId="ListLabel2254">
    <w:name w:val="ListLabel 2254"/>
    <w:qFormat/>
    <w:rPr>
      <w:rFonts w:cs="Symbol"/>
    </w:rPr>
  </w:style>
  <w:style w:type="character" w:styleId="ListLabel2255">
    <w:name w:val="ListLabel 2255"/>
    <w:qFormat/>
    <w:rPr>
      <w:rFonts w:cs="Courier New"/>
    </w:rPr>
  </w:style>
  <w:style w:type="character" w:styleId="ListLabel2256">
    <w:name w:val="ListLabel 2256"/>
    <w:qFormat/>
    <w:rPr>
      <w:rFonts w:cs="Wingdings"/>
    </w:rPr>
  </w:style>
  <w:style w:type="character" w:styleId="ListLabel2257">
    <w:name w:val="ListLabel 2257"/>
    <w:qFormat/>
    <w:rPr>
      <w:sz w:val="20"/>
    </w:rPr>
  </w:style>
  <w:style w:type="character" w:styleId="ListLabel2258">
    <w:name w:val="ListLabel 2258"/>
    <w:qFormat/>
    <w:rPr>
      <w:rFonts w:cs="Wingdings"/>
    </w:rPr>
  </w:style>
  <w:style w:type="character" w:styleId="ListLabel2259">
    <w:name w:val="ListLabel 2259"/>
    <w:qFormat/>
    <w:rPr>
      <w:rFonts w:cs="Wingdings"/>
    </w:rPr>
  </w:style>
  <w:style w:type="character" w:styleId="ListLabel2260">
    <w:name w:val="ListLabel 2260"/>
    <w:qFormat/>
    <w:rPr>
      <w:rFonts w:cs="Courier New"/>
    </w:rPr>
  </w:style>
  <w:style w:type="character" w:styleId="ListLabel2261">
    <w:name w:val="ListLabel 2261"/>
    <w:qFormat/>
    <w:rPr>
      <w:rFonts w:cs="Wingdings"/>
    </w:rPr>
  </w:style>
  <w:style w:type="character" w:styleId="ListLabel2262">
    <w:name w:val="ListLabel 2262"/>
    <w:qFormat/>
    <w:rPr>
      <w:rFonts w:cs="Symbol"/>
    </w:rPr>
  </w:style>
  <w:style w:type="character" w:styleId="ListLabel2263">
    <w:name w:val="ListLabel 2263"/>
    <w:qFormat/>
    <w:rPr>
      <w:rFonts w:cs="Courier New"/>
    </w:rPr>
  </w:style>
  <w:style w:type="character" w:styleId="ListLabel2264">
    <w:name w:val="ListLabel 2264"/>
    <w:qFormat/>
    <w:rPr>
      <w:rFonts w:cs="Wingdings"/>
    </w:rPr>
  </w:style>
  <w:style w:type="character" w:styleId="ListLabel2265">
    <w:name w:val="ListLabel 2265"/>
    <w:qFormat/>
    <w:rPr>
      <w:rFonts w:cs="Symbol"/>
    </w:rPr>
  </w:style>
  <w:style w:type="character" w:styleId="ListLabel2266">
    <w:name w:val="ListLabel 2266"/>
    <w:qFormat/>
    <w:rPr>
      <w:rFonts w:cs="Courier New"/>
    </w:rPr>
  </w:style>
  <w:style w:type="character" w:styleId="ListLabel2267">
    <w:name w:val="ListLabel 2267"/>
    <w:qFormat/>
    <w:rPr>
      <w:rFonts w:cs="Wingdings"/>
    </w:rPr>
  </w:style>
  <w:style w:type="character" w:styleId="ListLabel2268">
    <w:name w:val="ListLabel 2268"/>
    <w:qFormat/>
    <w:rPr>
      <w:rFonts w:cs="Wingdings"/>
    </w:rPr>
  </w:style>
  <w:style w:type="character" w:styleId="ListLabel2269">
    <w:name w:val="ListLabel 2269"/>
    <w:qFormat/>
    <w:rPr>
      <w:rFonts w:cs="Courier New"/>
    </w:rPr>
  </w:style>
  <w:style w:type="character" w:styleId="ListLabel2270">
    <w:name w:val="ListLabel 2270"/>
    <w:qFormat/>
    <w:rPr>
      <w:rFonts w:cs="Wingdings"/>
    </w:rPr>
  </w:style>
  <w:style w:type="character" w:styleId="ListLabel2271">
    <w:name w:val="ListLabel 2271"/>
    <w:qFormat/>
    <w:rPr>
      <w:rFonts w:cs="Symbol"/>
    </w:rPr>
  </w:style>
  <w:style w:type="character" w:styleId="ListLabel2272">
    <w:name w:val="ListLabel 2272"/>
    <w:qFormat/>
    <w:rPr>
      <w:rFonts w:cs="Courier New"/>
    </w:rPr>
  </w:style>
  <w:style w:type="character" w:styleId="ListLabel2273">
    <w:name w:val="ListLabel 2273"/>
    <w:qFormat/>
    <w:rPr>
      <w:rFonts w:cs="Wingdings"/>
    </w:rPr>
  </w:style>
  <w:style w:type="character" w:styleId="ListLabel2274">
    <w:name w:val="ListLabel 2274"/>
    <w:qFormat/>
    <w:rPr>
      <w:rFonts w:cs="Symbol"/>
    </w:rPr>
  </w:style>
  <w:style w:type="character" w:styleId="ListLabel2275">
    <w:name w:val="ListLabel 2275"/>
    <w:qFormat/>
    <w:rPr>
      <w:rFonts w:cs="Courier New"/>
    </w:rPr>
  </w:style>
  <w:style w:type="character" w:styleId="ListLabel2276">
    <w:name w:val="ListLabel 2276"/>
    <w:qFormat/>
    <w:rPr>
      <w:rFonts w:cs="Wingdings"/>
    </w:rPr>
  </w:style>
  <w:style w:type="character" w:styleId="ListLabel2277">
    <w:name w:val="ListLabel 2277"/>
    <w:qFormat/>
    <w:rPr>
      <w:rFonts w:cs="Wingdings"/>
    </w:rPr>
  </w:style>
  <w:style w:type="character" w:styleId="ListLabel2278">
    <w:name w:val="ListLabel 2278"/>
    <w:qFormat/>
    <w:rPr>
      <w:rFonts w:cs="Courier New"/>
    </w:rPr>
  </w:style>
  <w:style w:type="character" w:styleId="ListLabel2279">
    <w:name w:val="ListLabel 2279"/>
    <w:qFormat/>
    <w:rPr>
      <w:rFonts w:cs="Wingdings"/>
    </w:rPr>
  </w:style>
  <w:style w:type="character" w:styleId="ListLabel2280">
    <w:name w:val="ListLabel 2280"/>
    <w:qFormat/>
    <w:rPr>
      <w:rFonts w:cs="Symbol"/>
    </w:rPr>
  </w:style>
  <w:style w:type="character" w:styleId="ListLabel2281">
    <w:name w:val="ListLabel 2281"/>
    <w:qFormat/>
    <w:rPr>
      <w:rFonts w:cs="Courier New"/>
    </w:rPr>
  </w:style>
  <w:style w:type="character" w:styleId="ListLabel2282">
    <w:name w:val="ListLabel 2282"/>
    <w:qFormat/>
    <w:rPr>
      <w:rFonts w:cs="Wingdings"/>
    </w:rPr>
  </w:style>
  <w:style w:type="character" w:styleId="ListLabel2283">
    <w:name w:val="ListLabel 2283"/>
    <w:qFormat/>
    <w:rPr>
      <w:rFonts w:cs="Symbol"/>
    </w:rPr>
  </w:style>
  <w:style w:type="character" w:styleId="ListLabel2284">
    <w:name w:val="ListLabel 2284"/>
    <w:qFormat/>
    <w:rPr>
      <w:rFonts w:cs="Courier New"/>
    </w:rPr>
  </w:style>
  <w:style w:type="character" w:styleId="ListLabel2285">
    <w:name w:val="ListLabel 2285"/>
    <w:qFormat/>
    <w:rPr>
      <w:rFonts w:cs="Wingdings"/>
    </w:rPr>
  </w:style>
  <w:style w:type="character" w:styleId="ListLabel2286">
    <w:name w:val="ListLabel 2286"/>
    <w:qFormat/>
    <w:rPr>
      <w:rFonts w:cs="Wingdings"/>
    </w:rPr>
  </w:style>
  <w:style w:type="character" w:styleId="ListLabel2287">
    <w:name w:val="ListLabel 2287"/>
    <w:qFormat/>
    <w:rPr>
      <w:rFonts w:cs="Wingdings"/>
    </w:rPr>
  </w:style>
  <w:style w:type="character" w:styleId="ListLabel2288">
    <w:name w:val="ListLabel 2288"/>
    <w:qFormat/>
    <w:rPr>
      <w:rFonts w:cs="Courier New"/>
    </w:rPr>
  </w:style>
  <w:style w:type="character" w:styleId="ListLabel2289">
    <w:name w:val="ListLabel 2289"/>
    <w:qFormat/>
    <w:rPr>
      <w:rFonts w:cs="Wingdings"/>
    </w:rPr>
  </w:style>
  <w:style w:type="character" w:styleId="ListLabel2290">
    <w:name w:val="ListLabel 2290"/>
    <w:qFormat/>
    <w:rPr>
      <w:rFonts w:cs="Symbol"/>
    </w:rPr>
  </w:style>
  <w:style w:type="character" w:styleId="ListLabel2291">
    <w:name w:val="ListLabel 2291"/>
    <w:qFormat/>
    <w:rPr>
      <w:rFonts w:cs="Courier New"/>
    </w:rPr>
  </w:style>
  <w:style w:type="character" w:styleId="ListLabel2292">
    <w:name w:val="ListLabel 2292"/>
    <w:qFormat/>
    <w:rPr>
      <w:rFonts w:cs="Wingdings"/>
    </w:rPr>
  </w:style>
  <w:style w:type="character" w:styleId="ListLabel2293">
    <w:name w:val="ListLabel 2293"/>
    <w:qFormat/>
    <w:rPr>
      <w:rFonts w:cs="Symbol"/>
    </w:rPr>
  </w:style>
  <w:style w:type="character" w:styleId="ListLabel2294">
    <w:name w:val="ListLabel 2294"/>
    <w:qFormat/>
    <w:rPr>
      <w:rFonts w:cs="Courier New"/>
    </w:rPr>
  </w:style>
  <w:style w:type="character" w:styleId="ListLabel2295">
    <w:name w:val="ListLabel 2295"/>
    <w:qFormat/>
    <w:rPr>
      <w:rFonts w:cs="Wingdings"/>
    </w:rPr>
  </w:style>
  <w:style w:type="character" w:styleId="ListLabel2296">
    <w:name w:val="ListLabel 2296"/>
    <w:qFormat/>
    <w:rPr>
      <w:rFonts w:cs="Wingdings"/>
    </w:rPr>
  </w:style>
  <w:style w:type="character" w:styleId="ListLabel2297">
    <w:name w:val="ListLabel 2297"/>
    <w:qFormat/>
    <w:rPr>
      <w:sz w:val="20"/>
    </w:rPr>
  </w:style>
  <w:style w:type="character" w:styleId="ListLabel2298">
    <w:name w:val="ListLabel 2298"/>
    <w:qFormat/>
    <w:rPr>
      <w:rFonts w:cs="Wingdings"/>
    </w:rPr>
  </w:style>
  <w:style w:type="character" w:styleId="ListLabel2299">
    <w:name w:val="ListLabel 2299"/>
    <w:qFormat/>
    <w:rPr>
      <w:rFonts w:cs="Courier New"/>
    </w:rPr>
  </w:style>
  <w:style w:type="character" w:styleId="ListLabel2300">
    <w:name w:val="ListLabel 2300"/>
    <w:qFormat/>
    <w:rPr>
      <w:rFonts w:cs="Wingdings"/>
    </w:rPr>
  </w:style>
  <w:style w:type="character" w:styleId="ListLabel2301">
    <w:name w:val="ListLabel 2301"/>
    <w:qFormat/>
    <w:rPr>
      <w:rFonts w:cs="Symbol"/>
    </w:rPr>
  </w:style>
  <w:style w:type="character" w:styleId="ListLabel2302">
    <w:name w:val="ListLabel 2302"/>
    <w:qFormat/>
    <w:rPr>
      <w:rFonts w:cs="Courier New"/>
    </w:rPr>
  </w:style>
  <w:style w:type="character" w:styleId="ListLabel2303">
    <w:name w:val="ListLabel 2303"/>
    <w:qFormat/>
    <w:rPr>
      <w:rFonts w:cs="Wingdings"/>
    </w:rPr>
  </w:style>
  <w:style w:type="character" w:styleId="ListLabel2304">
    <w:name w:val="ListLabel 2304"/>
    <w:qFormat/>
    <w:rPr>
      <w:rFonts w:cs="Symbol"/>
    </w:rPr>
  </w:style>
  <w:style w:type="character" w:styleId="ListLabel2305">
    <w:name w:val="ListLabel 2305"/>
    <w:qFormat/>
    <w:rPr>
      <w:rFonts w:cs="Courier New"/>
    </w:rPr>
  </w:style>
  <w:style w:type="character" w:styleId="ListLabel2306">
    <w:name w:val="ListLabel 2306"/>
    <w:qFormat/>
    <w:rPr>
      <w:rFonts w:cs="Wingdings"/>
    </w:rPr>
  </w:style>
  <w:style w:type="character" w:styleId="ListLabel2307">
    <w:name w:val="ListLabel 2307"/>
    <w:qFormat/>
    <w:rPr>
      <w:rFonts w:cs="Wingdings"/>
      <w:b/>
    </w:rPr>
  </w:style>
  <w:style w:type="character" w:styleId="ListLabel2308">
    <w:name w:val="ListLabel 2308"/>
    <w:qFormat/>
    <w:rPr>
      <w:rFonts w:cs="Courier New"/>
    </w:rPr>
  </w:style>
  <w:style w:type="character" w:styleId="ListLabel2309">
    <w:name w:val="ListLabel 2309"/>
    <w:qFormat/>
    <w:rPr>
      <w:rFonts w:cs="Wingdings"/>
    </w:rPr>
  </w:style>
  <w:style w:type="character" w:styleId="ListLabel2310">
    <w:name w:val="ListLabel 2310"/>
    <w:qFormat/>
    <w:rPr>
      <w:rFonts w:cs="Symbol"/>
    </w:rPr>
  </w:style>
  <w:style w:type="character" w:styleId="ListLabel2311">
    <w:name w:val="ListLabel 2311"/>
    <w:qFormat/>
    <w:rPr>
      <w:rFonts w:cs="Courier New"/>
    </w:rPr>
  </w:style>
  <w:style w:type="character" w:styleId="ListLabel2312">
    <w:name w:val="ListLabel 2312"/>
    <w:qFormat/>
    <w:rPr>
      <w:rFonts w:cs="Wingdings"/>
    </w:rPr>
  </w:style>
  <w:style w:type="character" w:styleId="ListLabel2313">
    <w:name w:val="ListLabel 2313"/>
    <w:qFormat/>
    <w:rPr>
      <w:rFonts w:cs="Symbol"/>
    </w:rPr>
  </w:style>
  <w:style w:type="character" w:styleId="ListLabel2314">
    <w:name w:val="ListLabel 2314"/>
    <w:qFormat/>
    <w:rPr>
      <w:rFonts w:cs="Courier New"/>
    </w:rPr>
  </w:style>
  <w:style w:type="character" w:styleId="ListLabel2315">
    <w:name w:val="ListLabel 2315"/>
    <w:qFormat/>
    <w:rPr>
      <w:rFonts w:cs="Wingdings"/>
    </w:rPr>
  </w:style>
  <w:style w:type="character" w:styleId="ListLabel2316">
    <w:name w:val="ListLabel 2316"/>
    <w:qFormat/>
    <w:rPr>
      <w:rFonts w:cs="Wingdings"/>
    </w:rPr>
  </w:style>
  <w:style w:type="character" w:styleId="ListLabel2317">
    <w:name w:val="ListLabel 2317"/>
    <w:qFormat/>
    <w:rPr>
      <w:rFonts w:cs="Courier New"/>
    </w:rPr>
  </w:style>
  <w:style w:type="character" w:styleId="ListLabel2318">
    <w:name w:val="ListLabel 2318"/>
    <w:qFormat/>
    <w:rPr>
      <w:rFonts w:cs="Wingdings"/>
    </w:rPr>
  </w:style>
  <w:style w:type="character" w:styleId="ListLabel2319">
    <w:name w:val="ListLabel 2319"/>
    <w:qFormat/>
    <w:rPr>
      <w:rFonts w:cs="Symbol"/>
    </w:rPr>
  </w:style>
  <w:style w:type="character" w:styleId="ListLabel2320">
    <w:name w:val="ListLabel 2320"/>
    <w:qFormat/>
    <w:rPr>
      <w:rFonts w:cs="Courier New"/>
    </w:rPr>
  </w:style>
  <w:style w:type="character" w:styleId="ListLabel2321">
    <w:name w:val="ListLabel 2321"/>
    <w:qFormat/>
    <w:rPr>
      <w:rFonts w:cs="Wingdings"/>
    </w:rPr>
  </w:style>
  <w:style w:type="character" w:styleId="ListLabel2322">
    <w:name w:val="ListLabel 2322"/>
    <w:qFormat/>
    <w:rPr>
      <w:rFonts w:cs="Symbol"/>
    </w:rPr>
  </w:style>
  <w:style w:type="character" w:styleId="ListLabel2323">
    <w:name w:val="ListLabel 2323"/>
    <w:qFormat/>
    <w:rPr>
      <w:rFonts w:cs="Courier New"/>
    </w:rPr>
  </w:style>
  <w:style w:type="character" w:styleId="ListLabel2324">
    <w:name w:val="ListLabel 2324"/>
    <w:qFormat/>
    <w:rPr>
      <w:rFonts w:cs="Wingdings"/>
    </w:rPr>
  </w:style>
  <w:style w:type="character" w:styleId="ListLabel2325">
    <w:name w:val="ListLabel 2325"/>
    <w:qFormat/>
    <w:rPr>
      <w:rFonts w:cs="Wingdings"/>
      <w:b/>
    </w:rPr>
  </w:style>
  <w:style w:type="character" w:styleId="ListLabel2326">
    <w:name w:val="ListLabel 2326"/>
    <w:qFormat/>
    <w:rPr>
      <w:rFonts w:cs="Courier New"/>
    </w:rPr>
  </w:style>
  <w:style w:type="character" w:styleId="ListLabel2327">
    <w:name w:val="ListLabel 2327"/>
    <w:qFormat/>
    <w:rPr>
      <w:rFonts w:cs="Wingdings"/>
    </w:rPr>
  </w:style>
  <w:style w:type="character" w:styleId="ListLabel2328">
    <w:name w:val="ListLabel 2328"/>
    <w:qFormat/>
    <w:rPr>
      <w:rFonts w:cs="Symbol"/>
    </w:rPr>
  </w:style>
  <w:style w:type="character" w:styleId="ListLabel2329">
    <w:name w:val="ListLabel 2329"/>
    <w:qFormat/>
    <w:rPr>
      <w:rFonts w:cs="Courier New"/>
    </w:rPr>
  </w:style>
  <w:style w:type="character" w:styleId="ListLabel2330">
    <w:name w:val="ListLabel 2330"/>
    <w:qFormat/>
    <w:rPr>
      <w:rFonts w:cs="Wingdings"/>
    </w:rPr>
  </w:style>
  <w:style w:type="character" w:styleId="ListLabel2331">
    <w:name w:val="ListLabel 2331"/>
    <w:qFormat/>
    <w:rPr>
      <w:rFonts w:cs="Symbol"/>
    </w:rPr>
  </w:style>
  <w:style w:type="character" w:styleId="ListLabel2332">
    <w:name w:val="ListLabel 2332"/>
    <w:qFormat/>
    <w:rPr>
      <w:rFonts w:cs="Courier New"/>
    </w:rPr>
  </w:style>
  <w:style w:type="character" w:styleId="ListLabel2333">
    <w:name w:val="ListLabel 2333"/>
    <w:qFormat/>
    <w:rPr>
      <w:rFonts w:cs="Wingdings"/>
    </w:rPr>
  </w:style>
  <w:style w:type="character" w:styleId="ListLabel2334">
    <w:name w:val="ListLabel 2334"/>
    <w:qFormat/>
    <w:rPr>
      <w:rFonts w:cs="Wingdings"/>
      <w:b/>
    </w:rPr>
  </w:style>
  <w:style w:type="character" w:styleId="ListLabel2335">
    <w:name w:val="ListLabel 2335"/>
    <w:qFormat/>
    <w:rPr>
      <w:rFonts w:cs="Courier New"/>
    </w:rPr>
  </w:style>
  <w:style w:type="character" w:styleId="ListLabel2336">
    <w:name w:val="ListLabel 2336"/>
    <w:qFormat/>
    <w:rPr>
      <w:rFonts w:cs="Wingdings"/>
    </w:rPr>
  </w:style>
  <w:style w:type="character" w:styleId="ListLabel2337">
    <w:name w:val="ListLabel 2337"/>
    <w:qFormat/>
    <w:rPr>
      <w:rFonts w:cs="Symbol"/>
    </w:rPr>
  </w:style>
  <w:style w:type="character" w:styleId="ListLabel2338">
    <w:name w:val="ListLabel 2338"/>
    <w:qFormat/>
    <w:rPr>
      <w:rFonts w:cs="Courier New"/>
    </w:rPr>
  </w:style>
  <w:style w:type="character" w:styleId="ListLabel2339">
    <w:name w:val="ListLabel 2339"/>
    <w:qFormat/>
    <w:rPr>
      <w:rFonts w:cs="Wingdings"/>
    </w:rPr>
  </w:style>
  <w:style w:type="character" w:styleId="ListLabel2340">
    <w:name w:val="ListLabel 2340"/>
    <w:qFormat/>
    <w:rPr>
      <w:rFonts w:cs="Symbol"/>
    </w:rPr>
  </w:style>
  <w:style w:type="character" w:styleId="ListLabel2341">
    <w:name w:val="ListLabel 2341"/>
    <w:qFormat/>
    <w:rPr>
      <w:rFonts w:cs="Courier New"/>
    </w:rPr>
  </w:style>
  <w:style w:type="character" w:styleId="ListLabel2342">
    <w:name w:val="ListLabel 2342"/>
    <w:qFormat/>
    <w:rPr>
      <w:rFonts w:cs="Wingdings"/>
    </w:rPr>
  </w:style>
  <w:style w:type="character" w:styleId="ListLabel2343">
    <w:name w:val="ListLabel 2343"/>
    <w:qFormat/>
    <w:rPr>
      <w:rFonts w:cs="Wingdings"/>
      <w:sz w:val="20"/>
    </w:rPr>
  </w:style>
  <w:style w:type="character" w:styleId="ListLabel2344">
    <w:name w:val="ListLabel 2344"/>
    <w:qFormat/>
    <w:rPr>
      <w:rFonts w:cs="Courier New"/>
    </w:rPr>
  </w:style>
  <w:style w:type="character" w:styleId="ListLabel2345">
    <w:name w:val="ListLabel 2345"/>
    <w:qFormat/>
    <w:rPr>
      <w:rFonts w:cs="Wingdings"/>
    </w:rPr>
  </w:style>
  <w:style w:type="character" w:styleId="ListLabel2346">
    <w:name w:val="ListLabel 2346"/>
    <w:qFormat/>
    <w:rPr>
      <w:rFonts w:cs="Symbol"/>
    </w:rPr>
  </w:style>
  <w:style w:type="character" w:styleId="ListLabel2347">
    <w:name w:val="ListLabel 2347"/>
    <w:qFormat/>
    <w:rPr>
      <w:rFonts w:cs="Courier New"/>
    </w:rPr>
  </w:style>
  <w:style w:type="character" w:styleId="ListLabel2348">
    <w:name w:val="ListLabel 2348"/>
    <w:qFormat/>
    <w:rPr>
      <w:rFonts w:cs="Wingdings"/>
    </w:rPr>
  </w:style>
  <w:style w:type="character" w:styleId="ListLabel2349">
    <w:name w:val="ListLabel 2349"/>
    <w:qFormat/>
    <w:rPr>
      <w:rFonts w:cs="Symbol"/>
    </w:rPr>
  </w:style>
  <w:style w:type="character" w:styleId="ListLabel2350">
    <w:name w:val="ListLabel 2350"/>
    <w:qFormat/>
    <w:rPr>
      <w:rFonts w:cs="Courier New"/>
    </w:rPr>
  </w:style>
  <w:style w:type="character" w:styleId="ListLabel2351">
    <w:name w:val="ListLabel 2351"/>
    <w:qFormat/>
    <w:rPr>
      <w:rFonts w:cs="Wingdings"/>
    </w:rPr>
  </w:style>
  <w:style w:type="character" w:styleId="ListLabel2352">
    <w:name w:val="ListLabel 2352"/>
    <w:qFormat/>
    <w:rPr>
      <w:rFonts w:cs="Wingdings"/>
    </w:rPr>
  </w:style>
  <w:style w:type="character" w:styleId="ListLabel2353">
    <w:name w:val="ListLabel 2353"/>
    <w:qFormat/>
    <w:rPr>
      <w:rFonts w:cs="Courier New"/>
    </w:rPr>
  </w:style>
  <w:style w:type="character" w:styleId="ListLabel2354">
    <w:name w:val="ListLabel 2354"/>
    <w:qFormat/>
    <w:rPr>
      <w:rFonts w:cs="Wingdings"/>
    </w:rPr>
  </w:style>
  <w:style w:type="character" w:styleId="ListLabel2355">
    <w:name w:val="ListLabel 2355"/>
    <w:qFormat/>
    <w:rPr>
      <w:rFonts w:cs="Symbol"/>
    </w:rPr>
  </w:style>
  <w:style w:type="character" w:styleId="ListLabel2356">
    <w:name w:val="ListLabel 2356"/>
    <w:qFormat/>
    <w:rPr>
      <w:rFonts w:cs="Courier New"/>
    </w:rPr>
  </w:style>
  <w:style w:type="character" w:styleId="ListLabel2357">
    <w:name w:val="ListLabel 2357"/>
    <w:qFormat/>
    <w:rPr>
      <w:rFonts w:cs="Wingdings"/>
    </w:rPr>
  </w:style>
  <w:style w:type="character" w:styleId="ListLabel2358">
    <w:name w:val="ListLabel 2358"/>
    <w:qFormat/>
    <w:rPr>
      <w:rFonts w:cs="Symbol"/>
    </w:rPr>
  </w:style>
  <w:style w:type="character" w:styleId="ListLabel2359">
    <w:name w:val="ListLabel 2359"/>
    <w:qFormat/>
    <w:rPr>
      <w:rFonts w:cs="Courier New"/>
    </w:rPr>
  </w:style>
  <w:style w:type="character" w:styleId="ListLabel2360">
    <w:name w:val="ListLabel 2360"/>
    <w:qFormat/>
    <w:rPr>
      <w:rFonts w:cs="Wingdings"/>
    </w:rPr>
  </w:style>
  <w:style w:type="character" w:styleId="ListLabel2361">
    <w:name w:val="ListLabel 2361"/>
    <w:qFormat/>
    <w:rPr>
      <w:rFonts w:cs="Wingdings"/>
      <w:b/>
    </w:rPr>
  </w:style>
  <w:style w:type="character" w:styleId="ListLabel2362">
    <w:name w:val="ListLabel 2362"/>
    <w:qFormat/>
    <w:rPr>
      <w:rFonts w:cs="Courier New"/>
    </w:rPr>
  </w:style>
  <w:style w:type="character" w:styleId="ListLabel2363">
    <w:name w:val="ListLabel 2363"/>
    <w:qFormat/>
    <w:rPr>
      <w:rFonts w:cs="Wingdings"/>
    </w:rPr>
  </w:style>
  <w:style w:type="character" w:styleId="ListLabel2364">
    <w:name w:val="ListLabel 2364"/>
    <w:qFormat/>
    <w:rPr>
      <w:rFonts w:cs="Symbol"/>
    </w:rPr>
  </w:style>
  <w:style w:type="character" w:styleId="ListLabel2365">
    <w:name w:val="ListLabel 2365"/>
    <w:qFormat/>
    <w:rPr>
      <w:rFonts w:cs="Courier New"/>
    </w:rPr>
  </w:style>
  <w:style w:type="character" w:styleId="ListLabel2366">
    <w:name w:val="ListLabel 2366"/>
    <w:qFormat/>
    <w:rPr>
      <w:rFonts w:cs="Wingdings"/>
    </w:rPr>
  </w:style>
  <w:style w:type="character" w:styleId="ListLabel2367">
    <w:name w:val="ListLabel 2367"/>
    <w:qFormat/>
    <w:rPr>
      <w:rFonts w:cs="Symbol"/>
    </w:rPr>
  </w:style>
  <w:style w:type="character" w:styleId="ListLabel2368">
    <w:name w:val="ListLabel 2368"/>
    <w:qFormat/>
    <w:rPr>
      <w:rFonts w:cs="Courier New"/>
    </w:rPr>
  </w:style>
  <w:style w:type="character" w:styleId="ListLabel2369">
    <w:name w:val="ListLabel 2369"/>
    <w:qFormat/>
    <w:rPr>
      <w:rFonts w:cs="Wingdings"/>
    </w:rPr>
  </w:style>
  <w:style w:type="character" w:styleId="ListLabel2370">
    <w:name w:val="ListLabel 2370"/>
    <w:qFormat/>
    <w:rPr>
      <w:rFonts w:cs="Wingdings"/>
    </w:rPr>
  </w:style>
  <w:style w:type="character" w:styleId="ListLabel2371">
    <w:name w:val="ListLabel 2371"/>
    <w:qFormat/>
    <w:rPr>
      <w:rFonts w:cs="Courier New"/>
    </w:rPr>
  </w:style>
  <w:style w:type="character" w:styleId="ListLabel2372">
    <w:name w:val="ListLabel 2372"/>
    <w:qFormat/>
    <w:rPr>
      <w:rFonts w:cs="Wingdings"/>
    </w:rPr>
  </w:style>
  <w:style w:type="character" w:styleId="ListLabel2373">
    <w:name w:val="ListLabel 2373"/>
    <w:qFormat/>
    <w:rPr>
      <w:rFonts w:cs="Symbol"/>
    </w:rPr>
  </w:style>
  <w:style w:type="character" w:styleId="ListLabel2374">
    <w:name w:val="ListLabel 2374"/>
    <w:qFormat/>
    <w:rPr>
      <w:rFonts w:cs="Courier New"/>
    </w:rPr>
  </w:style>
  <w:style w:type="character" w:styleId="ListLabel2375">
    <w:name w:val="ListLabel 2375"/>
    <w:qFormat/>
    <w:rPr>
      <w:rFonts w:cs="Wingdings"/>
    </w:rPr>
  </w:style>
  <w:style w:type="character" w:styleId="ListLabel2376">
    <w:name w:val="ListLabel 2376"/>
    <w:qFormat/>
    <w:rPr>
      <w:rFonts w:cs="Symbol"/>
    </w:rPr>
  </w:style>
  <w:style w:type="character" w:styleId="ListLabel2377">
    <w:name w:val="ListLabel 2377"/>
    <w:qFormat/>
    <w:rPr>
      <w:rFonts w:cs="Courier New"/>
    </w:rPr>
  </w:style>
  <w:style w:type="character" w:styleId="ListLabel2378">
    <w:name w:val="ListLabel 2378"/>
    <w:qFormat/>
    <w:rPr>
      <w:rFonts w:cs="Wingdings"/>
    </w:rPr>
  </w:style>
  <w:style w:type="character" w:styleId="ListLabel2379">
    <w:name w:val="ListLabel 2379"/>
    <w:qFormat/>
    <w:rPr>
      <w:rFonts w:cs="Wingdings"/>
    </w:rPr>
  </w:style>
  <w:style w:type="character" w:styleId="ListLabel2380">
    <w:name w:val="ListLabel 2380"/>
    <w:qFormat/>
    <w:rPr>
      <w:rFonts w:cs="Courier New"/>
    </w:rPr>
  </w:style>
  <w:style w:type="character" w:styleId="ListLabel2381">
    <w:name w:val="ListLabel 2381"/>
    <w:qFormat/>
    <w:rPr>
      <w:rFonts w:cs="Wingdings"/>
    </w:rPr>
  </w:style>
  <w:style w:type="character" w:styleId="ListLabel2382">
    <w:name w:val="ListLabel 2382"/>
    <w:qFormat/>
    <w:rPr>
      <w:rFonts w:cs="Symbol"/>
    </w:rPr>
  </w:style>
  <w:style w:type="character" w:styleId="ListLabel2383">
    <w:name w:val="ListLabel 2383"/>
    <w:qFormat/>
    <w:rPr>
      <w:rFonts w:cs="Courier New"/>
    </w:rPr>
  </w:style>
  <w:style w:type="character" w:styleId="ListLabel2384">
    <w:name w:val="ListLabel 2384"/>
    <w:qFormat/>
    <w:rPr>
      <w:rFonts w:cs="Wingdings"/>
    </w:rPr>
  </w:style>
  <w:style w:type="character" w:styleId="ListLabel2385">
    <w:name w:val="ListLabel 2385"/>
    <w:qFormat/>
    <w:rPr>
      <w:rFonts w:cs="Symbol"/>
    </w:rPr>
  </w:style>
  <w:style w:type="character" w:styleId="ListLabel2386">
    <w:name w:val="ListLabel 2386"/>
    <w:qFormat/>
    <w:rPr>
      <w:rFonts w:cs="Courier New"/>
    </w:rPr>
  </w:style>
  <w:style w:type="character" w:styleId="ListLabel2387">
    <w:name w:val="ListLabel 2387"/>
    <w:qFormat/>
    <w:rPr>
      <w:rFonts w:cs="Wingdings"/>
    </w:rPr>
  </w:style>
  <w:style w:type="character" w:styleId="ListLabel2388">
    <w:name w:val="ListLabel 2388"/>
    <w:qFormat/>
    <w:rPr>
      <w:rFonts w:cs="Wingdings"/>
      <w:b/>
    </w:rPr>
  </w:style>
  <w:style w:type="character" w:styleId="ListLabel2389">
    <w:name w:val="ListLabel 2389"/>
    <w:qFormat/>
    <w:rPr>
      <w:rFonts w:cs="Courier New"/>
    </w:rPr>
  </w:style>
  <w:style w:type="character" w:styleId="ListLabel2390">
    <w:name w:val="ListLabel 2390"/>
    <w:qFormat/>
    <w:rPr>
      <w:rFonts w:cs="Wingdings"/>
    </w:rPr>
  </w:style>
  <w:style w:type="character" w:styleId="ListLabel2391">
    <w:name w:val="ListLabel 2391"/>
    <w:qFormat/>
    <w:rPr>
      <w:rFonts w:cs="Symbol"/>
    </w:rPr>
  </w:style>
  <w:style w:type="character" w:styleId="ListLabel2392">
    <w:name w:val="ListLabel 2392"/>
    <w:qFormat/>
    <w:rPr>
      <w:rFonts w:cs="Courier New"/>
    </w:rPr>
  </w:style>
  <w:style w:type="character" w:styleId="ListLabel2393">
    <w:name w:val="ListLabel 2393"/>
    <w:qFormat/>
    <w:rPr>
      <w:rFonts w:cs="Wingdings"/>
    </w:rPr>
  </w:style>
  <w:style w:type="character" w:styleId="ListLabel2394">
    <w:name w:val="ListLabel 2394"/>
    <w:qFormat/>
    <w:rPr>
      <w:rFonts w:cs="Symbol"/>
    </w:rPr>
  </w:style>
  <w:style w:type="character" w:styleId="ListLabel2395">
    <w:name w:val="ListLabel 2395"/>
    <w:qFormat/>
    <w:rPr>
      <w:rFonts w:cs="Courier New"/>
    </w:rPr>
  </w:style>
  <w:style w:type="character" w:styleId="ListLabel2396">
    <w:name w:val="ListLabel 2396"/>
    <w:qFormat/>
    <w:rPr>
      <w:rFonts w:cs="Wingdings"/>
    </w:rPr>
  </w:style>
  <w:style w:type="character" w:styleId="ListLabel2397">
    <w:name w:val="ListLabel 2397"/>
    <w:qFormat/>
    <w:rPr>
      <w:rFonts w:cs="Wingdings"/>
    </w:rPr>
  </w:style>
  <w:style w:type="character" w:styleId="ListLabel2398">
    <w:name w:val="ListLabel 2398"/>
    <w:qFormat/>
    <w:rPr>
      <w:rFonts w:cs="Courier New"/>
    </w:rPr>
  </w:style>
  <w:style w:type="character" w:styleId="ListLabel2399">
    <w:name w:val="ListLabel 2399"/>
    <w:qFormat/>
    <w:rPr>
      <w:rFonts w:cs="Wingdings"/>
    </w:rPr>
  </w:style>
  <w:style w:type="character" w:styleId="ListLabel2400">
    <w:name w:val="ListLabel 2400"/>
    <w:qFormat/>
    <w:rPr>
      <w:rFonts w:cs="Symbol"/>
    </w:rPr>
  </w:style>
  <w:style w:type="character" w:styleId="ListLabel2401">
    <w:name w:val="ListLabel 2401"/>
    <w:qFormat/>
    <w:rPr>
      <w:rFonts w:cs="Courier New"/>
    </w:rPr>
  </w:style>
  <w:style w:type="character" w:styleId="ListLabel2402">
    <w:name w:val="ListLabel 2402"/>
    <w:qFormat/>
    <w:rPr>
      <w:rFonts w:cs="Wingdings"/>
    </w:rPr>
  </w:style>
  <w:style w:type="character" w:styleId="ListLabel2403">
    <w:name w:val="ListLabel 2403"/>
    <w:qFormat/>
    <w:rPr>
      <w:rFonts w:cs="Symbol"/>
    </w:rPr>
  </w:style>
  <w:style w:type="character" w:styleId="ListLabel2404">
    <w:name w:val="ListLabel 2404"/>
    <w:qFormat/>
    <w:rPr>
      <w:rFonts w:cs="Courier New"/>
    </w:rPr>
  </w:style>
  <w:style w:type="character" w:styleId="ListLabel2405">
    <w:name w:val="ListLabel 2405"/>
    <w:qFormat/>
    <w:rPr>
      <w:rFonts w:cs="Wingdings"/>
    </w:rPr>
  </w:style>
  <w:style w:type="character" w:styleId="ListLabel2406">
    <w:name w:val="ListLabel 2406"/>
    <w:qFormat/>
    <w:rPr>
      <w:rFonts w:cs="Wingdings"/>
    </w:rPr>
  </w:style>
  <w:style w:type="character" w:styleId="ListLabel2407">
    <w:name w:val="ListLabel 2407"/>
    <w:qFormat/>
    <w:rPr>
      <w:rFonts w:cs="Courier New"/>
    </w:rPr>
  </w:style>
  <w:style w:type="character" w:styleId="ListLabel2408">
    <w:name w:val="ListLabel 2408"/>
    <w:qFormat/>
    <w:rPr>
      <w:rFonts w:cs="Wingdings"/>
    </w:rPr>
  </w:style>
  <w:style w:type="character" w:styleId="ListLabel2409">
    <w:name w:val="ListLabel 2409"/>
    <w:qFormat/>
    <w:rPr>
      <w:rFonts w:cs="Symbol"/>
    </w:rPr>
  </w:style>
  <w:style w:type="character" w:styleId="ListLabel2410">
    <w:name w:val="ListLabel 2410"/>
    <w:qFormat/>
    <w:rPr>
      <w:rFonts w:cs="Courier New"/>
    </w:rPr>
  </w:style>
  <w:style w:type="character" w:styleId="ListLabel2411">
    <w:name w:val="ListLabel 2411"/>
    <w:qFormat/>
    <w:rPr>
      <w:rFonts w:cs="Wingdings"/>
    </w:rPr>
  </w:style>
  <w:style w:type="character" w:styleId="ListLabel2412">
    <w:name w:val="ListLabel 2412"/>
    <w:qFormat/>
    <w:rPr>
      <w:rFonts w:cs="Symbol"/>
    </w:rPr>
  </w:style>
  <w:style w:type="character" w:styleId="ListLabel2413">
    <w:name w:val="ListLabel 2413"/>
    <w:qFormat/>
    <w:rPr>
      <w:rFonts w:cs="Courier New"/>
    </w:rPr>
  </w:style>
  <w:style w:type="character" w:styleId="ListLabel2414">
    <w:name w:val="ListLabel 2414"/>
    <w:qFormat/>
    <w:rPr>
      <w:rFonts w:cs="Wingdings"/>
    </w:rPr>
  </w:style>
  <w:style w:type="character" w:styleId="ListLabel2415">
    <w:name w:val="ListLabel 2415"/>
    <w:qFormat/>
    <w:rPr>
      <w:rFonts w:cs="Wingdings"/>
    </w:rPr>
  </w:style>
  <w:style w:type="character" w:styleId="ListLabel2416">
    <w:name w:val="ListLabel 2416"/>
    <w:qFormat/>
    <w:rPr>
      <w:rFonts w:cs="Courier New"/>
    </w:rPr>
  </w:style>
  <w:style w:type="character" w:styleId="ListLabel2417">
    <w:name w:val="ListLabel 2417"/>
    <w:qFormat/>
    <w:rPr>
      <w:rFonts w:cs="Wingdings"/>
    </w:rPr>
  </w:style>
  <w:style w:type="character" w:styleId="ListLabel2418">
    <w:name w:val="ListLabel 2418"/>
    <w:qFormat/>
    <w:rPr>
      <w:rFonts w:cs="Symbol"/>
    </w:rPr>
  </w:style>
  <w:style w:type="character" w:styleId="ListLabel2419">
    <w:name w:val="ListLabel 2419"/>
    <w:qFormat/>
    <w:rPr>
      <w:rFonts w:cs="Courier New"/>
    </w:rPr>
  </w:style>
  <w:style w:type="character" w:styleId="ListLabel2420">
    <w:name w:val="ListLabel 2420"/>
    <w:qFormat/>
    <w:rPr>
      <w:rFonts w:cs="Wingdings"/>
    </w:rPr>
  </w:style>
  <w:style w:type="character" w:styleId="ListLabel2421">
    <w:name w:val="ListLabel 2421"/>
    <w:qFormat/>
    <w:rPr>
      <w:rFonts w:cs="Symbol"/>
    </w:rPr>
  </w:style>
  <w:style w:type="character" w:styleId="ListLabel2422">
    <w:name w:val="ListLabel 2422"/>
    <w:qFormat/>
    <w:rPr>
      <w:rFonts w:cs="Courier New"/>
    </w:rPr>
  </w:style>
  <w:style w:type="character" w:styleId="ListLabel2423">
    <w:name w:val="ListLabel 2423"/>
    <w:qFormat/>
    <w:rPr>
      <w:rFonts w:cs="Wingdings"/>
    </w:rPr>
  </w:style>
  <w:style w:type="character" w:styleId="ListLabel2424">
    <w:name w:val="ListLabel 2424"/>
    <w:qFormat/>
    <w:rPr>
      <w:rFonts w:cs="Wingdings"/>
    </w:rPr>
  </w:style>
  <w:style w:type="character" w:styleId="ListLabel2425">
    <w:name w:val="ListLabel 2425"/>
    <w:qFormat/>
    <w:rPr>
      <w:rFonts w:cs="Courier New"/>
    </w:rPr>
  </w:style>
  <w:style w:type="character" w:styleId="ListLabel2426">
    <w:name w:val="ListLabel 2426"/>
    <w:qFormat/>
    <w:rPr>
      <w:rFonts w:cs="Wingdings"/>
    </w:rPr>
  </w:style>
  <w:style w:type="character" w:styleId="ListLabel2427">
    <w:name w:val="ListLabel 2427"/>
    <w:qFormat/>
    <w:rPr>
      <w:rFonts w:cs="Symbol"/>
    </w:rPr>
  </w:style>
  <w:style w:type="character" w:styleId="ListLabel2428">
    <w:name w:val="ListLabel 2428"/>
    <w:qFormat/>
    <w:rPr>
      <w:rFonts w:cs="Courier New"/>
    </w:rPr>
  </w:style>
  <w:style w:type="character" w:styleId="ListLabel2429">
    <w:name w:val="ListLabel 2429"/>
    <w:qFormat/>
    <w:rPr>
      <w:rFonts w:cs="Wingdings"/>
    </w:rPr>
  </w:style>
  <w:style w:type="character" w:styleId="ListLabel2430">
    <w:name w:val="ListLabel 2430"/>
    <w:qFormat/>
    <w:rPr>
      <w:rFonts w:cs="Symbol"/>
    </w:rPr>
  </w:style>
  <w:style w:type="character" w:styleId="ListLabel2431">
    <w:name w:val="ListLabel 2431"/>
    <w:qFormat/>
    <w:rPr>
      <w:rFonts w:cs="Courier New"/>
    </w:rPr>
  </w:style>
  <w:style w:type="character" w:styleId="ListLabel2432">
    <w:name w:val="ListLabel 2432"/>
    <w:qFormat/>
    <w:rPr>
      <w:rFonts w:cs="Wingdings"/>
    </w:rPr>
  </w:style>
  <w:style w:type="character" w:styleId="ListLabel2433">
    <w:name w:val="ListLabel 2433"/>
    <w:qFormat/>
    <w:rPr>
      <w:rFonts w:cs="Wingdings"/>
    </w:rPr>
  </w:style>
  <w:style w:type="character" w:styleId="ListLabel2434">
    <w:name w:val="ListLabel 2434"/>
    <w:qFormat/>
    <w:rPr>
      <w:rFonts w:cs="Courier New"/>
    </w:rPr>
  </w:style>
  <w:style w:type="character" w:styleId="ListLabel2435">
    <w:name w:val="ListLabel 2435"/>
    <w:qFormat/>
    <w:rPr>
      <w:rFonts w:cs="Wingdings"/>
    </w:rPr>
  </w:style>
  <w:style w:type="character" w:styleId="ListLabel2436">
    <w:name w:val="ListLabel 2436"/>
    <w:qFormat/>
    <w:rPr>
      <w:rFonts w:cs="Symbol"/>
    </w:rPr>
  </w:style>
  <w:style w:type="character" w:styleId="ListLabel2437">
    <w:name w:val="ListLabel 2437"/>
    <w:qFormat/>
    <w:rPr>
      <w:rFonts w:cs="Courier New"/>
    </w:rPr>
  </w:style>
  <w:style w:type="character" w:styleId="ListLabel2438">
    <w:name w:val="ListLabel 2438"/>
    <w:qFormat/>
    <w:rPr>
      <w:rFonts w:cs="Wingdings"/>
    </w:rPr>
  </w:style>
  <w:style w:type="character" w:styleId="ListLabel2439">
    <w:name w:val="ListLabel 2439"/>
    <w:qFormat/>
    <w:rPr>
      <w:rFonts w:cs="Symbol"/>
    </w:rPr>
  </w:style>
  <w:style w:type="character" w:styleId="ListLabel2440">
    <w:name w:val="ListLabel 2440"/>
    <w:qFormat/>
    <w:rPr>
      <w:rFonts w:cs="Courier New"/>
    </w:rPr>
  </w:style>
  <w:style w:type="character" w:styleId="ListLabel2441">
    <w:name w:val="ListLabel 2441"/>
    <w:qFormat/>
    <w:rPr>
      <w:rFonts w:cs="Wingdings"/>
    </w:rPr>
  </w:style>
  <w:style w:type="character" w:styleId="ListLabel2442">
    <w:name w:val="ListLabel 2442"/>
    <w:qFormat/>
    <w:rPr>
      <w:sz w:val="20"/>
    </w:rPr>
  </w:style>
  <w:style w:type="character" w:styleId="ListLabel2443">
    <w:name w:val="ListLabel 2443"/>
    <w:qFormat/>
    <w:rPr>
      <w:rFonts w:cs="Wingdings"/>
    </w:rPr>
  </w:style>
  <w:style w:type="character" w:styleId="ListLabel2444">
    <w:name w:val="ListLabel 2444"/>
    <w:qFormat/>
    <w:rPr>
      <w:rFonts w:cs="Courier New"/>
    </w:rPr>
  </w:style>
  <w:style w:type="character" w:styleId="ListLabel2445">
    <w:name w:val="ListLabel 2445"/>
    <w:qFormat/>
    <w:rPr>
      <w:rFonts w:cs="Wingdings"/>
    </w:rPr>
  </w:style>
  <w:style w:type="character" w:styleId="ListLabel2446">
    <w:name w:val="ListLabel 2446"/>
    <w:qFormat/>
    <w:rPr>
      <w:rFonts w:cs="Symbol"/>
    </w:rPr>
  </w:style>
  <w:style w:type="character" w:styleId="ListLabel2447">
    <w:name w:val="ListLabel 2447"/>
    <w:qFormat/>
    <w:rPr>
      <w:rFonts w:cs="Courier New"/>
    </w:rPr>
  </w:style>
  <w:style w:type="character" w:styleId="ListLabel2448">
    <w:name w:val="ListLabel 2448"/>
    <w:qFormat/>
    <w:rPr>
      <w:rFonts w:cs="Wingdings"/>
    </w:rPr>
  </w:style>
  <w:style w:type="character" w:styleId="ListLabel2449">
    <w:name w:val="ListLabel 2449"/>
    <w:qFormat/>
    <w:rPr>
      <w:rFonts w:cs="Symbol"/>
    </w:rPr>
  </w:style>
  <w:style w:type="character" w:styleId="ListLabel2450">
    <w:name w:val="ListLabel 2450"/>
    <w:qFormat/>
    <w:rPr>
      <w:rFonts w:cs="Courier New"/>
    </w:rPr>
  </w:style>
  <w:style w:type="character" w:styleId="ListLabel2451">
    <w:name w:val="ListLabel 2451"/>
    <w:qFormat/>
    <w:rPr>
      <w:rFonts w:cs="Wingdings"/>
    </w:rPr>
  </w:style>
  <w:style w:type="character" w:styleId="ListLabel2452">
    <w:name w:val="ListLabel 2452"/>
    <w:qFormat/>
    <w:rPr>
      <w:rFonts w:cs="Wingdings"/>
      <w:sz w:val="20"/>
    </w:rPr>
  </w:style>
  <w:style w:type="character" w:styleId="ListLabel2453">
    <w:name w:val="ListLabel 2453"/>
    <w:qFormat/>
    <w:rPr>
      <w:rFonts w:cs="Courier New"/>
    </w:rPr>
  </w:style>
  <w:style w:type="character" w:styleId="ListLabel2454">
    <w:name w:val="ListLabel 2454"/>
    <w:qFormat/>
    <w:rPr>
      <w:rFonts w:cs="Wingdings"/>
    </w:rPr>
  </w:style>
  <w:style w:type="character" w:styleId="ListLabel2455">
    <w:name w:val="ListLabel 2455"/>
    <w:qFormat/>
    <w:rPr>
      <w:rFonts w:cs="Symbol"/>
    </w:rPr>
  </w:style>
  <w:style w:type="character" w:styleId="ListLabel2456">
    <w:name w:val="ListLabel 2456"/>
    <w:qFormat/>
    <w:rPr>
      <w:rFonts w:cs="Courier New"/>
    </w:rPr>
  </w:style>
  <w:style w:type="character" w:styleId="ListLabel2457">
    <w:name w:val="ListLabel 2457"/>
    <w:qFormat/>
    <w:rPr>
      <w:rFonts w:cs="Wingdings"/>
    </w:rPr>
  </w:style>
  <w:style w:type="character" w:styleId="ListLabel2458">
    <w:name w:val="ListLabel 2458"/>
    <w:qFormat/>
    <w:rPr>
      <w:rFonts w:cs="Symbol"/>
    </w:rPr>
  </w:style>
  <w:style w:type="character" w:styleId="ListLabel2459">
    <w:name w:val="ListLabel 2459"/>
    <w:qFormat/>
    <w:rPr>
      <w:rFonts w:cs="Courier New"/>
    </w:rPr>
  </w:style>
  <w:style w:type="character" w:styleId="ListLabel2460">
    <w:name w:val="ListLabel 2460"/>
    <w:qFormat/>
    <w:rPr>
      <w:rFonts w:cs="Wingdings"/>
    </w:rPr>
  </w:style>
  <w:style w:type="character" w:styleId="ListLabel2461">
    <w:name w:val="ListLabel 2461"/>
    <w:qFormat/>
    <w:rPr>
      <w:rFonts w:cs="Wingdings"/>
    </w:rPr>
  </w:style>
  <w:style w:type="character" w:styleId="ListLabel2462">
    <w:name w:val="ListLabel 2462"/>
    <w:qFormat/>
    <w:rPr>
      <w:rFonts w:cs="Courier New"/>
    </w:rPr>
  </w:style>
  <w:style w:type="character" w:styleId="ListLabel2463">
    <w:name w:val="ListLabel 2463"/>
    <w:qFormat/>
    <w:rPr>
      <w:rFonts w:cs="Wingdings"/>
    </w:rPr>
  </w:style>
  <w:style w:type="character" w:styleId="ListLabel2464">
    <w:name w:val="ListLabel 2464"/>
    <w:qFormat/>
    <w:rPr>
      <w:rFonts w:cs="Symbol"/>
    </w:rPr>
  </w:style>
  <w:style w:type="character" w:styleId="ListLabel2465">
    <w:name w:val="ListLabel 2465"/>
    <w:qFormat/>
    <w:rPr>
      <w:rFonts w:cs="Courier New"/>
    </w:rPr>
  </w:style>
  <w:style w:type="character" w:styleId="ListLabel2466">
    <w:name w:val="ListLabel 2466"/>
    <w:qFormat/>
    <w:rPr>
      <w:rFonts w:cs="Wingdings"/>
    </w:rPr>
  </w:style>
  <w:style w:type="character" w:styleId="ListLabel2467">
    <w:name w:val="ListLabel 2467"/>
    <w:qFormat/>
    <w:rPr>
      <w:rFonts w:cs="Symbol"/>
    </w:rPr>
  </w:style>
  <w:style w:type="character" w:styleId="ListLabel2468">
    <w:name w:val="ListLabel 2468"/>
    <w:qFormat/>
    <w:rPr>
      <w:rFonts w:cs="Courier New"/>
    </w:rPr>
  </w:style>
  <w:style w:type="character" w:styleId="ListLabel2469">
    <w:name w:val="ListLabel 2469"/>
    <w:qFormat/>
    <w:rPr>
      <w:rFonts w:cs="Wingdings"/>
    </w:rPr>
  </w:style>
  <w:style w:type="character" w:styleId="ListLabel2470">
    <w:name w:val="ListLabel 2470"/>
    <w:qFormat/>
    <w:rPr>
      <w:rFonts w:cs="Wingdings"/>
    </w:rPr>
  </w:style>
  <w:style w:type="character" w:styleId="ListLabel2471">
    <w:name w:val="ListLabel 2471"/>
    <w:qFormat/>
    <w:rPr>
      <w:rFonts w:cs="Courier New"/>
    </w:rPr>
  </w:style>
  <w:style w:type="character" w:styleId="ListLabel2472">
    <w:name w:val="ListLabel 2472"/>
    <w:qFormat/>
    <w:rPr>
      <w:rFonts w:cs="Wingdings"/>
    </w:rPr>
  </w:style>
  <w:style w:type="character" w:styleId="ListLabel2473">
    <w:name w:val="ListLabel 2473"/>
    <w:qFormat/>
    <w:rPr>
      <w:rFonts w:cs="Symbol"/>
    </w:rPr>
  </w:style>
  <w:style w:type="character" w:styleId="ListLabel2474">
    <w:name w:val="ListLabel 2474"/>
    <w:qFormat/>
    <w:rPr>
      <w:rFonts w:cs="Courier New"/>
    </w:rPr>
  </w:style>
  <w:style w:type="character" w:styleId="ListLabel2475">
    <w:name w:val="ListLabel 2475"/>
    <w:qFormat/>
    <w:rPr>
      <w:rFonts w:cs="Wingdings"/>
    </w:rPr>
  </w:style>
  <w:style w:type="character" w:styleId="ListLabel2476">
    <w:name w:val="ListLabel 2476"/>
    <w:qFormat/>
    <w:rPr>
      <w:rFonts w:cs="Symbol"/>
    </w:rPr>
  </w:style>
  <w:style w:type="character" w:styleId="ListLabel2477">
    <w:name w:val="ListLabel 2477"/>
    <w:qFormat/>
    <w:rPr>
      <w:rFonts w:cs="Courier New"/>
    </w:rPr>
  </w:style>
  <w:style w:type="character" w:styleId="ListLabel2478">
    <w:name w:val="ListLabel 2478"/>
    <w:qFormat/>
    <w:rPr>
      <w:rFonts w:cs="Wingdings"/>
    </w:rPr>
  </w:style>
  <w:style w:type="character" w:styleId="ListLabel2479">
    <w:name w:val="ListLabel 2479"/>
    <w:qFormat/>
    <w:rPr>
      <w:rFonts w:cs="Wingdings"/>
    </w:rPr>
  </w:style>
  <w:style w:type="character" w:styleId="ListLabel2480">
    <w:name w:val="ListLabel 2480"/>
    <w:qFormat/>
    <w:rPr>
      <w:rFonts w:cs="Courier New"/>
    </w:rPr>
  </w:style>
  <w:style w:type="character" w:styleId="ListLabel2481">
    <w:name w:val="ListLabel 2481"/>
    <w:qFormat/>
    <w:rPr>
      <w:rFonts w:cs="Wingdings"/>
    </w:rPr>
  </w:style>
  <w:style w:type="character" w:styleId="ListLabel2482">
    <w:name w:val="ListLabel 2482"/>
    <w:qFormat/>
    <w:rPr>
      <w:rFonts w:cs="Symbol"/>
    </w:rPr>
  </w:style>
  <w:style w:type="character" w:styleId="ListLabel2483">
    <w:name w:val="ListLabel 2483"/>
    <w:qFormat/>
    <w:rPr>
      <w:rFonts w:cs="Courier New"/>
    </w:rPr>
  </w:style>
  <w:style w:type="character" w:styleId="ListLabel2484">
    <w:name w:val="ListLabel 2484"/>
    <w:qFormat/>
    <w:rPr>
      <w:rFonts w:cs="Wingdings"/>
    </w:rPr>
  </w:style>
  <w:style w:type="character" w:styleId="ListLabel2485">
    <w:name w:val="ListLabel 2485"/>
    <w:qFormat/>
    <w:rPr>
      <w:rFonts w:cs="Symbol"/>
    </w:rPr>
  </w:style>
  <w:style w:type="character" w:styleId="ListLabel2486">
    <w:name w:val="ListLabel 2486"/>
    <w:qFormat/>
    <w:rPr>
      <w:rFonts w:cs="Courier New"/>
    </w:rPr>
  </w:style>
  <w:style w:type="character" w:styleId="ListLabel2487">
    <w:name w:val="ListLabel 2487"/>
    <w:qFormat/>
    <w:rPr>
      <w:rFonts w:cs="Wingdings"/>
    </w:rPr>
  </w:style>
  <w:style w:type="character" w:styleId="ListLabel2488">
    <w:name w:val="ListLabel 2488"/>
    <w:qFormat/>
    <w:rPr>
      <w:sz w:val="20"/>
    </w:rPr>
  </w:style>
  <w:style w:type="character" w:styleId="ListLabel2489">
    <w:name w:val="ListLabel 2489"/>
    <w:qFormat/>
    <w:rPr>
      <w:sz w:val="20"/>
    </w:rPr>
  </w:style>
  <w:style w:type="character" w:styleId="ListLabel2490">
    <w:name w:val="ListLabel 2490"/>
    <w:qFormat/>
    <w:rPr>
      <w:rFonts w:cs="Wingdings"/>
    </w:rPr>
  </w:style>
  <w:style w:type="character" w:styleId="ListLabel2491">
    <w:name w:val="ListLabel 2491"/>
    <w:qFormat/>
    <w:rPr>
      <w:rFonts w:cs="Courier New"/>
    </w:rPr>
  </w:style>
  <w:style w:type="character" w:styleId="ListLabel2492">
    <w:name w:val="ListLabel 2492"/>
    <w:qFormat/>
    <w:rPr>
      <w:rFonts w:cs="Wingdings"/>
    </w:rPr>
  </w:style>
  <w:style w:type="character" w:styleId="ListLabel2493">
    <w:name w:val="ListLabel 2493"/>
    <w:qFormat/>
    <w:rPr>
      <w:rFonts w:cs="Symbol"/>
    </w:rPr>
  </w:style>
  <w:style w:type="character" w:styleId="ListLabel2494">
    <w:name w:val="ListLabel 2494"/>
    <w:qFormat/>
    <w:rPr>
      <w:rFonts w:cs="Courier New"/>
    </w:rPr>
  </w:style>
  <w:style w:type="character" w:styleId="ListLabel2495">
    <w:name w:val="ListLabel 2495"/>
    <w:qFormat/>
    <w:rPr>
      <w:rFonts w:cs="Wingdings"/>
    </w:rPr>
  </w:style>
  <w:style w:type="character" w:styleId="ListLabel2496">
    <w:name w:val="ListLabel 2496"/>
    <w:qFormat/>
    <w:rPr>
      <w:rFonts w:cs="Symbol"/>
    </w:rPr>
  </w:style>
  <w:style w:type="character" w:styleId="ListLabel2497">
    <w:name w:val="ListLabel 2497"/>
    <w:qFormat/>
    <w:rPr>
      <w:rFonts w:cs="Courier New"/>
    </w:rPr>
  </w:style>
  <w:style w:type="character" w:styleId="ListLabel2498">
    <w:name w:val="ListLabel 2498"/>
    <w:qFormat/>
    <w:rPr>
      <w:rFonts w:cs="Wingdings"/>
    </w:rPr>
  </w:style>
  <w:style w:type="character" w:styleId="ListLabel2499">
    <w:name w:val="ListLabel 2499"/>
    <w:qFormat/>
    <w:rPr>
      <w:rFonts w:cs="Wingdings"/>
    </w:rPr>
  </w:style>
  <w:style w:type="character" w:styleId="ListLabel2500">
    <w:name w:val="ListLabel 2500"/>
    <w:qFormat/>
    <w:rPr>
      <w:rFonts w:cs="Courier New"/>
    </w:rPr>
  </w:style>
  <w:style w:type="character" w:styleId="ListLabel2501">
    <w:name w:val="ListLabel 2501"/>
    <w:qFormat/>
    <w:rPr>
      <w:rFonts w:cs="Wingdings"/>
    </w:rPr>
  </w:style>
  <w:style w:type="character" w:styleId="ListLabel2502">
    <w:name w:val="ListLabel 2502"/>
    <w:qFormat/>
    <w:rPr>
      <w:rFonts w:cs="Symbol"/>
    </w:rPr>
  </w:style>
  <w:style w:type="character" w:styleId="ListLabel2503">
    <w:name w:val="ListLabel 2503"/>
    <w:qFormat/>
    <w:rPr>
      <w:rFonts w:cs="Courier New"/>
    </w:rPr>
  </w:style>
  <w:style w:type="character" w:styleId="ListLabel2504">
    <w:name w:val="ListLabel 2504"/>
    <w:qFormat/>
    <w:rPr>
      <w:rFonts w:cs="Wingdings"/>
    </w:rPr>
  </w:style>
  <w:style w:type="character" w:styleId="ListLabel2505">
    <w:name w:val="ListLabel 2505"/>
    <w:qFormat/>
    <w:rPr>
      <w:rFonts w:cs="Symbol"/>
    </w:rPr>
  </w:style>
  <w:style w:type="character" w:styleId="ListLabel2506">
    <w:name w:val="ListLabel 2506"/>
    <w:qFormat/>
    <w:rPr>
      <w:rFonts w:cs="Courier New"/>
    </w:rPr>
  </w:style>
  <w:style w:type="character" w:styleId="ListLabel2507">
    <w:name w:val="ListLabel 2507"/>
    <w:qFormat/>
    <w:rPr>
      <w:rFonts w:cs="Wingdings"/>
    </w:rPr>
  </w:style>
  <w:style w:type="character" w:styleId="ListLabel2508">
    <w:name w:val="ListLabel 2508"/>
    <w:qFormat/>
    <w:rPr>
      <w:sz w:val="20"/>
    </w:rPr>
  </w:style>
  <w:style w:type="character" w:styleId="ListLabel2509">
    <w:name w:val="ListLabel 2509"/>
    <w:qFormat/>
    <w:rPr>
      <w:rFonts w:cs="Wingdings"/>
    </w:rPr>
  </w:style>
  <w:style w:type="character" w:styleId="ListLabel2510">
    <w:name w:val="ListLabel 2510"/>
    <w:qFormat/>
    <w:rPr>
      <w:rFonts w:cs="Courier New"/>
    </w:rPr>
  </w:style>
  <w:style w:type="character" w:styleId="ListLabel2511">
    <w:name w:val="ListLabel 2511"/>
    <w:qFormat/>
    <w:rPr>
      <w:rFonts w:cs="Wingdings"/>
    </w:rPr>
  </w:style>
  <w:style w:type="character" w:styleId="ListLabel2512">
    <w:name w:val="ListLabel 2512"/>
    <w:qFormat/>
    <w:rPr>
      <w:rFonts w:cs="Symbol"/>
    </w:rPr>
  </w:style>
  <w:style w:type="character" w:styleId="ListLabel2513">
    <w:name w:val="ListLabel 2513"/>
    <w:qFormat/>
    <w:rPr>
      <w:rFonts w:cs="Courier New"/>
    </w:rPr>
  </w:style>
  <w:style w:type="character" w:styleId="ListLabel2514">
    <w:name w:val="ListLabel 2514"/>
    <w:qFormat/>
    <w:rPr>
      <w:rFonts w:cs="Wingdings"/>
    </w:rPr>
  </w:style>
  <w:style w:type="character" w:styleId="ListLabel2515">
    <w:name w:val="ListLabel 2515"/>
    <w:qFormat/>
    <w:rPr>
      <w:rFonts w:cs="Symbol"/>
    </w:rPr>
  </w:style>
  <w:style w:type="character" w:styleId="ListLabel2516">
    <w:name w:val="ListLabel 2516"/>
    <w:qFormat/>
    <w:rPr>
      <w:rFonts w:cs="Courier New"/>
    </w:rPr>
  </w:style>
  <w:style w:type="character" w:styleId="ListLabel2517">
    <w:name w:val="ListLabel 2517"/>
    <w:qFormat/>
    <w:rPr>
      <w:rFonts w:cs="Wingdings"/>
    </w:rPr>
  </w:style>
  <w:style w:type="character" w:styleId="ListLabel2518">
    <w:name w:val="ListLabel 2518"/>
    <w:qFormat/>
    <w:rPr>
      <w:rFonts w:cs="Wingdings"/>
    </w:rPr>
  </w:style>
  <w:style w:type="character" w:styleId="ListLabel2519">
    <w:name w:val="ListLabel 2519"/>
    <w:qFormat/>
    <w:rPr>
      <w:rFonts w:cs="Courier New"/>
    </w:rPr>
  </w:style>
  <w:style w:type="character" w:styleId="ListLabel2520">
    <w:name w:val="ListLabel 2520"/>
    <w:qFormat/>
    <w:rPr>
      <w:rFonts w:cs="Wingdings"/>
    </w:rPr>
  </w:style>
  <w:style w:type="character" w:styleId="ListLabel2521">
    <w:name w:val="ListLabel 2521"/>
    <w:qFormat/>
    <w:rPr>
      <w:rFonts w:cs="Symbol"/>
    </w:rPr>
  </w:style>
  <w:style w:type="character" w:styleId="ListLabel2522">
    <w:name w:val="ListLabel 2522"/>
    <w:qFormat/>
    <w:rPr>
      <w:rFonts w:cs="Courier New"/>
    </w:rPr>
  </w:style>
  <w:style w:type="character" w:styleId="ListLabel2523">
    <w:name w:val="ListLabel 2523"/>
    <w:qFormat/>
    <w:rPr>
      <w:rFonts w:cs="Wingdings"/>
    </w:rPr>
  </w:style>
  <w:style w:type="character" w:styleId="ListLabel2524">
    <w:name w:val="ListLabel 2524"/>
    <w:qFormat/>
    <w:rPr>
      <w:rFonts w:cs="Symbol"/>
    </w:rPr>
  </w:style>
  <w:style w:type="character" w:styleId="ListLabel2525">
    <w:name w:val="ListLabel 2525"/>
    <w:qFormat/>
    <w:rPr>
      <w:rFonts w:cs="Courier New"/>
    </w:rPr>
  </w:style>
  <w:style w:type="character" w:styleId="ListLabel2526">
    <w:name w:val="ListLabel 2526"/>
    <w:qFormat/>
    <w:rPr>
      <w:rFonts w:cs="Wingdings"/>
    </w:rPr>
  </w:style>
  <w:style w:type="character" w:styleId="ListLabel2527">
    <w:name w:val="ListLabel 2527"/>
    <w:qFormat/>
    <w:rPr>
      <w:rFonts w:cs="Wingdings"/>
    </w:rPr>
  </w:style>
  <w:style w:type="character" w:styleId="ListLabel2528">
    <w:name w:val="ListLabel 2528"/>
    <w:qFormat/>
    <w:rPr>
      <w:rFonts w:cs="Courier New"/>
    </w:rPr>
  </w:style>
  <w:style w:type="character" w:styleId="ListLabel2529">
    <w:name w:val="ListLabel 2529"/>
    <w:qFormat/>
    <w:rPr>
      <w:rFonts w:cs="Wingdings"/>
    </w:rPr>
  </w:style>
  <w:style w:type="character" w:styleId="ListLabel2530">
    <w:name w:val="ListLabel 2530"/>
    <w:qFormat/>
    <w:rPr>
      <w:rFonts w:cs="Symbol"/>
    </w:rPr>
  </w:style>
  <w:style w:type="character" w:styleId="ListLabel2531">
    <w:name w:val="ListLabel 2531"/>
    <w:qFormat/>
    <w:rPr>
      <w:rFonts w:cs="Courier New"/>
    </w:rPr>
  </w:style>
  <w:style w:type="character" w:styleId="ListLabel2532">
    <w:name w:val="ListLabel 2532"/>
    <w:qFormat/>
    <w:rPr>
      <w:rFonts w:cs="Wingdings"/>
    </w:rPr>
  </w:style>
  <w:style w:type="character" w:styleId="ListLabel2533">
    <w:name w:val="ListLabel 2533"/>
    <w:qFormat/>
    <w:rPr>
      <w:rFonts w:cs="Symbol"/>
    </w:rPr>
  </w:style>
  <w:style w:type="character" w:styleId="ListLabel2534">
    <w:name w:val="ListLabel 2534"/>
    <w:qFormat/>
    <w:rPr>
      <w:rFonts w:cs="Courier New"/>
    </w:rPr>
  </w:style>
  <w:style w:type="character" w:styleId="ListLabel2535">
    <w:name w:val="ListLabel 2535"/>
    <w:qFormat/>
    <w:rPr>
      <w:rFonts w:cs="Wingdings"/>
    </w:rPr>
  </w:style>
  <w:style w:type="character" w:styleId="ListLabel2536">
    <w:name w:val="ListLabel 2536"/>
    <w:qFormat/>
    <w:rPr>
      <w:sz w:val="20"/>
    </w:rPr>
  </w:style>
  <w:style w:type="character" w:styleId="ListLabel2537">
    <w:name w:val="ListLabel 2537"/>
    <w:qFormat/>
    <w:rPr>
      <w:sz w:val="20"/>
    </w:rPr>
  </w:style>
  <w:style w:type="character" w:styleId="ListLabel2538">
    <w:name w:val="ListLabel 2538"/>
    <w:qFormat/>
    <w:rPr>
      <w:sz w:val="20"/>
    </w:rPr>
  </w:style>
  <w:style w:type="character" w:styleId="ListLabel2539">
    <w:name w:val="ListLabel 2539"/>
    <w:qFormat/>
    <w:rPr>
      <w:sz w:val="20"/>
    </w:rPr>
  </w:style>
  <w:style w:type="character" w:styleId="ListLabel2540">
    <w:name w:val="ListLabel 2540"/>
    <w:qFormat/>
    <w:rPr>
      <w:sz w:val="20"/>
    </w:rPr>
  </w:style>
  <w:style w:type="character" w:styleId="ListLabel2541">
    <w:name w:val="ListLabel 2541"/>
    <w:qFormat/>
    <w:rPr>
      <w:sz w:val="20"/>
    </w:rPr>
  </w:style>
  <w:style w:type="character" w:styleId="ListLabel2542">
    <w:name w:val="ListLabel 2542"/>
    <w:qFormat/>
    <w:rPr>
      <w:sz w:val="20"/>
    </w:rPr>
  </w:style>
  <w:style w:type="character" w:styleId="ListLabel2543">
    <w:name w:val="ListLabel 2543"/>
    <w:qFormat/>
    <w:rPr>
      <w:sz w:val="20"/>
    </w:rPr>
  </w:style>
  <w:style w:type="character" w:styleId="ListLabel2544">
    <w:name w:val="ListLabel 2544"/>
    <w:qFormat/>
    <w:rPr>
      <w:sz w:val="20"/>
    </w:rPr>
  </w:style>
  <w:style w:type="character" w:styleId="ListLabel2545">
    <w:name w:val="ListLabel 2545"/>
    <w:qFormat/>
    <w:rPr>
      <w:sz w:val="20"/>
    </w:rPr>
  </w:style>
  <w:style w:type="character" w:styleId="ListLabel2546">
    <w:name w:val="ListLabel 2546"/>
    <w:qFormat/>
    <w:rPr>
      <w:sz w:val="20"/>
    </w:rPr>
  </w:style>
  <w:style w:type="character" w:styleId="ListLabel2547">
    <w:name w:val="ListLabel 2547"/>
    <w:qFormat/>
    <w:rPr>
      <w:sz w:val="20"/>
    </w:rPr>
  </w:style>
  <w:style w:type="character" w:styleId="ListLabel2548">
    <w:name w:val="ListLabel 2548"/>
    <w:qFormat/>
    <w:rPr>
      <w:sz w:val="20"/>
    </w:rPr>
  </w:style>
  <w:style w:type="character" w:styleId="ListLabel2549">
    <w:name w:val="ListLabel 2549"/>
    <w:qFormat/>
    <w:rPr>
      <w:sz w:val="20"/>
    </w:rPr>
  </w:style>
  <w:style w:type="character" w:styleId="ListLabel2550">
    <w:name w:val="ListLabel 2550"/>
    <w:qFormat/>
    <w:rPr>
      <w:sz w:val="20"/>
    </w:rPr>
  </w:style>
  <w:style w:type="character" w:styleId="ListLabel2551">
    <w:name w:val="ListLabel 2551"/>
    <w:qFormat/>
    <w:rPr>
      <w:sz w:val="20"/>
    </w:rPr>
  </w:style>
  <w:style w:type="character" w:styleId="ListLabel2552">
    <w:name w:val="ListLabel 2552"/>
    <w:qFormat/>
    <w:rPr>
      <w:sz w:val="20"/>
    </w:rPr>
  </w:style>
  <w:style w:type="character" w:styleId="ListLabel2553">
    <w:name w:val="ListLabel 2553"/>
    <w:qFormat/>
    <w:rPr>
      <w:sz w:val="20"/>
    </w:rPr>
  </w:style>
  <w:style w:type="character" w:styleId="ListLabel2554">
    <w:name w:val="ListLabel 2554"/>
    <w:qFormat/>
    <w:rPr>
      <w:sz w:val="20"/>
    </w:rPr>
  </w:style>
  <w:style w:type="character" w:styleId="ListLabel2555">
    <w:name w:val="ListLabel 2555"/>
    <w:qFormat/>
    <w:rPr>
      <w:sz w:val="20"/>
    </w:rPr>
  </w:style>
  <w:style w:type="character" w:styleId="ListLabel2556">
    <w:name w:val="ListLabel 2556"/>
    <w:qFormat/>
    <w:rPr>
      <w:sz w:val="20"/>
    </w:rPr>
  </w:style>
  <w:style w:type="character" w:styleId="ListLabel2557">
    <w:name w:val="ListLabel 2557"/>
    <w:qFormat/>
    <w:rPr>
      <w:sz w:val="20"/>
    </w:rPr>
  </w:style>
  <w:style w:type="character" w:styleId="ListLabel2558">
    <w:name w:val="ListLabel 2558"/>
    <w:qFormat/>
    <w:rPr>
      <w:sz w:val="20"/>
    </w:rPr>
  </w:style>
  <w:style w:type="character" w:styleId="ListLabel2559">
    <w:name w:val="ListLabel 2559"/>
    <w:qFormat/>
    <w:rPr>
      <w:sz w:val="20"/>
    </w:rPr>
  </w:style>
  <w:style w:type="character" w:styleId="ListLabel2560">
    <w:name w:val="ListLabel 2560"/>
    <w:qFormat/>
    <w:rPr>
      <w:sz w:val="20"/>
    </w:rPr>
  </w:style>
  <w:style w:type="character" w:styleId="ListLabel2561">
    <w:name w:val="ListLabel 2561"/>
    <w:qFormat/>
    <w:rPr>
      <w:sz w:val="20"/>
    </w:rPr>
  </w:style>
  <w:style w:type="character" w:styleId="ListLabel2562">
    <w:name w:val="ListLabel 2562"/>
    <w:qFormat/>
    <w:rPr>
      <w:sz w:val="20"/>
    </w:rPr>
  </w:style>
  <w:style w:type="character" w:styleId="ListLabel2563">
    <w:name w:val="ListLabel 2563"/>
    <w:qFormat/>
    <w:rPr>
      <w:sz w:val="20"/>
    </w:rPr>
  </w:style>
  <w:style w:type="character" w:styleId="ListLabel2564">
    <w:name w:val="ListLabel 2564"/>
    <w:qFormat/>
    <w:rPr>
      <w:sz w:val="20"/>
    </w:rPr>
  </w:style>
  <w:style w:type="character" w:styleId="ListLabel2565">
    <w:name w:val="ListLabel 2565"/>
    <w:qFormat/>
    <w:rPr>
      <w:sz w:val="20"/>
    </w:rPr>
  </w:style>
  <w:style w:type="character" w:styleId="ListLabel2566">
    <w:name w:val="ListLabel 2566"/>
    <w:qFormat/>
    <w:rPr>
      <w:sz w:val="20"/>
    </w:rPr>
  </w:style>
  <w:style w:type="character" w:styleId="ListLabel2567">
    <w:name w:val="ListLabel 2567"/>
    <w:qFormat/>
    <w:rPr>
      <w:sz w:val="20"/>
    </w:rPr>
  </w:style>
  <w:style w:type="character" w:styleId="ListLabel2568">
    <w:name w:val="ListLabel 2568"/>
    <w:qFormat/>
    <w:rPr>
      <w:sz w:val="20"/>
    </w:rPr>
  </w:style>
  <w:style w:type="character" w:styleId="ListLabel2569">
    <w:name w:val="ListLabel 2569"/>
    <w:qFormat/>
    <w:rPr>
      <w:sz w:val="20"/>
    </w:rPr>
  </w:style>
  <w:style w:type="character" w:styleId="ListLabel2570">
    <w:name w:val="ListLabel 2570"/>
    <w:qFormat/>
    <w:rPr>
      <w:sz w:val="20"/>
    </w:rPr>
  </w:style>
  <w:style w:type="character" w:styleId="ListLabel2571">
    <w:name w:val="ListLabel 2571"/>
    <w:qFormat/>
    <w:rPr>
      <w:sz w:val="20"/>
    </w:rPr>
  </w:style>
  <w:style w:type="character" w:styleId="ListLabel2572">
    <w:name w:val="ListLabel 2572"/>
    <w:qFormat/>
    <w:rPr>
      <w:sz w:val="20"/>
    </w:rPr>
  </w:style>
  <w:style w:type="character" w:styleId="ListLabel2573">
    <w:name w:val="ListLabel 2573"/>
    <w:qFormat/>
    <w:rPr>
      <w:sz w:val="20"/>
    </w:rPr>
  </w:style>
  <w:style w:type="character" w:styleId="ListLabel2574">
    <w:name w:val="ListLabel 2574"/>
    <w:qFormat/>
    <w:rPr>
      <w:sz w:val="20"/>
    </w:rPr>
  </w:style>
  <w:style w:type="character" w:styleId="ListLabel2575">
    <w:name w:val="ListLabel 2575"/>
    <w:qFormat/>
    <w:rPr>
      <w:sz w:val="20"/>
    </w:rPr>
  </w:style>
  <w:style w:type="character" w:styleId="ListLabel2576">
    <w:name w:val="ListLabel 2576"/>
    <w:qFormat/>
    <w:rPr>
      <w:sz w:val="20"/>
    </w:rPr>
  </w:style>
  <w:style w:type="character" w:styleId="ListLabel2577">
    <w:name w:val="ListLabel 2577"/>
    <w:qFormat/>
    <w:rPr>
      <w:sz w:val="20"/>
    </w:rPr>
  </w:style>
  <w:style w:type="character" w:styleId="ListLabel2578">
    <w:name w:val="ListLabel 2578"/>
    <w:qFormat/>
    <w:rPr>
      <w:sz w:val="20"/>
    </w:rPr>
  </w:style>
  <w:style w:type="character" w:styleId="ListLabel2579">
    <w:name w:val="ListLabel 2579"/>
    <w:qFormat/>
    <w:rPr>
      <w:sz w:val="20"/>
    </w:rPr>
  </w:style>
  <w:style w:type="character" w:styleId="ListLabel2580">
    <w:name w:val="ListLabel 2580"/>
    <w:qFormat/>
    <w:rPr>
      <w:sz w:val="20"/>
    </w:rPr>
  </w:style>
  <w:style w:type="character" w:styleId="ListLabel2581">
    <w:name w:val="ListLabel 2581"/>
    <w:qFormat/>
    <w:rPr>
      <w:sz w:val="20"/>
    </w:rPr>
  </w:style>
  <w:style w:type="character" w:styleId="ListLabel2582">
    <w:name w:val="ListLabel 2582"/>
    <w:qFormat/>
    <w:rPr>
      <w:sz w:val="20"/>
    </w:rPr>
  </w:style>
  <w:style w:type="character" w:styleId="ListLabel2583">
    <w:name w:val="ListLabel 2583"/>
    <w:qFormat/>
    <w:rPr>
      <w:sz w:val="20"/>
    </w:rPr>
  </w:style>
  <w:style w:type="character" w:styleId="ListLabel2584">
    <w:name w:val="ListLabel 2584"/>
    <w:qFormat/>
    <w:rPr>
      <w:sz w:val="20"/>
    </w:rPr>
  </w:style>
  <w:style w:type="character" w:styleId="ListLabel2585">
    <w:name w:val="ListLabel 2585"/>
    <w:qFormat/>
    <w:rPr>
      <w:sz w:val="20"/>
    </w:rPr>
  </w:style>
  <w:style w:type="character" w:styleId="ListLabel2586">
    <w:name w:val="ListLabel 2586"/>
    <w:qFormat/>
    <w:rPr>
      <w:sz w:val="20"/>
    </w:rPr>
  </w:style>
  <w:style w:type="character" w:styleId="ListLabel2587">
    <w:name w:val="ListLabel 2587"/>
    <w:qFormat/>
    <w:rPr>
      <w:sz w:val="20"/>
    </w:rPr>
  </w:style>
  <w:style w:type="character" w:styleId="ListLabel2588">
    <w:name w:val="ListLabel 2588"/>
    <w:qFormat/>
    <w:rPr>
      <w:sz w:val="20"/>
    </w:rPr>
  </w:style>
  <w:style w:type="character" w:styleId="ListLabel2589">
    <w:name w:val="ListLabel 2589"/>
    <w:qFormat/>
    <w:rPr>
      <w:sz w:val="20"/>
    </w:rPr>
  </w:style>
  <w:style w:type="character" w:styleId="ListLabel2590">
    <w:name w:val="ListLabel 2590"/>
    <w:qFormat/>
    <w:rPr>
      <w:sz w:val="20"/>
    </w:rPr>
  </w:style>
  <w:style w:type="character" w:styleId="ListLabel2591">
    <w:name w:val="ListLabel 2591"/>
    <w:qFormat/>
    <w:rPr>
      <w:sz w:val="20"/>
    </w:rPr>
  </w:style>
  <w:style w:type="character" w:styleId="ListLabel2592">
    <w:name w:val="ListLabel 2592"/>
    <w:qFormat/>
    <w:rPr>
      <w:sz w:val="20"/>
    </w:rPr>
  </w:style>
  <w:style w:type="character" w:styleId="ListLabel2593">
    <w:name w:val="ListLabel 2593"/>
    <w:qFormat/>
    <w:rPr>
      <w:rFonts w:cs="Wingdings"/>
      <w:sz w:val="20"/>
    </w:rPr>
  </w:style>
  <w:style w:type="character" w:styleId="ListLabel2594">
    <w:name w:val="ListLabel 2594"/>
    <w:qFormat/>
    <w:rPr>
      <w:sz w:val="20"/>
    </w:rPr>
  </w:style>
  <w:style w:type="character" w:styleId="ListLabel2595">
    <w:name w:val="ListLabel 2595"/>
    <w:qFormat/>
    <w:rPr>
      <w:sz w:val="20"/>
    </w:rPr>
  </w:style>
  <w:style w:type="character" w:styleId="ListLabel2596">
    <w:name w:val="ListLabel 2596"/>
    <w:qFormat/>
    <w:rPr>
      <w:sz w:val="20"/>
    </w:rPr>
  </w:style>
  <w:style w:type="character" w:styleId="ListLabel2597">
    <w:name w:val="ListLabel 2597"/>
    <w:qFormat/>
    <w:rPr>
      <w:sz w:val="20"/>
    </w:rPr>
  </w:style>
  <w:style w:type="character" w:styleId="ListLabel2598">
    <w:name w:val="ListLabel 2598"/>
    <w:qFormat/>
    <w:rPr>
      <w:sz w:val="20"/>
    </w:rPr>
  </w:style>
  <w:style w:type="character" w:styleId="ListLabel2599">
    <w:name w:val="ListLabel 2599"/>
    <w:qFormat/>
    <w:rPr>
      <w:sz w:val="20"/>
    </w:rPr>
  </w:style>
  <w:style w:type="character" w:styleId="ListLabel2600">
    <w:name w:val="ListLabel 2600"/>
    <w:qFormat/>
    <w:rPr>
      <w:sz w:val="20"/>
    </w:rPr>
  </w:style>
  <w:style w:type="character" w:styleId="ListLabel2601">
    <w:name w:val="ListLabel 2601"/>
    <w:qFormat/>
    <w:rPr>
      <w:sz w:val="20"/>
    </w:rPr>
  </w:style>
  <w:style w:type="character" w:styleId="ListLabel2602">
    <w:name w:val="ListLabel 2602"/>
    <w:qFormat/>
    <w:rPr>
      <w:sz w:val="20"/>
    </w:rPr>
  </w:style>
  <w:style w:type="character" w:styleId="ListLabel2603">
    <w:name w:val="ListLabel 2603"/>
    <w:qFormat/>
    <w:rPr>
      <w:sz w:val="20"/>
    </w:rPr>
  </w:style>
  <w:style w:type="character" w:styleId="ListLabel2604">
    <w:name w:val="ListLabel 2604"/>
    <w:qFormat/>
    <w:rPr>
      <w:sz w:val="20"/>
    </w:rPr>
  </w:style>
  <w:style w:type="character" w:styleId="ListLabel2605">
    <w:name w:val="ListLabel 2605"/>
    <w:qFormat/>
    <w:rPr>
      <w:sz w:val="20"/>
    </w:rPr>
  </w:style>
  <w:style w:type="character" w:styleId="ListLabel2606">
    <w:name w:val="ListLabel 2606"/>
    <w:qFormat/>
    <w:rPr>
      <w:sz w:val="20"/>
    </w:rPr>
  </w:style>
  <w:style w:type="character" w:styleId="ListLabel2607">
    <w:name w:val="ListLabel 2607"/>
    <w:qFormat/>
    <w:rPr>
      <w:sz w:val="20"/>
    </w:rPr>
  </w:style>
  <w:style w:type="character" w:styleId="ListLabel2608">
    <w:name w:val="ListLabel 2608"/>
    <w:qFormat/>
    <w:rPr>
      <w:sz w:val="20"/>
    </w:rPr>
  </w:style>
  <w:style w:type="character" w:styleId="ListLabel2609">
    <w:name w:val="ListLabel 2609"/>
    <w:qFormat/>
    <w:rPr>
      <w:sz w:val="20"/>
    </w:rPr>
  </w:style>
  <w:style w:type="character" w:styleId="ListLabel2610">
    <w:name w:val="ListLabel 2610"/>
    <w:qFormat/>
    <w:rPr>
      <w:sz w:val="20"/>
    </w:rPr>
  </w:style>
  <w:style w:type="character" w:styleId="ListLabel2611">
    <w:name w:val="ListLabel 2611"/>
    <w:qFormat/>
    <w:rPr>
      <w:sz w:val="20"/>
    </w:rPr>
  </w:style>
  <w:style w:type="character" w:styleId="ListLabel2612">
    <w:name w:val="ListLabel 2612"/>
    <w:qFormat/>
    <w:rPr>
      <w:sz w:val="20"/>
    </w:rPr>
  </w:style>
  <w:style w:type="character" w:styleId="ListLabel2613">
    <w:name w:val="ListLabel 2613"/>
    <w:qFormat/>
    <w:rPr>
      <w:sz w:val="20"/>
    </w:rPr>
  </w:style>
  <w:style w:type="character" w:styleId="ListLabel2614">
    <w:name w:val="ListLabel 2614"/>
    <w:qFormat/>
    <w:rPr>
      <w:sz w:val="20"/>
    </w:rPr>
  </w:style>
  <w:style w:type="character" w:styleId="ListLabel2615">
    <w:name w:val="ListLabel 2615"/>
    <w:qFormat/>
    <w:rPr>
      <w:sz w:val="20"/>
    </w:rPr>
  </w:style>
  <w:style w:type="character" w:styleId="ListLabel2616">
    <w:name w:val="ListLabel 2616"/>
    <w:qFormat/>
    <w:rPr>
      <w:sz w:val="20"/>
    </w:rPr>
  </w:style>
  <w:style w:type="character" w:styleId="ListLabel2617">
    <w:name w:val="ListLabel 2617"/>
    <w:qFormat/>
    <w:rPr>
      <w:sz w:val="20"/>
    </w:rPr>
  </w:style>
  <w:style w:type="character" w:styleId="ListLabel2618">
    <w:name w:val="ListLabel 2618"/>
    <w:qFormat/>
    <w:rPr>
      <w:sz w:val="20"/>
    </w:rPr>
  </w:style>
  <w:style w:type="character" w:styleId="ListLabel2619">
    <w:name w:val="ListLabel 2619"/>
    <w:qFormat/>
    <w:rPr>
      <w:sz w:val="20"/>
    </w:rPr>
  </w:style>
  <w:style w:type="character" w:styleId="ListLabel2620">
    <w:name w:val="ListLabel 2620"/>
    <w:qFormat/>
    <w:rPr>
      <w:rFonts w:cs="Wingdings"/>
      <w:b/>
    </w:rPr>
  </w:style>
  <w:style w:type="character" w:styleId="ListLabel2621">
    <w:name w:val="ListLabel 2621"/>
    <w:qFormat/>
    <w:rPr>
      <w:rFonts w:cs="Courier New"/>
    </w:rPr>
  </w:style>
  <w:style w:type="character" w:styleId="ListLabel2622">
    <w:name w:val="ListLabel 2622"/>
    <w:qFormat/>
    <w:rPr>
      <w:rFonts w:cs="Wingdings"/>
    </w:rPr>
  </w:style>
  <w:style w:type="character" w:styleId="ListLabel2623">
    <w:name w:val="ListLabel 2623"/>
    <w:qFormat/>
    <w:rPr>
      <w:rFonts w:cs="Symbol"/>
    </w:rPr>
  </w:style>
  <w:style w:type="character" w:styleId="ListLabel2624">
    <w:name w:val="ListLabel 2624"/>
    <w:qFormat/>
    <w:rPr>
      <w:rFonts w:cs="Courier New"/>
    </w:rPr>
  </w:style>
  <w:style w:type="character" w:styleId="ListLabel2625">
    <w:name w:val="ListLabel 2625"/>
    <w:qFormat/>
    <w:rPr>
      <w:rFonts w:cs="Wingdings"/>
    </w:rPr>
  </w:style>
  <w:style w:type="character" w:styleId="ListLabel2626">
    <w:name w:val="ListLabel 2626"/>
    <w:qFormat/>
    <w:rPr>
      <w:rFonts w:cs="Symbol"/>
    </w:rPr>
  </w:style>
  <w:style w:type="character" w:styleId="ListLabel2627">
    <w:name w:val="ListLabel 2627"/>
    <w:qFormat/>
    <w:rPr>
      <w:rFonts w:cs="Courier New"/>
    </w:rPr>
  </w:style>
  <w:style w:type="character" w:styleId="ListLabel2628">
    <w:name w:val="ListLabel 2628"/>
    <w:qFormat/>
    <w:rPr>
      <w:rFonts w:cs="Wingdings"/>
    </w:rPr>
  </w:style>
  <w:style w:type="character" w:styleId="ListLabel2629">
    <w:name w:val="ListLabel 2629"/>
    <w:qFormat/>
    <w:rPr>
      <w:rFonts w:cs="Wingdings"/>
      <w:b/>
    </w:rPr>
  </w:style>
  <w:style w:type="character" w:styleId="ListLabel2630">
    <w:name w:val="ListLabel 2630"/>
    <w:qFormat/>
    <w:rPr>
      <w:rFonts w:cs="Courier New"/>
    </w:rPr>
  </w:style>
  <w:style w:type="character" w:styleId="ListLabel2631">
    <w:name w:val="ListLabel 2631"/>
    <w:qFormat/>
    <w:rPr>
      <w:rFonts w:cs="Wingdings"/>
    </w:rPr>
  </w:style>
  <w:style w:type="character" w:styleId="ListLabel2632">
    <w:name w:val="ListLabel 2632"/>
    <w:qFormat/>
    <w:rPr>
      <w:rFonts w:cs="Symbol"/>
    </w:rPr>
  </w:style>
  <w:style w:type="character" w:styleId="ListLabel2633">
    <w:name w:val="ListLabel 2633"/>
    <w:qFormat/>
    <w:rPr>
      <w:rFonts w:cs="Courier New"/>
    </w:rPr>
  </w:style>
  <w:style w:type="character" w:styleId="ListLabel2634">
    <w:name w:val="ListLabel 2634"/>
    <w:qFormat/>
    <w:rPr>
      <w:rFonts w:cs="Wingdings"/>
    </w:rPr>
  </w:style>
  <w:style w:type="character" w:styleId="ListLabel2635">
    <w:name w:val="ListLabel 2635"/>
    <w:qFormat/>
    <w:rPr>
      <w:rFonts w:cs="Symbol"/>
    </w:rPr>
  </w:style>
  <w:style w:type="character" w:styleId="ListLabel2636">
    <w:name w:val="ListLabel 2636"/>
    <w:qFormat/>
    <w:rPr>
      <w:rFonts w:cs="Courier New"/>
    </w:rPr>
  </w:style>
  <w:style w:type="character" w:styleId="ListLabel2637">
    <w:name w:val="ListLabel 2637"/>
    <w:qFormat/>
    <w:rPr>
      <w:rFonts w:cs="Wingdings"/>
    </w:rPr>
  </w:style>
  <w:style w:type="character" w:styleId="ListLabel2638">
    <w:name w:val="ListLabel 2638"/>
    <w:qFormat/>
    <w:rPr>
      <w:sz w:val="20"/>
    </w:rPr>
  </w:style>
  <w:style w:type="character" w:styleId="ListLabel2639">
    <w:name w:val="ListLabel 2639"/>
    <w:qFormat/>
    <w:rPr>
      <w:sz w:val="20"/>
    </w:rPr>
  </w:style>
  <w:style w:type="character" w:styleId="ListLabel2640">
    <w:name w:val="ListLabel 2640"/>
    <w:qFormat/>
    <w:rPr>
      <w:sz w:val="20"/>
    </w:rPr>
  </w:style>
  <w:style w:type="character" w:styleId="ListLabel2641">
    <w:name w:val="ListLabel 2641"/>
    <w:qFormat/>
    <w:rPr>
      <w:sz w:val="20"/>
    </w:rPr>
  </w:style>
  <w:style w:type="character" w:styleId="ListLabel2642">
    <w:name w:val="ListLabel 2642"/>
    <w:qFormat/>
    <w:rPr>
      <w:sz w:val="20"/>
    </w:rPr>
  </w:style>
  <w:style w:type="character" w:styleId="ListLabel2643">
    <w:name w:val="ListLabel 2643"/>
    <w:qFormat/>
    <w:rPr>
      <w:rFonts w:cs="Wingdings"/>
    </w:rPr>
  </w:style>
  <w:style w:type="character" w:styleId="ListLabel2644">
    <w:name w:val="ListLabel 2644"/>
    <w:qFormat/>
    <w:rPr>
      <w:rFonts w:cs="Courier New"/>
    </w:rPr>
  </w:style>
  <w:style w:type="character" w:styleId="ListLabel2645">
    <w:name w:val="ListLabel 2645"/>
    <w:qFormat/>
    <w:rPr>
      <w:rFonts w:cs="Wingdings"/>
    </w:rPr>
  </w:style>
  <w:style w:type="character" w:styleId="ListLabel2646">
    <w:name w:val="ListLabel 2646"/>
    <w:qFormat/>
    <w:rPr>
      <w:rFonts w:cs="Symbol"/>
    </w:rPr>
  </w:style>
  <w:style w:type="character" w:styleId="ListLabel2647">
    <w:name w:val="ListLabel 2647"/>
    <w:qFormat/>
    <w:rPr>
      <w:rFonts w:cs="Courier New"/>
    </w:rPr>
  </w:style>
  <w:style w:type="character" w:styleId="ListLabel2648">
    <w:name w:val="ListLabel 2648"/>
    <w:qFormat/>
    <w:rPr>
      <w:rFonts w:cs="Wingdings"/>
    </w:rPr>
  </w:style>
  <w:style w:type="character" w:styleId="ListLabel2649">
    <w:name w:val="ListLabel 2649"/>
    <w:qFormat/>
    <w:rPr>
      <w:rFonts w:cs="Symbol"/>
    </w:rPr>
  </w:style>
  <w:style w:type="character" w:styleId="ListLabel2650">
    <w:name w:val="ListLabel 2650"/>
    <w:qFormat/>
    <w:rPr>
      <w:rFonts w:cs="Courier New"/>
    </w:rPr>
  </w:style>
  <w:style w:type="character" w:styleId="ListLabel2651">
    <w:name w:val="ListLabel 2651"/>
    <w:qFormat/>
    <w:rPr>
      <w:rFonts w:cs="Wingdings"/>
    </w:rPr>
  </w:style>
  <w:style w:type="character" w:styleId="ListLabel2652">
    <w:name w:val="ListLabel 2652"/>
    <w:qFormat/>
    <w:rPr>
      <w:sz w:val="20"/>
    </w:rPr>
  </w:style>
  <w:style w:type="character" w:styleId="ListLabel2653">
    <w:name w:val="ListLabel 2653"/>
    <w:qFormat/>
    <w:rPr>
      <w:sz w:val="20"/>
    </w:rPr>
  </w:style>
  <w:style w:type="character" w:styleId="ListLabel2654">
    <w:name w:val="ListLabel 2654"/>
    <w:qFormat/>
    <w:rPr>
      <w:sz w:val="20"/>
    </w:rPr>
  </w:style>
  <w:style w:type="character" w:styleId="ListLabel2655">
    <w:name w:val="ListLabel 2655"/>
    <w:qFormat/>
    <w:rPr>
      <w:sz w:val="20"/>
    </w:rPr>
  </w:style>
  <w:style w:type="character" w:styleId="ListLabel2656">
    <w:name w:val="ListLabel 2656"/>
    <w:qFormat/>
    <w:rPr>
      <w:sz w:val="20"/>
    </w:rPr>
  </w:style>
  <w:style w:type="character" w:styleId="ListLabel2657">
    <w:name w:val="ListLabel 2657"/>
    <w:qFormat/>
    <w:rPr>
      <w:sz w:val="20"/>
    </w:rPr>
  </w:style>
  <w:style w:type="character" w:styleId="ListLabel2658">
    <w:name w:val="ListLabel 2658"/>
    <w:qFormat/>
    <w:rPr>
      <w:sz w:val="20"/>
    </w:rPr>
  </w:style>
  <w:style w:type="character" w:styleId="ListLabel2659">
    <w:name w:val="ListLabel 2659"/>
    <w:qFormat/>
    <w:rPr>
      <w:sz w:val="20"/>
    </w:rPr>
  </w:style>
  <w:style w:type="character" w:styleId="ListLabel2660">
    <w:name w:val="ListLabel 2660"/>
    <w:qFormat/>
    <w:rPr>
      <w:sz w:val="20"/>
    </w:rPr>
  </w:style>
  <w:style w:type="character" w:styleId="ListLabel2661">
    <w:name w:val="ListLabel 2661"/>
    <w:qFormat/>
    <w:rPr>
      <w:sz w:val="20"/>
    </w:rPr>
  </w:style>
  <w:style w:type="character" w:styleId="ListLabel2662">
    <w:name w:val="ListLabel 2662"/>
    <w:qFormat/>
    <w:rPr>
      <w:sz w:val="20"/>
    </w:rPr>
  </w:style>
  <w:style w:type="character" w:styleId="ListLabel2663">
    <w:name w:val="ListLabel 2663"/>
    <w:qFormat/>
    <w:rPr>
      <w:sz w:val="20"/>
    </w:rPr>
  </w:style>
  <w:style w:type="character" w:styleId="ListLabel2664">
    <w:name w:val="ListLabel 2664"/>
    <w:qFormat/>
    <w:rPr>
      <w:sz w:val="20"/>
    </w:rPr>
  </w:style>
  <w:style w:type="character" w:styleId="ListLabel2665">
    <w:name w:val="ListLabel 2665"/>
    <w:qFormat/>
    <w:rPr>
      <w:sz w:val="20"/>
    </w:rPr>
  </w:style>
  <w:style w:type="character" w:styleId="ListLabel2666">
    <w:name w:val="ListLabel 2666"/>
    <w:qFormat/>
    <w:rPr>
      <w:sz w:val="20"/>
    </w:rPr>
  </w:style>
  <w:style w:type="character" w:styleId="ListLabel2667">
    <w:name w:val="ListLabel 2667"/>
    <w:qFormat/>
    <w:rPr>
      <w:sz w:val="20"/>
    </w:rPr>
  </w:style>
  <w:style w:type="character" w:styleId="ListLabel2668">
    <w:name w:val="ListLabel 2668"/>
    <w:qFormat/>
    <w:rPr>
      <w:sz w:val="20"/>
    </w:rPr>
  </w:style>
  <w:style w:type="character" w:styleId="ListLabel2669">
    <w:name w:val="ListLabel 2669"/>
    <w:qFormat/>
    <w:rPr>
      <w:sz w:val="20"/>
    </w:rPr>
  </w:style>
  <w:style w:type="character" w:styleId="ListLabel2670">
    <w:name w:val="ListLabel 2670"/>
    <w:qFormat/>
    <w:rPr>
      <w:rFonts w:cs="Wingdings"/>
    </w:rPr>
  </w:style>
  <w:style w:type="character" w:styleId="ListLabel2671">
    <w:name w:val="ListLabel 2671"/>
    <w:qFormat/>
    <w:rPr>
      <w:rFonts w:cs="Courier New"/>
    </w:rPr>
  </w:style>
  <w:style w:type="character" w:styleId="ListLabel2672">
    <w:name w:val="ListLabel 2672"/>
    <w:qFormat/>
    <w:rPr>
      <w:rFonts w:cs="Wingdings"/>
    </w:rPr>
  </w:style>
  <w:style w:type="character" w:styleId="ListLabel2673">
    <w:name w:val="ListLabel 2673"/>
    <w:qFormat/>
    <w:rPr>
      <w:rFonts w:cs="Symbol"/>
    </w:rPr>
  </w:style>
  <w:style w:type="character" w:styleId="ListLabel2674">
    <w:name w:val="ListLabel 2674"/>
    <w:qFormat/>
    <w:rPr>
      <w:rFonts w:cs="Courier New"/>
    </w:rPr>
  </w:style>
  <w:style w:type="character" w:styleId="ListLabel2675">
    <w:name w:val="ListLabel 2675"/>
    <w:qFormat/>
    <w:rPr>
      <w:rFonts w:cs="Wingdings"/>
    </w:rPr>
  </w:style>
  <w:style w:type="character" w:styleId="ListLabel2676">
    <w:name w:val="ListLabel 2676"/>
    <w:qFormat/>
    <w:rPr>
      <w:rFonts w:cs="Symbol"/>
    </w:rPr>
  </w:style>
  <w:style w:type="character" w:styleId="ListLabel2677">
    <w:name w:val="ListLabel 2677"/>
    <w:qFormat/>
    <w:rPr>
      <w:rFonts w:cs="Courier New"/>
    </w:rPr>
  </w:style>
  <w:style w:type="character" w:styleId="ListLabel2678">
    <w:name w:val="ListLabel 2678"/>
    <w:qFormat/>
    <w:rPr>
      <w:rFonts w:cs="Wingdings"/>
    </w:rPr>
  </w:style>
  <w:style w:type="character" w:styleId="ListLabel2679">
    <w:name w:val="ListLabel 2679"/>
    <w:qFormat/>
    <w:rPr>
      <w:sz w:val="20"/>
    </w:rPr>
  </w:style>
  <w:style w:type="character" w:styleId="ListLabel2680">
    <w:name w:val="ListLabel 2680"/>
    <w:qFormat/>
    <w:rPr>
      <w:sz w:val="20"/>
    </w:rPr>
  </w:style>
  <w:style w:type="character" w:styleId="ListLabel2681">
    <w:name w:val="ListLabel 2681"/>
    <w:qFormat/>
    <w:rPr>
      <w:sz w:val="20"/>
    </w:rPr>
  </w:style>
  <w:style w:type="character" w:styleId="ListLabel2682">
    <w:name w:val="ListLabel 2682"/>
    <w:qFormat/>
    <w:rPr>
      <w:sz w:val="20"/>
    </w:rPr>
  </w:style>
  <w:style w:type="character" w:styleId="ListLabel2683">
    <w:name w:val="ListLabel 2683"/>
    <w:qFormat/>
    <w:rPr>
      <w:sz w:val="20"/>
    </w:rPr>
  </w:style>
  <w:style w:type="character" w:styleId="ListLabel2684">
    <w:name w:val="ListLabel 2684"/>
    <w:qFormat/>
    <w:rPr>
      <w:sz w:val="20"/>
    </w:rPr>
  </w:style>
  <w:style w:type="character" w:styleId="ListLabel2685">
    <w:name w:val="ListLabel 2685"/>
    <w:qFormat/>
    <w:rPr>
      <w:sz w:val="20"/>
    </w:rPr>
  </w:style>
  <w:style w:type="character" w:styleId="ListLabel2686">
    <w:name w:val="ListLabel 2686"/>
    <w:qFormat/>
    <w:rPr>
      <w:sz w:val="20"/>
    </w:rPr>
  </w:style>
  <w:style w:type="character" w:styleId="ListLabel2687">
    <w:name w:val="ListLabel 2687"/>
    <w:qFormat/>
    <w:rPr>
      <w:sz w:val="20"/>
    </w:rPr>
  </w:style>
  <w:style w:type="character" w:styleId="ListLabel2688">
    <w:name w:val="ListLabel 2688"/>
    <w:qFormat/>
    <w:rPr>
      <w:sz w:val="20"/>
    </w:rPr>
  </w:style>
  <w:style w:type="character" w:styleId="ListLabel2689">
    <w:name w:val="ListLabel 2689"/>
    <w:qFormat/>
    <w:rPr>
      <w:sz w:val="20"/>
    </w:rPr>
  </w:style>
  <w:style w:type="character" w:styleId="ListLabel2690">
    <w:name w:val="ListLabel 2690"/>
    <w:qFormat/>
    <w:rPr>
      <w:sz w:val="20"/>
    </w:rPr>
  </w:style>
  <w:style w:type="character" w:styleId="ListLabel2691">
    <w:name w:val="ListLabel 2691"/>
    <w:qFormat/>
    <w:rPr>
      <w:sz w:val="20"/>
    </w:rPr>
  </w:style>
  <w:style w:type="character" w:styleId="ListLabel2692">
    <w:name w:val="ListLabel 2692"/>
    <w:qFormat/>
    <w:rPr>
      <w:sz w:val="20"/>
    </w:rPr>
  </w:style>
  <w:style w:type="character" w:styleId="ListLabel2693">
    <w:name w:val="ListLabel 2693"/>
    <w:qFormat/>
    <w:rPr>
      <w:sz w:val="20"/>
    </w:rPr>
  </w:style>
  <w:style w:type="character" w:styleId="ListLabel2694">
    <w:name w:val="ListLabel 2694"/>
    <w:qFormat/>
    <w:rPr>
      <w:sz w:val="20"/>
    </w:rPr>
  </w:style>
  <w:style w:type="character" w:styleId="ListLabel2695">
    <w:name w:val="ListLabel 2695"/>
    <w:qFormat/>
    <w:rPr>
      <w:sz w:val="20"/>
    </w:rPr>
  </w:style>
  <w:style w:type="character" w:styleId="ListLabel2696">
    <w:name w:val="ListLabel 2696"/>
    <w:qFormat/>
    <w:rPr>
      <w:sz w:val="20"/>
    </w:rPr>
  </w:style>
  <w:style w:type="character" w:styleId="ListLabel2697">
    <w:name w:val="ListLabel 2697"/>
    <w:qFormat/>
    <w:rPr>
      <w:b/>
      <w:sz w:val="20"/>
    </w:rPr>
  </w:style>
  <w:style w:type="character" w:styleId="ListLabel2698">
    <w:name w:val="ListLabel 2698"/>
    <w:qFormat/>
    <w:rPr>
      <w:sz w:val="20"/>
    </w:rPr>
  </w:style>
  <w:style w:type="character" w:styleId="ListLabel2699">
    <w:name w:val="ListLabel 2699"/>
    <w:qFormat/>
    <w:rPr>
      <w:b w:val="false"/>
      <w:sz w:val="20"/>
    </w:rPr>
  </w:style>
  <w:style w:type="character" w:styleId="ListLabel2700">
    <w:name w:val="ListLabel 2700"/>
    <w:qFormat/>
    <w:rPr>
      <w:sz w:val="20"/>
    </w:rPr>
  </w:style>
  <w:style w:type="character" w:styleId="ListLabel2701">
    <w:name w:val="ListLabel 2701"/>
    <w:qFormat/>
    <w:rPr>
      <w:sz w:val="20"/>
    </w:rPr>
  </w:style>
  <w:style w:type="character" w:styleId="ListLabel2702">
    <w:name w:val="ListLabel 2702"/>
    <w:qFormat/>
    <w:rPr>
      <w:sz w:val="20"/>
    </w:rPr>
  </w:style>
  <w:style w:type="character" w:styleId="ListLabel2703">
    <w:name w:val="ListLabel 2703"/>
    <w:qFormat/>
    <w:rPr>
      <w:sz w:val="20"/>
    </w:rPr>
  </w:style>
  <w:style w:type="character" w:styleId="ListLabel2704">
    <w:name w:val="ListLabel 2704"/>
    <w:qFormat/>
    <w:rPr>
      <w:sz w:val="20"/>
    </w:rPr>
  </w:style>
  <w:style w:type="character" w:styleId="ListLabel2705">
    <w:name w:val="ListLabel 2705"/>
    <w:qFormat/>
    <w:rPr>
      <w:sz w:val="20"/>
    </w:rPr>
  </w:style>
  <w:style w:type="character" w:styleId="ListLabel2706">
    <w:name w:val="ListLabel 2706"/>
    <w:qFormat/>
    <w:rPr>
      <w:sz w:val="20"/>
    </w:rPr>
  </w:style>
  <w:style w:type="character" w:styleId="ListLabel2707">
    <w:name w:val="ListLabel 2707"/>
    <w:qFormat/>
    <w:rPr>
      <w:sz w:val="20"/>
    </w:rPr>
  </w:style>
  <w:style w:type="character" w:styleId="ListLabel2708">
    <w:name w:val="ListLabel 2708"/>
    <w:qFormat/>
    <w:rPr>
      <w:sz w:val="20"/>
    </w:rPr>
  </w:style>
  <w:style w:type="character" w:styleId="ListLabel2709">
    <w:name w:val="ListLabel 2709"/>
    <w:qFormat/>
    <w:rPr>
      <w:sz w:val="20"/>
    </w:rPr>
  </w:style>
  <w:style w:type="character" w:styleId="ListLabel2710">
    <w:name w:val="ListLabel 2710"/>
    <w:qFormat/>
    <w:rPr>
      <w:sz w:val="20"/>
    </w:rPr>
  </w:style>
  <w:style w:type="character" w:styleId="ListLabel2711">
    <w:name w:val="ListLabel 2711"/>
    <w:qFormat/>
    <w:rPr>
      <w:sz w:val="20"/>
    </w:rPr>
  </w:style>
  <w:style w:type="character" w:styleId="ListLabel2712">
    <w:name w:val="ListLabel 2712"/>
    <w:qFormat/>
    <w:rPr>
      <w:sz w:val="20"/>
    </w:rPr>
  </w:style>
  <w:style w:type="character" w:styleId="ListLabel2713">
    <w:name w:val="ListLabel 2713"/>
    <w:qFormat/>
    <w:rPr>
      <w:sz w:val="20"/>
    </w:rPr>
  </w:style>
  <w:style w:type="character" w:styleId="ListLabel2714">
    <w:name w:val="ListLabel 2714"/>
    <w:qFormat/>
    <w:rPr>
      <w:sz w:val="20"/>
    </w:rPr>
  </w:style>
  <w:style w:type="character" w:styleId="ListLabel2715">
    <w:name w:val="ListLabel 2715"/>
    <w:qFormat/>
    <w:rPr>
      <w:sz w:val="20"/>
    </w:rPr>
  </w:style>
  <w:style w:type="character" w:styleId="ListLabel2716">
    <w:name w:val="ListLabel 2716"/>
    <w:qFormat/>
    <w:rPr>
      <w:sz w:val="20"/>
    </w:rPr>
  </w:style>
  <w:style w:type="character" w:styleId="ListLabel2717">
    <w:name w:val="ListLabel 2717"/>
    <w:qFormat/>
    <w:rPr>
      <w:sz w:val="20"/>
    </w:rPr>
  </w:style>
  <w:style w:type="character" w:styleId="ListLabel2718">
    <w:name w:val="ListLabel 2718"/>
    <w:qFormat/>
    <w:rPr>
      <w:sz w:val="20"/>
    </w:rPr>
  </w:style>
  <w:style w:type="character" w:styleId="ListLabel2719">
    <w:name w:val="ListLabel 2719"/>
    <w:qFormat/>
    <w:rPr>
      <w:sz w:val="20"/>
    </w:rPr>
  </w:style>
  <w:style w:type="character" w:styleId="ListLabel2720">
    <w:name w:val="ListLabel 2720"/>
    <w:qFormat/>
    <w:rPr>
      <w:sz w:val="20"/>
    </w:rPr>
  </w:style>
  <w:style w:type="character" w:styleId="ListLabel2721">
    <w:name w:val="ListLabel 2721"/>
    <w:qFormat/>
    <w:rPr>
      <w:sz w:val="20"/>
    </w:rPr>
  </w:style>
  <w:style w:type="character" w:styleId="ListLabel2722">
    <w:name w:val="ListLabel 2722"/>
    <w:qFormat/>
    <w:rPr>
      <w:sz w:val="20"/>
    </w:rPr>
  </w:style>
  <w:style w:type="character" w:styleId="ListLabel2723">
    <w:name w:val="ListLabel 2723"/>
    <w:qFormat/>
    <w:rPr>
      <w:sz w:val="20"/>
    </w:rPr>
  </w:style>
  <w:style w:type="character" w:styleId="ListLabel2724">
    <w:name w:val="ListLabel 2724"/>
    <w:qFormat/>
    <w:rPr>
      <w:sz w:val="20"/>
    </w:rPr>
  </w:style>
  <w:style w:type="character" w:styleId="ListLabel2725">
    <w:name w:val="ListLabel 2725"/>
    <w:qFormat/>
    <w:rPr>
      <w:sz w:val="20"/>
    </w:rPr>
  </w:style>
  <w:style w:type="character" w:styleId="ListLabel2726">
    <w:name w:val="ListLabel 2726"/>
    <w:qFormat/>
    <w:rPr>
      <w:sz w:val="20"/>
    </w:rPr>
  </w:style>
  <w:style w:type="character" w:styleId="ListLabel2727">
    <w:name w:val="ListLabel 2727"/>
    <w:qFormat/>
    <w:rPr>
      <w:sz w:val="20"/>
    </w:rPr>
  </w:style>
  <w:style w:type="character" w:styleId="ListLabel2728">
    <w:name w:val="ListLabel 2728"/>
    <w:qFormat/>
    <w:rPr>
      <w:sz w:val="20"/>
    </w:rPr>
  </w:style>
  <w:style w:type="character" w:styleId="ListLabel2729">
    <w:name w:val="ListLabel 2729"/>
    <w:qFormat/>
    <w:rPr>
      <w:sz w:val="20"/>
    </w:rPr>
  </w:style>
  <w:style w:type="character" w:styleId="ListLabel2730">
    <w:name w:val="ListLabel 2730"/>
    <w:qFormat/>
    <w:rPr>
      <w:sz w:val="20"/>
    </w:rPr>
  </w:style>
  <w:style w:type="character" w:styleId="ListLabel2731">
    <w:name w:val="ListLabel 2731"/>
    <w:qFormat/>
    <w:rPr>
      <w:sz w:val="20"/>
    </w:rPr>
  </w:style>
  <w:style w:type="character" w:styleId="ListLabel2732">
    <w:name w:val="ListLabel 2732"/>
    <w:qFormat/>
    <w:rPr>
      <w:sz w:val="20"/>
    </w:rPr>
  </w:style>
  <w:style w:type="character" w:styleId="ListLabel2733">
    <w:name w:val="ListLabel 2733"/>
    <w:qFormat/>
    <w:rPr>
      <w:sz w:val="20"/>
    </w:rPr>
  </w:style>
  <w:style w:type="character" w:styleId="ListLabel2734">
    <w:name w:val="ListLabel 2734"/>
    <w:qFormat/>
    <w:rPr>
      <w:sz w:val="20"/>
    </w:rPr>
  </w:style>
  <w:style w:type="character" w:styleId="ListLabel2735">
    <w:name w:val="ListLabel 2735"/>
    <w:qFormat/>
    <w:rPr>
      <w:sz w:val="20"/>
    </w:rPr>
  </w:style>
  <w:style w:type="character" w:styleId="ListLabel2736">
    <w:name w:val="ListLabel 2736"/>
    <w:qFormat/>
    <w:rPr>
      <w:sz w:val="20"/>
    </w:rPr>
  </w:style>
  <w:style w:type="character" w:styleId="ListLabel2737">
    <w:name w:val="ListLabel 2737"/>
    <w:qFormat/>
    <w:rPr>
      <w:sz w:val="20"/>
    </w:rPr>
  </w:style>
  <w:style w:type="character" w:styleId="ListLabel2738">
    <w:name w:val="ListLabel 2738"/>
    <w:qFormat/>
    <w:rPr>
      <w:sz w:val="20"/>
    </w:rPr>
  </w:style>
  <w:style w:type="character" w:styleId="ListLabel2739">
    <w:name w:val="ListLabel 2739"/>
    <w:qFormat/>
    <w:rPr>
      <w:sz w:val="20"/>
    </w:rPr>
  </w:style>
  <w:style w:type="character" w:styleId="ListLabel2740">
    <w:name w:val="ListLabel 2740"/>
    <w:qFormat/>
    <w:rPr>
      <w:sz w:val="20"/>
    </w:rPr>
  </w:style>
  <w:style w:type="character" w:styleId="ListLabel2741">
    <w:name w:val="ListLabel 2741"/>
    <w:qFormat/>
    <w:rPr>
      <w:sz w:val="20"/>
    </w:rPr>
  </w:style>
  <w:style w:type="character" w:styleId="ListLabel2742">
    <w:name w:val="ListLabel 2742"/>
    <w:qFormat/>
    <w:rPr>
      <w:sz w:val="20"/>
    </w:rPr>
  </w:style>
  <w:style w:type="character" w:styleId="ListLabel2743">
    <w:name w:val="ListLabel 2743"/>
    <w:qFormat/>
    <w:rPr>
      <w:rFonts w:cs="Wingdings"/>
    </w:rPr>
  </w:style>
  <w:style w:type="character" w:styleId="ListLabel2744">
    <w:name w:val="ListLabel 2744"/>
    <w:qFormat/>
    <w:rPr>
      <w:rFonts w:cs="Courier New"/>
    </w:rPr>
  </w:style>
  <w:style w:type="character" w:styleId="ListLabel2745">
    <w:name w:val="ListLabel 2745"/>
    <w:qFormat/>
    <w:rPr>
      <w:rFonts w:cs="Wingdings"/>
    </w:rPr>
  </w:style>
  <w:style w:type="character" w:styleId="ListLabel2746">
    <w:name w:val="ListLabel 2746"/>
    <w:qFormat/>
    <w:rPr>
      <w:rFonts w:cs="Symbol"/>
    </w:rPr>
  </w:style>
  <w:style w:type="character" w:styleId="ListLabel2747">
    <w:name w:val="ListLabel 2747"/>
    <w:qFormat/>
    <w:rPr>
      <w:rFonts w:cs="Courier New"/>
    </w:rPr>
  </w:style>
  <w:style w:type="character" w:styleId="ListLabel2748">
    <w:name w:val="ListLabel 2748"/>
    <w:qFormat/>
    <w:rPr>
      <w:rFonts w:cs="Wingdings"/>
    </w:rPr>
  </w:style>
  <w:style w:type="character" w:styleId="ListLabel2749">
    <w:name w:val="ListLabel 2749"/>
    <w:qFormat/>
    <w:rPr>
      <w:rFonts w:cs="Symbol"/>
    </w:rPr>
  </w:style>
  <w:style w:type="character" w:styleId="ListLabel2750">
    <w:name w:val="ListLabel 2750"/>
    <w:qFormat/>
    <w:rPr>
      <w:rFonts w:cs="Courier New"/>
    </w:rPr>
  </w:style>
  <w:style w:type="character" w:styleId="ListLabel2751">
    <w:name w:val="ListLabel 2751"/>
    <w:qFormat/>
    <w:rPr>
      <w:rFonts w:cs="Wingdings"/>
    </w:rPr>
  </w:style>
  <w:style w:type="character" w:styleId="ListLabel2752">
    <w:name w:val="ListLabel 2752"/>
    <w:qFormat/>
    <w:rPr>
      <w:sz w:val="20"/>
    </w:rPr>
  </w:style>
  <w:style w:type="character" w:styleId="ListLabel2753">
    <w:name w:val="ListLabel 2753"/>
    <w:qFormat/>
    <w:rPr>
      <w:sz w:val="20"/>
    </w:rPr>
  </w:style>
  <w:style w:type="character" w:styleId="ListLabel2754">
    <w:name w:val="ListLabel 2754"/>
    <w:qFormat/>
    <w:rPr>
      <w:sz w:val="20"/>
    </w:rPr>
  </w:style>
  <w:style w:type="character" w:styleId="ListLabel2755">
    <w:name w:val="ListLabel 2755"/>
    <w:qFormat/>
    <w:rPr>
      <w:sz w:val="20"/>
    </w:rPr>
  </w:style>
  <w:style w:type="character" w:styleId="ListLabel2756">
    <w:name w:val="ListLabel 2756"/>
    <w:qFormat/>
    <w:rPr>
      <w:sz w:val="20"/>
    </w:rPr>
  </w:style>
  <w:style w:type="character" w:styleId="ListLabel2757">
    <w:name w:val="ListLabel 2757"/>
    <w:qFormat/>
    <w:rPr>
      <w:sz w:val="20"/>
    </w:rPr>
  </w:style>
  <w:style w:type="character" w:styleId="ListLabel2758">
    <w:name w:val="ListLabel 2758"/>
    <w:qFormat/>
    <w:rPr>
      <w:sz w:val="20"/>
    </w:rPr>
  </w:style>
  <w:style w:type="character" w:styleId="ListLabel2759">
    <w:name w:val="ListLabel 2759"/>
    <w:qFormat/>
    <w:rPr>
      <w:sz w:val="20"/>
    </w:rPr>
  </w:style>
  <w:style w:type="character" w:styleId="ListLabel2760">
    <w:name w:val="ListLabel 2760"/>
    <w:qFormat/>
    <w:rPr>
      <w:sz w:val="20"/>
    </w:rPr>
  </w:style>
  <w:style w:type="character" w:styleId="ListLabel2761">
    <w:name w:val="ListLabel 2761"/>
    <w:qFormat/>
    <w:rPr>
      <w:sz w:val="20"/>
    </w:rPr>
  </w:style>
  <w:style w:type="character" w:styleId="ListLabel2762">
    <w:name w:val="ListLabel 2762"/>
    <w:qFormat/>
    <w:rPr>
      <w:sz w:val="20"/>
    </w:rPr>
  </w:style>
  <w:style w:type="character" w:styleId="ListLabel2763">
    <w:name w:val="ListLabel 2763"/>
    <w:qFormat/>
    <w:rPr>
      <w:sz w:val="20"/>
    </w:rPr>
  </w:style>
  <w:style w:type="character" w:styleId="ListLabel2764">
    <w:name w:val="ListLabel 2764"/>
    <w:qFormat/>
    <w:rPr>
      <w:sz w:val="20"/>
    </w:rPr>
  </w:style>
  <w:style w:type="character" w:styleId="ListLabel2765">
    <w:name w:val="ListLabel 2765"/>
    <w:qFormat/>
    <w:rPr>
      <w:sz w:val="20"/>
    </w:rPr>
  </w:style>
  <w:style w:type="character" w:styleId="ListLabel2766">
    <w:name w:val="ListLabel 2766"/>
    <w:qFormat/>
    <w:rPr>
      <w:sz w:val="20"/>
    </w:rPr>
  </w:style>
  <w:style w:type="character" w:styleId="ListLabel2767">
    <w:name w:val="ListLabel 2767"/>
    <w:qFormat/>
    <w:rPr>
      <w:sz w:val="20"/>
    </w:rPr>
  </w:style>
  <w:style w:type="character" w:styleId="ListLabel2768">
    <w:name w:val="ListLabel 2768"/>
    <w:qFormat/>
    <w:rPr>
      <w:sz w:val="20"/>
    </w:rPr>
  </w:style>
  <w:style w:type="character" w:styleId="ListLabel2769">
    <w:name w:val="ListLabel 2769"/>
    <w:qFormat/>
    <w:rPr>
      <w:sz w:val="20"/>
    </w:rPr>
  </w:style>
  <w:style w:type="character" w:styleId="ListLabel2770">
    <w:name w:val="ListLabel 2770"/>
    <w:qFormat/>
    <w:rPr>
      <w:sz w:val="20"/>
    </w:rPr>
  </w:style>
  <w:style w:type="character" w:styleId="ListLabel2771">
    <w:name w:val="ListLabel 2771"/>
    <w:qFormat/>
    <w:rPr>
      <w:sz w:val="20"/>
    </w:rPr>
  </w:style>
  <w:style w:type="character" w:styleId="ListLabel2772">
    <w:name w:val="ListLabel 2772"/>
    <w:qFormat/>
    <w:rPr>
      <w:sz w:val="20"/>
    </w:rPr>
  </w:style>
  <w:style w:type="character" w:styleId="ListLabel2773">
    <w:name w:val="ListLabel 2773"/>
    <w:qFormat/>
    <w:rPr>
      <w:sz w:val="20"/>
    </w:rPr>
  </w:style>
  <w:style w:type="character" w:styleId="ListLabel2774">
    <w:name w:val="ListLabel 2774"/>
    <w:qFormat/>
    <w:rPr>
      <w:sz w:val="20"/>
    </w:rPr>
  </w:style>
  <w:style w:type="character" w:styleId="ListLabel2775">
    <w:name w:val="ListLabel 2775"/>
    <w:qFormat/>
    <w:rPr>
      <w:sz w:val="20"/>
    </w:rPr>
  </w:style>
  <w:style w:type="character" w:styleId="ListLabel2776">
    <w:name w:val="ListLabel 2776"/>
    <w:qFormat/>
    <w:rPr>
      <w:sz w:val="20"/>
    </w:rPr>
  </w:style>
  <w:style w:type="character" w:styleId="ListLabel2777">
    <w:name w:val="ListLabel 2777"/>
    <w:qFormat/>
    <w:rPr>
      <w:sz w:val="20"/>
    </w:rPr>
  </w:style>
  <w:style w:type="character" w:styleId="ListLabel2778">
    <w:name w:val="ListLabel 2778"/>
    <w:qFormat/>
    <w:rPr>
      <w:sz w:val="20"/>
    </w:rPr>
  </w:style>
  <w:style w:type="character" w:styleId="ListLabel2779">
    <w:name w:val="ListLabel 2779"/>
    <w:qFormat/>
    <w:rPr>
      <w:sz w:val="20"/>
    </w:rPr>
  </w:style>
  <w:style w:type="character" w:styleId="ListLabel2780">
    <w:name w:val="ListLabel 2780"/>
    <w:qFormat/>
    <w:rPr>
      <w:sz w:val="20"/>
    </w:rPr>
  </w:style>
  <w:style w:type="character" w:styleId="ListLabel2781">
    <w:name w:val="ListLabel 2781"/>
    <w:qFormat/>
    <w:rPr>
      <w:sz w:val="20"/>
    </w:rPr>
  </w:style>
  <w:style w:type="character" w:styleId="ListLabel2782">
    <w:name w:val="ListLabel 2782"/>
    <w:qFormat/>
    <w:rPr>
      <w:sz w:val="20"/>
    </w:rPr>
  </w:style>
  <w:style w:type="character" w:styleId="ListLabel2783">
    <w:name w:val="ListLabel 2783"/>
    <w:qFormat/>
    <w:rPr>
      <w:sz w:val="20"/>
    </w:rPr>
  </w:style>
  <w:style w:type="character" w:styleId="ListLabel2784">
    <w:name w:val="ListLabel 2784"/>
    <w:qFormat/>
    <w:rPr>
      <w:sz w:val="20"/>
    </w:rPr>
  </w:style>
  <w:style w:type="character" w:styleId="ListLabel2785">
    <w:name w:val="ListLabel 2785"/>
    <w:qFormat/>
    <w:rPr>
      <w:sz w:val="20"/>
    </w:rPr>
  </w:style>
  <w:style w:type="character" w:styleId="ListLabel2786">
    <w:name w:val="ListLabel 2786"/>
    <w:qFormat/>
    <w:rPr>
      <w:sz w:val="20"/>
    </w:rPr>
  </w:style>
  <w:style w:type="character" w:styleId="ListLabel2787">
    <w:name w:val="ListLabel 2787"/>
    <w:qFormat/>
    <w:rPr>
      <w:sz w:val="20"/>
    </w:rPr>
  </w:style>
  <w:style w:type="character" w:styleId="ListLabel2788">
    <w:name w:val="ListLabel 2788"/>
    <w:qFormat/>
    <w:rPr>
      <w:sz w:val="20"/>
    </w:rPr>
  </w:style>
  <w:style w:type="character" w:styleId="ListLabel2789">
    <w:name w:val="ListLabel 2789"/>
    <w:qFormat/>
    <w:rPr>
      <w:sz w:val="20"/>
    </w:rPr>
  </w:style>
  <w:style w:type="character" w:styleId="ListLabel2790">
    <w:name w:val="ListLabel 2790"/>
    <w:qFormat/>
    <w:rPr>
      <w:sz w:val="20"/>
    </w:rPr>
  </w:style>
  <w:style w:type="character" w:styleId="ListLabel2791">
    <w:name w:val="ListLabel 2791"/>
    <w:qFormat/>
    <w:rPr>
      <w:sz w:val="20"/>
    </w:rPr>
  </w:style>
  <w:style w:type="character" w:styleId="ListLabel2792">
    <w:name w:val="ListLabel 2792"/>
    <w:qFormat/>
    <w:rPr>
      <w:sz w:val="20"/>
    </w:rPr>
  </w:style>
  <w:style w:type="character" w:styleId="ListLabel2793">
    <w:name w:val="ListLabel 2793"/>
    <w:qFormat/>
    <w:rPr>
      <w:sz w:val="20"/>
    </w:rPr>
  </w:style>
  <w:style w:type="character" w:styleId="ListLabel2794">
    <w:name w:val="ListLabel 2794"/>
    <w:qFormat/>
    <w:rPr>
      <w:sz w:val="20"/>
    </w:rPr>
  </w:style>
  <w:style w:type="character" w:styleId="ListLabel2795">
    <w:name w:val="ListLabel 2795"/>
    <w:qFormat/>
    <w:rPr>
      <w:sz w:val="20"/>
    </w:rPr>
  </w:style>
  <w:style w:type="character" w:styleId="ListLabel2796">
    <w:name w:val="ListLabel 2796"/>
    <w:qFormat/>
    <w:rPr>
      <w:sz w:val="20"/>
    </w:rPr>
  </w:style>
  <w:style w:type="character" w:styleId="ListLabel2797">
    <w:name w:val="ListLabel 2797"/>
    <w:qFormat/>
    <w:rPr>
      <w:sz w:val="20"/>
    </w:rPr>
  </w:style>
  <w:style w:type="character" w:styleId="ListLabel2798">
    <w:name w:val="ListLabel 2798"/>
    <w:qFormat/>
    <w:rPr>
      <w:sz w:val="20"/>
    </w:rPr>
  </w:style>
  <w:style w:type="character" w:styleId="ListLabel2799">
    <w:name w:val="ListLabel 2799"/>
    <w:qFormat/>
    <w:rPr>
      <w:sz w:val="20"/>
    </w:rPr>
  </w:style>
  <w:style w:type="character" w:styleId="ListLabel2800">
    <w:name w:val="ListLabel 2800"/>
    <w:qFormat/>
    <w:rPr>
      <w:sz w:val="20"/>
    </w:rPr>
  </w:style>
  <w:style w:type="character" w:styleId="ListLabel2801">
    <w:name w:val="ListLabel 2801"/>
    <w:qFormat/>
    <w:rPr>
      <w:sz w:val="20"/>
    </w:rPr>
  </w:style>
  <w:style w:type="character" w:styleId="ListLabel2802">
    <w:name w:val="ListLabel 2802"/>
    <w:qFormat/>
    <w:rPr>
      <w:sz w:val="20"/>
    </w:rPr>
  </w:style>
  <w:style w:type="character" w:styleId="ListLabel2803">
    <w:name w:val="ListLabel 2803"/>
    <w:qFormat/>
    <w:rPr>
      <w:sz w:val="20"/>
    </w:rPr>
  </w:style>
  <w:style w:type="character" w:styleId="ListLabel2804">
    <w:name w:val="ListLabel 2804"/>
    <w:qFormat/>
    <w:rPr>
      <w:sz w:val="20"/>
    </w:rPr>
  </w:style>
  <w:style w:type="character" w:styleId="ListLabel2805">
    <w:name w:val="ListLabel 2805"/>
    <w:qFormat/>
    <w:rPr>
      <w:sz w:val="20"/>
    </w:rPr>
  </w:style>
  <w:style w:type="character" w:styleId="ListLabel2806">
    <w:name w:val="ListLabel 2806"/>
    <w:qFormat/>
    <w:rPr>
      <w:sz w:val="20"/>
    </w:rPr>
  </w:style>
  <w:style w:type="character" w:styleId="ListLabel2807">
    <w:name w:val="ListLabel 2807"/>
    <w:qFormat/>
    <w:rPr>
      <w:sz w:val="20"/>
    </w:rPr>
  </w:style>
  <w:style w:type="character" w:styleId="ListLabel2808">
    <w:name w:val="ListLabel 2808"/>
    <w:qFormat/>
    <w:rPr>
      <w:sz w:val="20"/>
    </w:rPr>
  </w:style>
  <w:style w:type="character" w:styleId="ListLabel2809">
    <w:name w:val="ListLabel 2809"/>
    <w:qFormat/>
    <w:rPr>
      <w:sz w:val="20"/>
    </w:rPr>
  </w:style>
  <w:style w:type="character" w:styleId="ListLabel2810">
    <w:name w:val="ListLabel 2810"/>
    <w:qFormat/>
    <w:rPr>
      <w:sz w:val="24"/>
    </w:rPr>
  </w:style>
  <w:style w:type="character" w:styleId="ListLabel2811">
    <w:name w:val="ListLabel 2811"/>
    <w:qFormat/>
    <w:rPr>
      <w:sz w:val="20"/>
    </w:rPr>
  </w:style>
  <w:style w:type="character" w:styleId="ListLabel2812">
    <w:name w:val="ListLabel 2812"/>
    <w:qFormat/>
    <w:rPr>
      <w:sz w:val="20"/>
    </w:rPr>
  </w:style>
  <w:style w:type="character" w:styleId="ListLabel2813">
    <w:name w:val="ListLabel 2813"/>
    <w:qFormat/>
    <w:rPr>
      <w:sz w:val="20"/>
    </w:rPr>
  </w:style>
  <w:style w:type="character" w:styleId="ListLabel2814">
    <w:name w:val="ListLabel 2814"/>
    <w:qFormat/>
    <w:rPr>
      <w:sz w:val="20"/>
    </w:rPr>
  </w:style>
  <w:style w:type="character" w:styleId="ListLabel2815">
    <w:name w:val="ListLabel 2815"/>
    <w:qFormat/>
    <w:rPr>
      <w:sz w:val="20"/>
    </w:rPr>
  </w:style>
  <w:style w:type="character" w:styleId="ListLabel2816">
    <w:name w:val="ListLabel 2816"/>
    <w:qFormat/>
    <w:rPr>
      <w:sz w:val="20"/>
    </w:rPr>
  </w:style>
  <w:style w:type="character" w:styleId="ListLabel2817">
    <w:name w:val="ListLabel 2817"/>
    <w:qFormat/>
    <w:rPr>
      <w:sz w:val="20"/>
    </w:rPr>
  </w:style>
  <w:style w:type="character" w:styleId="ListLabel2818">
    <w:name w:val="ListLabel 2818"/>
    <w:qFormat/>
    <w:rPr>
      <w:sz w:val="20"/>
    </w:rPr>
  </w:style>
  <w:style w:type="character" w:styleId="ListLabel2819">
    <w:name w:val="ListLabel 2819"/>
    <w:qFormat/>
    <w:rPr>
      <w:sz w:val="20"/>
    </w:rPr>
  </w:style>
  <w:style w:type="character" w:styleId="ListLabel2820">
    <w:name w:val="ListLabel 2820"/>
    <w:qFormat/>
    <w:rPr>
      <w:sz w:val="20"/>
    </w:rPr>
  </w:style>
  <w:style w:type="character" w:styleId="ListLabel2821">
    <w:name w:val="ListLabel 2821"/>
    <w:qFormat/>
    <w:rPr>
      <w:sz w:val="20"/>
    </w:rPr>
  </w:style>
  <w:style w:type="character" w:styleId="ListLabel2822">
    <w:name w:val="ListLabel 2822"/>
    <w:qFormat/>
    <w:rPr>
      <w:sz w:val="20"/>
    </w:rPr>
  </w:style>
  <w:style w:type="character" w:styleId="ListLabel2823">
    <w:name w:val="ListLabel 2823"/>
    <w:qFormat/>
    <w:rPr>
      <w:sz w:val="20"/>
    </w:rPr>
  </w:style>
  <w:style w:type="character" w:styleId="ListLabel2824">
    <w:name w:val="ListLabel 2824"/>
    <w:qFormat/>
    <w:rPr>
      <w:sz w:val="20"/>
    </w:rPr>
  </w:style>
  <w:style w:type="character" w:styleId="ListLabel2825">
    <w:name w:val="ListLabel 2825"/>
    <w:qFormat/>
    <w:rPr>
      <w:sz w:val="20"/>
    </w:rPr>
  </w:style>
  <w:style w:type="character" w:styleId="ListLabel2826">
    <w:name w:val="ListLabel 2826"/>
    <w:qFormat/>
    <w:rPr>
      <w:sz w:val="20"/>
    </w:rPr>
  </w:style>
  <w:style w:type="character" w:styleId="ListLabel2827">
    <w:name w:val="ListLabel 2827"/>
    <w:qFormat/>
    <w:rPr>
      <w:sz w:val="20"/>
    </w:rPr>
  </w:style>
  <w:style w:type="character" w:styleId="ListLabel2828">
    <w:name w:val="ListLabel 2828"/>
    <w:qFormat/>
    <w:rPr>
      <w:sz w:val="20"/>
    </w:rPr>
  </w:style>
  <w:style w:type="character" w:styleId="ListLabel2829">
    <w:name w:val="ListLabel 2829"/>
    <w:qFormat/>
    <w:rPr>
      <w:sz w:val="20"/>
    </w:rPr>
  </w:style>
  <w:style w:type="character" w:styleId="ListLabel2830">
    <w:name w:val="ListLabel 2830"/>
    <w:qFormat/>
    <w:rPr>
      <w:sz w:val="20"/>
    </w:rPr>
  </w:style>
  <w:style w:type="character" w:styleId="ListLabel2831">
    <w:name w:val="ListLabel 2831"/>
    <w:qFormat/>
    <w:rPr>
      <w:sz w:val="20"/>
    </w:rPr>
  </w:style>
  <w:style w:type="character" w:styleId="ListLabel2832">
    <w:name w:val="ListLabel 2832"/>
    <w:qFormat/>
    <w:rPr>
      <w:sz w:val="20"/>
    </w:rPr>
  </w:style>
  <w:style w:type="character" w:styleId="ListLabel2833">
    <w:name w:val="ListLabel 2833"/>
    <w:qFormat/>
    <w:rPr>
      <w:sz w:val="20"/>
    </w:rPr>
  </w:style>
  <w:style w:type="character" w:styleId="ListLabel2834">
    <w:name w:val="ListLabel 2834"/>
    <w:qFormat/>
    <w:rPr>
      <w:sz w:val="20"/>
    </w:rPr>
  </w:style>
  <w:style w:type="character" w:styleId="ListLabel2835">
    <w:name w:val="ListLabel 2835"/>
    <w:qFormat/>
    <w:rPr>
      <w:sz w:val="20"/>
    </w:rPr>
  </w:style>
  <w:style w:type="character" w:styleId="ListLabel2836">
    <w:name w:val="ListLabel 2836"/>
    <w:qFormat/>
    <w:rPr>
      <w:sz w:val="20"/>
    </w:rPr>
  </w:style>
  <w:style w:type="character" w:styleId="ListLabel2837">
    <w:name w:val="ListLabel 2837"/>
    <w:qFormat/>
    <w:rPr>
      <w:sz w:val="20"/>
    </w:rPr>
  </w:style>
  <w:style w:type="character" w:styleId="ListLabel2838">
    <w:name w:val="ListLabel 2838"/>
    <w:qFormat/>
    <w:rPr>
      <w:sz w:val="20"/>
    </w:rPr>
  </w:style>
  <w:style w:type="character" w:styleId="ListLabel2839">
    <w:name w:val="ListLabel 2839"/>
    <w:qFormat/>
    <w:rPr>
      <w:sz w:val="20"/>
    </w:rPr>
  </w:style>
  <w:style w:type="character" w:styleId="ListLabel2840">
    <w:name w:val="ListLabel 2840"/>
    <w:qFormat/>
    <w:rPr>
      <w:sz w:val="20"/>
    </w:rPr>
  </w:style>
  <w:style w:type="character" w:styleId="ListLabel2841">
    <w:name w:val="ListLabel 2841"/>
    <w:qFormat/>
    <w:rPr>
      <w:sz w:val="20"/>
    </w:rPr>
  </w:style>
  <w:style w:type="character" w:styleId="ListLabel2842">
    <w:name w:val="ListLabel 2842"/>
    <w:qFormat/>
    <w:rPr>
      <w:sz w:val="20"/>
    </w:rPr>
  </w:style>
  <w:style w:type="character" w:styleId="ListLabel2843">
    <w:name w:val="ListLabel 2843"/>
    <w:qFormat/>
    <w:rPr>
      <w:sz w:val="20"/>
    </w:rPr>
  </w:style>
  <w:style w:type="character" w:styleId="ListLabel2844">
    <w:name w:val="ListLabel 2844"/>
    <w:qFormat/>
    <w:rPr>
      <w:sz w:val="20"/>
    </w:rPr>
  </w:style>
  <w:style w:type="character" w:styleId="ListLabel2845">
    <w:name w:val="ListLabel 2845"/>
    <w:qFormat/>
    <w:rPr>
      <w:sz w:val="20"/>
    </w:rPr>
  </w:style>
  <w:style w:type="character" w:styleId="ListLabel2846">
    <w:name w:val="ListLabel 2846"/>
    <w:qFormat/>
    <w:rPr>
      <w:sz w:val="20"/>
    </w:rPr>
  </w:style>
  <w:style w:type="character" w:styleId="ListLabel2847">
    <w:name w:val="ListLabel 2847"/>
    <w:qFormat/>
    <w:rPr>
      <w:sz w:val="20"/>
    </w:rPr>
  </w:style>
  <w:style w:type="character" w:styleId="ListLabel2848">
    <w:name w:val="ListLabel 2848"/>
    <w:qFormat/>
    <w:rPr>
      <w:sz w:val="20"/>
    </w:rPr>
  </w:style>
  <w:style w:type="character" w:styleId="ListLabel2849">
    <w:name w:val="ListLabel 2849"/>
    <w:qFormat/>
    <w:rPr>
      <w:sz w:val="20"/>
    </w:rPr>
  </w:style>
  <w:style w:type="character" w:styleId="ListLabel2850">
    <w:name w:val="ListLabel 2850"/>
    <w:qFormat/>
    <w:rPr>
      <w:sz w:val="20"/>
    </w:rPr>
  </w:style>
  <w:style w:type="character" w:styleId="ListLabel2851">
    <w:name w:val="ListLabel 2851"/>
    <w:qFormat/>
    <w:rPr>
      <w:sz w:val="20"/>
    </w:rPr>
  </w:style>
  <w:style w:type="character" w:styleId="ListLabel2852">
    <w:name w:val="ListLabel 2852"/>
    <w:qFormat/>
    <w:rPr>
      <w:sz w:val="20"/>
    </w:rPr>
  </w:style>
  <w:style w:type="character" w:styleId="ListLabel2853">
    <w:name w:val="ListLabel 2853"/>
    <w:qFormat/>
    <w:rPr>
      <w:sz w:val="20"/>
    </w:rPr>
  </w:style>
  <w:style w:type="character" w:styleId="ListLabel2854">
    <w:name w:val="ListLabel 2854"/>
    <w:qFormat/>
    <w:rPr>
      <w:sz w:val="20"/>
    </w:rPr>
  </w:style>
  <w:style w:type="character" w:styleId="ListLabel2855">
    <w:name w:val="ListLabel 2855"/>
    <w:qFormat/>
    <w:rPr>
      <w:sz w:val="20"/>
    </w:rPr>
  </w:style>
  <w:style w:type="character" w:styleId="ListLabel2856">
    <w:name w:val="ListLabel 2856"/>
    <w:qFormat/>
    <w:rPr>
      <w:sz w:val="20"/>
    </w:rPr>
  </w:style>
  <w:style w:type="character" w:styleId="ListLabel2857">
    <w:name w:val="ListLabel 2857"/>
    <w:qFormat/>
    <w:rPr>
      <w:sz w:val="20"/>
    </w:rPr>
  </w:style>
  <w:style w:type="character" w:styleId="ListLabel2858">
    <w:name w:val="ListLabel 2858"/>
    <w:qFormat/>
    <w:rPr>
      <w:sz w:val="20"/>
    </w:rPr>
  </w:style>
  <w:style w:type="character" w:styleId="ListLabel2859">
    <w:name w:val="ListLabel 2859"/>
    <w:qFormat/>
    <w:rPr>
      <w:sz w:val="20"/>
    </w:rPr>
  </w:style>
  <w:style w:type="character" w:styleId="ListLabel2860">
    <w:name w:val="ListLabel 2860"/>
    <w:qFormat/>
    <w:rPr>
      <w:sz w:val="20"/>
    </w:rPr>
  </w:style>
  <w:style w:type="character" w:styleId="ListLabel2861">
    <w:name w:val="ListLabel 2861"/>
    <w:qFormat/>
    <w:rPr>
      <w:rFonts w:cs="Wingdings"/>
    </w:rPr>
  </w:style>
  <w:style w:type="character" w:styleId="ListLabel2862">
    <w:name w:val="ListLabel 2862"/>
    <w:qFormat/>
    <w:rPr>
      <w:rFonts w:cs="Courier New"/>
    </w:rPr>
  </w:style>
  <w:style w:type="character" w:styleId="ListLabel2863">
    <w:name w:val="ListLabel 2863"/>
    <w:qFormat/>
    <w:rPr>
      <w:rFonts w:cs="Wingdings"/>
    </w:rPr>
  </w:style>
  <w:style w:type="character" w:styleId="ListLabel2864">
    <w:name w:val="ListLabel 2864"/>
    <w:qFormat/>
    <w:rPr>
      <w:rFonts w:cs="Symbol"/>
    </w:rPr>
  </w:style>
  <w:style w:type="character" w:styleId="ListLabel2865">
    <w:name w:val="ListLabel 2865"/>
    <w:qFormat/>
    <w:rPr>
      <w:rFonts w:cs="Courier New"/>
    </w:rPr>
  </w:style>
  <w:style w:type="character" w:styleId="ListLabel2866">
    <w:name w:val="ListLabel 2866"/>
    <w:qFormat/>
    <w:rPr>
      <w:rFonts w:cs="Wingdings"/>
    </w:rPr>
  </w:style>
  <w:style w:type="character" w:styleId="ListLabel2867">
    <w:name w:val="ListLabel 2867"/>
    <w:qFormat/>
    <w:rPr>
      <w:rFonts w:cs="Symbol"/>
    </w:rPr>
  </w:style>
  <w:style w:type="character" w:styleId="ListLabel2868">
    <w:name w:val="ListLabel 2868"/>
    <w:qFormat/>
    <w:rPr>
      <w:rFonts w:cs="Courier New"/>
    </w:rPr>
  </w:style>
  <w:style w:type="character" w:styleId="ListLabel2869">
    <w:name w:val="ListLabel 2869"/>
    <w:qFormat/>
    <w:rPr>
      <w:rFonts w:cs="Wingdings"/>
    </w:rPr>
  </w:style>
  <w:style w:type="character" w:styleId="ListLabel2870">
    <w:name w:val="ListLabel 2870"/>
    <w:qFormat/>
    <w:rPr>
      <w:sz w:val="20"/>
    </w:rPr>
  </w:style>
  <w:style w:type="character" w:styleId="ListLabel2871">
    <w:name w:val="ListLabel 2871"/>
    <w:qFormat/>
    <w:rPr>
      <w:sz w:val="20"/>
    </w:rPr>
  </w:style>
  <w:style w:type="character" w:styleId="ListLabel2872">
    <w:name w:val="ListLabel 2872"/>
    <w:qFormat/>
    <w:rPr>
      <w:rFonts w:cs="Wingdings"/>
    </w:rPr>
  </w:style>
  <w:style w:type="character" w:styleId="ListLabel2873">
    <w:name w:val="ListLabel 2873"/>
    <w:qFormat/>
    <w:rPr>
      <w:rFonts w:cs="Courier New"/>
    </w:rPr>
  </w:style>
  <w:style w:type="character" w:styleId="ListLabel2874">
    <w:name w:val="ListLabel 2874"/>
    <w:qFormat/>
    <w:rPr>
      <w:rFonts w:cs="Wingdings"/>
    </w:rPr>
  </w:style>
  <w:style w:type="character" w:styleId="ListLabel2875">
    <w:name w:val="ListLabel 2875"/>
    <w:qFormat/>
    <w:rPr>
      <w:rFonts w:cs="Symbol"/>
    </w:rPr>
  </w:style>
  <w:style w:type="character" w:styleId="ListLabel2876">
    <w:name w:val="ListLabel 2876"/>
    <w:qFormat/>
    <w:rPr>
      <w:rFonts w:cs="Courier New"/>
    </w:rPr>
  </w:style>
  <w:style w:type="character" w:styleId="ListLabel2877">
    <w:name w:val="ListLabel 2877"/>
    <w:qFormat/>
    <w:rPr>
      <w:rFonts w:cs="Wingdings"/>
    </w:rPr>
  </w:style>
  <w:style w:type="character" w:styleId="ListLabel2878">
    <w:name w:val="ListLabel 2878"/>
    <w:qFormat/>
    <w:rPr>
      <w:rFonts w:cs="Symbol"/>
    </w:rPr>
  </w:style>
  <w:style w:type="character" w:styleId="ListLabel2879">
    <w:name w:val="ListLabel 2879"/>
    <w:qFormat/>
    <w:rPr>
      <w:rFonts w:cs="Courier New"/>
    </w:rPr>
  </w:style>
  <w:style w:type="character" w:styleId="ListLabel2880">
    <w:name w:val="ListLabel 2880"/>
    <w:qFormat/>
    <w:rPr>
      <w:rFonts w:cs="Wingdings"/>
    </w:rPr>
  </w:style>
  <w:style w:type="character" w:styleId="ListLabel2881">
    <w:name w:val="ListLabel 2881"/>
    <w:qFormat/>
    <w:rPr>
      <w:sz w:val="20"/>
    </w:rPr>
  </w:style>
  <w:style w:type="character" w:styleId="ListLabel2882">
    <w:name w:val="ListLabel 2882"/>
    <w:qFormat/>
    <w:rPr>
      <w:sz w:val="20"/>
    </w:rPr>
  </w:style>
  <w:style w:type="character" w:styleId="ListLabel2883">
    <w:name w:val="ListLabel 2883"/>
    <w:qFormat/>
    <w:rPr>
      <w:sz w:val="20"/>
    </w:rPr>
  </w:style>
  <w:style w:type="character" w:styleId="ListLabel2884">
    <w:name w:val="ListLabel 2884"/>
    <w:qFormat/>
    <w:rPr>
      <w:sz w:val="20"/>
    </w:rPr>
  </w:style>
  <w:style w:type="character" w:styleId="ListLabel2885">
    <w:name w:val="ListLabel 2885"/>
    <w:qFormat/>
    <w:rPr>
      <w:sz w:val="20"/>
    </w:rPr>
  </w:style>
  <w:style w:type="character" w:styleId="ListLabel2886">
    <w:name w:val="ListLabel 2886"/>
    <w:qFormat/>
    <w:rPr>
      <w:sz w:val="20"/>
    </w:rPr>
  </w:style>
  <w:style w:type="character" w:styleId="ListLabel2887">
    <w:name w:val="ListLabel 2887"/>
    <w:qFormat/>
    <w:rPr>
      <w:sz w:val="20"/>
    </w:rPr>
  </w:style>
  <w:style w:type="character" w:styleId="ListLabel2888">
    <w:name w:val="ListLabel 2888"/>
    <w:qFormat/>
    <w:rPr>
      <w:rFonts w:cs="Wingdings"/>
    </w:rPr>
  </w:style>
  <w:style w:type="character" w:styleId="ListLabel2889">
    <w:name w:val="ListLabel 2889"/>
    <w:qFormat/>
    <w:rPr>
      <w:rFonts w:cs="Courier New"/>
    </w:rPr>
  </w:style>
  <w:style w:type="character" w:styleId="ListLabel2890">
    <w:name w:val="ListLabel 2890"/>
    <w:qFormat/>
    <w:rPr>
      <w:rFonts w:cs="Wingdings"/>
    </w:rPr>
  </w:style>
  <w:style w:type="character" w:styleId="ListLabel2891">
    <w:name w:val="ListLabel 2891"/>
    <w:qFormat/>
    <w:rPr>
      <w:rFonts w:cs="Symbol"/>
    </w:rPr>
  </w:style>
  <w:style w:type="character" w:styleId="ListLabel2892">
    <w:name w:val="ListLabel 2892"/>
    <w:qFormat/>
    <w:rPr>
      <w:rFonts w:cs="Courier New"/>
    </w:rPr>
  </w:style>
  <w:style w:type="character" w:styleId="ListLabel2893">
    <w:name w:val="ListLabel 2893"/>
    <w:qFormat/>
    <w:rPr>
      <w:rFonts w:cs="Wingdings"/>
    </w:rPr>
  </w:style>
  <w:style w:type="character" w:styleId="ListLabel2894">
    <w:name w:val="ListLabel 2894"/>
    <w:qFormat/>
    <w:rPr>
      <w:rFonts w:cs="Symbol"/>
    </w:rPr>
  </w:style>
  <w:style w:type="character" w:styleId="ListLabel2895">
    <w:name w:val="ListLabel 2895"/>
    <w:qFormat/>
    <w:rPr>
      <w:rFonts w:cs="Courier New"/>
    </w:rPr>
  </w:style>
  <w:style w:type="character" w:styleId="ListLabel2896">
    <w:name w:val="ListLabel 2896"/>
    <w:qFormat/>
    <w:rPr>
      <w:rFonts w:cs="Wingdings"/>
    </w:rPr>
  </w:style>
  <w:style w:type="character" w:styleId="ListLabel2897">
    <w:name w:val="ListLabel 2897"/>
    <w:qFormat/>
    <w:rPr>
      <w:sz w:val="20"/>
    </w:rPr>
  </w:style>
  <w:style w:type="character" w:styleId="ListLabel2898">
    <w:name w:val="ListLabel 2898"/>
    <w:qFormat/>
    <w:rPr>
      <w:sz w:val="20"/>
    </w:rPr>
  </w:style>
  <w:style w:type="character" w:styleId="ListLabel2899">
    <w:name w:val="ListLabel 2899"/>
    <w:qFormat/>
    <w:rPr>
      <w:sz w:val="20"/>
    </w:rPr>
  </w:style>
  <w:style w:type="character" w:styleId="ListLabel2900">
    <w:name w:val="ListLabel 2900"/>
    <w:qFormat/>
    <w:rPr>
      <w:sz w:val="20"/>
    </w:rPr>
  </w:style>
  <w:style w:type="character" w:styleId="ListLabel2901">
    <w:name w:val="ListLabel 2901"/>
    <w:qFormat/>
    <w:rPr>
      <w:sz w:val="20"/>
    </w:rPr>
  </w:style>
  <w:style w:type="character" w:styleId="ListLabel2902">
    <w:name w:val="ListLabel 2902"/>
    <w:qFormat/>
    <w:rPr>
      <w:sz w:val="20"/>
    </w:rPr>
  </w:style>
  <w:style w:type="character" w:styleId="ListLabel2903">
    <w:name w:val="ListLabel 2903"/>
    <w:qFormat/>
    <w:rPr>
      <w:rFonts w:cs="Wingdings"/>
    </w:rPr>
  </w:style>
  <w:style w:type="character" w:styleId="ListLabel2904">
    <w:name w:val="ListLabel 2904"/>
    <w:qFormat/>
    <w:rPr>
      <w:rFonts w:cs="Courier New"/>
    </w:rPr>
  </w:style>
  <w:style w:type="character" w:styleId="ListLabel2905">
    <w:name w:val="ListLabel 2905"/>
    <w:qFormat/>
    <w:rPr>
      <w:rFonts w:cs="Wingdings"/>
    </w:rPr>
  </w:style>
  <w:style w:type="character" w:styleId="ListLabel2906">
    <w:name w:val="ListLabel 2906"/>
    <w:qFormat/>
    <w:rPr>
      <w:rFonts w:cs="Symbol"/>
    </w:rPr>
  </w:style>
  <w:style w:type="character" w:styleId="ListLabel2907">
    <w:name w:val="ListLabel 2907"/>
    <w:qFormat/>
    <w:rPr>
      <w:rFonts w:cs="Courier New"/>
    </w:rPr>
  </w:style>
  <w:style w:type="character" w:styleId="ListLabel2908">
    <w:name w:val="ListLabel 2908"/>
    <w:qFormat/>
    <w:rPr>
      <w:rFonts w:cs="Wingdings"/>
    </w:rPr>
  </w:style>
  <w:style w:type="character" w:styleId="ListLabel2909">
    <w:name w:val="ListLabel 2909"/>
    <w:qFormat/>
    <w:rPr>
      <w:rFonts w:cs="Symbol"/>
    </w:rPr>
  </w:style>
  <w:style w:type="character" w:styleId="ListLabel2910">
    <w:name w:val="ListLabel 2910"/>
    <w:qFormat/>
    <w:rPr>
      <w:rFonts w:cs="Courier New"/>
    </w:rPr>
  </w:style>
  <w:style w:type="character" w:styleId="ListLabel2911">
    <w:name w:val="ListLabel 2911"/>
    <w:qFormat/>
    <w:rPr>
      <w:rFonts w:cs="Wingdings"/>
    </w:rPr>
  </w:style>
  <w:style w:type="character" w:styleId="ListLabel2912">
    <w:name w:val="ListLabel 2912"/>
    <w:qFormat/>
    <w:rPr>
      <w:rFonts w:cs="Wingdings"/>
    </w:rPr>
  </w:style>
  <w:style w:type="character" w:styleId="ListLabel2913">
    <w:name w:val="ListLabel 2913"/>
    <w:qFormat/>
    <w:rPr>
      <w:rFonts w:cs="Courier New"/>
    </w:rPr>
  </w:style>
  <w:style w:type="character" w:styleId="ListLabel2914">
    <w:name w:val="ListLabel 2914"/>
    <w:qFormat/>
    <w:rPr>
      <w:rFonts w:cs="Wingdings"/>
    </w:rPr>
  </w:style>
  <w:style w:type="character" w:styleId="ListLabel2915">
    <w:name w:val="ListLabel 2915"/>
    <w:qFormat/>
    <w:rPr>
      <w:rFonts w:cs="Symbol"/>
    </w:rPr>
  </w:style>
  <w:style w:type="character" w:styleId="ListLabel2916">
    <w:name w:val="ListLabel 2916"/>
    <w:qFormat/>
    <w:rPr>
      <w:rFonts w:cs="Courier New"/>
    </w:rPr>
  </w:style>
  <w:style w:type="character" w:styleId="ListLabel2917">
    <w:name w:val="ListLabel 2917"/>
    <w:qFormat/>
    <w:rPr>
      <w:rFonts w:cs="Wingdings"/>
    </w:rPr>
  </w:style>
  <w:style w:type="character" w:styleId="ListLabel2918">
    <w:name w:val="ListLabel 2918"/>
    <w:qFormat/>
    <w:rPr>
      <w:rFonts w:cs="Symbol"/>
    </w:rPr>
  </w:style>
  <w:style w:type="character" w:styleId="ListLabel2919">
    <w:name w:val="ListLabel 2919"/>
    <w:qFormat/>
    <w:rPr>
      <w:rFonts w:cs="Courier New"/>
    </w:rPr>
  </w:style>
  <w:style w:type="character" w:styleId="ListLabel2920">
    <w:name w:val="ListLabel 2920"/>
    <w:qFormat/>
    <w:rPr>
      <w:rFonts w:cs="Wingdings"/>
    </w:rPr>
  </w:style>
  <w:style w:type="character" w:styleId="ListLabel2921">
    <w:name w:val="ListLabel 2921"/>
    <w:qFormat/>
    <w:rPr>
      <w:rFonts w:cs="Wingdings"/>
    </w:rPr>
  </w:style>
  <w:style w:type="character" w:styleId="ListLabel2922">
    <w:name w:val="ListLabel 2922"/>
    <w:qFormat/>
    <w:rPr>
      <w:rFonts w:cs="Courier New"/>
    </w:rPr>
  </w:style>
  <w:style w:type="character" w:styleId="ListLabel2923">
    <w:name w:val="ListLabel 2923"/>
    <w:qFormat/>
    <w:rPr>
      <w:rFonts w:cs="Wingdings"/>
    </w:rPr>
  </w:style>
  <w:style w:type="character" w:styleId="ListLabel2924">
    <w:name w:val="ListLabel 2924"/>
    <w:qFormat/>
    <w:rPr>
      <w:rFonts w:cs="Symbol"/>
    </w:rPr>
  </w:style>
  <w:style w:type="character" w:styleId="ListLabel2925">
    <w:name w:val="ListLabel 2925"/>
    <w:qFormat/>
    <w:rPr>
      <w:rFonts w:cs="Courier New"/>
    </w:rPr>
  </w:style>
  <w:style w:type="character" w:styleId="ListLabel2926">
    <w:name w:val="ListLabel 2926"/>
    <w:qFormat/>
    <w:rPr>
      <w:rFonts w:cs="Wingdings"/>
    </w:rPr>
  </w:style>
  <w:style w:type="character" w:styleId="ListLabel2927">
    <w:name w:val="ListLabel 2927"/>
    <w:qFormat/>
    <w:rPr>
      <w:rFonts w:cs="Symbol"/>
    </w:rPr>
  </w:style>
  <w:style w:type="character" w:styleId="ListLabel2928">
    <w:name w:val="ListLabel 2928"/>
    <w:qFormat/>
    <w:rPr>
      <w:rFonts w:cs="Courier New"/>
    </w:rPr>
  </w:style>
  <w:style w:type="character" w:styleId="ListLabel2929">
    <w:name w:val="ListLabel 2929"/>
    <w:qFormat/>
    <w:rPr>
      <w:rFonts w:cs="Wingdings"/>
    </w:rPr>
  </w:style>
  <w:style w:type="character" w:styleId="ListLabel2930">
    <w:name w:val="ListLabel 2930"/>
    <w:qFormat/>
    <w:rPr>
      <w:rFonts w:cs="Wingdings"/>
    </w:rPr>
  </w:style>
  <w:style w:type="character" w:styleId="ListLabel2931">
    <w:name w:val="ListLabel 2931"/>
    <w:qFormat/>
    <w:rPr>
      <w:rFonts w:cs="Courier New"/>
    </w:rPr>
  </w:style>
  <w:style w:type="character" w:styleId="ListLabel2932">
    <w:name w:val="ListLabel 2932"/>
    <w:qFormat/>
    <w:rPr>
      <w:rFonts w:cs="Wingdings"/>
    </w:rPr>
  </w:style>
  <w:style w:type="character" w:styleId="ListLabel2933">
    <w:name w:val="ListLabel 2933"/>
    <w:qFormat/>
    <w:rPr>
      <w:rFonts w:cs="Symbol"/>
    </w:rPr>
  </w:style>
  <w:style w:type="character" w:styleId="ListLabel2934">
    <w:name w:val="ListLabel 2934"/>
    <w:qFormat/>
    <w:rPr>
      <w:rFonts w:cs="Courier New"/>
    </w:rPr>
  </w:style>
  <w:style w:type="character" w:styleId="ListLabel2935">
    <w:name w:val="ListLabel 2935"/>
    <w:qFormat/>
    <w:rPr>
      <w:rFonts w:cs="Wingdings"/>
    </w:rPr>
  </w:style>
  <w:style w:type="character" w:styleId="ListLabel2936">
    <w:name w:val="ListLabel 2936"/>
    <w:qFormat/>
    <w:rPr>
      <w:rFonts w:cs="Symbol"/>
    </w:rPr>
  </w:style>
  <w:style w:type="character" w:styleId="ListLabel2937">
    <w:name w:val="ListLabel 2937"/>
    <w:qFormat/>
    <w:rPr>
      <w:rFonts w:cs="Courier New"/>
    </w:rPr>
  </w:style>
  <w:style w:type="character" w:styleId="ListLabel2938">
    <w:name w:val="ListLabel 2938"/>
    <w:qFormat/>
    <w:rPr>
      <w:rFonts w:cs="Wingdings"/>
    </w:rPr>
  </w:style>
  <w:style w:type="character" w:styleId="ListLabel2939">
    <w:name w:val="ListLabel 2939"/>
    <w:qFormat/>
    <w:rPr>
      <w:rFonts w:cs="Wingdings"/>
    </w:rPr>
  </w:style>
  <w:style w:type="character" w:styleId="ListLabel2940">
    <w:name w:val="ListLabel 2940"/>
    <w:qFormat/>
    <w:rPr>
      <w:rFonts w:cs="Courier New"/>
    </w:rPr>
  </w:style>
  <w:style w:type="character" w:styleId="ListLabel2941">
    <w:name w:val="ListLabel 2941"/>
    <w:qFormat/>
    <w:rPr>
      <w:rFonts w:cs="Wingdings"/>
    </w:rPr>
  </w:style>
  <w:style w:type="character" w:styleId="ListLabel2942">
    <w:name w:val="ListLabel 2942"/>
    <w:qFormat/>
    <w:rPr>
      <w:rFonts w:cs="Symbol"/>
    </w:rPr>
  </w:style>
  <w:style w:type="character" w:styleId="ListLabel2943">
    <w:name w:val="ListLabel 2943"/>
    <w:qFormat/>
    <w:rPr>
      <w:rFonts w:cs="Courier New"/>
    </w:rPr>
  </w:style>
  <w:style w:type="character" w:styleId="ListLabel2944">
    <w:name w:val="ListLabel 2944"/>
    <w:qFormat/>
    <w:rPr>
      <w:rFonts w:cs="Wingdings"/>
    </w:rPr>
  </w:style>
  <w:style w:type="character" w:styleId="ListLabel2945">
    <w:name w:val="ListLabel 2945"/>
    <w:qFormat/>
    <w:rPr>
      <w:rFonts w:cs="Symbol"/>
    </w:rPr>
  </w:style>
  <w:style w:type="character" w:styleId="ListLabel2946">
    <w:name w:val="ListLabel 2946"/>
    <w:qFormat/>
    <w:rPr>
      <w:rFonts w:cs="Courier New"/>
    </w:rPr>
  </w:style>
  <w:style w:type="character" w:styleId="ListLabel2947">
    <w:name w:val="ListLabel 2947"/>
    <w:qFormat/>
    <w:rPr>
      <w:rFonts w:cs="Wingdings"/>
    </w:rPr>
  </w:style>
  <w:style w:type="character" w:styleId="ListLabel2948">
    <w:name w:val="ListLabel 2948"/>
    <w:qFormat/>
    <w:rPr>
      <w:rFonts w:cs="Wingdings"/>
    </w:rPr>
  </w:style>
  <w:style w:type="character" w:styleId="ListLabel2949">
    <w:name w:val="ListLabel 2949"/>
    <w:qFormat/>
    <w:rPr>
      <w:rFonts w:cs="Courier New"/>
    </w:rPr>
  </w:style>
  <w:style w:type="character" w:styleId="ListLabel2950">
    <w:name w:val="ListLabel 2950"/>
    <w:qFormat/>
    <w:rPr>
      <w:rFonts w:cs="Wingdings"/>
    </w:rPr>
  </w:style>
  <w:style w:type="character" w:styleId="ListLabel2951">
    <w:name w:val="ListLabel 2951"/>
    <w:qFormat/>
    <w:rPr>
      <w:rFonts w:cs="Symbol"/>
    </w:rPr>
  </w:style>
  <w:style w:type="character" w:styleId="ListLabel2952">
    <w:name w:val="ListLabel 2952"/>
    <w:qFormat/>
    <w:rPr>
      <w:rFonts w:cs="Courier New"/>
    </w:rPr>
  </w:style>
  <w:style w:type="character" w:styleId="ListLabel2953">
    <w:name w:val="ListLabel 2953"/>
    <w:qFormat/>
    <w:rPr>
      <w:rFonts w:cs="Wingdings"/>
    </w:rPr>
  </w:style>
  <w:style w:type="character" w:styleId="ListLabel2954">
    <w:name w:val="ListLabel 2954"/>
    <w:qFormat/>
    <w:rPr>
      <w:rFonts w:cs="Symbol"/>
    </w:rPr>
  </w:style>
  <w:style w:type="character" w:styleId="ListLabel2955">
    <w:name w:val="ListLabel 2955"/>
    <w:qFormat/>
    <w:rPr>
      <w:rFonts w:cs="Courier New"/>
    </w:rPr>
  </w:style>
  <w:style w:type="character" w:styleId="ListLabel2956">
    <w:name w:val="ListLabel 2956"/>
    <w:qFormat/>
    <w:rPr>
      <w:rFonts w:cs="Wingdings"/>
    </w:rPr>
  </w:style>
  <w:style w:type="character" w:styleId="ListLabel2957">
    <w:name w:val="ListLabel 2957"/>
    <w:qFormat/>
    <w:rPr>
      <w:rFonts w:cs="Wingdings"/>
    </w:rPr>
  </w:style>
  <w:style w:type="character" w:styleId="ListLabel2958">
    <w:name w:val="ListLabel 2958"/>
    <w:qFormat/>
    <w:rPr>
      <w:rFonts w:cs="Courier New"/>
    </w:rPr>
  </w:style>
  <w:style w:type="character" w:styleId="ListLabel2959">
    <w:name w:val="ListLabel 2959"/>
    <w:qFormat/>
    <w:rPr>
      <w:rFonts w:cs="Wingdings"/>
    </w:rPr>
  </w:style>
  <w:style w:type="character" w:styleId="ListLabel2960">
    <w:name w:val="ListLabel 2960"/>
    <w:qFormat/>
    <w:rPr>
      <w:rFonts w:cs="Symbol"/>
    </w:rPr>
  </w:style>
  <w:style w:type="character" w:styleId="ListLabel2961">
    <w:name w:val="ListLabel 2961"/>
    <w:qFormat/>
    <w:rPr>
      <w:rFonts w:cs="Courier New"/>
    </w:rPr>
  </w:style>
  <w:style w:type="character" w:styleId="ListLabel2962">
    <w:name w:val="ListLabel 2962"/>
    <w:qFormat/>
    <w:rPr>
      <w:rFonts w:cs="Wingdings"/>
    </w:rPr>
  </w:style>
  <w:style w:type="character" w:styleId="ListLabel2963">
    <w:name w:val="ListLabel 2963"/>
    <w:qFormat/>
    <w:rPr>
      <w:rFonts w:cs="Symbol"/>
    </w:rPr>
  </w:style>
  <w:style w:type="character" w:styleId="ListLabel2964">
    <w:name w:val="ListLabel 2964"/>
    <w:qFormat/>
    <w:rPr>
      <w:rFonts w:cs="Courier New"/>
    </w:rPr>
  </w:style>
  <w:style w:type="character" w:styleId="ListLabel2965">
    <w:name w:val="ListLabel 2965"/>
    <w:qFormat/>
    <w:rPr>
      <w:rFonts w:cs="Wingdings"/>
    </w:rPr>
  </w:style>
  <w:style w:type="character" w:styleId="ListLabel2966">
    <w:name w:val="ListLabel 2966"/>
    <w:qFormat/>
    <w:rPr>
      <w:sz w:val="20"/>
    </w:rPr>
  </w:style>
  <w:style w:type="character" w:styleId="ListLabel2967">
    <w:name w:val="ListLabel 2967"/>
    <w:qFormat/>
    <w:rPr>
      <w:rFonts w:cs="Wingdings"/>
    </w:rPr>
  </w:style>
  <w:style w:type="character" w:styleId="ListLabel2968">
    <w:name w:val="ListLabel 2968"/>
    <w:qFormat/>
    <w:rPr>
      <w:rFonts w:cs="Courier New"/>
    </w:rPr>
  </w:style>
  <w:style w:type="character" w:styleId="ListLabel2969">
    <w:name w:val="ListLabel 2969"/>
    <w:qFormat/>
    <w:rPr>
      <w:rFonts w:cs="Wingdings"/>
    </w:rPr>
  </w:style>
  <w:style w:type="character" w:styleId="ListLabel2970">
    <w:name w:val="ListLabel 2970"/>
    <w:qFormat/>
    <w:rPr>
      <w:rFonts w:cs="Symbol"/>
    </w:rPr>
  </w:style>
  <w:style w:type="character" w:styleId="ListLabel2971">
    <w:name w:val="ListLabel 2971"/>
    <w:qFormat/>
    <w:rPr>
      <w:rFonts w:cs="Courier New"/>
    </w:rPr>
  </w:style>
  <w:style w:type="character" w:styleId="ListLabel2972">
    <w:name w:val="ListLabel 2972"/>
    <w:qFormat/>
    <w:rPr>
      <w:rFonts w:cs="Wingdings"/>
    </w:rPr>
  </w:style>
  <w:style w:type="character" w:styleId="ListLabel2973">
    <w:name w:val="ListLabel 2973"/>
    <w:qFormat/>
    <w:rPr>
      <w:rFonts w:cs="Symbol"/>
    </w:rPr>
  </w:style>
  <w:style w:type="character" w:styleId="ListLabel2974">
    <w:name w:val="ListLabel 2974"/>
    <w:qFormat/>
    <w:rPr>
      <w:rFonts w:cs="Courier New"/>
    </w:rPr>
  </w:style>
  <w:style w:type="character" w:styleId="ListLabel2975">
    <w:name w:val="ListLabel 2975"/>
    <w:qFormat/>
    <w:rPr>
      <w:rFonts w:cs="Wingdings"/>
    </w:rPr>
  </w:style>
  <w:style w:type="character" w:styleId="ListLabel2976">
    <w:name w:val="ListLabel 2976"/>
    <w:qFormat/>
    <w:rPr>
      <w:rFonts w:cs="Wingdings"/>
    </w:rPr>
  </w:style>
  <w:style w:type="character" w:styleId="ListLabel2977">
    <w:name w:val="ListLabel 2977"/>
    <w:qFormat/>
    <w:rPr>
      <w:rFonts w:cs="Courier New"/>
    </w:rPr>
  </w:style>
  <w:style w:type="character" w:styleId="ListLabel2978">
    <w:name w:val="ListLabel 2978"/>
    <w:qFormat/>
    <w:rPr>
      <w:rFonts w:cs="Wingdings"/>
    </w:rPr>
  </w:style>
  <w:style w:type="character" w:styleId="ListLabel2979">
    <w:name w:val="ListLabel 2979"/>
    <w:qFormat/>
    <w:rPr>
      <w:rFonts w:cs="Symbol"/>
    </w:rPr>
  </w:style>
  <w:style w:type="character" w:styleId="ListLabel2980">
    <w:name w:val="ListLabel 2980"/>
    <w:qFormat/>
    <w:rPr>
      <w:rFonts w:cs="Courier New"/>
    </w:rPr>
  </w:style>
  <w:style w:type="character" w:styleId="ListLabel2981">
    <w:name w:val="ListLabel 2981"/>
    <w:qFormat/>
    <w:rPr>
      <w:rFonts w:cs="Wingdings"/>
    </w:rPr>
  </w:style>
  <w:style w:type="character" w:styleId="ListLabel2982">
    <w:name w:val="ListLabel 2982"/>
    <w:qFormat/>
    <w:rPr>
      <w:rFonts w:cs="Symbol"/>
    </w:rPr>
  </w:style>
  <w:style w:type="character" w:styleId="ListLabel2983">
    <w:name w:val="ListLabel 2983"/>
    <w:qFormat/>
    <w:rPr>
      <w:rFonts w:cs="Courier New"/>
    </w:rPr>
  </w:style>
  <w:style w:type="character" w:styleId="ListLabel2984">
    <w:name w:val="ListLabel 2984"/>
    <w:qFormat/>
    <w:rPr>
      <w:rFonts w:cs="Wingdings"/>
    </w:rPr>
  </w:style>
  <w:style w:type="character" w:styleId="ListLabel2985">
    <w:name w:val="ListLabel 2985"/>
    <w:qFormat/>
    <w:rPr>
      <w:rFonts w:cs="Wingdings"/>
    </w:rPr>
  </w:style>
  <w:style w:type="character" w:styleId="ListLabel2986">
    <w:name w:val="ListLabel 2986"/>
    <w:qFormat/>
    <w:rPr>
      <w:rFonts w:cs="Courier New"/>
    </w:rPr>
  </w:style>
  <w:style w:type="character" w:styleId="ListLabel2987">
    <w:name w:val="ListLabel 2987"/>
    <w:qFormat/>
    <w:rPr>
      <w:rFonts w:cs="Wingdings"/>
    </w:rPr>
  </w:style>
  <w:style w:type="character" w:styleId="ListLabel2988">
    <w:name w:val="ListLabel 2988"/>
    <w:qFormat/>
    <w:rPr>
      <w:rFonts w:cs="Symbol"/>
    </w:rPr>
  </w:style>
  <w:style w:type="character" w:styleId="ListLabel2989">
    <w:name w:val="ListLabel 2989"/>
    <w:qFormat/>
    <w:rPr>
      <w:rFonts w:cs="Courier New"/>
    </w:rPr>
  </w:style>
  <w:style w:type="character" w:styleId="ListLabel2990">
    <w:name w:val="ListLabel 2990"/>
    <w:qFormat/>
    <w:rPr>
      <w:rFonts w:cs="Wingdings"/>
    </w:rPr>
  </w:style>
  <w:style w:type="character" w:styleId="ListLabel2991">
    <w:name w:val="ListLabel 2991"/>
    <w:qFormat/>
    <w:rPr>
      <w:rFonts w:cs="Symbol"/>
    </w:rPr>
  </w:style>
  <w:style w:type="character" w:styleId="ListLabel2992">
    <w:name w:val="ListLabel 2992"/>
    <w:qFormat/>
    <w:rPr>
      <w:rFonts w:cs="Courier New"/>
    </w:rPr>
  </w:style>
  <w:style w:type="character" w:styleId="ListLabel2993">
    <w:name w:val="ListLabel 2993"/>
    <w:qFormat/>
    <w:rPr>
      <w:rFonts w:cs="Wingdings"/>
    </w:rPr>
  </w:style>
  <w:style w:type="character" w:styleId="ListLabel2994">
    <w:name w:val="ListLabel 2994"/>
    <w:qFormat/>
    <w:rPr>
      <w:rFonts w:cs="Wingdings"/>
    </w:rPr>
  </w:style>
  <w:style w:type="character" w:styleId="ListLabel2995">
    <w:name w:val="ListLabel 2995"/>
    <w:qFormat/>
    <w:rPr>
      <w:rFonts w:cs="Courier New"/>
    </w:rPr>
  </w:style>
  <w:style w:type="character" w:styleId="ListLabel2996">
    <w:name w:val="ListLabel 2996"/>
    <w:qFormat/>
    <w:rPr>
      <w:rFonts w:cs="Wingdings"/>
    </w:rPr>
  </w:style>
  <w:style w:type="character" w:styleId="ListLabel2997">
    <w:name w:val="ListLabel 2997"/>
    <w:qFormat/>
    <w:rPr>
      <w:rFonts w:cs="Symbol"/>
    </w:rPr>
  </w:style>
  <w:style w:type="character" w:styleId="ListLabel2998">
    <w:name w:val="ListLabel 2998"/>
    <w:qFormat/>
    <w:rPr>
      <w:rFonts w:cs="Courier New"/>
    </w:rPr>
  </w:style>
  <w:style w:type="character" w:styleId="ListLabel2999">
    <w:name w:val="ListLabel 2999"/>
    <w:qFormat/>
    <w:rPr>
      <w:rFonts w:cs="Wingdings"/>
    </w:rPr>
  </w:style>
  <w:style w:type="character" w:styleId="ListLabel3000">
    <w:name w:val="ListLabel 3000"/>
    <w:qFormat/>
    <w:rPr>
      <w:rFonts w:cs="Symbol"/>
    </w:rPr>
  </w:style>
  <w:style w:type="character" w:styleId="ListLabel3001">
    <w:name w:val="ListLabel 3001"/>
    <w:qFormat/>
    <w:rPr>
      <w:rFonts w:cs="Courier New"/>
    </w:rPr>
  </w:style>
  <w:style w:type="character" w:styleId="ListLabel3002">
    <w:name w:val="ListLabel 3002"/>
    <w:qFormat/>
    <w:rPr>
      <w:rFonts w:cs="Wingdings"/>
    </w:rPr>
  </w:style>
  <w:style w:type="character" w:styleId="ListLabel3003">
    <w:name w:val="ListLabel 3003"/>
    <w:qFormat/>
    <w:rPr>
      <w:rFonts w:cs="Wingdings"/>
    </w:rPr>
  </w:style>
  <w:style w:type="character" w:styleId="ListLabel3004">
    <w:name w:val="ListLabel 3004"/>
    <w:qFormat/>
    <w:rPr>
      <w:rFonts w:cs="Courier New"/>
    </w:rPr>
  </w:style>
  <w:style w:type="character" w:styleId="ListLabel3005">
    <w:name w:val="ListLabel 3005"/>
    <w:qFormat/>
    <w:rPr>
      <w:rFonts w:cs="Wingdings"/>
    </w:rPr>
  </w:style>
  <w:style w:type="character" w:styleId="ListLabel3006">
    <w:name w:val="ListLabel 3006"/>
    <w:qFormat/>
    <w:rPr>
      <w:rFonts w:cs="Symbol"/>
    </w:rPr>
  </w:style>
  <w:style w:type="character" w:styleId="ListLabel3007">
    <w:name w:val="ListLabel 3007"/>
    <w:qFormat/>
    <w:rPr>
      <w:rFonts w:cs="Courier New"/>
    </w:rPr>
  </w:style>
  <w:style w:type="character" w:styleId="ListLabel3008">
    <w:name w:val="ListLabel 3008"/>
    <w:qFormat/>
    <w:rPr>
      <w:rFonts w:cs="Wingdings"/>
    </w:rPr>
  </w:style>
  <w:style w:type="character" w:styleId="ListLabel3009">
    <w:name w:val="ListLabel 3009"/>
    <w:qFormat/>
    <w:rPr>
      <w:rFonts w:cs="Symbol"/>
    </w:rPr>
  </w:style>
  <w:style w:type="character" w:styleId="ListLabel3010">
    <w:name w:val="ListLabel 3010"/>
    <w:qFormat/>
    <w:rPr>
      <w:rFonts w:cs="Courier New"/>
    </w:rPr>
  </w:style>
  <w:style w:type="character" w:styleId="ListLabel3011">
    <w:name w:val="ListLabel 3011"/>
    <w:qFormat/>
    <w:rPr>
      <w:rFonts w:cs="Wingdings"/>
    </w:rPr>
  </w:style>
  <w:style w:type="character" w:styleId="ListLabel3012">
    <w:name w:val="ListLabel 3012"/>
    <w:qFormat/>
    <w:rPr>
      <w:rFonts w:cs="Wingdings"/>
    </w:rPr>
  </w:style>
  <w:style w:type="character" w:styleId="ListLabel3013">
    <w:name w:val="ListLabel 3013"/>
    <w:qFormat/>
    <w:rPr>
      <w:rFonts w:cs="Courier New"/>
    </w:rPr>
  </w:style>
  <w:style w:type="character" w:styleId="ListLabel3014">
    <w:name w:val="ListLabel 3014"/>
    <w:qFormat/>
    <w:rPr>
      <w:rFonts w:cs="Wingdings"/>
    </w:rPr>
  </w:style>
  <w:style w:type="character" w:styleId="ListLabel3015">
    <w:name w:val="ListLabel 3015"/>
    <w:qFormat/>
    <w:rPr>
      <w:rFonts w:cs="Symbol"/>
    </w:rPr>
  </w:style>
  <w:style w:type="character" w:styleId="ListLabel3016">
    <w:name w:val="ListLabel 3016"/>
    <w:qFormat/>
    <w:rPr>
      <w:rFonts w:cs="Courier New"/>
    </w:rPr>
  </w:style>
  <w:style w:type="character" w:styleId="ListLabel3017">
    <w:name w:val="ListLabel 3017"/>
    <w:qFormat/>
    <w:rPr>
      <w:rFonts w:cs="Wingdings"/>
    </w:rPr>
  </w:style>
  <w:style w:type="character" w:styleId="ListLabel3018">
    <w:name w:val="ListLabel 3018"/>
    <w:qFormat/>
    <w:rPr>
      <w:rFonts w:cs="Symbol"/>
    </w:rPr>
  </w:style>
  <w:style w:type="character" w:styleId="ListLabel3019">
    <w:name w:val="ListLabel 3019"/>
    <w:qFormat/>
    <w:rPr>
      <w:rFonts w:cs="Courier New"/>
    </w:rPr>
  </w:style>
  <w:style w:type="character" w:styleId="ListLabel3020">
    <w:name w:val="ListLabel 3020"/>
    <w:qFormat/>
    <w:rPr>
      <w:rFonts w:cs="Wingdings"/>
    </w:rPr>
  </w:style>
  <w:style w:type="character" w:styleId="ListLabel3021">
    <w:name w:val="ListLabel 3021"/>
    <w:qFormat/>
    <w:rPr>
      <w:rFonts w:cs="Wingdings"/>
    </w:rPr>
  </w:style>
  <w:style w:type="character" w:styleId="ListLabel3022">
    <w:name w:val="ListLabel 3022"/>
    <w:qFormat/>
    <w:rPr>
      <w:rFonts w:cs="Courier New"/>
    </w:rPr>
  </w:style>
  <w:style w:type="character" w:styleId="ListLabel3023">
    <w:name w:val="ListLabel 3023"/>
    <w:qFormat/>
    <w:rPr>
      <w:rFonts w:cs="Wingdings"/>
    </w:rPr>
  </w:style>
  <w:style w:type="character" w:styleId="ListLabel3024">
    <w:name w:val="ListLabel 3024"/>
    <w:qFormat/>
    <w:rPr>
      <w:rFonts w:cs="Symbol"/>
    </w:rPr>
  </w:style>
  <w:style w:type="character" w:styleId="ListLabel3025">
    <w:name w:val="ListLabel 3025"/>
    <w:qFormat/>
    <w:rPr>
      <w:rFonts w:cs="Courier New"/>
    </w:rPr>
  </w:style>
  <w:style w:type="character" w:styleId="ListLabel3026">
    <w:name w:val="ListLabel 3026"/>
    <w:qFormat/>
    <w:rPr>
      <w:rFonts w:cs="Wingdings"/>
    </w:rPr>
  </w:style>
  <w:style w:type="character" w:styleId="ListLabel3027">
    <w:name w:val="ListLabel 3027"/>
    <w:qFormat/>
    <w:rPr>
      <w:rFonts w:cs="Symbol"/>
    </w:rPr>
  </w:style>
  <w:style w:type="character" w:styleId="ListLabel3028">
    <w:name w:val="ListLabel 3028"/>
    <w:qFormat/>
    <w:rPr>
      <w:rFonts w:cs="Courier New"/>
    </w:rPr>
  </w:style>
  <w:style w:type="character" w:styleId="ListLabel3029">
    <w:name w:val="ListLabel 3029"/>
    <w:qFormat/>
    <w:rPr>
      <w:rFonts w:cs="Wingdings"/>
    </w:rPr>
  </w:style>
  <w:style w:type="character" w:styleId="ListLabel3030">
    <w:name w:val="ListLabel 3030"/>
    <w:qFormat/>
    <w:rPr>
      <w:rFonts w:cs="Wingdings"/>
    </w:rPr>
  </w:style>
  <w:style w:type="character" w:styleId="ListLabel3031">
    <w:name w:val="ListLabel 3031"/>
    <w:qFormat/>
    <w:rPr>
      <w:rFonts w:cs="Courier New"/>
    </w:rPr>
  </w:style>
  <w:style w:type="character" w:styleId="ListLabel3032">
    <w:name w:val="ListLabel 3032"/>
    <w:qFormat/>
    <w:rPr>
      <w:rFonts w:cs="Wingdings"/>
    </w:rPr>
  </w:style>
  <w:style w:type="character" w:styleId="ListLabel3033">
    <w:name w:val="ListLabel 3033"/>
    <w:qFormat/>
    <w:rPr>
      <w:rFonts w:cs="Symbol"/>
    </w:rPr>
  </w:style>
  <w:style w:type="character" w:styleId="ListLabel3034">
    <w:name w:val="ListLabel 3034"/>
    <w:qFormat/>
    <w:rPr>
      <w:rFonts w:cs="Courier New"/>
    </w:rPr>
  </w:style>
  <w:style w:type="character" w:styleId="ListLabel3035">
    <w:name w:val="ListLabel 3035"/>
    <w:qFormat/>
    <w:rPr>
      <w:rFonts w:cs="Wingdings"/>
    </w:rPr>
  </w:style>
  <w:style w:type="character" w:styleId="ListLabel3036">
    <w:name w:val="ListLabel 3036"/>
    <w:qFormat/>
    <w:rPr>
      <w:rFonts w:cs="Symbol"/>
    </w:rPr>
  </w:style>
  <w:style w:type="character" w:styleId="ListLabel3037">
    <w:name w:val="ListLabel 3037"/>
    <w:qFormat/>
    <w:rPr>
      <w:rFonts w:cs="Courier New"/>
    </w:rPr>
  </w:style>
  <w:style w:type="character" w:styleId="ListLabel3038">
    <w:name w:val="ListLabel 3038"/>
    <w:qFormat/>
    <w:rPr>
      <w:rFonts w:cs="Wingdings"/>
    </w:rPr>
  </w:style>
  <w:style w:type="character" w:styleId="ListLabel3039">
    <w:name w:val="ListLabel 3039"/>
    <w:qFormat/>
    <w:rPr>
      <w:rFonts w:cs="Wingdings"/>
    </w:rPr>
  </w:style>
  <w:style w:type="character" w:styleId="ListLabel3040">
    <w:name w:val="ListLabel 3040"/>
    <w:qFormat/>
    <w:rPr>
      <w:rFonts w:cs="Courier New"/>
    </w:rPr>
  </w:style>
  <w:style w:type="character" w:styleId="ListLabel3041">
    <w:name w:val="ListLabel 3041"/>
    <w:qFormat/>
    <w:rPr>
      <w:rFonts w:cs="Wingdings"/>
    </w:rPr>
  </w:style>
  <w:style w:type="character" w:styleId="ListLabel3042">
    <w:name w:val="ListLabel 3042"/>
    <w:qFormat/>
    <w:rPr>
      <w:rFonts w:cs="Symbol"/>
    </w:rPr>
  </w:style>
  <w:style w:type="character" w:styleId="ListLabel3043">
    <w:name w:val="ListLabel 3043"/>
    <w:qFormat/>
    <w:rPr>
      <w:rFonts w:cs="Courier New"/>
    </w:rPr>
  </w:style>
  <w:style w:type="character" w:styleId="ListLabel3044">
    <w:name w:val="ListLabel 3044"/>
    <w:qFormat/>
    <w:rPr>
      <w:rFonts w:cs="Wingdings"/>
    </w:rPr>
  </w:style>
  <w:style w:type="character" w:styleId="ListLabel3045">
    <w:name w:val="ListLabel 3045"/>
    <w:qFormat/>
    <w:rPr>
      <w:rFonts w:cs="Symbol"/>
    </w:rPr>
  </w:style>
  <w:style w:type="character" w:styleId="ListLabel3046">
    <w:name w:val="ListLabel 3046"/>
    <w:qFormat/>
    <w:rPr>
      <w:rFonts w:cs="Courier New"/>
    </w:rPr>
  </w:style>
  <w:style w:type="character" w:styleId="ListLabel3047">
    <w:name w:val="ListLabel 3047"/>
    <w:qFormat/>
    <w:rPr>
      <w:rFonts w:cs="Wingdings"/>
    </w:rPr>
  </w:style>
  <w:style w:type="character" w:styleId="ListLabel3048">
    <w:name w:val="ListLabel 3048"/>
    <w:qFormat/>
    <w:rPr>
      <w:rFonts w:cs="Wingdings"/>
    </w:rPr>
  </w:style>
  <w:style w:type="character" w:styleId="ListLabel3049">
    <w:name w:val="ListLabel 3049"/>
    <w:qFormat/>
    <w:rPr>
      <w:rFonts w:cs="Courier New"/>
    </w:rPr>
  </w:style>
  <w:style w:type="character" w:styleId="ListLabel3050">
    <w:name w:val="ListLabel 3050"/>
    <w:qFormat/>
    <w:rPr>
      <w:rFonts w:cs="Wingdings"/>
    </w:rPr>
  </w:style>
  <w:style w:type="character" w:styleId="ListLabel3051">
    <w:name w:val="ListLabel 3051"/>
    <w:qFormat/>
    <w:rPr>
      <w:rFonts w:cs="Symbol"/>
    </w:rPr>
  </w:style>
  <w:style w:type="character" w:styleId="ListLabel3052">
    <w:name w:val="ListLabel 3052"/>
    <w:qFormat/>
    <w:rPr>
      <w:rFonts w:cs="Courier New"/>
    </w:rPr>
  </w:style>
  <w:style w:type="character" w:styleId="ListLabel3053">
    <w:name w:val="ListLabel 3053"/>
    <w:qFormat/>
    <w:rPr>
      <w:rFonts w:cs="Wingdings"/>
    </w:rPr>
  </w:style>
  <w:style w:type="character" w:styleId="ListLabel3054">
    <w:name w:val="ListLabel 3054"/>
    <w:qFormat/>
    <w:rPr>
      <w:rFonts w:cs="Symbol"/>
    </w:rPr>
  </w:style>
  <w:style w:type="character" w:styleId="ListLabel3055">
    <w:name w:val="ListLabel 3055"/>
    <w:qFormat/>
    <w:rPr>
      <w:rFonts w:cs="Courier New"/>
    </w:rPr>
  </w:style>
  <w:style w:type="character" w:styleId="ListLabel3056">
    <w:name w:val="ListLabel 3056"/>
    <w:qFormat/>
    <w:rPr>
      <w:rFonts w:cs="Wingdings"/>
    </w:rPr>
  </w:style>
  <w:style w:type="character" w:styleId="ListLabel3057">
    <w:name w:val="ListLabel 3057"/>
    <w:qFormat/>
    <w:rPr>
      <w:rFonts w:cs="Wingdings"/>
    </w:rPr>
  </w:style>
  <w:style w:type="character" w:styleId="ListLabel3058">
    <w:name w:val="ListLabel 3058"/>
    <w:qFormat/>
    <w:rPr>
      <w:rFonts w:cs="Courier New"/>
    </w:rPr>
  </w:style>
  <w:style w:type="character" w:styleId="ListLabel3059">
    <w:name w:val="ListLabel 3059"/>
    <w:qFormat/>
    <w:rPr>
      <w:rFonts w:cs="Wingdings"/>
    </w:rPr>
  </w:style>
  <w:style w:type="character" w:styleId="ListLabel3060">
    <w:name w:val="ListLabel 3060"/>
    <w:qFormat/>
    <w:rPr>
      <w:rFonts w:cs="Symbol"/>
    </w:rPr>
  </w:style>
  <w:style w:type="character" w:styleId="ListLabel3061">
    <w:name w:val="ListLabel 3061"/>
    <w:qFormat/>
    <w:rPr>
      <w:rFonts w:cs="Courier New"/>
    </w:rPr>
  </w:style>
  <w:style w:type="character" w:styleId="ListLabel3062">
    <w:name w:val="ListLabel 3062"/>
    <w:qFormat/>
    <w:rPr>
      <w:rFonts w:cs="Wingdings"/>
    </w:rPr>
  </w:style>
  <w:style w:type="character" w:styleId="ListLabel3063">
    <w:name w:val="ListLabel 3063"/>
    <w:qFormat/>
    <w:rPr>
      <w:rFonts w:cs="Symbol"/>
    </w:rPr>
  </w:style>
  <w:style w:type="character" w:styleId="ListLabel3064">
    <w:name w:val="ListLabel 3064"/>
    <w:qFormat/>
    <w:rPr>
      <w:rFonts w:cs="Courier New"/>
    </w:rPr>
  </w:style>
  <w:style w:type="character" w:styleId="ListLabel3065">
    <w:name w:val="ListLabel 3065"/>
    <w:qFormat/>
    <w:rPr>
      <w:rFonts w:cs="Wingdings"/>
    </w:rPr>
  </w:style>
  <w:style w:type="character" w:styleId="ListLabel3066">
    <w:name w:val="ListLabel 3066"/>
    <w:qFormat/>
    <w:rPr>
      <w:rFonts w:cs="Wingdings"/>
    </w:rPr>
  </w:style>
  <w:style w:type="character" w:styleId="ListLabel3067">
    <w:name w:val="ListLabel 3067"/>
    <w:qFormat/>
    <w:rPr>
      <w:rFonts w:cs="Courier New"/>
    </w:rPr>
  </w:style>
  <w:style w:type="character" w:styleId="ListLabel3068">
    <w:name w:val="ListLabel 3068"/>
    <w:qFormat/>
    <w:rPr>
      <w:rFonts w:cs="Wingdings"/>
    </w:rPr>
  </w:style>
  <w:style w:type="character" w:styleId="ListLabel3069">
    <w:name w:val="ListLabel 3069"/>
    <w:qFormat/>
    <w:rPr>
      <w:rFonts w:cs="Symbol"/>
    </w:rPr>
  </w:style>
  <w:style w:type="character" w:styleId="ListLabel3070">
    <w:name w:val="ListLabel 3070"/>
    <w:qFormat/>
    <w:rPr>
      <w:rFonts w:cs="Courier New"/>
    </w:rPr>
  </w:style>
  <w:style w:type="character" w:styleId="ListLabel3071">
    <w:name w:val="ListLabel 3071"/>
    <w:qFormat/>
    <w:rPr>
      <w:rFonts w:cs="Wingdings"/>
    </w:rPr>
  </w:style>
  <w:style w:type="character" w:styleId="ListLabel3072">
    <w:name w:val="ListLabel 3072"/>
    <w:qFormat/>
    <w:rPr>
      <w:rFonts w:cs="Symbol"/>
    </w:rPr>
  </w:style>
  <w:style w:type="character" w:styleId="ListLabel3073">
    <w:name w:val="ListLabel 3073"/>
    <w:qFormat/>
    <w:rPr>
      <w:rFonts w:cs="Courier New"/>
    </w:rPr>
  </w:style>
  <w:style w:type="character" w:styleId="ListLabel3074">
    <w:name w:val="ListLabel 3074"/>
    <w:qFormat/>
    <w:rPr>
      <w:rFonts w:cs="Wingdings"/>
    </w:rPr>
  </w:style>
  <w:style w:type="character" w:styleId="ListLabel3075">
    <w:name w:val="ListLabel 3075"/>
    <w:qFormat/>
    <w:rPr>
      <w:rFonts w:cs="Wingdings"/>
    </w:rPr>
  </w:style>
  <w:style w:type="character" w:styleId="ListLabel3076">
    <w:name w:val="ListLabel 3076"/>
    <w:qFormat/>
    <w:rPr>
      <w:rFonts w:cs="Courier New"/>
    </w:rPr>
  </w:style>
  <w:style w:type="character" w:styleId="ListLabel3077">
    <w:name w:val="ListLabel 3077"/>
    <w:qFormat/>
    <w:rPr>
      <w:rFonts w:cs="Wingdings"/>
    </w:rPr>
  </w:style>
  <w:style w:type="character" w:styleId="ListLabel3078">
    <w:name w:val="ListLabel 3078"/>
    <w:qFormat/>
    <w:rPr>
      <w:rFonts w:cs="Symbol"/>
    </w:rPr>
  </w:style>
  <w:style w:type="character" w:styleId="ListLabel3079">
    <w:name w:val="ListLabel 3079"/>
    <w:qFormat/>
    <w:rPr>
      <w:rFonts w:cs="Courier New"/>
    </w:rPr>
  </w:style>
  <w:style w:type="character" w:styleId="ListLabel3080">
    <w:name w:val="ListLabel 3080"/>
    <w:qFormat/>
    <w:rPr>
      <w:rFonts w:cs="Wingdings"/>
    </w:rPr>
  </w:style>
  <w:style w:type="character" w:styleId="ListLabel3081">
    <w:name w:val="ListLabel 3081"/>
    <w:qFormat/>
    <w:rPr>
      <w:rFonts w:cs="Symbol"/>
    </w:rPr>
  </w:style>
  <w:style w:type="character" w:styleId="ListLabel3082">
    <w:name w:val="ListLabel 3082"/>
    <w:qFormat/>
    <w:rPr>
      <w:rFonts w:cs="Courier New"/>
    </w:rPr>
  </w:style>
  <w:style w:type="character" w:styleId="ListLabel3083">
    <w:name w:val="ListLabel 3083"/>
    <w:qFormat/>
    <w:rPr>
      <w:rFonts w:cs="Wingdings"/>
    </w:rPr>
  </w:style>
  <w:style w:type="character" w:styleId="ListLabel3084">
    <w:name w:val="ListLabel 3084"/>
    <w:qFormat/>
    <w:rPr>
      <w:rFonts w:cs="Wingdings"/>
    </w:rPr>
  </w:style>
  <w:style w:type="character" w:styleId="ListLabel3085">
    <w:name w:val="ListLabel 3085"/>
    <w:qFormat/>
    <w:rPr>
      <w:rFonts w:cs="Courier New"/>
    </w:rPr>
  </w:style>
  <w:style w:type="character" w:styleId="ListLabel3086">
    <w:name w:val="ListLabel 3086"/>
    <w:qFormat/>
    <w:rPr>
      <w:rFonts w:cs="Wingdings"/>
    </w:rPr>
  </w:style>
  <w:style w:type="character" w:styleId="ListLabel3087">
    <w:name w:val="ListLabel 3087"/>
    <w:qFormat/>
    <w:rPr>
      <w:rFonts w:cs="Symbol"/>
    </w:rPr>
  </w:style>
  <w:style w:type="character" w:styleId="ListLabel3088">
    <w:name w:val="ListLabel 3088"/>
    <w:qFormat/>
    <w:rPr>
      <w:rFonts w:cs="Courier New"/>
    </w:rPr>
  </w:style>
  <w:style w:type="character" w:styleId="ListLabel3089">
    <w:name w:val="ListLabel 3089"/>
    <w:qFormat/>
    <w:rPr>
      <w:rFonts w:cs="Wingdings"/>
    </w:rPr>
  </w:style>
  <w:style w:type="character" w:styleId="ListLabel3090">
    <w:name w:val="ListLabel 3090"/>
    <w:qFormat/>
    <w:rPr>
      <w:rFonts w:cs="Symbol"/>
    </w:rPr>
  </w:style>
  <w:style w:type="character" w:styleId="ListLabel3091">
    <w:name w:val="ListLabel 3091"/>
    <w:qFormat/>
    <w:rPr>
      <w:rFonts w:cs="Courier New"/>
    </w:rPr>
  </w:style>
  <w:style w:type="character" w:styleId="ListLabel3092">
    <w:name w:val="ListLabel 3092"/>
    <w:qFormat/>
    <w:rPr>
      <w:rFonts w:cs="Wingdings"/>
    </w:rPr>
  </w:style>
  <w:style w:type="character" w:styleId="ListLabel3093">
    <w:name w:val="ListLabel 3093"/>
    <w:qFormat/>
    <w:rPr>
      <w:rFonts w:cs="Wingdings"/>
    </w:rPr>
  </w:style>
  <w:style w:type="character" w:styleId="ListLabel3094">
    <w:name w:val="ListLabel 3094"/>
    <w:qFormat/>
    <w:rPr>
      <w:rFonts w:cs="Courier New"/>
    </w:rPr>
  </w:style>
  <w:style w:type="character" w:styleId="ListLabel3095">
    <w:name w:val="ListLabel 3095"/>
    <w:qFormat/>
    <w:rPr>
      <w:rFonts w:cs="Wingdings"/>
    </w:rPr>
  </w:style>
  <w:style w:type="character" w:styleId="ListLabel3096">
    <w:name w:val="ListLabel 3096"/>
    <w:qFormat/>
    <w:rPr>
      <w:rFonts w:cs="Symbol"/>
    </w:rPr>
  </w:style>
  <w:style w:type="character" w:styleId="ListLabel3097">
    <w:name w:val="ListLabel 3097"/>
    <w:qFormat/>
    <w:rPr>
      <w:rFonts w:cs="Courier New"/>
    </w:rPr>
  </w:style>
  <w:style w:type="character" w:styleId="ListLabel3098">
    <w:name w:val="ListLabel 3098"/>
    <w:qFormat/>
    <w:rPr>
      <w:rFonts w:cs="Wingdings"/>
    </w:rPr>
  </w:style>
  <w:style w:type="character" w:styleId="ListLabel3099">
    <w:name w:val="ListLabel 3099"/>
    <w:qFormat/>
    <w:rPr>
      <w:rFonts w:cs="Symbol"/>
    </w:rPr>
  </w:style>
  <w:style w:type="character" w:styleId="ListLabel3100">
    <w:name w:val="ListLabel 3100"/>
    <w:qFormat/>
    <w:rPr>
      <w:rFonts w:cs="Courier New"/>
    </w:rPr>
  </w:style>
  <w:style w:type="character" w:styleId="ListLabel3101">
    <w:name w:val="ListLabel 3101"/>
    <w:qFormat/>
    <w:rPr>
      <w:rFonts w:cs="Wingdings"/>
    </w:rPr>
  </w:style>
  <w:style w:type="character" w:styleId="ListLabel3102">
    <w:name w:val="ListLabel 3102"/>
    <w:qFormat/>
    <w:rPr>
      <w:rFonts w:cs="Wingdings"/>
    </w:rPr>
  </w:style>
  <w:style w:type="character" w:styleId="ListLabel3103">
    <w:name w:val="ListLabel 3103"/>
    <w:qFormat/>
    <w:rPr>
      <w:rFonts w:cs="Courier New"/>
    </w:rPr>
  </w:style>
  <w:style w:type="character" w:styleId="ListLabel3104">
    <w:name w:val="ListLabel 3104"/>
    <w:qFormat/>
    <w:rPr>
      <w:rFonts w:cs="Wingdings"/>
    </w:rPr>
  </w:style>
  <w:style w:type="character" w:styleId="ListLabel3105">
    <w:name w:val="ListLabel 3105"/>
    <w:qFormat/>
    <w:rPr>
      <w:rFonts w:cs="Symbol"/>
    </w:rPr>
  </w:style>
  <w:style w:type="character" w:styleId="ListLabel3106">
    <w:name w:val="ListLabel 3106"/>
    <w:qFormat/>
    <w:rPr>
      <w:rFonts w:cs="Courier New"/>
    </w:rPr>
  </w:style>
  <w:style w:type="character" w:styleId="ListLabel3107">
    <w:name w:val="ListLabel 3107"/>
    <w:qFormat/>
    <w:rPr>
      <w:rFonts w:cs="Wingdings"/>
    </w:rPr>
  </w:style>
  <w:style w:type="character" w:styleId="ListLabel3108">
    <w:name w:val="ListLabel 3108"/>
    <w:qFormat/>
    <w:rPr>
      <w:rFonts w:cs="Symbol"/>
    </w:rPr>
  </w:style>
  <w:style w:type="character" w:styleId="ListLabel3109">
    <w:name w:val="ListLabel 3109"/>
    <w:qFormat/>
    <w:rPr>
      <w:rFonts w:cs="Courier New"/>
    </w:rPr>
  </w:style>
  <w:style w:type="character" w:styleId="ListLabel3110">
    <w:name w:val="ListLabel 3110"/>
    <w:qFormat/>
    <w:rPr>
      <w:rFonts w:cs="Wingdings"/>
    </w:rPr>
  </w:style>
  <w:style w:type="character" w:styleId="ListLabel3111">
    <w:name w:val="ListLabel 3111"/>
    <w:qFormat/>
    <w:rPr>
      <w:rFonts w:cs="Wingdings"/>
    </w:rPr>
  </w:style>
  <w:style w:type="character" w:styleId="ListLabel3112">
    <w:name w:val="ListLabel 3112"/>
    <w:qFormat/>
    <w:rPr>
      <w:rFonts w:cs="Courier New"/>
    </w:rPr>
  </w:style>
  <w:style w:type="character" w:styleId="ListLabel3113">
    <w:name w:val="ListLabel 3113"/>
    <w:qFormat/>
    <w:rPr>
      <w:rFonts w:cs="Wingdings"/>
    </w:rPr>
  </w:style>
  <w:style w:type="character" w:styleId="ListLabel3114">
    <w:name w:val="ListLabel 3114"/>
    <w:qFormat/>
    <w:rPr>
      <w:rFonts w:cs="Symbol"/>
    </w:rPr>
  </w:style>
  <w:style w:type="character" w:styleId="ListLabel3115">
    <w:name w:val="ListLabel 3115"/>
    <w:qFormat/>
    <w:rPr>
      <w:rFonts w:cs="Courier New"/>
    </w:rPr>
  </w:style>
  <w:style w:type="character" w:styleId="ListLabel3116">
    <w:name w:val="ListLabel 3116"/>
    <w:qFormat/>
    <w:rPr>
      <w:rFonts w:cs="Wingdings"/>
    </w:rPr>
  </w:style>
  <w:style w:type="character" w:styleId="ListLabel3117">
    <w:name w:val="ListLabel 3117"/>
    <w:qFormat/>
    <w:rPr>
      <w:rFonts w:cs="Symbol"/>
    </w:rPr>
  </w:style>
  <w:style w:type="character" w:styleId="ListLabel3118">
    <w:name w:val="ListLabel 3118"/>
    <w:qFormat/>
    <w:rPr>
      <w:rFonts w:cs="Courier New"/>
    </w:rPr>
  </w:style>
  <w:style w:type="character" w:styleId="ListLabel3119">
    <w:name w:val="ListLabel 3119"/>
    <w:qFormat/>
    <w:rPr>
      <w:rFonts w:cs="Wingdings"/>
    </w:rPr>
  </w:style>
  <w:style w:type="character" w:styleId="ListLabel3120">
    <w:name w:val="ListLabel 3120"/>
    <w:qFormat/>
    <w:rPr>
      <w:sz w:val="20"/>
    </w:rPr>
  </w:style>
  <w:style w:type="character" w:styleId="ListLabel3121">
    <w:name w:val="ListLabel 3121"/>
    <w:qFormat/>
    <w:rPr>
      <w:rFonts w:cs="Wingdings"/>
    </w:rPr>
  </w:style>
  <w:style w:type="character" w:styleId="ListLabel3122">
    <w:name w:val="ListLabel 3122"/>
    <w:qFormat/>
    <w:rPr>
      <w:rFonts w:cs="Courier New"/>
    </w:rPr>
  </w:style>
  <w:style w:type="character" w:styleId="ListLabel3123">
    <w:name w:val="ListLabel 3123"/>
    <w:qFormat/>
    <w:rPr>
      <w:rFonts w:cs="Wingdings"/>
    </w:rPr>
  </w:style>
  <w:style w:type="character" w:styleId="ListLabel3124">
    <w:name w:val="ListLabel 3124"/>
    <w:qFormat/>
    <w:rPr>
      <w:rFonts w:cs="Symbol"/>
    </w:rPr>
  </w:style>
  <w:style w:type="character" w:styleId="ListLabel3125">
    <w:name w:val="ListLabel 3125"/>
    <w:qFormat/>
    <w:rPr>
      <w:rFonts w:cs="Courier New"/>
    </w:rPr>
  </w:style>
  <w:style w:type="character" w:styleId="ListLabel3126">
    <w:name w:val="ListLabel 3126"/>
    <w:qFormat/>
    <w:rPr>
      <w:rFonts w:cs="Wingdings"/>
    </w:rPr>
  </w:style>
  <w:style w:type="character" w:styleId="ListLabel3127">
    <w:name w:val="ListLabel 3127"/>
    <w:qFormat/>
    <w:rPr>
      <w:rFonts w:cs="Symbol"/>
    </w:rPr>
  </w:style>
  <w:style w:type="character" w:styleId="ListLabel3128">
    <w:name w:val="ListLabel 3128"/>
    <w:qFormat/>
    <w:rPr>
      <w:rFonts w:cs="Courier New"/>
    </w:rPr>
  </w:style>
  <w:style w:type="character" w:styleId="ListLabel3129">
    <w:name w:val="ListLabel 3129"/>
    <w:qFormat/>
    <w:rPr>
      <w:rFonts w:cs="Wingdings"/>
    </w:rPr>
  </w:style>
  <w:style w:type="character" w:styleId="ListLabel3130">
    <w:name w:val="ListLabel 3130"/>
    <w:qFormat/>
    <w:rPr>
      <w:rFonts w:cs="Wingdings"/>
    </w:rPr>
  </w:style>
  <w:style w:type="character" w:styleId="ListLabel3131">
    <w:name w:val="ListLabel 3131"/>
    <w:qFormat/>
    <w:rPr>
      <w:rFonts w:cs="Courier New"/>
    </w:rPr>
  </w:style>
  <w:style w:type="character" w:styleId="ListLabel3132">
    <w:name w:val="ListLabel 3132"/>
    <w:qFormat/>
    <w:rPr>
      <w:rFonts w:cs="Wingdings"/>
    </w:rPr>
  </w:style>
  <w:style w:type="character" w:styleId="ListLabel3133">
    <w:name w:val="ListLabel 3133"/>
    <w:qFormat/>
    <w:rPr>
      <w:rFonts w:cs="Symbol"/>
    </w:rPr>
  </w:style>
  <w:style w:type="character" w:styleId="ListLabel3134">
    <w:name w:val="ListLabel 3134"/>
    <w:qFormat/>
    <w:rPr>
      <w:rFonts w:cs="Courier New"/>
    </w:rPr>
  </w:style>
  <w:style w:type="character" w:styleId="ListLabel3135">
    <w:name w:val="ListLabel 3135"/>
    <w:qFormat/>
    <w:rPr>
      <w:rFonts w:cs="Wingdings"/>
    </w:rPr>
  </w:style>
  <w:style w:type="character" w:styleId="ListLabel3136">
    <w:name w:val="ListLabel 3136"/>
    <w:qFormat/>
    <w:rPr>
      <w:rFonts w:cs="Symbol"/>
    </w:rPr>
  </w:style>
  <w:style w:type="character" w:styleId="ListLabel3137">
    <w:name w:val="ListLabel 3137"/>
    <w:qFormat/>
    <w:rPr>
      <w:rFonts w:cs="Courier New"/>
    </w:rPr>
  </w:style>
  <w:style w:type="character" w:styleId="ListLabel3138">
    <w:name w:val="ListLabel 3138"/>
    <w:qFormat/>
    <w:rPr>
      <w:rFonts w:cs="Wingdings"/>
    </w:rPr>
  </w:style>
  <w:style w:type="character" w:styleId="ListLabel3139">
    <w:name w:val="ListLabel 3139"/>
    <w:qFormat/>
    <w:rPr>
      <w:rFonts w:cs="Wingdings"/>
    </w:rPr>
  </w:style>
  <w:style w:type="character" w:styleId="ListLabel3140">
    <w:name w:val="ListLabel 3140"/>
    <w:qFormat/>
    <w:rPr>
      <w:rFonts w:cs="Calibri"/>
    </w:rPr>
  </w:style>
  <w:style w:type="character" w:styleId="ListLabel3141">
    <w:name w:val="ListLabel 3141"/>
    <w:qFormat/>
    <w:rPr>
      <w:rFonts w:cs="Wingdings"/>
    </w:rPr>
  </w:style>
  <w:style w:type="character" w:styleId="ListLabel3142">
    <w:name w:val="ListLabel 3142"/>
    <w:qFormat/>
    <w:rPr>
      <w:rFonts w:cs="Symbol"/>
    </w:rPr>
  </w:style>
  <w:style w:type="character" w:styleId="ListLabel3143">
    <w:name w:val="ListLabel 3143"/>
    <w:qFormat/>
    <w:rPr>
      <w:rFonts w:cs="Courier New"/>
    </w:rPr>
  </w:style>
  <w:style w:type="character" w:styleId="ListLabel3144">
    <w:name w:val="ListLabel 3144"/>
    <w:qFormat/>
    <w:rPr>
      <w:rFonts w:cs="Wingdings"/>
    </w:rPr>
  </w:style>
  <w:style w:type="character" w:styleId="ListLabel3145">
    <w:name w:val="ListLabel 3145"/>
    <w:qFormat/>
    <w:rPr>
      <w:rFonts w:cs="Symbol"/>
    </w:rPr>
  </w:style>
  <w:style w:type="character" w:styleId="ListLabel3146">
    <w:name w:val="ListLabel 3146"/>
    <w:qFormat/>
    <w:rPr>
      <w:rFonts w:cs="Courier New"/>
    </w:rPr>
  </w:style>
  <w:style w:type="character" w:styleId="ListLabel3147">
    <w:name w:val="ListLabel 3147"/>
    <w:qFormat/>
    <w:rPr>
      <w:rFonts w:cs="Wingdings"/>
    </w:rPr>
  </w:style>
  <w:style w:type="character" w:styleId="ListLabel3148">
    <w:name w:val="ListLabel 3148"/>
    <w:qFormat/>
    <w:rPr>
      <w:rFonts w:cs="Wingdings"/>
    </w:rPr>
  </w:style>
  <w:style w:type="character" w:styleId="ListLabel3149">
    <w:name w:val="ListLabel 3149"/>
    <w:qFormat/>
    <w:rPr>
      <w:rFonts w:cs="Courier New"/>
    </w:rPr>
  </w:style>
  <w:style w:type="character" w:styleId="ListLabel3150">
    <w:name w:val="ListLabel 3150"/>
    <w:qFormat/>
    <w:rPr>
      <w:rFonts w:cs="Wingdings"/>
    </w:rPr>
  </w:style>
  <w:style w:type="character" w:styleId="ListLabel3151">
    <w:name w:val="ListLabel 3151"/>
    <w:qFormat/>
    <w:rPr>
      <w:rFonts w:cs="Symbol"/>
    </w:rPr>
  </w:style>
  <w:style w:type="character" w:styleId="ListLabel3152">
    <w:name w:val="ListLabel 3152"/>
    <w:qFormat/>
    <w:rPr>
      <w:rFonts w:cs="Courier New"/>
    </w:rPr>
  </w:style>
  <w:style w:type="character" w:styleId="ListLabel3153">
    <w:name w:val="ListLabel 3153"/>
    <w:qFormat/>
    <w:rPr>
      <w:rFonts w:cs="Wingdings"/>
    </w:rPr>
  </w:style>
  <w:style w:type="character" w:styleId="ListLabel3154">
    <w:name w:val="ListLabel 3154"/>
    <w:qFormat/>
    <w:rPr>
      <w:rFonts w:cs="Symbol"/>
    </w:rPr>
  </w:style>
  <w:style w:type="character" w:styleId="ListLabel3155">
    <w:name w:val="ListLabel 3155"/>
    <w:qFormat/>
    <w:rPr>
      <w:rFonts w:cs="Courier New"/>
    </w:rPr>
  </w:style>
  <w:style w:type="character" w:styleId="ListLabel3156">
    <w:name w:val="ListLabel 3156"/>
    <w:qFormat/>
    <w:rPr>
      <w:rFonts w:cs="Wingdings"/>
    </w:rPr>
  </w:style>
  <w:style w:type="character" w:styleId="ListLabel3157">
    <w:name w:val="ListLabel 3157"/>
    <w:qFormat/>
    <w:rPr>
      <w:rFonts w:cs="Wingdings"/>
    </w:rPr>
  </w:style>
  <w:style w:type="character" w:styleId="ListLabel3158">
    <w:name w:val="ListLabel 3158"/>
    <w:qFormat/>
    <w:rPr>
      <w:rFonts w:cs="Courier New"/>
    </w:rPr>
  </w:style>
  <w:style w:type="character" w:styleId="ListLabel3159">
    <w:name w:val="ListLabel 3159"/>
    <w:qFormat/>
    <w:rPr>
      <w:rFonts w:cs="Wingdings"/>
    </w:rPr>
  </w:style>
  <w:style w:type="character" w:styleId="ListLabel3160">
    <w:name w:val="ListLabel 3160"/>
    <w:qFormat/>
    <w:rPr>
      <w:rFonts w:cs="Symbol"/>
    </w:rPr>
  </w:style>
  <w:style w:type="character" w:styleId="ListLabel3161">
    <w:name w:val="ListLabel 3161"/>
    <w:qFormat/>
    <w:rPr>
      <w:rFonts w:cs="Courier New"/>
    </w:rPr>
  </w:style>
  <w:style w:type="character" w:styleId="ListLabel3162">
    <w:name w:val="ListLabel 3162"/>
    <w:qFormat/>
    <w:rPr>
      <w:rFonts w:cs="Wingdings"/>
    </w:rPr>
  </w:style>
  <w:style w:type="character" w:styleId="ListLabel3163">
    <w:name w:val="ListLabel 3163"/>
    <w:qFormat/>
    <w:rPr>
      <w:rFonts w:cs="Symbol"/>
    </w:rPr>
  </w:style>
  <w:style w:type="character" w:styleId="ListLabel3164">
    <w:name w:val="ListLabel 3164"/>
    <w:qFormat/>
    <w:rPr>
      <w:rFonts w:cs="Courier New"/>
    </w:rPr>
  </w:style>
  <w:style w:type="character" w:styleId="ListLabel3165">
    <w:name w:val="ListLabel 3165"/>
    <w:qFormat/>
    <w:rPr>
      <w:rFonts w:cs="Wingdings"/>
    </w:rPr>
  </w:style>
  <w:style w:type="character" w:styleId="ListLabel3166">
    <w:name w:val="ListLabel 3166"/>
    <w:qFormat/>
    <w:rPr>
      <w:rFonts w:cs="Courier New"/>
    </w:rPr>
  </w:style>
  <w:style w:type="character" w:styleId="ListLabel3167">
    <w:name w:val="ListLabel 3167"/>
    <w:qFormat/>
    <w:rPr>
      <w:rFonts w:cs="Courier New"/>
    </w:rPr>
  </w:style>
  <w:style w:type="character" w:styleId="ListLabel3168">
    <w:name w:val="ListLabel 3168"/>
    <w:qFormat/>
    <w:rPr>
      <w:rFonts w:cs="Wingdings"/>
    </w:rPr>
  </w:style>
  <w:style w:type="character" w:styleId="ListLabel3169">
    <w:name w:val="ListLabel 3169"/>
    <w:qFormat/>
    <w:rPr>
      <w:rFonts w:cs="Symbol"/>
    </w:rPr>
  </w:style>
  <w:style w:type="character" w:styleId="ListLabel3170">
    <w:name w:val="ListLabel 3170"/>
    <w:qFormat/>
    <w:rPr>
      <w:rFonts w:cs="Courier New"/>
    </w:rPr>
  </w:style>
  <w:style w:type="character" w:styleId="ListLabel3171">
    <w:name w:val="ListLabel 3171"/>
    <w:qFormat/>
    <w:rPr>
      <w:rFonts w:cs="Wingdings"/>
    </w:rPr>
  </w:style>
  <w:style w:type="character" w:styleId="ListLabel3172">
    <w:name w:val="ListLabel 3172"/>
    <w:qFormat/>
    <w:rPr>
      <w:rFonts w:cs="Symbol"/>
    </w:rPr>
  </w:style>
  <w:style w:type="character" w:styleId="ListLabel3173">
    <w:name w:val="ListLabel 3173"/>
    <w:qFormat/>
    <w:rPr>
      <w:rFonts w:cs="Courier New"/>
    </w:rPr>
  </w:style>
  <w:style w:type="character" w:styleId="ListLabel3174">
    <w:name w:val="ListLabel 3174"/>
    <w:qFormat/>
    <w:rPr>
      <w:rFonts w:cs="Wingdings"/>
    </w:rPr>
  </w:style>
  <w:style w:type="character" w:styleId="ListLabel3175">
    <w:name w:val="ListLabel 3175"/>
    <w:qFormat/>
    <w:rPr>
      <w:rFonts w:cs="Wingdings"/>
    </w:rPr>
  </w:style>
  <w:style w:type="character" w:styleId="ListLabel3176">
    <w:name w:val="ListLabel 3176"/>
    <w:qFormat/>
    <w:rPr>
      <w:rFonts w:cs="Courier New"/>
    </w:rPr>
  </w:style>
  <w:style w:type="character" w:styleId="ListLabel3177">
    <w:name w:val="ListLabel 3177"/>
    <w:qFormat/>
    <w:rPr>
      <w:rFonts w:cs="Wingdings"/>
    </w:rPr>
  </w:style>
  <w:style w:type="character" w:styleId="ListLabel3178">
    <w:name w:val="ListLabel 3178"/>
    <w:qFormat/>
    <w:rPr>
      <w:rFonts w:cs="Symbol"/>
    </w:rPr>
  </w:style>
  <w:style w:type="character" w:styleId="ListLabel3179">
    <w:name w:val="ListLabel 3179"/>
    <w:qFormat/>
    <w:rPr>
      <w:rFonts w:cs="Courier New"/>
    </w:rPr>
  </w:style>
  <w:style w:type="character" w:styleId="ListLabel3180">
    <w:name w:val="ListLabel 3180"/>
    <w:qFormat/>
    <w:rPr>
      <w:rFonts w:cs="Wingdings"/>
    </w:rPr>
  </w:style>
  <w:style w:type="character" w:styleId="ListLabel3181">
    <w:name w:val="ListLabel 3181"/>
    <w:qFormat/>
    <w:rPr>
      <w:rFonts w:cs="Symbol"/>
    </w:rPr>
  </w:style>
  <w:style w:type="character" w:styleId="ListLabel3182">
    <w:name w:val="ListLabel 3182"/>
    <w:qFormat/>
    <w:rPr>
      <w:rFonts w:cs="Courier New"/>
    </w:rPr>
  </w:style>
  <w:style w:type="character" w:styleId="ListLabel3183">
    <w:name w:val="ListLabel 3183"/>
    <w:qFormat/>
    <w:rPr>
      <w:rFonts w:cs="Wingdings"/>
    </w:rPr>
  </w:style>
  <w:style w:type="character" w:styleId="ListLabel3184">
    <w:name w:val="ListLabel 3184"/>
    <w:qFormat/>
    <w:rPr>
      <w:rFonts w:cs="Wingdings"/>
    </w:rPr>
  </w:style>
  <w:style w:type="character" w:styleId="ListLabel3185">
    <w:name w:val="ListLabel 3185"/>
    <w:qFormat/>
    <w:rPr>
      <w:rFonts w:cs="Courier New"/>
    </w:rPr>
  </w:style>
  <w:style w:type="character" w:styleId="ListLabel3186">
    <w:name w:val="ListLabel 3186"/>
    <w:qFormat/>
    <w:rPr>
      <w:rFonts w:cs="Wingdings"/>
    </w:rPr>
  </w:style>
  <w:style w:type="character" w:styleId="ListLabel3187">
    <w:name w:val="ListLabel 3187"/>
    <w:qFormat/>
    <w:rPr>
      <w:rFonts w:cs="Symbol"/>
    </w:rPr>
  </w:style>
  <w:style w:type="character" w:styleId="ListLabel3188">
    <w:name w:val="ListLabel 3188"/>
    <w:qFormat/>
    <w:rPr>
      <w:rFonts w:cs="Courier New"/>
    </w:rPr>
  </w:style>
  <w:style w:type="character" w:styleId="ListLabel3189">
    <w:name w:val="ListLabel 3189"/>
    <w:qFormat/>
    <w:rPr>
      <w:rFonts w:cs="Wingdings"/>
    </w:rPr>
  </w:style>
  <w:style w:type="character" w:styleId="ListLabel3190">
    <w:name w:val="ListLabel 3190"/>
    <w:qFormat/>
    <w:rPr>
      <w:rFonts w:cs="Symbol"/>
    </w:rPr>
  </w:style>
  <w:style w:type="character" w:styleId="ListLabel3191">
    <w:name w:val="ListLabel 3191"/>
    <w:qFormat/>
    <w:rPr>
      <w:rFonts w:cs="Courier New"/>
    </w:rPr>
  </w:style>
  <w:style w:type="character" w:styleId="ListLabel3192">
    <w:name w:val="ListLabel 3192"/>
    <w:qFormat/>
    <w:rPr>
      <w:rFonts w:cs="Wingdings"/>
    </w:rPr>
  </w:style>
  <w:style w:type="character" w:styleId="ListLabel3193">
    <w:name w:val="ListLabel 3193"/>
    <w:qFormat/>
    <w:rPr>
      <w:rFonts w:cs="Wingdings"/>
    </w:rPr>
  </w:style>
  <w:style w:type="character" w:styleId="ListLabel3194">
    <w:name w:val="ListLabel 3194"/>
    <w:qFormat/>
    <w:rPr>
      <w:rFonts w:cs="Courier New"/>
    </w:rPr>
  </w:style>
  <w:style w:type="character" w:styleId="ListLabel3195">
    <w:name w:val="ListLabel 3195"/>
    <w:qFormat/>
    <w:rPr>
      <w:rFonts w:cs="Wingdings"/>
    </w:rPr>
  </w:style>
  <w:style w:type="character" w:styleId="ListLabel3196">
    <w:name w:val="ListLabel 3196"/>
    <w:qFormat/>
    <w:rPr>
      <w:rFonts w:cs="Symbol"/>
    </w:rPr>
  </w:style>
  <w:style w:type="character" w:styleId="ListLabel3197">
    <w:name w:val="ListLabel 3197"/>
    <w:qFormat/>
    <w:rPr>
      <w:rFonts w:cs="Courier New"/>
    </w:rPr>
  </w:style>
  <w:style w:type="character" w:styleId="ListLabel3198">
    <w:name w:val="ListLabel 3198"/>
    <w:qFormat/>
    <w:rPr>
      <w:rFonts w:cs="Wingdings"/>
    </w:rPr>
  </w:style>
  <w:style w:type="character" w:styleId="ListLabel3199">
    <w:name w:val="ListLabel 3199"/>
    <w:qFormat/>
    <w:rPr>
      <w:rFonts w:cs="Symbol"/>
    </w:rPr>
  </w:style>
  <w:style w:type="character" w:styleId="ListLabel3200">
    <w:name w:val="ListLabel 3200"/>
    <w:qFormat/>
    <w:rPr>
      <w:rFonts w:cs="Courier New"/>
    </w:rPr>
  </w:style>
  <w:style w:type="character" w:styleId="ListLabel3201">
    <w:name w:val="ListLabel 3201"/>
    <w:qFormat/>
    <w:rPr>
      <w:rFonts w:cs="Wingdings"/>
    </w:rPr>
  </w:style>
  <w:style w:type="character" w:styleId="ListLabel3202">
    <w:name w:val="ListLabel 3202"/>
    <w:qFormat/>
    <w:rPr>
      <w:rFonts w:cs="Wingdings"/>
    </w:rPr>
  </w:style>
  <w:style w:type="character" w:styleId="ListLabel3203">
    <w:name w:val="ListLabel 3203"/>
    <w:qFormat/>
    <w:rPr>
      <w:rFonts w:cs="Courier New"/>
    </w:rPr>
  </w:style>
  <w:style w:type="character" w:styleId="ListLabel3204">
    <w:name w:val="ListLabel 3204"/>
    <w:qFormat/>
    <w:rPr>
      <w:rFonts w:cs="Wingdings"/>
    </w:rPr>
  </w:style>
  <w:style w:type="character" w:styleId="ListLabel3205">
    <w:name w:val="ListLabel 3205"/>
    <w:qFormat/>
    <w:rPr>
      <w:rFonts w:cs="Symbol"/>
    </w:rPr>
  </w:style>
  <w:style w:type="character" w:styleId="ListLabel3206">
    <w:name w:val="ListLabel 3206"/>
    <w:qFormat/>
    <w:rPr>
      <w:rFonts w:cs="Courier New"/>
    </w:rPr>
  </w:style>
  <w:style w:type="character" w:styleId="ListLabel3207">
    <w:name w:val="ListLabel 3207"/>
    <w:qFormat/>
    <w:rPr>
      <w:rFonts w:cs="Wingdings"/>
    </w:rPr>
  </w:style>
  <w:style w:type="character" w:styleId="ListLabel3208">
    <w:name w:val="ListLabel 3208"/>
    <w:qFormat/>
    <w:rPr>
      <w:rFonts w:cs="Symbol"/>
    </w:rPr>
  </w:style>
  <w:style w:type="character" w:styleId="ListLabel3209">
    <w:name w:val="ListLabel 3209"/>
    <w:qFormat/>
    <w:rPr>
      <w:rFonts w:cs="Courier New"/>
    </w:rPr>
  </w:style>
  <w:style w:type="character" w:styleId="ListLabel3210">
    <w:name w:val="ListLabel 3210"/>
    <w:qFormat/>
    <w:rPr>
      <w:rFonts w:cs="Wingdings"/>
    </w:rPr>
  </w:style>
  <w:style w:type="character" w:styleId="ListLabel3211">
    <w:name w:val="ListLabel 3211"/>
    <w:qFormat/>
    <w:rPr>
      <w:rFonts w:cs="Wingdings"/>
    </w:rPr>
  </w:style>
  <w:style w:type="character" w:styleId="ListLabel3212">
    <w:name w:val="ListLabel 3212"/>
    <w:qFormat/>
    <w:rPr>
      <w:rFonts w:cs="Courier New"/>
    </w:rPr>
  </w:style>
  <w:style w:type="character" w:styleId="ListLabel3213">
    <w:name w:val="ListLabel 3213"/>
    <w:qFormat/>
    <w:rPr>
      <w:rFonts w:cs="Wingdings"/>
    </w:rPr>
  </w:style>
  <w:style w:type="character" w:styleId="ListLabel3214">
    <w:name w:val="ListLabel 3214"/>
    <w:qFormat/>
    <w:rPr>
      <w:rFonts w:cs="Symbol"/>
    </w:rPr>
  </w:style>
  <w:style w:type="character" w:styleId="ListLabel3215">
    <w:name w:val="ListLabel 3215"/>
    <w:qFormat/>
    <w:rPr>
      <w:rFonts w:cs="Courier New"/>
    </w:rPr>
  </w:style>
  <w:style w:type="character" w:styleId="ListLabel3216">
    <w:name w:val="ListLabel 3216"/>
    <w:qFormat/>
    <w:rPr>
      <w:rFonts w:cs="Wingdings"/>
    </w:rPr>
  </w:style>
  <w:style w:type="character" w:styleId="ListLabel3217">
    <w:name w:val="ListLabel 3217"/>
    <w:qFormat/>
    <w:rPr>
      <w:rFonts w:cs="Symbol"/>
    </w:rPr>
  </w:style>
  <w:style w:type="character" w:styleId="ListLabel3218">
    <w:name w:val="ListLabel 3218"/>
    <w:qFormat/>
    <w:rPr>
      <w:rFonts w:cs="Courier New"/>
    </w:rPr>
  </w:style>
  <w:style w:type="character" w:styleId="ListLabel3219">
    <w:name w:val="ListLabel 3219"/>
    <w:qFormat/>
    <w:rPr>
      <w:rFonts w:cs="Wingdings"/>
    </w:rPr>
  </w:style>
  <w:style w:type="character" w:styleId="ListLabel3220">
    <w:name w:val="ListLabel 3220"/>
    <w:qFormat/>
    <w:rPr>
      <w:rFonts w:cs="Wingdings"/>
    </w:rPr>
  </w:style>
  <w:style w:type="character" w:styleId="ListLabel3221">
    <w:name w:val="ListLabel 3221"/>
    <w:qFormat/>
    <w:rPr>
      <w:rFonts w:cs="Courier New"/>
    </w:rPr>
  </w:style>
  <w:style w:type="character" w:styleId="ListLabel3222">
    <w:name w:val="ListLabel 3222"/>
    <w:qFormat/>
    <w:rPr>
      <w:rFonts w:cs="Wingdings"/>
    </w:rPr>
  </w:style>
  <w:style w:type="character" w:styleId="ListLabel3223">
    <w:name w:val="ListLabel 3223"/>
    <w:qFormat/>
    <w:rPr>
      <w:rFonts w:cs="Symbol"/>
    </w:rPr>
  </w:style>
  <w:style w:type="character" w:styleId="ListLabel3224">
    <w:name w:val="ListLabel 3224"/>
    <w:qFormat/>
    <w:rPr>
      <w:rFonts w:cs="Courier New"/>
    </w:rPr>
  </w:style>
  <w:style w:type="character" w:styleId="ListLabel3225">
    <w:name w:val="ListLabel 3225"/>
    <w:qFormat/>
    <w:rPr>
      <w:rFonts w:cs="Wingdings"/>
    </w:rPr>
  </w:style>
  <w:style w:type="character" w:styleId="ListLabel3226">
    <w:name w:val="ListLabel 3226"/>
    <w:qFormat/>
    <w:rPr>
      <w:rFonts w:cs="Symbol"/>
    </w:rPr>
  </w:style>
  <w:style w:type="character" w:styleId="ListLabel3227">
    <w:name w:val="ListLabel 3227"/>
    <w:qFormat/>
    <w:rPr>
      <w:rFonts w:cs="Courier New"/>
    </w:rPr>
  </w:style>
  <w:style w:type="character" w:styleId="ListLabel3228">
    <w:name w:val="ListLabel 3228"/>
    <w:qFormat/>
    <w:rPr>
      <w:rFonts w:cs="Wingdings"/>
    </w:rPr>
  </w:style>
  <w:style w:type="character" w:styleId="ListLabel3229">
    <w:name w:val="ListLabel 3229"/>
    <w:qFormat/>
    <w:rPr>
      <w:rFonts w:cs="Wingdings"/>
    </w:rPr>
  </w:style>
  <w:style w:type="character" w:styleId="ListLabel3230">
    <w:name w:val="ListLabel 3230"/>
    <w:qFormat/>
    <w:rPr>
      <w:rFonts w:cs="Courier New"/>
    </w:rPr>
  </w:style>
  <w:style w:type="character" w:styleId="ListLabel3231">
    <w:name w:val="ListLabel 3231"/>
    <w:qFormat/>
    <w:rPr>
      <w:rFonts w:cs="Wingdings"/>
    </w:rPr>
  </w:style>
  <w:style w:type="character" w:styleId="ListLabel3232">
    <w:name w:val="ListLabel 3232"/>
    <w:qFormat/>
    <w:rPr>
      <w:rFonts w:cs="Symbol"/>
    </w:rPr>
  </w:style>
  <w:style w:type="character" w:styleId="ListLabel3233">
    <w:name w:val="ListLabel 3233"/>
    <w:qFormat/>
    <w:rPr>
      <w:rFonts w:cs="Courier New"/>
    </w:rPr>
  </w:style>
  <w:style w:type="character" w:styleId="ListLabel3234">
    <w:name w:val="ListLabel 3234"/>
    <w:qFormat/>
    <w:rPr>
      <w:rFonts w:cs="Wingdings"/>
    </w:rPr>
  </w:style>
  <w:style w:type="character" w:styleId="ListLabel3235">
    <w:name w:val="ListLabel 3235"/>
    <w:qFormat/>
    <w:rPr>
      <w:rFonts w:cs="Symbol"/>
    </w:rPr>
  </w:style>
  <w:style w:type="character" w:styleId="ListLabel3236">
    <w:name w:val="ListLabel 3236"/>
    <w:qFormat/>
    <w:rPr>
      <w:rFonts w:cs="Courier New"/>
    </w:rPr>
  </w:style>
  <w:style w:type="character" w:styleId="ListLabel3237">
    <w:name w:val="ListLabel 3237"/>
    <w:qFormat/>
    <w:rPr>
      <w:rFonts w:cs="Wingdings"/>
    </w:rPr>
  </w:style>
  <w:style w:type="character" w:styleId="ListLabel3238">
    <w:name w:val="ListLabel 3238"/>
    <w:qFormat/>
    <w:rPr>
      <w:sz w:val="20"/>
    </w:rPr>
  </w:style>
  <w:style w:type="character" w:styleId="ListLabel3239">
    <w:name w:val="ListLabel 3239"/>
    <w:qFormat/>
    <w:rPr>
      <w:sz w:val="20"/>
    </w:rPr>
  </w:style>
  <w:style w:type="character" w:styleId="ListLabel3240">
    <w:name w:val="ListLabel 3240"/>
    <w:qFormat/>
    <w:rPr>
      <w:sz w:val="20"/>
    </w:rPr>
  </w:style>
  <w:style w:type="character" w:styleId="ListLabel3241">
    <w:name w:val="ListLabel 3241"/>
    <w:qFormat/>
    <w:rPr>
      <w:sz w:val="20"/>
    </w:rPr>
  </w:style>
  <w:style w:type="character" w:styleId="ListLabel3242">
    <w:name w:val="ListLabel 3242"/>
    <w:qFormat/>
    <w:rPr>
      <w:rFonts w:cs="Wingdings"/>
    </w:rPr>
  </w:style>
  <w:style w:type="character" w:styleId="ListLabel3243">
    <w:name w:val="ListLabel 3243"/>
    <w:qFormat/>
    <w:rPr>
      <w:rFonts w:cs="Courier New"/>
    </w:rPr>
  </w:style>
  <w:style w:type="character" w:styleId="ListLabel3244">
    <w:name w:val="ListLabel 3244"/>
    <w:qFormat/>
    <w:rPr>
      <w:rFonts w:cs="Wingdings"/>
    </w:rPr>
  </w:style>
  <w:style w:type="character" w:styleId="ListLabel3245">
    <w:name w:val="ListLabel 3245"/>
    <w:qFormat/>
    <w:rPr>
      <w:rFonts w:cs="Symbol"/>
    </w:rPr>
  </w:style>
  <w:style w:type="character" w:styleId="ListLabel3246">
    <w:name w:val="ListLabel 3246"/>
    <w:qFormat/>
    <w:rPr>
      <w:rFonts w:cs="Courier New"/>
    </w:rPr>
  </w:style>
  <w:style w:type="character" w:styleId="ListLabel3247">
    <w:name w:val="ListLabel 3247"/>
    <w:qFormat/>
    <w:rPr>
      <w:rFonts w:cs="Wingdings"/>
    </w:rPr>
  </w:style>
  <w:style w:type="character" w:styleId="ListLabel3248">
    <w:name w:val="ListLabel 3248"/>
    <w:qFormat/>
    <w:rPr>
      <w:rFonts w:cs="Symbol"/>
    </w:rPr>
  </w:style>
  <w:style w:type="character" w:styleId="ListLabel3249">
    <w:name w:val="ListLabel 3249"/>
    <w:qFormat/>
    <w:rPr>
      <w:rFonts w:cs="Courier New"/>
    </w:rPr>
  </w:style>
  <w:style w:type="character" w:styleId="ListLabel3250">
    <w:name w:val="ListLabel 3250"/>
    <w:qFormat/>
    <w:rPr>
      <w:rFonts w:cs="Wingdings"/>
    </w:rPr>
  </w:style>
  <w:style w:type="character" w:styleId="ListLabel3251">
    <w:name w:val="ListLabel 3251"/>
    <w:qFormat/>
    <w:rPr>
      <w:sz w:val="20"/>
    </w:rPr>
  </w:style>
  <w:style w:type="character" w:styleId="ListLabel3252">
    <w:name w:val="ListLabel 3252"/>
    <w:qFormat/>
    <w:rPr>
      <w:sz w:val="20"/>
    </w:rPr>
  </w:style>
  <w:style w:type="character" w:styleId="ListLabel3253">
    <w:name w:val="ListLabel 3253"/>
    <w:qFormat/>
    <w:rPr>
      <w:sz w:val="20"/>
    </w:rPr>
  </w:style>
  <w:style w:type="character" w:styleId="ListLabel3254">
    <w:name w:val="ListLabel 3254"/>
    <w:qFormat/>
    <w:rPr>
      <w:sz w:val="20"/>
    </w:rPr>
  </w:style>
  <w:style w:type="character" w:styleId="ListLabel3255">
    <w:name w:val="ListLabel 3255"/>
    <w:qFormat/>
    <w:rPr>
      <w:sz w:val="20"/>
    </w:rPr>
  </w:style>
  <w:style w:type="character" w:styleId="ListLabel3256">
    <w:name w:val="ListLabel 3256"/>
    <w:qFormat/>
    <w:rPr>
      <w:sz w:val="20"/>
    </w:rPr>
  </w:style>
  <w:style w:type="character" w:styleId="ListLabel3257">
    <w:name w:val="ListLabel 3257"/>
    <w:qFormat/>
    <w:rPr>
      <w:sz w:val="20"/>
    </w:rPr>
  </w:style>
  <w:style w:type="character" w:styleId="ListLabel3258">
    <w:name w:val="ListLabel 3258"/>
    <w:qFormat/>
    <w:rPr>
      <w:sz w:val="20"/>
    </w:rPr>
  </w:style>
  <w:style w:type="character" w:styleId="ListLabel3259">
    <w:name w:val="ListLabel 3259"/>
    <w:qFormat/>
    <w:rPr>
      <w:b w:val="false"/>
      <w:sz w:val="20"/>
    </w:rPr>
  </w:style>
  <w:style w:type="character" w:styleId="ListLabel3260">
    <w:name w:val="ListLabel 3260"/>
    <w:qFormat/>
    <w:rPr>
      <w:sz w:val="20"/>
    </w:rPr>
  </w:style>
  <w:style w:type="character" w:styleId="ListLabel3261">
    <w:name w:val="ListLabel 3261"/>
    <w:qFormat/>
    <w:rPr>
      <w:sz w:val="20"/>
    </w:rPr>
  </w:style>
  <w:style w:type="character" w:styleId="ListLabel3262">
    <w:name w:val="ListLabel 3262"/>
    <w:qFormat/>
    <w:rPr>
      <w:sz w:val="20"/>
    </w:rPr>
  </w:style>
  <w:style w:type="character" w:styleId="ListLabel3263">
    <w:name w:val="ListLabel 3263"/>
    <w:qFormat/>
    <w:rPr>
      <w:sz w:val="20"/>
    </w:rPr>
  </w:style>
  <w:style w:type="character" w:styleId="ListLabel3264">
    <w:name w:val="ListLabel 3264"/>
    <w:qFormat/>
    <w:rPr>
      <w:b w:val="false"/>
      <w:sz w:val="20"/>
    </w:rPr>
  </w:style>
  <w:style w:type="character" w:styleId="ListLabel3265">
    <w:name w:val="ListLabel 3265"/>
    <w:qFormat/>
    <w:rPr>
      <w:sz w:val="20"/>
    </w:rPr>
  </w:style>
  <w:style w:type="character" w:styleId="ListLabel3266">
    <w:name w:val="ListLabel 3266"/>
    <w:qFormat/>
    <w:rPr>
      <w:sz w:val="20"/>
    </w:rPr>
  </w:style>
  <w:style w:type="character" w:styleId="ListLabel3267">
    <w:name w:val="ListLabel 3267"/>
    <w:qFormat/>
    <w:rPr>
      <w:sz w:val="20"/>
    </w:rPr>
  </w:style>
  <w:style w:type="character" w:styleId="ListLabel3268">
    <w:name w:val="ListLabel 3268"/>
    <w:qFormat/>
    <w:rPr>
      <w:b w:val="false"/>
      <w:sz w:val="20"/>
    </w:rPr>
  </w:style>
  <w:style w:type="character" w:styleId="ListLabel3269">
    <w:name w:val="ListLabel 3269"/>
    <w:qFormat/>
    <w:rPr>
      <w:sz w:val="20"/>
    </w:rPr>
  </w:style>
  <w:style w:type="character" w:styleId="ListLabel3270">
    <w:name w:val="ListLabel 3270"/>
    <w:qFormat/>
    <w:rPr>
      <w:sz w:val="20"/>
    </w:rPr>
  </w:style>
  <w:style w:type="character" w:styleId="ListLabel3271">
    <w:name w:val="ListLabel 3271"/>
    <w:qFormat/>
    <w:rPr>
      <w:sz w:val="20"/>
    </w:rPr>
  </w:style>
  <w:style w:type="character" w:styleId="ListLabel3272">
    <w:name w:val="ListLabel 3272"/>
    <w:qFormat/>
    <w:rPr>
      <w:sz w:val="20"/>
    </w:rPr>
  </w:style>
  <w:style w:type="character" w:styleId="ListLabel3273">
    <w:name w:val="ListLabel 3273"/>
    <w:qFormat/>
    <w:rPr>
      <w:sz w:val="20"/>
    </w:rPr>
  </w:style>
  <w:style w:type="character" w:styleId="ListLabel3274">
    <w:name w:val="ListLabel 3274"/>
    <w:qFormat/>
    <w:rPr>
      <w:sz w:val="20"/>
    </w:rPr>
  </w:style>
  <w:style w:type="character" w:styleId="ListLabel3275">
    <w:name w:val="ListLabel 3275"/>
    <w:qFormat/>
    <w:rPr>
      <w:sz w:val="20"/>
    </w:rPr>
  </w:style>
  <w:style w:type="character" w:styleId="ListLabel3276">
    <w:name w:val="ListLabel 3276"/>
    <w:qFormat/>
    <w:rPr>
      <w:sz w:val="20"/>
    </w:rPr>
  </w:style>
  <w:style w:type="character" w:styleId="ListLabel3277">
    <w:name w:val="ListLabel 3277"/>
    <w:qFormat/>
    <w:rPr>
      <w:rFonts w:cs="Wingdings"/>
    </w:rPr>
  </w:style>
  <w:style w:type="character" w:styleId="ListLabel3278">
    <w:name w:val="ListLabel 3278"/>
    <w:qFormat/>
    <w:rPr>
      <w:rFonts w:cs="Courier New"/>
      <w:b w:val="false"/>
      <w:sz w:val="24"/>
    </w:rPr>
  </w:style>
  <w:style w:type="character" w:styleId="ListLabel3279">
    <w:name w:val="ListLabel 3279"/>
    <w:qFormat/>
    <w:rPr>
      <w:rFonts w:cs="Wingdings"/>
    </w:rPr>
  </w:style>
  <w:style w:type="character" w:styleId="ListLabel3280">
    <w:name w:val="ListLabel 3280"/>
    <w:qFormat/>
    <w:rPr>
      <w:rFonts w:cs="Symbol"/>
    </w:rPr>
  </w:style>
  <w:style w:type="character" w:styleId="ListLabel3281">
    <w:name w:val="ListLabel 3281"/>
    <w:qFormat/>
    <w:rPr>
      <w:rFonts w:cs="Courier New"/>
    </w:rPr>
  </w:style>
  <w:style w:type="character" w:styleId="ListLabel3282">
    <w:name w:val="ListLabel 3282"/>
    <w:qFormat/>
    <w:rPr>
      <w:rFonts w:cs="Wingdings"/>
    </w:rPr>
  </w:style>
  <w:style w:type="character" w:styleId="ListLabel3283">
    <w:name w:val="ListLabel 3283"/>
    <w:qFormat/>
    <w:rPr>
      <w:rFonts w:cs="Symbol"/>
    </w:rPr>
  </w:style>
  <w:style w:type="character" w:styleId="ListLabel3284">
    <w:name w:val="ListLabel 3284"/>
    <w:qFormat/>
    <w:rPr>
      <w:rFonts w:cs="Courier New"/>
    </w:rPr>
  </w:style>
  <w:style w:type="character" w:styleId="ListLabel3285">
    <w:name w:val="ListLabel 3285"/>
    <w:qFormat/>
    <w:rPr>
      <w:rFonts w:cs="Wingdings"/>
    </w:rPr>
  </w:style>
  <w:style w:type="character" w:styleId="ListLabel3286">
    <w:name w:val="ListLabel 3286"/>
    <w:qFormat/>
    <w:rPr>
      <w:sz w:val="20"/>
    </w:rPr>
  </w:style>
  <w:style w:type="character" w:styleId="ListLabel3287">
    <w:name w:val="ListLabel 3287"/>
    <w:qFormat/>
    <w:rPr>
      <w:b w:val="false"/>
      <w:sz w:val="20"/>
    </w:rPr>
  </w:style>
  <w:style w:type="character" w:styleId="ListLabel3288">
    <w:name w:val="ListLabel 3288"/>
    <w:qFormat/>
    <w:rPr>
      <w:sz w:val="20"/>
    </w:rPr>
  </w:style>
  <w:style w:type="character" w:styleId="ListLabel3289">
    <w:name w:val="ListLabel 3289"/>
    <w:qFormat/>
    <w:rPr>
      <w:rFonts w:cs="Wingdings"/>
    </w:rPr>
  </w:style>
  <w:style w:type="character" w:styleId="ListLabel3290">
    <w:name w:val="ListLabel 3290"/>
    <w:qFormat/>
    <w:rPr>
      <w:rFonts w:cs="Courier New"/>
    </w:rPr>
  </w:style>
  <w:style w:type="character" w:styleId="ListLabel3291">
    <w:name w:val="ListLabel 3291"/>
    <w:qFormat/>
    <w:rPr>
      <w:rFonts w:cs="Wingdings"/>
    </w:rPr>
  </w:style>
  <w:style w:type="character" w:styleId="ListLabel3292">
    <w:name w:val="ListLabel 3292"/>
    <w:qFormat/>
    <w:rPr>
      <w:rFonts w:cs="Symbol"/>
    </w:rPr>
  </w:style>
  <w:style w:type="character" w:styleId="ListLabel3293">
    <w:name w:val="ListLabel 3293"/>
    <w:qFormat/>
    <w:rPr>
      <w:rFonts w:cs="Courier New"/>
    </w:rPr>
  </w:style>
  <w:style w:type="character" w:styleId="ListLabel3294">
    <w:name w:val="ListLabel 3294"/>
    <w:qFormat/>
    <w:rPr>
      <w:rFonts w:cs="Wingdings"/>
    </w:rPr>
  </w:style>
  <w:style w:type="character" w:styleId="ListLabel3295">
    <w:name w:val="ListLabel 3295"/>
    <w:qFormat/>
    <w:rPr>
      <w:rFonts w:cs="Symbol"/>
    </w:rPr>
  </w:style>
  <w:style w:type="character" w:styleId="ListLabel3296">
    <w:name w:val="ListLabel 3296"/>
    <w:qFormat/>
    <w:rPr>
      <w:rFonts w:cs="Courier New"/>
    </w:rPr>
  </w:style>
  <w:style w:type="character" w:styleId="ListLabel3297">
    <w:name w:val="ListLabel 3297"/>
    <w:qFormat/>
    <w:rPr>
      <w:rFonts w:cs="Wingdings"/>
    </w:rPr>
  </w:style>
  <w:style w:type="character" w:styleId="ListLabel3298">
    <w:name w:val="ListLabel 3298"/>
    <w:qFormat/>
    <w:rPr>
      <w:sz w:val="20"/>
    </w:rPr>
  </w:style>
  <w:style w:type="character" w:styleId="ListLabel3299">
    <w:name w:val="ListLabel 3299"/>
    <w:qFormat/>
    <w:rPr>
      <w:sz w:val="20"/>
    </w:rPr>
  </w:style>
  <w:style w:type="character" w:styleId="ListLabel3300">
    <w:name w:val="ListLabel 3300"/>
    <w:qFormat/>
    <w:rPr>
      <w:rFonts w:cs="Wingdings"/>
    </w:rPr>
  </w:style>
  <w:style w:type="character" w:styleId="ListLabel3301">
    <w:name w:val="ListLabel 3301"/>
    <w:qFormat/>
    <w:rPr>
      <w:rFonts w:cs="Courier New"/>
    </w:rPr>
  </w:style>
  <w:style w:type="character" w:styleId="ListLabel3302">
    <w:name w:val="ListLabel 3302"/>
    <w:qFormat/>
    <w:rPr>
      <w:rFonts w:cs="Wingdings"/>
    </w:rPr>
  </w:style>
  <w:style w:type="character" w:styleId="ListLabel3303">
    <w:name w:val="ListLabel 3303"/>
    <w:qFormat/>
    <w:rPr>
      <w:rFonts w:cs="Symbol"/>
    </w:rPr>
  </w:style>
  <w:style w:type="character" w:styleId="ListLabel3304">
    <w:name w:val="ListLabel 3304"/>
    <w:qFormat/>
    <w:rPr>
      <w:rFonts w:cs="Courier New"/>
    </w:rPr>
  </w:style>
  <w:style w:type="character" w:styleId="ListLabel3305">
    <w:name w:val="ListLabel 3305"/>
    <w:qFormat/>
    <w:rPr>
      <w:rFonts w:cs="Wingdings"/>
    </w:rPr>
  </w:style>
  <w:style w:type="character" w:styleId="ListLabel3306">
    <w:name w:val="ListLabel 3306"/>
    <w:qFormat/>
    <w:rPr>
      <w:rFonts w:cs="Symbol"/>
    </w:rPr>
  </w:style>
  <w:style w:type="character" w:styleId="ListLabel3307">
    <w:name w:val="ListLabel 3307"/>
    <w:qFormat/>
    <w:rPr>
      <w:rFonts w:cs="Courier New"/>
    </w:rPr>
  </w:style>
  <w:style w:type="character" w:styleId="ListLabel3308">
    <w:name w:val="ListLabel 3308"/>
    <w:qFormat/>
    <w:rPr>
      <w:rFonts w:cs="Wingdings"/>
    </w:rPr>
  </w:style>
  <w:style w:type="character" w:styleId="ListLabel3309">
    <w:name w:val="ListLabel 3309"/>
    <w:qFormat/>
    <w:rPr>
      <w:sz w:val="20"/>
    </w:rPr>
  </w:style>
  <w:style w:type="character" w:styleId="ListLabel3310">
    <w:name w:val="ListLabel 3310"/>
    <w:qFormat/>
    <w:rPr>
      <w:sz w:val="20"/>
    </w:rPr>
  </w:style>
  <w:style w:type="character" w:styleId="ListLabel3311">
    <w:name w:val="ListLabel 3311"/>
    <w:qFormat/>
    <w:rPr>
      <w:sz w:val="20"/>
    </w:rPr>
  </w:style>
  <w:style w:type="character" w:styleId="ListLabel3312">
    <w:name w:val="ListLabel 3312"/>
    <w:qFormat/>
    <w:rPr>
      <w:sz w:val="20"/>
    </w:rPr>
  </w:style>
  <w:style w:type="character" w:styleId="ListLabel3313">
    <w:name w:val="ListLabel 3313"/>
    <w:qFormat/>
    <w:rPr>
      <w:sz w:val="20"/>
    </w:rPr>
  </w:style>
  <w:style w:type="character" w:styleId="ListLabel3314">
    <w:name w:val="ListLabel 3314"/>
    <w:qFormat/>
    <w:rPr>
      <w:sz w:val="20"/>
    </w:rPr>
  </w:style>
  <w:style w:type="character" w:styleId="ListLabel3315">
    <w:name w:val="ListLabel 3315"/>
    <w:qFormat/>
    <w:rPr>
      <w:sz w:val="20"/>
    </w:rPr>
  </w:style>
  <w:style w:type="character" w:styleId="ListLabel3316">
    <w:name w:val="ListLabel 3316"/>
    <w:qFormat/>
    <w:rPr>
      <w:rFonts w:cs="Wingdings"/>
    </w:rPr>
  </w:style>
  <w:style w:type="character" w:styleId="ListLabel3317">
    <w:name w:val="ListLabel 3317"/>
    <w:qFormat/>
    <w:rPr>
      <w:rFonts w:cs="Courier New"/>
    </w:rPr>
  </w:style>
  <w:style w:type="character" w:styleId="ListLabel3318">
    <w:name w:val="ListLabel 3318"/>
    <w:qFormat/>
    <w:rPr>
      <w:rFonts w:cs="Wingdings"/>
    </w:rPr>
  </w:style>
  <w:style w:type="character" w:styleId="ListLabel3319">
    <w:name w:val="ListLabel 3319"/>
    <w:qFormat/>
    <w:rPr>
      <w:rFonts w:cs="Symbol"/>
    </w:rPr>
  </w:style>
  <w:style w:type="character" w:styleId="ListLabel3320">
    <w:name w:val="ListLabel 3320"/>
    <w:qFormat/>
    <w:rPr>
      <w:rFonts w:cs="Courier New"/>
    </w:rPr>
  </w:style>
  <w:style w:type="character" w:styleId="ListLabel3321">
    <w:name w:val="ListLabel 3321"/>
    <w:qFormat/>
    <w:rPr>
      <w:rFonts w:cs="Wingdings"/>
    </w:rPr>
  </w:style>
  <w:style w:type="character" w:styleId="ListLabel3322">
    <w:name w:val="ListLabel 3322"/>
    <w:qFormat/>
    <w:rPr>
      <w:rFonts w:cs="Symbol"/>
    </w:rPr>
  </w:style>
  <w:style w:type="character" w:styleId="ListLabel3323">
    <w:name w:val="ListLabel 3323"/>
    <w:qFormat/>
    <w:rPr>
      <w:rFonts w:cs="Courier New"/>
    </w:rPr>
  </w:style>
  <w:style w:type="character" w:styleId="ListLabel3324">
    <w:name w:val="ListLabel 3324"/>
    <w:qFormat/>
    <w:rPr>
      <w:rFonts w:cs="Wingdings"/>
    </w:rPr>
  </w:style>
  <w:style w:type="character" w:styleId="ListLabel3325">
    <w:name w:val="ListLabel 3325"/>
    <w:qFormat/>
    <w:rPr>
      <w:sz w:val="20"/>
    </w:rPr>
  </w:style>
  <w:style w:type="character" w:styleId="ListLabel3326">
    <w:name w:val="ListLabel 3326"/>
    <w:qFormat/>
    <w:rPr>
      <w:sz w:val="20"/>
    </w:rPr>
  </w:style>
  <w:style w:type="character" w:styleId="ListLabel3327">
    <w:name w:val="ListLabel 3327"/>
    <w:qFormat/>
    <w:rPr>
      <w:sz w:val="20"/>
    </w:rPr>
  </w:style>
  <w:style w:type="character" w:styleId="ListLabel3328">
    <w:name w:val="ListLabel 3328"/>
    <w:qFormat/>
    <w:rPr>
      <w:sz w:val="20"/>
    </w:rPr>
  </w:style>
  <w:style w:type="character" w:styleId="ListLabel3329">
    <w:name w:val="ListLabel 3329"/>
    <w:qFormat/>
    <w:rPr>
      <w:sz w:val="20"/>
    </w:rPr>
  </w:style>
  <w:style w:type="character" w:styleId="ListLabel3330">
    <w:name w:val="ListLabel 3330"/>
    <w:qFormat/>
    <w:rPr>
      <w:sz w:val="20"/>
    </w:rPr>
  </w:style>
  <w:style w:type="character" w:styleId="ListLabel3331">
    <w:name w:val="ListLabel 3331"/>
    <w:qFormat/>
    <w:rPr>
      <w:sz w:val="20"/>
    </w:rPr>
  </w:style>
  <w:style w:type="character" w:styleId="ListLabel3332">
    <w:name w:val="ListLabel 3332"/>
    <w:qFormat/>
    <w:rPr>
      <w:rFonts w:cs="Wingdings"/>
    </w:rPr>
  </w:style>
  <w:style w:type="character" w:styleId="ListLabel3333">
    <w:name w:val="ListLabel 3333"/>
    <w:qFormat/>
    <w:rPr>
      <w:rFonts w:cs="Courier New"/>
    </w:rPr>
  </w:style>
  <w:style w:type="character" w:styleId="ListLabel3334">
    <w:name w:val="ListLabel 3334"/>
    <w:qFormat/>
    <w:rPr>
      <w:rFonts w:cs="Wingdings"/>
    </w:rPr>
  </w:style>
  <w:style w:type="character" w:styleId="ListLabel3335">
    <w:name w:val="ListLabel 3335"/>
    <w:qFormat/>
    <w:rPr>
      <w:rFonts w:cs="Symbol"/>
    </w:rPr>
  </w:style>
  <w:style w:type="character" w:styleId="ListLabel3336">
    <w:name w:val="ListLabel 3336"/>
    <w:qFormat/>
    <w:rPr>
      <w:rFonts w:cs="Courier New"/>
    </w:rPr>
  </w:style>
  <w:style w:type="character" w:styleId="ListLabel3337">
    <w:name w:val="ListLabel 3337"/>
    <w:qFormat/>
    <w:rPr>
      <w:rFonts w:cs="Wingdings"/>
    </w:rPr>
  </w:style>
  <w:style w:type="character" w:styleId="ListLabel3338">
    <w:name w:val="ListLabel 3338"/>
    <w:qFormat/>
    <w:rPr>
      <w:rFonts w:cs="Symbol"/>
    </w:rPr>
  </w:style>
  <w:style w:type="character" w:styleId="ListLabel3339">
    <w:name w:val="ListLabel 3339"/>
    <w:qFormat/>
    <w:rPr>
      <w:rFonts w:cs="Courier New"/>
    </w:rPr>
  </w:style>
  <w:style w:type="character" w:styleId="ListLabel3340">
    <w:name w:val="ListLabel 3340"/>
    <w:qFormat/>
    <w:rPr>
      <w:rFonts w:cs="Wingdings"/>
    </w:rPr>
  </w:style>
  <w:style w:type="character" w:styleId="ListLabel3341">
    <w:name w:val="ListLabel 3341"/>
    <w:qFormat/>
    <w:rPr>
      <w:sz w:val="20"/>
    </w:rPr>
  </w:style>
  <w:style w:type="character" w:styleId="ListLabel3342">
    <w:name w:val="ListLabel 3342"/>
    <w:qFormat/>
    <w:rPr>
      <w:sz w:val="20"/>
    </w:rPr>
  </w:style>
  <w:style w:type="character" w:styleId="ListLabel3343">
    <w:name w:val="ListLabel 3343"/>
    <w:qFormat/>
    <w:rPr>
      <w:rFonts w:cs="Wingdings"/>
    </w:rPr>
  </w:style>
  <w:style w:type="character" w:styleId="ListLabel3344">
    <w:name w:val="ListLabel 3344"/>
    <w:qFormat/>
    <w:rPr>
      <w:rFonts w:cs="Courier New"/>
    </w:rPr>
  </w:style>
  <w:style w:type="character" w:styleId="ListLabel3345">
    <w:name w:val="ListLabel 3345"/>
    <w:qFormat/>
    <w:rPr>
      <w:rFonts w:cs="Wingdings"/>
    </w:rPr>
  </w:style>
  <w:style w:type="character" w:styleId="ListLabel3346">
    <w:name w:val="ListLabel 3346"/>
    <w:qFormat/>
    <w:rPr>
      <w:rFonts w:cs="Symbol"/>
    </w:rPr>
  </w:style>
  <w:style w:type="character" w:styleId="ListLabel3347">
    <w:name w:val="ListLabel 3347"/>
    <w:qFormat/>
    <w:rPr>
      <w:rFonts w:cs="Courier New"/>
    </w:rPr>
  </w:style>
  <w:style w:type="character" w:styleId="ListLabel3348">
    <w:name w:val="ListLabel 3348"/>
    <w:qFormat/>
    <w:rPr>
      <w:rFonts w:cs="Wingdings"/>
    </w:rPr>
  </w:style>
  <w:style w:type="character" w:styleId="ListLabel3349">
    <w:name w:val="ListLabel 3349"/>
    <w:qFormat/>
    <w:rPr>
      <w:rFonts w:cs="Symbol"/>
    </w:rPr>
  </w:style>
  <w:style w:type="character" w:styleId="ListLabel3350">
    <w:name w:val="ListLabel 3350"/>
    <w:qFormat/>
    <w:rPr>
      <w:rFonts w:cs="Courier New"/>
    </w:rPr>
  </w:style>
  <w:style w:type="character" w:styleId="ListLabel3351">
    <w:name w:val="ListLabel 3351"/>
    <w:qFormat/>
    <w:rPr>
      <w:rFonts w:cs="Wingdings"/>
    </w:rPr>
  </w:style>
  <w:style w:type="character" w:styleId="ListLabel3352">
    <w:name w:val="ListLabel 3352"/>
    <w:qFormat/>
    <w:rPr>
      <w:sz w:val="20"/>
    </w:rPr>
  </w:style>
  <w:style w:type="character" w:styleId="ListLabel3353">
    <w:name w:val="ListLabel 3353"/>
    <w:qFormat/>
    <w:rPr>
      <w:sz w:val="20"/>
    </w:rPr>
  </w:style>
  <w:style w:type="character" w:styleId="ListLabel3354">
    <w:name w:val="ListLabel 3354"/>
    <w:qFormat/>
    <w:rPr>
      <w:sz w:val="20"/>
    </w:rPr>
  </w:style>
  <w:style w:type="character" w:styleId="ListLabel3355">
    <w:name w:val="ListLabel 3355"/>
    <w:qFormat/>
    <w:rPr>
      <w:rFonts w:cs="Wingdings"/>
    </w:rPr>
  </w:style>
  <w:style w:type="character" w:styleId="ListLabel3356">
    <w:name w:val="ListLabel 3356"/>
    <w:qFormat/>
    <w:rPr>
      <w:rFonts w:cs="Courier New"/>
    </w:rPr>
  </w:style>
  <w:style w:type="character" w:styleId="ListLabel3357">
    <w:name w:val="ListLabel 3357"/>
    <w:qFormat/>
    <w:rPr>
      <w:rFonts w:cs="Wingdings"/>
    </w:rPr>
  </w:style>
  <w:style w:type="character" w:styleId="ListLabel3358">
    <w:name w:val="ListLabel 3358"/>
    <w:qFormat/>
    <w:rPr>
      <w:rFonts w:cs="Symbol"/>
    </w:rPr>
  </w:style>
  <w:style w:type="character" w:styleId="ListLabel3359">
    <w:name w:val="ListLabel 3359"/>
    <w:qFormat/>
    <w:rPr>
      <w:rFonts w:cs="Courier New"/>
    </w:rPr>
  </w:style>
  <w:style w:type="character" w:styleId="ListLabel3360">
    <w:name w:val="ListLabel 3360"/>
    <w:qFormat/>
    <w:rPr>
      <w:rFonts w:cs="Wingdings"/>
    </w:rPr>
  </w:style>
  <w:style w:type="character" w:styleId="ListLabel3361">
    <w:name w:val="ListLabel 3361"/>
    <w:qFormat/>
    <w:rPr>
      <w:rFonts w:cs="Symbol"/>
    </w:rPr>
  </w:style>
  <w:style w:type="character" w:styleId="ListLabel3362">
    <w:name w:val="ListLabel 3362"/>
    <w:qFormat/>
    <w:rPr>
      <w:rFonts w:cs="Courier New"/>
    </w:rPr>
  </w:style>
  <w:style w:type="character" w:styleId="ListLabel3363">
    <w:name w:val="ListLabel 3363"/>
    <w:qFormat/>
    <w:rPr>
      <w:rFonts w:cs="Wingdings"/>
    </w:rPr>
  </w:style>
  <w:style w:type="character" w:styleId="ListLabel3364">
    <w:name w:val="ListLabel 3364"/>
    <w:qFormat/>
    <w:rPr>
      <w:sz w:val="20"/>
    </w:rPr>
  </w:style>
  <w:style w:type="character" w:styleId="ListLabel3365">
    <w:name w:val="ListLabel 3365"/>
    <w:qFormat/>
    <w:rPr>
      <w:sz w:val="20"/>
    </w:rPr>
  </w:style>
  <w:style w:type="character" w:styleId="ListLabel3366">
    <w:name w:val="ListLabel 3366"/>
    <w:qFormat/>
    <w:rPr>
      <w:sz w:val="20"/>
    </w:rPr>
  </w:style>
  <w:style w:type="character" w:styleId="ListLabel3367">
    <w:name w:val="ListLabel 3367"/>
    <w:qFormat/>
    <w:rPr>
      <w:sz w:val="20"/>
    </w:rPr>
  </w:style>
  <w:style w:type="character" w:styleId="ListLabel3368">
    <w:name w:val="ListLabel 3368"/>
    <w:qFormat/>
    <w:rPr>
      <w:sz w:val="20"/>
    </w:rPr>
  </w:style>
  <w:style w:type="character" w:styleId="ListLabel3369">
    <w:name w:val="ListLabel 3369"/>
    <w:qFormat/>
    <w:rPr>
      <w:sz w:val="20"/>
    </w:rPr>
  </w:style>
  <w:style w:type="character" w:styleId="ListLabel3370">
    <w:name w:val="ListLabel 3370"/>
    <w:qFormat/>
    <w:rPr>
      <w:sz w:val="20"/>
    </w:rPr>
  </w:style>
  <w:style w:type="character" w:styleId="ListLabel3371">
    <w:name w:val="ListLabel 3371"/>
    <w:qFormat/>
    <w:rPr>
      <w:rFonts w:cs="Wingdings"/>
    </w:rPr>
  </w:style>
  <w:style w:type="character" w:styleId="ListLabel3372">
    <w:name w:val="ListLabel 3372"/>
    <w:qFormat/>
    <w:rPr>
      <w:rFonts w:cs="Courier New"/>
    </w:rPr>
  </w:style>
  <w:style w:type="character" w:styleId="ListLabel3373">
    <w:name w:val="ListLabel 3373"/>
    <w:qFormat/>
    <w:rPr>
      <w:rFonts w:cs="Wingdings"/>
    </w:rPr>
  </w:style>
  <w:style w:type="character" w:styleId="ListLabel3374">
    <w:name w:val="ListLabel 3374"/>
    <w:qFormat/>
    <w:rPr>
      <w:rFonts w:cs="Symbol"/>
    </w:rPr>
  </w:style>
  <w:style w:type="character" w:styleId="ListLabel3375">
    <w:name w:val="ListLabel 3375"/>
    <w:qFormat/>
    <w:rPr>
      <w:rFonts w:cs="Courier New"/>
    </w:rPr>
  </w:style>
  <w:style w:type="character" w:styleId="ListLabel3376">
    <w:name w:val="ListLabel 3376"/>
    <w:qFormat/>
    <w:rPr>
      <w:rFonts w:cs="Wingdings"/>
    </w:rPr>
  </w:style>
  <w:style w:type="character" w:styleId="ListLabel3377">
    <w:name w:val="ListLabel 3377"/>
    <w:qFormat/>
    <w:rPr>
      <w:rFonts w:cs="Symbol"/>
    </w:rPr>
  </w:style>
  <w:style w:type="character" w:styleId="ListLabel3378">
    <w:name w:val="ListLabel 3378"/>
    <w:qFormat/>
    <w:rPr>
      <w:rFonts w:cs="Courier New"/>
    </w:rPr>
  </w:style>
  <w:style w:type="character" w:styleId="ListLabel3379">
    <w:name w:val="ListLabel 3379"/>
    <w:qFormat/>
    <w:rPr>
      <w:rFonts w:cs="Wingdings"/>
    </w:rPr>
  </w:style>
  <w:style w:type="character" w:styleId="ListLabel3380">
    <w:name w:val="ListLabel 3380"/>
    <w:qFormat/>
    <w:rPr>
      <w:rFonts w:cs="Wingdings"/>
    </w:rPr>
  </w:style>
  <w:style w:type="character" w:styleId="ListLabel3381">
    <w:name w:val="ListLabel 3381"/>
    <w:qFormat/>
    <w:rPr>
      <w:rFonts w:cs="Courier New"/>
    </w:rPr>
  </w:style>
  <w:style w:type="character" w:styleId="ListLabel3382">
    <w:name w:val="ListLabel 3382"/>
    <w:qFormat/>
    <w:rPr>
      <w:rFonts w:cs="Wingdings"/>
    </w:rPr>
  </w:style>
  <w:style w:type="character" w:styleId="ListLabel3383">
    <w:name w:val="ListLabel 3383"/>
    <w:qFormat/>
    <w:rPr>
      <w:rFonts w:cs="Symbol"/>
    </w:rPr>
  </w:style>
  <w:style w:type="character" w:styleId="ListLabel3384">
    <w:name w:val="ListLabel 3384"/>
    <w:qFormat/>
    <w:rPr>
      <w:rFonts w:cs="Courier New"/>
    </w:rPr>
  </w:style>
  <w:style w:type="character" w:styleId="ListLabel3385">
    <w:name w:val="ListLabel 3385"/>
    <w:qFormat/>
    <w:rPr>
      <w:rFonts w:cs="Wingdings"/>
    </w:rPr>
  </w:style>
  <w:style w:type="character" w:styleId="ListLabel3386">
    <w:name w:val="ListLabel 3386"/>
    <w:qFormat/>
    <w:rPr>
      <w:rFonts w:cs="Symbol"/>
    </w:rPr>
  </w:style>
  <w:style w:type="character" w:styleId="ListLabel3387">
    <w:name w:val="ListLabel 3387"/>
    <w:qFormat/>
    <w:rPr>
      <w:rFonts w:cs="Courier New"/>
    </w:rPr>
  </w:style>
  <w:style w:type="character" w:styleId="ListLabel3388">
    <w:name w:val="ListLabel 3388"/>
    <w:qFormat/>
    <w:rPr>
      <w:rFonts w:cs="Wingdings"/>
    </w:rPr>
  </w:style>
  <w:style w:type="character" w:styleId="ListLabel3389">
    <w:name w:val="ListLabel 3389"/>
    <w:qFormat/>
    <w:rPr>
      <w:sz w:val="20"/>
    </w:rPr>
  </w:style>
  <w:style w:type="character" w:styleId="ListLabel3390">
    <w:name w:val="ListLabel 3390"/>
    <w:qFormat/>
    <w:rPr>
      <w:sz w:val="20"/>
    </w:rPr>
  </w:style>
  <w:style w:type="character" w:styleId="ListLabel3391">
    <w:name w:val="ListLabel 3391"/>
    <w:qFormat/>
    <w:rPr>
      <w:sz w:val="20"/>
    </w:rPr>
  </w:style>
  <w:style w:type="character" w:styleId="ListLabel3392">
    <w:name w:val="ListLabel 3392"/>
    <w:qFormat/>
    <w:rPr>
      <w:sz w:val="20"/>
    </w:rPr>
  </w:style>
  <w:style w:type="character" w:styleId="ListLabel3393">
    <w:name w:val="ListLabel 3393"/>
    <w:qFormat/>
    <w:rPr>
      <w:sz w:val="20"/>
    </w:rPr>
  </w:style>
  <w:style w:type="character" w:styleId="ListLabel3394">
    <w:name w:val="ListLabel 3394"/>
    <w:qFormat/>
    <w:rPr>
      <w:sz w:val="20"/>
    </w:rPr>
  </w:style>
  <w:style w:type="character" w:styleId="ListLabel3395">
    <w:name w:val="ListLabel 3395"/>
    <w:qFormat/>
    <w:rPr>
      <w:sz w:val="20"/>
    </w:rPr>
  </w:style>
  <w:style w:type="character" w:styleId="ListLabel3396">
    <w:name w:val="ListLabel 3396"/>
    <w:qFormat/>
    <w:rPr>
      <w:sz w:val="20"/>
    </w:rPr>
  </w:style>
  <w:style w:type="character" w:styleId="ListLabel3397">
    <w:name w:val="ListLabel 3397"/>
    <w:qFormat/>
    <w:rPr>
      <w:sz w:val="20"/>
    </w:rPr>
  </w:style>
  <w:style w:type="character" w:styleId="ListLabel3398">
    <w:name w:val="ListLabel 3398"/>
    <w:qFormat/>
    <w:rPr>
      <w:rFonts w:cs="Wingdings"/>
    </w:rPr>
  </w:style>
  <w:style w:type="character" w:styleId="ListLabel3399">
    <w:name w:val="ListLabel 3399"/>
    <w:qFormat/>
    <w:rPr>
      <w:rFonts w:cs="Courier New"/>
    </w:rPr>
  </w:style>
  <w:style w:type="character" w:styleId="ListLabel3400">
    <w:name w:val="ListLabel 3400"/>
    <w:qFormat/>
    <w:rPr>
      <w:rFonts w:cs="Wingdings"/>
    </w:rPr>
  </w:style>
  <w:style w:type="character" w:styleId="ListLabel3401">
    <w:name w:val="ListLabel 3401"/>
    <w:qFormat/>
    <w:rPr>
      <w:rFonts w:cs="Symbol"/>
    </w:rPr>
  </w:style>
  <w:style w:type="character" w:styleId="ListLabel3402">
    <w:name w:val="ListLabel 3402"/>
    <w:qFormat/>
    <w:rPr>
      <w:rFonts w:cs="Courier New"/>
    </w:rPr>
  </w:style>
  <w:style w:type="character" w:styleId="ListLabel3403">
    <w:name w:val="ListLabel 3403"/>
    <w:qFormat/>
    <w:rPr>
      <w:rFonts w:cs="Wingdings"/>
    </w:rPr>
  </w:style>
  <w:style w:type="character" w:styleId="ListLabel3404">
    <w:name w:val="ListLabel 3404"/>
    <w:qFormat/>
    <w:rPr>
      <w:rFonts w:cs="Symbol"/>
    </w:rPr>
  </w:style>
  <w:style w:type="character" w:styleId="ListLabel3405">
    <w:name w:val="ListLabel 3405"/>
    <w:qFormat/>
    <w:rPr>
      <w:rFonts w:cs="Courier New"/>
    </w:rPr>
  </w:style>
  <w:style w:type="character" w:styleId="ListLabel3406">
    <w:name w:val="ListLabel 3406"/>
    <w:qFormat/>
    <w:rPr>
      <w:rFonts w:cs="Wingdings"/>
    </w:rPr>
  </w:style>
  <w:style w:type="character" w:styleId="ListLabel3407">
    <w:name w:val="ListLabel 3407"/>
    <w:qFormat/>
    <w:rPr>
      <w:sz w:val="20"/>
    </w:rPr>
  </w:style>
  <w:style w:type="character" w:styleId="ListLabel3408">
    <w:name w:val="ListLabel 3408"/>
    <w:qFormat/>
    <w:rPr>
      <w:sz w:val="20"/>
    </w:rPr>
  </w:style>
  <w:style w:type="character" w:styleId="ListLabel3409">
    <w:name w:val="ListLabel 3409"/>
    <w:qFormat/>
    <w:rPr>
      <w:sz w:val="20"/>
    </w:rPr>
  </w:style>
  <w:style w:type="character" w:styleId="ListLabel3410">
    <w:name w:val="ListLabel 3410"/>
    <w:qFormat/>
    <w:rPr>
      <w:sz w:val="20"/>
    </w:rPr>
  </w:style>
  <w:style w:type="character" w:styleId="ListLabel3411">
    <w:name w:val="ListLabel 3411"/>
    <w:qFormat/>
    <w:rPr>
      <w:sz w:val="20"/>
    </w:rPr>
  </w:style>
  <w:style w:type="character" w:styleId="ListLabel3412">
    <w:name w:val="ListLabel 3412"/>
    <w:qFormat/>
    <w:rPr>
      <w:sz w:val="20"/>
    </w:rPr>
  </w:style>
  <w:style w:type="character" w:styleId="ListLabel3413">
    <w:name w:val="ListLabel 3413"/>
    <w:qFormat/>
    <w:rPr>
      <w:rFonts w:cs="Wingdings"/>
    </w:rPr>
  </w:style>
  <w:style w:type="character" w:styleId="ListLabel3414">
    <w:name w:val="ListLabel 3414"/>
    <w:qFormat/>
    <w:rPr>
      <w:rFonts w:cs="Courier New"/>
    </w:rPr>
  </w:style>
  <w:style w:type="character" w:styleId="ListLabel3415">
    <w:name w:val="ListLabel 3415"/>
    <w:qFormat/>
    <w:rPr>
      <w:rFonts w:cs="Wingdings"/>
    </w:rPr>
  </w:style>
  <w:style w:type="character" w:styleId="ListLabel3416">
    <w:name w:val="ListLabel 3416"/>
    <w:qFormat/>
    <w:rPr>
      <w:rFonts w:cs="Symbol"/>
    </w:rPr>
  </w:style>
  <w:style w:type="character" w:styleId="ListLabel3417">
    <w:name w:val="ListLabel 3417"/>
    <w:qFormat/>
    <w:rPr>
      <w:rFonts w:cs="Courier New"/>
    </w:rPr>
  </w:style>
  <w:style w:type="character" w:styleId="ListLabel3418">
    <w:name w:val="ListLabel 3418"/>
    <w:qFormat/>
    <w:rPr>
      <w:rFonts w:cs="Wingdings"/>
    </w:rPr>
  </w:style>
  <w:style w:type="character" w:styleId="ListLabel3419">
    <w:name w:val="ListLabel 3419"/>
    <w:qFormat/>
    <w:rPr>
      <w:rFonts w:cs="Symbol"/>
    </w:rPr>
  </w:style>
  <w:style w:type="character" w:styleId="ListLabel3420">
    <w:name w:val="ListLabel 3420"/>
    <w:qFormat/>
    <w:rPr>
      <w:rFonts w:cs="Courier New"/>
    </w:rPr>
  </w:style>
  <w:style w:type="character" w:styleId="ListLabel3421">
    <w:name w:val="ListLabel 3421"/>
    <w:qFormat/>
    <w:rPr>
      <w:rFonts w:cs="Wingdings"/>
    </w:rPr>
  </w:style>
  <w:style w:type="character" w:styleId="ListLabel3422">
    <w:name w:val="ListLabel 3422"/>
    <w:qFormat/>
    <w:rPr>
      <w:sz w:val="20"/>
    </w:rPr>
  </w:style>
  <w:style w:type="character" w:styleId="ListLabel3423">
    <w:name w:val="ListLabel 3423"/>
    <w:qFormat/>
    <w:rPr>
      <w:sz w:val="20"/>
    </w:rPr>
  </w:style>
  <w:style w:type="character" w:styleId="ListLabel3424">
    <w:name w:val="ListLabel 3424"/>
    <w:qFormat/>
    <w:rPr>
      <w:sz w:val="20"/>
    </w:rPr>
  </w:style>
  <w:style w:type="character" w:styleId="ListLabel3425">
    <w:name w:val="ListLabel 3425"/>
    <w:qFormat/>
    <w:rPr>
      <w:rFonts w:cs="Wingdings"/>
    </w:rPr>
  </w:style>
  <w:style w:type="character" w:styleId="ListLabel3426">
    <w:name w:val="ListLabel 3426"/>
    <w:qFormat/>
    <w:rPr>
      <w:rFonts w:cs="Courier New"/>
    </w:rPr>
  </w:style>
  <w:style w:type="character" w:styleId="ListLabel3427">
    <w:name w:val="ListLabel 3427"/>
    <w:qFormat/>
    <w:rPr>
      <w:rFonts w:cs="Wingdings"/>
    </w:rPr>
  </w:style>
  <w:style w:type="character" w:styleId="ListLabel3428">
    <w:name w:val="ListLabel 3428"/>
    <w:qFormat/>
    <w:rPr>
      <w:rFonts w:cs="Symbol"/>
    </w:rPr>
  </w:style>
  <w:style w:type="character" w:styleId="ListLabel3429">
    <w:name w:val="ListLabel 3429"/>
    <w:qFormat/>
    <w:rPr>
      <w:rFonts w:cs="Courier New"/>
    </w:rPr>
  </w:style>
  <w:style w:type="character" w:styleId="ListLabel3430">
    <w:name w:val="ListLabel 3430"/>
    <w:qFormat/>
    <w:rPr>
      <w:rFonts w:cs="Wingdings"/>
    </w:rPr>
  </w:style>
  <w:style w:type="character" w:styleId="ListLabel3431">
    <w:name w:val="ListLabel 3431"/>
    <w:qFormat/>
    <w:rPr>
      <w:rFonts w:cs="Symbol"/>
    </w:rPr>
  </w:style>
  <w:style w:type="character" w:styleId="ListLabel3432">
    <w:name w:val="ListLabel 3432"/>
    <w:qFormat/>
    <w:rPr>
      <w:rFonts w:cs="Courier New"/>
    </w:rPr>
  </w:style>
  <w:style w:type="character" w:styleId="ListLabel3433">
    <w:name w:val="ListLabel 3433"/>
    <w:qFormat/>
    <w:rPr>
      <w:rFonts w:cs="Wingdings"/>
    </w:rPr>
  </w:style>
  <w:style w:type="character" w:styleId="ListLabel3434">
    <w:name w:val="ListLabel 3434"/>
    <w:qFormat/>
    <w:rPr>
      <w:sz w:val="20"/>
    </w:rPr>
  </w:style>
  <w:style w:type="character" w:styleId="ListLabel3435">
    <w:name w:val="ListLabel 3435"/>
    <w:qFormat/>
    <w:rPr>
      <w:sz w:val="20"/>
    </w:rPr>
  </w:style>
  <w:style w:type="character" w:styleId="ListLabel3436">
    <w:name w:val="ListLabel 3436"/>
    <w:qFormat/>
    <w:rPr>
      <w:rFonts w:cs="Wingdings"/>
    </w:rPr>
  </w:style>
  <w:style w:type="character" w:styleId="ListLabel3437">
    <w:name w:val="ListLabel 3437"/>
    <w:qFormat/>
    <w:rPr>
      <w:rFonts w:cs="Courier New"/>
    </w:rPr>
  </w:style>
  <w:style w:type="character" w:styleId="ListLabel3438">
    <w:name w:val="ListLabel 3438"/>
    <w:qFormat/>
    <w:rPr>
      <w:rFonts w:cs="Wingdings"/>
    </w:rPr>
  </w:style>
  <w:style w:type="character" w:styleId="ListLabel3439">
    <w:name w:val="ListLabel 3439"/>
    <w:qFormat/>
    <w:rPr>
      <w:rFonts w:cs="Symbol"/>
    </w:rPr>
  </w:style>
  <w:style w:type="character" w:styleId="ListLabel3440">
    <w:name w:val="ListLabel 3440"/>
    <w:qFormat/>
    <w:rPr>
      <w:rFonts w:cs="Courier New"/>
    </w:rPr>
  </w:style>
  <w:style w:type="character" w:styleId="ListLabel3441">
    <w:name w:val="ListLabel 3441"/>
    <w:qFormat/>
    <w:rPr>
      <w:rFonts w:cs="Wingdings"/>
    </w:rPr>
  </w:style>
  <w:style w:type="character" w:styleId="ListLabel3442">
    <w:name w:val="ListLabel 3442"/>
    <w:qFormat/>
    <w:rPr>
      <w:rFonts w:cs="Symbol"/>
    </w:rPr>
  </w:style>
  <w:style w:type="character" w:styleId="ListLabel3443">
    <w:name w:val="ListLabel 3443"/>
    <w:qFormat/>
    <w:rPr>
      <w:rFonts w:cs="Courier New"/>
    </w:rPr>
  </w:style>
  <w:style w:type="character" w:styleId="ListLabel3444">
    <w:name w:val="ListLabel 3444"/>
    <w:qFormat/>
    <w:rPr>
      <w:rFonts w:cs="Wingdings"/>
    </w:rPr>
  </w:style>
  <w:style w:type="character" w:styleId="ListLabel3445">
    <w:name w:val="ListLabel 3445"/>
    <w:qFormat/>
    <w:rPr>
      <w:sz w:val="20"/>
    </w:rPr>
  </w:style>
  <w:style w:type="character" w:styleId="ListLabel3446">
    <w:name w:val="ListLabel 3446"/>
    <w:qFormat/>
    <w:rPr>
      <w:sz w:val="20"/>
    </w:rPr>
  </w:style>
  <w:style w:type="character" w:styleId="ListLabel3447">
    <w:name w:val="ListLabel 3447"/>
    <w:qFormat/>
    <w:rPr>
      <w:sz w:val="20"/>
    </w:rPr>
  </w:style>
  <w:style w:type="character" w:styleId="ListLabel3448">
    <w:name w:val="ListLabel 3448"/>
    <w:qFormat/>
    <w:rPr>
      <w:sz w:val="20"/>
    </w:rPr>
  </w:style>
  <w:style w:type="character" w:styleId="ListLabel3449">
    <w:name w:val="ListLabel 3449"/>
    <w:qFormat/>
    <w:rPr>
      <w:sz w:val="20"/>
    </w:rPr>
  </w:style>
  <w:style w:type="character" w:styleId="ListLabel3450">
    <w:name w:val="ListLabel 3450"/>
    <w:qFormat/>
    <w:rPr>
      <w:rFonts w:cs="Wingdings"/>
    </w:rPr>
  </w:style>
  <w:style w:type="character" w:styleId="ListLabel3451">
    <w:name w:val="ListLabel 3451"/>
    <w:qFormat/>
    <w:rPr>
      <w:rFonts w:cs="Courier New"/>
    </w:rPr>
  </w:style>
  <w:style w:type="character" w:styleId="ListLabel3452">
    <w:name w:val="ListLabel 3452"/>
    <w:qFormat/>
    <w:rPr>
      <w:rFonts w:cs="Wingdings"/>
    </w:rPr>
  </w:style>
  <w:style w:type="character" w:styleId="ListLabel3453">
    <w:name w:val="ListLabel 3453"/>
    <w:qFormat/>
    <w:rPr>
      <w:rFonts w:cs="Symbol"/>
    </w:rPr>
  </w:style>
  <w:style w:type="character" w:styleId="ListLabel3454">
    <w:name w:val="ListLabel 3454"/>
    <w:qFormat/>
    <w:rPr>
      <w:rFonts w:cs="Courier New"/>
    </w:rPr>
  </w:style>
  <w:style w:type="character" w:styleId="ListLabel3455">
    <w:name w:val="ListLabel 3455"/>
    <w:qFormat/>
    <w:rPr>
      <w:rFonts w:cs="Wingdings"/>
    </w:rPr>
  </w:style>
  <w:style w:type="character" w:styleId="ListLabel3456">
    <w:name w:val="ListLabel 3456"/>
    <w:qFormat/>
    <w:rPr>
      <w:rFonts w:cs="Symbol"/>
    </w:rPr>
  </w:style>
  <w:style w:type="character" w:styleId="ListLabel3457">
    <w:name w:val="ListLabel 3457"/>
    <w:qFormat/>
    <w:rPr>
      <w:rFonts w:cs="Courier New"/>
    </w:rPr>
  </w:style>
  <w:style w:type="character" w:styleId="ListLabel3458">
    <w:name w:val="ListLabel 3458"/>
    <w:qFormat/>
    <w:rPr>
      <w:rFonts w:cs="Wingdings"/>
    </w:rPr>
  </w:style>
  <w:style w:type="character" w:styleId="ListLabel3459">
    <w:name w:val="ListLabel 3459"/>
    <w:qFormat/>
    <w:rPr>
      <w:sz w:val="20"/>
    </w:rPr>
  </w:style>
  <w:style w:type="character" w:styleId="ListLabel3460">
    <w:name w:val="ListLabel 3460"/>
    <w:qFormat/>
    <w:rPr>
      <w:rFonts w:cs="Wingdings"/>
    </w:rPr>
  </w:style>
  <w:style w:type="character" w:styleId="ListLabel3461">
    <w:name w:val="ListLabel 3461"/>
    <w:qFormat/>
    <w:rPr>
      <w:rFonts w:cs="Courier New"/>
    </w:rPr>
  </w:style>
  <w:style w:type="character" w:styleId="ListLabel3462">
    <w:name w:val="ListLabel 3462"/>
    <w:qFormat/>
    <w:rPr>
      <w:rFonts w:cs="Wingdings"/>
    </w:rPr>
  </w:style>
  <w:style w:type="character" w:styleId="ListLabel3463">
    <w:name w:val="ListLabel 3463"/>
    <w:qFormat/>
    <w:rPr>
      <w:rFonts w:cs="Symbol"/>
    </w:rPr>
  </w:style>
  <w:style w:type="character" w:styleId="ListLabel3464">
    <w:name w:val="ListLabel 3464"/>
    <w:qFormat/>
    <w:rPr>
      <w:rFonts w:cs="Courier New"/>
    </w:rPr>
  </w:style>
  <w:style w:type="character" w:styleId="ListLabel3465">
    <w:name w:val="ListLabel 3465"/>
    <w:qFormat/>
    <w:rPr>
      <w:rFonts w:cs="Wingdings"/>
    </w:rPr>
  </w:style>
  <w:style w:type="character" w:styleId="ListLabel3466">
    <w:name w:val="ListLabel 3466"/>
    <w:qFormat/>
    <w:rPr>
      <w:rFonts w:cs="Symbol"/>
    </w:rPr>
  </w:style>
  <w:style w:type="character" w:styleId="ListLabel3467">
    <w:name w:val="ListLabel 3467"/>
    <w:qFormat/>
    <w:rPr>
      <w:rFonts w:cs="Courier New"/>
    </w:rPr>
  </w:style>
  <w:style w:type="character" w:styleId="ListLabel3468">
    <w:name w:val="ListLabel 3468"/>
    <w:qFormat/>
    <w:rPr>
      <w:rFonts w:cs="Wingdings"/>
    </w:rPr>
  </w:style>
  <w:style w:type="character" w:styleId="ListLabel3469">
    <w:name w:val="ListLabel 3469"/>
    <w:qFormat/>
    <w:rPr>
      <w:sz w:val="20"/>
    </w:rPr>
  </w:style>
  <w:style w:type="character" w:styleId="ListLabel3470">
    <w:name w:val="ListLabel 3470"/>
    <w:qFormat/>
    <w:rPr>
      <w:sz w:val="20"/>
    </w:rPr>
  </w:style>
  <w:style w:type="character" w:styleId="ListLabel3471">
    <w:name w:val="ListLabel 3471"/>
    <w:qFormat/>
    <w:rPr>
      <w:sz w:val="20"/>
    </w:rPr>
  </w:style>
  <w:style w:type="character" w:styleId="ListLabel3472">
    <w:name w:val="ListLabel 3472"/>
    <w:qFormat/>
    <w:rPr>
      <w:sz w:val="20"/>
    </w:rPr>
  </w:style>
  <w:style w:type="character" w:styleId="ListLabel3473">
    <w:name w:val="ListLabel 3473"/>
    <w:qFormat/>
    <w:rPr>
      <w:sz w:val="20"/>
    </w:rPr>
  </w:style>
  <w:style w:type="character" w:styleId="ListLabel3474">
    <w:name w:val="ListLabel 3474"/>
    <w:qFormat/>
    <w:rPr>
      <w:sz w:val="20"/>
    </w:rPr>
  </w:style>
  <w:style w:type="character" w:styleId="ListLabel3475">
    <w:name w:val="ListLabel 3475"/>
    <w:qFormat/>
    <w:rPr>
      <w:sz w:val="20"/>
    </w:rPr>
  </w:style>
  <w:style w:type="character" w:styleId="ListLabel3476">
    <w:name w:val="ListLabel 3476"/>
    <w:qFormat/>
    <w:rPr>
      <w:sz w:val="20"/>
    </w:rPr>
  </w:style>
  <w:style w:type="character" w:styleId="ListLabel3477">
    <w:name w:val="ListLabel 3477"/>
    <w:qFormat/>
    <w:rPr>
      <w:sz w:val="20"/>
    </w:rPr>
  </w:style>
  <w:style w:type="character" w:styleId="ListLabel3478">
    <w:name w:val="ListLabel 3478"/>
    <w:qFormat/>
    <w:rPr>
      <w:sz w:val="20"/>
    </w:rPr>
  </w:style>
  <w:style w:type="character" w:styleId="ListLabel3479">
    <w:name w:val="ListLabel 3479"/>
    <w:qFormat/>
    <w:rPr>
      <w:sz w:val="20"/>
    </w:rPr>
  </w:style>
  <w:style w:type="character" w:styleId="ListLabel3480">
    <w:name w:val="ListLabel 3480"/>
    <w:qFormat/>
    <w:rPr>
      <w:sz w:val="20"/>
    </w:rPr>
  </w:style>
  <w:style w:type="character" w:styleId="ListLabel3481">
    <w:name w:val="ListLabel 3481"/>
    <w:qFormat/>
    <w:rPr>
      <w:sz w:val="20"/>
    </w:rPr>
  </w:style>
  <w:style w:type="character" w:styleId="ListLabel3482">
    <w:name w:val="ListLabel 3482"/>
    <w:qFormat/>
    <w:rPr>
      <w:sz w:val="20"/>
    </w:rPr>
  </w:style>
  <w:style w:type="character" w:styleId="ListLabel3483">
    <w:name w:val="ListLabel 3483"/>
    <w:qFormat/>
    <w:rPr>
      <w:sz w:val="20"/>
    </w:rPr>
  </w:style>
  <w:style w:type="character" w:styleId="ListLabel3484">
    <w:name w:val="ListLabel 3484"/>
    <w:qFormat/>
    <w:rPr>
      <w:sz w:val="20"/>
    </w:rPr>
  </w:style>
  <w:style w:type="character" w:styleId="ListLabel3485">
    <w:name w:val="ListLabel 3485"/>
    <w:qFormat/>
    <w:rPr>
      <w:sz w:val="20"/>
    </w:rPr>
  </w:style>
  <w:style w:type="character" w:styleId="ListLabel3486">
    <w:name w:val="ListLabel 3486"/>
    <w:qFormat/>
    <w:rPr>
      <w:sz w:val="20"/>
    </w:rPr>
  </w:style>
  <w:style w:type="character" w:styleId="ListLabel3487">
    <w:name w:val="ListLabel 3487"/>
    <w:qFormat/>
    <w:rPr>
      <w:sz w:val="20"/>
    </w:rPr>
  </w:style>
  <w:style w:type="character" w:styleId="ListLabel3488">
    <w:name w:val="ListLabel 3488"/>
    <w:qFormat/>
    <w:rPr>
      <w:sz w:val="20"/>
    </w:rPr>
  </w:style>
  <w:style w:type="character" w:styleId="ListLabel3489">
    <w:name w:val="ListLabel 3489"/>
    <w:qFormat/>
    <w:rPr>
      <w:sz w:val="20"/>
    </w:rPr>
  </w:style>
  <w:style w:type="character" w:styleId="ListLabel3490">
    <w:name w:val="ListLabel 3490"/>
    <w:qFormat/>
    <w:rPr>
      <w:rFonts w:cs="Calibri"/>
    </w:rPr>
  </w:style>
  <w:style w:type="character" w:styleId="ListLabel3491">
    <w:name w:val="ListLabel 3491"/>
    <w:qFormat/>
    <w:rPr/>
  </w:style>
  <w:style w:type="character" w:styleId="ListLabel3492">
    <w:name w:val="ListLabel 3492"/>
    <w:qFormat/>
    <w:rPr/>
  </w:style>
  <w:style w:type="character" w:styleId="ListLabel3493">
    <w:name w:val="ListLabel 3493"/>
    <w:qFormat/>
    <w:rPr>
      <w:rFonts w:cs="Calibri"/>
      <w:bCs w:val="false"/>
    </w:rPr>
  </w:style>
  <w:style w:type="character" w:styleId="ListLabel3494">
    <w:name w:val="ListLabel 3494"/>
    <w:qFormat/>
    <w:rPr>
      <w:rFonts w:cs="Calibri"/>
      <w:bCs w:val="false"/>
      <w:u w:val="none"/>
    </w:rPr>
  </w:style>
  <w:style w:type="character" w:styleId="ListLabel3495">
    <w:name w:val="ListLabel 3495"/>
    <w:qFormat/>
    <w:rPr>
      <w:rFonts w:cs="Calibri" w:cstheme="minorHAnsi"/>
      <w:i/>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rsid w:val="00b97da5"/>
    <w:pPr>
      <w:spacing w:before="0" w:after="12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qFormat/>
    <w:rsid w:val="002f5412"/>
    <w:pPr>
      <w:pBdr>
        <w:bottom w:val="single" w:sz="8" w:space="4" w:color="4F81BD"/>
      </w:pBdr>
      <w:spacing w:before="0" w:after="300"/>
      <w:contextualSpacing/>
    </w:pPr>
    <w:rPr>
      <w:rFonts w:ascii="Cambria" w:hAnsi="Cambria" w:eastAsia="Calibri"/>
      <w:color w:val="17365D"/>
      <w:spacing w:val="5"/>
      <w:kern w:val="2"/>
      <w:sz w:val="52"/>
      <w:szCs w:val="52"/>
    </w:rPr>
  </w:style>
  <w:style w:type="paragraph" w:styleId="ListParagraph">
    <w:name w:val="List Paragraph"/>
    <w:basedOn w:val="Normal"/>
    <w:uiPriority w:val="34"/>
    <w:qFormat/>
    <w:rsid w:val="00024bb7"/>
    <w:pPr>
      <w:spacing w:before="0" w:after="0"/>
      <w:ind w:left="720" w:hanging="0"/>
      <w:contextualSpacing/>
    </w:pPr>
    <w:rPr/>
  </w:style>
  <w:style w:type="paragraph" w:styleId="Header">
    <w:name w:val="Header"/>
    <w:basedOn w:val="Normal"/>
    <w:link w:val="HeaderChar"/>
    <w:uiPriority w:val="99"/>
    <w:rsid w:val="00cb53bd"/>
    <w:pPr>
      <w:tabs>
        <w:tab w:val="center" w:pos="4680" w:leader="none"/>
        <w:tab w:val="right" w:pos="9360" w:leader="none"/>
      </w:tabs>
    </w:pPr>
    <w:rPr/>
  </w:style>
  <w:style w:type="paragraph" w:styleId="Footer">
    <w:name w:val="Footer"/>
    <w:basedOn w:val="Normal"/>
    <w:link w:val="FooterChar"/>
    <w:uiPriority w:val="99"/>
    <w:rsid w:val="00cb53bd"/>
    <w:pPr>
      <w:tabs>
        <w:tab w:val="center" w:pos="4680" w:leader="none"/>
        <w:tab w:val="right" w:pos="9360" w:leader="none"/>
      </w:tabs>
    </w:pPr>
    <w:rPr/>
  </w:style>
  <w:style w:type="paragraph" w:styleId="BalloonText">
    <w:name w:val="Balloon Text"/>
    <w:basedOn w:val="Normal"/>
    <w:link w:val="BalloonTextChar"/>
    <w:semiHidden/>
    <w:qFormat/>
    <w:rsid w:val="00d44312"/>
    <w:pPr/>
    <w:rPr>
      <w:rFonts w:ascii="Tahoma" w:hAnsi="Tahoma" w:cs="Tahoma"/>
      <w:sz w:val="16"/>
      <w:szCs w:val="16"/>
    </w:rPr>
  </w:style>
  <w:style w:type="paragraph" w:styleId="TOCHeading">
    <w:name w:val="TOC Heading"/>
    <w:basedOn w:val="Heading1"/>
    <w:next w:val="Normal"/>
    <w:qFormat/>
    <w:rsid w:val="00d44312"/>
    <w:pPr/>
    <w:rPr/>
  </w:style>
  <w:style w:type="paragraph" w:styleId="Contents1">
    <w:name w:val="TOC 1"/>
    <w:basedOn w:val="Normal"/>
    <w:next w:val="Normal"/>
    <w:autoRedefine/>
    <w:uiPriority w:val="39"/>
    <w:rsid w:val="00ba0fe6"/>
    <w:pPr>
      <w:tabs>
        <w:tab w:val="left" w:pos="352" w:leader="none"/>
        <w:tab w:val="left" w:pos="9720" w:leader="none"/>
        <w:tab w:val="left" w:pos="9810" w:leader="none"/>
        <w:tab w:val="right" w:pos="10080" w:leader="none"/>
      </w:tabs>
      <w:spacing w:before="60" w:after="0"/>
      <w:jc w:val="left"/>
    </w:pPr>
    <w:rPr>
      <w:b/>
      <w:bCs w:val="false"/>
      <w:smallCaps/>
      <w:color w:val="C00000"/>
      <w:u w:val="single"/>
    </w:rPr>
  </w:style>
  <w:style w:type="paragraph" w:styleId="Contents2">
    <w:name w:val="TOC 2"/>
    <w:basedOn w:val="Normal"/>
    <w:next w:val="Normal"/>
    <w:autoRedefine/>
    <w:uiPriority w:val="39"/>
    <w:rsid w:val="00ba0fe6"/>
    <w:pPr>
      <w:tabs>
        <w:tab w:val="left" w:pos="522" w:leader="none"/>
        <w:tab w:val="left" w:pos="648" w:leader="none"/>
        <w:tab w:val="right" w:pos="9990" w:leader="none"/>
      </w:tabs>
      <w:ind w:left="288" w:hanging="0"/>
      <w:jc w:val="left"/>
    </w:pPr>
    <w:rPr>
      <w:b/>
      <w:bCs w:val="false"/>
      <w:smallCaps/>
      <w:color w:val="000000" w:themeColor="text1"/>
    </w:rPr>
  </w:style>
  <w:style w:type="paragraph" w:styleId="Footnote">
    <w:name w:val="Footnote Text"/>
    <w:basedOn w:val="Normal"/>
    <w:link w:val="FootnoteTextChar"/>
    <w:rsid w:val="00e2039b"/>
    <w:pPr/>
    <w:rPr/>
  </w:style>
  <w:style w:type="paragraph" w:styleId="SectionHeading" w:customStyle="1">
    <w:name w:val="Section Heading"/>
    <w:basedOn w:val="Normal"/>
    <w:next w:val="Normal"/>
    <w:qFormat/>
    <w:rsid w:val="00611504"/>
    <w:pPr>
      <w:widowControl w:val="false"/>
      <w:tabs>
        <w:tab w:val="left" w:pos="2304" w:leader="none"/>
      </w:tabs>
      <w:ind w:left="720" w:hanging="0"/>
    </w:pPr>
    <w:rPr>
      <w:rFonts w:ascii="Arial Black" w:hAnsi="Arial Black" w:cs="Arial Black"/>
      <w:b/>
      <w:bCs w:val="false"/>
      <w:sz w:val="40"/>
      <w:szCs w:val="40"/>
    </w:rPr>
  </w:style>
  <w:style w:type="paragraph" w:styleId="HorizontalLine" w:customStyle="1">
    <w:name w:val="Horizontal Line"/>
    <w:basedOn w:val="Normal"/>
    <w:next w:val="Normal"/>
    <w:qFormat/>
    <w:rsid w:val="00611504"/>
    <w:pPr>
      <w:widowControl w:val="false"/>
      <w:spacing w:before="0" w:after="280"/>
    </w:pPr>
    <w:rPr>
      <w:rFonts w:ascii="Bitstream Vera Sans" w:hAnsi="Bitstream Vera Sans" w:cs="Bitstream Vera Sans"/>
      <w:sz w:val="12"/>
      <w:szCs w:val="12"/>
    </w:rPr>
  </w:style>
  <w:style w:type="paragraph" w:styleId="Contents3">
    <w:name w:val="TOC 3"/>
    <w:basedOn w:val="Normal"/>
    <w:next w:val="Normal"/>
    <w:autoRedefine/>
    <w:uiPriority w:val="39"/>
    <w:rsid w:val="000e47ed"/>
    <w:pPr>
      <w:tabs>
        <w:tab w:val="left" w:pos="810" w:leader="none"/>
        <w:tab w:val="right" w:pos="10000" w:leader="none"/>
      </w:tabs>
      <w:ind w:left="990" w:right="1350" w:hanging="342"/>
      <w:jc w:val="left"/>
    </w:pPr>
    <w:rPr>
      <w:i/>
      <w:smallCaps/>
      <w:color w:val="262626" w:themeColor="text1" w:themeTint="d9"/>
    </w:rPr>
  </w:style>
  <w:style w:type="paragraph" w:styleId="BodyText3">
    <w:name w:val="Body Text 3"/>
    <w:basedOn w:val="Normal"/>
    <w:qFormat/>
    <w:rsid w:val="00db1b71"/>
    <w:pPr>
      <w:spacing w:before="0" w:after="120"/>
    </w:pPr>
    <w:rPr>
      <w:sz w:val="16"/>
      <w:szCs w:val="16"/>
    </w:rPr>
  </w:style>
  <w:style w:type="paragraph" w:styleId="NormalWeb">
    <w:name w:val="Normal (Web)"/>
    <w:basedOn w:val="Normal"/>
    <w:uiPriority w:val="99"/>
    <w:qFormat/>
    <w:rsid w:val="00bf2c83"/>
    <w:pPr>
      <w:spacing w:lineRule="atLeast" w:line="336" w:before="75" w:after="75"/>
      <w:ind w:left="135" w:right="225" w:hanging="0"/>
    </w:pPr>
    <w:rPr>
      <w:rFonts w:ascii="Verdana" w:hAnsi="Verdana"/>
      <w:color w:val="5C7988"/>
      <w:sz w:val="17"/>
      <w:szCs w:val="17"/>
    </w:rPr>
  </w:style>
  <w:style w:type="paragraph" w:styleId="Default" w:customStyle="1">
    <w:name w:val="Default"/>
    <w:qFormat/>
    <w:rsid w:val="00f01130"/>
    <w:pPr>
      <w:widowControl/>
      <w:bidi w:val="0"/>
      <w:jc w:val="left"/>
    </w:pPr>
    <w:rPr>
      <w:rFonts w:ascii="OMMIMP+TimesNewRoman" w:hAnsi="OMMIMP+TimesNewRoman" w:eastAsia="Times New Roman" w:cs="OMMIMP+TimesNewRoman"/>
      <w:color w:val="000000"/>
      <w:kern w:val="0"/>
      <w:sz w:val="24"/>
      <w:szCs w:val="24"/>
      <w:lang w:val="en-US" w:eastAsia="en-US" w:bidi="ar-SA"/>
    </w:rPr>
  </w:style>
  <w:style w:type="paragraph" w:styleId="StyleHorizontalLineCalibri36ptBoldJustifiedAfter0" w:customStyle="1">
    <w:name w:val="Style Horizontal Line + Calibri 36 pt Bold Justified After:  0 ..."/>
    <w:basedOn w:val="HorizontalLine"/>
    <w:qFormat/>
    <w:rsid w:val="00fd2fc4"/>
    <w:pPr>
      <w:spacing w:before="0" w:after="0"/>
    </w:pPr>
    <w:rPr>
      <w:rFonts w:ascii="Calibri" w:hAnsi="Calibri" w:cs="Times New Roman"/>
      <w:b/>
      <w:bCs w:val="false"/>
      <w:sz w:val="72"/>
      <w:szCs w:val="20"/>
    </w:rPr>
  </w:style>
  <w:style w:type="paragraph" w:styleId="TOC41" w:customStyle="1">
    <w:name w:val="TOC 41"/>
    <w:basedOn w:val="Normal"/>
    <w:next w:val="Normal"/>
    <w:autoRedefine/>
    <w:semiHidden/>
    <w:qFormat/>
    <w:rsid w:val="00fb2ae7"/>
    <w:pPr>
      <w:tabs>
        <w:tab w:val="right" w:pos="10000" w:leader="none"/>
      </w:tabs>
      <w:ind w:left="11520" w:hanging="0"/>
    </w:pPr>
    <w:rPr>
      <w:i/>
    </w:rPr>
  </w:style>
  <w:style w:type="paragraph" w:styleId="Contents5">
    <w:name w:val="TOC 5"/>
    <w:basedOn w:val="Normal"/>
    <w:next w:val="Normal"/>
    <w:autoRedefine/>
    <w:uiPriority w:val="39"/>
    <w:rsid w:val="00080947"/>
    <w:pPr/>
    <w:rPr>
      <w:rFonts w:ascii="Times New Roman" w:hAnsi="Times New Roman"/>
    </w:rPr>
  </w:style>
  <w:style w:type="paragraph" w:styleId="Contents6">
    <w:name w:val="TOC 6"/>
    <w:basedOn w:val="Normal"/>
    <w:next w:val="Normal"/>
    <w:autoRedefine/>
    <w:uiPriority w:val="39"/>
    <w:rsid w:val="00080947"/>
    <w:pPr/>
    <w:rPr>
      <w:rFonts w:ascii="Times New Roman" w:hAnsi="Times New Roman"/>
    </w:rPr>
  </w:style>
  <w:style w:type="paragraph" w:styleId="Contents7">
    <w:name w:val="TOC 7"/>
    <w:basedOn w:val="Normal"/>
    <w:next w:val="Normal"/>
    <w:autoRedefine/>
    <w:uiPriority w:val="39"/>
    <w:rsid w:val="00080947"/>
    <w:pPr/>
    <w:rPr>
      <w:rFonts w:ascii="Times New Roman" w:hAnsi="Times New Roman"/>
    </w:rPr>
  </w:style>
  <w:style w:type="paragraph" w:styleId="Contents8">
    <w:name w:val="TOC 8"/>
    <w:basedOn w:val="Normal"/>
    <w:next w:val="Normal"/>
    <w:autoRedefine/>
    <w:uiPriority w:val="39"/>
    <w:rsid w:val="00080947"/>
    <w:pPr/>
    <w:rPr>
      <w:rFonts w:ascii="Times New Roman" w:hAnsi="Times New Roman"/>
    </w:rPr>
  </w:style>
  <w:style w:type="paragraph" w:styleId="Contents9">
    <w:name w:val="TOC 9"/>
    <w:basedOn w:val="Normal"/>
    <w:next w:val="Normal"/>
    <w:autoRedefine/>
    <w:uiPriority w:val="39"/>
    <w:rsid w:val="00080947"/>
    <w:pPr/>
    <w:rPr>
      <w:rFonts w:ascii="Times New Roman" w:hAnsi="Times New Roman"/>
    </w:rPr>
  </w:style>
  <w:style w:type="paragraph" w:styleId="TextBodyIndent">
    <w:name w:val="Body Text Indent"/>
    <w:basedOn w:val="Normal"/>
    <w:rsid w:val="005a27a3"/>
    <w:pPr>
      <w:spacing w:before="0" w:after="120"/>
      <w:ind w:left="360" w:hanging="0"/>
    </w:pPr>
    <w:rPr/>
  </w:style>
  <w:style w:type="paragraph" w:styleId="ListBullet">
    <w:name w:val="List Bullet"/>
    <w:basedOn w:val="Default"/>
    <w:next w:val="Default"/>
    <w:qFormat/>
    <w:rsid w:val="004810e3"/>
    <w:pPr/>
    <w:rPr>
      <w:rFonts w:ascii="Times New Roman" w:hAnsi="Times New Roman" w:cs="Times New Roman"/>
      <w:color w:val="auto"/>
    </w:rPr>
  </w:style>
  <w:style w:type="paragraph" w:styleId="Paragraph" w:customStyle="1">
    <w:name w:val="Paragraph"/>
    <w:basedOn w:val="Default"/>
    <w:next w:val="Default"/>
    <w:qFormat/>
    <w:rsid w:val="007e6e44"/>
    <w:pPr/>
    <w:rPr>
      <w:rFonts w:ascii="Times New Roman" w:hAnsi="Times New Roman" w:cs="Times New Roman"/>
      <w:color w:val="auto"/>
    </w:rPr>
  </w:style>
  <w:style w:type="paragraph" w:styleId="Annotationtext">
    <w:name w:val="annotation text"/>
    <w:basedOn w:val="Normal"/>
    <w:semiHidden/>
    <w:qFormat/>
    <w:rsid w:val="00d87c13"/>
    <w:pPr/>
    <w:rPr/>
  </w:style>
  <w:style w:type="paragraph" w:styleId="Annotationsubject">
    <w:name w:val="annotation subject"/>
    <w:basedOn w:val="Annotationtext"/>
    <w:semiHidden/>
    <w:qFormat/>
    <w:rsid w:val="00d87c13"/>
    <w:pPr/>
    <w:rPr>
      <w:b/>
      <w:bCs w:val="false"/>
    </w:rPr>
  </w:style>
  <w:style w:type="paragraph" w:styleId="Endnote">
    <w:name w:val="Endnote Text"/>
    <w:basedOn w:val="Normal"/>
    <w:link w:val="EndnoteTextChar"/>
    <w:uiPriority w:val="99"/>
    <w:semiHidden/>
    <w:rsid w:val="00422031"/>
    <w:pPr/>
    <w:rPr/>
  </w:style>
  <w:style w:type="paragraph" w:styleId="Nostyle" w:customStyle="1">
    <w:name w:val="no-style"/>
    <w:basedOn w:val="Normal"/>
    <w:qFormat/>
    <w:rsid w:val="000e6efe"/>
    <w:pPr>
      <w:tabs>
        <w:tab w:val="left" w:pos="-1080" w:leader="none"/>
        <w:tab w:val="left" w:pos="-720" w:leader="none"/>
        <w:tab w:val="left" w:pos="0" w:leader="none"/>
        <w:tab w:val="left" w:pos="45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pPr>
    <w:rPr>
      <w:color w:val="000000"/>
      <w:sz w:val="22"/>
      <w:szCs w:val="22"/>
    </w:rPr>
  </w:style>
  <w:style w:type="paragraph" w:styleId="Bullet1" w:customStyle="1">
    <w:name w:val="Bullet 1"/>
    <w:basedOn w:val="Normal"/>
    <w:qFormat/>
    <w:rsid w:val="00e508eb"/>
    <w:pPr>
      <w:tabs>
        <w:tab w:val="left" w:pos="360" w:leader="none"/>
      </w:tabs>
      <w:spacing w:before="120" w:after="120"/>
      <w:ind w:left="360" w:hanging="360"/>
    </w:pPr>
    <w:rPr>
      <w:rFonts w:ascii="Verdana" w:hAnsi="Verdana"/>
    </w:rPr>
  </w:style>
  <w:style w:type="paragraph" w:styleId="Body" w:customStyle="1">
    <w:name w:val="body"/>
    <w:basedOn w:val="Normal"/>
    <w:qFormat/>
    <w:rsid w:val="00b75fee"/>
    <w:pPr>
      <w:spacing w:beforeAutospacing="1" w:afterAutospacing="1"/>
    </w:pPr>
    <w:rPr>
      <w:rFonts w:ascii="Arial" w:hAnsi="Arial" w:cs="Arial"/>
      <w:color w:val="000000"/>
      <w:sz w:val="18"/>
      <w:szCs w:val="18"/>
    </w:rPr>
  </w:style>
  <w:style w:type="paragraph" w:styleId="Tabletext" w:customStyle="1">
    <w:name w:val="tabletext"/>
    <w:basedOn w:val="Normal"/>
    <w:qFormat/>
    <w:rsid w:val="00b75fee"/>
    <w:pPr>
      <w:spacing w:beforeAutospacing="1" w:afterAutospacing="1"/>
    </w:pPr>
    <w:rPr/>
  </w:style>
  <w:style w:type="paragraph" w:styleId="Contents4">
    <w:name w:val="TOC 4"/>
    <w:basedOn w:val="Normal"/>
    <w:next w:val="Normal"/>
    <w:autoRedefine/>
    <w:uiPriority w:val="39"/>
    <w:rsid w:val="003334cd"/>
    <w:pPr>
      <w:ind w:left="1123" w:hanging="0"/>
      <w:jc w:val="left"/>
    </w:pPr>
    <w:rPr>
      <w:i/>
    </w:rPr>
  </w:style>
  <w:style w:type="paragraph" w:styleId="Index1">
    <w:name w:val="index 1"/>
    <w:basedOn w:val="Normal"/>
    <w:next w:val="Normal"/>
    <w:autoRedefine/>
    <w:uiPriority w:val="99"/>
    <w:semiHidden/>
    <w:qFormat/>
    <w:rsid w:val="007228b4"/>
    <w:pPr>
      <w:ind w:left="200" w:hanging="200"/>
    </w:pPr>
    <w:rPr>
      <w:b/>
      <w:sz w:val="18"/>
      <w:szCs w:val="18"/>
    </w:rPr>
  </w:style>
  <w:style w:type="paragraph" w:styleId="Index2">
    <w:name w:val="index 2"/>
    <w:basedOn w:val="Normal"/>
    <w:next w:val="Normal"/>
    <w:autoRedefine/>
    <w:uiPriority w:val="99"/>
    <w:semiHidden/>
    <w:qFormat/>
    <w:rsid w:val="007d36b2"/>
    <w:pPr>
      <w:ind w:left="400" w:hanging="200"/>
    </w:pPr>
    <w:rPr>
      <w:sz w:val="18"/>
      <w:szCs w:val="18"/>
    </w:rPr>
  </w:style>
  <w:style w:type="paragraph" w:styleId="Index3">
    <w:name w:val="index 3"/>
    <w:basedOn w:val="Normal"/>
    <w:next w:val="Normal"/>
    <w:autoRedefine/>
    <w:uiPriority w:val="99"/>
    <w:unhideWhenUsed/>
    <w:qFormat/>
    <w:rsid w:val="00c93198"/>
    <w:pPr>
      <w:ind w:left="600" w:hanging="200"/>
    </w:pPr>
    <w:rPr>
      <w:sz w:val="18"/>
      <w:szCs w:val="18"/>
    </w:rPr>
  </w:style>
  <w:style w:type="paragraph" w:styleId="Index4">
    <w:name w:val="index 4"/>
    <w:basedOn w:val="Normal"/>
    <w:next w:val="Normal"/>
    <w:autoRedefine/>
    <w:uiPriority w:val="99"/>
    <w:unhideWhenUsed/>
    <w:qFormat/>
    <w:rsid w:val="00c93198"/>
    <w:pPr>
      <w:ind w:left="800" w:hanging="200"/>
    </w:pPr>
    <w:rPr>
      <w:sz w:val="18"/>
      <w:szCs w:val="18"/>
    </w:rPr>
  </w:style>
  <w:style w:type="paragraph" w:styleId="Index5">
    <w:name w:val="index 5"/>
    <w:basedOn w:val="Normal"/>
    <w:next w:val="Normal"/>
    <w:autoRedefine/>
    <w:uiPriority w:val="99"/>
    <w:unhideWhenUsed/>
    <w:qFormat/>
    <w:rsid w:val="00c93198"/>
    <w:pPr>
      <w:ind w:left="1000" w:hanging="200"/>
    </w:pPr>
    <w:rPr>
      <w:sz w:val="18"/>
      <w:szCs w:val="18"/>
    </w:rPr>
  </w:style>
  <w:style w:type="paragraph" w:styleId="Index6">
    <w:name w:val="index 6"/>
    <w:basedOn w:val="Normal"/>
    <w:next w:val="Normal"/>
    <w:autoRedefine/>
    <w:uiPriority w:val="99"/>
    <w:unhideWhenUsed/>
    <w:qFormat/>
    <w:rsid w:val="00c93198"/>
    <w:pPr>
      <w:ind w:left="1200" w:hanging="200"/>
    </w:pPr>
    <w:rPr>
      <w:sz w:val="18"/>
      <w:szCs w:val="18"/>
    </w:rPr>
  </w:style>
  <w:style w:type="paragraph" w:styleId="Index7">
    <w:name w:val="index 7"/>
    <w:basedOn w:val="Normal"/>
    <w:next w:val="Normal"/>
    <w:autoRedefine/>
    <w:uiPriority w:val="99"/>
    <w:unhideWhenUsed/>
    <w:qFormat/>
    <w:rsid w:val="00c93198"/>
    <w:pPr>
      <w:ind w:left="1400" w:hanging="200"/>
    </w:pPr>
    <w:rPr>
      <w:sz w:val="18"/>
      <w:szCs w:val="18"/>
    </w:rPr>
  </w:style>
  <w:style w:type="paragraph" w:styleId="Index8">
    <w:name w:val="index 8"/>
    <w:basedOn w:val="Normal"/>
    <w:next w:val="Normal"/>
    <w:autoRedefine/>
    <w:uiPriority w:val="99"/>
    <w:unhideWhenUsed/>
    <w:qFormat/>
    <w:rsid w:val="00c93198"/>
    <w:pPr>
      <w:ind w:left="1600" w:hanging="200"/>
    </w:pPr>
    <w:rPr>
      <w:sz w:val="18"/>
      <w:szCs w:val="18"/>
    </w:rPr>
  </w:style>
  <w:style w:type="paragraph" w:styleId="Index9">
    <w:name w:val="index 9"/>
    <w:basedOn w:val="Normal"/>
    <w:next w:val="Normal"/>
    <w:autoRedefine/>
    <w:uiPriority w:val="99"/>
    <w:unhideWhenUsed/>
    <w:qFormat/>
    <w:rsid w:val="00c93198"/>
    <w:pPr>
      <w:ind w:left="1800" w:hanging="200"/>
    </w:pPr>
    <w:rPr>
      <w:sz w:val="18"/>
      <w:szCs w:val="18"/>
    </w:rPr>
  </w:style>
  <w:style w:type="paragraph" w:styleId="Indexheading">
    <w:name w:val="index heading"/>
    <w:basedOn w:val="Normal"/>
    <w:uiPriority w:val="99"/>
    <w:unhideWhenUsed/>
    <w:qFormat/>
    <w:rsid w:val="00c93198"/>
    <w:pPr>
      <w:spacing w:before="240" w:after="120"/>
      <w:jc w:val="center"/>
    </w:pPr>
    <w:rPr>
      <w:b/>
      <w:bCs w:val="false"/>
      <w:sz w:val="26"/>
      <w:szCs w:val="26"/>
    </w:rPr>
  </w:style>
  <w:style w:type="paragraph" w:styleId="Xl108" w:customStyle="1">
    <w:name w:val="xl108"/>
    <w:basedOn w:val="Normal"/>
    <w:qFormat/>
    <w:rsid w:val="00621ed2"/>
    <w:pPr>
      <w:pBdr>
        <w:top w:val="single" w:sz="4" w:space="0" w:color="000000"/>
        <w:left w:val="single" w:sz="4" w:space="0" w:color="000000"/>
        <w:bottom w:val="single" w:sz="4" w:space="0" w:color="000000"/>
        <w:right w:val="single" w:sz="4" w:space="0" w:color="000000"/>
      </w:pBdr>
      <w:shd w:val="clear" w:color="000000" w:fill="1F497D"/>
      <w:spacing w:beforeAutospacing="1" w:afterAutospacing="1"/>
      <w:jc w:val="center"/>
      <w:textAlignment w:val="center"/>
    </w:pPr>
    <w:rPr>
      <w:rFonts w:cs="Calibri"/>
      <w:b/>
      <w:bCs w:val="false"/>
      <w:color w:val="FFFFFF"/>
      <w:sz w:val="16"/>
      <w:szCs w:val="16"/>
    </w:rPr>
  </w:style>
  <w:style w:type="paragraph" w:styleId="Xl109" w:customStyle="1">
    <w:name w:val="xl109"/>
    <w:basedOn w:val="Normal"/>
    <w:qFormat/>
    <w:rsid w:val="00621ed2"/>
    <w:pPr>
      <w:pBdr>
        <w:top w:val="single" w:sz="4" w:space="0" w:color="000000"/>
        <w:left w:val="single" w:sz="4" w:space="0" w:color="000000"/>
        <w:bottom w:val="single" w:sz="4" w:space="0" w:color="000000"/>
        <w:right w:val="single" w:sz="4" w:space="0" w:color="000000"/>
      </w:pBdr>
      <w:shd w:val="clear" w:color="000000" w:fill="C4D79B"/>
      <w:spacing w:beforeAutospacing="1" w:afterAutospacing="1"/>
      <w:jc w:val="center"/>
      <w:textAlignment w:val="center"/>
    </w:pPr>
    <w:rPr>
      <w:rFonts w:cs="Calibri"/>
      <w:b/>
      <w:bCs w:val="false"/>
      <w:color w:val="000000"/>
      <w:sz w:val="16"/>
      <w:szCs w:val="16"/>
    </w:rPr>
  </w:style>
  <w:style w:type="paragraph" w:styleId="Xl110" w:customStyle="1">
    <w:name w:val="xl110"/>
    <w:basedOn w:val="Normal"/>
    <w:qFormat/>
    <w:rsid w:val="00621ed2"/>
    <w:pPr>
      <w:pBdr>
        <w:top w:val="single" w:sz="4" w:space="0" w:color="000000"/>
        <w:left w:val="single" w:sz="4" w:space="0" w:color="000000"/>
        <w:bottom w:val="single" w:sz="4" w:space="0" w:color="000000"/>
        <w:right w:val="single" w:sz="4" w:space="0" w:color="000000"/>
      </w:pBdr>
      <w:shd w:val="clear" w:color="000000" w:fill="DA9694"/>
      <w:spacing w:beforeAutospacing="1" w:afterAutospacing="1"/>
      <w:jc w:val="center"/>
      <w:textAlignment w:val="center"/>
    </w:pPr>
    <w:rPr>
      <w:rFonts w:cs="Calibri"/>
      <w:b/>
      <w:bCs w:val="false"/>
      <w:color w:val="000000"/>
      <w:sz w:val="16"/>
      <w:szCs w:val="16"/>
    </w:rPr>
  </w:style>
  <w:style w:type="paragraph" w:styleId="Xl111" w:customStyle="1">
    <w:name w:val="xl111"/>
    <w:basedOn w:val="Normal"/>
    <w:qFormat/>
    <w:rsid w:val="00621ed2"/>
    <w:pPr>
      <w:pBdr>
        <w:top w:val="single" w:sz="4" w:space="0" w:color="000000"/>
        <w:left w:val="single" w:sz="4" w:space="0" w:color="000000"/>
        <w:bottom w:val="single" w:sz="4" w:space="0" w:color="000000"/>
        <w:right w:val="single" w:sz="4" w:space="0" w:color="000000"/>
      </w:pBdr>
      <w:shd w:val="clear" w:color="000000" w:fill="FFFF99"/>
      <w:spacing w:beforeAutospacing="1" w:afterAutospacing="1"/>
      <w:jc w:val="center"/>
      <w:textAlignment w:val="center"/>
    </w:pPr>
    <w:rPr>
      <w:rFonts w:cs="Calibri"/>
      <w:b/>
      <w:bCs w:val="false"/>
      <w:color w:val="000000"/>
      <w:sz w:val="16"/>
      <w:szCs w:val="16"/>
    </w:rPr>
  </w:style>
  <w:style w:type="paragraph" w:styleId="Xl112" w:customStyle="1">
    <w:name w:val="xl112"/>
    <w:basedOn w:val="Normal"/>
    <w:qFormat/>
    <w:rsid w:val="00621ed2"/>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cs="Calibri"/>
      <w:sz w:val="16"/>
      <w:szCs w:val="16"/>
    </w:rPr>
  </w:style>
  <w:style w:type="paragraph" w:styleId="Xl113" w:customStyle="1">
    <w:name w:val="xl113"/>
    <w:basedOn w:val="Normal"/>
    <w:qFormat/>
    <w:rsid w:val="00621ed2"/>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cs="Calibri"/>
      <w:color w:val="000000"/>
      <w:sz w:val="16"/>
      <w:szCs w:val="16"/>
    </w:rPr>
  </w:style>
  <w:style w:type="paragraph" w:styleId="Xl114" w:customStyle="1">
    <w:name w:val="xl114"/>
    <w:basedOn w:val="Normal"/>
    <w:qFormat/>
    <w:rsid w:val="00621ed2"/>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cs="Calibri"/>
      <w:color w:val="000000"/>
      <w:sz w:val="16"/>
      <w:szCs w:val="16"/>
    </w:rPr>
  </w:style>
  <w:style w:type="paragraph" w:styleId="Xl115" w:customStyle="1">
    <w:name w:val="xl115"/>
    <w:basedOn w:val="Normal"/>
    <w:qFormat/>
    <w:rsid w:val="00621ed2"/>
    <w:pPr>
      <w:pBdr>
        <w:top w:val="single" w:sz="4" w:space="0" w:color="000000"/>
        <w:left w:val="single" w:sz="4" w:space="0" w:color="000000"/>
        <w:bottom w:val="single" w:sz="4" w:space="0" w:color="000000"/>
      </w:pBdr>
      <w:spacing w:beforeAutospacing="1" w:afterAutospacing="1"/>
      <w:jc w:val="center"/>
      <w:textAlignment w:val="center"/>
    </w:pPr>
    <w:rPr>
      <w:rFonts w:cs="Calibri"/>
      <w:color w:val="000000"/>
      <w:sz w:val="16"/>
      <w:szCs w:val="16"/>
    </w:rPr>
  </w:style>
  <w:style w:type="paragraph" w:styleId="Xl116" w:customStyle="1">
    <w:name w:val="xl116"/>
    <w:basedOn w:val="Normal"/>
    <w:qFormat/>
    <w:rsid w:val="00621ed2"/>
    <w:pPr>
      <w:pBdr>
        <w:top w:val="single" w:sz="4" w:space="0" w:color="000000"/>
        <w:bottom w:val="single" w:sz="4" w:space="0" w:color="000000"/>
        <w:right w:val="single" w:sz="4" w:space="0" w:color="000000"/>
      </w:pBdr>
      <w:spacing w:beforeAutospacing="1" w:afterAutospacing="1"/>
      <w:jc w:val="center"/>
      <w:textAlignment w:val="center"/>
    </w:pPr>
    <w:rPr>
      <w:rFonts w:cs="Calibri"/>
      <w:color w:val="000000"/>
      <w:sz w:val="16"/>
      <w:szCs w:val="16"/>
    </w:rPr>
  </w:style>
  <w:style w:type="paragraph" w:styleId="Xl117" w:customStyle="1">
    <w:name w:val="xl117"/>
    <w:basedOn w:val="Normal"/>
    <w:qFormat/>
    <w:rsid w:val="00621ed2"/>
    <w:pPr>
      <w:pBdr>
        <w:top w:val="single" w:sz="4" w:space="0" w:color="000000"/>
        <w:left w:val="single" w:sz="4" w:space="0" w:color="000000"/>
        <w:bottom w:val="single" w:sz="4" w:space="0" w:color="000000"/>
        <w:right w:val="single" w:sz="4" w:space="0" w:color="000000"/>
      </w:pBdr>
      <w:shd w:val="clear" w:color="000000" w:fill="D9D9D9"/>
      <w:spacing w:beforeAutospacing="1" w:afterAutospacing="1"/>
      <w:jc w:val="center"/>
      <w:textAlignment w:val="center"/>
    </w:pPr>
    <w:rPr>
      <w:rFonts w:cs="Calibri"/>
      <w:color w:val="000000"/>
      <w:sz w:val="16"/>
      <w:szCs w:val="16"/>
    </w:rPr>
  </w:style>
  <w:style w:type="paragraph" w:styleId="Xl118" w:customStyle="1">
    <w:name w:val="xl118"/>
    <w:basedOn w:val="Normal"/>
    <w:qFormat/>
    <w:rsid w:val="00621ed2"/>
    <w:pPr>
      <w:pBdr>
        <w:top w:val="single" w:sz="4" w:space="0" w:color="000000"/>
        <w:left w:val="single" w:sz="4" w:space="0" w:color="000000"/>
      </w:pBdr>
      <w:spacing w:beforeAutospacing="1" w:afterAutospacing="1"/>
      <w:jc w:val="center"/>
      <w:textAlignment w:val="center"/>
    </w:pPr>
    <w:rPr>
      <w:rFonts w:cs="Calibri"/>
      <w:color w:val="000000"/>
      <w:sz w:val="16"/>
      <w:szCs w:val="16"/>
    </w:rPr>
  </w:style>
  <w:style w:type="paragraph" w:styleId="Xl119" w:customStyle="1">
    <w:name w:val="xl119"/>
    <w:basedOn w:val="Normal"/>
    <w:qFormat/>
    <w:rsid w:val="00621ed2"/>
    <w:pPr>
      <w:pBdr>
        <w:top w:val="single" w:sz="4" w:space="0" w:color="000000"/>
        <w:right w:val="single" w:sz="4" w:space="0" w:color="000000"/>
      </w:pBdr>
      <w:spacing w:beforeAutospacing="1" w:afterAutospacing="1"/>
      <w:jc w:val="center"/>
      <w:textAlignment w:val="center"/>
    </w:pPr>
    <w:rPr>
      <w:rFonts w:cs="Calibri"/>
      <w:color w:val="000000"/>
      <w:sz w:val="16"/>
      <w:szCs w:val="16"/>
    </w:rPr>
  </w:style>
  <w:style w:type="paragraph" w:styleId="Xl120" w:customStyle="1">
    <w:name w:val="xl120"/>
    <w:basedOn w:val="Normal"/>
    <w:qFormat/>
    <w:rsid w:val="00621ed2"/>
    <w:pPr>
      <w:pBdr>
        <w:top w:val="single" w:sz="4" w:space="0" w:color="000000"/>
        <w:left w:val="single" w:sz="4" w:space="0" w:color="000000"/>
        <w:bottom w:val="single" w:sz="4" w:space="0" w:color="000000"/>
      </w:pBdr>
      <w:spacing w:beforeAutospacing="1" w:afterAutospacing="1"/>
      <w:textAlignment w:val="center"/>
    </w:pPr>
    <w:rPr>
      <w:rFonts w:cs="Calibri"/>
      <w:color w:val="000000"/>
      <w:sz w:val="16"/>
      <w:szCs w:val="16"/>
    </w:rPr>
  </w:style>
  <w:style w:type="paragraph" w:styleId="Xl121" w:customStyle="1">
    <w:name w:val="xl121"/>
    <w:basedOn w:val="Normal"/>
    <w:qFormat/>
    <w:rsid w:val="00621ed2"/>
    <w:pPr>
      <w:pBdr>
        <w:top w:val="single" w:sz="4" w:space="0" w:color="000000"/>
        <w:bottom w:val="single" w:sz="4" w:space="0" w:color="000000"/>
        <w:right w:val="single" w:sz="4" w:space="0" w:color="000000"/>
      </w:pBdr>
      <w:shd w:val="clear" w:color="000000" w:fill="D9D9D9"/>
      <w:spacing w:beforeAutospacing="1" w:afterAutospacing="1"/>
      <w:jc w:val="center"/>
      <w:textAlignment w:val="center"/>
    </w:pPr>
    <w:rPr>
      <w:rFonts w:cs="Calibri"/>
      <w:color w:val="000000"/>
      <w:sz w:val="16"/>
      <w:szCs w:val="16"/>
    </w:rPr>
  </w:style>
  <w:style w:type="paragraph" w:styleId="Xl122" w:customStyle="1">
    <w:name w:val="xl122"/>
    <w:basedOn w:val="Normal"/>
    <w:qFormat/>
    <w:rsid w:val="00621ed2"/>
    <w:pPr>
      <w:pBdr>
        <w:left w:val="single" w:sz="4" w:space="0" w:color="000000"/>
        <w:bottom w:val="single" w:sz="4" w:space="0" w:color="000000"/>
      </w:pBdr>
      <w:spacing w:beforeAutospacing="1" w:afterAutospacing="1"/>
      <w:jc w:val="center"/>
      <w:textAlignment w:val="center"/>
    </w:pPr>
    <w:rPr>
      <w:rFonts w:cs="Calibri"/>
      <w:color w:val="000000"/>
      <w:sz w:val="16"/>
      <w:szCs w:val="16"/>
    </w:rPr>
  </w:style>
  <w:style w:type="paragraph" w:styleId="Xl123" w:customStyle="1">
    <w:name w:val="xl123"/>
    <w:basedOn w:val="Normal"/>
    <w:qFormat/>
    <w:rsid w:val="00621ed2"/>
    <w:pPr>
      <w:pBdr>
        <w:bottom w:val="single" w:sz="4" w:space="0" w:color="000000"/>
        <w:right w:val="single" w:sz="4" w:space="0" w:color="000000"/>
      </w:pBdr>
      <w:spacing w:beforeAutospacing="1" w:afterAutospacing="1"/>
      <w:jc w:val="center"/>
      <w:textAlignment w:val="center"/>
    </w:pPr>
    <w:rPr>
      <w:rFonts w:cs="Calibri"/>
      <w:color w:val="000000"/>
      <w:sz w:val="16"/>
      <w:szCs w:val="16"/>
    </w:rPr>
  </w:style>
  <w:style w:type="paragraph" w:styleId="Xl124" w:customStyle="1">
    <w:name w:val="xl124"/>
    <w:basedOn w:val="Normal"/>
    <w:qFormat/>
    <w:rsid w:val="00621ed2"/>
    <w:pPr>
      <w:pBdr>
        <w:top w:val="single" w:sz="4" w:space="0" w:color="000000"/>
        <w:left w:val="single" w:sz="4" w:space="0" w:color="000000"/>
        <w:bottom w:val="single" w:sz="4" w:space="0" w:color="000000"/>
      </w:pBdr>
      <w:shd w:val="clear" w:color="000000" w:fill="D9D9D9"/>
      <w:spacing w:beforeAutospacing="1" w:afterAutospacing="1"/>
      <w:jc w:val="center"/>
      <w:textAlignment w:val="center"/>
    </w:pPr>
    <w:rPr>
      <w:rFonts w:cs="Calibri"/>
      <w:color w:val="000000"/>
      <w:sz w:val="16"/>
      <w:szCs w:val="16"/>
    </w:rPr>
  </w:style>
  <w:style w:type="paragraph" w:styleId="Xl125" w:customStyle="1">
    <w:name w:val="xl125"/>
    <w:basedOn w:val="Normal"/>
    <w:qFormat/>
    <w:rsid w:val="00621ed2"/>
    <w:pPr>
      <w:pBdr>
        <w:top w:val="single" w:sz="4" w:space="0" w:color="000000"/>
        <w:left w:val="single" w:sz="4" w:space="0" w:color="000000"/>
        <w:right w:val="single" w:sz="4" w:space="0" w:color="000000"/>
      </w:pBdr>
      <w:shd w:val="clear" w:color="000000" w:fill="D9D9D9"/>
      <w:spacing w:beforeAutospacing="1" w:afterAutospacing="1"/>
      <w:jc w:val="center"/>
      <w:textAlignment w:val="center"/>
    </w:pPr>
    <w:rPr>
      <w:rFonts w:cs="Calibri"/>
      <w:color w:val="000000"/>
      <w:sz w:val="16"/>
      <w:szCs w:val="16"/>
    </w:rPr>
  </w:style>
  <w:style w:type="paragraph" w:styleId="Xl126" w:customStyle="1">
    <w:name w:val="xl126"/>
    <w:basedOn w:val="Normal"/>
    <w:qFormat/>
    <w:rsid w:val="00621ed2"/>
    <w:pPr>
      <w:pBdr>
        <w:top w:val="single" w:sz="4" w:space="0" w:color="000000"/>
        <w:left w:val="single" w:sz="4" w:space="0" w:color="000000"/>
      </w:pBdr>
      <w:shd w:val="clear" w:color="000000" w:fill="D9D9D9"/>
      <w:spacing w:beforeAutospacing="1" w:afterAutospacing="1"/>
      <w:jc w:val="center"/>
      <w:textAlignment w:val="center"/>
    </w:pPr>
    <w:rPr>
      <w:rFonts w:cs="Calibri"/>
      <w:color w:val="000000"/>
      <w:sz w:val="16"/>
      <w:szCs w:val="16"/>
    </w:rPr>
  </w:style>
  <w:style w:type="paragraph" w:styleId="Xl127" w:customStyle="1">
    <w:name w:val="xl127"/>
    <w:basedOn w:val="Normal"/>
    <w:qFormat/>
    <w:rsid w:val="00621ed2"/>
    <w:pPr>
      <w:pBdr>
        <w:top w:val="single" w:sz="4" w:space="0" w:color="000000"/>
        <w:right w:val="single" w:sz="4" w:space="0" w:color="000000"/>
      </w:pBdr>
      <w:shd w:val="clear" w:color="000000" w:fill="D9D9D9"/>
      <w:spacing w:beforeAutospacing="1" w:afterAutospacing="1"/>
      <w:jc w:val="center"/>
      <w:textAlignment w:val="center"/>
    </w:pPr>
    <w:rPr>
      <w:rFonts w:cs="Calibri"/>
      <w:color w:val="000000"/>
      <w:sz w:val="16"/>
      <w:szCs w:val="16"/>
    </w:rPr>
  </w:style>
  <w:style w:type="paragraph" w:styleId="FrameContents">
    <w:name w:val="Frame Contents"/>
    <w:basedOn w:val="Normal"/>
    <w:qFormat/>
    <w:pPr/>
    <w:rPr/>
  </w:style>
  <w:style w:type="numbering" w:styleId="NoList" w:default="1">
    <w:name w:val="No List"/>
    <w:uiPriority w:val="99"/>
    <w:semiHidden/>
    <w:unhideWhenUsed/>
    <w:qFormat/>
  </w:style>
  <w:style w:type="numbering" w:styleId="Style11" w:customStyle="1">
    <w:name w:val="Style1"/>
    <w:uiPriority w:val="99"/>
    <w:qFormat/>
    <w:rsid w:val="00c61f2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rsid w:val="000769d2"/>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hyperlink" Target="http://csrc.nist.gov/" TargetMode="External"/><Relationship Id="rId5" Type="http://schemas.openxmlformats.org/officeDocument/2006/relationships/hyperlink" Target="http://dibnet.dod.mil/" TargetMode="External"/><Relationship Id="rId6" Type="http://schemas.openxmlformats.org/officeDocument/2006/relationships/hyperlink" Target="http://dibnet.dod.mil/" TargetMode="External"/><Relationship Id="rId7" Type="http://schemas.openxmlformats.org/officeDocument/2006/relationships/hyperlink" Target="http://dibnet.dod.mil/" TargetMode="External"/><Relationship Id="rId8" Type="http://schemas.openxmlformats.org/officeDocument/2006/relationships/hyperlink" Target="http://dibnet.dod.mil/" TargetMode="External"/><Relationship Id="rId9" Type="http://schemas.openxmlformats.org/officeDocument/2006/relationships/hyperlink" Target="http://www.justice.gov/opcl/docs/doj-pia-template.pdf" TargetMode="External"/><Relationship Id="rId10" Type="http://schemas.openxmlformats.org/officeDocument/2006/relationships/hyperlink" Target="http://www.gsa.gov/portal/content/102237" TargetMode="External"/><Relationship Id="rId11" Type="http://schemas.openxmlformats.org/officeDocument/2006/relationships/hyperlink" Target="https://www.us-cert.gov/mailing-lists-and-feeds" TargetMode="Externa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notes" Target="footnotes.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 Id="rId19" Type="http://schemas.openxmlformats.org/officeDocument/2006/relationships/customXml" Target="../customXml/item1.xml"/><Relationship Id="rId20" Type="http://schemas.openxmlformats.org/officeDocument/2006/relationships/customXml" Target="../customXml/item2.xml"/><Relationship Id="rId21" Type="http://schemas.openxmlformats.org/officeDocument/2006/relationships/customXml" Target="../customXml/item3.xml"/><Relationship Id="rId22"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3.jpeg"/>
</Relationships>
</file>

<file path=word/_rels/footer2.xml.rels><?xml version="1.0" encoding="UTF-8"?>
<Relationships xmlns="http://schemas.openxmlformats.org/package/2006/relationships"><Relationship Id="rId1" Type="http://schemas.openxmlformats.org/officeDocument/2006/relationships/image" Target="media/image4.jpeg"/><Relationship Id="rId2" Type="http://schemas.openxmlformats.org/officeDocument/2006/relationships/image" Target="media/image5.jpeg"/>
</Relationships>
</file>

<file path=word/_rels/footnotes.xml.rels><?xml version="1.0" encoding="UTF-8"?>
<Relationships xmlns="http://schemas.openxmlformats.org/package/2006/relationships"><Relationship Id="rId1" Type="http://schemas.openxmlformats.org/officeDocument/2006/relationships/hyperlink" Target="http://csrc.nist.gov/publications/PubsSPs.html" TargetMode="External"/><Relationship Id="rId2" Type="http://schemas.openxmlformats.org/officeDocument/2006/relationships/hyperlink" Target="https://www.iso.org/" TargetMode="External"/><Relationship Id="rId3" Type="http://schemas.openxmlformats.org/officeDocument/2006/relationships/hyperlink" Target="http://www.auditscripts.com/resources/open_threat_taxonomy_v1.1a.pdf" TargetMode="External"/><Relationship Id="rId4" Type="http://schemas.openxmlformats.org/officeDocument/2006/relationships/hyperlink" Target="https://www.cisecurity.org/" TargetMode="External"/><Relationship Id="rId5" Type="http://schemas.openxmlformats.org/officeDocument/2006/relationships/hyperlink" Target="https://cloudsecurityalliance.org/" TargetMode="External"/><Relationship Id="rId6" Type="http://schemas.openxmlformats.org/officeDocument/2006/relationships/hyperlink" Target="http://www.isaca.org/COBIT/Pages/default.aspx" TargetMode="External"/><Relationship Id="rId7" Type="http://schemas.openxmlformats.org/officeDocument/2006/relationships/hyperlink" Target="https://public.cyber.mil/" TargetMode="External"/><Relationship Id="rId8" Type="http://schemas.openxmlformats.org/officeDocument/2006/relationships/hyperlink" Target="https://www.acq.osd.mil/cmmc/index.html" TargetMode="External"/><Relationship Id="rId9" Type="http://schemas.openxmlformats.org/officeDocument/2006/relationships/hyperlink" Target="http://ec.europa.eu/justice/data-protection/reform/files/regulation_oj_en.pdf" TargetMode="External"/><Relationship Id="rId10" Type="http://schemas.openxmlformats.org/officeDocument/2006/relationships/hyperlink" Target="https://www.ftc.gov/" TargetMode="External"/><Relationship Id="rId11" Type="http://schemas.openxmlformats.org/officeDocument/2006/relationships/hyperlink" Target="http://www.aicpa.org/" TargetMode="External"/><Relationship Id="rId12" Type="http://schemas.openxmlformats.org/officeDocument/2006/relationships/hyperlink" Target="https://www.owasp.org/index.php/Main_Page" TargetMode="External"/><Relationship Id="rId13" Type="http://schemas.openxmlformats.org/officeDocument/2006/relationships/hyperlink" Target="https://www.pcisecuritystandards.org/" TargetMode="External"/><Relationship Id="rId14" Type="http://schemas.openxmlformats.org/officeDocument/2006/relationships/hyperlink" Target="https://www.owasp.org/index.php/Privacy_by_Design" TargetMode="External"/><Relationship Id="rId15" Type="http://schemas.openxmlformats.org/officeDocument/2006/relationships/hyperlink" Target="https://nvlpubs.nist.gov/nistpubs/ir/2019/NIST.IR.7298r3.pdf" TargetMode="External"/><Relationship Id="rId16" Type="http://schemas.openxmlformats.org/officeDocument/2006/relationships/hyperlink" Target="https://www.oregonlegislature.gov/bills_laws/ors/ors646A.html" TargetMode="External"/><Relationship Id="rId17" Type="http://schemas.openxmlformats.org/officeDocument/2006/relationships/hyperlink" Target="http://www.mass.gov/ocabr/docs/idtheft/201cmr1700reg.pdf" TargetMode="External"/><Relationship Id="rId18" Type="http://schemas.openxmlformats.org/officeDocument/2006/relationships/hyperlink" Target="https://public.cyber.mil/" TargetMode="External"/><Relationship Id="rId19" Type="http://schemas.openxmlformats.org/officeDocument/2006/relationships/hyperlink" Target="http://nvlpubs.nist.gov/nistpubs/SpecialPublications/NIST.SP.800-183.pdf" TargetMode="External"/><Relationship Id="rId20" Type="http://schemas.openxmlformats.org/officeDocument/2006/relationships/hyperlink" Target="http://nvlpubs.nist.gov/nistpubs/SpecialPublications/NIST.SP.800-183.pdf" TargetMode="External"/><Relationship Id="rId21" Type="http://schemas.openxmlformats.org/officeDocument/2006/relationships/hyperlink" Target="http://nvlpubs.nist.gov/nistpubs/SpecialPublications/NIST.SP.800-82r2.pdf" TargetMode="External"/><Relationship Id="rId22" Type="http://schemas.openxmlformats.org/officeDocument/2006/relationships/hyperlink" Target="http://www.microsoft.com/en-us/download/details.aspx?id=18015" TargetMode="External"/><Relationship Id="rId23" Type="http://schemas.openxmlformats.org/officeDocument/2006/relationships/hyperlink" Target="http://csrc.nist.gov/publications/nistpubs/800-61rev2/SP800-61rev2.pdf" TargetMode="External"/><Relationship Id="rId24" Type="http://schemas.openxmlformats.org/officeDocument/2006/relationships/hyperlink" Target="http://csrc.nist.gov/publications/nistpubs/800-86/SP800-86.pdf" TargetMode="External"/><Relationship Id="rId25" Type="http://schemas.openxmlformats.org/officeDocument/2006/relationships/hyperlink" Target="%20https://www.rulesofevidence.org%20" TargetMode="External"/><Relationship Id="rId26" Type="http://schemas.openxmlformats.org/officeDocument/2006/relationships/hyperlink" Target="http://www.aicpa.org/" TargetMode="External"/><Relationship Id="rId27" Type="http://schemas.openxmlformats.org/officeDocument/2006/relationships/hyperlink" Target="https://www.privacyshield.gov/" TargetMode="External"/><Relationship Id="rId28" Type="http://schemas.openxmlformats.org/officeDocument/2006/relationships/hyperlink" Target="https://www.dhs.gov/system-records-notices-sorns" TargetMode="External"/><Relationship Id="rId29" Type="http://schemas.openxmlformats.org/officeDocument/2006/relationships/hyperlink" Target="https://www.securecontrolsframework.com/sp-cmm" TargetMode="External"/><Relationship Id="rId30" Type="http://schemas.openxmlformats.org/officeDocument/2006/relationships/hyperlink" Target="http://csrc.nist.gov/publications/drafts/800-160/sp800_160_second-draft.pdf" TargetMode="External"/><Relationship Id="rId31" Type="http://schemas.openxmlformats.org/officeDocument/2006/relationships/hyperlink" Target="https://nvlpubs.nist.gov/nistpubs/ir/2019/NIST.IR.7298r3.pdf" TargetMode="External"/><Relationship Id="rId32" Type="http://schemas.openxmlformats.org/officeDocument/2006/relationships/hyperlink" Target="http://tycho.usno.navy.mil/ntp.html" TargetMode="External"/><Relationship Id="rId33" Type="http://schemas.openxmlformats.org/officeDocument/2006/relationships/hyperlink" Target="https://www.owasp.org/" TargetMode="External"/><Relationship Id="rId34" Type="http://schemas.openxmlformats.org/officeDocument/2006/relationships/hyperlink" Target="%20https://www.owasp.org/index.php/Threat_Risk_Modeling" TargetMode="External"/><Relationship Id="rId35" Type="http://schemas.openxmlformats.org/officeDocument/2006/relationships/hyperlink" Target="https://nvlpubs.nist.gov/nistpubs/ir/2019/NIST.IR.7298r3.pdf" TargetMode="External"/><Relationship Id="rId36" Type="http://schemas.openxmlformats.org/officeDocument/2006/relationships/hyperlink" Target="https://compliancedictionary.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0</_ip_UnifiedCompliancePolicyUIAction>
    <_ip_UnifiedCompliancePolicyProperties xmlns="http://schemas.microsoft.com/sharepoint/v3">{"__type":"ComplianceItemProperties:#Microsoft.Office.CompliancePolicy.ComplianceData","LastPolicyEvaluatedTimeUtc":"2020-03-15T21:13:46.1213596Z","Rules":{"6305679b-037c-4cb2-8456-e8252268702e":{"Actions":{"SPSharingNotifyUser":{"ActionName":"SPSharingNotifyUser","CodeVersion":"1.0.6.0","LastAppliedTimeUTC":"2020-03-15T21:13:46.0901120Z","Properties":null,"RuleVersion":"0"},"SPSharingGenerateIncidentReport":{"ActionName":"SPSharingGenerateIncidentReport","CodeVersion":"1.0.6.0","LastAppliedTimeUTC":"2020-03-15T21:13:46.0901120Z","Properties":null,"RuleVersion":"0"},"TagReporting":{"ActionName":"TagReporting","CodeVersion":"1.00.0002.000","LastAppliedTimeUTC":"2020-03-15T21:13:46.1213596Z","Properties":{},"RuleVersion":"0"}},"Properties":{},"RuleId":"6305679b-037c-4cb2-8456-e8252268702e","Scenario":0}},"UniqueId":"71abb599-aea5-4a70-81f9-1167bd5d1fdc"}</_ip_UnifiedCompliancePolicyPropertie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92456E1A9BD4F4E950BF9D8CF0F7D2A" ma:contentTypeVersion="12" ma:contentTypeDescription="Create a new document." ma:contentTypeScope="" ma:versionID="bde413e34659a93fc5f6dc2fe8e87bef">
  <xsd:schema xmlns:xsd="http://www.w3.org/2001/XMLSchema" xmlns:xs="http://www.w3.org/2001/XMLSchema" xmlns:p="http://schemas.microsoft.com/office/2006/metadata/properties" xmlns:ns1="http://schemas.microsoft.com/sharepoint/v3" xmlns:ns2="83eaa9e5-3afb-4dd7-9f33-9418dcd6b132" xmlns:ns3="67f19fe6-841c-48d3-9a2c-b79af92fe564" targetNamespace="http://schemas.microsoft.com/office/2006/metadata/properties" ma:root="true" ma:fieldsID="e05dd145b68b4639418d12e70c02b081" ns1:_="" ns2:_="" ns3:_="">
    <xsd:import namespace="http://schemas.microsoft.com/sharepoint/v3"/>
    <xsd:import namespace="83eaa9e5-3afb-4dd7-9f33-9418dcd6b132"/>
    <xsd:import namespace="67f19fe6-841c-48d3-9a2c-b79af92fe56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eaa9e5-3afb-4dd7-9f33-9418dcd6b1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7f19fe6-841c-48d3-9a2c-b79af92fe56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188DE51-20EA-48CC-8F23-2A54E1CA0A31}"/>
</file>

<file path=customXml/itemProps2.xml><?xml version="1.0" encoding="utf-8"?>
<ds:datastoreItem xmlns:ds="http://schemas.openxmlformats.org/officeDocument/2006/customXml" ds:itemID="{C86F1B64-69BB-44D2-BDDF-6140B990263E}">
  <ds:schemaRefs>
    <ds:schemaRef ds:uri="http://schemas.openxmlformats.org/officeDocument/2006/bibliography"/>
  </ds:schemaRefs>
</ds:datastoreItem>
</file>

<file path=customXml/itemProps3.xml><?xml version="1.0" encoding="utf-8"?>
<ds:datastoreItem xmlns:ds="http://schemas.openxmlformats.org/officeDocument/2006/customXml" ds:itemID="{5D0576CB-92BC-4068-A7F1-85DCAAE7CEE7}"/>
</file>

<file path=customXml/itemProps4.xml><?xml version="1.0" encoding="utf-8"?>
<ds:datastoreItem xmlns:ds="http://schemas.openxmlformats.org/officeDocument/2006/customXml" ds:itemID="{A4179875-B97D-4F42-9D2E-35E7260E450C}"/>
</file>

<file path=docProps/app.xml><?xml version="1.0" encoding="utf-8"?>
<Properties xmlns="http://schemas.openxmlformats.org/officeDocument/2006/extended-properties" xmlns:vt="http://schemas.openxmlformats.org/officeDocument/2006/docPropsVTypes">
  <Template>Normal</Template>
  <TotalTime>273</TotalTime>
  <Application>LibreOffice/6.0.7.3$Linux_X86_64 LibreOffice_project/00m0$Build-3</Application>
  <Pages>309</Pages>
  <Words>144172</Words>
  <Characters>899929</Characters>
  <CharactersWithSpaces>1035664</CharactersWithSpaces>
  <Paragraphs>8635</Paragraphs>
  <Company>ComplianceForge, LLC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2020-02-03T22:35:00Z</dcterms:created>
  <dc:creator>ComplianceForge</dc:creator>
  <dc:description>Digital Security Program (DSP)</dc:description>
  <cp:keywords>DSP</cp:keywords>
  <dc:language>en-US</dc:language>
  <cp:lastModifiedBy/>
  <cp:lastPrinted>2013-04-21T06:13:00Z</cp:lastPrinted>
  <dcterms:modified xsi:type="dcterms:W3CDTF">2020-07-27T07:43:14Z</dcterms:modified>
  <cp:revision>17</cp:revision>
  <dc:subject>Digital Security Program (DSP)</dc:subject>
  <dc:title>Digital Security Program (DSP)</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ComplianceForge, LLC</vt:lpwstr>
  </property>
  <property fmtid="{D5CDD505-2E9C-101B-9397-08002B2CF9AE}" pid="4" name="ContentTypeId">
    <vt:lpwstr>0x010100992456E1A9BD4F4E950BF9D8CF0F7D2A</vt:lpwstr>
  </property>
  <property fmtid="{D5CDD505-2E9C-101B-9397-08002B2CF9AE}" pid="5" name="DocSecurity">
    <vt:i4>0</vt:i4>
  </property>
  <property fmtid="{D5CDD505-2E9C-101B-9397-08002B2CF9AE}" pid="6" name="HyperlinksChanged">
    <vt:bool>0</vt:bool>
  </property>
  <property fmtid="{D5CDD505-2E9C-101B-9397-08002B2CF9AE}" pid="7" name="LinksUpToDate">
    <vt:bool>0</vt:bool>
  </property>
  <property fmtid="{D5CDD505-2E9C-101B-9397-08002B2CF9AE}" pid="8" name="ScaleCrop">
    <vt:bool>0</vt:bool>
  </property>
  <property fmtid="{D5CDD505-2E9C-101B-9397-08002B2CF9AE}" pid="9" name="ShareDoc">
    <vt:bool>0</vt:bool>
  </property>
  <property fmtid="{D5CDD505-2E9C-101B-9397-08002B2CF9AE}" pid="10" name="category">
    <vt:lpwstr>Information Security</vt:lpwstr>
  </property>
  <property fmtid="{D5CDD505-2E9C-101B-9397-08002B2CF9AE}" pid="11" name="contentStatus">
    <vt:lpwstr>Copyrighted 2018</vt:lpwstr>
  </property>
</Properties>
</file>