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39B8" w14:textId="5F8B6575" w:rsidR="008474EF" w:rsidRDefault="008474EF" w:rsidP="008474EF">
      <w:pPr>
        <w:pStyle w:val="Heading3"/>
        <w:rPr>
          <w:sz w:val="22"/>
        </w:rPr>
      </w:pPr>
      <w:bookmarkStart w:id="0" w:name="_Toc63311448"/>
      <w:bookmarkStart w:id="1" w:name="_Toc81460045"/>
      <w:r>
        <w:rPr>
          <w:sz w:val="22"/>
        </w:rPr>
        <w:t>Create Service Master</w:t>
      </w:r>
      <w:bookmarkEnd w:id="0"/>
      <w:bookmarkEnd w:id="1"/>
    </w:p>
    <w:p w14:paraId="55FB22E1" w14:textId="77777777" w:rsidR="008474EF" w:rsidRDefault="008474EF" w:rsidP="008474EF">
      <w:pPr>
        <w:rPr>
          <w:b/>
          <w:sz w:val="22"/>
        </w:rPr>
      </w:pPr>
    </w:p>
    <w:p w14:paraId="1E76062E" w14:textId="77777777" w:rsidR="008474EF" w:rsidRDefault="008474EF" w:rsidP="008474EF">
      <w:pPr>
        <w:rPr>
          <w:b/>
          <w:sz w:val="22"/>
        </w:rPr>
      </w:pPr>
      <w:r>
        <w:rPr>
          <w:b/>
          <w:sz w:val="22"/>
        </w:rPr>
        <w:t>Process Flowchart</w:t>
      </w:r>
    </w:p>
    <w:p w14:paraId="30D7D087" w14:textId="77777777" w:rsidR="008474EF" w:rsidRDefault="008474EF" w:rsidP="008474EF">
      <w:pPr>
        <w:rPr>
          <w:sz w:val="22"/>
        </w:rPr>
      </w:pPr>
      <w:r>
        <w:rPr>
          <w:sz w:val="22"/>
        </w:rPr>
        <w:t>None</w:t>
      </w:r>
    </w:p>
    <w:p w14:paraId="62679F43" w14:textId="77777777" w:rsidR="008474EF" w:rsidRDefault="008474EF" w:rsidP="008474EF">
      <w:pPr>
        <w:rPr>
          <w:sz w:val="22"/>
        </w:rPr>
      </w:pPr>
    </w:p>
    <w:p w14:paraId="3C55AD79" w14:textId="77777777" w:rsidR="008474EF" w:rsidRDefault="008474EF" w:rsidP="008474EF">
      <w:pPr>
        <w:rPr>
          <w:b/>
          <w:sz w:val="22"/>
        </w:rPr>
      </w:pPr>
      <w:r>
        <w:rPr>
          <w:b/>
          <w:sz w:val="22"/>
        </w:rPr>
        <w:t>Actors</w:t>
      </w:r>
    </w:p>
    <w:p w14:paraId="3DECD685" w14:textId="332AB72F" w:rsidR="008474EF" w:rsidRDefault="00F8590D" w:rsidP="008474EF">
      <w:pPr>
        <w:pStyle w:val="BodyTextIndent"/>
        <w:ind w:left="0"/>
        <w:rPr>
          <w:sz w:val="22"/>
        </w:rPr>
      </w:pPr>
      <w:r>
        <w:rPr>
          <w:sz w:val="22"/>
        </w:rPr>
        <w:t>Hospital Admin</w:t>
      </w:r>
    </w:p>
    <w:p w14:paraId="41EE84CF" w14:textId="77777777" w:rsidR="008474EF" w:rsidRDefault="008474EF" w:rsidP="008474EF">
      <w:pPr>
        <w:rPr>
          <w:b/>
          <w:sz w:val="22"/>
        </w:rPr>
      </w:pPr>
    </w:p>
    <w:p w14:paraId="520BF83F" w14:textId="40D56717" w:rsidR="008474EF" w:rsidRPr="00F8590D" w:rsidRDefault="008474EF" w:rsidP="00F8590D">
      <w:pPr>
        <w:rPr>
          <w:b/>
          <w:sz w:val="22"/>
        </w:rPr>
      </w:pPr>
      <w:r>
        <w:rPr>
          <w:b/>
          <w:sz w:val="22"/>
        </w:rPr>
        <w:t>Function Requirements</w:t>
      </w:r>
    </w:p>
    <w:p w14:paraId="303F76CF" w14:textId="0638DD5F" w:rsidR="008474EF" w:rsidRDefault="008474EF" w:rsidP="008474EF">
      <w:pPr>
        <w:numPr>
          <w:ilvl w:val="0"/>
          <w:numId w:val="4"/>
        </w:numPr>
        <w:jc w:val="both"/>
        <w:rPr>
          <w:sz w:val="22"/>
        </w:rPr>
      </w:pPr>
      <w:r>
        <w:rPr>
          <w:sz w:val="22"/>
        </w:rPr>
        <w:t xml:space="preserve">Service has service </w:t>
      </w:r>
      <w:r w:rsidR="00F8590D">
        <w:rPr>
          <w:sz w:val="22"/>
        </w:rPr>
        <w:t xml:space="preserve">categories / </w:t>
      </w:r>
      <w:r>
        <w:rPr>
          <w:sz w:val="22"/>
        </w:rPr>
        <w:t xml:space="preserve">types </w:t>
      </w:r>
      <w:proofErr w:type="gramStart"/>
      <w:r>
        <w:rPr>
          <w:sz w:val="22"/>
        </w:rPr>
        <w:t>e.g.</w:t>
      </w:r>
      <w:proofErr w:type="gramEnd"/>
      <w:r>
        <w:rPr>
          <w:sz w:val="22"/>
        </w:rPr>
        <w:t xml:space="preserve"> diagnostic services, stay charges, consultation fees etc.</w:t>
      </w:r>
      <w:r w:rsidR="00F8590D">
        <w:rPr>
          <w:sz w:val="22"/>
        </w:rPr>
        <w:t xml:space="preserve"> as per MDDS Code Directory CD05.080</w:t>
      </w:r>
    </w:p>
    <w:p w14:paraId="0DBDA896" w14:textId="77777777" w:rsidR="008474EF" w:rsidRDefault="008474EF" w:rsidP="008474EF">
      <w:pPr>
        <w:numPr>
          <w:ilvl w:val="0"/>
          <w:numId w:val="4"/>
        </w:numPr>
        <w:jc w:val="both"/>
        <w:rPr>
          <w:sz w:val="22"/>
        </w:rPr>
      </w:pPr>
      <w:r>
        <w:rPr>
          <w:sz w:val="22"/>
        </w:rPr>
        <w:t xml:space="preserve">Service can be shared by doctors / technicians. If </w:t>
      </w:r>
      <w:proofErr w:type="gramStart"/>
      <w:r>
        <w:rPr>
          <w:sz w:val="22"/>
        </w:rPr>
        <w:t>so</w:t>
      </w:r>
      <w:proofErr w:type="gramEnd"/>
      <w:r>
        <w:rPr>
          <w:sz w:val="22"/>
        </w:rPr>
        <w:t xml:space="preserve"> it is appropriately identified.</w:t>
      </w:r>
    </w:p>
    <w:p w14:paraId="3FF93D9C" w14:textId="77777777" w:rsidR="008474EF" w:rsidRDefault="008474EF" w:rsidP="008474EF">
      <w:pPr>
        <w:numPr>
          <w:ilvl w:val="0"/>
          <w:numId w:val="4"/>
        </w:numPr>
        <w:jc w:val="both"/>
        <w:rPr>
          <w:sz w:val="22"/>
        </w:rPr>
      </w:pPr>
      <w:r>
        <w:rPr>
          <w:sz w:val="22"/>
        </w:rPr>
        <w:t>Some services are orderable while some are not.</w:t>
      </w:r>
    </w:p>
    <w:p w14:paraId="57BD6F93" w14:textId="77777777" w:rsidR="008474EF" w:rsidRDefault="008474EF" w:rsidP="008474EF">
      <w:pPr>
        <w:numPr>
          <w:ilvl w:val="0"/>
          <w:numId w:val="4"/>
        </w:numPr>
        <w:jc w:val="both"/>
        <w:rPr>
          <w:sz w:val="22"/>
        </w:rPr>
      </w:pPr>
      <w:r>
        <w:rPr>
          <w:sz w:val="22"/>
        </w:rPr>
        <w:t>Some services are made up of other services. Such services are called Component services.</w:t>
      </w:r>
    </w:p>
    <w:p w14:paraId="196E3571" w14:textId="77777777" w:rsidR="008474EF" w:rsidRDefault="008474EF" w:rsidP="008474EF">
      <w:pPr>
        <w:numPr>
          <w:ilvl w:val="0"/>
          <w:numId w:val="4"/>
        </w:numPr>
        <w:jc w:val="both"/>
        <w:rPr>
          <w:sz w:val="22"/>
        </w:rPr>
      </w:pPr>
      <w:r>
        <w:rPr>
          <w:sz w:val="22"/>
        </w:rPr>
        <w:t>Some services can be automatically posted as part of auto-post process. Bed charges and Daily treatment fees fall under this type.</w:t>
      </w:r>
    </w:p>
    <w:p w14:paraId="3404FE21" w14:textId="77777777" w:rsidR="008474EF" w:rsidRDefault="008474EF" w:rsidP="008474EF">
      <w:pPr>
        <w:numPr>
          <w:ilvl w:val="0"/>
          <w:numId w:val="4"/>
        </w:numPr>
        <w:jc w:val="both"/>
        <w:rPr>
          <w:sz w:val="22"/>
        </w:rPr>
      </w:pPr>
      <w:r>
        <w:rPr>
          <w:sz w:val="22"/>
        </w:rPr>
        <w:t>Some services are based on time of usage. Indicators for such services are to be set accordingly.</w:t>
      </w:r>
    </w:p>
    <w:p w14:paraId="3E95F5CE" w14:textId="2391ECD4" w:rsidR="008474EF" w:rsidRDefault="008474EF" w:rsidP="008474EF">
      <w:pPr>
        <w:numPr>
          <w:ilvl w:val="0"/>
          <w:numId w:val="4"/>
        </w:numPr>
        <w:jc w:val="both"/>
        <w:rPr>
          <w:sz w:val="22"/>
        </w:rPr>
      </w:pPr>
      <w:r>
        <w:rPr>
          <w:sz w:val="22"/>
        </w:rPr>
        <w:t xml:space="preserve">Units of service is defined e.g. </w:t>
      </w:r>
      <w:proofErr w:type="spellStart"/>
      <w:r>
        <w:rPr>
          <w:sz w:val="22"/>
        </w:rPr>
        <w:t>Hrs</w:t>
      </w:r>
      <w:proofErr w:type="spellEnd"/>
      <w:r>
        <w:rPr>
          <w:sz w:val="22"/>
        </w:rPr>
        <w:t xml:space="preserve">, Days, Tests </w:t>
      </w:r>
      <w:proofErr w:type="gramStart"/>
      <w:r>
        <w:rPr>
          <w:sz w:val="22"/>
        </w:rPr>
        <w:t>etc.</w:t>
      </w:r>
      <w:r w:rsidR="00D73D20">
        <w:rPr>
          <w:sz w:val="22"/>
        </w:rPr>
        <w:t>(</w:t>
      </w:r>
      <w:proofErr w:type="gramEnd"/>
      <w:r w:rsidR="00D73D20" w:rsidRPr="00D73D20">
        <w:rPr>
          <w:b/>
          <w:bCs/>
          <w:color w:val="70AD47" w:themeColor="accent6"/>
          <w:sz w:val="22"/>
        </w:rPr>
        <w:t>list of values to be defined)</w:t>
      </w:r>
    </w:p>
    <w:p w14:paraId="1A03B40F" w14:textId="1387067D" w:rsidR="008474EF" w:rsidRDefault="008474EF" w:rsidP="008474EF">
      <w:pPr>
        <w:numPr>
          <w:ilvl w:val="0"/>
          <w:numId w:val="4"/>
        </w:numPr>
        <w:jc w:val="both"/>
        <w:rPr>
          <w:sz w:val="22"/>
        </w:rPr>
      </w:pPr>
      <w:r>
        <w:rPr>
          <w:sz w:val="22"/>
        </w:rPr>
        <w:t>Some services are globally excluded from being used for packages. Indicator for such services is set accordingly.</w:t>
      </w:r>
      <w:r w:rsidR="00D73D20">
        <w:rPr>
          <w:sz w:val="22"/>
        </w:rPr>
        <w:t xml:space="preserve"> (</w:t>
      </w:r>
      <w:r w:rsidR="00D73D20">
        <w:rPr>
          <w:b/>
          <w:bCs/>
          <w:color w:val="70AD47" w:themeColor="accent6"/>
          <w:sz w:val="22"/>
        </w:rPr>
        <w:t>Facility level</w:t>
      </w:r>
      <w:r w:rsidR="00D73D20">
        <w:rPr>
          <w:sz w:val="22"/>
        </w:rPr>
        <w:t>)</w:t>
      </w:r>
    </w:p>
    <w:p w14:paraId="1D4808E9" w14:textId="21DA9A0C" w:rsidR="008474EF" w:rsidRPr="00F8590D" w:rsidRDefault="008474EF" w:rsidP="00F8590D">
      <w:pPr>
        <w:numPr>
          <w:ilvl w:val="0"/>
          <w:numId w:val="4"/>
        </w:numPr>
        <w:jc w:val="both"/>
        <w:rPr>
          <w:sz w:val="22"/>
        </w:rPr>
      </w:pPr>
      <w:r>
        <w:rPr>
          <w:sz w:val="22"/>
        </w:rPr>
        <w:t>Some services are globally excluded from being used for discounts. Indicator for such services is set accordingly.</w:t>
      </w:r>
      <w:r w:rsidR="00D73D20">
        <w:rPr>
          <w:sz w:val="22"/>
        </w:rPr>
        <w:t xml:space="preserve"> (</w:t>
      </w:r>
      <w:r w:rsidR="00D73D20">
        <w:rPr>
          <w:b/>
          <w:bCs/>
          <w:color w:val="70AD47" w:themeColor="accent6"/>
          <w:sz w:val="22"/>
        </w:rPr>
        <w:t>Facility level</w:t>
      </w:r>
      <w:r w:rsidR="00D73D20">
        <w:rPr>
          <w:sz w:val="22"/>
        </w:rPr>
        <w:t>)</w:t>
      </w:r>
    </w:p>
    <w:p w14:paraId="6F8A84C5" w14:textId="57A88569" w:rsidR="008474EF" w:rsidRDefault="008474EF" w:rsidP="008474EF">
      <w:pPr>
        <w:pStyle w:val="BodyTextIndent"/>
        <w:numPr>
          <w:ilvl w:val="0"/>
          <w:numId w:val="4"/>
        </w:numPr>
        <w:jc w:val="both"/>
        <w:rPr>
          <w:sz w:val="22"/>
        </w:rPr>
      </w:pPr>
      <w:r>
        <w:rPr>
          <w:sz w:val="22"/>
        </w:rPr>
        <w:t xml:space="preserve">Component service is a special type of service. This service has other services as its members. </w:t>
      </w:r>
      <w:r w:rsidR="00D73D20" w:rsidRPr="00D73D20">
        <w:rPr>
          <w:b/>
          <w:bCs/>
          <w:color w:val="70AD47" w:themeColor="accent6"/>
          <w:sz w:val="22"/>
        </w:rPr>
        <w:t>(4)</w:t>
      </w:r>
    </w:p>
    <w:p w14:paraId="30146743" w14:textId="194024CB" w:rsidR="008474EF" w:rsidRDefault="008474EF" w:rsidP="008474EF">
      <w:pPr>
        <w:pStyle w:val="BodyTextIndent"/>
        <w:numPr>
          <w:ilvl w:val="0"/>
          <w:numId w:val="4"/>
        </w:numPr>
        <w:jc w:val="both"/>
        <w:rPr>
          <w:sz w:val="22"/>
        </w:rPr>
      </w:pPr>
      <w:r>
        <w:rPr>
          <w:sz w:val="22"/>
        </w:rPr>
        <w:t>Material management system automatically creates service in service master. While doing so, the type is set as “Material” and “Inventory flag is set as “Yes”. While creating service from “Create Service Master” process. Inventory flag is automatically set as “</w:t>
      </w:r>
      <w:proofErr w:type="gramStart"/>
      <w:r>
        <w:rPr>
          <w:sz w:val="22"/>
        </w:rPr>
        <w:t xml:space="preserve">No”  </w:t>
      </w:r>
      <w:r w:rsidR="00D73D20">
        <w:rPr>
          <w:sz w:val="22"/>
        </w:rPr>
        <w:t>(</w:t>
      </w:r>
      <w:proofErr w:type="gramEnd"/>
      <w:r w:rsidR="00714E7E">
        <w:rPr>
          <w:b/>
          <w:bCs/>
          <w:color w:val="70AD47" w:themeColor="accent6"/>
          <w:sz w:val="22"/>
        </w:rPr>
        <w:t>if a service is created through a service master then the default value for material is false, if created through material system then it should be true)</w:t>
      </w:r>
    </w:p>
    <w:p w14:paraId="19CA4C2F" w14:textId="54F6C47B" w:rsidR="008474EF" w:rsidRDefault="008474EF" w:rsidP="008474EF">
      <w:pPr>
        <w:pStyle w:val="BodyTextIndent"/>
        <w:numPr>
          <w:ilvl w:val="0"/>
          <w:numId w:val="4"/>
        </w:numPr>
        <w:jc w:val="both"/>
        <w:rPr>
          <w:sz w:val="22"/>
        </w:rPr>
      </w:pPr>
      <w:r>
        <w:rPr>
          <w:sz w:val="22"/>
        </w:rPr>
        <w:t>Each service falls into a Billing group. Billing groups are used to group the services together while printing the bill.</w:t>
      </w:r>
      <w:r w:rsidR="00714E7E">
        <w:rPr>
          <w:sz w:val="22"/>
        </w:rPr>
        <w:t xml:space="preserve"> (</w:t>
      </w:r>
      <w:proofErr w:type="gramStart"/>
      <w:r w:rsidR="00714E7E" w:rsidRPr="00714E7E">
        <w:rPr>
          <w:b/>
          <w:bCs/>
          <w:color w:val="70AD47" w:themeColor="accent6"/>
          <w:sz w:val="22"/>
        </w:rPr>
        <w:t>need</w:t>
      </w:r>
      <w:proofErr w:type="gramEnd"/>
      <w:r w:rsidR="00714E7E" w:rsidRPr="00714E7E">
        <w:rPr>
          <w:b/>
          <w:bCs/>
          <w:color w:val="70AD47" w:themeColor="accent6"/>
          <w:sz w:val="22"/>
        </w:rPr>
        <w:t xml:space="preserve"> to create a billing group</w:t>
      </w:r>
      <w:r w:rsidR="00714E7E">
        <w:rPr>
          <w:b/>
          <w:bCs/>
          <w:color w:val="70AD47" w:themeColor="accent6"/>
          <w:sz w:val="22"/>
        </w:rPr>
        <w:t xml:space="preserve"> list, system level</w:t>
      </w:r>
      <w:r w:rsidR="00714E7E">
        <w:rPr>
          <w:sz w:val="22"/>
        </w:rPr>
        <w:t>)</w:t>
      </w:r>
    </w:p>
    <w:p w14:paraId="00D96E8F" w14:textId="64393E81" w:rsidR="008474EF" w:rsidRPr="00714E7E" w:rsidRDefault="008474EF" w:rsidP="00714E7E">
      <w:pPr>
        <w:pStyle w:val="BodyTextIndent"/>
        <w:numPr>
          <w:ilvl w:val="0"/>
          <w:numId w:val="4"/>
        </w:numPr>
        <w:jc w:val="both"/>
        <w:rPr>
          <w:sz w:val="22"/>
        </w:rPr>
      </w:pPr>
      <w:r>
        <w:rPr>
          <w:sz w:val="22"/>
        </w:rPr>
        <w:t>Each of the service fall under one MIS group. All the services under one MIS group are considered one service while reporting MIS.</w:t>
      </w:r>
      <w:r w:rsidR="00714E7E">
        <w:rPr>
          <w:sz w:val="22"/>
        </w:rPr>
        <w:t xml:space="preserve"> </w:t>
      </w:r>
      <w:r w:rsidR="00714E7E">
        <w:rPr>
          <w:sz w:val="22"/>
        </w:rPr>
        <w:t>(</w:t>
      </w:r>
      <w:proofErr w:type="gramStart"/>
      <w:r w:rsidR="00714E7E" w:rsidRPr="00714E7E">
        <w:rPr>
          <w:b/>
          <w:bCs/>
          <w:color w:val="70AD47" w:themeColor="accent6"/>
          <w:sz w:val="22"/>
        </w:rPr>
        <w:t>need</w:t>
      </w:r>
      <w:proofErr w:type="gramEnd"/>
      <w:r w:rsidR="00714E7E" w:rsidRPr="00714E7E">
        <w:rPr>
          <w:b/>
          <w:bCs/>
          <w:color w:val="70AD47" w:themeColor="accent6"/>
          <w:sz w:val="22"/>
        </w:rPr>
        <w:t xml:space="preserve"> to create a </w:t>
      </w:r>
      <w:r w:rsidR="00714E7E">
        <w:rPr>
          <w:b/>
          <w:bCs/>
          <w:color w:val="70AD47" w:themeColor="accent6"/>
          <w:sz w:val="22"/>
        </w:rPr>
        <w:t>MIS</w:t>
      </w:r>
      <w:r w:rsidR="00714E7E">
        <w:rPr>
          <w:b/>
          <w:bCs/>
          <w:color w:val="70AD47" w:themeColor="accent6"/>
          <w:sz w:val="22"/>
        </w:rPr>
        <w:t xml:space="preserve"> list, system level</w:t>
      </w:r>
      <w:r w:rsidR="00714E7E">
        <w:rPr>
          <w:sz w:val="22"/>
        </w:rPr>
        <w:t>)</w:t>
      </w:r>
    </w:p>
    <w:p w14:paraId="3073225E" w14:textId="77777777" w:rsidR="008474EF" w:rsidRDefault="008474EF" w:rsidP="008474EF">
      <w:pPr>
        <w:pStyle w:val="BodyTextIndent"/>
        <w:numPr>
          <w:ilvl w:val="0"/>
          <w:numId w:val="4"/>
        </w:numPr>
        <w:jc w:val="both"/>
        <w:rPr>
          <w:sz w:val="22"/>
        </w:rPr>
      </w:pPr>
      <w:r>
        <w:t xml:space="preserve">Some of the services have fixed provider (group of doctors) hence not needed to enter at the time of charge posting. Some of the services have default provider. Some of the services, though provided by external provider, may neither have fixed provider nor default provider, </w:t>
      </w:r>
      <w:proofErr w:type="gramStart"/>
      <w:r>
        <w:t>If</w:t>
      </w:r>
      <w:proofErr w:type="gramEnd"/>
      <w:r>
        <w:t xml:space="preserve"> shared amount varies from one provider to another then the share amount or percentage is defined in service / sharer link table. If shared percentage is fixed for fixed provider then it is defined in service master.</w:t>
      </w:r>
    </w:p>
    <w:p w14:paraId="5DD6038D" w14:textId="64EEDC93" w:rsidR="008D3FC2" w:rsidRDefault="008474EF" w:rsidP="008D3FC2">
      <w:pPr>
        <w:pStyle w:val="BodyTextIndent"/>
        <w:numPr>
          <w:ilvl w:val="0"/>
          <w:numId w:val="4"/>
        </w:numPr>
        <w:jc w:val="both"/>
        <w:rPr>
          <w:sz w:val="22"/>
        </w:rPr>
      </w:pPr>
      <w:r>
        <w:t>UOS</w:t>
      </w:r>
      <w:r w:rsidR="008D3FC2">
        <w:t xml:space="preserve"> (unit of service)</w:t>
      </w:r>
      <w:r>
        <w:t xml:space="preserve"> for each service is identified.</w:t>
      </w:r>
      <w:r w:rsidR="008D3FC2" w:rsidRPr="008D3FC2">
        <w:rPr>
          <w:sz w:val="22"/>
        </w:rPr>
        <w:t xml:space="preserve"> </w:t>
      </w:r>
      <w:r w:rsidR="008D3FC2">
        <w:rPr>
          <w:sz w:val="22"/>
        </w:rPr>
        <w:t>(</w:t>
      </w:r>
      <w:proofErr w:type="gramStart"/>
      <w:r w:rsidR="008D3FC2" w:rsidRPr="00714E7E">
        <w:rPr>
          <w:b/>
          <w:bCs/>
          <w:color w:val="70AD47" w:themeColor="accent6"/>
          <w:sz w:val="22"/>
        </w:rPr>
        <w:t>need</w:t>
      </w:r>
      <w:proofErr w:type="gramEnd"/>
      <w:r w:rsidR="008D3FC2" w:rsidRPr="00714E7E">
        <w:rPr>
          <w:b/>
          <w:bCs/>
          <w:color w:val="70AD47" w:themeColor="accent6"/>
          <w:sz w:val="22"/>
        </w:rPr>
        <w:t xml:space="preserve"> to create a </w:t>
      </w:r>
      <w:r w:rsidR="008D3FC2">
        <w:t xml:space="preserve">UOS </w:t>
      </w:r>
      <w:r w:rsidR="008D3FC2">
        <w:rPr>
          <w:b/>
          <w:bCs/>
          <w:color w:val="70AD47" w:themeColor="accent6"/>
          <w:sz w:val="22"/>
        </w:rPr>
        <w:t>list, system level</w:t>
      </w:r>
      <w:r w:rsidR="008D3FC2">
        <w:rPr>
          <w:sz w:val="22"/>
        </w:rPr>
        <w:t>)</w:t>
      </w:r>
    </w:p>
    <w:p w14:paraId="4BFA2F64" w14:textId="7653234B" w:rsidR="008474EF" w:rsidRDefault="008474EF" w:rsidP="008D3FC2">
      <w:pPr>
        <w:pStyle w:val="BodyTextIndent"/>
        <w:ind w:left="0"/>
        <w:jc w:val="both"/>
        <w:rPr>
          <w:sz w:val="22"/>
        </w:rPr>
      </w:pPr>
    </w:p>
    <w:p w14:paraId="57F8D9FE" w14:textId="77777777" w:rsidR="008474EF" w:rsidRDefault="008474EF" w:rsidP="008474EF">
      <w:pPr>
        <w:pStyle w:val="BodyTextIndent"/>
        <w:ind w:left="0"/>
        <w:jc w:val="both"/>
        <w:rPr>
          <w:sz w:val="22"/>
        </w:rPr>
      </w:pPr>
    </w:p>
    <w:p w14:paraId="00CFD286" w14:textId="77777777" w:rsidR="008474EF" w:rsidRDefault="008474EF" w:rsidP="008474EF">
      <w:pPr>
        <w:pStyle w:val="Heading5"/>
      </w:pPr>
      <w:r>
        <w:t>Pre-process conditions</w:t>
      </w:r>
    </w:p>
    <w:p w14:paraId="3FCC0BB6" w14:textId="77777777" w:rsidR="008474EF" w:rsidRDefault="008474EF" w:rsidP="008474EF">
      <w:pPr>
        <w:rPr>
          <w:sz w:val="22"/>
        </w:rPr>
      </w:pPr>
      <w:r>
        <w:rPr>
          <w:sz w:val="22"/>
        </w:rPr>
        <w:t>Department is created.</w:t>
      </w:r>
    </w:p>
    <w:p w14:paraId="11EA2554" w14:textId="77777777" w:rsidR="008474EF" w:rsidRDefault="008474EF" w:rsidP="008474EF">
      <w:pPr>
        <w:rPr>
          <w:sz w:val="22"/>
        </w:rPr>
      </w:pPr>
      <w:r>
        <w:rPr>
          <w:sz w:val="22"/>
        </w:rPr>
        <w:t>Section is created.</w:t>
      </w:r>
    </w:p>
    <w:p w14:paraId="5EA6CF25" w14:textId="77777777" w:rsidR="008474EF" w:rsidRDefault="008474EF" w:rsidP="008474EF">
      <w:pPr>
        <w:rPr>
          <w:sz w:val="22"/>
        </w:rPr>
      </w:pPr>
      <w:r>
        <w:rPr>
          <w:sz w:val="22"/>
        </w:rPr>
        <w:t>Service category is created.</w:t>
      </w:r>
    </w:p>
    <w:p w14:paraId="4065B128" w14:textId="77777777" w:rsidR="008474EF" w:rsidRDefault="008474EF" w:rsidP="008474EF">
      <w:pPr>
        <w:rPr>
          <w:sz w:val="22"/>
        </w:rPr>
      </w:pPr>
    </w:p>
    <w:p w14:paraId="184A28E5" w14:textId="77777777" w:rsidR="008474EF" w:rsidRDefault="008474EF" w:rsidP="008474EF">
      <w:pPr>
        <w:rPr>
          <w:b/>
          <w:sz w:val="22"/>
        </w:rPr>
      </w:pPr>
      <w:r>
        <w:rPr>
          <w:b/>
          <w:sz w:val="22"/>
        </w:rPr>
        <w:t>Steps and rules</w:t>
      </w:r>
    </w:p>
    <w:p w14:paraId="700F991A" w14:textId="77777777" w:rsidR="008474EF" w:rsidRDefault="008474EF" w:rsidP="008474EF">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8474EF" w14:paraId="1DCA9A8F" w14:textId="77777777" w:rsidTr="0067296E">
        <w:tc>
          <w:tcPr>
            <w:tcW w:w="2952" w:type="dxa"/>
          </w:tcPr>
          <w:p w14:paraId="21717854" w14:textId="77777777" w:rsidR="008474EF" w:rsidRDefault="008474EF" w:rsidP="0067296E">
            <w:pPr>
              <w:pStyle w:val="BodyTextIndent"/>
              <w:ind w:left="0"/>
              <w:rPr>
                <w:b/>
                <w:sz w:val="22"/>
              </w:rPr>
            </w:pPr>
            <w:r>
              <w:rPr>
                <w:b/>
                <w:sz w:val="22"/>
              </w:rPr>
              <w:t>Task Sequence</w:t>
            </w:r>
          </w:p>
        </w:tc>
        <w:tc>
          <w:tcPr>
            <w:tcW w:w="2952" w:type="dxa"/>
          </w:tcPr>
          <w:p w14:paraId="1921E7FD" w14:textId="77777777" w:rsidR="008474EF" w:rsidRDefault="008474EF" w:rsidP="0067296E">
            <w:pPr>
              <w:pStyle w:val="BodyTextIndent"/>
              <w:ind w:left="0"/>
              <w:rPr>
                <w:b/>
                <w:sz w:val="22"/>
              </w:rPr>
            </w:pPr>
            <w:r>
              <w:rPr>
                <w:b/>
                <w:sz w:val="22"/>
              </w:rPr>
              <w:t>Rule</w:t>
            </w:r>
          </w:p>
        </w:tc>
        <w:tc>
          <w:tcPr>
            <w:tcW w:w="2952" w:type="dxa"/>
          </w:tcPr>
          <w:p w14:paraId="44CD9499" w14:textId="77777777" w:rsidR="008474EF" w:rsidRDefault="008474EF" w:rsidP="0067296E">
            <w:pPr>
              <w:pStyle w:val="BodyTextIndent"/>
              <w:ind w:left="0"/>
              <w:rPr>
                <w:b/>
                <w:sz w:val="22"/>
              </w:rPr>
            </w:pPr>
            <w:r>
              <w:rPr>
                <w:b/>
                <w:sz w:val="22"/>
              </w:rPr>
              <w:t>Exception</w:t>
            </w:r>
          </w:p>
        </w:tc>
      </w:tr>
      <w:tr w:rsidR="008474EF" w14:paraId="6F3291DE" w14:textId="77777777" w:rsidTr="0067296E">
        <w:tc>
          <w:tcPr>
            <w:tcW w:w="2952" w:type="dxa"/>
          </w:tcPr>
          <w:p w14:paraId="009825C9" w14:textId="77777777" w:rsidR="008474EF" w:rsidRDefault="008474EF" w:rsidP="008474EF">
            <w:pPr>
              <w:pStyle w:val="BodyTextIndent"/>
              <w:numPr>
                <w:ilvl w:val="0"/>
                <w:numId w:val="3"/>
              </w:numPr>
              <w:rPr>
                <w:sz w:val="22"/>
              </w:rPr>
            </w:pPr>
            <w:r>
              <w:rPr>
                <w:sz w:val="22"/>
              </w:rPr>
              <w:lastRenderedPageBreak/>
              <w:t>User enters service code</w:t>
            </w:r>
          </w:p>
        </w:tc>
        <w:tc>
          <w:tcPr>
            <w:tcW w:w="2952" w:type="dxa"/>
          </w:tcPr>
          <w:p w14:paraId="67EE4E95" w14:textId="77777777" w:rsidR="008474EF" w:rsidRDefault="008474EF" w:rsidP="0067296E">
            <w:pPr>
              <w:pStyle w:val="BodyTextIndent"/>
              <w:ind w:left="0"/>
              <w:rPr>
                <w:sz w:val="22"/>
              </w:rPr>
            </w:pPr>
            <w:r>
              <w:rPr>
                <w:sz w:val="22"/>
              </w:rPr>
              <w:t>Duplicate service code is not allowed</w:t>
            </w:r>
          </w:p>
        </w:tc>
        <w:tc>
          <w:tcPr>
            <w:tcW w:w="2952" w:type="dxa"/>
          </w:tcPr>
          <w:p w14:paraId="1F2D7EAB" w14:textId="40051BDE" w:rsidR="008474EF" w:rsidRDefault="00D14ECA" w:rsidP="0067296E">
            <w:pPr>
              <w:pStyle w:val="BodyTextIndent"/>
              <w:ind w:left="0"/>
              <w:rPr>
                <w:sz w:val="22"/>
              </w:rPr>
            </w:pPr>
            <w:r>
              <w:rPr>
                <w:sz w:val="22"/>
              </w:rPr>
              <w:t>Mandatory</w:t>
            </w:r>
          </w:p>
          <w:p w14:paraId="3C499DAC" w14:textId="7DF0EFD3" w:rsidR="00D14ECA" w:rsidRDefault="00D14ECA" w:rsidP="0067296E">
            <w:pPr>
              <w:pStyle w:val="BodyTextIndent"/>
              <w:ind w:left="0"/>
              <w:rPr>
                <w:sz w:val="22"/>
              </w:rPr>
            </w:pPr>
          </w:p>
        </w:tc>
      </w:tr>
      <w:tr w:rsidR="008474EF" w14:paraId="3A501EDC" w14:textId="77777777" w:rsidTr="0067296E">
        <w:tc>
          <w:tcPr>
            <w:tcW w:w="2952" w:type="dxa"/>
          </w:tcPr>
          <w:p w14:paraId="0212EF4F" w14:textId="77777777" w:rsidR="008474EF" w:rsidRDefault="008474EF" w:rsidP="008474EF">
            <w:pPr>
              <w:pStyle w:val="BodyTextIndent"/>
              <w:numPr>
                <w:ilvl w:val="0"/>
                <w:numId w:val="3"/>
              </w:numPr>
              <w:rPr>
                <w:sz w:val="22"/>
              </w:rPr>
            </w:pPr>
            <w:r>
              <w:rPr>
                <w:sz w:val="22"/>
              </w:rPr>
              <w:t>User enters service name</w:t>
            </w:r>
          </w:p>
        </w:tc>
        <w:tc>
          <w:tcPr>
            <w:tcW w:w="2952" w:type="dxa"/>
          </w:tcPr>
          <w:p w14:paraId="2B734E57" w14:textId="14B1BF0F" w:rsidR="008474EF" w:rsidRDefault="00555993" w:rsidP="0067296E">
            <w:pPr>
              <w:pStyle w:val="BodyTextIndent"/>
              <w:ind w:left="0"/>
              <w:rPr>
                <w:sz w:val="22"/>
              </w:rPr>
            </w:pPr>
            <w:r>
              <w:rPr>
                <w:sz w:val="22"/>
              </w:rPr>
              <w:t xml:space="preserve">Duplicate service </w:t>
            </w:r>
            <w:r>
              <w:rPr>
                <w:sz w:val="22"/>
              </w:rPr>
              <w:t>name</w:t>
            </w:r>
            <w:r>
              <w:rPr>
                <w:sz w:val="22"/>
              </w:rPr>
              <w:t xml:space="preserve"> is not allowed</w:t>
            </w:r>
          </w:p>
        </w:tc>
        <w:tc>
          <w:tcPr>
            <w:tcW w:w="2952" w:type="dxa"/>
          </w:tcPr>
          <w:p w14:paraId="0175907F" w14:textId="77777777" w:rsidR="00D14ECA" w:rsidRDefault="00D14ECA" w:rsidP="00D14ECA">
            <w:pPr>
              <w:pStyle w:val="BodyTextIndent"/>
              <w:ind w:left="0"/>
              <w:rPr>
                <w:sz w:val="22"/>
              </w:rPr>
            </w:pPr>
            <w:r>
              <w:rPr>
                <w:sz w:val="22"/>
              </w:rPr>
              <w:t>Mandatory</w:t>
            </w:r>
          </w:p>
          <w:p w14:paraId="019132A2" w14:textId="77777777" w:rsidR="008474EF" w:rsidRDefault="008474EF" w:rsidP="0067296E">
            <w:pPr>
              <w:pStyle w:val="BodyTextIndent"/>
              <w:ind w:left="0"/>
              <w:rPr>
                <w:sz w:val="22"/>
              </w:rPr>
            </w:pPr>
          </w:p>
        </w:tc>
      </w:tr>
      <w:tr w:rsidR="008474EF" w14:paraId="1317A29D" w14:textId="77777777" w:rsidTr="0067296E">
        <w:tc>
          <w:tcPr>
            <w:tcW w:w="2952" w:type="dxa"/>
          </w:tcPr>
          <w:p w14:paraId="2EBCA5A1" w14:textId="75BD5465" w:rsidR="008474EF" w:rsidRDefault="008474EF" w:rsidP="008474EF">
            <w:pPr>
              <w:pStyle w:val="BodyTextIndent"/>
              <w:numPr>
                <w:ilvl w:val="0"/>
                <w:numId w:val="3"/>
              </w:numPr>
              <w:rPr>
                <w:sz w:val="22"/>
              </w:rPr>
            </w:pPr>
            <w:r>
              <w:rPr>
                <w:sz w:val="22"/>
              </w:rPr>
              <w:t>User selects service category</w:t>
            </w:r>
            <w:r w:rsidR="00F8590D">
              <w:rPr>
                <w:sz w:val="22"/>
              </w:rPr>
              <w:t xml:space="preserve"> / type</w:t>
            </w:r>
          </w:p>
        </w:tc>
        <w:tc>
          <w:tcPr>
            <w:tcW w:w="2952" w:type="dxa"/>
          </w:tcPr>
          <w:p w14:paraId="162AF047" w14:textId="77777777" w:rsidR="008474EF" w:rsidRDefault="008474EF" w:rsidP="0067296E">
            <w:pPr>
              <w:pStyle w:val="BodyTextIndent"/>
              <w:ind w:left="0"/>
              <w:rPr>
                <w:sz w:val="22"/>
              </w:rPr>
            </w:pPr>
          </w:p>
        </w:tc>
        <w:tc>
          <w:tcPr>
            <w:tcW w:w="2952" w:type="dxa"/>
          </w:tcPr>
          <w:p w14:paraId="1634F6DD" w14:textId="77777777" w:rsidR="00D14ECA" w:rsidRDefault="00D14ECA" w:rsidP="00D14ECA">
            <w:pPr>
              <w:pStyle w:val="BodyTextIndent"/>
              <w:ind w:left="0"/>
              <w:rPr>
                <w:sz w:val="22"/>
              </w:rPr>
            </w:pPr>
            <w:r>
              <w:rPr>
                <w:sz w:val="22"/>
              </w:rPr>
              <w:t>Mandatory</w:t>
            </w:r>
          </w:p>
          <w:p w14:paraId="08507EA8" w14:textId="77777777" w:rsidR="008474EF" w:rsidRDefault="008474EF" w:rsidP="0067296E">
            <w:pPr>
              <w:pStyle w:val="BodyTextIndent"/>
              <w:ind w:left="0"/>
              <w:rPr>
                <w:sz w:val="22"/>
              </w:rPr>
            </w:pPr>
          </w:p>
        </w:tc>
      </w:tr>
      <w:tr w:rsidR="008474EF" w14:paraId="2335CDA5" w14:textId="77777777" w:rsidTr="0067296E">
        <w:tc>
          <w:tcPr>
            <w:tcW w:w="2952" w:type="dxa"/>
          </w:tcPr>
          <w:p w14:paraId="0CC621A0" w14:textId="73A4A7F2" w:rsidR="008474EF" w:rsidRDefault="008474EF" w:rsidP="00F8590D">
            <w:pPr>
              <w:pStyle w:val="BodyTextIndent"/>
              <w:ind w:left="360"/>
              <w:rPr>
                <w:sz w:val="22"/>
              </w:rPr>
            </w:pPr>
          </w:p>
        </w:tc>
        <w:tc>
          <w:tcPr>
            <w:tcW w:w="2952" w:type="dxa"/>
          </w:tcPr>
          <w:p w14:paraId="2804C0A2" w14:textId="77777777" w:rsidR="008474EF" w:rsidRDefault="008474EF" w:rsidP="0067296E">
            <w:pPr>
              <w:pStyle w:val="BodyTextIndent"/>
              <w:ind w:left="0"/>
              <w:rPr>
                <w:sz w:val="22"/>
              </w:rPr>
            </w:pPr>
          </w:p>
        </w:tc>
        <w:tc>
          <w:tcPr>
            <w:tcW w:w="2952" w:type="dxa"/>
          </w:tcPr>
          <w:p w14:paraId="595EC198" w14:textId="77777777" w:rsidR="008474EF" w:rsidRDefault="008474EF" w:rsidP="0067296E">
            <w:pPr>
              <w:pStyle w:val="BodyTextIndent"/>
              <w:ind w:left="0"/>
              <w:rPr>
                <w:sz w:val="22"/>
              </w:rPr>
            </w:pPr>
          </w:p>
        </w:tc>
      </w:tr>
      <w:tr w:rsidR="008474EF" w14:paraId="12BB7EB3" w14:textId="77777777" w:rsidTr="0067296E">
        <w:tc>
          <w:tcPr>
            <w:tcW w:w="2952" w:type="dxa"/>
          </w:tcPr>
          <w:p w14:paraId="621EFC38" w14:textId="0ECBD472" w:rsidR="008474EF" w:rsidRDefault="008474EF" w:rsidP="00F8590D">
            <w:pPr>
              <w:pStyle w:val="BodyTextIndent"/>
              <w:ind w:left="360"/>
              <w:rPr>
                <w:sz w:val="22"/>
              </w:rPr>
            </w:pPr>
          </w:p>
        </w:tc>
        <w:tc>
          <w:tcPr>
            <w:tcW w:w="2952" w:type="dxa"/>
          </w:tcPr>
          <w:p w14:paraId="59BEE2E8" w14:textId="77777777" w:rsidR="008474EF" w:rsidRDefault="008474EF" w:rsidP="0067296E">
            <w:pPr>
              <w:pStyle w:val="BodyTextIndent"/>
              <w:ind w:left="0"/>
              <w:rPr>
                <w:sz w:val="22"/>
              </w:rPr>
            </w:pPr>
          </w:p>
        </w:tc>
        <w:tc>
          <w:tcPr>
            <w:tcW w:w="2952" w:type="dxa"/>
          </w:tcPr>
          <w:p w14:paraId="0B13D412" w14:textId="77777777" w:rsidR="008474EF" w:rsidRDefault="008474EF" w:rsidP="0067296E">
            <w:pPr>
              <w:pStyle w:val="BodyTextIndent"/>
              <w:ind w:left="0"/>
              <w:rPr>
                <w:sz w:val="22"/>
              </w:rPr>
            </w:pPr>
          </w:p>
        </w:tc>
      </w:tr>
      <w:tr w:rsidR="008474EF" w14:paraId="1AE5A9CF" w14:textId="77777777" w:rsidTr="0067296E">
        <w:tc>
          <w:tcPr>
            <w:tcW w:w="2952" w:type="dxa"/>
          </w:tcPr>
          <w:p w14:paraId="3DF8496E" w14:textId="77777777" w:rsidR="008474EF" w:rsidRDefault="008474EF" w:rsidP="008474EF">
            <w:pPr>
              <w:pStyle w:val="BodyTextIndent"/>
              <w:numPr>
                <w:ilvl w:val="0"/>
                <w:numId w:val="3"/>
              </w:numPr>
              <w:rPr>
                <w:sz w:val="22"/>
              </w:rPr>
            </w:pPr>
            <w:r>
              <w:rPr>
                <w:sz w:val="22"/>
              </w:rPr>
              <w:t>User marks if “Appointment required”</w:t>
            </w:r>
          </w:p>
        </w:tc>
        <w:tc>
          <w:tcPr>
            <w:tcW w:w="2952" w:type="dxa"/>
          </w:tcPr>
          <w:p w14:paraId="7925E7D6" w14:textId="77777777" w:rsidR="008474EF" w:rsidRDefault="008474EF" w:rsidP="0067296E">
            <w:pPr>
              <w:pStyle w:val="BodyTextIndent"/>
              <w:ind w:left="0"/>
              <w:rPr>
                <w:sz w:val="22"/>
              </w:rPr>
            </w:pPr>
            <w:r>
              <w:rPr>
                <w:sz w:val="22"/>
              </w:rPr>
              <w:t>If set to “Yes” then system automatically creates record in procedure master</w:t>
            </w:r>
          </w:p>
        </w:tc>
        <w:tc>
          <w:tcPr>
            <w:tcW w:w="2952" w:type="dxa"/>
          </w:tcPr>
          <w:p w14:paraId="08EF3288" w14:textId="0C3C8FF5" w:rsidR="00D14ECA" w:rsidRDefault="00D14ECA" w:rsidP="00D14ECA">
            <w:pPr>
              <w:pStyle w:val="BodyTextIndent"/>
              <w:ind w:left="0"/>
              <w:rPr>
                <w:sz w:val="22"/>
              </w:rPr>
            </w:pPr>
            <w:r>
              <w:rPr>
                <w:sz w:val="22"/>
              </w:rPr>
              <w:t>Mandatory</w:t>
            </w:r>
            <w:r>
              <w:rPr>
                <w:sz w:val="22"/>
              </w:rPr>
              <w:t xml:space="preserve"> (default: no)</w:t>
            </w:r>
          </w:p>
          <w:p w14:paraId="3E3BE5A4" w14:textId="77777777" w:rsidR="008474EF" w:rsidRDefault="008474EF" w:rsidP="0067296E">
            <w:pPr>
              <w:pStyle w:val="BodyTextIndent"/>
              <w:ind w:left="0"/>
              <w:rPr>
                <w:sz w:val="22"/>
              </w:rPr>
            </w:pPr>
          </w:p>
        </w:tc>
      </w:tr>
      <w:tr w:rsidR="008474EF" w14:paraId="72EA7102" w14:textId="77777777" w:rsidTr="0067296E">
        <w:tc>
          <w:tcPr>
            <w:tcW w:w="2952" w:type="dxa"/>
          </w:tcPr>
          <w:p w14:paraId="77B02CE2" w14:textId="77777777" w:rsidR="008474EF" w:rsidRDefault="008474EF" w:rsidP="008474EF">
            <w:pPr>
              <w:pStyle w:val="BodyTextIndent"/>
              <w:numPr>
                <w:ilvl w:val="0"/>
                <w:numId w:val="3"/>
              </w:numPr>
              <w:rPr>
                <w:sz w:val="22"/>
              </w:rPr>
            </w:pPr>
            <w:r>
              <w:rPr>
                <w:sz w:val="22"/>
              </w:rPr>
              <w:t>User selects shareable flag</w:t>
            </w:r>
          </w:p>
        </w:tc>
        <w:tc>
          <w:tcPr>
            <w:tcW w:w="2952" w:type="dxa"/>
          </w:tcPr>
          <w:p w14:paraId="3CB6CD44" w14:textId="77777777" w:rsidR="008474EF" w:rsidRDefault="008474EF" w:rsidP="0067296E">
            <w:pPr>
              <w:pStyle w:val="BodyTextIndent"/>
              <w:ind w:left="0"/>
              <w:rPr>
                <w:sz w:val="22"/>
              </w:rPr>
            </w:pPr>
            <w:r>
              <w:rPr>
                <w:sz w:val="22"/>
              </w:rPr>
              <w:t>Yes / No (Shareable flag for fees)</w:t>
            </w:r>
          </w:p>
        </w:tc>
        <w:tc>
          <w:tcPr>
            <w:tcW w:w="2952" w:type="dxa"/>
          </w:tcPr>
          <w:p w14:paraId="5B723F3D" w14:textId="4336F3B1" w:rsidR="00D14ECA" w:rsidRDefault="00D14ECA" w:rsidP="00D14ECA">
            <w:pPr>
              <w:pStyle w:val="BodyTextIndent"/>
              <w:ind w:left="0"/>
              <w:rPr>
                <w:sz w:val="22"/>
              </w:rPr>
            </w:pPr>
            <w:r>
              <w:rPr>
                <w:sz w:val="22"/>
              </w:rPr>
              <w:t>Mandatory</w:t>
            </w:r>
            <w:r>
              <w:rPr>
                <w:sz w:val="22"/>
              </w:rPr>
              <w:t xml:space="preserve"> (</w:t>
            </w:r>
            <w:proofErr w:type="gramStart"/>
            <w:r>
              <w:rPr>
                <w:sz w:val="22"/>
              </w:rPr>
              <w:t>default :</w:t>
            </w:r>
            <w:proofErr w:type="gramEnd"/>
            <w:r>
              <w:rPr>
                <w:sz w:val="22"/>
              </w:rPr>
              <w:t xml:space="preserve"> no)</w:t>
            </w:r>
          </w:p>
          <w:p w14:paraId="4BED8A96" w14:textId="77777777" w:rsidR="008474EF" w:rsidRDefault="008474EF" w:rsidP="0067296E">
            <w:pPr>
              <w:pStyle w:val="BodyTextIndent"/>
              <w:ind w:left="0"/>
              <w:rPr>
                <w:sz w:val="22"/>
              </w:rPr>
            </w:pPr>
          </w:p>
        </w:tc>
      </w:tr>
      <w:tr w:rsidR="008474EF" w14:paraId="4C25CBC9" w14:textId="77777777" w:rsidTr="0067296E">
        <w:tc>
          <w:tcPr>
            <w:tcW w:w="2952" w:type="dxa"/>
          </w:tcPr>
          <w:p w14:paraId="26FE55BC" w14:textId="77777777" w:rsidR="008474EF" w:rsidRDefault="008474EF" w:rsidP="008474EF">
            <w:pPr>
              <w:pStyle w:val="BodyTextIndent"/>
              <w:numPr>
                <w:ilvl w:val="0"/>
                <w:numId w:val="3"/>
              </w:numPr>
              <w:rPr>
                <w:sz w:val="22"/>
              </w:rPr>
            </w:pPr>
            <w:r>
              <w:rPr>
                <w:sz w:val="22"/>
              </w:rPr>
              <w:t>User sets “Orderable” flag</w:t>
            </w:r>
          </w:p>
        </w:tc>
        <w:tc>
          <w:tcPr>
            <w:tcW w:w="2952" w:type="dxa"/>
          </w:tcPr>
          <w:p w14:paraId="062BD874" w14:textId="77777777" w:rsidR="008474EF" w:rsidRDefault="008474EF" w:rsidP="0067296E">
            <w:pPr>
              <w:pStyle w:val="BodyTextIndent"/>
              <w:ind w:left="0"/>
              <w:rPr>
                <w:sz w:val="22"/>
              </w:rPr>
            </w:pPr>
            <w:r>
              <w:rPr>
                <w:sz w:val="22"/>
              </w:rPr>
              <w:t>Yes / No</w:t>
            </w:r>
          </w:p>
        </w:tc>
        <w:tc>
          <w:tcPr>
            <w:tcW w:w="2952" w:type="dxa"/>
          </w:tcPr>
          <w:p w14:paraId="48F0DD29" w14:textId="269614F0" w:rsidR="00D14ECA" w:rsidRDefault="00D14ECA" w:rsidP="00D14ECA">
            <w:pPr>
              <w:pStyle w:val="BodyTextIndent"/>
              <w:ind w:left="0"/>
              <w:rPr>
                <w:sz w:val="22"/>
              </w:rPr>
            </w:pPr>
            <w:r>
              <w:rPr>
                <w:sz w:val="22"/>
              </w:rPr>
              <w:t>Mandatory</w:t>
            </w:r>
            <w:r>
              <w:rPr>
                <w:sz w:val="22"/>
              </w:rPr>
              <w:t xml:space="preserve"> (</w:t>
            </w:r>
            <w:proofErr w:type="spellStart"/>
            <w:r>
              <w:rPr>
                <w:sz w:val="22"/>
              </w:rPr>
              <w:t>default:no</w:t>
            </w:r>
            <w:proofErr w:type="spellEnd"/>
            <w:r>
              <w:rPr>
                <w:sz w:val="22"/>
              </w:rPr>
              <w:t>)</w:t>
            </w:r>
          </w:p>
          <w:p w14:paraId="5B1B94BC" w14:textId="77777777" w:rsidR="008474EF" w:rsidRDefault="008474EF" w:rsidP="0067296E">
            <w:pPr>
              <w:pStyle w:val="BodyTextIndent"/>
              <w:ind w:left="0"/>
              <w:rPr>
                <w:sz w:val="22"/>
              </w:rPr>
            </w:pPr>
          </w:p>
        </w:tc>
      </w:tr>
      <w:tr w:rsidR="008474EF" w14:paraId="2F34EC8B" w14:textId="77777777" w:rsidTr="0067296E">
        <w:tc>
          <w:tcPr>
            <w:tcW w:w="2952" w:type="dxa"/>
          </w:tcPr>
          <w:p w14:paraId="6107AF8A" w14:textId="77777777" w:rsidR="008474EF" w:rsidRDefault="008474EF" w:rsidP="008474EF">
            <w:pPr>
              <w:pStyle w:val="BodyTextIndent"/>
              <w:numPr>
                <w:ilvl w:val="0"/>
                <w:numId w:val="3"/>
              </w:numPr>
              <w:rPr>
                <w:sz w:val="22"/>
              </w:rPr>
            </w:pPr>
            <w:r>
              <w:rPr>
                <w:sz w:val="22"/>
              </w:rPr>
              <w:t>User enters service short name</w:t>
            </w:r>
          </w:p>
        </w:tc>
        <w:tc>
          <w:tcPr>
            <w:tcW w:w="2952" w:type="dxa"/>
          </w:tcPr>
          <w:p w14:paraId="7EE632F2" w14:textId="77777777" w:rsidR="008474EF" w:rsidRDefault="008474EF" w:rsidP="0067296E">
            <w:pPr>
              <w:pStyle w:val="BodyTextIndent"/>
              <w:ind w:left="0"/>
              <w:rPr>
                <w:sz w:val="22"/>
              </w:rPr>
            </w:pPr>
            <w:r>
              <w:rPr>
                <w:sz w:val="22"/>
              </w:rPr>
              <w:t>Mandatory for orderable</w:t>
            </w:r>
          </w:p>
        </w:tc>
        <w:tc>
          <w:tcPr>
            <w:tcW w:w="2952" w:type="dxa"/>
          </w:tcPr>
          <w:p w14:paraId="54F1F564" w14:textId="77777777" w:rsidR="008474EF" w:rsidRDefault="00D14ECA" w:rsidP="0067296E">
            <w:pPr>
              <w:pStyle w:val="BodyTextIndent"/>
              <w:ind w:left="0"/>
              <w:rPr>
                <w:sz w:val="22"/>
              </w:rPr>
            </w:pPr>
            <w:r>
              <w:rPr>
                <w:sz w:val="22"/>
              </w:rPr>
              <w:t>Optional</w:t>
            </w:r>
          </w:p>
          <w:p w14:paraId="603D6ABE" w14:textId="74AABBC2" w:rsidR="00D14ECA" w:rsidRDefault="00D14ECA" w:rsidP="0067296E">
            <w:pPr>
              <w:pStyle w:val="BodyTextIndent"/>
              <w:ind w:left="0"/>
              <w:rPr>
                <w:sz w:val="22"/>
              </w:rPr>
            </w:pPr>
          </w:p>
        </w:tc>
      </w:tr>
      <w:tr w:rsidR="008474EF" w14:paraId="5CC4DABA" w14:textId="77777777" w:rsidTr="0067296E">
        <w:tc>
          <w:tcPr>
            <w:tcW w:w="2952" w:type="dxa"/>
          </w:tcPr>
          <w:p w14:paraId="1C634B18" w14:textId="77777777" w:rsidR="008474EF" w:rsidRDefault="008474EF" w:rsidP="008474EF">
            <w:pPr>
              <w:pStyle w:val="BodyTextIndent"/>
              <w:numPr>
                <w:ilvl w:val="0"/>
                <w:numId w:val="3"/>
              </w:numPr>
              <w:rPr>
                <w:sz w:val="22"/>
              </w:rPr>
            </w:pPr>
            <w:r>
              <w:rPr>
                <w:sz w:val="22"/>
              </w:rPr>
              <w:t>User sets “Auto-post” flag</w:t>
            </w:r>
          </w:p>
        </w:tc>
        <w:tc>
          <w:tcPr>
            <w:tcW w:w="2952" w:type="dxa"/>
          </w:tcPr>
          <w:p w14:paraId="28448CD8" w14:textId="77777777" w:rsidR="008474EF" w:rsidRDefault="008474EF" w:rsidP="0067296E">
            <w:pPr>
              <w:pStyle w:val="BodyTextIndent"/>
              <w:ind w:left="0"/>
              <w:rPr>
                <w:sz w:val="22"/>
              </w:rPr>
            </w:pPr>
            <w:r>
              <w:rPr>
                <w:sz w:val="22"/>
              </w:rPr>
              <w:t>Yes / No</w:t>
            </w:r>
          </w:p>
        </w:tc>
        <w:tc>
          <w:tcPr>
            <w:tcW w:w="2952" w:type="dxa"/>
          </w:tcPr>
          <w:p w14:paraId="79970770" w14:textId="761029B4" w:rsidR="00D14ECA" w:rsidRDefault="00D14ECA" w:rsidP="00D14ECA">
            <w:pPr>
              <w:pStyle w:val="BodyTextIndent"/>
              <w:ind w:left="0"/>
              <w:rPr>
                <w:sz w:val="22"/>
              </w:rPr>
            </w:pPr>
            <w:r>
              <w:rPr>
                <w:sz w:val="22"/>
              </w:rPr>
              <w:t>Mandatory</w:t>
            </w:r>
            <w:r>
              <w:rPr>
                <w:sz w:val="22"/>
              </w:rPr>
              <w:t xml:space="preserve"> (</w:t>
            </w:r>
            <w:proofErr w:type="spellStart"/>
            <w:r>
              <w:rPr>
                <w:sz w:val="22"/>
              </w:rPr>
              <w:t>default:no</w:t>
            </w:r>
            <w:proofErr w:type="spellEnd"/>
            <w:r>
              <w:rPr>
                <w:sz w:val="22"/>
              </w:rPr>
              <w:t>)</w:t>
            </w:r>
          </w:p>
          <w:p w14:paraId="68DC0BFD" w14:textId="77777777" w:rsidR="008474EF" w:rsidRDefault="008474EF" w:rsidP="0067296E">
            <w:pPr>
              <w:pStyle w:val="BodyTextIndent"/>
              <w:ind w:left="0"/>
              <w:rPr>
                <w:sz w:val="22"/>
              </w:rPr>
            </w:pPr>
          </w:p>
        </w:tc>
      </w:tr>
      <w:tr w:rsidR="008474EF" w14:paraId="085FC388" w14:textId="77777777" w:rsidTr="0067296E">
        <w:tc>
          <w:tcPr>
            <w:tcW w:w="2952" w:type="dxa"/>
          </w:tcPr>
          <w:p w14:paraId="0707E80B" w14:textId="77777777" w:rsidR="008474EF" w:rsidRDefault="008474EF" w:rsidP="008474EF">
            <w:pPr>
              <w:pStyle w:val="BodyTextIndent"/>
              <w:numPr>
                <w:ilvl w:val="0"/>
                <w:numId w:val="3"/>
              </w:numPr>
              <w:rPr>
                <w:sz w:val="22"/>
              </w:rPr>
            </w:pPr>
            <w:r>
              <w:rPr>
                <w:sz w:val="22"/>
              </w:rPr>
              <w:t>User sets Usage type</w:t>
            </w:r>
          </w:p>
        </w:tc>
        <w:tc>
          <w:tcPr>
            <w:tcW w:w="2952" w:type="dxa"/>
          </w:tcPr>
          <w:p w14:paraId="555D92A3" w14:textId="77777777" w:rsidR="008474EF" w:rsidRDefault="008474EF" w:rsidP="0067296E">
            <w:pPr>
              <w:pStyle w:val="BodyTextIndent"/>
              <w:ind w:left="0"/>
              <w:rPr>
                <w:sz w:val="22"/>
              </w:rPr>
            </w:pPr>
            <w:r>
              <w:rPr>
                <w:sz w:val="22"/>
              </w:rPr>
              <w:t>Onetime / Time based</w:t>
            </w:r>
          </w:p>
        </w:tc>
        <w:tc>
          <w:tcPr>
            <w:tcW w:w="2952" w:type="dxa"/>
          </w:tcPr>
          <w:p w14:paraId="01CF4A3D" w14:textId="27302A52" w:rsidR="008474EF" w:rsidRDefault="00D14ECA" w:rsidP="0067296E">
            <w:pPr>
              <w:pStyle w:val="BodyTextIndent"/>
              <w:ind w:left="0"/>
              <w:rPr>
                <w:sz w:val="22"/>
              </w:rPr>
            </w:pPr>
            <w:r>
              <w:rPr>
                <w:sz w:val="22"/>
              </w:rPr>
              <w:t>List (Optional)</w:t>
            </w:r>
          </w:p>
        </w:tc>
      </w:tr>
      <w:tr w:rsidR="008474EF" w14:paraId="63A199B9" w14:textId="77777777" w:rsidTr="0067296E">
        <w:tc>
          <w:tcPr>
            <w:tcW w:w="2952" w:type="dxa"/>
          </w:tcPr>
          <w:p w14:paraId="5CDCE2D1" w14:textId="77777777" w:rsidR="008474EF" w:rsidRDefault="008474EF" w:rsidP="008474EF">
            <w:pPr>
              <w:pStyle w:val="BodyTextIndent"/>
              <w:numPr>
                <w:ilvl w:val="0"/>
                <w:numId w:val="3"/>
              </w:numPr>
              <w:rPr>
                <w:sz w:val="22"/>
              </w:rPr>
            </w:pPr>
            <w:r>
              <w:rPr>
                <w:sz w:val="22"/>
              </w:rPr>
              <w:t>User selects unit of the service.</w:t>
            </w:r>
          </w:p>
        </w:tc>
        <w:tc>
          <w:tcPr>
            <w:tcW w:w="2952" w:type="dxa"/>
          </w:tcPr>
          <w:p w14:paraId="20F6556B" w14:textId="77777777" w:rsidR="008474EF" w:rsidRDefault="008474EF" w:rsidP="0067296E">
            <w:pPr>
              <w:pStyle w:val="BodyTextIndent"/>
              <w:ind w:left="0"/>
              <w:rPr>
                <w:sz w:val="22"/>
              </w:rPr>
            </w:pPr>
            <w:proofErr w:type="spellStart"/>
            <w:r>
              <w:rPr>
                <w:sz w:val="22"/>
              </w:rPr>
              <w:t>Hrs</w:t>
            </w:r>
            <w:proofErr w:type="spellEnd"/>
            <w:r>
              <w:rPr>
                <w:sz w:val="22"/>
              </w:rPr>
              <w:t xml:space="preserve">, Days, Tests </w:t>
            </w:r>
            <w:proofErr w:type="spellStart"/>
            <w:r>
              <w:rPr>
                <w:sz w:val="22"/>
              </w:rPr>
              <w:t>etc</w:t>
            </w:r>
            <w:proofErr w:type="spellEnd"/>
          </w:p>
        </w:tc>
        <w:tc>
          <w:tcPr>
            <w:tcW w:w="2952" w:type="dxa"/>
          </w:tcPr>
          <w:p w14:paraId="2537AAD6" w14:textId="0D6289FF" w:rsidR="008474EF" w:rsidRDefault="00D14ECA" w:rsidP="0067296E">
            <w:pPr>
              <w:pStyle w:val="BodyTextIndent"/>
              <w:ind w:left="0"/>
              <w:rPr>
                <w:sz w:val="22"/>
              </w:rPr>
            </w:pPr>
            <w:r>
              <w:rPr>
                <w:sz w:val="22"/>
              </w:rPr>
              <w:t>Optional</w:t>
            </w:r>
          </w:p>
        </w:tc>
      </w:tr>
      <w:tr w:rsidR="008474EF" w14:paraId="1CCB0790" w14:textId="77777777" w:rsidTr="0067296E">
        <w:tc>
          <w:tcPr>
            <w:tcW w:w="2952" w:type="dxa"/>
          </w:tcPr>
          <w:p w14:paraId="49934112" w14:textId="77777777" w:rsidR="008474EF" w:rsidRDefault="008474EF" w:rsidP="008474EF">
            <w:pPr>
              <w:pStyle w:val="BodyTextIndent"/>
              <w:numPr>
                <w:ilvl w:val="0"/>
                <w:numId w:val="3"/>
              </w:numPr>
              <w:rPr>
                <w:sz w:val="22"/>
              </w:rPr>
            </w:pPr>
            <w:r>
              <w:rPr>
                <w:sz w:val="22"/>
              </w:rPr>
              <w:t>User enters billing group</w:t>
            </w:r>
          </w:p>
        </w:tc>
        <w:tc>
          <w:tcPr>
            <w:tcW w:w="2952" w:type="dxa"/>
          </w:tcPr>
          <w:p w14:paraId="31343AD6" w14:textId="77777777" w:rsidR="008474EF" w:rsidRDefault="008474EF" w:rsidP="0067296E">
            <w:pPr>
              <w:pStyle w:val="BodyTextIndent"/>
              <w:ind w:left="0"/>
              <w:rPr>
                <w:sz w:val="22"/>
              </w:rPr>
            </w:pPr>
          </w:p>
        </w:tc>
        <w:tc>
          <w:tcPr>
            <w:tcW w:w="2952" w:type="dxa"/>
          </w:tcPr>
          <w:p w14:paraId="3BC201C7" w14:textId="55901AAC" w:rsidR="008474EF" w:rsidRDefault="00D14ECA" w:rsidP="0067296E">
            <w:pPr>
              <w:pStyle w:val="BodyTextIndent"/>
              <w:ind w:left="0"/>
              <w:rPr>
                <w:sz w:val="22"/>
              </w:rPr>
            </w:pPr>
            <w:r>
              <w:rPr>
                <w:sz w:val="22"/>
              </w:rPr>
              <w:t>Optional</w:t>
            </w:r>
          </w:p>
        </w:tc>
      </w:tr>
      <w:tr w:rsidR="008474EF" w14:paraId="2CD1C6B5" w14:textId="77777777" w:rsidTr="0067296E">
        <w:tc>
          <w:tcPr>
            <w:tcW w:w="2952" w:type="dxa"/>
          </w:tcPr>
          <w:p w14:paraId="33EDD1BE" w14:textId="77777777" w:rsidR="008474EF" w:rsidRDefault="008474EF" w:rsidP="008474EF">
            <w:pPr>
              <w:pStyle w:val="BodyTextIndent"/>
              <w:numPr>
                <w:ilvl w:val="0"/>
                <w:numId w:val="3"/>
              </w:numPr>
              <w:rPr>
                <w:sz w:val="22"/>
              </w:rPr>
            </w:pPr>
            <w:r>
              <w:rPr>
                <w:sz w:val="22"/>
              </w:rPr>
              <w:t>User enters MIS group</w:t>
            </w:r>
          </w:p>
        </w:tc>
        <w:tc>
          <w:tcPr>
            <w:tcW w:w="2952" w:type="dxa"/>
          </w:tcPr>
          <w:p w14:paraId="459422DD" w14:textId="77777777" w:rsidR="008474EF" w:rsidRDefault="008474EF" w:rsidP="0067296E">
            <w:pPr>
              <w:pStyle w:val="BodyTextIndent"/>
              <w:ind w:left="0"/>
              <w:rPr>
                <w:sz w:val="22"/>
              </w:rPr>
            </w:pPr>
          </w:p>
        </w:tc>
        <w:tc>
          <w:tcPr>
            <w:tcW w:w="2952" w:type="dxa"/>
          </w:tcPr>
          <w:p w14:paraId="5F0A6501" w14:textId="4EDB13A8" w:rsidR="00D14ECA" w:rsidRDefault="00D14ECA" w:rsidP="0067296E">
            <w:pPr>
              <w:pStyle w:val="BodyTextIndent"/>
              <w:ind w:left="0"/>
              <w:rPr>
                <w:sz w:val="22"/>
              </w:rPr>
            </w:pPr>
            <w:r>
              <w:rPr>
                <w:sz w:val="22"/>
              </w:rPr>
              <w:t>Optional</w:t>
            </w:r>
          </w:p>
        </w:tc>
      </w:tr>
      <w:tr w:rsidR="008474EF" w14:paraId="24A3590E" w14:textId="77777777" w:rsidTr="0067296E">
        <w:tc>
          <w:tcPr>
            <w:tcW w:w="2952" w:type="dxa"/>
          </w:tcPr>
          <w:p w14:paraId="06C0E473" w14:textId="77777777" w:rsidR="008474EF" w:rsidRDefault="008474EF" w:rsidP="008474EF">
            <w:pPr>
              <w:pStyle w:val="BodyTextIndent"/>
              <w:numPr>
                <w:ilvl w:val="0"/>
                <w:numId w:val="3"/>
              </w:numPr>
              <w:rPr>
                <w:sz w:val="22"/>
              </w:rPr>
            </w:pPr>
            <w:r>
              <w:rPr>
                <w:sz w:val="22"/>
              </w:rPr>
              <w:t>User may mark the service as “Globally excluded from packages”</w:t>
            </w:r>
          </w:p>
        </w:tc>
        <w:tc>
          <w:tcPr>
            <w:tcW w:w="2952" w:type="dxa"/>
          </w:tcPr>
          <w:p w14:paraId="3108C953" w14:textId="77777777" w:rsidR="008474EF" w:rsidRDefault="008474EF" w:rsidP="0067296E">
            <w:pPr>
              <w:pStyle w:val="BodyTextIndent"/>
              <w:ind w:left="0"/>
              <w:rPr>
                <w:sz w:val="22"/>
              </w:rPr>
            </w:pPr>
          </w:p>
        </w:tc>
        <w:tc>
          <w:tcPr>
            <w:tcW w:w="2952" w:type="dxa"/>
          </w:tcPr>
          <w:p w14:paraId="39203BCF" w14:textId="72F2FFD3" w:rsidR="008474EF" w:rsidRDefault="00D14ECA" w:rsidP="0067296E">
            <w:pPr>
              <w:pStyle w:val="BodyTextIndent"/>
              <w:ind w:left="0"/>
              <w:rPr>
                <w:sz w:val="22"/>
              </w:rPr>
            </w:pPr>
            <w:r>
              <w:rPr>
                <w:sz w:val="22"/>
              </w:rPr>
              <w:t>Optional</w:t>
            </w:r>
          </w:p>
        </w:tc>
      </w:tr>
      <w:tr w:rsidR="008474EF" w14:paraId="42A8B61B" w14:textId="77777777" w:rsidTr="0067296E">
        <w:tc>
          <w:tcPr>
            <w:tcW w:w="2952" w:type="dxa"/>
          </w:tcPr>
          <w:p w14:paraId="299C344C" w14:textId="77777777" w:rsidR="008474EF" w:rsidRDefault="008474EF" w:rsidP="008474EF">
            <w:pPr>
              <w:pStyle w:val="BodyTextIndent"/>
              <w:numPr>
                <w:ilvl w:val="0"/>
                <w:numId w:val="3"/>
              </w:numPr>
              <w:rPr>
                <w:sz w:val="22"/>
              </w:rPr>
            </w:pPr>
            <w:r>
              <w:rPr>
                <w:sz w:val="22"/>
              </w:rPr>
              <w:t>User sets discount flag</w:t>
            </w:r>
          </w:p>
        </w:tc>
        <w:tc>
          <w:tcPr>
            <w:tcW w:w="2952" w:type="dxa"/>
          </w:tcPr>
          <w:p w14:paraId="688F02A7" w14:textId="77777777" w:rsidR="008474EF" w:rsidRDefault="008474EF" w:rsidP="0067296E">
            <w:pPr>
              <w:pStyle w:val="BodyTextIndent"/>
              <w:ind w:left="0"/>
              <w:rPr>
                <w:sz w:val="22"/>
              </w:rPr>
            </w:pPr>
            <w:r>
              <w:rPr>
                <w:sz w:val="22"/>
              </w:rPr>
              <w:t>Discountable / Non-discountable</w:t>
            </w:r>
          </w:p>
        </w:tc>
        <w:tc>
          <w:tcPr>
            <w:tcW w:w="2952" w:type="dxa"/>
          </w:tcPr>
          <w:p w14:paraId="6F4D48AC" w14:textId="77777777" w:rsidR="00D14ECA" w:rsidRDefault="00D14ECA" w:rsidP="00D14ECA">
            <w:pPr>
              <w:pStyle w:val="BodyTextIndent"/>
              <w:ind w:left="0"/>
              <w:rPr>
                <w:sz w:val="22"/>
              </w:rPr>
            </w:pPr>
            <w:r>
              <w:rPr>
                <w:sz w:val="22"/>
              </w:rPr>
              <w:t>Mandatory (</w:t>
            </w:r>
            <w:proofErr w:type="spellStart"/>
            <w:r>
              <w:rPr>
                <w:sz w:val="22"/>
              </w:rPr>
              <w:t>default:no</w:t>
            </w:r>
            <w:proofErr w:type="spellEnd"/>
            <w:r>
              <w:rPr>
                <w:sz w:val="22"/>
              </w:rPr>
              <w:t>)</w:t>
            </w:r>
          </w:p>
          <w:p w14:paraId="51659F9A" w14:textId="77777777" w:rsidR="008474EF" w:rsidRDefault="008474EF" w:rsidP="0067296E">
            <w:pPr>
              <w:pStyle w:val="BodyTextIndent"/>
              <w:ind w:left="0"/>
              <w:rPr>
                <w:sz w:val="22"/>
              </w:rPr>
            </w:pPr>
          </w:p>
        </w:tc>
      </w:tr>
      <w:tr w:rsidR="008474EF" w14:paraId="17693CFF" w14:textId="77777777" w:rsidTr="0067296E">
        <w:tc>
          <w:tcPr>
            <w:tcW w:w="2952" w:type="dxa"/>
          </w:tcPr>
          <w:p w14:paraId="5D5EF782" w14:textId="7B5B932F" w:rsidR="008474EF" w:rsidRDefault="008474EF" w:rsidP="00F8590D">
            <w:pPr>
              <w:pStyle w:val="BodyTextIndent"/>
              <w:ind w:left="0"/>
              <w:rPr>
                <w:sz w:val="22"/>
              </w:rPr>
            </w:pPr>
          </w:p>
        </w:tc>
        <w:tc>
          <w:tcPr>
            <w:tcW w:w="2952" w:type="dxa"/>
          </w:tcPr>
          <w:p w14:paraId="1F4A1DEE" w14:textId="77777777" w:rsidR="008474EF" w:rsidRDefault="008474EF" w:rsidP="0067296E">
            <w:pPr>
              <w:pStyle w:val="BodyTextIndent"/>
              <w:ind w:left="0"/>
              <w:rPr>
                <w:sz w:val="22"/>
              </w:rPr>
            </w:pPr>
          </w:p>
        </w:tc>
        <w:tc>
          <w:tcPr>
            <w:tcW w:w="2952" w:type="dxa"/>
          </w:tcPr>
          <w:p w14:paraId="796AF5EB" w14:textId="77777777" w:rsidR="008474EF" w:rsidRDefault="008474EF" w:rsidP="0067296E">
            <w:pPr>
              <w:pStyle w:val="BodyTextIndent"/>
              <w:ind w:left="0"/>
              <w:rPr>
                <w:sz w:val="22"/>
              </w:rPr>
            </w:pPr>
          </w:p>
        </w:tc>
      </w:tr>
      <w:tr w:rsidR="008474EF" w14:paraId="4488E6E3" w14:textId="77777777" w:rsidTr="0067296E">
        <w:tc>
          <w:tcPr>
            <w:tcW w:w="2952" w:type="dxa"/>
          </w:tcPr>
          <w:p w14:paraId="3B55C998" w14:textId="77777777" w:rsidR="008474EF" w:rsidRDefault="008474EF" w:rsidP="008474EF">
            <w:pPr>
              <w:pStyle w:val="BodyTextIndent"/>
              <w:numPr>
                <w:ilvl w:val="0"/>
                <w:numId w:val="3"/>
              </w:numPr>
              <w:rPr>
                <w:sz w:val="22"/>
              </w:rPr>
            </w:pPr>
            <w:r>
              <w:rPr>
                <w:sz w:val="22"/>
              </w:rPr>
              <w:t>User marks if the service is of component type</w:t>
            </w:r>
          </w:p>
        </w:tc>
        <w:tc>
          <w:tcPr>
            <w:tcW w:w="2952" w:type="dxa"/>
          </w:tcPr>
          <w:p w14:paraId="6523A695" w14:textId="77777777" w:rsidR="008474EF" w:rsidRDefault="008474EF" w:rsidP="0067296E">
            <w:pPr>
              <w:pStyle w:val="BodyTextIndent"/>
              <w:ind w:left="0"/>
              <w:rPr>
                <w:sz w:val="22"/>
              </w:rPr>
            </w:pPr>
            <w:r>
              <w:rPr>
                <w:sz w:val="22"/>
              </w:rPr>
              <w:t xml:space="preserve">If the service is of component </w:t>
            </w:r>
            <w:proofErr w:type="gramStart"/>
            <w:r>
              <w:rPr>
                <w:sz w:val="22"/>
              </w:rPr>
              <w:t>type</w:t>
            </w:r>
            <w:proofErr w:type="gramEnd"/>
            <w:r>
              <w:rPr>
                <w:sz w:val="22"/>
              </w:rPr>
              <w:t xml:space="preserve"> then user enters member services</w:t>
            </w:r>
          </w:p>
        </w:tc>
        <w:tc>
          <w:tcPr>
            <w:tcW w:w="2952" w:type="dxa"/>
          </w:tcPr>
          <w:p w14:paraId="23BA7E38" w14:textId="3471070A" w:rsidR="008474EF" w:rsidRDefault="00D14ECA" w:rsidP="0067296E">
            <w:pPr>
              <w:pStyle w:val="BodyTextIndent"/>
              <w:ind w:left="0"/>
              <w:rPr>
                <w:sz w:val="22"/>
              </w:rPr>
            </w:pPr>
            <w:r>
              <w:rPr>
                <w:sz w:val="22"/>
              </w:rPr>
              <w:t>Optional</w:t>
            </w:r>
          </w:p>
        </w:tc>
      </w:tr>
      <w:tr w:rsidR="008474EF" w14:paraId="1A96B0CB" w14:textId="77777777" w:rsidTr="0067296E">
        <w:tc>
          <w:tcPr>
            <w:tcW w:w="2952" w:type="dxa"/>
          </w:tcPr>
          <w:p w14:paraId="530E6350" w14:textId="77777777" w:rsidR="008474EF" w:rsidRDefault="008474EF" w:rsidP="008474EF">
            <w:pPr>
              <w:pStyle w:val="BodyTextIndent"/>
              <w:numPr>
                <w:ilvl w:val="0"/>
                <w:numId w:val="3"/>
              </w:numPr>
              <w:rPr>
                <w:sz w:val="22"/>
              </w:rPr>
            </w:pPr>
            <w:r>
              <w:rPr>
                <w:sz w:val="22"/>
              </w:rPr>
              <w:t>User sets tax flag</w:t>
            </w:r>
          </w:p>
        </w:tc>
        <w:tc>
          <w:tcPr>
            <w:tcW w:w="2952" w:type="dxa"/>
          </w:tcPr>
          <w:p w14:paraId="6A04CD86" w14:textId="77777777" w:rsidR="008474EF" w:rsidRDefault="008474EF" w:rsidP="0067296E">
            <w:pPr>
              <w:pStyle w:val="BodyTextIndent"/>
              <w:ind w:left="0"/>
              <w:rPr>
                <w:sz w:val="22"/>
              </w:rPr>
            </w:pPr>
            <w:r>
              <w:rPr>
                <w:sz w:val="22"/>
              </w:rPr>
              <w:t>Yes / No</w:t>
            </w:r>
          </w:p>
        </w:tc>
        <w:tc>
          <w:tcPr>
            <w:tcW w:w="2952" w:type="dxa"/>
          </w:tcPr>
          <w:p w14:paraId="02826EE9" w14:textId="77777777" w:rsidR="00D14ECA" w:rsidRDefault="00380366" w:rsidP="00D14ECA">
            <w:pPr>
              <w:pStyle w:val="BodyTextIndent"/>
              <w:ind w:left="0"/>
              <w:rPr>
                <w:sz w:val="22"/>
              </w:rPr>
            </w:pPr>
            <w:r>
              <w:rPr>
                <w:sz w:val="22"/>
              </w:rPr>
              <w:t>List of tax codes</w:t>
            </w:r>
            <w:r w:rsidR="00D14ECA">
              <w:rPr>
                <w:sz w:val="22"/>
              </w:rPr>
              <w:t xml:space="preserve"> (</w:t>
            </w:r>
            <w:r w:rsidR="00D14ECA">
              <w:rPr>
                <w:sz w:val="22"/>
              </w:rPr>
              <w:t>Mandatory (</w:t>
            </w:r>
            <w:proofErr w:type="spellStart"/>
            <w:r w:rsidR="00D14ECA">
              <w:rPr>
                <w:sz w:val="22"/>
              </w:rPr>
              <w:t>default:no</w:t>
            </w:r>
            <w:proofErr w:type="spellEnd"/>
            <w:r w:rsidR="00D14ECA">
              <w:rPr>
                <w:sz w:val="22"/>
              </w:rPr>
              <w:t>)</w:t>
            </w:r>
          </w:p>
          <w:p w14:paraId="554D893C" w14:textId="60E5850F" w:rsidR="008474EF" w:rsidRDefault="008474EF" w:rsidP="0067296E">
            <w:pPr>
              <w:pStyle w:val="BodyTextIndent"/>
              <w:ind w:left="0"/>
              <w:rPr>
                <w:sz w:val="22"/>
              </w:rPr>
            </w:pPr>
          </w:p>
        </w:tc>
      </w:tr>
      <w:tr w:rsidR="008474EF" w14:paraId="13321309" w14:textId="77777777" w:rsidTr="0067296E">
        <w:tc>
          <w:tcPr>
            <w:tcW w:w="2952" w:type="dxa"/>
          </w:tcPr>
          <w:p w14:paraId="2209281A" w14:textId="77777777" w:rsidR="008474EF" w:rsidRDefault="008474EF" w:rsidP="008474EF">
            <w:pPr>
              <w:pStyle w:val="BodyTextIndent"/>
              <w:numPr>
                <w:ilvl w:val="0"/>
                <w:numId w:val="3"/>
              </w:numPr>
              <w:rPr>
                <w:sz w:val="22"/>
              </w:rPr>
            </w:pPr>
            <w:r>
              <w:rPr>
                <w:sz w:val="22"/>
              </w:rPr>
              <w:t>User sets active flag</w:t>
            </w:r>
          </w:p>
        </w:tc>
        <w:tc>
          <w:tcPr>
            <w:tcW w:w="2952" w:type="dxa"/>
          </w:tcPr>
          <w:p w14:paraId="54542471" w14:textId="77777777" w:rsidR="008474EF" w:rsidRDefault="008474EF" w:rsidP="0067296E">
            <w:pPr>
              <w:pStyle w:val="BodyTextIndent"/>
              <w:ind w:left="0"/>
              <w:rPr>
                <w:sz w:val="22"/>
              </w:rPr>
            </w:pPr>
          </w:p>
        </w:tc>
        <w:tc>
          <w:tcPr>
            <w:tcW w:w="2952" w:type="dxa"/>
          </w:tcPr>
          <w:p w14:paraId="602E74EE" w14:textId="77777777" w:rsidR="00D14ECA" w:rsidRDefault="00D14ECA" w:rsidP="00D14ECA">
            <w:pPr>
              <w:pStyle w:val="BodyTextIndent"/>
              <w:ind w:left="0"/>
              <w:rPr>
                <w:sz w:val="22"/>
              </w:rPr>
            </w:pPr>
            <w:r>
              <w:rPr>
                <w:sz w:val="22"/>
              </w:rPr>
              <w:t>Mandatory (</w:t>
            </w:r>
            <w:proofErr w:type="spellStart"/>
            <w:r>
              <w:rPr>
                <w:sz w:val="22"/>
              </w:rPr>
              <w:t>default:no</w:t>
            </w:r>
            <w:proofErr w:type="spellEnd"/>
            <w:r>
              <w:rPr>
                <w:sz w:val="22"/>
              </w:rPr>
              <w:t>)</w:t>
            </w:r>
          </w:p>
          <w:p w14:paraId="3B06E954" w14:textId="77777777" w:rsidR="008474EF" w:rsidRDefault="008474EF" w:rsidP="0067296E">
            <w:pPr>
              <w:pStyle w:val="BodyTextIndent"/>
              <w:ind w:left="0"/>
              <w:rPr>
                <w:sz w:val="22"/>
              </w:rPr>
            </w:pPr>
          </w:p>
        </w:tc>
      </w:tr>
      <w:tr w:rsidR="008474EF" w14:paraId="06355D8F" w14:textId="77777777" w:rsidTr="0067296E">
        <w:tc>
          <w:tcPr>
            <w:tcW w:w="2952" w:type="dxa"/>
          </w:tcPr>
          <w:p w14:paraId="0310F9BE" w14:textId="3319CFCA" w:rsidR="008474EF" w:rsidRDefault="008474EF" w:rsidP="008474EF">
            <w:pPr>
              <w:pStyle w:val="BodyTextIndent"/>
              <w:numPr>
                <w:ilvl w:val="0"/>
                <w:numId w:val="3"/>
              </w:numPr>
              <w:rPr>
                <w:sz w:val="22"/>
              </w:rPr>
            </w:pPr>
            <w:r>
              <w:rPr>
                <w:sz w:val="22"/>
              </w:rPr>
              <w:t xml:space="preserve">User enters </w:t>
            </w:r>
            <w:r w:rsidR="00F8590D">
              <w:rPr>
                <w:sz w:val="22"/>
              </w:rPr>
              <w:t>‘</w:t>
            </w:r>
            <w:r>
              <w:rPr>
                <w:sz w:val="22"/>
              </w:rPr>
              <w:t>sample source</w:t>
            </w:r>
            <w:r w:rsidR="00F8590D">
              <w:rPr>
                <w:sz w:val="22"/>
              </w:rPr>
              <w:t>’</w:t>
            </w:r>
            <w:r>
              <w:rPr>
                <w:sz w:val="22"/>
              </w:rPr>
              <w:t xml:space="preserve"> code</w:t>
            </w:r>
          </w:p>
        </w:tc>
        <w:tc>
          <w:tcPr>
            <w:tcW w:w="2952" w:type="dxa"/>
          </w:tcPr>
          <w:p w14:paraId="3D49ADB7" w14:textId="77777777" w:rsidR="008474EF" w:rsidRDefault="008474EF" w:rsidP="0067296E">
            <w:pPr>
              <w:pStyle w:val="BodyTextIndent"/>
              <w:ind w:left="0"/>
              <w:rPr>
                <w:sz w:val="22"/>
              </w:rPr>
            </w:pPr>
            <w:r>
              <w:rPr>
                <w:sz w:val="22"/>
              </w:rPr>
              <w:t>Only for diagnostic services</w:t>
            </w:r>
          </w:p>
        </w:tc>
        <w:tc>
          <w:tcPr>
            <w:tcW w:w="2952" w:type="dxa"/>
          </w:tcPr>
          <w:p w14:paraId="1FE2986D" w14:textId="77777777" w:rsidR="00D14ECA" w:rsidRDefault="00380366" w:rsidP="00D14ECA">
            <w:pPr>
              <w:pStyle w:val="BodyTextIndent"/>
              <w:ind w:left="0"/>
              <w:rPr>
                <w:sz w:val="22"/>
              </w:rPr>
            </w:pPr>
            <w:r>
              <w:rPr>
                <w:sz w:val="22"/>
              </w:rPr>
              <w:t>Sample types</w:t>
            </w:r>
            <w:r w:rsidR="00D14ECA">
              <w:rPr>
                <w:sz w:val="22"/>
              </w:rPr>
              <w:t xml:space="preserve"> (</w:t>
            </w:r>
            <w:r w:rsidR="00D14ECA">
              <w:rPr>
                <w:sz w:val="22"/>
              </w:rPr>
              <w:t>Mandatory (</w:t>
            </w:r>
            <w:proofErr w:type="spellStart"/>
            <w:r w:rsidR="00D14ECA">
              <w:rPr>
                <w:sz w:val="22"/>
              </w:rPr>
              <w:t>default:no</w:t>
            </w:r>
            <w:proofErr w:type="spellEnd"/>
            <w:r w:rsidR="00D14ECA">
              <w:rPr>
                <w:sz w:val="22"/>
              </w:rPr>
              <w:t>)</w:t>
            </w:r>
          </w:p>
          <w:p w14:paraId="4E9A0818" w14:textId="52FE3F80" w:rsidR="008474EF" w:rsidRDefault="008474EF" w:rsidP="0067296E">
            <w:pPr>
              <w:pStyle w:val="BodyTextIndent"/>
              <w:ind w:left="0"/>
              <w:rPr>
                <w:sz w:val="22"/>
              </w:rPr>
            </w:pPr>
          </w:p>
        </w:tc>
      </w:tr>
      <w:tr w:rsidR="008474EF" w14:paraId="33D46D34" w14:textId="77777777" w:rsidTr="0067296E">
        <w:tc>
          <w:tcPr>
            <w:tcW w:w="2952" w:type="dxa"/>
          </w:tcPr>
          <w:p w14:paraId="4852EC73" w14:textId="77777777" w:rsidR="008474EF" w:rsidRDefault="008474EF" w:rsidP="008474EF">
            <w:pPr>
              <w:pStyle w:val="BodyTextIndent"/>
              <w:numPr>
                <w:ilvl w:val="0"/>
                <w:numId w:val="3"/>
              </w:numPr>
              <w:rPr>
                <w:sz w:val="22"/>
              </w:rPr>
            </w:pPr>
            <w:r>
              <w:rPr>
                <w:sz w:val="22"/>
              </w:rPr>
              <w:t xml:space="preserve">User enters effective from and to date </w:t>
            </w:r>
          </w:p>
        </w:tc>
        <w:tc>
          <w:tcPr>
            <w:tcW w:w="2952" w:type="dxa"/>
          </w:tcPr>
          <w:p w14:paraId="3045C5C7" w14:textId="77777777" w:rsidR="008474EF" w:rsidRDefault="008474EF" w:rsidP="0067296E">
            <w:pPr>
              <w:pStyle w:val="BodyTextIndent"/>
              <w:ind w:left="0"/>
              <w:rPr>
                <w:sz w:val="22"/>
              </w:rPr>
            </w:pPr>
          </w:p>
        </w:tc>
        <w:tc>
          <w:tcPr>
            <w:tcW w:w="2952" w:type="dxa"/>
          </w:tcPr>
          <w:p w14:paraId="7FC14080" w14:textId="13D5DF9F" w:rsidR="008474EF" w:rsidRDefault="00D14ECA" w:rsidP="0067296E">
            <w:pPr>
              <w:pStyle w:val="BodyTextIndent"/>
              <w:ind w:left="0"/>
              <w:rPr>
                <w:sz w:val="22"/>
              </w:rPr>
            </w:pPr>
            <w:r>
              <w:rPr>
                <w:sz w:val="22"/>
              </w:rPr>
              <w:t>Optional</w:t>
            </w:r>
          </w:p>
        </w:tc>
      </w:tr>
      <w:tr w:rsidR="008474EF" w14:paraId="788E5836" w14:textId="77777777" w:rsidTr="0067296E">
        <w:tc>
          <w:tcPr>
            <w:tcW w:w="2952" w:type="dxa"/>
          </w:tcPr>
          <w:p w14:paraId="776E43B9" w14:textId="77777777" w:rsidR="008474EF" w:rsidRDefault="008474EF" w:rsidP="008474EF">
            <w:pPr>
              <w:pStyle w:val="BodyTextIndent"/>
              <w:numPr>
                <w:ilvl w:val="0"/>
                <w:numId w:val="3"/>
              </w:numPr>
              <w:rPr>
                <w:sz w:val="22"/>
              </w:rPr>
            </w:pPr>
            <w:r>
              <w:rPr>
                <w:sz w:val="22"/>
              </w:rPr>
              <w:t>User saves details</w:t>
            </w:r>
          </w:p>
        </w:tc>
        <w:tc>
          <w:tcPr>
            <w:tcW w:w="2952" w:type="dxa"/>
          </w:tcPr>
          <w:p w14:paraId="5C28F642" w14:textId="77777777" w:rsidR="008474EF" w:rsidRDefault="008474EF" w:rsidP="0067296E">
            <w:pPr>
              <w:pStyle w:val="BodyTextIndent"/>
              <w:ind w:left="0"/>
              <w:rPr>
                <w:sz w:val="22"/>
              </w:rPr>
            </w:pPr>
          </w:p>
        </w:tc>
        <w:tc>
          <w:tcPr>
            <w:tcW w:w="2952" w:type="dxa"/>
          </w:tcPr>
          <w:p w14:paraId="2A7C2B1A" w14:textId="77777777" w:rsidR="008474EF" w:rsidRDefault="008474EF" w:rsidP="0067296E">
            <w:pPr>
              <w:pStyle w:val="BodyTextIndent"/>
              <w:ind w:left="0"/>
              <w:rPr>
                <w:sz w:val="22"/>
              </w:rPr>
            </w:pPr>
          </w:p>
        </w:tc>
      </w:tr>
    </w:tbl>
    <w:p w14:paraId="07DB12AC" w14:textId="77777777" w:rsidR="008474EF" w:rsidRDefault="008474EF" w:rsidP="008474EF">
      <w:pPr>
        <w:rPr>
          <w:b/>
          <w:sz w:val="22"/>
        </w:rPr>
      </w:pPr>
    </w:p>
    <w:p w14:paraId="7A67F81E" w14:textId="77777777" w:rsidR="008474EF" w:rsidRDefault="008474EF" w:rsidP="008474EF">
      <w:pPr>
        <w:rPr>
          <w:b/>
          <w:sz w:val="22"/>
        </w:rPr>
      </w:pPr>
    </w:p>
    <w:p w14:paraId="01A69A7A" w14:textId="77777777" w:rsidR="008474EF" w:rsidRDefault="008474EF" w:rsidP="008474EF">
      <w:pPr>
        <w:rPr>
          <w:sz w:val="22"/>
        </w:rPr>
      </w:pPr>
      <w:r>
        <w:rPr>
          <w:b/>
          <w:sz w:val="22"/>
        </w:rPr>
        <w:t>Post-process conditions</w:t>
      </w:r>
    </w:p>
    <w:p w14:paraId="6F80EC4B" w14:textId="77777777" w:rsidR="008474EF" w:rsidRDefault="008474EF" w:rsidP="008474EF">
      <w:pPr>
        <w:rPr>
          <w:b/>
          <w:sz w:val="22"/>
        </w:rPr>
      </w:pPr>
    </w:p>
    <w:p w14:paraId="3FF5FF5F" w14:textId="77777777" w:rsidR="008474EF" w:rsidRDefault="008474EF" w:rsidP="008474EF">
      <w:pPr>
        <w:rPr>
          <w:b/>
          <w:sz w:val="22"/>
        </w:rPr>
      </w:pPr>
      <w:r>
        <w:rPr>
          <w:b/>
          <w:sz w:val="22"/>
        </w:rPr>
        <w:t>Alert details</w:t>
      </w:r>
    </w:p>
    <w:p w14:paraId="5B52A3C5" w14:textId="77777777" w:rsidR="008474EF" w:rsidRDefault="008474EF" w:rsidP="008474EF">
      <w:pPr>
        <w:pStyle w:val="BodyText"/>
        <w:rPr>
          <w:sz w:val="22"/>
        </w:rPr>
      </w:pPr>
    </w:p>
    <w:p w14:paraId="0C61A89E" w14:textId="77777777" w:rsidR="008474EF" w:rsidRDefault="008474EF" w:rsidP="008474EF">
      <w:pPr>
        <w:rPr>
          <w:sz w:val="22"/>
        </w:rPr>
      </w:pPr>
      <w:r>
        <w:rPr>
          <w:b/>
          <w:sz w:val="22"/>
        </w:rPr>
        <w:t>Integration details</w:t>
      </w:r>
    </w:p>
    <w:p w14:paraId="198E6608" w14:textId="77777777" w:rsidR="008474EF" w:rsidRDefault="008474EF" w:rsidP="008474EF">
      <w:pPr>
        <w:rPr>
          <w:sz w:val="22"/>
        </w:rPr>
      </w:pPr>
    </w:p>
    <w:p w14:paraId="06ECEFF7" w14:textId="77777777" w:rsidR="008474EF" w:rsidRDefault="008474EF" w:rsidP="008474EF">
      <w:pPr>
        <w:pStyle w:val="Header"/>
        <w:rPr>
          <w:b/>
          <w:sz w:val="22"/>
        </w:rPr>
      </w:pPr>
      <w:r>
        <w:rPr>
          <w:b/>
          <w:sz w:val="22"/>
        </w:rPr>
        <w:lastRenderedPageBreak/>
        <w:t>Issues to be escalated</w:t>
      </w:r>
    </w:p>
    <w:p w14:paraId="4ABE8CE7" w14:textId="77777777" w:rsidR="008474EF" w:rsidRDefault="008474EF" w:rsidP="008474EF">
      <w:pPr>
        <w:pStyle w:val="Header"/>
        <w:rPr>
          <w:b/>
          <w:sz w:val="22"/>
        </w:rPr>
      </w:pPr>
      <w:r>
        <w:rPr>
          <w:b/>
          <w:sz w:val="22"/>
        </w:rPr>
        <w:t>Functional</w:t>
      </w:r>
    </w:p>
    <w:p w14:paraId="0B306046" w14:textId="77777777" w:rsidR="008474EF" w:rsidRDefault="008474EF" w:rsidP="008474EF">
      <w:pPr>
        <w:jc w:val="both"/>
        <w:rPr>
          <w:sz w:val="22"/>
        </w:rPr>
      </w:pPr>
      <w:r>
        <w:rPr>
          <w:sz w:val="22"/>
        </w:rPr>
        <w:t>None</w:t>
      </w:r>
    </w:p>
    <w:p w14:paraId="59EA158D" w14:textId="77777777" w:rsidR="008474EF" w:rsidRDefault="008474EF" w:rsidP="008474EF">
      <w:pPr>
        <w:pStyle w:val="Header"/>
        <w:rPr>
          <w:sz w:val="22"/>
        </w:rPr>
      </w:pPr>
      <w:r>
        <w:rPr>
          <w:b/>
          <w:sz w:val="22"/>
        </w:rPr>
        <w:t>Technical</w:t>
      </w:r>
    </w:p>
    <w:p w14:paraId="04499DF0" w14:textId="77777777" w:rsidR="008474EF" w:rsidRDefault="008474EF" w:rsidP="008474EF">
      <w:pPr>
        <w:jc w:val="both"/>
        <w:rPr>
          <w:sz w:val="22"/>
        </w:rPr>
      </w:pPr>
      <w:r>
        <w:rPr>
          <w:sz w:val="22"/>
        </w:rPr>
        <w:t>None</w:t>
      </w:r>
    </w:p>
    <w:p w14:paraId="2BD58E69" w14:textId="00ED0B62" w:rsidR="00851143" w:rsidRDefault="008474EF" w:rsidP="00851143">
      <w:pPr>
        <w:pStyle w:val="Heading3"/>
        <w:rPr>
          <w:sz w:val="22"/>
        </w:rPr>
      </w:pPr>
      <w:r>
        <w:rPr>
          <w:sz w:val="22"/>
        </w:rPr>
        <w:br w:type="page"/>
      </w:r>
      <w:bookmarkStart w:id="2" w:name="_Toc81460046"/>
      <w:r w:rsidR="00851143">
        <w:rPr>
          <w:sz w:val="22"/>
        </w:rPr>
        <w:lastRenderedPageBreak/>
        <w:t xml:space="preserve">Attach Service to Rate </w:t>
      </w:r>
      <w:bookmarkEnd w:id="2"/>
      <w:r w:rsidR="00851143">
        <w:rPr>
          <w:sz w:val="22"/>
        </w:rPr>
        <w:t>for a facility</w:t>
      </w:r>
    </w:p>
    <w:p w14:paraId="3AC52564" w14:textId="77777777" w:rsidR="00851143" w:rsidRDefault="00851143" w:rsidP="00851143">
      <w:pPr>
        <w:rPr>
          <w:b/>
          <w:sz w:val="22"/>
        </w:rPr>
      </w:pPr>
    </w:p>
    <w:p w14:paraId="38383F9A" w14:textId="77777777" w:rsidR="00851143" w:rsidRDefault="00851143" w:rsidP="00851143">
      <w:pPr>
        <w:rPr>
          <w:b/>
          <w:sz w:val="22"/>
        </w:rPr>
      </w:pPr>
      <w:r>
        <w:rPr>
          <w:b/>
          <w:sz w:val="22"/>
        </w:rPr>
        <w:t>Process Flowchart</w:t>
      </w:r>
    </w:p>
    <w:p w14:paraId="60ECBB5A" w14:textId="77777777" w:rsidR="00851143" w:rsidRDefault="00851143" w:rsidP="00851143">
      <w:pPr>
        <w:rPr>
          <w:sz w:val="22"/>
        </w:rPr>
      </w:pPr>
      <w:r>
        <w:rPr>
          <w:sz w:val="22"/>
        </w:rPr>
        <w:t>None</w:t>
      </w:r>
    </w:p>
    <w:p w14:paraId="74DC65AD" w14:textId="77777777" w:rsidR="00851143" w:rsidRDefault="00851143" w:rsidP="00851143">
      <w:pPr>
        <w:rPr>
          <w:sz w:val="22"/>
        </w:rPr>
      </w:pPr>
    </w:p>
    <w:p w14:paraId="463592F6" w14:textId="77777777" w:rsidR="00851143" w:rsidRDefault="00851143" w:rsidP="00851143">
      <w:pPr>
        <w:rPr>
          <w:b/>
          <w:sz w:val="22"/>
        </w:rPr>
      </w:pPr>
      <w:r>
        <w:rPr>
          <w:b/>
          <w:sz w:val="22"/>
        </w:rPr>
        <w:t>Actors</w:t>
      </w:r>
    </w:p>
    <w:p w14:paraId="1053BD9D" w14:textId="35579B73" w:rsidR="00851143" w:rsidRDefault="002D6DB6" w:rsidP="00851143">
      <w:pPr>
        <w:pStyle w:val="BodyTextIndent"/>
        <w:ind w:left="0"/>
        <w:rPr>
          <w:sz w:val="22"/>
        </w:rPr>
      </w:pPr>
      <w:r>
        <w:rPr>
          <w:sz w:val="22"/>
        </w:rPr>
        <w:t>Hospital Admin / Finance Department</w:t>
      </w:r>
    </w:p>
    <w:p w14:paraId="779DE621" w14:textId="77777777" w:rsidR="00851143" w:rsidRDefault="00851143" w:rsidP="00851143">
      <w:pPr>
        <w:rPr>
          <w:b/>
          <w:sz w:val="22"/>
        </w:rPr>
      </w:pPr>
    </w:p>
    <w:p w14:paraId="7F9285BB" w14:textId="77777777" w:rsidR="00851143" w:rsidRDefault="00851143" w:rsidP="00851143">
      <w:pPr>
        <w:rPr>
          <w:b/>
          <w:sz w:val="22"/>
        </w:rPr>
      </w:pPr>
      <w:r>
        <w:rPr>
          <w:b/>
          <w:sz w:val="22"/>
        </w:rPr>
        <w:t>Function Requirements</w:t>
      </w:r>
    </w:p>
    <w:p w14:paraId="33215FFB" w14:textId="77777777" w:rsidR="00851143" w:rsidRDefault="00851143" w:rsidP="00851143">
      <w:pPr>
        <w:numPr>
          <w:ilvl w:val="0"/>
          <w:numId w:val="2"/>
        </w:numPr>
        <w:jc w:val="both"/>
        <w:rPr>
          <w:sz w:val="22"/>
        </w:rPr>
      </w:pPr>
      <w:r>
        <w:rPr>
          <w:sz w:val="22"/>
        </w:rPr>
        <w:t>Though this process is described separately, it is part of “Create service master” workflow.</w:t>
      </w:r>
    </w:p>
    <w:p w14:paraId="1EEB7D53" w14:textId="77777777" w:rsidR="00851143" w:rsidRDefault="00851143" w:rsidP="00851143">
      <w:pPr>
        <w:numPr>
          <w:ilvl w:val="0"/>
          <w:numId w:val="2"/>
        </w:numPr>
        <w:jc w:val="both"/>
        <w:rPr>
          <w:sz w:val="22"/>
        </w:rPr>
      </w:pPr>
      <w:r>
        <w:rPr>
          <w:sz w:val="22"/>
        </w:rPr>
        <w:t>Each service has a validity period, which is set as from date and to date.</w:t>
      </w:r>
    </w:p>
    <w:p w14:paraId="17EB1D05" w14:textId="77777777" w:rsidR="00851143" w:rsidRDefault="00851143" w:rsidP="00851143">
      <w:pPr>
        <w:numPr>
          <w:ilvl w:val="0"/>
          <w:numId w:val="2"/>
        </w:numPr>
        <w:jc w:val="both"/>
        <w:rPr>
          <w:sz w:val="22"/>
        </w:rPr>
      </w:pPr>
      <w:r>
        <w:rPr>
          <w:sz w:val="22"/>
        </w:rPr>
        <w:t>Each set of rates has new as well as old rate. New and old rates are supported by commencement date. Before this date old rate is applicable while new rate is applicable after this date.</w:t>
      </w:r>
    </w:p>
    <w:p w14:paraId="31C502BD" w14:textId="77777777" w:rsidR="00851143" w:rsidRDefault="00851143" w:rsidP="00851143">
      <w:pPr>
        <w:numPr>
          <w:ilvl w:val="0"/>
          <w:numId w:val="2"/>
        </w:numPr>
        <w:jc w:val="both"/>
        <w:rPr>
          <w:sz w:val="22"/>
        </w:rPr>
      </w:pPr>
      <w:r>
        <w:rPr>
          <w:sz w:val="22"/>
        </w:rPr>
        <w:t xml:space="preserve">Every service can be activated / deactivated. </w:t>
      </w:r>
    </w:p>
    <w:p w14:paraId="6E06CFCB" w14:textId="77777777" w:rsidR="00851143" w:rsidRDefault="00851143" w:rsidP="00851143">
      <w:pPr>
        <w:numPr>
          <w:ilvl w:val="0"/>
          <w:numId w:val="2"/>
        </w:numPr>
        <w:jc w:val="both"/>
        <w:rPr>
          <w:sz w:val="22"/>
        </w:rPr>
      </w:pPr>
      <w:r>
        <w:rPr>
          <w:sz w:val="22"/>
        </w:rPr>
        <w:t>For each service a minimum and maximum rate can be fixed which allows the user to change the rate within that range at the time of charge posting. System sets minimum rate as maximum rate by default while attaching service to location.</w:t>
      </w:r>
    </w:p>
    <w:p w14:paraId="165E955C" w14:textId="77777777" w:rsidR="00851143" w:rsidRDefault="00851143" w:rsidP="00851143">
      <w:pPr>
        <w:numPr>
          <w:ilvl w:val="0"/>
          <w:numId w:val="2"/>
        </w:numPr>
        <w:jc w:val="both"/>
        <w:rPr>
          <w:sz w:val="22"/>
        </w:rPr>
      </w:pPr>
      <w:r>
        <w:rPr>
          <w:sz w:val="22"/>
        </w:rPr>
        <w:t xml:space="preserve">GL code if defined at service level takes precedence. If not </w:t>
      </w:r>
      <w:proofErr w:type="gramStart"/>
      <w:r>
        <w:rPr>
          <w:sz w:val="22"/>
        </w:rPr>
        <w:t>defined</w:t>
      </w:r>
      <w:proofErr w:type="gramEnd"/>
      <w:r>
        <w:rPr>
          <w:sz w:val="22"/>
        </w:rPr>
        <w:t xml:space="preserve"> then the GL code at service category / PU level is used if defined at that level. Else the GL code at PU</w:t>
      </w:r>
    </w:p>
    <w:p w14:paraId="4594B294" w14:textId="77777777" w:rsidR="00851143" w:rsidRDefault="00851143" w:rsidP="00851143">
      <w:pPr>
        <w:jc w:val="both"/>
        <w:rPr>
          <w:sz w:val="22"/>
        </w:rPr>
      </w:pPr>
    </w:p>
    <w:p w14:paraId="7493AE88" w14:textId="77777777" w:rsidR="00851143" w:rsidRDefault="00851143" w:rsidP="00851143">
      <w:pPr>
        <w:pStyle w:val="Heading5"/>
      </w:pPr>
      <w:r>
        <w:t>Pre-process conditions</w:t>
      </w:r>
    </w:p>
    <w:p w14:paraId="609B7E48" w14:textId="77777777" w:rsidR="00851143" w:rsidRDefault="00851143" w:rsidP="00851143">
      <w:pPr>
        <w:rPr>
          <w:sz w:val="22"/>
        </w:rPr>
      </w:pPr>
      <w:r>
        <w:rPr>
          <w:sz w:val="22"/>
        </w:rPr>
        <w:t>Department is created.</w:t>
      </w:r>
    </w:p>
    <w:p w14:paraId="48487921" w14:textId="77777777" w:rsidR="00851143" w:rsidRDefault="00851143" w:rsidP="00851143">
      <w:pPr>
        <w:rPr>
          <w:sz w:val="22"/>
        </w:rPr>
      </w:pPr>
      <w:r>
        <w:rPr>
          <w:sz w:val="22"/>
        </w:rPr>
        <w:t>Location created</w:t>
      </w:r>
    </w:p>
    <w:p w14:paraId="1F5BD330" w14:textId="77777777" w:rsidR="00851143" w:rsidRDefault="00851143" w:rsidP="00851143">
      <w:pPr>
        <w:rPr>
          <w:sz w:val="22"/>
        </w:rPr>
      </w:pPr>
      <w:r>
        <w:rPr>
          <w:sz w:val="22"/>
        </w:rPr>
        <w:t>Service category is created.</w:t>
      </w:r>
    </w:p>
    <w:p w14:paraId="20C19701" w14:textId="77777777" w:rsidR="00851143" w:rsidRDefault="00851143" w:rsidP="00851143">
      <w:pPr>
        <w:rPr>
          <w:sz w:val="22"/>
        </w:rPr>
      </w:pPr>
    </w:p>
    <w:p w14:paraId="3DCACE8A" w14:textId="64CA38A2" w:rsidR="00851143" w:rsidRDefault="00851143" w:rsidP="00851143">
      <w:pPr>
        <w:rPr>
          <w:b/>
          <w:sz w:val="22"/>
        </w:rPr>
      </w:pPr>
      <w:r>
        <w:rPr>
          <w:b/>
          <w:sz w:val="22"/>
        </w:rPr>
        <w:t>Steps and rules</w:t>
      </w:r>
      <w:r w:rsidR="000611AC">
        <w:rPr>
          <w:b/>
          <w:sz w:val="22"/>
        </w:rPr>
        <w:t xml:space="preserve"> (config to provide access fin + service master admin roles)</w:t>
      </w:r>
    </w:p>
    <w:p w14:paraId="2862616C" w14:textId="77777777" w:rsidR="00851143" w:rsidRDefault="00851143" w:rsidP="00851143">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851143" w14:paraId="70F8E91B" w14:textId="77777777" w:rsidTr="001B38C2">
        <w:tc>
          <w:tcPr>
            <w:tcW w:w="2952" w:type="dxa"/>
          </w:tcPr>
          <w:p w14:paraId="6140252E" w14:textId="77777777" w:rsidR="00851143" w:rsidRDefault="00851143" w:rsidP="001B38C2">
            <w:pPr>
              <w:pStyle w:val="BodyTextIndent"/>
              <w:ind w:left="0"/>
              <w:rPr>
                <w:b/>
                <w:sz w:val="22"/>
              </w:rPr>
            </w:pPr>
            <w:r>
              <w:rPr>
                <w:b/>
                <w:sz w:val="22"/>
              </w:rPr>
              <w:t>Task Sequence</w:t>
            </w:r>
          </w:p>
        </w:tc>
        <w:tc>
          <w:tcPr>
            <w:tcW w:w="2952" w:type="dxa"/>
          </w:tcPr>
          <w:p w14:paraId="74DF3158" w14:textId="77777777" w:rsidR="00851143" w:rsidRDefault="00851143" w:rsidP="001B38C2">
            <w:pPr>
              <w:pStyle w:val="BodyTextIndent"/>
              <w:ind w:left="0"/>
              <w:rPr>
                <w:b/>
                <w:sz w:val="22"/>
              </w:rPr>
            </w:pPr>
            <w:r>
              <w:rPr>
                <w:b/>
                <w:sz w:val="22"/>
              </w:rPr>
              <w:t>Rule</w:t>
            </w:r>
          </w:p>
        </w:tc>
        <w:tc>
          <w:tcPr>
            <w:tcW w:w="2952" w:type="dxa"/>
          </w:tcPr>
          <w:p w14:paraId="317502CB" w14:textId="77777777" w:rsidR="00851143" w:rsidRDefault="00851143" w:rsidP="001B38C2">
            <w:pPr>
              <w:pStyle w:val="BodyTextIndent"/>
              <w:ind w:left="0"/>
              <w:rPr>
                <w:b/>
                <w:sz w:val="22"/>
              </w:rPr>
            </w:pPr>
            <w:r>
              <w:rPr>
                <w:b/>
                <w:sz w:val="22"/>
              </w:rPr>
              <w:t>Exception</w:t>
            </w:r>
          </w:p>
        </w:tc>
      </w:tr>
      <w:tr w:rsidR="00851143" w14:paraId="7042C33D" w14:textId="77777777" w:rsidTr="001B38C2">
        <w:tc>
          <w:tcPr>
            <w:tcW w:w="2952" w:type="dxa"/>
          </w:tcPr>
          <w:p w14:paraId="181395F7" w14:textId="77777777" w:rsidR="00851143" w:rsidRDefault="00851143" w:rsidP="00851143">
            <w:pPr>
              <w:pStyle w:val="BodyTextIndent"/>
              <w:numPr>
                <w:ilvl w:val="0"/>
                <w:numId w:val="5"/>
              </w:numPr>
              <w:rPr>
                <w:sz w:val="22"/>
              </w:rPr>
            </w:pPr>
            <w:r>
              <w:rPr>
                <w:sz w:val="22"/>
              </w:rPr>
              <w:t>User enters service code or selects from help</w:t>
            </w:r>
          </w:p>
        </w:tc>
        <w:tc>
          <w:tcPr>
            <w:tcW w:w="2952" w:type="dxa"/>
          </w:tcPr>
          <w:p w14:paraId="426CE099" w14:textId="77777777" w:rsidR="00851143" w:rsidRDefault="00851143" w:rsidP="001B38C2">
            <w:pPr>
              <w:pStyle w:val="BodyTextIndent"/>
              <w:ind w:left="0"/>
              <w:rPr>
                <w:sz w:val="22"/>
              </w:rPr>
            </w:pPr>
            <w:r>
              <w:rPr>
                <w:sz w:val="22"/>
              </w:rPr>
              <w:t>Help using service category and service name is available</w:t>
            </w:r>
          </w:p>
        </w:tc>
        <w:tc>
          <w:tcPr>
            <w:tcW w:w="2952" w:type="dxa"/>
          </w:tcPr>
          <w:p w14:paraId="65F12C70" w14:textId="77777777" w:rsidR="00851143" w:rsidRDefault="00851143" w:rsidP="001B38C2">
            <w:pPr>
              <w:pStyle w:val="BodyTextIndent"/>
              <w:ind w:left="0"/>
              <w:rPr>
                <w:sz w:val="22"/>
              </w:rPr>
            </w:pPr>
          </w:p>
        </w:tc>
      </w:tr>
      <w:tr w:rsidR="00851143" w14:paraId="00BC46BA" w14:textId="77777777" w:rsidTr="001B38C2">
        <w:tc>
          <w:tcPr>
            <w:tcW w:w="2952" w:type="dxa"/>
          </w:tcPr>
          <w:p w14:paraId="4C48F358" w14:textId="77777777" w:rsidR="00851143" w:rsidRDefault="00851143" w:rsidP="00851143">
            <w:pPr>
              <w:pStyle w:val="BodyTextIndent"/>
              <w:numPr>
                <w:ilvl w:val="0"/>
                <w:numId w:val="5"/>
              </w:numPr>
              <w:rPr>
                <w:sz w:val="22"/>
              </w:rPr>
            </w:pPr>
            <w:r>
              <w:rPr>
                <w:sz w:val="22"/>
              </w:rPr>
              <w:t>System displays service name, service category.</w:t>
            </w:r>
          </w:p>
        </w:tc>
        <w:tc>
          <w:tcPr>
            <w:tcW w:w="2952" w:type="dxa"/>
          </w:tcPr>
          <w:p w14:paraId="25AC5E4C" w14:textId="77777777" w:rsidR="00851143" w:rsidRDefault="00851143" w:rsidP="001B38C2">
            <w:pPr>
              <w:pStyle w:val="BodyTextIndent"/>
              <w:ind w:left="0"/>
              <w:rPr>
                <w:sz w:val="22"/>
              </w:rPr>
            </w:pPr>
          </w:p>
        </w:tc>
        <w:tc>
          <w:tcPr>
            <w:tcW w:w="2952" w:type="dxa"/>
          </w:tcPr>
          <w:p w14:paraId="60AA4F97" w14:textId="77777777" w:rsidR="00851143" w:rsidRDefault="00851143" w:rsidP="001B38C2">
            <w:pPr>
              <w:pStyle w:val="BodyTextIndent"/>
              <w:ind w:left="0"/>
              <w:rPr>
                <w:sz w:val="22"/>
              </w:rPr>
            </w:pPr>
          </w:p>
        </w:tc>
      </w:tr>
      <w:tr w:rsidR="00851143" w14:paraId="5729047A" w14:textId="77777777" w:rsidTr="001B38C2">
        <w:tc>
          <w:tcPr>
            <w:tcW w:w="2952" w:type="dxa"/>
          </w:tcPr>
          <w:p w14:paraId="51F1EC24" w14:textId="77777777" w:rsidR="00851143" w:rsidRDefault="00851143" w:rsidP="00851143">
            <w:pPr>
              <w:pStyle w:val="BodyTextIndent"/>
              <w:numPr>
                <w:ilvl w:val="0"/>
                <w:numId w:val="5"/>
              </w:numPr>
              <w:rPr>
                <w:sz w:val="22"/>
              </w:rPr>
            </w:pPr>
            <w:r w:rsidRPr="00851143">
              <w:rPr>
                <w:sz w:val="22"/>
                <w:highlight w:val="red"/>
              </w:rPr>
              <w:t>User selects location</w:t>
            </w:r>
          </w:p>
        </w:tc>
        <w:tc>
          <w:tcPr>
            <w:tcW w:w="2952" w:type="dxa"/>
          </w:tcPr>
          <w:p w14:paraId="48FCFF1D" w14:textId="77777777" w:rsidR="00851143" w:rsidRDefault="00851143" w:rsidP="001B38C2">
            <w:pPr>
              <w:pStyle w:val="BodyTextIndent"/>
              <w:ind w:left="0"/>
              <w:rPr>
                <w:sz w:val="22"/>
              </w:rPr>
            </w:pPr>
          </w:p>
        </w:tc>
        <w:tc>
          <w:tcPr>
            <w:tcW w:w="2952" w:type="dxa"/>
          </w:tcPr>
          <w:p w14:paraId="2CD3DF44" w14:textId="77777777" w:rsidR="00851143" w:rsidRDefault="00851143" w:rsidP="001B38C2">
            <w:pPr>
              <w:pStyle w:val="BodyTextIndent"/>
              <w:ind w:left="0"/>
              <w:rPr>
                <w:sz w:val="22"/>
              </w:rPr>
            </w:pPr>
          </w:p>
        </w:tc>
      </w:tr>
      <w:tr w:rsidR="00851143" w14:paraId="2A257E88" w14:textId="77777777" w:rsidTr="001B38C2">
        <w:tc>
          <w:tcPr>
            <w:tcW w:w="2952" w:type="dxa"/>
          </w:tcPr>
          <w:p w14:paraId="5B9D8ED1" w14:textId="77777777" w:rsidR="00851143" w:rsidRDefault="00851143" w:rsidP="00851143">
            <w:pPr>
              <w:pStyle w:val="BodyTextIndent"/>
              <w:numPr>
                <w:ilvl w:val="0"/>
                <w:numId w:val="5"/>
              </w:numPr>
              <w:rPr>
                <w:sz w:val="22"/>
              </w:rPr>
            </w:pPr>
            <w:r>
              <w:rPr>
                <w:sz w:val="22"/>
              </w:rPr>
              <w:t>User selects option whether Tax (GST) is applicable or not.</w:t>
            </w:r>
          </w:p>
        </w:tc>
        <w:tc>
          <w:tcPr>
            <w:tcW w:w="2952" w:type="dxa"/>
          </w:tcPr>
          <w:p w14:paraId="467CC13E" w14:textId="77777777" w:rsidR="00851143" w:rsidRDefault="00851143" w:rsidP="001B38C2">
            <w:pPr>
              <w:pStyle w:val="BodyTextIndent"/>
              <w:ind w:left="0"/>
              <w:rPr>
                <w:sz w:val="22"/>
              </w:rPr>
            </w:pPr>
            <w:r>
              <w:rPr>
                <w:sz w:val="22"/>
              </w:rPr>
              <w:t>Defaulted from service master</w:t>
            </w:r>
          </w:p>
        </w:tc>
        <w:tc>
          <w:tcPr>
            <w:tcW w:w="2952" w:type="dxa"/>
          </w:tcPr>
          <w:p w14:paraId="3B0E2EC8" w14:textId="77777777" w:rsidR="00851143" w:rsidRDefault="00851143" w:rsidP="001B38C2">
            <w:pPr>
              <w:pStyle w:val="BodyTextIndent"/>
              <w:ind w:left="0"/>
              <w:rPr>
                <w:sz w:val="22"/>
              </w:rPr>
            </w:pPr>
          </w:p>
        </w:tc>
      </w:tr>
      <w:tr w:rsidR="00851143" w14:paraId="68B3F34E" w14:textId="77777777" w:rsidTr="001B38C2">
        <w:tc>
          <w:tcPr>
            <w:tcW w:w="2952" w:type="dxa"/>
          </w:tcPr>
          <w:p w14:paraId="7B73F301" w14:textId="77777777" w:rsidR="00851143" w:rsidRDefault="00851143" w:rsidP="00851143">
            <w:pPr>
              <w:pStyle w:val="BodyTextIndent"/>
              <w:numPr>
                <w:ilvl w:val="0"/>
                <w:numId w:val="5"/>
              </w:numPr>
              <w:rPr>
                <w:sz w:val="22"/>
              </w:rPr>
            </w:pPr>
            <w:r>
              <w:rPr>
                <w:sz w:val="22"/>
              </w:rPr>
              <w:t>System displays default performing unit.</w:t>
            </w:r>
          </w:p>
        </w:tc>
        <w:tc>
          <w:tcPr>
            <w:tcW w:w="2952" w:type="dxa"/>
          </w:tcPr>
          <w:p w14:paraId="2A3E7822" w14:textId="77777777" w:rsidR="00851143" w:rsidRDefault="00851143" w:rsidP="001B38C2">
            <w:pPr>
              <w:pStyle w:val="BodyTextIndent"/>
              <w:ind w:left="0"/>
              <w:rPr>
                <w:sz w:val="22"/>
              </w:rPr>
            </w:pPr>
            <w:r>
              <w:rPr>
                <w:sz w:val="22"/>
              </w:rPr>
              <w:t>User can modify</w:t>
            </w:r>
          </w:p>
        </w:tc>
        <w:tc>
          <w:tcPr>
            <w:tcW w:w="2952" w:type="dxa"/>
          </w:tcPr>
          <w:p w14:paraId="3993731D" w14:textId="77777777" w:rsidR="00851143" w:rsidRDefault="00851143" w:rsidP="001B38C2">
            <w:pPr>
              <w:pStyle w:val="BodyTextIndent"/>
              <w:ind w:left="0"/>
              <w:rPr>
                <w:sz w:val="22"/>
              </w:rPr>
            </w:pPr>
          </w:p>
        </w:tc>
      </w:tr>
      <w:tr w:rsidR="00851143" w14:paraId="47B46142" w14:textId="77777777" w:rsidTr="001B38C2">
        <w:tc>
          <w:tcPr>
            <w:tcW w:w="2952" w:type="dxa"/>
          </w:tcPr>
          <w:p w14:paraId="5A89D405" w14:textId="77777777" w:rsidR="00851143" w:rsidRDefault="00851143" w:rsidP="00851143">
            <w:pPr>
              <w:pStyle w:val="BodyTextIndent"/>
              <w:numPr>
                <w:ilvl w:val="0"/>
                <w:numId w:val="5"/>
              </w:numPr>
              <w:rPr>
                <w:sz w:val="22"/>
              </w:rPr>
            </w:pPr>
            <w:r>
              <w:rPr>
                <w:sz w:val="22"/>
              </w:rPr>
              <w:t>User selects revenue GL codes for each patient type</w:t>
            </w:r>
          </w:p>
        </w:tc>
        <w:tc>
          <w:tcPr>
            <w:tcW w:w="2952" w:type="dxa"/>
          </w:tcPr>
          <w:p w14:paraId="7497B81A" w14:textId="77777777" w:rsidR="00851143" w:rsidRDefault="00851143" w:rsidP="001B38C2">
            <w:pPr>
              <w:pStyle w:val="BodyTextIndent"/>
              <w:ind w:left="0"/>
              <w:rPr>
                <w:sz w:val="22"/>
              </w:rPr>
            </w:pPr>
          </w:p>
        </w:tc>
        <w:tc>
          <w:tcPr>
            <w:tcW w:w="2952" w:type="dxa"/>
          </w:tcPr>
          <w:p w14:paraId="7B7EBA0C" w14:textId="77777777" w:rsidR="00851143" w:rsidRDefault="00851143" w:rsidP="001B38C2">
            <w:pPr>
              <w:pStyle w:val="BodyTextIndent"/>
              <w:ind w:left="0"/>
              <w:rPr>
                <w:sz w:val="22"/>
              </w:rPr>
            </w:pPr>
          </w:p>
        </w:tc>
      </w:tr>
      <w:tr w:rsidR="00851143" w14:paraId="4891CB7D" w14:textId="77777777" w:rsidTr="001B38C2">
        <w:tc>
          <w:tcPr>
            <w:tcW w:w="2952" w:type="dxa"/>
          </w:tcPr>
          <w:p w14:paraId="6E040767" w14:textId="77777777" w:rsidR="00851143" w:rsidRDefault="00851143" w:rsidP="00851143">
            <w:pPr>
              <w:pStyle w:val="BodyTextIndent"/>
              <w:numPr>
                <w:ilvl w:val="0"/>
                <w:numId w:val="5"/>
              </w:numPr>
              <w:rPr>
                <w:sz w:val="22"/>
              </w:rPr>
            </w:pPr>
            <w:r>
              <w:rPr>
                <w:sz w:val="22"/>
              </w:rPr>
              <w:t>User sets active flag</w:t>
            </w:r>
          </w:p>
        </w:tc>
        <w:tc>
          <w:tcPr>
            <w:tcW w:w="2952" w:type="dxa"/>
          </w:tcPr>
          <w:p w14:paraId="2B9CDFDF" w14:textId="77777777" w:rsidR="00851143" w:rsidRDefault="00851143" w:rsidP="001B38C2">
            <w:pPr>
              <w:pStyle w:val="BodyTextIndent"/>
              <w:ind w:left="0"/>
              <w:rPr>
                <w:sz w:val="22"/>
              </w:rPr>
            </w:pPr>
          </w:p>
        </w:tc>
        <w:tc>
          <w:tcPr>
            <w:tcW w:w="2952" w:type="dxa"/>
          </w:tcPr>
          <w:p w14:paraId="3C4545C1" w14:textId="77777777" w:rsidR="00851143" w:rsidRDefault="00851143" w:rsidP="001B38C2">
            <w:pPr>
              <w:pStyle w:val="BodyTextIndent"/>
              <w:ind w:left="0"/>
              <w:rPr>
                <w:sz w:val="22"/>
              </w:rPr>
            </w:pPr>
          </w:p>
        </w:tc>
      </w:tr>
      <w:tr w:rsidR="00851143" w14:paraId="4F404072" w14:textId="77777777" w:rsidTr="001B38C2">
        <w:tc>
          <w:tcPr>
            <w:tcW w:w="2952" w:type="dxa"/>
          </w:tcPr>
          <w:p w14:paraId="1C38541A" w14:textId="1C71076F" w:rsidR="00851143" w:rsidRDefault="00851143" w:rsidP="00851143">
            <w:pPr>
              <w:pStyle w:val="BodyTextIndent"/>
              <w:ind w:left="360"/>
              <w:rPr>
                <w:sz w:val="22"/>
              </w:rPr>
            </w:pPr>
          </w:p>
        </w:tc>
        <w:tc>
          <w:tcPr>
            <w:tcW w:w="2952" w:type="dxa"/>
          </w:tcPr>
          <w:p w14:paraId="37FF2D2E" w14:textId="77777777" w:rsidR="00851143" w:rsidRDefault="00851143" w:rsidP="001B38C2">
            <w:pPr>
              <w:pStyle w:val="BodyTextIndent"/>
              <w:ind w:left="0"/>
              <w:rPr>
                <w:sz w:val="22"/>
              </w:rPr>
            </w:pPr>
          </w:p>
        </w:tc>
        <w:tc>
          <w:tcPr>
            <w:tcW w:w="2952" w:type="dxa"/>
          </w:tcPr>
          <w:p w14:paraId="53751F57" w14:textId="77777777" w:rsidR="00851143" w:rsidRDefault="00851143" w:rsidP="001B38C2">
            <w:pPr>
              <w:pStyle w:val="BodyTextIndent"/>
              <w:ind w:left="0"/>
              <w:rPr>
                <w:sz w:val="22"/>
              </w:rPr>
            </w:pPr>
          </w:p>
        </w:tc>
      </w:tr>
      <w:tr w:rsidR="00851143" w14:paraId="566F7CCF" w14:textId="77777777" w:rsidTr="001B38C2">
        <w:tc>
          <w:tcPr>
            <w:tcW w:w="2952" w:type="dxa"/>
          </w:tcPr>
          <w:p w14:paraId="6EF52835" w14:textId="3736F2A3" w:rsidR="00851143" w:rsidRDefault="00851143" w:rsidP="00851143">
            <w:pPr>
              <w:pStyle w:val="BodyTextIndent"/>
              <w:ind w:left="360"/>
              <w:rPr>
                <w:sz w:val="22"/>
              </w:rPr>
            </w:pPr>
          </w:p>
        </w:tc>
        <w:tc>
          <w:tcPr>
            <w:tcW w:w="2952" w:type="dxa"/>
          </w:tcPr>
          <w:p w14:paraId="4E146E71" w14:textId="77777777" w:rsidR="00851143" w:rsidRDefault="00851143" w:rsidP="001B38C2">
            <w:pPr>
              <w:pStyle w:val="BodyTextIndent"/>
              <w:ind w:left="0"/>
              <w:rPr>
                <w:sz w:val="22"/>
              </w:rPr>
            </w:pPr>
          </w:p>
        </w:tc>
        <w:tc>
          <w:tcPr>
            <w:tcW w:w="2952" w:type="dxa"/>
          </w:tcPr>
          <w:p w14:paraId="00DDC231" w14:textId="77777777" w:rsidR="00851143" w:rsidRDefault="00851143" w:rsidP="001B38C2">
            <w:pPr>
              <w:pStyle w:val="BodyTextIndent"/>
              <w:ind w:left="0"/>
              <w:rPr>
                <w:sz w:val="22"/>
              </w:rPr>
            </w:pPr>
          </w:p>
        </w:tc>
      </w:tr>
      <w:tr w:rsidR="00851143" w14:paraId="6934E254" w14:textId="77777777" w:rsidTr="001B38C2">
        <w:tc>
          <w:tcPr>
            <w:tcW w:w="2952" w:type="dxa"/>
          </w:tcPr>
          <w:p w14:paraId="0E13F515" w14:textId="77777777" w:rsidR="00851143" w:rsidRDefault="00851143" w:rsidP="00851143">
            <w:pPr>
              <w:pStyle w:val="BodyTextIndent"/>
              <w:numPr>
                <w:ilvl w:val="0"/>
                <w:numId w:val="5"/>
              </w:numPr>
              <w:rPr>
                <w:sz w:val="22"/>
              </w:rPr>
            </w:pPr>
            <w:r>
              <w:rPr>
                <w:sz w:val="22"/>
              </w:rPr>
              <w:t>User enters from date and to date of rate</w:t>
            </w:r>
          </w:p>
        </w:tc>
        <w:tc>
          <w:tcPr>
            <w:tcW w:w="2952" w:type="dxa"/>
          </w:tcPr>
          <w:p w14:paraId="2EADEA71" w14:textId="77777777" w:rsidR="00851143" w:rsidRDefault="00851143" w:rsidP="001B38C2">
            <w:pPr>
              <w:pStyle w:val="BodyTextIndent"/>
              <w:ind w:left="0"/>
              <w:rPr>
                <w:sz w:val="22"/>
              </w:rPr>
            </w:pPr>
            <w:r>
              <w:rPr>
                <w:sz w:val="22"/>
              </w:rPr>
              <w:t>Two date ranges cannot overlap</w:t>
            </w:r>
          </w:p>
          <w:p w14:paraId="6107B349" w14:textId="77777777" w:rsidR="00851143" w:rsidRDefault="00851143" w:rsidP="001B38C2">
            <w:pPr>
              <w:pStyle w:val="BodyTextIndent"/>
              <w:ind w:left="0"/>
              <w:rPr>
                <w:sz w:val="22"/>
              </w:rPr>
            </w:pPr>
            <w:r>
              <w:rPr>
                <w:sz w:val="22"/>
              </w:rPr>
              <w:t>The service is not valid after last date range.</w:t>
            </w:r>
          </w:p>
        </w:tc>
        <w:tc>
          <w:tcPr>
            <w:tcW w:w="2952" w:type="dxa"/>
          </w:tcPr>
          <w:p w14:paraId="7F75E73C" w14:textId="77777777" w:rsidR="00851143" w:rsidRDefault="00851143" w:rsidP="001B38C2">
            <w:pPr>
              <w:pStyle w:val="BodyTextIndent"/>
              <w:ind w:left="0"/>
              <w:rPr>
                <w:sz w:val="22"/>
              </w:rPr>
            </w:pPr>
          </w:p>
        </w:tc>
      </w:tr>
      <w:tr w:rsidR="00851143" w14:paraId="26F34844" w14:textId="77777777" w:rsidTr="001B38C2">
        <w:tc>
          <w:tcPr>
            <w:tcW w:w="2952" w:type="dxa"/>
          </w:tcPr>
          <w:p w14:paraId="2CDBA255" w14:textId="77777777" w:rsidR="00851143" w:rsidRDefault="00851143" w:rsidP="00851143">
            <w:pPr>
              <w:pStyle w:val="BodyTextIndent"/>
              <w:numPr>
                <w:ilvl w:val="0"/>
                <w:numId w:val="5"/>
              </w:numPr>
              <w:rPr>
                <w:sz w:val="22"/>
              </w:rPr>
            </w:pPr>
            <w:r>
              <w:rPr>
                <w:sz w:val="22"/>
              </w:rPr>
              <w:t>User enters rates for each patient type</w:t>
            </w:r>
          </w:p>
        </w:tc>
        <w:tc>
          <w:tcPr>
            <w:tcW w:w="2952" w:type="dxa"/>
          </w:tcPr>
          <w:p w14:paraId="00EF6D5A" w14:textId="77777777" w:rsidR="00851143" w:rsidRDefault="00851143" w:rsidP="001B38C2">
            <w:pPr>
              <w:pStyle w:val="BodyTextIndent"/>
              <w:ind w:left="0"/>
              <w:rPr>
                <w:sz w:val="22"/>
              </w:rPr>
            </w:pPr>
          </w:p>
        </w:tc>
        <w:tc>
          <w:tcPr>
            <w:tcW w:w="2952" w:type="dxa"/>
          </w:tcPr>
          <w:p w14:paraId="7C42BA55" w14:textId="77777777" w:rsidR="00851143" w:rsidRDefault="00851143" w:rsidP="001B38C2">
            <w:pPr>
              <w:pStyle w:val="BodyTextIndent"/>
              <w:ind w:left="0"/>
              <w:rPr>
                <w:sz w:val="22"/>
              </w:rPr>
            </w:pPr>
          </w:p>
        </w:tc>
      </w:tr>
      <w:tr w:rsidR="00851143" w14:paraId="57A5027D" w14:textId="77777777" w:rsidTr="001B38C2">
        <w:tc>
          <w:tcPr>
            <w:tcW w:w="2952" w:type="dxa"/>
          </w:tcPr>
          <w:p w14:paraId="5E28219B" w14:textId="77777777" w:rsidR="00851143" w:rsidRPr="000611AC" w:rsidRDefault="00851143" w:rsidP="00851143">
            <w:pPr>
              <w:pStyle w:val="BodyTextIndent"/>
              <w:numPr>
                <w:ilvl w:val="0"/>
                <w:numId w:val="5"/>
              </w:numPr>
              <w:rPr>
                <w:color w:val="ED7D31" w:themeColor="accent2"/>
                <w:sz w:val="22"/>
              </w:rPr>
            </w:pPr>
            <w:r w:rsidRPr="000611AC">
              <w:rPr>
                <w:color w:val="ED7D31" w:themeColor="accent2"/>
                <w:sz w:val="22"/>
              </w:rPr>
              <w:t>User selects provider for each patient type</w:t>
            </w:r>
          </w:p>
        </w:tc>
        <w:tc>
          <w:tcPr>
            <w:tcW w:w="2952" w:type="dxa"/>
          </w:tcPr>
          <w:p w14:paraId="449E2D65" w14:textId="77777777" w:rsidR="00851143" w:rsidRDefault="00851143" w:rsidP="001B38C2">
            <w:pPr>
              <w:pStyle w:val="BodyTextIndent"/>
              <w:ind w:left="0"/>
              <w:rPr>
                <w:sz w:val="22"/>
              </w:rPr>
            </w:pPr>
          </w:p>
        </w:tc>
        <w:tc>
          <w:tcPr>
            <w:tcW w:w="2952" w:type="dxa"/>
          </w:tcPr>
          <w:p w14:paraId="03405FBA" w14:textId="77777777" w:rsidR="00851143" w:rsidRDefault="00851143" w:rsidP="001B38C2">
            <w:pPr>
              <w:pStyle w:val="BodyTextIndent"/>
              <w:ind w:left="0"/>
              <w:rPr>
                <w:sz w:val="22"/>
              </w:rPr>
            </w:pPr>
          </w:p>
        </w:tc>
      </w:tr>
      <w:tr w:rsidR="00851143" w14:paraId="7DF26B7D" w14:textId="77777777" w:rsidTr="001B38C2">
        <w:tc>
          <w:tcPr>
            <w:tcW w:w="2952" w:type="dxa"/>
          </w:tcPr>
          <w:p w14:paraId="705D5DC9" w14:textId="77777777" w:rsidR="00851143" w:rsidRDefault="00851143" w:rsidP="00851143">
            <w:pPr>
              <w:pStyle w:val="BodyTextIndent"/>
              <w:numPr>
                <w:ilvl w:val="0"/>
                <w:numId w:val="5"/>
              </w:numPr>
              <w:rPr>
                <w:sz w:val="22"/>
              </w:rPr>
            </w:pPr>
            <w:r>
              <w:rPr>
                <w:sz w:val="22"/>
              </w:rPr>
              <w:lastRenderedPageBreak/>
              <w:t>User marks if provider is fixed or default</w:t>
            </w:r>
          </w:p>
        </w:tc>
        <w:tc>
          <w:tcPr>
            <w:tcW w:w="2952" w:type="dxa"/>
          </w:tcPr>
          <w:p w14:paraId="48E3D9D6" w14:textId="77777777" w:rsidR="00851143" w:rsidRDefault="00851143" w:rsidP="001B38C2">
            <w:pPr>
              <w:pStyle w:val="BodyTextIndent"/>
              <w:ind w:left="0"/>
              <w:rPr>
                <w:sz w:val="22"/>
              </w:rPr>
            </w:pPr>
          </w:p>
        </w:tc>
        <w:tc>
          <w:tcPr>
            <w:tcW w:w="2952" w:type="dxa"/>
          </w:tcPr>
          <w:p w14:paraId="6828BD48" w14:textId="77777777" w:rsidR="00851143" w:rsidRDefault="00851143" w:rsidP="001B38C2">
            <w:pPr>
              <w:pStyle w:val="BodyTextIndent"/>
              <w:ind w:left="0"/>
              <w:rPr>
                <w:sz w:val="22"/>
              </w:rPr>
            </w:pPr>
          </w:p>
        </w:tc>
      </w:tr>
      <w:tr w:rsidR="00851143" w14:paraId="6F7C94F3" w14:textId="77777777" w:rsidTr="001B38C2">
        <w:tc>
          <w:tcPr>
            <w:tcW w:w="2952" w:type="dxa"/>
          </w:tcPr>
          <w:p w14:paraId="58128FAC" w14:textId="77777777" w:rsidR="00851143" w:rsidRDefault="00851143" w:rsidP="00851143">
            <w:pPr>
              <w:pStyle w:val="BodyTextIndent"/>
              <w:numPr>
                <w:ilvl w:val="0"/>
                <w:numId w:val="5"/>
              </w:numPr>
              <w:rPr>
                <w:sz w:val="22"/>
              </w:rPr>
            </w:pPr>
            <w:r>
              <w:rPr>
                <w:sz w:val="22"/>
              </w:rPr>
              <w:t>User enters rate or percentage for the provider</w:t>
            </w:r>
          </w:p>
        </w:tc>
        <w:tc>
          <w:tcPr>
            <w:tcW w:w="2952" w:type="dxa"/>
          </w:tcPr>
          <w:p w14:paraId="5B1E9DAA" w14:textId="5AB04111" w:rsidR="00851143" w:rsidRDefault="005F0FB8" w:rsidP="001B38C2">
            <w:pPr>
              <w:pStyle w:val="BodyTextIndent"/>
              <w:ind w:left="0"/>
              <w:rPr>
                <w:sz w:val="22"/>
              </w:rPr>
            </w:pPr>
            <w:r>
              <w:rPr>
                <w:sz w:val="22"/>
              </w:rPr>
              <w:t>Revenue share</w:t>
            </w:r>
          </w:p>
        </w:tc>
        <w:tc>
          <w:tcPr>
            <w:tcW w:w="2952" w:type="dxa"/>
          </w:tcPr>
          <w:p w14:paraId="409356FA" w14:textId="77777777" w:rsidR="00851143" w:rsidRDefault="00851143" w:rsidP="001B38C2">
            <w:pPr>
              <w:pStyle w:val="BodyTextIndent"/>
              <w:ind w:left="0"/>
              <w:rPr>
                <w:sz w:val="22"/>
              </w:rPr>
            </w:pPr>
          </w:p>
        </w:tc>
      </w:tr>
      <w:tr w:rsidR="00851143" w14:paraId="4D5E4472" w14:textId="77777777" w:rsidTr="001B38C2">
        <w:tc>
          <w:tcPr>
            <w:tcW w:w="2952" w:type="dxa"/>
          </w:tcPr>
          <w:p w14:paraId="196B3035" w14:textId="77777777" w:rsidR="00851143" w:rsidRDefault="00851143" w:rsidP="00851143">
            <w:pPr>
              <w:pStyle w:val="BodyTextIndent"/>
              <w:numPr>
                <w:ilvl w:val="0"/>
                <w:numId w:val="5"/>
              </w:numPr>
              <w:rPr>
                <w:sz w:val="22"/>
              </w:rPr>
            </w:pPr>
            <w:r>
              <w:rPr>
                <w:sz w:val="22"/>
              </w:rPr>
              <w:t>User saves the details.</w:t>
            </w:r>
          </w:p>
        </w:tc>
        <w:tc>
          <w:tcPr>
            <w:tcW w:w="2952" w:type="dxa"/>
          </w:tcPr>
          <w:p w14:paraId="40251388" w14:textId="77777777" w:rsidR="00851143" w:rsidRDefault="00851143" w:rsidP="001B38C2">
            <w:pPr>
              <w:pStyle w:val="BodyTextIndent"/>
              <w:ind w:left="0"/>
              <w:rPr>
                <w:sz w:val="22"/>
              </w:rPr>
            </w:pPr>
          </w:p>
        </w:tc>
        <w:tc>
          <w:tcPr>
            <w:tcW w:w="2952" w:type="dxa"/>
          </w:tcPr>
          <w:p w14:paraId="696B1DAC" w14:textId="77777777" w:rsidR="00851143" w:rsidRDefault="00851143" w:rsidP="001B38C2">
            <w:pPr>
              <w:pStyle w:val="BodyTextIndent"/>
              <w:ind w:left="0"/>
              <w:rPr>
                <w:sz w:val="22"/>
              </w:rPr>
            </w:pPr>
          </w:p>
        </w:tc>
      </w:tr>
    </w:tbl>
    <w:p w14:paraId="3474B802" w14:textId="77777777" w:rsidR="00851143" w:rsidRDefault="00851143" w:rsidP="00851143">
      <w:pPr>
        <w:rPr>
          <w:b/>
          <w:sz w:val="22"/>
        </w:rPr>
      </w:pPr>
    </w:p>
    <w:p w14:paraId="7CC40275" w14:textId="77777777" w:rsidR="00851143" w:rsidRDefault="00851143" w:rsidP="00851143">
      <w:pPr>
        <w:rPr>
          <w:b/>
          <w:sz w:val="22"/>
        </w:rPr>
      </w:pPr>
      <w:r>
        <w:rPr>
          <w:b/>
          <w:sz w:val="22"/>
        </w:rPr>
        <w:t>Alternate scenario for xx</w:t>
      </w:r>
    </w:p>
    <w:p w14:paraId="069F4BA0" w14:textId="77777777" w:rsidR="00851143" w:rsidRDefault="00851143" w:rsidP="00851143">
      <w:pPr>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851143" w14:paraId="60AD54C8" w14:textId="77777777" w:rsidTr="001B38C2">
        <w:tc>
          <w:tcPr>
            <w:tcW w:w="2952" w:type="dxa"/>
          </w:tcPr>
          <w:p w14:paraId="2824FC30" w14:textId="77777777" w:rsidR="00851143" w:rsidRDefault="00851143" w:rsidP="001B38C2">
            <w:pPr>
              <w:pStyle w:val="BodyTextIndent"/>
              <w:ind w:left="0"/>
              <w:rPr>
                <w:b/>
                <w:sz w:val="22"/>
              </w:rPr>
            </w:pPr>
            <w:r>
              <w:rPr>
                <w:b/>
                <w:sz w:val="22"/>
              </w:rPr>
              <w:t>Task Sequence</w:t>
            </w:r>
          </w:p>
        </w:tc>
        <w:tc>
          <w:tcPr>
            <w:tcW w:w="2952" w:type="dxa"/>
          </w:tcPr>
          <w:p w14:paraId="2DEB86B8" w14:textId="77777777" w:rsidR="00851143" w:rsidRDefault="00851143" w:rsidP="001B38C2">
            <w:pPr>
              <w:pStyle w:val="BodyTextIndent"/>
              <w:ind w:left="0"/>
              <w:rPr>
                <w:b/>
                <w:sz w:val="22"/>
              </w:rPr>
            </w:pPr>
            <w:r>
              <w:rPr>
                <w:b/>
                <w:sz w:val="22"/>
              </w:rPr>
              <w:t>Rule</w:t>
            </w:r>
          </w:p>
        </w:tc>
        <w:tc>
          <w:tcPr>
            <w:tcW w:w="2952" w:type="dxa"/>
          </w:tcPr>
          <w:p w14:paraId="3F9C0D0C" w14:textId="77777777" w:rsidR="00851143" w:rsidRDefault="00851143" w:rsidP="001B38C2">
            <w:pPr>
              <w:pStyle w:val="BodyTextIndent"/>
              <w:ind w:left="0"/>
              <w:rPr>
                <w:b/>
                <w:sz w:val="22"/>
              </w:rPr>
            </w:pPr>
            <w:r>
              <w:rPr>
                <w:b/>
                <w:sz w:val="22"/>
              </w:rPr>
              <w:t>Exception</w:t>
            </w:r>
          </w:p>
        </w:tc>
      </w:tr>
      <w:tr w:rsidR="00851143" w14:paraId="7DBD5BC8" w14:textId="77777777" w:rsidTr="001B38C2">
        <w:tc>
          <w:tcPr>
            <w:tcW w:w="2952" w:type="dxa"/>
          </w:tcPr>
          <w:p w14:paraId="749A6B2C" w14:textId="77777777" w:rsidR="00851143" w:rsidRDefault="00851143" w:rsidP="001B38C2">
            <w:pPr>
              <w:pStyle w:val="BodyTextIndent"/>
              <w:ind w:left="0"/>
              <w:rPr>
                <w:sz w:val="22"/>
              </w:rPr>
            </w:pPr>
          </w:p>
        </w:tc>
        <w:tc>
          <w:tcPr>
            <w:tcW w:w="2952" w:type="dxa"/>
          </w:tcPr>
          <w:p w14:paraId="630E741D" w14:textId="77777777" w:rsidR="00851143" w:rsidRDefault="00851143" w:rsidP="001B38C2">
            <w:pPr>
              <w:pStyle w:val="BodyTextIndent"/>
              <w:ind w:left="0"/>
              <w:rPr>
                <w:sz w:val="22"/>
              </w:rPr>
            </w:pPr>
          </w:p>
        </w:tc>
        <w:tc>
          <w:tcPr>
            <w:tcW w:w="2952" w:type="dxa"/>
          </w:tcPr>
          <w:p w14:paraId="3C896390" w14:textId="77777777" w:rsidR="00851143" w:rsidRDefault="00851143" w:rsidP="001B38C2">
            <w:pPr>
              <w:pStyle w:val="BodyTextIndent"/>
              <w:ind w:left="0"/>
              <w:rPr>
                <w:sz w:val="22"/>
              </w:rPr>
            </w:pPr>
          </w:p>
        </w:tc>
      </w:tr>
      <w:tr w:rsidR="00851143" w14:paraId="0DC3D54F" w14:textId="77777777" w:rsidTr="001B38C2">
        <w:tc>
          <w:tcPr>
            <w:tcW w:w="2952" w:type="dxa"/>
          </w:tcPr>
          <w:p w14:paraId="64770B01" w14:textId="77777777" w:rsidR="00851143" w:rsidRDefault="00851143" w:rsidP="001B38C2">
            <w:pPr>
              <w:pStyle w:val="BodyTextIndent"/>
              <w:ind w:left="0"/>
              <w:rPr>
                <w:sz w:val="22"/>
              </w:rPr>
            </w:pPr>
          </w:p>
        </w:tc>
        <w:tc>
          <w:tcPr>
            <w:tcW w:w="2952" w:type="dxa"/>
          </w:tcPr>
          <w:p w14:paraId="45EE0F3D" w14:textId="77777777" w:rsidR="00851143" w:rsidRDefault="00851143" w:rsidP="001B38C2">
            <w:pPr>
              <w:pStyle w:val="BodyTextIndent"/>
              <w:ind w:left="0"/>
              <w:rPr>
                <w:sz w:val="22"/>
              </w:rPr>
            </w:pPr>
          </w:p>
        </w:tc>
        <w:tc>
          <w:tcPr>
            <w:tcW w:w="2952" w:type="dxa"/>
          </w:tcPr>
          <w:p w14:paraId="58CB63E3" w14:textId="77777777" w:rsidR="00851143" w:rsidRDefault="00851143" w:rsidP="001B38C2">
            <w:pPr>
              <w:pStyle w:val="BodyTextIndent"/>
              <w:ind w:left="0"/>
              <w:rPr>
                <w:sz w:val="22"/>
              </w:rPr>
            </w:pPr>
          </w:p>
        </w:tc>
      </w:tr>
      <w:tr w:rsidR="00851143" w14:paraId="48C7D561" w14:textId="77777777" w:rsidTr="001B38C2">
        <w:tc>
          <w:tcPr>
            <w:tcW w:w="2952" w:type="dxa"/>
          </w:tcPr>
          <w:p w14:paraId="2CDAE302" w14:textId="77777777" w:rsidR="00851143" w:rsidRDefault="00851143" w:rsidP="001B38C2">
            <w:pPr>
              <w:pStyle w:val="BodyTextIndent"/>
              <w:ind w:left="0"/>
              <w:rPr>
                <w:sz w:val="22"/>
              </w:rPr>
            </w:pPr>
          </w:p>
        </w:tc>
        <w:tc>
          <w:tcPr>
            <w:tcW w:w="2952" w:type="dxa"/>
          </w:tcPr>
          <w:p w14:paraId="64439D1D" w14:textId="77777777" w:rsidR="00851143" w:rsidRDefault="00851143" w:rsidP="001B38C2">
            <w:pPr>
              <w:pStyle w:val="BodyTextIndent"/>
              <w:ind w:left="0"/>
              <w:rPr>
                <w:sz w:val="22"/>
              </w:rPr>
            </w:pPr>
          </w:p>
        </w:tc>
        <w:tc>
          <w:tcPr>
            <w:tcW w:w="2952" w:type="dxa"/>
          </w:tcPr>
          <w:p w14:paraId="10EF5620" w14:textId="77777777" w:rsidR="00851143" w:rsidRDefault="00851143" w:rsidP="001B38C2">
            <w:pPr>
              <w:pStyle w:val="BodyTextIndent"/>
              <w:ind w:left="0"/>
              <w:rPr>
                <w:sz w:val="22"/>
              </w:rPr>
            </w:pPr>
          </w:p>
        </w:tc>
      </w:tr>
    </w:tbl>
    <w:p w14:paraId="3551B637" w14:textId="77777777" w:rsidR="00851143" w:rsidRDefault="00851143" w:rsidP="00851143">
      <w:pPr>
        <w:rPr>
          <w:b/>
          <w:sz w:val="22"/>
        </w:rPr>
      </w:pPr>
    </w:p>
    <w:p w14:paraId="1AC83CDE" w14:textId="77777777" w:rsidR="00851143" w:rsidRDefault="00851143" w:rsidP="00851143">
      <w:pPr>
        <w:rPr>
          <w:sz w:val="22"/>
        </w:rPr>
      </w:pPr>
      <w:r>
        <w:rPr>
          <w:b/>
          <w:sz w:val="22"/>
        </w:rPr>
        <w:t>Post-process conditions</w:t>
      </w:r>
    </w:p>
    <w:p w14:paraId="0ED3BECF" w14:textId="77777777" w:rsidR="00851143" w:rsidRDefault="00851143" w:rsidP="00851143">
      <w:pPr>
        <w:rPr>
          <w:b/>
          <w:sz w:val="22"/>
        </w:rPr>
      </w:pPr>
    </w:p>
    <w:p w14:paraId="6C4BBA7A" w14:textId="77777777" w:rsidR="00851143" w:rsidRDefault="00851143" w:rsidP="00851143">
      <w:pPr>
        <w:rPr>
          <w:b/>
          <w:sz w:val="22"/>
        </w:rPr>
      </w:pPr>
      <w:r>
        <w:rPr>
          <w:b/>
          <w:sz w:val="22"/>
        </w:rPr>
        <w:t>Alert details</w:t>
      </w:r>
    </w:p>
    <w:p w14:paraId="303DCBC3" w14:textId="77777777" w:rsidR="00851143" w:rsidRDefault="00851143" w:rsidP="00851143">
      <w:pPr>
        <w:pStyle w:val="BodyText"/>
        <w:rPr>
          <w:sz w:val="22"/>
        </w:rPr>
      </w:pPr>
    </w:p>
    <w:p w14:paraId="4DBED1FA" w14:textId="77777777" w:rsidR="00851143" w:rsidRDefault="00851143" w:rsidP="00851143">
      <w:pPr>
        <w:rPr>
          <w:sz w:val="22"/>
        </w:rPr>
      </w:pPr>
      <w:r>
        <w:rPr>
          <w:b/>
          <w:sz w:val="22"/>
        </w:rPr>
        <w:t>Integration details</w:t>
      </w:r>
    </w:p>
    <w:p w14:paraId="2C8A515E" w14:textId="77777777" w:rsidR="00851143" w:rsidRDefault="00851143" w:rsidP="00851143">
      <w:pPr>
        <w:rPr>
          <w:sz w:val="22"/>
        </w:rPr>
      </w:pPr>
    </w:p>
    <w:p w14:paraId="51604C0E" w14:textId="77777777" w:rsidR="00851143" w:rsidRDefault="00851143" w:rsidP="00851143">
      <w:pPr>
        <w:pStyle w:val="Header"/>
        <w:rPr>
          <w:b/>
          <w:sz w:val="22"/>
        </w:rPr>
      </w:pPr>
      <w:r>
        <w:rPr>
          <w:b/>
          <w:sz w:val="22"/>
        </w:rPr>
        <w:t>Issues to be escalated</w:t>
      </w:r>
    </w:p>
    <w:p w14:paraId="765284CF" w14:textId="77777777" w:rsidR="00851143" w:rsidRDefault="00851143" w:rsidP="00851143">
      <w:pPr>
        <w:pStyle w:val="Header"/>
        <w:rPr>
          <w:b/>
          <w:sz w:val="22"/>
        </w:rPr>
      </w:pPr>
      <w:r>
        <w:rPr>
          <w:b/>
          <w:sz w:val="22"/>
        </w:rPr>
        <w:t>Functional</w:t>
      </w:r>
    </w:p>
    <w:p w14:paraId="56BDDD3A" w14:textId="77777777" w:rsidR="00851143" w:rsidRDefault="00851143" w:rsidP="00851143">
      <w:pPr>
        <w:numPr>
          <w:ilvl w:val="0"/>
          <w:numId w:val="1"/>
        </w:numPr>
        <w:jc w:val="both"/>
        <w:rPr>
          <w:sz w:val="22"/>
        </w:rPr>
      </w:pPr>
      <w:r>
        <w:rPr>
          <w:sz w:val="22"/>
        </w:rPr>
        <w:t xml:space="preserve">Location is unique hence company can be identified if location is selected. User need not select the company. </w:t>
      </w:r>
      <w:r>
        <w:rPr>
          <w:b/>
          <w:sz w:val="22"/>
        </w:rPr>
        <w:t>(Financial accounting)</w:t>
      </w:r>
    </w:p>
    <w:p w14:paraId="4CDCE6CA" w14:textId="520716DE" w:rsidR="00851143" w:rsidRDefault="00851143" w:rsidP="00851143">
      <w:pPr>
        <w:numPr>
          <w:ilvl w:val="0"/>
          <w:numId w:val="1"/>
        </w:numPr>
        <w:jc w:val="both"/>
        <w:rPr>
          <w:sz w:val="22"/>
        </w:rPr>
      </w:pPr>
      <w:r>
        <w:rPr>
          <w:sz w:val="22"/>
        </w:rPr>
        <w:t xml:space="preserve">A service must have an option to specify whether an attending doctor or resource is required. </w:t>
      </w:r>
    </w:p>
    <w:p w14:paraId="518EC2BA" w14:textId="77777777" w:rsidR="00851143" w:rsidRDefault="00851143" w:rsidP="00851143">
      <w:pPr>
        <w:pStyle w:val="Header"/>
        <w:rPr>
          <w:sz w:val="22"/>
        </w:rPr>
      </w:pPr>
      <w:r>
        <w:rPr>
          <w:b/>
          <w:sz w:val="22"/>
        </w:rPr>
        <w:t>Technical</w:t>
      </w:r>
    </w:p>
    <w:p w14:paraId="6CD13043" w14:textId="77777777" w:rsidR="00851143" w:rsidRDefault="00851143" w:rsidP="00851143">
      <w:pPr>
        <w:jc w:val="both"/>
        <w:rPr>
          <w:sz w:val="22"/>
        </w:rPr>
      </w:pPr>
      <w:r>
        <w:rPr>
          <w:sz w:val="22"/>
        </w:rPr>
        <w:t>None</w:t>
      </w:r>
    </w:p>
    <w:p w14:paraId="173CC041" w14:textId="3451FF1C" w:rsidR="00F8590D" w:rsidRDefault="00F8590D" w:rsidP="00851143">
      <w:pPr>
        <w:pStyle w:val="Heading3"/>
        <w:rPr>
          <w:b w:val="0"/>
          <w:sz w:val="22"/>
        </w:rPr>
      </w:pPr>
    </w:p>
    <w:sectPr w:rsidR="00F85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AD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A522D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00D7139"/>
    <w:multiLevelType w:val="multilevel"/>
    <w:tmpl w:val="BC0A3C34"/>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4277A5"/>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A9470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numFmt w:val="none"/>
      <w:lvlText w:val=""/>
      <w:lvlJc w:val="left"/>
      <w:pPr>
        <w:tabs>
          <w:tab w:val="num" w:pos="360"/>
        </w:tabs>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7C4378A6"/>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EF"/>
    <w:rsid w:val="000611AC"/>
    <w:rsid w:val="002D6DB6"/>
    <w:rsid w:val="00380366"/>
    <w:rsid w:val="00555993"/>
    <w:rsid w:val="005B2776"/>
    <w:rsid w:val="005F0FB8"/>
    <w:rsid w:val="00714E7E"/>
    <w:rsid w:val="008474EF"/>
    <w:rsid w:val="00851143"/>
    <w:rsid w:val="008D3FC2"/>
    <w:rsid w:val="00BA64C5"/>
    <w:rsid w:val="00D14ECA"/>
    <w:rsid w:val="00D73D20"/>
    <w:rsid w:val="00F85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C7FD"/>
  <w15:chartTrackingRefBased/>
  <w15:docId w15:val="{C9EFFFF7-B3BD-475F-95F4-AAB596F5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4EF"/>
    <w:pPr>
      <w:spacing w:after="0" w:line="240" w:lineRule="auto"/>
    </w:pPr>
    <w:rPr>
      <w:rFonts w:ascii="Arial" w:eastAsia="Times New Roman" w:hAnsi="Arial" w:cs="Times New Roman"/>
      <w:sz w:val="24"/>
      <w:szCs w:val="20"/>
      <w:lang w:val="en-US"/>
    </w:rPr>
  </w:style>
  <w:style w:type="paragraph" w:styleId="Heading3">
    <w:name w:val="heading 3"/>
    <w:basedOn w:val="Normal"/>
    <w:next w:val="Normal"/>
    <w:link w:val="Heading3Char"/>
    <w:qFormat/>
    <w:rsid w:val="008474EF"/>
    <w:pPr>
      <w:keepNext/>
      <w:spacing w:before="240" w:after="60"/>
      <w:outlineLvl w:val="2"/>
    </w:pPr>
    <w:rPr>
      <w:rFonts w:cs="Arial"/>
      <w:b/>
      <w:bCs/>
      <w:sz w:val="26"/>
      <w:szCs w:val="26"/>
    </w:rPr>
  </w:style>
  <w:style w:type="paragraph" w:styleId="Heading5">
    <w:name w:val="heading 5"/>
    <w:basedOn w:val="Normal"/>
    <w:next w:val="Normal"/>
    <w:link w:val="Heading5Char"/>
    <w:qFormat/>
    <w:rsid w:val="008474EF"/>
    <w:pPr>
      <w:keepNext/>
      <w:outlineLvl w:val="4"/>
    </w:pPr>
    <w:rPr>
      <w:b/>
      <w:sz w:val="22"/>
    </w:rPr>
  </w:style>
  <w:style w:type="paragraph" w:styleId="Heading7">
    <w:name w:val="heading 7"/>
    <w:basedOn w:val="Normal"/>
    <w:next w:val="Normal"/>
    <w:link w:val="Heading7Char"/>
    <w:qFormat/>
    <w:rsid w:val="008474EF"/>
    <w:pPr>
      <w:keepNext/>
      <w:jc w:val="both"/>
      <w:outlineLvl w:val="6"/>
    </w:pPr>
    <w:rPr>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74EF"/>
    <w:rPr>
      <w:rFonts w:ascii="Arial" w:eastAsia="Times New Roman" w:hAnsi="Arial" w:cs="Arial"/>
      <w:b/>
      <w:bCs/>
      <w:sz w:val="26"/>
      <w:szCs w:val="26"/>
      <w:lang w:val="en-US"/>
    </w:rPr>
  </w:style>
  <w:style w:type="character" w:customStyle="1" w:styleId="Heading5Char">
    <w:name w:val="Heading 5 Char"/>
    <w:basedOn w:val="DefaultParagraphFont"/>
    <w:link w:val="Heading5"/>
    <w:rsid w:val="008474EF"/>
    <w:rPr>
      <w:rFonts w:ascii="Arial" w:eastAsia="Times New Roman" w:hAnsi="Arial" w:cs="Times New Roman"/>
      <w:b/>
      <w:szCs w:val="20"/>
      <w:lang w:val="en-US"/>
    </w:rPr>
  </w:style>
  <w:style w:type="character" w:customStyle="1" w:styleId="Heading7Char">
    <w:name w:val="Heading 7 Char"/>
    <w:basedOn w:val="DefaultParagraphFont"/>
    <w:link w:val="Heading7"/>
    <w:rsid w:val="008474EF"/>
    <w:rPr>
      <w:rFonts w:ascii="Arial" w:eastAsia="Times New Roman" w:hAnsi="Arial" w:cs="Times New Roman"/>
      <w:b/>
      <w:szCs w:val="20"/>
      <w:lang w:val="en-GB"/>
    </w:rPr>
  </w:style>
  <w:style w:type="paragraph" w:styleId="BodyText">
    <w:name w:val="Body Text"/>
    <w:basedOn w:val="Normal"/>
    <w:link w:val="BodyTextChar"/>
    <w:semiHidden/>
    <w:rsid w:val="008474EF"/>
    <w:pPr>
      <w:jc w:val="both"/>
    </w:pPr>
    <w:rPr>
      <w:rFonts w:cs="Arial"/>
    </w:rPr>
  </w:style>
  <w:style w:type="character" w:customStyle="1" w:styleId="BodyTextChar">
    <w:name w:val="Body Text Char"/>
    <w:basedOn w:val="DefaultParagraphFont"/>
    <w:link w:val="BodyText"/>
    <w:semiHidden/>
    <w:rsid w:val="008474EF"/>
    <w:rPr>
      <w:rFonts w:ascii="Arial" w:eastAsia="Times New Roman" w:hAnsi="Arial" w:cs="Arial"/>
      <w:sz w:val="24"/>
      <w:szCs w:val="20"/>
      <w:lang w:val="en-US"/>
    </w:rPr>
  </w:style>
  <w:style w:type="paragraph" w:styleId="Header">
    <w:name w:val="header"/>
    <w:basedOn w:val="Normal"/>
    <w:link w:val="HeaderChar"/>
    <w:semiHidden/>
    <w:rsid w:val="008474EF"/>
    <w:pPr>
      <w:tabs>
        <w:tab w:val="center" w:pos="4153"/>
        <w:tab w:val="right" w:pos="8306"/>
      </w:tabs>
    </w:pPr>
  </w:style>
  <w:style w:type="character" w:customStyle="1" w:styleId="HeaderChar">
    <w:name w:val="Header Char"/>
    <w:basedOn w:val="DefaultParagraphFont"/>
    <w:link w:val="Header"/>
    <w:semiHidden/>
    <w:rsid w:val="008474EF"/>
    <w:rPr>
      <w:rFonts w:ascii="Arial" w:eastAsia="Times New Roman" w:hAnsi="Arial" w:cs="Times New Roman"/>
      <w:sz w:val="24"/>
      <w:szCs w:val="20"/>
      <w:lang w:val="en-US"/>
    </w:rPr>
  </w:style>
  <w:style w:type="paragraph" w:styleId="BodyTextIndent">
    <w:name w:val="Body Text Indent"/>
    <w:basedOn w:val="Normal"/>
    <w:link w:val="BodyTextIndentChar"/>
    <w:semiHidden/>
    <w:rsid w:val="008474EF"/>
    <w:pPr>
      <w:ind w:left="720"/>
    </w:pPr>
    <w:rPr>
      <w:rFonts w:cs="Arial"/>
    </w:rPr>
  </w:style>
  <w:style w:type="character" w:customStyle="1" w:styleId="BodyTextIndentChar">
    <w:name w:val="Body Text Indent Char"/>
    <w:basedOn w:val="DefaultParagraphFont"/>
    <w:link w:val="BodyTextIndent"/>
    <w:semiHidden/>
    <w:rsid w:val="008474EF"/>
    <w:rPr>
      <w:rFonts w:ascii="Arial" w:eastAsia="Times New Roman" w:hAnsi="Arial" w:cs="Arial"/>
      <w:sz w:val="24"/>
      <w:szCs w:val="20"/>
      <w:lang w:val="en-US"/>
    </w:rPr>
  </w:style>
  <w:style w:type="paragraph" w:styleId="BodyText2">
    <w:name w:val="Body Text 2"/>
    <w:basedOn w:val="Normal"/>
    <w:link w:val="BodyText2Char"/>
    <w:semiHidden/>
    <w:rsid w:val="008474EF"/>
    <w:pPr>
      <w:jc w:val="both"/>
    </w:pPr>
    <w:rPr>
      <w:rFonts w:cs="Arial"/>
      <w:b/>
      <w:bCs/>
    </w:rPr>
  </w:style>
  <w:style w:type="character" w:customStyle="1" w:styleId="BodyText2Char">
    <w:name w:val="Body Text 2 Char"/>
    <w:basedOn w:val="DefaultParagraphFont"/>
    <w:link w:val="BodyText2"/>
    <w:semiHidden/>
    <w:rsid w:val="008474EF"/>
    <w:rPr>
      <w:rFonts w:ascii="Arial" w:eastAsia="Times New Roman" w:hAnsi="Arial" w:cs="Arial"/>
      <w:b/>
      <w:b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Balaji</dc:creator>
  <cp:keywords/>
  <dc:description/>
  <cp:lastModifiedBy>Anurag Aggarwal</cp:lastModifiedBy>
  <cp:revision>7</cp:revision>
  <dcterms:created xsi:type="dcterms:W3CDTF">2021-12-21T05:50:00Z</dcterms:created>
  <dcterms:modified xsi:type="dcterms:W3CDTF">2021-12-22T13:10:00Z</dcterms:modified>
</cp:coreProperties>
</file>