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AD463" w14:textId="12E63EC6" w:rsidR="005A17CE" w:rsidRDefault="00D21FFE">
      <w:r>
        <w:rPr>
          <w:rFonts w:ascii="Helvetica Neue" w:eastAsia="Helvetica Neue" w:hAnsi="Helvetica Neue" w:cs="Helvetica Neue"/>
        </w:rPr>
        <w:t>Welche Institutionen betreiben Open-Access-Repositorien in Deutschland?</w:t>
      </w:r>
    </w:p>
    <w:p w14:paraId="5AF2C017" w14:textId="77777777" w:rsidR="005A17CE" w:rsidRDefault="005A17CE"/>
    <w:p w14:paraId="2DC0224D" w14:textId="77777777" w:rsidR="005A17CE" w:rsidRDefault="00D21FFE">
      <w:r>
        <w:t>von Paul Vierkant und Maxi Kindling</w:t>
      </w:r>
    </w:p>
    <w:p w14:paraId="31110FE1" w14:textId="77777777" w:rsidR="005A17CE" w:rsidRDefault="00D21FFE" w:rsidP="00E47CA6">
      <w:pPr>
        <w:pStyle w:val="berschrift3"/>
        <w:contextualSpacing w:val="0"/>
      </w:pPr>
      <w:bookmarkStart w:id="0" w:name="h.ar9mlhs2radk"/>
      <w:bookmarkEnd w:id="0"/>
      <w:r>
        <w:t>Abstract</w:t>
      </w:r>
    </w:p>
    <w:p w14:paraId="39553884" w14:textId="63115939" w:rsidR="00A83B67" w:rsidRDefault="00A83B67" w:rsidP="00A83B67">
      <w:pPr>
        <w:rPr>
          <w:rFonts w:ascii="Helvetica Neue" w:eastAsia="Helvetica Neue" w:hAnsi="Helvetica Neue" w:cs="Helvetica Neue"/>
        </w:rPr>
      </w:pPr>
      <w:r>
        <w:rPr>
          <w:rFonts w:ascii="Helvetica Neue" w:eastAsia="Helvetica Neue" w:hAnsi="Helvetica Neue" w:cs="Helvetica Neue"/>
        </w:rPr>
        <w:t xml:space="preserve">Der Artikel analysiert die Ergebnisse des „2014 Cenus on Open Access Repositories in Germany, Austria and Switzerland“ im Hinblick auf die Institutionen, die in Deutschland Repositorien betreiben. Der 2014 Census basiert auf einer </w:t>
      </w:r>
      <w:r w:rsidR="006B1384">
        <w:rPr>
          <w:rFonts w:ascii="Helvetica Neue" w:eastAsia="Helvetica Neue" w:hAnsi="Helvetica Neue" w:cs="Helvetica Neue"/>
        </w:rPr>
        <w:t xml:space="preserve">qualitativen Inhaltsanalyse der Webseiten der Repositorien, einer automatisierten </w:t>
      </w:r>
      <w:r>
        <w:rPr>
          <w:rFonts w:ascii="Helvetica Neue" w:eastAsia="Helvetica Neue" w:hAnsi="Helvetica Neue" w:cs="Helvetica Neue"/>
        </w:rPr>
        <w:t xml:space="preserve">Validierung der über </w:t>
      </w:r>
      <w:r w:rsidR="006B1384">
        <w:rPr>
          <w:rFonts w:ascii="Helvetica Neue" w:eastAsia="Helvetica Neue" w:hAnsi="Helvetica Neue" w:cs="Helvetica Neue"/>
        </w:rPr>
        <w:t xml:space="preserve">das </w:t>
      </w:r>
      <w:r>
        <w:rPr>
          <w:rFonts w:ascii="Helvetica Neue" w:eastAsia="Helvetica Neue" w:hAnsi="Helvetica Neue" w:cs="Helvetica Neue"/>
        </w:rPr>
        <w:t>OAI-PMH ausgelieferten Metadaten sowie einer Umfrage an die Repositorienbetreiber im Erhebungszeitraum 6. Januar bis 13. Februar 2014. Die Forschungsdaten des 2014 Census sind auf zenodo.org verfügbar.</w:t>
      </w:r>
    </w:p>
    <w:p w14:paraId="464803C1" w14:textId="29A03583" w:rsidR="00A83B67" w:rsidRDefault="00AE03ED" w:rsidP="00AE03ED">
      <w:pPr>
        <w:pStyle w:val="berschrift3"/>
        <w:contextualSpacing w:val="0"/>
        <w:rPr>
          <w:rFonts w:ascii="Helvetica Neue" w:eastAsia="Helvetica Neue" w:hAnsi="Helvetica Neue" w:cs="Helvetica Neue"/>
        </w:rPr>
      </w:pPr>
      <w:r>
        <w:rPr>
          <w:rFonts w:ascii="Helvetica Neue" w:eastAsia="Helvetica Neue" w:hAnsi="Helvetica Neue" w:cs="Helvetica Neue"/>
        </w:rPr>
        <w:t>Forschungsdaten</w:t>
      </w:r>
    </w:p>
    <w:p w14:paraId="0CCA8D6E" w14:textId="2A45A8A8" w:rsidR="00A83B67" w:rsidRPr="00AE03ED" w:rsidRDefault="00A83B67" w:rsidP="00A83B67">
      <w:pPr>
        <w:rPr>
          <w:rFonts w:ascii="Helvetica Neue" w:eastAsia="Helvetica Neue" w:hAnsi="Helvetica Neue" w:cs="Helvetica Neue"/>
          <w:lang w:val="en-US"/>
        </w:rPr>
      </w:pPr>
      <w:r w:rsidRPr="00AE03ED">
        <w:rPr>
          <w:rFonts w:ascii="Helvetica Neue" w:eastAsia="Helvetica Neue" w:hAnsi="Helvetica Neue" w:cs="Helvetica Neue"/>
          <w:lang w:val="en-US"/>
        </w:rPr>
        <w:t xml:space="preserve">Forschungsdaten zum </w:t>
      </w:r>
      <w:r w:rsidR="00FA65F4" w:rsidRPr="00AE03ED">
        <w:rPr>
          <w:rFonts w:ascii="Helvetica Neue" w:eastAsia="Helvetica Neue" w:hAnsi="Helvetica Neue" w:cs="Helvetica Neue"/>
          <w:lang w:val="en-US"/>
        </w:rPr>
        <w:t>“</w:t>
      </w:r>
      <w:r w:rsidRPr="00AE03ED">
        <w:rPr>
          <w:rFonts w:ascii="Helvetica Neue" w:eastAsia="Helvetica Neue" w:hAnsi="Helvetica Neue" w:cs="Helvetica Neue"/>
          <w:lang w:val="en-US"/>
        </w:rPr>
        <w:t xml:space="preserve">2014 Census on Open Access Repositories in </w:t>
      </w:r>
      <w:r w:rsidR="00FA65F4" w:rsidRPr="00AE03ED">
        <w:rPr>
          <w:rFonts w:ascii="Helvetica Neue" w:eastAsia="Helvetica Neue" w:hAnsi="Helvetica Neue" w:cs="Helvetica Neue"/>
          <w:lang w:val="en-US"/>
        </w:rPr>
        <w:t>Germany, Austria and Switze</w:t>
      </w:r>
      <w:r w:rsidR="00AE03ED" w:rsidRPr="00AE03ED">
        <w:rPr>
          <w:rFonts w:ascii="Helvetica Neue" w:eastAsia="Helvetica Neue" w:hAnsi="Helvetica Neue" w:cs="Helvetica Neue"/>
          <w:lang w:val="en-US"/>
        </w:rPr>
        <w:t>rland</w:t>
      </w:r>
      <w:r w:rsidR="00AE03ED">
        <w:rPr>
          <w:rFonts w:ascii="Helvetica Neue" w:eastAsia="Helvetica Neue" w:hAnsi="Helvetica Neue" w:cs="Helvetica Neue"/>
          <w:lang w:val="en-US"/>
        </w:rPr>
        <w:t xml:space="preserve">” unter: </w:t>
      </w:r>
      <w:r w:rsidR="00AE03ED" w:rsidRPr="00AE03ED">
        <w:rPr>
          <w:rFonts w:ascii="Helvetica Neue" w:eastAsia="Helvetica Neue" w:hAnsi="Helvetica Neue" w:cs="Helvetica Neue"/>
          <w:lang w:val="en-US"/>
        </w:rPr>
        <w:t>10.5281/zenodo.10734</w:t>
      </w:r>
      <w:r w:rsidRPr="00AE03ED">
        <w:rPr>
          <w:rFonts w:ascii="Helvetica Neue" w:eastAsia="Helvetica Neue" w:hAnsi="Helvetica Neue" w:cs="Helvetica Neue"/>
          <w:lang w:val="en-US"/>
        </w:rPr>
        <w:t xml:space="preserve"> </w:t>
      </w:r>
    </w:p>
    <w:p w14:paraId="70D7B0CC" w14:textId="77777777" w:rsidR="00FA65F4" w:rsidRPr="00AE03ED" w:rsidRDefault="00FA65F4" w:rsidP="00A83B67">
      <w:pPr>
        <w:rPr>
          <w:rFonts w:ascii="Helvetica Neue" w:eastAsia="Helvetica Neue" w:hAnsi="Helvetica Neue" w:cs="Helvetica Neue"/>
          <w:lang w:val="en-US"/>
        </w:rPr>
      </w:pPr>
    </w:p>
    <w:p w14:paraId="3F612ABF" w14:textId="794355AF" w:rsidR="00FA65F4" w:rsidRDefault="00FA65F4" w:rsidP="00AE03ED">
      <w:pPr>
        <w:pStyle w:val="berschrift3"/>
        <w:contextualSpacing w:val="0"/>
        <w:rPr>
          <w:rFonts w:ascii="Helvetica Neue" w:eastAsia="Helvetica Neue" w:hAnsi="Helvetica Neue" w:cs="Helvetica Neue"/>
        </w:rPr>
      </w:pPr>
      <w:r w:rsidRPr="00AE03ED">
        <w:rPr>
          <w:rFonts w:ascii="Helvetica Neue" w:eastAsia="Helvetica Neue" w:hAnsi="Helvetica Neue" w:cs="Helvetica Neue"/>
        </w:rPr>
        <w:t>Danksagung</w:t>
      </w:r>
    </w:p>
    <w:p w14:paraId="769AF464" w14:textId="408E02DF" w:rsidR="005A17CE" w:rsidRPr="00AE03ED" w:rsidRDefault="00AE03ED">
      <w:r>
        <w:t xml:space="preserve">Unser </w:t>
      </w:r>
      <w:r w:rsidR="00636346">
        <w:t xml:space="preserve">herzlicher </w:t>
      </w:r>
      <w:bookmarkStart w:id="1" w:name="_GoBack"/>
      <w:bookmarkEnd w:id="1"/>
      <w:r>
        <w:t>Dank für die gemeinsame Konzeptionierung und Durchführung des „2014 Census on Open Access Repositories in Germany, Austria and Switzerland“ gilt Dennis Zielke (Computer- und Medienservice der HU Berlin)</w:t>
      </w:r>
      <w:r w:rsidR="009448DF">
        <w:t>, M</w:t>
      </w:r>
      <w:r>
        <w:t>arleen Burger, Anne Lepke, Thomas Maluck, Jessika Rücknagel, Stephanie van de Sandt und Lisa Theileis (Studierende am Institut für Bibliotheks- und Informat</w:t>
      </w:r>
      <w:r w:rsidR="009448DF">
        <w:t xml:space="preserve">ionswissenschaft der HU Berlin) sowie Friedrich Summann </w:t>
      </w:r>
      <w:r w:rsidR="00636346">
        <w:t xml:space="preserve">(Universitätsbibliothek Bielefeld) </w:t>
      </w:r>
      <w:r w:rsidR="009448DF">
        <w:t>für die Bereitstellung der BASE-Daten.</w:t>
      </w:r>
    </w:p>
    <w:p w14:paraId="319E8F60" w14:textId="77777777" w:rsidR="005A17CE" w:rsidRDefault="00D21FFE" w:rsidP="00E47CA6">
      <w:pPr>
        <w:pStyle w:val="berschrift3"/>
        <w:contextualSpacing w:val="0"/>
      </w:pPr>
      <w:bookmarkStart w:id="2" w:name="h.twkxe8jwr92p"/>
      <w:bookmarkEnd w:id="2"/>
      <w:r>
        <w:t>Einführung</w:t>
      </w:r>
    </w:p>
    <w:p w14:paraId="2AEF10D8" w14:textId="77777777" w:rsidR="005A17CE" w:rsidRDefault="005A17CE"/>
    <w:p w14:paraId="30660670" w14:textId="1DA14C85" w:rsidR="005A17CE" w:rsidRDefault="00D21FFE">
      <w:pPr>
        <w:jc w:val="both"/>
      </w:pPr>
      <w:r>
        <w:rPr>
          <w:rFonts w:ascii="Helvetica Neue" w:eastAsia="Helvetica Neue" w:hAnsi="Helvetica Neue" w:cs="Helvetica Neue"/>
        </w:rPr>
        <w:t>Das Thema Open Access ist auf der politischen Agenda in Deutschland angekommen.</w:t>
      </w:r>
      <w:r w:rsidRPr="00A83B67">
        <w:rPr>
          <w:rFonts w:ascii="Helvetica Neue" w:hAnsi="Helvetica Neue"/>
          <w:vertAlign w:val="superscript"/>
        </w:rPr>
        <w:footnoteReference w:id="2"/>
      </w:r>
      <w:r>
        <w:rPr>
          <w:rFonts w:ascii="Helvetica Neue" w:eastAsia="Helvetica Neue" w:hAnsi="Helvetica Neue" w:cs="Helvetica Neue"/>
        </w:rPr>
        <w:t xml:space="preserve"> Auf Bundes- und Länderebene wird der freie Zugang zu öffentlich finanzierter Forschung in Strategiepapieren thematisiert. Seit der Berliner Erklärung vor über zehn Jahren ist die Zahl der Open-Access-Repositorien in Deutschland beträchtlich gewachsen. Viele Universitäten, Fachhochschulen und außeruniversitäre Forschungseinrichtungen betreiben mittlerweile Open-Access-Repositorien (OAR), die nicht nur den wissenschaftlichen Publikationsoutput der Institution sichtbar machen, sondern </w:t>
      </w:r>
      <w:r w:rsidR="00A83B67">
        <w:rPr>
          <w:rFonts w:ascii="Helvetica Neue" w:eastAsia="Helvetica Neue" w:hAnsi="Helvetica Neue" w:cs="Helvetica Neue"/>
        </w:rPr>
        <w:t xml:space="preserve">zum Teil </w:t>
      </w:r>
      <w:r>
        <w:rPr>
          <w:rFonts w:ascii="Helvetica Neue" w:eastAsia="Helvetica Neue" w:hAnsi="Helvetica Neue" w:cs="Helvetica Neue"/>
        </w:rPr>
        <w:t>durch die Integration der OAR in Forschungsinformationssysteme auch der internen Evaluation dienen.</w:t>
      </w:r>
      <w:r w:rsidR="00BB0CA2">
        <w:rPr>
          <w:rFonts w:ascii="Helvetica Neue" w:eastAsia="Helvetica Neue" w:hAnsi="Helvetica Neue" w:cs="Helvetica Neue"/>
        </w:rPr>
        <w:t xml:space="preserve"> </w:t>
      </w:r>
    </w:p>
    <w:p w14:paraId="5511B39A" w14:textId="77777777" w:rsidR="005A17CE" w:rsidRDefault="005A17CE">
      <w:pPr>
        <w:jc w:val="both"/>
      </w:pPr>
    </w:p>
    <w:p w14:paraId="23240EA3" w14:textId="0AFFCDA2" w:rsidR="005A17CE" w:rsidRDefault="00D21FFE">
      <w:pPr>
        <w:jc w:val="both"/>
      </w:pPr>
      <w:r>
        <w:rPr>
          <w:rFonts w:ascii="Helvetica Neue" w:eastAsia="Helvetica Neue" w:hAnsi="Helvetica Neue" w:cs="Helvetica Neue"/>
        </w:rPr>
        <w:t>Das breite Spektrum der Größe</w:t>
      </w:r>
      <w:r w:rsidR="006B1384">
        <w:rPr>
          <w:rFonts w:ascii="Helvetica Neue" w:eastAsia="Helvetica Neue" w:hAnsi="Helvetica Neue" w:cs="Helvetica Neue"/>
        </w:rPr>
        <w:t xml:space="preserve">, Gestaltung und der </w:t>
      </w:r>
      <w:r>
        <w:rPr>
          <w:rFonts w:ascii="Helvetica Neue" w:eastAsia="Helvetica Neue" w:hAnsi="Helvetica Neue" w:cs="Helvetica Neue"/>
        </w:rPr>
        <w:t>Funktionen von OAR in Deutschland wurde erstmals im “2012 Census of Open Access Repositories in Germany (2012 Census)” umfassend untersucht.</w:t>
      </w:r>
      <w:r w:rsidR="00A83B67">
        <w:rPr>
          <w:rStyle w:val="Funotenzeichen"/>
          <w:rFonts w:ascii="Helvetica Neue" w:eastAsia="Helvetica Neue" w:hAnsi="Helvetica Neue" w:cs="Helvetica Neue"/>
        </w:rPr>
        <w:footnoteReference w:id="3"/>
      </w:r>
      <w:r>
        <w:rPr>
          <w:rFonts w:ascii="Helvetica Neue" w:eastAsia="Helvetica Neue" w:hAnsi="Helvetica Neue" w:cs="Helvetica Neue"/>
        </w:rPr>
        <w:t xml:space="preserve"> Der 2012 Census trug zur Verortung einzelner OAR sowie der gesamten deutschen Repositorienlandschaft bei. Die damalige Studie wurde 2014 im Rahmen eines Projektseminars am Institut für Bibliotheks- und Informationswissenschaft wiederholt und in entscheidenden Punkten erweitert.</w:t>
      </w:r>
      <w:r w:rsidR="00BB0CA2">
        <w:rPr>
          <w:rFonts w:ascii="Helvetica Neue" w:eastAsia="Helvetica Neue" w:hAnsi="Helvetica Neue" w:cs="Helvetica Neue"/>
        </w:rPr>
        <w:t xml:space="preserve"> </w:t>
      </w:r>
    </w:p>
    <w:p w14:paraId="39524813" w14:textId="77777777" w:rsidR="005A17CE" w:rsidRDefault="005A17CE">
      <w:pPr>
        <w:jc w:val="both"/>
      </w:pPr>
    </w:p>
    <w:p w14:paraId="24A3D7F9" w14:textId="2DEECCF9" w:rsidR="005A17CE" w:rsidRDefault="00D21FFE">
      <w:pPr>
        <w:jc w:val="both"/>
      </w:pPr>
      <w:r>
        <w:rPr>
          <w:rFonts w:ascii="Helvetica Neue" w:eastAsia="Helvetica Neue" w:hAnsi="Helvetica Neue" w:cs="Helvetica Neue"/>
        </w:rPr>
        <w:t xml:space="preserve">Der “2014 Census of Open Access Repositories in Germany, Austria and Switzerland (2014)” beinhaltet neben einem erweiterten Kriterienkatalog für die qualitative Inhaltsanalyse der Repositorien-Webseiten auch ein größeres Sample, das die Alpenstaaten Österreich und Schweiz mit einbezieht. Der Census 2014 beinhaltet zudem eine Online-Umfrage, die sich an die Betreiber von Repositorien richtete. </w:t>
      </w:r>
    </w:p>
    <w:p w14:paraId="3CA1217B" w14:textId="77777777" w:rsidR="005A17CE" w:rsidRDefault="005A17CE">
      <w:pPr>
        <w:jc w:val="both"/>
      </w:pPr>
    </w:p>
    <w:p w14:paraId="0C8E441A" w14:textId="06598068" w:rsidR="005A17CE" w:rsidRDefault="00D21FFE">
      <w:pPr>
        <w:jc w:val="both"/>
      </w:pPr>
      <w:r>
        <w:rPr>
          <w:rFonts w:ascii="Helvetica Neue" w:eastAsia="Helvetica Neue" w:hAnsi="Helvetica Neue" w:cs="Helvetica Neue"/>
        </w:rPr>
        <w:t xml:space="preserve">Die Erweiterungen des 2014 Census ermöglichen eine umfassende Analyse der Institutionen, die ein OAR betreiben. Der vorliegende Artikel präsentiert die Teile des 2014 Census, die Aussagen und Rückschlüsse über OAR-betreibende Institutionen in Deutschland zulassen. Die nachfolgenden Ergebnisse </w:t>
      </w:r>
      <w:r w:rsidR="00BB0CA2">
        <w:rPr>
          <w:rFonts w:ascii="Helvetica Neue" w:eastAsia="Helvetica Neue" w:hAnsi="Helvetica Neue" w:cs="Helvetica Neue"/>
        </w:rPr>
        <w:t xml:space="preserve">bieten eine </w:t>
      </w:r>
      <w:r w:rsidR="006B1384">
        <w:rPr>
          <w:rFonts w:ascii="Helvetica Neue" w:eastAsia="Helvetica Neue" w:hAnsi="Helvetica Neue" w:cs="Helvetica Neue"/>
        </w:rPr>
        <w:t xml:space="preserve">überblicksartige Darstellung der </w:t>
      </w:r>
      <w:r>
        <w:rPr>
          <w:rFonts w:ascii="Helvetica Neue" w:eastAsia="Helvetica Neue" w:hAnsi="Helvetica Neue" w:cs="Helvetica Neue"/>
        </w:rPr>
        <w:t>deutsche</w:t>
      </w:r>
      <w:r w:rsidR="006B1384">
        <w:rPr>
          <w:rFonts w:ascii="Helvetica Neue" w:eastAsia="Helvetica Neue" w:hAnsi="Helvetica Neue" w:cs="Helvetica Neue"/>
        </w:rPr>
        <w:t>n</w:t>
      </w:r>
      <w:r>
        <w:rPr>
          <w:rFonts w:ascii="Helvetica Neue" w:eastAsia="Helvetica Neue" w:hAnsi="Helvetica Neue" w:cs="Helvetica Neue"/>
        </w:rPr>
        <w:t xml:space="preserve"> Repositorienlandschaft für </w:t>
      </w:r>
      <w:r w:rsidR="00BB0CA2">
        <w:rPr>
          <w:rFonts w:ascii="Helvetica Neue" w:eastAsia="Helvetica Neue" w:hAnsi="Helvetica Neue" w:cs="Helvetica Neue"/>
        </w:rPr>
        <w:t>betreibende</w:t>
      </w:r>
      <w:r>
        <w:rPr>
          <w:rFonts w:ascii="Helvetica Neue" w:eastAsia="Helvetica Neue" w:hAnsi="Helvetica Neue" w:cs="Helvetica Neue"/>
        </w:rPr>
        <w:t xml:space="preserve"> Institutionen von OAR, Forschungsförderorganisationen und wissenschaftspolitische Entscheider. Darauf aufbauend können neue Entwicklungen vorangetrieben und strategische Entscheidungen getroffen werden, um den grünen Weg des Open Access in Deutschland weiter auszubauen.</w:t>
      </w:r>
      <w:r w:rsidR="006B1384">
        <w:rPr>
          <w:rFonts w:ascii="Helvetica Neue" w:eastAsia="Helvetica Neue" w:hAnsi="Helvetica Neue" w:cs="Helvetica Neue"/>
        </w:rPr>
        <w:t xml:space="preserve"> Die Verfasser sind sehr an einem Austausch mit diesen Akteuren zu den Hintergründen und Herausforderungen interessiert. </w:t>
      </w:r>
    </w:p>
    <w:p w14:paraId="120D535E" w14:textId="77777777" w:rsidR="005A17CE" w:rsidRDefault="00D21FFE" w:rsidP="00E47CA6">
      <w:pPr>
        <w:pStyle w:val="berschrift3"/>
        <w:contextualSpacing w:val="0"/>
      </w:pPr>
      <w:bookmarkStart w:id="3" w:name="h.cvdz63lz1sqm"/>
      <w:bookmarkStart w:id="4" w:name="h.4suxooq5ttvs"/>
      <w:bookmarkEnd w:id="3"/>
      <w:bookmarkEnd w:id="4"/>
      <w:r>
        <w:t>Methode</w:t>
      </w:r>
    </w:p>
    <w:p w14:paraId="2443FF16" w14:textId="77777777" w:rsidR="005A17CE" w:rsidRDefault="005A17CE"/>
    <w:p w14:paraId="5F9DC2D6" w14:textId="7D959CF5" w:rsidR="005A17CE" w:rsidRDefault="00D21FFE">
      <w:pPr>
        <w:jc w:val="both"/>
      </w:pPr>
      <w:r>
        <w:rPr>
          <w:rFonts w:ascii="Helvetica Neue" w:eastAsia="Helvetica Neue" w:hAnsi="Helvetica Neue" w:cs="Helvetica Neue"/>
        </w:rPr>
        <w:t>Der 2014 Census wurde wie oben erwähnt methodisch um eine qualitative Befragung der Repositorienbetreiber erweitert. Außerdem wurden wichtige Kriterien für die Analyse der Webseiten ergänzt. Dafür waren die Umsetzbarkeit der Untersuchung der Kriterien, die Vergleichbarkeit mit dem 2012 Census und die Relevanz für Betreiber maßgeblich. Für letztere sind die Typisierung der OAR und ihrer Betreiber von Bedeutung. Für die</w:t>
      </w:r>
      <w:r w:rsidR="00F50EA0">
        <w:rPr>
          <w:rFonts w:ascii="Helvetica Neue" w:eastAsia="Helvetica Neue" w:hAnsi="Helvetica Neue" w:cs="Helvetica Neue"/>
        </w:rPr>
        <w:t xml:space="preserve"> </w:t>
      </w:r>
      <w:r>
        <w:rPr>
          <w:rFonts w:ascii="Helvetica Neue" w:eastAsia="Helvetica Neue" w:hAnsi="Helvetica Neue" w:cs="Helvetica Neue"/>
        </w:rPr>
        <w:t xml:space="preserve">Typisierung wurden bereits vorliegende Definitionen von </w:t>
      </w:r>
      <w:r w:rsidR="00BB0CA2">
        <w:rPr>
          <w:rFonts w:ascii="Helvetica Neue" w:eastAsia="Helvetica Neue" w:hAnsi="Helvetica Neue" w:cs="Helvetica Neue"/>
        </w:rPr>
        <w:t>Repositorientypen</w:t>
      </w:r>
      <w:r w:rsidR="00BB0CA2">
        <w:rPr>
          <w:rFonts w:ascii="Helvetica Neue" w:eastAsia="Helvetica Neue" w:hAnsi="Helvetica Neue" w:cs="Helvetica Neue"/>
          <w:vertAlign w:val="superscript"/>
        </w:rPr>
        <w:footnoteReference w:id="4"/>
      </w:r>
      <w:r w:rsidR="00BB0CA2">
        <w:rPr>
          <w:rFonts w:ascii="Helvetica Neue" w:eastAsia="Helvetica Neue" w:hAnsi="Helvetica Neue" w:cs="Helvetica Neue"/>
        </w:rPr>
        <w:t xml:space="preserve"> und</w:t>
      </w:r>
      <w:r>
        <w:rPr>
          <w:rFonts w:ascii="Helvetica Neue" w:eastAsia="Helvetica Neue" w:hAnsi="Helvetica Neue" w:cs="Helvetica Neue"/>
        </w:rPr>
        <w:t xml:space="preserve"> Betreibertypen</w:t>
      </w:r>
      <w:r w:rsidRPr="006B1384">
        <w:rPr>
          <w:rFonts w:ascii="Helvetica Neue" w:hAnsi="Helvetica Neue"/>
        </w:rPr>
        <w:footnoteReference w:id="5"/>
      </w:r>
      <w:r>
        <w:rPr>
          <w:rFonts w:ascii="Helvetica Neue" w:eastAsia="Helvetica Neue" w:hAnsi="Helvetica Neue" w:cs="Helvetica Neue"/>
        </w:rPr>
        <w:t xml:space="preserve"> herangezogen.</w:t>
      </w:r>
    </w:p>
    <w:p w14:paraId="42486F66" w14:textId="77777777" w:rsidR="005A17CE" w:rsidRDefault="005A17CE">
      <w:pPr>
        <w:jc w:val="both"/>
      </w:pPr>
    </w:p>
    <w:p w14:paraId="6FE665DB" w14:textId="561FCF12" w:rsidR="005A17CE" w:rsidRPr="006B1384" w:rsidRDefault="00D21FFE">
      <w:pPr>
        <w:jc w:val="both"/>
      </w:pPr>
      <w:r>
        <w:rPr>
          <w:rFonts w:ascii="Helvetica Neue" w:eastAsia="Helvetica Neue" w:hAnsi="Helvetica Neue" w:cs="Helvetica Neue"/>
        </w:rPr>
        <w:t xml:space="preserve">Der Census 2014 </w:t>
      </w:r>
      <w:r w:rsidR="00AB5E9B">
        <w:rPr>
          <w:rFonts w:ascii="Helvetica Neue" w:eastAsia="Helvetica Neue" w:hAnsi="Helvetica Neue" w:cs="Helvetica Neue"/>
        </w:rPr>
        <w:t>besteht aus drei methodischen Komponenten:</w:t>
      </w:r>
    </w:p>
    <w:p w14:paraId="74DE7F89" w14:textId="3816DA8C" w:rsidR="005A17CE" w:rsidRDefault="00D21FFE" w:rsidP="00AB5E9B">
      <w:pPr>
        <w:numPr>
          <w:ilvl w:val="0"/>
          <w:numId w:val="10"/>
        </w:numPr>
        <w:ind w:hanging="359"/>
        <w:contextualSpacing/>
        <w:jc w:val="both"/>
        <w:rPr>
          <w:rFonts w:ascii="Helvetica Neue" w:eastAsia="Helvetica Neue" w:hAnsi="Helvetica Neue" w:cs="Helvetica Neue"/>
        </w:rPr>
      </w:pPr>
      <w:r>
        <w:rPr>
          <w:rFonts w:ascii="Helvetica Neue" w:eastAsia="Helvetica Neue" w:hAnsi="Helvetica Neue" w:cs="Helvetica Neue"/>
        </w:rPr>
        <w:t>die qualitative Inhaltsanalyse der Repositorien-Webseiten;</w:t>
      </w:r>
      <w:r w:rsidR="00BB0CA2">
        <w:rPr>
          <w:rFonts w:ascii="Helvetica Neue" w:eastAsia="Helvetica Neue" w:hAnsi="Helvetica Neue" w:cs="Helvetica Neue"/>
        </w:rPr>
        <w:t xml:space="preserve"> </w:t>
      </w:r>
    </w:p>
    <w:p w14:paraId="16CFAA13" w14:textId="5FCAF89C" w:rsidR="005A17CE" w:rsidRDefault="00D21FFE" w:rsidP="00AB5E9B">
      <w:pPr>
        <w:numPr>
          <w:ilvl w:val="0"/>
          <w:numId w:val="10"/>
        </w:numPr>
        <w:ind w:hanging="359"/>
        <w:contextualSpacing/>
        <w:jc w:val="both"/>
        <w:rPr>
          <w:rFonts w:ascii="Helvetica Neue" w:eastAsia="Helvetica Neue" w:hAnsi="Helvetica Neue" w:cs="Helvetica Neue"/>
        </w:rPr>
      </w:pPr>
      <w:r>
        <w:rPr>
          <w:rFonts w:ascii="Helvetica Neue" w:eastAsia="Helvetica Neue" w:hAnsi="Helvetica Neue" w:cs="Helvetica Neue"/>
        </w:rPr>
        <w:t>die automatisierte Evaluation der über OAI-PMH ausgelieferten Metadaten eines OAR;</w:t>
      </w:r>
      <w:r w:rsidR="00BB0CA2">
        <w:rPr>
          <w:rFonts w:ascii="Helvetica Neue" w:eastAsia="Helvetica Neue" w:hAnsi="Helvetica Neue" w:cs="Helvetica Neue"/>
        </w:rPr>
        <w:t xml:space="preserve"> </w:t>
      </w:r>
    </w:p>
    <w:p w14:paraId="37BC65C2" w14:textId="77777777" w:rsidR="005A17CE" w:rsidRDefault="00D21FFE" w:rsidP="00AB5E9B">
      <w:pPr>
        <w:numPr>
          <w:ilvl w:val="0"/>
          <w:numId w:val="10"/>
        </w:numPr>
        <w:ind w:hanging="359"/>
        <w:contextualSpacing/>
        <w:jc w:val="both"/>
        <w:rPr>
          <w:rFonts w:ascii="Helvetica Neue" w:eastAsia="Helvetica Neue" w:hAnsi="Helvetica Neue" w:cs="Helvetica Neue"/>
        </w:rPr>
      </w:pPr>
      <w:r>
        <w:rPr>
          <w:rFonts w:ascii="Helvetica Neue" w:eastAsia="Helvetica Neue" w:hAnsi="Helvetica Neue" w:cs="Helvetica Neue"/>
        </w:rPr>
        <w:t>und einer Online-Umfrage.</w:t>
      </w:r>
    </w:p>
    <w:p w14:paraId="5198888F" w14:textId="77777777" w:rsidR="005A17CE" w:rsidRDefault="005A17CE">
      <w:pPr>
        <w:jc w:val="both"/>
      </w:pPr>
    </w:p>
    <w:p w14:paraId="63BBC1EB" w14:textId="21960082" w:rsidR="005A17CE" w:rsidRDefault="00D21FFE">
      <w:pPr>
        <w:jc w:val="both"/>
      </w:pPr>
      <w:r>
        <w:rPr>
          <w:rFonts w:ascii="Helvetica Neue" w:eastAsia="Helvetica Neue" w:hAnsi="Helvetica Neue" w:cs="Helvetica Neue"/>
        </w:rPr>
        <w:t>Wie schon im 2012 Census wurden die Repositorien-Webseiten der OAR intellektuell auf das Vorhandensein bestimmter Kriterien hin überprüft und für jedes OAR separat erfasst. Je nach Kriterium wurde die Startseite (z. B.</w:t>
      </w:r>
      <w:r w:rsidRPr="00527BCC">
        <w:rPr>
          <w:rFonts w:ascii="Helvetica Neue" w:hAnsi="Helvetica Neue"/>
        </w:rPr>
        <w:t xml:space="preserve"> einfaches Suchfeld) oder die Landing-Page (z. B. Nutzungsstatistiken) besucht. Der Erhebungszeitraum begann am 6. Januar 2014 und endete am 31. Januar 2014.</w:t>
      </w:r>
    </w:p>
    <w:p w14:paraId="350B4AC2" w14:textId="77777777" w:rsidR="005A17CE" w:rsidRDefault="005A17CE">
      <w:pPr>
        <w:jc w:val="both"/>
      </w:pPr>
    </w:p>
    <w:p w14:paraId="0D3FCE05" w14:textId="027425ED" w:rsidR="005A17CE" w:rsidRDefault="00D21FFE">
      <w:pPr>
        <w:jc w:val="both"/>
      </w:pPr>
      <w:r>
        <w:rPr>
          <w:rFonts w:ascii="Helvetica Neue" w:eastAsia="Helvetica Neue" w:hAnsi="Helvetica Neue" w:cs="Helvetica Neue"/>
        </w:rPr>
        <w:lastRenderedPageBreak/>
        <w:t>Mithilfe des DINI/OAN-Validators</w:t>
      </w:r>
      <w:r w:rsidR="006E2814">
        <w:rPr>
          <w:rStyle w:val="Funotenzeichen"/>
          <w:rFonts w:ascii="Helvetica Neue" w:eastAsia="Helvetica Neue" w:hAnsi="Helvetica Neue" w:cs="Helvetica Neue"/>
        </w:rPr>
        <w:footnoteReference w:id="6"/>
      </w:r>
      <w:r>
        <w:rPr>
          <w:rFonts w:ascii="Helvetica Neue" w:eastAsia="Helvetica Neue" w:hAnsi="Helvetica Neue" w:cs="Helvetica Neue"/>
        </w:rPr>
        <w:t xml:space="preserve"> wurden die über OAI-PMH ausgelieferten Metadaten der einzelnen ”items” in den OAR auf ihre Konformität mit dem DINI-Zertifikat 2010 hin analysiert.</w:t>
      </w:r>
      <w:r w:rsidRPr="006E2814">
        <w:rPr>
          <w:rFonts w:ascii="Helvetica Neue" w:hAnsi="Helvetica Neue"/>
        </w:rPr>
        <w:footnoteReference w:id="7"/>
      </w:r>
      <w:r>
        <w:rPr>
          <w:rFonts w:ascii="Helvetica Neue" w:eastAsia="Helvetica Neue" w:hAnsi="Helvetica Neue" w:cs="Helvetica Neue"/>
        </w:rPr>
        <w:t xml:space="preserve"> Beim 2012 Census wurden die Metadaten von 200 zufällig ausgewählten items analysiert, während beim 2014 Census alle im OAR vorgehaltenen items analysiert wurden. Das Ergebnis wurde mit einem Gesamt-Score in einem Report ausgeliefert und dem Datensatz des OAR zugeordnet. Der Erhebungszeitraum begann am 6. Januar 2014 und endete am 17. Januar 2014.</w:t>
      </w:r>
    </w:p>
    <w:p w14:paraId="63CF4B9D" w14:textId="77777777" w:rsidR="005A17CE" w:rsidRDefault="005A17CE">
      <w:pPr>
        <w:jc w:val="both"/>
      </w:pPr>
    </w:p>
    <w:p w14:paraId="2294AFE9" w14:textId="430DD12F" w:rsidR="005A17CE" w:rsidRDefault="00D21FFE">
      <w:pPr>
        <w:jc w:val="both"/>
      </w:pPr>
      <w:r>
        <w:rPr>
          <w:rFonts w:ascii="Helvetica Neue" w:eastAsia="Helvetica Neue" w:hAnsi="Helvetica Neue" w:cs="Helvetica Neue"/>
        </w:rPr>
        <w:t xml:space="preserve">Der dritte und letzte Teil des Census 2014 ist eine Umfrage unter Repositorien-Betreibern mittels eines nicht-anonymisierten Online-Fragebogens. Mit dem Fragebogen konnten Kriterien erfasst werden, für die die notwendigen Informationen schwierig oder gar nicht öffentlich zugänglich waren. Als Kontaktadresse wurde die im Impressum des jeweiligen OAR angegebene E-Mail-Adressen verwendet. Konnte auf diesem Wege keine E-Mail-Adresse gefunden werden, wurde die Webseite des OAR entsprechend weiter abgesucht. Die </w:t>
      </w:r>
      <w:r w:rsidR="00F50EA0">
        <w:rPr>
          <w:rFonts w:ascii="Helvetica Neue" w:eastAsia="Helvetica Neue" w:hAnsi="Helvetica Neue" w:cs="Helvetica Neue"/>
        </w:rPr>
        <w:t>Repositorien</w:t>
      </w:r>
      <w:r>
        <w:rPr>
          <w:rFonts w:ascii="Helvetica Neue" w:eastAsia="Helvetica Neue" w:hAnsi="Helvetica Neue" w:cs="Helvetica Neue"/>
        </w:rPr>
        <w:t xml:space="preserve">-Betreiber wurden während des Erhebungszeitraums mehrmals kontaktiert. </w:t>
      </w:r>
      <w:r w:rsidR="00BB0CA2">
        <w:rPr>
          <w:rFonts w:ascii="Helvetica Neue" w:eastAsia="Helvetica Neue" w:hAnsi="Helvetica Neue" w:cs="Helvetica Neue"/>
        </w:rPr>
        <w:t>Nach dem Ende</w:t>
      </w:r>
      <w:r>
        <w:rPr>
          <w:rFonts w:ascii="Helvetica Neue" w:eastAsia="Helvetica Neue" w:hAnsi="Helvetica Neue" w:cs="Helvetica Neue"/>
        </w:rPr>
        <w:t xml:space="preserve"> des Erhebungszeitraums wurden ausschließlich vollständig ausgefüllte Fragebögen dem jeweiligen Datensatz des OAR zugeordnet. Die in den Freitextfeldern bereitgestellten Informationen sowie die Angaben zu den personellen Ressourcen eines OAR wurden erfasst, aber nicht veröffentlicht. Der Erhebungszeitraum für die Online-Umfrage begann am 13. Januar 2014 und endete am 6. Februar 2014.</w:t>
      </w:r>
    </w:p>
    <w:p w14:paraId="3D2D4A5F" w14:textId="77777777" w:rsidR="005A17CE" w:rsidRDefault="005A17CE">
      <w:pPr>
        <w:jc w:val="both"/>
      </w:pPr>
    </w:p>
    <w:p w14:paraId="0D8AF85B" w14:textId="77777777" w:rsidR="005A17CE" w:rsidRDefault="00D21FFE" w:rsidP="00E47CA6">
      <w:pPr>
        <w:pStyle w:val="berschrift4"/>
        <w:contextualSpacing w:val="0"/>
        <w:jc w:val="both"/>
      </w:pPr>
      <w:bookmarkStart w:id="5" w:name="h.y2bbbb6r8lzt"/>
      <w:bookmarkEnd w:id="5"/>
      <w:r>
        <w:t>Grundgesamtheit</w:t>
      </w:r>
    </w:p>
    <w:p w14:paraId="2766665E" w14:textId="77777777" w:rsidR="005A17CE" w:rsidRDefault="005A17CE">
      <w:pPr>
        <w:jc w:val="both"/>
      </w:pPr>
    </w:p>
    <w:p w14:paraId="1E71FD8A" w14:textId="176620E1" w:rsidR="005A17CE" w:rsidRPr="006E2814" w:rsidRDefault="00D21FFE">
      <w:pPr>
        <w:jc w:val="both"/>
      </w:pPr>
      <w:r>
        <w:rPr>
          <w:rFonts w:ascii="Helvetica Neue" w:eastAsia="Helvetica Neue" w:hAnsi="Helvetica Neue" w:cs="Helvetica Neue"/>
        </w:rPr>
        <w:t>Die OAR, die die Grundgesamtheit des 2014 Census bilden, wurden anhand der nachfolgenden Definition ausgewählt:</w:t>
      </w:r>
      <w:r w:rsidR="00BB0CA2">
        <w:rPr>
          <w:rFonts w:ascii="Helvetica Neue" w:eastAsia="Helvetica Neue" w:hAnsi="Helvetica Neue" w:cs="Helvetica Neue"/>
        </w:rPr>
        <w:t xml:space="preserve"> </w:t>
      </w:r>
    </w:p>
    <w:p w14:paraId="1618655C" w14:textId="77777777" w:rsidR="005A17CE" w:rsidRDefault="005A17CE">
      <w:pPr>
        <w:jc w:val="both"/>
      </w:pPr>
    </w:p>
    <w:p w14:paraId="40F5462D" w14:textId="7F30E52F" w:rsidR="005A17CE" w:rsidRDefault="00D21FFE">
      <w:pPr>
        <w:ind w:left="720" w:right="690"/>
        <w:jc w:val="both"/>
      </w:pPr>
      <w:r>
        <w:rPr>
          <w:rFonts w:ascii="Helvetica Neue" w:eastAsia="Helvetica Neue" w:hAnsi="Helvetica Neue" w:cs="Helvetica Neue"/>
          <w:i/>
        </w:rPr>
        <w:t xml:space="preserve">Open-Access-Repositorien sind für den Zweck dieser Studie institutionelle und disziplinäre Repositorien aus Deutschland, Österreich und der Schweiz, die mehrheitlich wissenschaftliche Open-Access-Volltextveröffentlichungen vorhalten. Die Volltextveröffentlichungen sind durch Metadaten beschrieben, die über eine Weboberfläche (Such- und Browsefunktionalität) recherchierbar sind. Die Open-Access-Repositorien sind mit einer funktionierenden Base-URL für das OAI-PMH Harvesting bei Bielefeld Academic Search Engine (BASE) registriert. Digitale Sammlungen, Forschungsdatenrepositorien, sowie Open-Access-Repositorien von Verlagen, University Presses und kommerzielle Dienste sind ausgeschlossen. Erhebungsdatum: </w:t>
      </w:r>
      <w:r w:rsidR="00BB0CA2">
        <w:rPr>
          <w:rFonts w:ascii="Helvetica Neue" w:eastAsia="Helvetica Neue" w:hAnsi="Helvetica Neue" w:cs="Helvetica Neue"/>
          <w:i/>
        </w:rPr>
        <w:t>2014-01-06</w:t>
      </w:r>
    </w:p>
    <w:p w14:paraId="1C91F854" w14:textId="77777777" w:rsidR="005A17CE" w:rsidRDefault="005A17CE">
      <w:pPr>
        <w:jc w:val="both"/>
      </w:pPr>
    </w:p>
    <w:p w14:paraId="26F06909" w14:textId="6B355515" w:rsidR="005A17CE" w:rsidRDefault="00D21FFE">
      <w:pPr>
        <w:jc w:val="both"/>
      </w:pPr>
      <w:r>
        <w:rPr>
          <w:rFonts w:ascii="Helvetica Neue" w:eastAsia="Helvetica Neue" w:hAnsi="Helvetica Neue" w:cs="Helvetica Neue"/>
        </w:rPr>
        <w:t xml:space="preserve">Bereits der 2012 Census hat ergeben, dass von der Gesamtheit aller bestehenden und relevanten </w:t>
      </w:r>
      <w:r w:rsidR="00BB0CA2">
        <w:rPr>
          <w:rFonts w:ascii="Helvetica Neue" w:eastAsia="Helvetica Neue" w:hAnsi="Helvetica Neue" w:cs="Helvetica Neue"/>
        </w:rPr>
        <w:t>Repositorienverzeichnissen</w:t>
      </w:r>
      <w:r>
        <w:rPr>
          <w:rFonts w:ascii="Helvetica Neue" w:eastAsia="Helvetica Neue" w:hAnsi="Helvetica Neue" w:cs="Helvetica Neue"/>
        </w:rPr>
        <w:t xml:space="preserve"> (OpenDOAR, ROARMap, DINI-Liste der Repositorien, BASE) die Bielefeld </w:t>
      </w:r>
      <w:r>
        <w:rPr>
          <w:rFonts w:ascii="Helvetica Neue" w:eastAsia="Helvetica Neue" w:hAnsi="Helvetica Neue" w:cs="Helvetica Neue"/>
        </w:rPr>
        <w:lastRenderedPageBreak/>
        <w:t>Academic Search Engine (BASE) den größten Abdeckungsgrad hat (93 %).</w:t>
      </w:r>
      <w:r w:rsidRPr="006E2814">
        <w:rPr>
          <w:rFonts w:ascii="Helvetica Neue" w:hAnsi="Helvetica Neue"/>
        </w:rPr>
        <w:footnoteReference w:id="8"/>
      </w:r>
      <w:r>
        <w:rPr>
          <w:rFonts w:ascii="Helvetica Neue" w:eastAsia="Helvetica Neue" w:hAnsi="Helvetica Neue" w:cs="Helvetica Neue"/>
        </w:rPr>
        <w:t xml:space="preserve"> Für alle OAR, die zum Stichtag der Erhebung (6. Januar 2014) in BASE erfasst waren, stellte BASE die Datenbankeinträge zu Namen, URL, OAI-Schnittstelle und Angaben zur Zahl der items zur Verfügung. Anhand der oben genannten Definition wurden die OAR für den 2014 Census ausgewählt. Das Sample umfasst 152 OAR aus Deutschland, 5 OAR aus Österreich und 16 aus der Schweiz. Insgesamt umfasst der 2014 Census 173 OAR.</w:t>
      </w:r>
      <w:r w:rsidR="00BB0CA2">
        <w:rPr>
          <w:rFonts w:ascii="Helvetica Neue" w:eastAsia="Helvetica Neue" w:hAnsi="Helvetica Neue" w:cs="Helvetica Neue"/>
        </w:rPr>
        <w:t xml:space="preserve"> </w:t>
      </w:r>
    </w:p>
    <w:p w14:paraId="6FFA52C9" w14:textId="77777777" w:rsidR="005A17CE" w:rsidRDefault="00D21FFE" w:rsidP="00E47CA6">
      <w:pPr>
        <w:pStyle w:val="berschrift3"/>
        <w:contextualSpacing w:val="0"/>
      </w:pPr>
      <w:bookmarkStart w:id="6" w:name="h.5er4uk86dc8w"/>
      <w:bookmarkEnd w:id="6"/>
      <w:r>
        <w:t>Anmerkungen zum Kriterium “Typ der verantwortlichen Institution”</w:t>
      </w:r>
    </w:p>
    <w:p w14:paraId="7146E506" w14:textId="7E626282" w:rsidR="005A17CE" w:rsidRDefault="00D21FFE">
      <w:pPr>
        <w:jc w:val="both"/>
      </w:pPr>
      <w:r>
        <w:rPr>
          <w:rFonts w:ascii="Helvetica Neue" w:eastAsia="Helvetica Neue" w:hAnsi="Helvetica Neue" w:cs="Helvetica Neue"/>
        </w:rPr>
        <w:t xml:space="preserve">Die folgende Analyse des 2014 Census bezieht sich auf das Kriterium “Typ der verantwortlichen Institution” eines OAR. Es wurde im 2014 Census erstmalig erhoben. </w:t>
      </w:r>
      <w:r w:rsidR="006E2814">
        <w:rPr>
          <w:rFonts w:ascii="Helvetica Neue" w:eastAsia="Helvetica Neue" w:hAnsi="Helvetica Neue" w:cs="Helvetica Neue"/>
        </w:rPr>
        <w:t xml:space="preserve">Es </w:t>
      </w:r>
      <w:r>
        <w:rPr>
          <w:rFonts w:ascii="Helvetica Neue" w:eastAsia="Helvetica Neue" w:hAnsi="Helvetica Neue" w:cs="Helvetica Neue"/>
        </w:rPr>
        <w:t xml:space="preserve">basiert auf </w:t>
      </w:r>
      <w:r w:rsidR="00BB0CA2">
        <w:rPr>
          <w:rFonts w:ascii="Helvetica Neue" w:eastAsia="Helvetica Neue" w:hAnsi="Helvetica Neue" w:cs="Helvetica Neue"/>
        </w:rPr>
        <w:t>der</w:t>
      </w:r>
      <w:r>
        <w:rPr>
          <w:rFonts w:ascii="Helvetica Neue" w:eastAsia="Helvetica Neue" w:hAnsi="Helvetica Neue" w:cs="Helvetica Neue"/>
        </w:rPr>
        <w:t xml:space="preserve"> Definition:</w:t>
      </w:r>
      <w:r w:rsidR="00BB0CA2">
        <w:rPr>
          <w:rFonts w:ascii="Helvetica Neue" w:eastAsia="Helvetica Neue" w:hAnsi="Helvetica Neue" w:cs="Helvetica Neue"/>
        </w:rPr>
        <w:t xml:space="preserve"> </w:t>
      </w:r>
    </w:p>
    <w:p w14:paraId="47CD08B2" w14:textId="77777777" w:rsidR="005A17CE" w:rsidRDefault="005A17CE">
      <w:pPr>
        <w:jc w:val="both"/>
      </w:pPr>
    </w:p>
    <w:p w14:paraId="1FD375B3" w14:textId="77777777" w:rsidR="005A17CE" w:rsidRDefault="00D21FFE">
      <w:pPr>
        <w:ind w:left="720"/>
        <w:jc w:val="both"/>
      </w:pPr>
      <w:r>
        <w:rPr>
          <w:rFonts w:ascii="Helvetica Neue" w:eastAsia="Helvetica Neue" w:hAnsi="Helvetica Neue" w:cs="Helvetica Neue"/>
          <w:i/>
        </w:rPr>
        <w:t xml:space="preserve">Die Feststellung des Typs der verantwortlichen Institution erfolgt für Deutschland anhand der Typisierung der Institutionen in der Liste der Hochschulrektorenkonferenz für Deutschland, des </w:t>
      </w:r>
      <w:r w:rsidRPr="00E47CA6">
        <w:rPr>
          <w:rFonts w:ascii="Helvetica Neue" w:hAnsi="Helvetica Neue"/>
          <w:i/>
        </w:rPr>
        <w:t>Bundesministerium für Wissenschaft und Forschung</w:t>
      </w:r>
      <w:r>
        <w:rPr>
          <w:rFonts w:ascii="Helvetica Neue" w:eastAsia="Helvetica Neue" w:hAnsi="Helvetica Neue" w:cs="Helvetica Neue"/>
          <w:i/>
        </w:rPr>
        <w:t xml:space="preserve"> für Österreich und der </w:t>
      </w:r>
      <w:r w:rsidRPr="00E47CA6">
        <w:rPr>
          <w:rFonts w:ascii="Helvetica Neue" w:hAnsi="Helvetica Neue"/>
          <w:i/>
          <w:color w:val="252525"/>
        </w:rPr>
        <w:t>Rektorenkonferenz der Schweizer Universitäten</w:t>
      </w:r>
      <w:r w:rsidRPr="006E2814">
        <w:rPr>
          <w:rFonts w:ascii="Helvetica Neue" w:hAnsi="Helvetica Neue"/>
          <w:i/>
          <w:color w:val="252525"/>
          <w:highlight w:val="white"/>
        </w:rPr>
        <w:t xml:space="preserve"> (Conf</w:t>
      </w:r>
      <w:r w:rsidRPr="006E2814">
        <w:rPr>
          <w:rFonts w:ascii="Helvetica Neue" w:hAnsi="Helvetica Neue" w:hint="eastAsia"/>
          <w:i/>
          <w:color w:val="252525"/>
          <w:highlight w:val="white"/>
        </w:rPr>
        <w:t>é</w:t>
      </w:r>
      <w:r w:rsidRPr="006E2814">
        <w:rPr>
          <w:rFonts w:ascii="Helvetica Neue" w:hAnsi="Helvetica Neue"/>
          <w:i/>
          <w:color w:val="252525"/>
          <w:highlight w:val="white"/>
        </w:rPr>
        <w:t>rence des Recteurs des Universit</w:t>
      </w:r>
      <w:r w:rsidRPr="006E2814">
        <w:rPr>
          <w:rFonts w:ascii="Helvetica Neue" w:hAnsi="Helvetica Neue" w:hint="eastAsia"/>
          <w:i/>
          <w:color w:val="252525"/>
          <w:highlight w:val="white"/>
        </w:rPr>
        <w:t>é</w:t>
      </w:r>
      <w:r w:rsidRPr="006E2814">
        <w:rPr>
          <w:rFonts w:ascii="Helvetica Neue" w:hAnsi="Helvetica Neue"/>
          <w:i/>
          <w:color w:val="252525"/>
          <w:highlight w:val="white"/>
        </w:rPr>
        <w:t>s Suisses, CRUS)</w:t>
      </w:r>
      <w:r>
        <w:rPr>
          <w:rFonts w:ascii="Helvetica Neue" w:eastAsia="Helvetica Neue" w:hAnsi="Helvetica Neue" w:cs="Helvetica Neue"/>
          <w:i/>
        </w:rPr>
        <w:t xml:space="preserve"> für die Schweiz. Alle Typen wurden in drei Hauptkategorien zusammengefasst: University, University of Applied Sciences, Non-university research institutions and others (Alle Institutionen, die nicht anhand der HRK-Liste zugeordnet werden konnten, werden als außeruniversitäre Forschungseinrichtungen und Andere kategorisiert). Erhebungsdatum: 2014-01-06</w:t>
      </w:r>
    </w:p>
    <w:p w14:paraId="0E571020" w14:textId="77777777" w:rsidR="005A17CE" w:rsidRDefault="005A17CE">
      <w:pPr>
        <w:jc w:val="both"/>
      </w:pPr>
    </w:p>
    <w:p w14:paraId="3D1242AA" w14:textId="77777777" w:rsidR="005A17CE" w:rsidRPr="006E2814" w:rsidRDefault="00D21FFE">
      <w:pPr>
        <w:jc w:val="both"/>
      </w:pPr>
      <w:r>
        <w:rPr>
          <w:rFonts w:ascii="Helvetica Neue" w:eastAsia="Helvetica Neue" w:hAnsi="Helvetica Neue" w:cs="Helvetica Neue"/>
        </w:rPr>
        <w:t>Die Liste der Hochschulrektorenkonferenz (HRK) umfasst folgende Typen von Institutionen in Deutschland (D), die zur besseren Vergleichbarkeit mit den äquivalenten Institutionstypen für Österreich (A) und die Schweiz (CH) zusammengefasst wurden:</w:t>
      </w:r>
    </w:p>
    <w:p w14:paraId="00943F97" w14:textId="77777777" w:rsidR="005A17CE" w:rsidRDefault="005A17CE">
      <w:pPr>
        <w:jc w:val="both"/>
      </w:pPr>
    </w:p>
    <w:p w14:paraId="52583070" w14:textId="0432C1DE" w:rsidR="005A17CE" w:rsidRPr="006E2814" w:rsidRDefault="00D21FFE" w:rsidP="006E2814">
      <w:pPr>
        <w:numPr>
          <w:ilvl w:val="0"/>
          <w:numId w:val="9"/>
        </w:numPr>
        <w:ind w:hanging="359"/>
        <w:contextualSpacing/>
        <w:jc w:val="both"/>
        <w:rPr>
          <w:rFonts w:ascii="Helvetica Neue" w:hAnsi="Helvetica Neue"/>
        </w:rPr>
      </w:pPr>
      <w:r>
        <w:rPr>
          <w:rFonts w:ascii="Helvetica Neue" w:eastAsia="Helvetica Neue" w:hAnsi="Helvetica Neue" w:cs="Helvetica Neue"/>
        </w:rPr>
        <w:t>Universität</w:t>
      </w:r>
    </w:p>
    <w:p w14:paraId="611D7F1C" w14:textId="77777777" w:rsidR="006E2814" w:rsidRDefault="006E2814" w:rsidP="006E2814">
      <w:pPr>
        <w:numPr>
          <w:ilvl w:val="1"/>
          <w:numId w:val="9"/>
        </w:numPr>
        <w:ind w:hanging="359"/>
        <w:contextualSpacing/>
        <w:jc w:val="both"/>
        <w:rPr>
          <w:rFonts w:ascii="Helvetica Neue" w:eastAsia="Helvetica Neue" w:hAnsi="Helvetica Neue" w:cs="Helvetica Neue"/>
        </w:rPr>
      </w:pPr>
      <w:r>
        <w:rPr>
          <w:rFonts w:ascii="Helvetica Neue" w:eastAsia="Helvetica Neue" w:hAnsi="Helvetica Neue" w:cs="Helvetica Neue"/>
        </w:rPr>
        <w:t>Universitäten und Hochschulen mit Promotionsrecht (D)</w:t>
      </w:r>
    </w:p>
    <w:p w14:paraId="2A718C3B" w14:textId="3220DECB" w:rsidR="006E2814" w:rsidRPr="006E2814" w:rsidRDefault="006E2814" w:rsidP="006E2814">
      <w:pPr>
        <w:numPr>
          <w:ilvl w:val="1"/>
          <w:numId w:val="9"/>
        </w:numPr>
        <w:ind w:hanging="359"/>
        <w:contextualSpacing/>
        <w:jc w:val="both"/>
        <w:rPr>
          <w:rFonts w:ascii="Helvetica Neue" w:eastAsia="Helvetica Neue" w:hAnsi="Helvetica Neue" w:cs="Helvetica Neue"/>
        </w:rPr>
      </w:pPr>
      <w:r>
        <w:rPr>
          <w:rFonts w:ascii="Helvetica Neue" w:eastAsia="Helvetica Neue" w:hAnsi="Helvetica Neue" w:cs="Helvetica Neue"/>
        </w:rPr>
        <w:t>Kunst- und Musikhochschulen mit und ohne Promotionsrecht (D)</w:t>
      </w:r>
    </w:p>
    <w:p w14:paraId="467AB1D2" w14:textId="77777777" w:rsidR="005A17CE" w:rsidRDefault="00D21FFE" w:rsidP="006E2814">
      <w:pPr>
        <w:numPr>
          <w:ilvl w:val="1"/>
          <w:numId w:val="9"/>
        </w:numPr>
        <w:ind w:hanging="359"/>
        <w:contextualSpacing/>
        <w:jc w:val="both"/>
        <w:rPr>
          <w:rFonts w:ascii="Helvetica Neue" w:eastAsia="Helvetica Neue" w:hAnsi="Helvetica Neue" w:cs="Helvetica Neue"/>
        </w:rPr>
      </w:pPr>
      <w:r>
        <w:rPr>
          <w:rFonts w:ascii="Helvetica Neue" w:eastAsia="Helvetica Neue" w:hAnsi="Helvetica Neue" w:cs="Helvetica Neue"/>
        </w:rPr>
        <w:t>private Universität/ Hochschule mit Promotionsrecht (A)</w:t>
      </w:r>
    </w:p>
    <w:p w14:paraId="6C04917D" w14:textId="77777777" w:rsidR="005A17CE" w:rsidRDefault="00D21FFE" w:rsidP="006E2814">
      <w:pPr>
        <w:numPr>
          <w:ilvl w:val="1"/>
          <w:numId w:val="9"/>
        </w:numPr>
        <w:ind w:hanging="359"/>
        <w:contextualSpacing/>
        <w:jc w:val="both"/>
        <w:rPr>
          <w:rFonts w:ascii="Helvetica Neue" w:eastAsia="Helvetica Neue" w:hAnsi="Helvetica Neue" w:cs="Helvetica Neue"/>
        </w:rPr>
      </w:pPr>
      <w:r>
        <w:rPr>
          <w:rFonts w:ascii="Helvetica Neue" w:eastAsia="Helvetica Neue" w:hAnsi="Helvetica Neue" w:cs="Helvetica Neue"/>
        </w:rPr>
        <w:t>kirchliche Universität/ Hochschule mit Promotionsrecht (A)</w:t>
      </w:r>
    </w:p>
    <w:p w14:paraId="064E5E34" w14:textId="77777777" w:rsidR="005A17CE" w:rsidRDefault="00D21FFE" w:rsidP="006E2814">
      <w:pPr>
        <w:numPr>
          <w:ilvl w:val="1"/>
          <w:numId w:val="9"/>
        </w:numPr>
        <w:ind w:hanging="359"/>
        <w:contextualSpacing/>
        <w:jc w:val="both"/>
        <w:rPr>
          <w:rFonts w:ascii="Helvetica Neue" w:eastAsia="Helvetica Neue" w:hAnsi="Helvetica Neue" w:cs="Helvetica Neue"/>
        </w:rPr>
      </w:pPr>
      <w:r>
        <w:rPr>
          <w:rFonts w:ascii="Helvetica Neue" w:eastAsia="Helvetica Neue" w:hAnsi="Helvetica Neue" w:cs="Helvetica Neue"/>
        </w:rPr>
        <w:t>öffentliche Universität (A)</w:t>
      </w:r>
    </w:p>
    <w:p w14:paraId="444CCE1B" w14:textId="73CC17B4" w:rsidR="006E2814" w:rsidRPr="006E2814" w:rsidRDefault="006E2814" w:rsidP="006E2814">
      <w:pPr>
        <w:numPr>
          <w:ilvl w:val="1"/>
          <w:numId w:val="9"/>
        </w:numPr>
        <w:ind w:hanging="359"/>
        <w:contextualSpacing/>
        <w:jc w:val="both"/>
        <w:rPr>
          <w:rFonts w:ascii="Helvetica Neue" w:eastAsia="Helvetica Neue" w:hAnsi="Helvetica Neue" w:cs="Helvetica Neue"/>
        </w:rPr>
      </w:pPr>
      <w:r>
        <w:rPr>
          <w:rFonts w:ascii="Helvetica Neue" w:eastAsia="Helvetica Neue" w:hAnsi="Helvetica Neue" w:cs="Helvetica Neue"/>
        </w:rPr>
        <w:t>Universitäre Hochschule gemäß Universitätsförderungsgesetz (CH)</w:t>
      </w:r>
    </w:p>
    <w:p w14:paraId="6A881A57" w14:textId="77777777" w:rsidR="005A17CE" w:rsidRDefault="00D21FFE" w:rsidP="006E2814">
      <w:pPr>
        <w:numPr>
          <w:ilvl w:val="0"/>
          <w:numId w:val="11"/>
        </w:numPr>
        <w:ind w:hanging="359"/>
        <w:contextualSpacing/>
        <w:jc w:val="both"/>
        <w:rPr>
          <w:rFonts w:ascii="Helvetica Neue" w:eastAsia="Helvetica Neue" w:hAnsi="Helvetica Neue" w:cs="Helvetica Neue"/>
        </w:rPr>
      </w:pPr>
      <w:r>
        <w:rPr>
          <w:rFonts w:ascii="Helvetica Neue" w:eastAsia="Helvetica Neue" w:hAnsi="Helvetica Neue" w:cs="Helvetica Neue"/>
        </w:rPr>
        <w:t>Fachhochschulen</w:t>
      </w:r>
    </w:p>
    <w:p w14:paraId="0267627C" w14:textId="77777777" w:rsidR="005A17CE" w:rsidRDefault="00D21FFE" w:rsidP="006E2814">
      <w:pPr>
        <w:numPr>
          <w:ilvl w:val="1"/>
          <w:numId w:val="11"/>
        </w:numPr>
        <w:ind w:hanging="359"/>
        <w:contextualSpacing/>
        <w:jc w:val="both"/>
        <w:rPr>
          <w:rFonts w:ascii="Helvetica Neue" w:eastAsia="Helvetica Neue" w:hAnsi="Helvetica Neue" w:cs="Helvetica Neue"/>
        </w:rPr>
      </w:pPr>
      <w:r>
        <w:rPr>
          <w:rFonts w:ascii="Helvetica Neue" w:eastAsia="Helvetica Neue" w:hAnsi="Helvetica Neue" w:cs="Helvetica Neue"/>
        </w:rPr>
        <w:t>Fachhochschulen und Hochschulen ohne Promotionsrecht (D)</w:t>
      </w:r>
    </w:p>
    <w:p w14:paraId="5339F195" w14:textId="77777777" w:rsidR="005A17CE" w:rsidRDefault="00D21FFE" w:rsidP="006E2814">
      <w:pPr>
        <w:numPr>
          <w:ilvl w:val="1"/>
          <w:numId w:val="11"/>
        </w:numPr>
        <w:ind w:hanging="359"/>
        <w:contextualSpacing/>
        <w:jc w:val="both"/>
        <w:rPr>
          <w:rFonts w:ascii="Helvetica Neue" w:eastAsia="Helvetica Neue" w:hAnsi="Helvetica Neue" w:cs="Helvetica Neue"/>
        </w:rPr>
      </w:pPr>
      <w:r>
        <w:rPr>
          <w:rFonts w:ascii="Helvetica Neue" w:eastAsia="Helvetica Neue" w:hAnsi="Helvetica Neue" w:cs="Helvetica Neue"/>
        </w:rPr>
        <w:t>Fachhochschule gemäß Fachhochschulgesetz (CH)</w:t>
      </w:r>
    </w:p>
    <w:p w14:paraId="70F5C65B" w14:textId="77777777" w:rsidR="005A17CE" w:rsidRDefault="00D21FFE" w:rsidP="006E2814">
      <w:pPr>
        <w:numPr>
          <w:ilvl w:val="0"/>
          <w:numId w:val="11"/>
        </w:numPr>
        <w:ind w:hanging="359"/>
        <w:contextualSpacing/>
        <w:jc w:val="both"/>
        <w:rPr>
          <w:rFonts w:ascii="Helvetica Neue" w:eastAsia="Helvetica Neue" w:hAnsi="Helvetica Neue" w:cs="Helvetica Neue"/>
        </w:rPr>
      </w:pPr>
      <w:r>
        <w:rPr>
          <w:rFonts w:ascii="Helvetica Neue" w:eastAsia="Helvetica Neue" w:hAnsi="Helvetica Neue" w:cs="Helvetica Neue"/>
        </w:rPr>
        <w:t>Außeruniversitäre Forschungseinrichtungen und Andere (im Folgenden nur: außeruniversitäre Forschungseinrichtungen)</w:t>
      </w:r>
    </w:p>
    <w:p w14:paraId="1FC7911D" w14:textId="77777777" w:rsidR="005A17CE" w:rsidRPr="006E2814" w:rsidRDefault="00D21FFE">
      <w:r>
        <w:rPr>
          <w:rFonts w:ascii="Helvetica Neue" w:eastAsia="Helvetica Neue" w:hAnsi="Helvetica Neue" w:cs="Helvetica Neue"/>
        </w:rPr>
        <w:t xml:space="preserve"> </w:t>
      </w:r>
    </w:p>
    <w:p w14:paraId="4616C958" w14:textId="77777777" w:rsidR="005A17CE" w:rsidRDefault="00D21FFE" w:rsidP="00E47CA6">
      <w:pPr>
        <w:pStyle w:val="berschrift2"/>
        <w:contextualSpacing w:val="0"/>
      </w:pPr>
      <w:bookmarkStart w:id="7" w:name="h.mf7b5kpd3je"/>
      <w:bookmarkEnd w:id="7"/>
      <w:r>
        <w:t>Ergebnisse und Diskussion</w:t>
      </w:r>
    </w:p>
    <w:p w14:paraId="73371D91" w14:textId="77777777" w:rsidR="005A17CE" w:rsidRPr="006E2814" w:rsidRDefault="00D21FFE">
      <w:r>
        <w:rPr>
          <w:rFonts w:ascii="Helvetica Neue" w:eastAsia="Helvetica Neue" w:hAnsi="Helvetica Neue" w:cs="Helvetica Neue"/>
        </w:rPr>
        <w:t xml:space="preserve"> </w:t>
      </w:r>
    </w:p>
    <w:p w14:paraId="24763365" w14:textId="320FE2E5" w:rsidR="005A17CE" w:rsidRDefault="00D21FFE">
      <w:pPr>
        <w:jc w:val="both"/>
      </w:pPr>
      <w:r>
        <w:rPr>
          <w:rFonts w:ascii="Helvetica Neue" w:eastAsia="Helvetica Neue" w:hAnsi="Helvetica Neue" w:cs="Helvetica Neue"/>
        </w:rPr>
        <w:lastRenderedPageBreak/>
        <w:t>Für diesen Artikel wurde das Kriterium “Typ der verantwortlichen Institution” für die OAR in Deutschland in Relation zu anderen im 2014 Census erhoben</w:t>
      </w:r>
      <w:r w:rsidR="00BB0CA2">
        <w:rPr>
          <w:rFonts w:ascii="Helvetica Neue" w:eastAsia="Helvetica Neue" w:hAnsi="Helvetica Neue" w:cs="Helvetica Neue"/>
        </w:rPr>
        <w:t>en</w:t>
      </w:r>
      <w:r>
        <w:rPr>
          <w:rFonts w:ascii="Helvetica Neue" w:eastAsia="Helvetica Neue" w:hAnsi="Helvetica Neue" w:cs="Helvetica Neue"/>
        </w:rPr>
        <w:t xml:space="preserve"> Kriterien analysiert, die zu ersten Interpretationen der Ergebnisse sowie zu einer Diskussion führen. Die Auswertung der unterschiedlichen Kriterien, sowie ihre Vergleichbarkeit (z. B. zwischen Bundesländern) bedingen den Fokus auf eine Nation und in dem vorliegenden Fall Deutschland.</w:t>
      </w:r>
      <w:r w:rsidRPr="006E2814">
        <w:rPr>
          <w:rFonts w:ascii="Helvetica Neue" w:hAnsi="Helvetica Neue"/>
        </w:rPr>
        <w:footnoteReference w:id="9"/>
      </w:r>
      <w:r w:rsidR="00BB0CA2">
        <w:rPr>
          <w:rFonts w:ascii="Helvetica Neue" w:eastAsia="Helvetica Neue" w:hAnsi="Helvetica Neue" w:cs="Helvetica Neue"/>
        </w:rPr>
        <w:t xml:space="preserve"> </w:t>
      </w:r>
    </w:p>
    <w:p w14:paraId="659E7CEF" w14:textId="77777777" w:rsidR="005A17CE" w:rsidRDefault="00D21FFE" w:rsidP="00E47CA6">
      <w:pPr>
        <w:pStyle w:val="berschrift3"/>
        <w:contextualSpacing w:val="0"/>
        <w:jc w:val="both"/>
      </w:pPr>
      <w:bookmarkStart w:id="8" w:name="h.t16deywc69qd"/>
      <w:bookmarkEnd w:id="8"/>
      <w:r>
        <w:t>Anzahl und prozentuale Verteilung von Open-Access-Repositorien nach Bundesländern</w:t>
      </w:r>
    </w:p>
    <w:p w14:paraId="0C2BD576" w14:textId="77777777" w:rsidR="005A17CE" w:rsidRDefault="005A17CE">
      <w:pPr>
        <w:jc w:val="both"/>
      </w:pPr>
    </w:p>
    <w:p w14:paraId="08A8D448" w14:textId="2086DB7A" w:rsidR="005A17CE" w:rsidRDefault="00D21FFE">
      <w:pPr>
        <w:jc w:val="both"/>
      </w:pPr>
      <w:r>
        <w:rPr>
          <w:rFonts w:ascii="Helvetica Neue" w:eastAsia="Helvetica Neue" w:hAnsi="Helvetica Neue" w:cs="Helvetica Neue"/>
        </w:rPr>
        <w:t>Im 2014 Census wurde die geographische Lage der für das OAR verantwortlichen Institution mit folgender Definition erfasst:</w:t>
      </w:r>
    </w:p>
    <w:p w14:paraId="4FE47B6A" w14:textId="77777777" w:rsidR="005A17CE" w:rsidRDefault="005A17CE">
      <w:pPr>
        <w:jc w:val="both"/>
      </w:pPr>
    </w:p>
    <w:p w14:paraId="0B5F6043" w14:textId="770634AA" w:rsidR="005A17CE" w:rsidRDefault="00D21FFE">
      <w:pPr>
        <w:ind w:left="720"/>
        <w:jc w:val="both"/>
      </w:pPr>
      <w:r>
        <w:rPr>
          <w:rFonts w:ascii="Helvetica Neue" w:eastAsia="Helvetica Neue" w:hAnsi="Helvetica Neue" w:cs="Helvetica Neue"/>
          <w:i/>
        </w:rPr>
        <w:t xml:space="preserve">Das Land/Bundesland (Deutschland), in dem die betreibende und inhaltlich verantwortliche Institution für das Open-Access-Repositorium laut BASE liegt. Erhebungsdatum: </w:t>
      </w:r>
      <w:r w:rsidR="00BB0CA2">
        <w:rPr>
          <w:rFonts w:ascii="Helvetica Neue" w:eastAsia="Helvetica Neue" w:hAnsi="Helvetica Neue" w:cs="Helvetica Neue"/>
          <w:i/>
        </w:rPr>
        <w:t>2014-01-06</w:t>
      </w:r>
    </w:p>
    <w:p w14:paraId="64FC9A24" w14:textId="77777777" w:rsidR="005A17CE" w:rsidRDefault="005A17CE">
      <w:pPr>
        <w:jc w:val="both"/>
      </w:pPr>
    </w:p>
    <w:p w14:paraId="49B252EF" w14:textId="77777777" w:rsidR="005A17CE" w:rsidRPr="006E2814" w:rsidRDefault="00D21FFE">
      <w:pPr>
        <w:jc w:val="both"/>
      </w:pPr>
      <w:r>
        <w:rPr>
          <w:rFonts w:ascii="Helvetica Neue" w:eastAsia="Helvetica Neue" w:hAnsi="Helvetica Neue" w:cs="Helvetica Neue"/>
          <w:b/>
        </w:rPr>
        <w:t>Tabelle 1 (Anzahl der OAR pro Bundesland und prozentuale Verteilung der OAR nach Typ der verantwortlichen Institution pro Bundesland)</w:t>
      </w:r>
    </w:p>
    <w:p w14:paraId="59247E54" w14:textId="77777777" w:rsidR="005A17CE" w:rsidRDefault="005A17CE">
      <w:pPr>
        <w:jc w:val="both"/>
      </w:pPr>
    </w:p>
    <w:tbl>
      <w:tblPr>
        <w:tblW w:w="9195"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600" w:firstRow="0" w:lastRow="0" w:firstColumn="0" w:lastColumn="0" w:noHBand="1" w:noVBand="1"/>
      </w:tblPr>
      <w:tblGrid>
        <w:gridCol w:w="2145"/>
        <w:gridCol w:w="1230"/>
        <w:gridCol w:w="1470"/>
        <w:gridCol w:w="1845"/>
        <w:gridCol w:w="2505"/>
      </w:tblGrid>
      <w:tr w:rsidR="005A17CE" w14:paraId="4BD4586E" w14:textId="77777777" w:rsidTr="006E2814">
        <w:tc>
          <w:tcPr>
            <w:tcW w:w="2145" w:type="dxa"/>
            <w:tcMar>
              <w:top w:w="40" w:type="dxa"/>
              <w:left w:w="40" w:type="dxa"/>
              <w:bottom w:w="40" w:type="dxa"/>
              <w:right w:w="40" w:type="dxa"/>
            </w:tcMar>
            <w:vAlign w:val="bottom"/>
          </w:tcPr>
          <w:p w14:paraId="680F3EBF" w14:textId="77777777" w:rsidR="005A17CE" w:rsidRPr="006E2814" w:rsidRDefault="00D21FFE" w:rsidP="00E47CA6">
            <w:pPr>
              <w:spacing w:line="240" w:lineRule="auto"/>
              <w:jc w:val="both"/>
            </w:pPr>
            <w:r>
              <w:rPr>
                <w:b/>
                <w:sz w:val="20"/>
              </w:rPr>
              <w:t>Bundesländer</w:t>
            </w:r>
          </w:p>
        </w:tc>
        <w:tc>
          <w:tcPr>
            <w:tcW w:w="1230" w:type="dxa"/>
            <w:tcMar>
              <w:top w:w="40" w:type="dxa"/>
              <w:left w:w="40" w:type="dxa"/>
              <w:bottom w:w="40" w:type="dxa"/>
              <w:right w:w="40" w:type="dxa"/>
            </w:tcMar>
            <w:vAlign w:val="bottom"/>
          </w:tcPr>
          <w:p w14:paraId="2BE7043F" w14:textId="77777777" w:rsidR="005A17CE" w:rsidRPr="006E2814" w:rsidRDefault="00D21FFE" w:rsidP="00E47CA6">
            <w:pPr>
              <w:spacing w:line="240" w:lineRule="auto"/>
              <w:jc w:val="right"/>
            </w:pPr>
            <w:r>
              <w:rPr>
                <w:b/>
                <w:sz w:val="20"/>
              </w:rPr>
              <w:t>Total (Prozent an Gesamt BRD)</w:t>
            </w:r>
          </w:p>
        </w:tc>
        <w:tc>
          <w:tcPr>
            <w:tcW w:w="1470" w:type="dxa"/>
            <w:tcMar>
              <w:top w:w="40" w:type="dxa"/>
              <w:left w:w="40" w:type="dxa"/>
              <w:bottom w:w="40" w:type="dxa"/>
              <w:right w:w="40" w:type="dxa"/>
            </w:tcMar>
            <w:vAlign w:val="bottom"/>
          </w:tcPr>
          <w:p w14:paraId="589ABD13" w14:textId="77777777" w:rsidR="005A17CE" w:rsidRPr="006E2814" w:rsidRDefault="00D21FFE" w:rsidP="006E2814">
            <w:pPr>
              <w:spacing w:line="240" w:lineRule="auto"/>
              <w:jc w:val="right"/>
            </w:pPr>
            <w:r>
              <w:rPr>
                <w:b/>
                <w:sz w:val="20"/>
              </w:rPr>
              <w:t>Universität, Total (Prozent an Bundesland)</w:t>
            </w:r>
          </w:p>
        </w:tc>
        <w:tc>
          <w:tcPr>
            <w:tcW w:w="1845" w:type="dxa"/>
            <w:tcMar>
              <w:top w:w="40" w:type="dxa"/>
              <w:left w:w="40" w:type="dxa"/>
              <w:bottom w:w="40" w:type="dxa"/>
              <w:right w:w="40" w:type="dxa"/>
            </w:tcMar>
            <w:vAlign w:val="bottom"/>
          </w:tcPr>
          <w:p w14:paraId="43547A16" w14:textId="763E2EA4" w:rsidR="005A17CE" w:rsidRPr="006E2814" w:rsidRDefault="00D21FFE" w:rsidP="006E2814">
            <w:pPr>
              <w:spacing w:line="240" w:lineRule="auto"/>
              <w:jc w:val="right"/>
            </w:pPr>
            <w:r>
              <w:rPr>
                <w:b/>
                <w:sz w:val="20"/>
              </w:rPr>
              <w:t>Fachhochschule, Total</w:t>
            </w:r>
            <w:r w:rsidR="00BB0CA2">
              <w:rPr>
                <w:b/>
                <w:sz w:val="20"/>
              </w:rPr>
              <w:t xml:space="preserve"> </w:t>
            </w:r>
          </w:p>
          <w:p w14:paraId="1ADC8552" w14:textId="77777777" w:rsidR="005A17CE" w:rsidRPr="006E2814" w:rsidRDefault="00D21FFE" w:rsidP="006E2814">
            <w:pPr>
              <w:spacing w:line="240" w:lineRule="auto"/>
              <w:jc w:val="right"/>
            </w:pPr>
            <w:r>
              <w:rPr>
                <w:b/>
                <w:sz w:val="20"/>
              </w:rPr>
              <w:t>(Prozent an Bundesland)</w:t>
            </w:r>
          </w:p>
        </w:tc>
        <w:tc>
          <w:tcPr>
            <w:tcW w:w="2505" w:type="dxa"/>
            <w:tcMar>
              <w:top w:w="40" w:type="dxa"/>
              <w:left w:w="40" w:type="dxa"/>
              <w:bottom w:w="40" w:type="dxa"/>
              <w:right w:w="40" w:type="dxa"/>
            </w:tcMar>
            <w:vAlign w:val="bottom"/>
          </w:tcPr>
          <w:p w14:paraId="18F360C6" w14:textId="77777777" w:rsidR="005A17CE" w:rsidRPr="006E2814" w:rsidRDefault="00D21FFE" w:rsidP="006E2814">
            <w:pPr>
              <w:spacing w:line="240" w:lineRule="auto"/>
              <w:jc w:val="right"/>
            </w:pPr>
            <w:r>
              <w:rPr>
                <w:b/>
                <w:sz w:val="20"/>
              </w:rPr>
              <w:t>Außeruniversitäre Forschungseinrichtung und Andere, Total (Prozent an Bundesland)</w:t>
            </w:r>
          </w:p>
        </w:tc>
      </w:tr>
      <w:tr w:rsidR="005A17CE" w14:paraId="6D2C6CFD" w14:textId="77777777" w:rsidTr="006E2814">
        <w:tc>
          <w:tcPr>
            <w:tcW w:w="2145" w:type="dxa"/>
            <w:tcMar>
              <w:top w:w="40" w:type="dxa"/>
              <w:left w:w="40" w:type="dxa"/>
              <w:bottom w:w="40" w:type="dxa"/>
              <w:right w:w="40" w:type="dxa"/>
            </w:tcMar>
            <w:vAlign w:val="bottom"/>
          </w:tcPr>
          <w:p w14:paraId="2C515F43" w14:textId="77777777" w:rsidR="005A17CE" w:rsidRPr="006E2814" w:rsidRDefault="00D21FFE">
            <w:r>
              <w:rPr>
                <w:sz w:val="20"/>
              </w:rPr>
              <w:t>Baden-Württemberg</w:t>
            </w:r>
          </w:p>
        </w:tc>
        <w:tc>
          <w:tcPr>
            <w:tcW w:w="1230" w:type="dxa"/>
            <w:tcMar>
              <w:top w:w="40" w:type="dxa"/>
              <w:left w:w="40" w:type="dxa"/>
              <w:bottom w:w="40" w:type="dxa"/>
              <w:right w:w="40" w:type="dxa"/>
            </w:tcMar>
            <w:vAlign w:val="bottom"/>
          </w:tcPr>
          <w:p w14:paraId="48C04503" w14:textId="77777777" w:rsidR="005A17CE" w:rsidRPr="006E2814" w:rsidRDefault="00D21FFE">
            <w:pPr>
              <w:jc w:val="right"/>
            </w:pPr>
            <w:r>
              <w:rPr>
                <w:sz w:val="20"/>
              </w:rPr>
              <w:t>31 (20,39 %)</w:t>
            </w:r>
          </w:p>
        </w:tc>
        <w:tc>
          <w:tcPr>
            <w:tcW w:w="1470" w:type="dxa"/>
            <w:tcMar>
              <w:top w:w="40" w:type="dxa"/>
              <w:left w:w="40" w:type="dxa"/>
              <w:bottom w:w="40" w:type="dxa"/>
              <w:right w:w="40" w:type="dxa"/>
            </w:tcMar>
            <w:vAlign w:val="bottom"/>
          </w:tcPr>
          <w:p w14:paraId="13245C5C" w14:textId="77777777" w:rsidR="005A17CE" w:rsidRPr="006E2814" w:rsidRDefault="00D21FFE">
            <w:pPr>
              <w:jc w:val="right"/>
            </w:pPr>
            <w:r>
              <w:rPr>
                <w:sz w:val="20"/>
              </w:rPr>
              <w:t>18 (58,06 %)</w:t>
            </w:r>
          </w:p>
        </w:tc>
        <w:tc>
          <w:tcPr>
            <w:tcW w:w="1845" w:type="dxa"/>
            <w:tcMar>
              <w:top w:w="40" w:type="dxa"/>
              <w:left w:w="40" w:type="dxa"/>
              <w:bottom w:w="40" w:type="dxa"/>
              <w:right w:w="40" w:type="dxa"/>
            </w:tcMar>
            <w:vAlign w:val="bottom"/>
          </w:tcPr>
          <w:p w14:paraId="74F7E7D9" w14:textId="77777777" w:rsidR="005A17CE" w:rsidRPr="006E2814" w:rsidRDefault="00D21FFE">
            <w:pPr>
              <w:jc w:val="right"/>
            </w:pPr>
            <w:r>
              <w:rPr>
                <w:sz w:val="20"/>
              </w:rPr>
              <w:t>8 (25,81 %)</w:t>
            </w:r>
          </w:p>
        </w:tc>
        <w:tc>
          <w:tcPr>
            <w:tcW w:w="2505" w:type="dxa"/>
            <w:tcMar>
              <w:top w:w="40" w:type="dxa"/>
              <w:left w:w="40" w:type="dxa"/>
              <w:bottom w:w="40" w:type="dxa"/>
              <w:right w:w="40" w:type="dxa"/>
            </w:tcMar>
            <w:vAlign w:val="bottom"/>
          </w:tcPr>
          <w:p w14:paraId="65865309" w14:textId="77777777" w:rsidR="005A17CE" w:rsidRPr="006E2814" w:rsidRDefault="00D21FFE">
            <w:pPr>
              <w:jc w:val="right"/>
            </w:pPr>
            <w:r>
              <w:rPr>
                <w:sz w:val="20"/>
              </w:rPr>
              <w:t>5 (16,13 %)</w:t>
            </w:r>
          </w:p>
        </w:tc>
      </w:tr>
      <w:tr w:rsidR="005A17CE" w14:paraId="349C4A96" w14:textId="77777777" w:rsidTr="006E2814">
        <w:tc>
          <w:tcPr>
            <w:tcW w:w="2145" w:type="dxa"/>
            <w:tcMar>
              <w:top w:w="40" w:type="dxa"/>
              <w:left w:w="40" w:type="dxa"/>
              <w:bottom w:w="40" w:type="dxa"/>
              <w:right w:w="40" w:type="dxa"/>
            </w:tcMar>
            <w:vAlign w:val="bottom"/>
          </w:tcPr>
          <w:p w14:paraId="5C5E1541" w14:textId="77777777" w:rsidR="005A17CE" w:rsidRPr="006E2814" w:rsidRDefault="00D21FFE">
            <w:r>
              <w:rPr>
                <w:sz w:val="20"/>
              </w:rPr>
              <w:t>Bayern</w:t>
            </w:r>
          </w:p>
        </w:tc>
        <w:tc>
          <w:tcPr>
            <w:tcW w:w="1230" w:type="dxa"/>
            <w:tcMar>
              <w:top w:w="40" w:type="dxa"/>
              <w:left w:w="40" w:type="dxa"/>
              <w:bottom w:w="40" w:type="dxa"/>
              <w:right w:w="40" w:type="dxa"/>
            </w:tcMar>
            <w:vAlign w:val="bottom"/>
          </w:tcPr>
          <w:p w14:paraId="20623575" w14:textId="77777777" w:rsidR="005A17CE" w:rsidRPr="006E2814" w:rsidRDefault="00D21FFE">
            <w:pPr>
              <w:jc w:val="right"/>
            </w:pPr>
            <w:r>
              <w:rPr>
                <w:sz w:val="20"/>
              </w:rPr>
              <w:t>20 (13,16 %)</w:t>
            </w:r>
          </w:p>
        </w:tc>
        <w:tc>
          <w:tcPr>
            <w:tcW w:w="1470" w:type="dxa"/>
            <w:tcMar>
              <w:top w:w="40" w:type="dxa"/>
              <w:left w:w="40" w:type="dxa"/>
              <w:bottom w:w="40" w:type="dxa"/>
              <w:right w:w="40" w:type="dxa"/>
            </w:tcMar>
            <w:vAlign w:val="bottom"/>
          </w:tcPr>
          <w:p w14:paraId="72A990FC" w14:textId="77777777" w:rsidR="005A17CE" w:rsidRPr="006E2814" w:rsidRDefault="00D21FFE">
            <w:pPr>
              <w:jc w:val="right"/>
            </w:pPr>
            <w:r>
              <w:rPr>
                <w:sz w:val="20"/>
              </w:rPr>
              <w:t>13 (65,00 %)</w:t>
            </w:r>
          </w:p>
        </w:tc>
        <w:tc>
          <w:tcPr>
            <w:tcW w:w="1845" w:type="dxa"/>
            <w:tcMar>
              <w:top w:w="40" w:type="dxa"/>
              <w:left w:w="40" w:type="dxa"/>
              <w:bottom w:w="40" w:type="dxa"/>
              <w:right w:w="40" w:type="dxa"/>
            </w:tcMar>
            <w:vAlign w:val="bottom"/>
          </w:tcPr>
          <w:p w14:paraId="6E2BF853" w14:textId="77777777" w:rsidR="005A17CE" w:rsidRPr="006E2814" w:rsidRDefault="00D21FFE">
            <w:pPr>
              <w:jc w:val="right"/>
            </w:pPr>
            <w:r>
              <w:rPr>
                <w:sz w:val="20"/>
              </w:rPr>
              <w:t>4 (20,00 %)</w:t>
            </w:r>
          </w:p>
        </w:tc>
        <w:tc>
          <w:tcPr>
            <w:tcW w:w="2505" w:type="dxa"/>
            <w:tcMar>
              <w:top w:w="40" w:type="dxa"/>
              <w:left w:w="40" w:type="dxa"/>
              <w:bottom w:w="40" w:type="dxa"/>
              <w:right w:w="40" w:type="dxa"/>
            </w:tcMar>
            <w:vAlign w:val="bottom"/>
          </w:tcPr>
          <w:p w14:paraId="27E26DD5" w14:textId="77777777" w:rsidR="005A17CE" w:rsidRPr="006E2814" w:rsidRDefault="00D21FFE">
            <w:pPr>
              <w:jc w:val="right"/>
            </w:pPr>
            <w:r>
              <w:rPr>
                <w:sz w:val="20"/>
              </w:rPr>
              <w:t>3 (15,00 %)</w:t>
            </w:r>
          </w:p>
        </w:tc>
      </w:tr>
      <w:tr w:rsidR="005A17CE" w14:paraId="7AD32330" w14:textId="77777777" w:rsidTr="006E2814">
        <w:tc>
          <w:tcPr>
            <w:tcW w:w="2145" w:type="dxa"/>
            <w:tcMar>
              <w:top w:w="40" w:type="dxa"/>
              <w:left w:w="40" w:type="dxa"/>
              <w:bottom w:w="40" w:type="dxa"/>
              <w:right w:w="40" w:type="dxa"/>
            </w:tcMar>
            <w:vAlign w:val="bottom"/>
          </w:tcPr>
          <w:p w14:paraId="6AE63DE6" w14:textId="77777777" w:rsidR="005A17CE" w:rsidRPr="006E2814" w:rsidRDefault="00D21FFE">
            <w:r>
              <w:rPr>
                <w:sz w:val="20"/>
              </w:rPr>
              <w:t>Berlin</w:t>
            </w:r>
          </w:p>
        </w:tc>
        <w:tc>
          <w:tcPr>
            <w:tcW w:w="1230" w:type="dxa"/>
            <w:tcMar>
              <w:top w:w="40" w:type="dxa"/>
              <w:left w:w="40" w:type="dxa"/>
              <w:bottom w:w="40" w:type="dxa"/>
              <w:right w:w="40" w:type="dxa"/>
            </w:tcMar>
            <w:vAlign w:val="bottom"/>
          </w:tcPr>
          <w:p w14:paraId="1DE17F7E" w14:textId="77777777" w:rsidR="005A17CE" w:rsidRPr="006E2814" w:rsidRDefault="00D21FFE">
            <w:pPr>
              <w:jc w:val="right"/>
            </w:pPr>
            <w:r>
              <w:rPr>
                <w:sz w:val="20"/>
              </w:rPr>
              <w:t>12 (7,89 %)</w:t>
            </w:r>
          </w:p>
        </w:tc>
        <w:tc>
          <w:tcPr>
            <w:tcW w:w="1470" w:type="dxa"/>
            <w:tcMar>
              <w:top w:w="40" w:type="dxa"/>
              <w:left w:w="40" w:type="dxa"/>
              <w:bottom w:w="40" w:type="dxa"/>
              <w:right w:w="40" w:type="dxa"/>
            </w:tcMar>
            <w:vAlign w:val="bottom"/>
          </w:tcPr>
          <w:p w14:paraId="6EE4BDA4" w14:textId="77777777" w:rsidR="005A17CE" w:rsidRPr="006E2814" w:rsidRDefault="00D21FFE">
            <w:pPr>
              <w:jc w:val="right"/>
            </w:pPr>
            <w:r>
              <w:rPr>
                <w:sz w:val="20"/>
              </w:rPr>
              <w:t>6 (50,00 %)</w:t>
            </w:r>
          </w:p>
        </w:tc>
        <w:tc>
          <w:tcPr>
            <w:tcW w:w="1845" w:type="dxa"/>
            <w:tcMar>
              <w:top w:w="40" w:type="dxa"/>
              <w:left w:w="40" w:type="dxa"/>
              <w:bottom w:w="40" w:type="dxa"/>
              <w:right w:w="40" w:type="dxa"/>
            </w:tcMar>
            <w:vAlign w:val="bottom"/>
          </w:tcPr>
          <w:p w14:paraId="584C379C" w14:textId="77777777" w:rsidR="005A17CE" w:rsidRPr="006E2814" w:rsidRDefault="00D21FFE">
            <w:pPr>
              <w:jc w:val="right"/>
            </w:pPr>
            <w:r>
              <w:rPr>
                <w:sz w:val="20"/>
              </w:rPr>
              <w:t>1 (8,33 %)</w:t>
            </w:r>
          </w:p>
        </w:tc>
        <w:tc>
          <w:tcPr>
            <w:tcW w:w="2505" w:type="dxa"/>
            <w:tcMar>
              <w:top w:w="40" w:type="dxa"/>
              <w:left w:w="40" w:type="dxa"/>
              <w:bottom w:w="40" w:type="dxa"/>
              <w:right w:w="40" w:type="dxa"/>
            </w:tcMar>
            <w:vAlign w:val="bottom"/>
          </w:tcPr>
          <w:p w14:paraId="7EFE3F66" w14:textId="77777777" w:rsidR="005A17CE" w:rsidRPr="006E2814" w:rsidRDefault="00D21FFE">
            <w:pPr>
              <w:jc w:val="right"/>
            </w:pPr>
            <w:r>
              <w:rPr>
                <w:sz w:val="20"/>
              </w:rPr>
              <w:t>5 (41,67 %)</w:t>
            </w:r>
          </w:p>
        </w:tc>
      </w:tr>
      <w:tr w:rsidR="005A17CE" w14:paraId="3F50852F" w14:textId="77777777" w:rsidTr="006E2814">
        <w:tc>
          <w:tcPr>
            <w:tcW w:w="2145" w:type="dxa"/>
            <w:tcMar>
              <w:top w:w="40" w:type="dxa"/>
              <w:left w:w="40" w:type="dxa"/>
              <w:bottom w:w="40" w:type="dxa"/>
              <w:right w:w="40" w:type="dxa"/>
            </w:tcMar>
            <w:vAlign w:val="bottom"/>
          </w:tcPr>
          <w:p w14:paraId="10F9E173" w14:textId="77777777" w:rsidR="005A17CE" w:rsidRPr="006E2814" w:rsidRDefault="00D21FFE">
            <w:r>
              <w:rPr>
                <w:sz w:val="20"/>
              </w:rPr>
              <w:t>Brandenburg</w:t>
            </w:r>
          </w:p>
        </w:tc>
        <w:tc>
          <w:tcPr>
            <w:tcW w:w="1230" w:type="dxa"/>
            <w:tcMar>
              <w:top w:w="40" w:type="dxa"/>
              <w:left w:w="40" w:type="dxa"/>
              <w:bottom w:w="40" w:type="dxa"/>
              <w:right w:w="40" w:type="dxa"/>
            </w:tcMar>
            <w:vAlign w:val="bottom"/>
          </w:tcPr>
          <w:p w14:paraId="5D4AB9BD" w14:textId="77777777" w:rsidR="005A17CE" w:rsidRPr="006E2814" w:rsidRDefault="00D21FFE">
            <w:pPr>
              <w:jc w:val="right"/>
            </w:pPr>
            <w:r>
              <w:rPr>
                <w:sz w:val="20"/>
              </w:rPr>
              <w:t>11 (7,24 %)</w:t>
            </w:r>
          </w:p>
        </w:tc>
        <w:tc>
          <w:tcPr>
            <w:tcW w:w="1470" w:type="dxa"/>
            <w:tcMar>
              <w:top w:w="40" w:type="dxa"/>
              <w:left w:w="40" w:type="dxa"/>
              <w:bottom w:w="40" w:type="dxa"/>
              <w:right w:w="40" w:type="dxa"/>
            </w:tcMar>
            <w:vAlign w:val="bottom"/>
          </w:tcPr>
          <w:p w14:paraId="16C47402" w14:textId="77777777" w:rsidR="005A17CE" w:rsidRPr="006E2814" w:rsidRDefault="00D21FFE">
            <w:pPr>
              <w:jc w:val="right"/>
            </w:pPr>
            <w:r>
              <w:rPr>
                <w:sz w:val="20"/>
              </w:rPr>
              <w:t>4 (36,36 %)</w:t>
            </w:r>
          </w:p>
        </w:tc>
        <w:tc>
          <w:tcPr>
            <w:tcW w:w="1845" w:type="dxa"/>
            <w:tcMar>
              <w:top w:w="40" w:type="dxa"/>
              <w:left w:w="40" w:type="dxa"/>
              <w:bottom w:w="40" w:type="dxa"/>
              <w:right w:w="40" w:type="dxa"/>
            </w:tcMar>
            <w:vAlign w:val="bottom"/>
          </w:tcPr>
          <w:p w14:paraId="09A33D3B" w14:textId="77777777" w:rsidR="005A17CE" w:rsidRPr="006E2814" w:rsidRDefault="00D21FFE">
            <w:pPr>
              <w:jc w:val="right"/>
            </w:pPr>
            <w:r>
              <w:rPr>
                <w:sz w:val="20"/>
              </w:rPr>
              <w:t>3 (27,27 %)</w:t>
            </w:r>
          </w:p>
        </w:tc>
        <w:tc>
          <w:tcPr>
            <w:tcW w:w="2505" w:type="dxa"/>
            <w:tcMar>
              <w:top w:w="40" w:type="dxa"/>
              <w:left w:w="40" w:type="dxa"/>
              <w:bottom w:w="40" w:type="dxa"/>
              <w:right w:w="40" w:type="dxa"/>
            </w:tcMar>
            <w:vAlign w:val="bottom"/>
          </w:tcPr>
          <w:p w14:paraId="5670C55E" w14:textId="77777777" w:rsidR="005A17CE" w:rsidRPr="006E2814" w:rsidRDefault="00D21FFE">
            <w:pPr>
              <w:jc w:val="right"/>
            </w:pPr>
            <w:r>
              <w:rPr>
                <w:sz w:val="20"/>
              </w:rPr>
              <w:t>4 (36,36 %)</w:t>
            </w:r>
          </w:p>
        </w:tc>
      </w:tr>
      <w:tr w:rsidR="005A17CE" w14:paraId="4F7839C0" w14:textId="77777777" w:rsidTr="006E2814">
        <w:tc>
          <w:tcPr>
            <w:tcW w:w="2145" w:type="dxa"/>
            <w:tcMar>
              <w:top w:w="40" w:type="dxa"/>
              <w:left w:w="40" w:type="dxa"/>
              <w:bottom w:w="40" w:type="dxa"/>
              <w:right w:w="40" w:type="dxa"/>
            </w:tcMar>
            <w:vAlign w:val="bottom"/>
          </w:tcPr>
          <w:p w14:paraId="0F123458" w14:textId="77777777" w:rsidR="005A17CE" w:rsidRPr="006E2814" w:rsidRDefault="00D21FFE">
            <w:r>
              <w:rPr>
                <w:sz w:val="20"/>
              </w:rPr>
              <w:t>Bremen</w:t>
            </w:r>
          </w:p>
        </w:tc>
        <w:tc>
          <w:tcPr>
            <w:tcW w:w="1230" w:type="dxa"/>
            <w:tcMar>
              <w:top w:w="40" w:type="dxa"/>
              <w:left w:w="40" w:type="dxa"/>
              <w:bottom w:w="40" w:type="dxa"/>
              <w:right w:w="40" w:type="dxa"/>
            </w:tcMar>
            <w:vAlign w:val="bottom"/>
          </w:tcPr>
          <w:p w14:paraId="486EC665" w14:textId="77777777" w:rsidR="005A17CE" w:rsidRPr="006E2814" w:rsidRDefault="00D21FFE">
            <w:pPr>
              <w:jc w:val="right"/>
            </w:pPr>
            <w:r>
              <w:rPr>
                <w:sz w:val="20"/>
              </w:rPr>
              <w:t>2 (1,32 %)</w:t>
            </w:r>
          </w:p>
        </w:tc>
        <w:tc>
          <w:tcPr>
            <w:tcW w:w="1470" w:type="dxa"/>
            <w:tcMar>
              <w:top w:w="40" w:type="dxa"/>
              <w:left w:w="40" w:type="dxa"/>
              <w:bottom w:w="40" w:type="dxa"/>
              <w:right w:w="40" w:type="dxa"/>
            </w:tcMar>
            <w:vAlign w:val="bottom"/>
          </w:tcPr>
          <w:p w14:paraId="5CBDF3E5" w14:textId="77777777" w:rsidR="005A17CE" w:rsidRPr="006E2814" w:rsidRDefault="00D21FFE">
            <w:pPr>
              <w:jc w:val="right"/>
            </w:pPr>
            <w:r>
              <w:rPr>
                <w:sz w:val="20"/>
              </w:rPr>
              <w:t>1 (50,00 %)</w:t>
            </w:r>
          </w:p>
        </w:tc>
        <w:tc>
          <w:tcPr>
            <w:tcW w:w="1845" w:type="dxa"/>
            <w:tcMar>
              <w:top w:w="40" w:type="dxa"/>
              <w:left w:w="40" w:type="dxa"/>
              <w:bottom w:w="40" w:type="dxa"/>
              <w:right w:w="40" w:type="dxa"/>
            </w:tcMar>
            <w:vAlign w:val="bottom"/>
          </w:tcPr>
          <w:p w14:paraId="7E4284E9" w14:textId="77777777" w:rsidR="005A17CE" w:rsidRPr="006E2814" w:rsidRDefault="00D21FFE">
            <w:pPr>
              <w:jc w:val="right"/>
            </w:pPr>
            <w:r>
              <w:rPr>
                <w:sz w:val="20"/>
              </w:rPr>
              <w:t>0 (0,00 %)</w:t>
            </w:r>
          </w:p>
        </w:tc>
        <w:tc>
          <w:tcPr>
            <w:tcW w:w="2505" w:type="dxa"/>
            <w:tcMar>
              <w:top w:w="40" w:type="dxa"/>
              <w:left w:w="40" w:type="dxa"/>
              <w:bottom w:w="40" w:type="dxa"/>
              <w:right w:w="40" w:type="dxa"/>
            </w:tcMar>
            <w:vAlign w:val="bottom"/>
          </w:tcPr>
          <w:p w14:paraId="58F1CDFD" w14:textId="77777777" w:rsidR="005A17CE" w:rsidRPr="006E2814" w:rsidRDefault="00D21FFE">
            <w:pPr>
              <w:jc w:val="right"/>
            </w:pPr>
            <w:r>
              <w:rPr>
                <w:sz w:val="20"/>
              </w:rPr>
              <w:t>1 (50,00 %)</w:t>
            </w:r>
          </w:p>
        </w:tc>
      </w:tr>
      <w:tr w:rsidR="005A17CE" w14:paraId="746EF0D0" w14:textId="77777777" w:rsidTr="006E2814">
        <w:tc>
          <w:tcPr>
            <w:tcW w:w="2145" w:type="dxa"/>
            <w:tcMar>
              <w:top w:w="40" w:type="dxa"/>
              <w:left w:w="40" w:type="dxa"/>
              <w:bottom w:w="40" w:type="dxa"/>
              <w:right w:w="40" w:type="dxa"/>
            </w:tcMar>
            <w:vAlign w:val="bottom"/>
          </w:tcPr>
          <w:p w14:paraId="524C6898" w14:textId="77777777" w:rsidR="005A17CE" w:rsidRPr="006E2814" w:rsidRDefault="00D21FFE">
            <w:r>
              <w:rPr>
                <w:sz w:val="20"/>
              </w:rPr>
              <w:t>Hamburg</w:t>
            </w:r>
          </w:p>
        </w:tc>
        <w:tc>
          <w:tcPr>
            <w:tcW w:w="1230" w:type="dxa"/>
            <w:tcMar>
              <w:top w:w="40" w:type="dxa"/>
              <w:left w:w="40" w:type="dxa"/>
              <w:bottom w:w="40" w:type="dxa"/>
              <w:right w:w="40" w:type="dxa"/>
            </w:tcMar>
            <w:vAlign w:val="bottom"/>
          </w:tcPr>
          <w:p w14:paraId="585573FF" w14:textId="77777777" w:rsidR="005A17CE" w:rsidRPr="006E2814" w:rsidRDefault="00D21FFE">
            <w:pPr>
              <w:jc w:val="right"/>
            </w:pPr>
            <w:r>
              <w:rPr>
                <w:sz w:val="20"/>
              </w:rPr>
              <w:t>5 (3,29 %)</w:t>
            </w:r>
          </w:p>
        </w:tc>
        <w:tc>
          <w:tcPr>
            <w:tcW w:w="1470" w:type="dxa"/>
            <w:tcMar>
              <w:top w:w="40" w:type="dxa"/>
              <w:left w:w="40" w:type="dxa"/>
              <w:bottom w:w="40" w:type="dxa"/>
              <w:right w:w="40" w:type="dxa"/>
            </w:tcMar>
            <w:vAlign w:val="bottom"/>
          </w:tcPr>
          <w:p w14:paraId="614FE33D" w14:textId="77777777" w:rsidR="005A17CE" w:rsidRPr="006E2814" w:rsidRDefault="00D21FFE">
            <w:pPr>
              <w:jc w:val="right"/>
            </w:pPr>
            <w:r>
              <w:rPr>
                <w:sz w:val="20"/>
              </w:rPr>
              <w:t>3 (60,00 %)</w:t>
            </w:r>
          </w:p>
        </w:tc>
        <w:tc>
          <w:tcPr>
            <w:tcW w:w="1845" w:type="dxa"/>
            <w:tcMar>
              <w:top w:w="40" w:type="dxa"/>
              <w:left w:w="40" w:type="dxa"/>
              <w:bottom w:w="40" w:type="dxa"/>
              <w:right w:w="40" w:type="dxa"/>
            </w:tcMar>
            <w:vAlign w:val="bottom"/>
          </w:tcPr>
          <w:p w14:paraId="50CD80B0" w14:textId="77777777" w:rsidR="005A17CE" w:rsidRPr="006E2814" w:rsidRDefault="00D21FFE">
            <w:pPr>
              <w:jc w:val="right"/>
            </w:pPr>
            <w:r>
              <w:rPr>
                <w:sz w:val="20"/>
              </w:rPr>
              <w:t>0 (0,00 %)</w:t>
            </w:r>
          </w:p>
        </w:tc>
        <w:tc>
          <w:tcPr>
            <w:tcW w:w="2505" w:type="dxa"/>
            <w:tcMar>
              <w:top w:w="40" w:type="dxa"/>
              <w:left w:w="40" w:type="dxa"/>
              <w:bottom w:w="40" w:type="dxa"/>
              <w:right w:w="40" w:type="dxa"/>
            </w:tcMar>
            <w:vAlign w:val="bottom"/>
          </w:tcPr>
          <w:p w14:paraId="76CEBE7E" w14:textId="77777777" w:rsidR="005A17CE" w:rsidRPr="006E2814" w:rsidRDefault="00D21FFE">
            <w:pPr>
              <w:jc w:val="right"/>
            </w:pPr>
            <w:r>
              <w:rPr>
                <w:sz w:val="20"/>
              </w:rPr>
              <w:t>2 (40,00 %)</w:t>
            </w:r>
          </w:p>
        </w:tc>
      </w:tr>
      <w:tr w:rsidR="005A17CE" w14:paraId="6E9C7C29" w14:textId="77777777" w:rsidTr="006E2814">
        <w:tc>
          <w:tcPr>
            <w:tcW w:w="2145" w:type="dxa"/>
            <w:tcMar>
              <w:top w:w="40" w:type="dxa"/>
              <w:left w:w="40" w:type="dxa"/>
              <w:bottom w:w="40" w:type="dxa"/>
              <w:right w:w="40" w:type="dxa"/>
            </w:tcMar>
            <w:vAlign w:val="bottom"/>
          </w:tcPr>
          <w:p w14:paraId="5F19644E" w14:textId="77777777" w:rsidR="005A17CE" w:rsidRPr="006E2814" w:rsidRDefault="00D21FFE">
            <w:r>
              <w:rPr>
                <w:sz w:val="20"/>
              </w:rPr>
              <w:t>Hessen</w:t>
            </w:r>
          </w:p>
        </w:tc>
        <w:tc>
          <w:tcPr>
            <w:tcW w:w="1230" w:type="dxa"/>
            <w:tcMar>
              <w:top w:w="40" w:type="dxa"/>
              <w:left w:w="40" w:type="dxa"/>
              <w:bottom w:w="40" w:type="dxa"/>
              <w:right w:w="40" w:type="dxa"/>
            </w:tcMar>
            <w:vAlign w:val="bottom"/>
          </w:tcPr>
          <w:p w14:paraId="6C29F134" w14:textId="77777777" w:rsidR="005A17CE" w:rsidRPr="006E2814" w:rsidRDefault="00D21FFE">
            <w:pPr>
              <w:jc w:val="right"/>
            </w:pPr>
            <w:r>
              <w:rPr>
                <w:sz w:val="20"/>
              </w:rPr>
              <w:t>7 (4,61 %)</w:t>
            </w:r>
          </w:p>
        </w:tc>
        <w:tc>
          <w:tcPr>
            <w:tcW w:w="1470" w:type="dxa"/>
            <w:tcMar>
              <w:top w:w="40" w:type="dxa"/>
              <w:left w:w="40" w:type="dxa"/>
              <w:bottom w:w="40" w:type="dxa"/>
              <w:right w:w="40" w:type="dxa"/>
            </w:tcMar>
            <w:vAlign w:val="bottom"/>
          </w:tcPr>
          <w:p w14:paraId="2017552C" w14:textId="77777777" w:rsidR="005A17CE" w:rsidRPr="006E2814" w:rsidRDefault="00D21FFE">
            <w:pPr>
              <w:jc w:val="right"/>
            </w:pPr>
            <w:r>
              <w:rPr>
                <w:sz w:val="20"/>
              </w:rPr>
              <w:t>5 (71,43 %)</w:t>
            </w:r>
          </w:p>
        </w:tc>
        <w:tc>
          <w:tcPr>
            <w:tcW w:w="1845" w:type="dxa"/>
            <w:tcMar>
              <w:top w:w="40" w:type="dxa"/>
              <w:left w:w="40" w:type="dxa"/>
              <w:bottom w:w="40" w:type="dxa"/>
              <w:right w:w="40" w:type="dxa"/>
            </w:tcMar>
            <w:vAlign w:val="bottom"/>
          </w:tcPr>
          <w:p w14:paraId="3A2B476F" w14:textId="77777777" w:rsidR="005A17CE" w:rsidRPr="006E2814" w:rsidRDefault="00D21FFE">
            <w:pPr>
              <w:jc w:val="right"/>
            </w:pPr>
            <w:r>
              <w:rPr>
                <w:sz w:val="20"/>
              </w:rPr>
              <w:t>1 (14,29 %)</w:t>
            </w:r>
          </w:p>
        </w:tc>
        <w:tc>
          <w:tcPr>
            <w:tcW w:w="2505" w:type="dxa"/>
            <w:tcMar>
              <w:top w:w="40" w:type="dxa"/>
              <w:left w:w="40" w:type="dxa"/>
              <w:bottom w:w="40" w:type="dxa"/>
              <w:right w:w="40" w:type="dxa"/>
            </w:tcMar>
            <w:vAlign w:val="bottom"/>
          </w:tcPr>
          <w:p w14:paraId="29604DFC" w14:textId="77777777" w:rsidR="005A17CE" w:rsidRPr="006E2814" w:rsidRDefault="00D21FFE">
            <w:pPr>
              <w:jc w:val="right"/>
            </w:pPr>
            <w:r>
              <w:rPr>
                <w:sz w:val="20"/>
              </w:rPr>
              <w:t>1 (14,29 %)</w:t>
            </w:r>
          </w:p>
        </w:tc>
      </w:tr>
      <w:tr w:rsidR="005A17CE" w14:paraId="725E71DA" w14:textId="77777777" w:rsidTr="006E2814">
        <w:tc>
          <w:tcPr>
            <w:tcW w:w="2145" w:type="dxa"/>
            <w:tcMar>
              <w:top w:w="40" w:type="dxa"/>
              <w:left w:w="40" w:type="dxa"/>
              <w:bottom w:w="40" w:type="dxa"/>
              <w:right w:w="40" w:type="dxa"/>
            </w:tcMar>
            <w:vAlign w:val="bottom"/>
          </w:tcPr>
          <w:p w14:paraId="045412E8" w14:textId="77777777" w:rsidR="005A17CE" w:rsidRPr="006E2814" w:rsidRDefault="00D21FFE">
            <w:r>
              <w:rPr>
                <w:sz w:val="20"/>
              </w:rPr>
              <w:t>Niedersachsen</w:t>
            </w:r>
          </w:p>
        </w:tc>
        <w:tc>
          <w:tcPr>
            <w:tcW w:w="1230" w:type="dxa"/>
            <w:tcMar>
              <w:top w:w="40" w:type="dxa"/>
              <w:left w:w="40" w:type="dxa"/>
              <w:bottom w:w="40" w:type="dxa"/>
              <w:right w:w="40" w:type="dxa"/>
            </w:tcMar>
            <w:vAlign w:val="bottom"/>
          </w:tcPr>
          <w:p w14:paraId="2865F1E0" w14:textId="77777777" w:rsidR="005A17CE" w:rsidRPr="006E2814" w:rsidRDefault="00D21FFE">
            <w:pPr>
              <w:jc w:val="right"/>
            </w:pPr>
            <w:r>
              <w:rPr>
                <w:sz w:val="20"/>
              </w:rPr>
              <w:t>12 (7,89 %)</w:t>
            </w:r>
          </w:p>
        </w:tc>
        <w:tc>
          <w:tcPr>
            <w:tcW w:w="1470" w:type="dxa"/>
            <w:tcMar>
              <w:top w:w="40" w:type="dxa"/>
              <w:left w:w="40" w:type="dxa"/>
              <w:bottom w:w="40" w:type="dxa"/>
              <w:right w:w="40" w:type="dxa"/>
            </w:tcMar>
            <w:vAlign w:val="bottom"/>
          </w:tcPr>
          <w:p w14:paraId="69FCDC90" w14:textId="77777777" w:rsidR="005A17CE" w:rsidRPr="006E2814" w:rsidRDefault="00D21FFE">
            <w:pPr>
              <w:jc w:val="right"/>
            </w:pPr>
            <w:r>
              <w:rPr>
                <w:sz w:val="20"/>
              </w:rPr>
              <w:t>6 (50,00 %)</w:t>
            </w:r>
          </w:p>
        </w:tc>
        <w:tc>
          <w:tcPr>
            <w:tcW w:w="1845" w:type="dxa"/>
            <w:tcMar>
              <w:top w:w="40" w:type="dxa"/>
              <w:left w:w="40" w:type="dxa"/>
              <w:bottom w:w="40" w:type="dxa"/>
              <w:right w:w="40" w:type="dxa"/>
            </w:tcMar>
            <w:vAlign w:val="bottom"/>
          </w:tcPr>
          <w:p w14:paraId="24A67760" w14:textId="77777777" w:rsidR="005A17CE" w:rsidRPr="006E2814" w:rsidRDefault="00D21FFE">
            <w:pPr>
              <w:jc w:val="right"/>
            </w:pPr>
            <w:r>
              <w:rPr>
                <w:sz w:val="20"/>
              </w:rPr>
              <w:t>2 (16,67 %)</w:t>
            </w:r>
          </w:p>
        </w:tc>
        <w:tc>
          <w:tcPr>
            <w:tcW w:w="2505" w:type="dxa"/>
            <w:tcMar>
              <w:top w:w="40" w:type="dxa"/>
              <w:left w:w="40" w:type="dxa"/>
              <w:bottom w:w="40" w:type="dxa"/>
              <w:right w:w="40" w:type="dxa"/>
            </w:tcMar>
            <w:vAlign w:val="bottom"/>
          </w:tcPr>
          <w:p w14:paraId="213E6968" w14:textId="77777777" w:rsidR="005A17CE" w:rsidRPr="006E2814" w:rsidRDefault="00D21FFE">
            <w:pPr>
              <w:jc w:val="right"/>
            </w:pPr>
            <w:r>
              <w:rPr>
                <w:sz w:val="20"/>
              </w:rPr>
              <w:t>4 (33,33 %)</w:t>
            </w:r>
          </w:p>
        </w:tc>
      </w:tr>
      <w:tr w:rsidR="005A17CE" w14:paraId="121402B7" w14:textId="77777777" w:rsidTr="006E2814">
        <w:tc>
          <w:tcPr>
            <w:tcW w:w="2145" w:type="dxa"/>
            <w:tcMar>
              <w:top w:w="40" w:type="dxa"/>
              <w:left w:w="40" w:type="dxa"/>
              <w:bottom w:w="40" w:type="dxa"/>
              <w:right w:w="40" w:type="dxa"/>
            </w:tcMar>
            <w:vAlign w:val="bottom"/>
          </w:tcPr>
          <w:p w14:paraId="2C42A571" w14:textId="77777777" w:rsidR="005A17CE" w:rsidRPr="006E2814" w:rsidRDefault="00D21FFE">
            <w:r>
              <w:rPr>
                <w:sz w:val="20"/>
              </w:rPr>
              <w:t>Nordrhein-Westfalen</w:t>
            </w:r>
          </w:p>
        </w:tc>
        <w:tc>
          <w:tcPr>
            <w:tcW w:w="1230" w:type="dxa"/>
            <w:tcMar>
              <w:top w:w="40" w:type="dxa"/>
              <w:left w:w="40" w:type="dxa"/>
              <w:bottom w:w="40" w:type="dxa"/>
              <w:right w:w="40" w:type="dxa"/>
            </w:tcMar>
            <w:vAlign w:val="bottom"/>
          </w:tcPr>
          <w:p w14:paraId="13D1B399" w14:textId="77777777" w:rsidR="005A17CE" w:rsidRPr="006E2814" w:rsidRDefault="00D21FFE">
            <w:pPr>
              <w:jc w:val="right"/>
            </w:pPr>
            <w:r>
              <w:rPr>
                <w:sz w:val="20"/>
              </w:rPr>
              <w:t>29 (19,08 %)</w:t>
            </w:r>
          </w:p>
        </w:tc>
        <w:tc>
          <w:tcPr>
            <w:tcW w:w="1470" w:type="dxa"/>
            <w:tcMar>
              <w:top w:w="40" w:type="dxa"/>
              <w:left w:w="40" w:type="dxa"/>
              <w:bottom w:w="40" w:type="dxa"/>
              <w:right w:w="40" w:type="dxa"/>
            </w:tcMar>
            <w:vAlign w:val="bottom"/>
          </w:tcPr>
          <w:p w14:paraId="6EE3BC5C" w14:textId="77777777" w:rsidR="005A17CE" w:rsidRPr="006E2814" w:rsidRDefault="00D21FFE">
            <w:pPr>
              <w:jc w:val="right"/>
            </w:pPr>
            <w:r>
              <w:rPr>
                <w:sz w:val="20"/>
              </w:rPr>
              <w:t>14 (48,28 %)</w:t>
            </w:r>
          </w:p>
        </w:tc>
        <w:tc>
          <w:tcPr>
            <w:tcW w:w="1845" w:type="dxa"/>
            <w:tcMar>
              <w:top w:w="40" w:type="dxa"/>
              <w:left w:w="40" w:type="dxa"/>
              <w:bottom w:w="40" w:type="dxa"/>
              <w:right w:w="40" w:type="dxa"/>
            </w:tcMar>
            <w:vAlign w:val="bottom"/>
          </w:tcPr>
          <w:p w14:paraId="31BE1613" w14:textId="77777777" w:rsidR="005A17CE" w:rsidRPr="006E2814" w:rsidRDefault="00D21FFE">
            <w:pPr>
              <w:jc w:val="right"/>
            </w:pPr>
            <w:r>
              <w:rPr>
                <w:sz w:val="20"/>
              </w:rPr>
              <w:t>7 (24,14 %)</w:t>
            </w:r>
          </w:p>
        </w:tc>
        <w:tc>
          <w:tcPr>
            <w:tcW w:w="2505" w:type="dxa"/>
            <w:tcMar>
              <w:top w:w="40" w:type="dxa"/>
              <w:left w:w="40" w:type="dxa"/>
              <w:bottom w:w="40" w:type="dxa"/>
              <w:right w:w="40" w:type="dxa"/>
            </w:tcMar>
            <w:vAlign w:val="bottom"/>
          </w:tcPr>
          <w:p w14:paraId="6461AC18" w14:textId="77777777" w:rsidR="005A17CE" w:rsidRPr="006E2814" w:rsidRDefault="00D21FFE">
            <w:pPr>
              <w:jc w:val="right"/>
            </w:pPr>
            <w:r>
              <w:rPr>
                <w:sz w:val="20"/>
              </w:rPr>
              <w:t>8 (27,59 %)</w:t>
            </w:r>
          </w:p>
        </w:tc>
      </w:tr>
      <w:tr w:rsidR="005A17CE" w14:paraId="5AB26DC2" w14:textId="77777777" w:rsidTr="006E2814">
        <w:tc>
          <w:tcPr>
            <w:tcW w:w="2145" w:type="dxa"/>
            <w:tcMar>
              <w:top w:w="40" w:type="dxa"/>
              <w:left w:w="40" w:type="dxa"/>
              <w:bottom w:w="40" w:type="dxa"/>
              <w:right w:w="40" w:type="dxa"/>
            </w:tcMar>
            <w:vAlign w:val="bottom"/>
          </w:tcPr>
          <w:p w14:paraId="24B8F2D6" w14:textId="77777777" w:rsidR="005A17CE" w:rsidRPr="006E2814" w:rsidRDefault="00D21FFE">
            <w:r>
              <w:rPr>
                <w:sz w:val="20"/>
              </w:rPr>
              <w:t>Rheinland-Pfalz</w:t>
            </w:r>
          </w:p>
        </w:tc>
        <w:tc>
          <w:tcPr>
            <w:tcW w:w="1230" w:type="dxa"/>
            <w:tcMar>
              <w:top w:w="40" w:type="dxa"/>
              <w:left w:w="40" w:type="dxa"/>
              <w:bottom w:w="40" w:type="dxa"/>
              <w:right w:w="40" w:type="dxa"/>
            </w:tcMar>
            <w:vAlign w:val="bottom"/>
          </w:tcPr>
          <w:p w14:paraId="6648B2BD" w14:textId="77777777" w:rsidR="005A17CE" w:rsidRPr="006E2814" w:rsidRDefault="00D21FFE">
            <w:pPr>
              <w:jc w:val="right"/>
            </w:pPr>
            <w:r>
              <w:rPr>
                <w:sz w:val="20"/>
              </w:rPr>
              <w:t>4 (2,63 %)</w:t>
            </w:r>
          </w:p>
        </w:tc>
        <w:tc>
          <w:tcPr>
            <w:tcW w:w="1470" w:type="dxa"/>
            <w:tcMar>
              <w:top w:w="40" w:type="dxa"/>
              <w:left w:w="40" w:type="dxa"/>
              <w:bottom w:w="40" w:type="dxa"/>
              <w:right w:w="40" w:type="dxa"/>
            </w:tcMar>
            <w:vAlign w:val="bottom"/>
          </w:tcPr>
          <w:p w14:paraId="0DFDE2F1" w14:textId="77777777" w:rsidR="005A17CE" w:rsidRPr="006E2814" w:rsidRDefault="00D21FFE">
            <w:pPr>
              <w:jc w:val="right"/>
            </w:pPr>
            <w:r>
              <w:rPr>
                <w:sz w:val="20"/>
              </w:rPr>
              <w:t>4 (100,00 %)</w:t>
            </w:r>
          </w:p>
        </w:tc>
        <w:tc>
          <w:tcPr>
            <w:tcW w:w="1845" w:type="dxa"/>
            <w:tcMar>
              <w:top w:w="40" w:type="dxa"/>
              <w:left w:w="40" w:type="dxa"/>
              <w:bottom w:w="40" w:type="dxa"/>
              <w:right w:w="40" w:type="dxa"/>
            </w:tcMar>
            <w:vAlign w:val="bottom"/>
          </w:tcPr>
          <w:p w14:paraId="5FF7E8B4" w14:textId="77777777" w:rsidR="005A17CE" w:rsidRPr="006E2814" w:rsidRDefault="00D21FFE">
            <w:pPr>
              <w:jc w:val="right"/>
            </w:pPr>
            <w:r>
              <w:rPr>
                <w:sz w:val="20"/>
              </w:rPr>
              <w:t>0 (0,00 %)</w:t>
            </w:r>
          </w:p>
        </w:tc>
        <w:tc>
          <w:tcPr>
            <w:tcW w:w="2505" w:type="dxa"/>
            <w:tcMar>
              <w:top w:w="40" w:type="dxa"/>
              <w:left w:w="40" w:type="dxa"/>
              <w:bottom w:w="40" w:type="dxa"/>
              <w:right w:w="40" w:type="dxa"/>
            </w:tcMar>
            <w:vAlign w:val="bottom"/>
          </w:tcPr>
          <w:p w14:paraId="44A72139" w14:textId="77777777" w:rsidR="005A17CE" w:rsidRPr="006E2814" w:rsidRDefault="00D21FFE">
            <w:pPr>
              <w:jc w:val="right"/>
            </w:pPr>
            <w:r>
              <w:rPr>
                <w:sz w:val="20"/>
              </w:rPr>
              <w:t>0 (0,00 %)</w:t>
            </w:r>
          </w:p>
        </w:tc>
      </w:tr>
      <w:tr w:rsidR="005A17CE" w14:paraId="00B911FD" w14:textId="77777777" w:rsidTr="006E2814">
        <w:tc>
          <w:tcPr>
            <w:tcW w:w="2145" w:type="dxa"/>
            <w:tcMar>
              <w:top w:w="40" w:type="dxa"/>
              <w:left w:w="40" w:type="dxa"/>
              <w:bottom w:w="40" w:type="dxa"/>
              <w:right w:w="40" w:type="dxa"/>
            </w:tcMar>
            <w:vAlign w:val="bottom"/>
          </w:tcPr>
          <w:p w14:paraId="0A299474" w14:textId="77777777" w:rsidR="005A17CE" w:rsidRPr="006E2814" w:rsidRDefault="00D21FFE">
            <w:r>
              <w:rPr>
                <w:sz w:val="20"/>
              </w:rPr>
              <w:t>Saarland</w:t>
            </w:r>
          </w:p>
        </w:tc>
        <w:tc>
          <w:tcPr>
            <w:tcW w:w="1230" w:type="dxa"/>
            <w:tcMar>
              <w:top w:w="40" w:type="dxa"/>
              <w:left w:w="40" w:type="dxa"/>
              <w:bottom w:w="40" w:type="dxa"/>
              <w:right w:w="40" w:type="dxa"/>
            </w:tcMar>
            <w:vAlign w:val="bottom"/>
          </w:tcPr>
          <w:p w14:paraId="7830EBF8" w14:textId="77777777" w:rsidR="005A17CE" w:rsidRPr="006E2814" w:rsidRDefault="00D21FFE">
            <w:pPr>
              <w:jc w:val="right"/>
            </w:pPr>
            <w:r>
              <w:rPr>
                <w:sz w:val="20"/>
              </w:rPr>
              <w:t>3 (1,97 %)</w:t>
            </w:r>
          </w:p>
        </w:tc>
        <w:tc>
          <w:tcPr>
            <w:tcW w:w="1470" w:type="dxa"/>
            <w:tcMar>
              <w:top w:w="40" w:type="dxa"/>
              <w:left w:w="40" w:type="dxa"/>
              <w:bottom w:w="40" w:type="dxa"/>
              <w:right w:w="40" w:type="dxa"/>
            </w:tcMar>
            <w:vAlign w:val="bottom"/>
          </w:tcPr>
          <w:p w14:paraId="07D99464" w14:textId="77777777" w:rsidR="005A17CE" w:rsidRPr="006E2814" w:rsidRDefault="00D21FFE">
            <w:pPr>
              <w:jc w:val="right"/>
            </w:pPr>
            <w:r>
              <w:rPr>
                <w:sz w:val="20"/>
              </w:rPr>
              <w:t>2 (66,67 %)</w:t>
            </w:r>
          </w:p>
        </w:tc>
        <w:tc>
          <w:tcPr>
            <w:tcW w:w="1845" w:type="dxa"/>
            <w:tcMar>
              <w:top w:w="40" w:type="dxa"/>
              <w:left w:w="40" w:type="dxa"/>
              <w:bottom w:w="40" w:type="dxa"/>
              <w:right w:w="40" w:type="dxa"/>
            </w:tcMar>
            <w:vAlign w:val="bottom"/>
          </w:tcPr>
          <w:p w14:paraId="411E6737" w14:textId="77777777" w:rsidR="005A17CE" w:rsidRPr="006E2814" w:rsidRDefault="00D21FFE">
            <w:pPr>
              <w:jc w:val="right"/>
            </w:pPr>
            <w:r>
              <w:rPr>
                <w:sz w:val="20"/>
              </w:rPr>
              <w:t>0 (0,00 %)</w:t>
            </w:r>
          </w:p>
        </w:tc>
        <w:tc>
          <w:tcPr>
            <w:tcW w:w="2505" w:type="dxa"/>
            <w:tcMar>
              <w:top w:w="40" w:type="dxa"/>
              <w:left w:w="40" w:type="dxa"/>
              <w:bottom w:w="40" w:type="dxa"/>
              <w:right w:w="40" w:type="dxa"/>
            </w:tcMar>
            <w:vAlign w:val="bottom"/>
          </w:tcPr>
          <w:p w14:paraId="466A8D3C" w14:textId="77777777" w:rsidR="005A17CE" w:rsidRPr="006E2814" w:rsidRDefault="00D21FFE">
            <w:pPr>
              <w:jc w:val="right"/>
            </w:pPr>
            <w:r>
              <w:rPr>
                <w:sz w:val="20"/>
              </w:rPr>
              <w:t>1 (33,33 %)</w:t>
            </w:r>
          </w:p>
        </w:tc>
      </w:tr>
      <w:tr w:rsidR="005A17CE" w14:paraId="442A89F8" w14:textId="77777777" w:rsidTr="006E2814">
        <w:tc>
          <w:tcPr>
            <w:tcW w:w="2145" w:type="dxa"/>
            <w:tcMar>
              <w:top w:w="40" w:type="dxa"/>
              <w:left w:w="40" w:type="dxa"/>
              <w:bottom w:w="40" w:type="dxa"/>
              <w:right w:w="40" w:type="dxa"/>
            </w:tcMar>
            <w:vAlign w:val="bottom"/>
          </w:tcPr>
          <w:p w14:paraId="56F3CC8F" w14:textId="77777777" w:rsidR="005A17CE" w:rsidRPr="006E2814" w:rsidRDefault="00D21FFE">
            <w:r>
              <w:rPr>
                <w:sz w:val="20"/>
              </w:rPr>
              <w:t>Sachsen</w:t>
            </w:r>
          </w:p>
        </w:tc>
        <w:tc>
          <w:tcPr>
            <w:tcW w:w="1230" w:type="dxa"/>
            <w:tcMar>
              <w:top w:w="40" w:type="dxa"/>
              <w:left w:w="40" w:type="dxa"/>
              <w:bottom w:w="40" w:type="dxa"/>
              <w:right w:w="40" w:type="dxa"/>
            </w:tcMar>
            <w:vAlign w:val="bottom"/>
          </w:tcPr>
          <w:p w14:paraId="61FB65E3" w14:textId="77777777" w:rsidR="005A17CE" w:rsidRPr="006E2814" w:rsidRDefault="00D21FFE">
            <w:pPr>
              <w:jc w:val="right"/>
            </w:pPr>
            <w:r>
              <w:rPr>
                <w:sz w:val="20"/>
              </w:rPr>
              <w:t>8 (5,26 %)</w:t>
            </w:r>
          </w:p>
        </w:tc>
        <w:tc>
          <w:tcPr>
            <w:tcW w:w="1470" w:type="dxa"/>
            <w:tcMar>
              <w:top w:w="40" w:type="dxa"/>
              <w:left w:w="40" w:type="dxa"/>
              <w:bottom w:w="40" w:type="dxa"/>
              <w:right w:w="40" w:type="dxa"/>
            </w:tcMar>
            <w:vAlign w:val="bottom"/>
          </w:tcPr>
          <w:p w14:paraId="048095E7" w14:textId="77777777" w:rsidR="005A17CE" w:rsidRPr="006E2814" w:rsidRDefault="00D21FFE">
            <w:pPr>
              <w:jc w:val="right"/>
            </w:pPr>
            <w:r>
              <w:rPr>
                <w:sz w:val="20"/>
              </w:rPr>
              <w:t>6 (75,00 %)</w:t>
            </w:r>
          </w:p>
        </w:tc>
        <w:tc>
          <w:tcPr>
            <w:tcW w:w="1845" w:type="dxa"/>
            <w:tcMar>
              <w:top w:w="40" w:type="dxa"/>
              <w:left w:w="40" w:type="dxa"/>
              <w:bottom w:w="40" w:type="dxa"/>
              <w:right w:w="40" w:type="dxa"/>
            </w:tcMar>
            <w:vAlign w:val="bottom"/>
          </w:tcPr>
          <w:p w14:paraId="540369A0" w14:textId="77777777" w:rsidR="005A17CE" w:rsidRPr="006E2814" w:rsidRDefault="00D21FFE">
            <w:pPr>
              <w:jc w:val="right"/>
            </w:pPr>
            <w:r>
              <w:rPr>
                <w:sz w:val="20"/>
              </w:rPr>
              <w:t>1 (12,50 %)</w:t>
            </w:r>
          </w:p>
        </w:tc>
        <w:tc>
          <w:tcPr>
            <w:tcW w:w="2505" w:type="dxa"/>
            <w:tcMar>
              <w:top w:w="40" w:type="dxa"/>
              <w:left w:w="40" w:type="dxa"/>
              <w:bottom w:w="40" w:type="dxa"/>
              <w:right w:w="40" w:type="dxa"/>
            </w:tcMar>
            <w:vAlign w:val="bottom"/>
          </w:tcPr>
          <w:p w14:paraId="21F80D7F" w14:textId="77777777" w:rsidR="005A17CE" w:rsidRPr="006E2814" w:rsidRDefault="00D21FFE">
            <w:pPr>
              <w:jc w:val="right"/>
            </w:pPr>
            <w:r>
              <w:rPr>
                <w:sz w:val="20"/>
              </w:rPr>
              <w:t>1 (12,50 %)</w:t>
            </w:r>
          </w:p>
        </w:tc>
      </w:tr>
      <w:tr w:rsidR="005A17CE" w14:paraId="0A62E79A" w14:textId="77777777" w:rsidTr="006E2814">
        <w:tc>
          <w:tcPr>
            <w:tcW w:w="2145" w:type="dxa"/>
            <w:tcMar>
              <w:top w:w="40" w:type="dxa"/>
              <w:left w:w="40" w:type="dxa"/>
              <w:bottom w:w="40" w:type="dxa"/>
              <w:right w:w="40" w:type="dxa"/>
            </w:tcMar>
            <w:vAlign w:val="bottom"/>
          </w:tcPr>
          <w:p w14:paraId="2EFBB7DA" w14:textId="77777777" w:rsidR="005A17CE" w:rsidRPr="006E2814" w:rsidRDefault="00D21FFE">
            <w:r>
              <w:rPr>
                <w:sz w:val="20"/>
              </w:rPr>
              <w:t>Sachsen-Anhalt</w:t>
            </w:r>
          </w:p>
        </w:tc>
        <w:tc>
          <w:tcPr>
            <w:tcW w:w="1230" w:type="dxa"/>
            <w:tcMar>
              <w:top w:w="40" w:type="dxa"/>
              <w:left w:w="40" w:type="dxa"/>
              <w:bottom w:w="40" w:type="dxa"/>
              <w:right w:w="40" w:type="dxa"/>
            </w:tcMar>
            <w:vAlign w:val="bottom"/>
          </w:tcPr>
          <w:p w14:paraId="09C8E7FC" w14:textId="77777777" w:rsidR="005A17CE" w:rsidRPr="006E2814" w:rsidRDefault="00D21FFE">
            <w:pPr>
              <w:jc w:val="right"/>
            </w:pPr>
            <w:r>
              <w:rPr>
                <w:sz w:val="20"/>
              </w:rPr>
              <w:t>2 (1,32 %)</w:t>
            </w:r>
          </w:p>
        </w:tc>
        <w:tc>
          <w:tcPr>
            <w:tcW w:w="1470" w:type="dxa"/>
            <w:tcMar>
              <w:top w:w="40" w:type="dxa"/>
              <w:left w:w="40" w:type="dxa"/>
              <w:bottom w:w="40" w:type="dxa"/>
              <w:right w:w="40" w:type="dxa"/>
            </w:tcMar>
            <w:vAlign w:val="bottom"/>
          </w:tcPr>
          <w:p w14:paraId="7B787474" w14:textId="77777777" w:rsidR="005A17CE" w:rsidRPr="006E2814" w:rsidRDefault="00D21FFE">
            <w:pPr>
              <w:jc w:val="right"/>
            </w:pPr>
            <w:r>
              <w:rPr>
                <w:sz w:val="20"/>
              </w:rPr>
              <w:t>1 (50,00 %)</w:t>
            </w:r>
          </w:p>
        </w:tc>
        <w:tc>
          <w:tcPr>
            <w:tcW w:w="1845" w:type="dxa"/>
            <w:tcMar>
              <w:top w:w="40" w:type="dxa"/>
              <w:left w:w="40" w:type="dxa"/>
              <w:bottom w:w="40" w:type="dxa"/>
              <w:right w:w="40" w:type="dxa"/>
            </w:tcMar>
            <w:vAlign w:val="bottom"/>
          </w:tcPr>
          <w:p w14:paraId="57187209" w14:textId="77777777" w:rsidR="005A17CE" w:rsidRPr="006E2814" w:rsidRDefault="00D21FFE">
            <w:pPr>
              <w:jc w:val="right"/>
            </w:pPr>
            <w:r>
              <w:rPr>
                <w:sz w:val="20"/>
              </w:rPr>
              <w:t>0 (0,00 %)</w:t>
            </w:r>
          </w:p>
        </w:tc>
        <w:tc>
          <w:tcPr>
            <w:tcW w:w="2505" w:type="dxa"/>
            <w:tcMar>
              <w:top w:w="40" w:type="dxa"/>
              <w:left w:w="40" w:type="dxa"/>
              <w:bottom w:w="40" w:type="dxa"/>
              <w:right w:w="40" w:type="dxa"/>
            </w:tcMar>
            <w:vAlign w:val="bottom"/>
          </w:tcPr>
          <w:p w14:paraId="5FDBB2B0" w14:textId="77777777" w:rsidR="005A17CE" w:rsidRPr="006E2814" w:rsidRDefault="00D21FFE">
            <w:pPr>
              <w:jc w:val="right"/>
            </w:pPr>
            <w:r>
              <w:rPr>
                <w:sz w:val="20"/>
              </w:rPr>
              <w:t>1 (50,00 %)</w:t>
            </w:r>
          </w:p>
        </w:tc>
      </w:tr>
      <w:tr w:rsidR="005A17CE" w14:paraId="78123E8E" w14:textId="77777777" w:rsidTr="006E2814">
        <w:tc>
          <w:tcPr>
            <w:tcW w:w="2145" w:type="dxa"/>
            <w:tcMar>
              <w:top w:w="40" w:type="dxa"/>
              <w:left w:w="40" w:type="dxa"/>
              <w:bottom w:w="40" w:type="dxa"/>
              <w:right w:w="40" w:type="dxa"/>
            </w:tcMar>
            <w:vAlign w:val="bottom"/>
          </w:tcPr>
          <w:p w14:paraId="0F5BB45F" w14:textId="77777777" w:rsidR="005A17CE" w:rsidRPr="006E2814" w:rsidRDefault="00D21FFE">
            <w:r>
              <w:rPr>
                <w:sz w:val="20"/>
              </w:rPr>
              <w:t>Schleswig-Holstein</w:t>
            </w:r>
          </w:p>
        </w:tc>
        <w:tc>
          <w:tcPr>
            <w:tcW w:w="1230" w:type="dxa"/>
            <w:tcMar>
              <w:top w:w="40" w:type="dxa"/>
              <w:left w:w="40" w:type="dxa"/>
              <w:bottom w:w="40" w:type="dxa"/>
              <w:right w:w="40" w:type="dxa"/>
            </w:tcMar>
            <w:vAlign w:val="bottom"/>
          </w:tcPr>
          <w:p w14:paraId="4C23678B" w14:textId="77777777" w:rsidR="005A17CE" w:rsidRPr="006E2814" w:rsidRDefault="00D21FFE">
            <w:pPr>
              <w:jc w:val="right"/>
            </w:pPr>
            <w:r>
              <w:rPr>
                <w:sz w:val="20"/>
              </w:rPr>
              <w:t>4 (2,63 %)</w:t>
            </w:r>
          </w:p>
        </w:tc>
        <w:tc>
          <w:tcPr>
            <w:tcW w:w="1470" w:type="dxa"/>
            <w:tcMar>
              <w:top w:w="40" w:type="dxa"/>
              <w:left w:w="40" w:type="dxa"/>
              <w:bottom w:w="40" w:type="dxa"/>
              <w:right w:w="40" w:type="dxa"/>
            </w:tcMar>
            <w:vAlign w:val="bottom"/>
          </w:tcPr>
          <w:p w14:paraId="054820D5" w14:textId="77777777" w:rsidR="005A17CE" w:rsidRPr="006E2814" w:rsidRDefault="00D21FFE">
            <w:pPr>
              <w:jc w:val="right"/>
            </w:pPr>
            <w:r>
              <w:rPr>
                <w:sz w:val="20"/>
              </w:rPr>
              <w:t>1 (25,00 %)</w:t>
            </w:r>
          </w:p>
        </w:tc>
        <w:tc>
          <w:tcPr>
            <w:tcW w:w="1845" w:type="dxa"/>
            <w:tcMar>
              <w:top w:w="40" w:type="dxa"/>
              <w:left w:w="40" w:type="dxa"/>
              <w:bottom w:w="40" w:type="dxa"/>
              <w:right w:w="40" w:type="dxa"/>
            </w:tcMar>
            <w:vAlign w:val="bottom"/>
          </w:tcPr>
          <w:p w14:paraId="3B203CFB" w14:textId="77777777" w:rsidR="005A17CE" w:rsidRPr="006E2814" w:rsidRDefault="00D21FFE">
            <w:pPr>
              <w:jc w:val="right"/>
            </w:pPr>
            <w:r>
              <w:rPr>
                <w:sz w:val="20"/>
              </w:rPr>
              <w:t>0 (0,00 %)</w:t>
            </w:r>
          </w:p>
        </w:tc>
        <w:tc>
          <w:tcPr>
            <w:tcW w:w="2505" w:type="dxa"/>
            <w:tcMar>
              <w:top w:w="40" w:type="dxa"/>
              <w:left w:w="40" w:type="dxa"/>
              <w:bottom w:w="40" w:type="dxa"/>
              <w:right w:w="40" w:type="dxa"/>
            </w:tcMar>
            <w:vAlign w:val="bottom"/>
          </w:tcPr>
          <w:p w14:paraId="5ED04C76" w14:textId="77777777" w:rsidR="005A17CE" w:rsidRPr="006E2814" w:rsidRDefault="00D21FFE">
            <w:pPr>
              <w:jc w:val="right"/>
            </w:pPr>
            <w:r>
              <w:rPr>
                <w:sz w:val="20"/>
              </w:rPr>
              <w:t>3 (75,00 %)</w:t>
            </w:r>
          </w:p>
        </w:tc>
      </w:tr>
      <w:tr w:rsidR="005A17CE" w14:paraId="5A58CAC8" w14:textId="77777777" w:rsidTr="006E2814">
        <w:tc>
          <w:tcPr>
            <w:tcW w:w="2145" w:type="dxa"/>
            <w:tcMar>
              <w:top w:w="40" w:type="dxa"/>
              <w:left w:w="40" w:type="dxa"/>
              <w:bottom w:w="40" w:type="dxa"/>
              <w:right w:w="40" w:type="dxa"/>
            </w:tcMar>
            <w:vAlign w:val="bottom"/>
          </w:tcPr>
          <w:p w14:paraId="6EF6B8CE" w14:textId="77777777" w:rsidR="005A17CE" w:rsidRPr="006E2814" w:rsidRDefault="00D21FFE">
            <w:r>
              <w:rPr>
                <w:sz w:val="20"/>
              </w:rPr>
              <w:t>Thüringen</w:t>
            </w:r>
          </w:p>
        </w:tc>
        <w:tc>
          <w:tcPr>
            <w:tcW w:w="1230" w:type="dxa"/>
            <w:tcBorders>
              <w:bottom w:val="single" w:sz="6" w:space="0" w:color="000000"/>
            </w:tcBorders>
            <w:tcMar>
              <w:top w:w="40" w:type="dxa"/>
              <w:left w:w="40" w:type="dxa"/>
              <w:bottom w:w="40" w:type="dxa"/>
              <w:right w:w="40" w:type="dxa"/>
            </w:tcMar>
            <w:vAlign w:val="bottom"/>
          </w:tcPr>
          <w:p w14:paraId="0A1CB458" w14:textId="77777777" w:rsidR="005A17CE" w:rsidRPr="006E2814" w:rsidRDefault="00D21FFE">
            <w:pPr>
              <w:jc w:val="right"/>
            </w:pPr>
            <w:r>
              <w:rPr>
                <w:sz w:val="20"/>
              </w:rPr>
              <w:t>2 (1,32 %)</w:t>
            </w:r>
          </w:p>
        </w:tc>
        <w:tc>
          <w:tcPr>
            <w:tcW w:w="1470" w:type="dxa"/>
            <w:tcBorders>
              <w:bottom w:val="single" w:sz="6" w:space="0" w:color="000000"/>
            </w:tcBorders>
            <w:tcMar>
              <w:top w:w="40" w:type="dxa"/>
              <w:left w:w="40" w:type="dxa"/>
              <w:bottom w:w="40" w:type="dxa"/>
              <w:right w:w="40" w:type="dxa"/>
            </w:tcMar>
            <w:vAlign w:val="bottom"/>
          </w:tcPr>
          <w:p w14:paraId="0A3F510A" w14:textId="77777777" w:rsidR="005A17CE" w:rsidRPr="006E2814" w:rsidRDefault="00D21FFE">
            <w:pPr>
              <w:jc w:val="right"/>
            </w:pPr>
            <w:r>
              <w:rPr>
                <w:sz w:val="20"/>
              </w:rPr>
              <w:t>2 (100,00 %)</w:t>
            </w:r>
          </w:p>
        </w:tc>
        <w:tc>
          <w:tcPr>
            <w:tcW w:w="1845" w:type="dxa"/>
            <w:tcBorders>
              <w:bottom w:val="single" w:sz="6" w:space="0" w:color="000000"/>
            </w:tcBorders>
            <w:tcMar>
              <w:top w:w="40" w:type="dxa"/>
              <w:left w:w="40" w:type="dxa"/>
              <w:bottom w:w="40" w:type="dxa"/>
              <w:right w:w="40" w:type="dxa"/>
            </w:tcMar>
            <w:vAlign w:val="bottom"/>
          </w:tcPr>
          <w:p w14:paraId="3A14A188" w14:textId="77777777" w:rsidR="005A17CE" w:rsidRPr="006E2814" w:rsidRDefault="00D21FFE">
            <w:pPr>
              <w:jc w:val="right"/>
            </w:pPr>
            <w:r>
              <w:rPr>
                <w:sz w:val="20"/>
              </w:rPr>
              <w:t>0 (0,00 %)</w:t>
            </w:r>
          </w:p>
        </w:tc>
        <w:tc>
          <w:tcPr>
            <w:tcW w:w="2505" w:type="dxa"/>
            <w:tcBorders>
              <w:bottom w:val="single" w:sz="6" w:space="0" w:color="000000"/>
            </w:tcBorders>
            <w:tcMar>
              <w:top w:w="40" w:type="dxa"/>
              <w:left w:w="40" w:type="dxa"/>
              <w:bottom w:w="40" w:type="dxa"/>
              <w:right w:w="40" w:type="dxa"/>
            </w:tcMar>
            <w:vAlign w:val="bottom"/>
          </w:tcPr>
          <w:p w14:paraId="4485C163" w14:textId="77777777" w:rsidR="005A17CE" w:rsidRPr="006E2814" w:rsidRDefault="00D21FFE">
            <w:pPr>
              <w:jc w:val="right"/>
            </w:pPr>
            <w:r>
              <w:rPr>
                <w:sz w:val="20"/>
              </w:rPr>
              <w:t>0 (0,00 %)</w:t>
            </w:r>
          </w:p>
        </w:tc>
      </w:tr>
      <w:tr w:rsidR="005A17CE" w14:paraId="38BC2431" w14:textId="77777777" w:rsidTr="006E2814">
        <w:tc>
          <w:tcPr>
            <w:tcW w:w="2145" w:type="dxa"/>
            <w:tcMar>
              <w:top w:w="40" w:type="dxa"/>
              <w:left w:w="40" w:type="dxa"/>
              <w:bottom w:w="40" w:type="dxa"/>
              <w:right w:w="40" w:type="dxa"/>
            </w:tcMar>
            <w:vAlign w:val="bottom"/>
          </w:tcPr>
          <w:p w14:paraId="1B683001" w14:textId="77777777" w:rsidR="005A17CE" w:rsidRPr="006E2814" w:rsidRDefault="00D21FFE">
            <w:r>
              <w:rPr>
                <w:b/>
                <w:sz w:val="20"/>
              </w:rPr>
              <w:t>Gesamt BRD</w:t>
            </w:r>
          </w:p>
        </w:tc>
        <w:tc>
          <w:tcPr>
            <w:tcW w:w="1230" w:type="dxa"/>
            <w:tcBorders>
              <w:bottom w:val="single" w:sz="6" w:space="0" w:color="000000"/>
            </w:tcBorders>
            <w:tcMar>
              <w:top w:w="40" w:type="dxa"/>
              <w:left w:w="40" w:type="dxa"/>
              <w:bottom w:w="40" w:type="dxa"/>
              <w:right w:w="40" w:type="dxa"/>
            </w:tcMar>
            <w:vAlign w:val="bottom"/>
          </w:tcPr>
          <w:p w14:paraId="07064592" w14:textId="77777777" w:rsidR="005A17CE" w:rsidRPr="006E2814" w:rsidRDefault="00D21FFE">
            <w:pPr>
              <w:jc w:val="right"/>
            </w:pPr>
            <w:r>
              <w:rPr>
                <w:b/>
                <w:sz w:val="20"/>
              </w:rPr>
              <w:t>152 (100 %)</w:t>
            </w:r>
          </w:p>
        </w:tc>
        <w:tc>
          <w:tcPr>
            <w:tcW w:w="1470" w:type="dxa"/>
            <w:tcBorders>
              <w:bottom w:val="single" w:sz="6" w:space="0" w:color="000000"/>
            </w:tcBorders>
            <w:tcMar>
              <w:top w:w="40" w:type="dxa"/>
              <w:left w:w="40" w:type="dxa"/>
              <w:bottom w:w="40" w:type="dxa"/>
              <w:right w:w="40" w:type="dxa"/>
            </w:tcMar>
            <w:vAlign w:val="bottom"/>
          </w:tcPr>
          <w:p w14:paraId="16A7B627" w14:textId="77777777" w:rsidR="005A17CE" w:rsidRPr="006E2814" w:rsidRDefault="00D21FFE">
            <w:pPr>
              <w:jc w:val="right"/>
            </w:pPr>
            <w:r>
              <w:rPr>
                <w:b/>
                <w:sz w:val="20"/>
              </w:rPr>
              <w:t>86 (56,58 %)</w:t>
            </w:r>
          </w:p>
        </w:tc>
        <w:tc>
          <w:tcPr>
            <w:tcW w:w="1845" w:type="dxa"/>
            <w:tcBorders>
              <w:bottom w:val="single" w:sz="6" w:space="0" w:color="000000"/>
            </w:tcBorders>
            <w:tcMar>
              <w:top w:w="40" w:type="dxa"/>
              <w:left w:w="40" w:type="dxa"/>
              <w:bottom w:w="40" w:type="dxa"/>
              <w:right w:w="40" w:type="dxa"/>
            </w:tcMar>
            <w:vAlign w:val="bottom"/>
          </w:tcPr>
          <w:p w14:paraId="3B03ADEA" w14:textId="77777777" w:rsidR="005A17CE" w:rsidRPr="006E2814" w:rsidRDefault="00D21FFE">
            <w:pPr>
              <w:jc w:val="right"/>
            </w:pPr>
            <w:r>
              <w:rPr>
                <w:b/>
                <w:sz w:val="20"/>
              </w:rPr>
              <w:t>27 (17,76 %)</w:t>
            </w:r>
          </w:p>
        </w:tc>
        <w:tc>
          <w:tcPr>
            <w:tcW w:w="2505" w:type="dxa"/>
            <w:tcBorders>
              <w:bottom w:val="single" w:sz="6" w:space="0" w:color="000000"/>
            </w:tcBorders>
            <w:tcMar>
              <w:top w:w="40" w:type="dxa"/>
              <w:left w:w="40" w:type="dxa"/>
              <w:bottom w:w="40" w:type="dxa"/>
              <w:right w:w="40" w:type="dxa"/>
            </w:tcMar>
            <w:vAlign w:val="bottom"/>
          </w:tcPr>
          <w:p w14:paraId="1733C93F" w14:textId="77777777" w:rsidR="005A17CE" w:rsidRPr="006E2814" w:rsidRDefault="00D21FFE">
            <w:pPr>
              <w:jc w:val="right"/>
            </w:pPr>
            <w:r>
              <w:rPr>
                <w:b/>
                <w:sz w:val="20"/>
              </w:rPr>
              <w:t>39 (25,66 %)</w:t>
            </w:r>
          </w:p>
        </w:tc>
      </w:tr>
    </w:tbl>
    <w:p w14:paraId="24C54F62" w14:textId="77777777" w:rsidR="005A17CE" w:rsidRDefault="005A17CE">
      <w:pPr>
        <w:jc w:val="both"/>
      </w:pPr>
    </w:p>
    <w:p w14:paraId="40832570" w14:textId="2F995171" w:rsidR="005A17CE" w:rsidRDefault="00D21FFE">
      <w:pPr>
        <w:jc w:val="both"/>
      </w:pPr>
      <w:r>
        <w:rPr>
          <w:rFonts w:ascii="Helvetica Neue" w:eastAsia="Helvetica Neue" w:hAnsi="Helvetica Neue" w:cs="Helvetica Neue"/>
        </w:rPr>
        <w:lastRenderedPageBreak/>
        <w:t>In den drei bevölkerungsreichsten deutschen Bundesländern Bayern, Nordrhein-Westfalen und Baden-Württemberg sind mit 80 OAR insgesamt 52,63 % aller deutschen OAR angesiedelt (vgl. 54,61% im 2012 Census).</w:t>
      </w:r>
      <w:r w:rsidRPr="00C72437">
        <w:rPr>
          <w:rFonts w:ascii="Helvetica Neue" w:hAnsi="Helvetica Neue"/>
        </w:rPr>
        <w:footnoteReference w:id="10"/>
      </w:r>
      <w:r w:rsidR="00BB0CA2">
        <w:rPr>
          <w:rFonts w:ascii="Helvetica Neue" w:eastAsia="Helvetica Neue" w:hAnsi="Helvetica Neue" w:cs="Helvetica Neue"/>
        </w:rPr>
        <w:t xml:space="preserve"> </w:t>
      </w:r>
    </w:p>
    <w:p w14:paraId="0240146E" w14:textId="77777777" w:rsidR="005A17CE" w:rsidRDefault="005A17CE">
      <w:pPr>
        <w:jc w:val="both"/>
      </w:pPr>
    </w:p>
    <w:p w14:paraId="6F5C7229" w14:textId="4D6F9137" w:rsidR="005A17CE" w:rsidRDefault="00D21FFE">
      <w:pPr>
        <w:jc w:val="both"/>
      </w:pPr>
      <w:r>
        <w:rPr>
          <w:rFonts w:ascii="Helvetica Neue" w:eastAsia="Helvetica Neue" w:hAnsi="Helvetica Neue" w:cs="Helvetica Neue"/>
        </w:rPr>
        <w:t>Ein Blick auf die drei unterschiedlichen Typen der verantwortlichen Institution zeigt, dass der Großteil der untersuchten OAR mit 56,58 % (86 OAR) von Universitäten betrieben wird</w:t>
      </w:r>
      <w:r w:rsidR="001B30CE">
        <w:rPr>
          <w:rFonts w:ascii="Helvetica Neue" w:eastAsia="Helvetica Neue" w:hAnsi="Helvetica Neue" w:cs="Helvetica Neue"/>
        </w:rPr>
        <w:t xml:space="preserve">. </w:t>
      </w:r>
      <w:r>
        <w:rPr>
          <w:rFonts w:ascii="Helvetica Neue" w:eastAsia="Helvetica Neue" w:hAnsi="Helvetica Neue" w:cs="Helvetica Neue"/>
        </w:rPr>
        <w:t>Außeruniversitäre Forschungseinrichtungen mit 25,66 % (39 OAR) und Fachhochschulen mit 17,76 % (27 OAR) betreiben deutlich weniger OAR. Nur in den beiden Bundesländern Brandenburg und Nordrhein-Westfalen fällt der Unterschied der prozentualen Verteilung nach Typ der verantwortlichen Institution nicht so deutlich aus. Diese Zahlen zeigen, dass der grüne Weg des OA-Publizierens in Deutschland hauptsächlich von Universitäten beschritten wird.</w:t>
      </w:r>
      <w:r w:rsidR="00BB0CA2">
        <w:rPr>
          <w:rFonts w:ascii="Helvetica Neue" w:eastAsia="Helvetica Neue" w:hAnsi="Helvetica Neue" w:cs="Helvetica Neue"/>
        </w:rPr>
        <w:t xml:space="preserve"> </w:t>
      </w:r>
    </w:p>
    <w:p w14:paraId="4894838F" w14:textId="77777777" w:rsidR="005A17CE" w:rsidRDefault="005A17CE">
      <w:pPr>
        <w:jc w:val="both"/>
      </w:pPr>
    </w:p>
    <w:p w14:paraId="0487EEAD" w14:textId="4F788322" w:rsidR="005A17CE" w:rsidRPr="00C72437" w:rsidRDefault="00D21FFE">
      <w:pPr>
        <w:jc w:val="both"/>
      </w:pPr>
      <w:r>
        <w:rPr>
          <w:rFonts w:ascii="Helvetica Neue" w:eastAsia="Helvetica Neue" w:hAnsi="Helvetica Neue" w:cs="Helvetica Neue"/>
        </w:rPr>
        <w:t>In diesem Zusammenhang stellt sich nun die Frage, wie groß der Impact des grünen Weges tatsächlich ist: Wie hoch ist der Anteil der Universitäten bzw. Fachhochschulen in Deutschland, die überhaupt ein OAR betreiben?</w:t>
      </w:r>
      <w:r w:rsidR="00BB0CA2">
        <w:rPr>
          <w:rFonts w:ascii="Helvetica Neue" w:eastAsia="Helvetica Neue" w:hAnsi="Helvetica Neue" w:cs="Helvetica Neue"/>
        </w:rPr>
        <w:t xml:space="preserve"> </w:t>
      </w:r>
    </w:p>
    <w:p w14:paraId="6DDC21A3" w14:textId="5D4B8F68" w:rsidR="005A17CE" w:rsidRDefault="00D21FFE">
      <w:pPr>
        <w:jc w:val="both"/>
      </w:pPr>
      <w:r>
        <w:rPr>
          <w:rFonts w:ascii="Helvetica Neue" w:eastAsia="Helvetica Neue" w:hAnsi="Helvetica Neue" w:cs="Helvetica Neue"/>
        </w:rPr>
        <w:t>Zur Beantwortung dieser Frage wurde die Liste der Hochschulrektorenkonferenz, die alle Hochschulen in Deutschland verzeichnet, als Grundgesamtheit vorausgesetzt.</w:t>
      </w:r>
      <w:r w:rsidRPr="00C72437">
        <w:rPr>
          <w:rFonts w:ascii="Helvetica Neue" w:hAnsi="Helvetica Neue"/>
        </w:rPr>
        <w:footnoteReference w:id="11"/>
      </w:r>
      <w:r w:rsidR="00BB0CA2">
        <w:rPr>
          <w:rFonts w:ascii="Helvetica Neue" w:eastAsia="Helvetica Neue" w:hAnsi="Helvetica Neue" w:cs="Helvetica Neue"/>
        </w:rPr>
        <w:t xml:space="preserve"> </w:t>
      </w:r>
    </w:p>
    <w:p w14:paraId="31034C4C" w14:textId="77777777" w:rsidR="005A17CE" w:rsidRDefault="005A17CE">
      <w:pPr>
        <w:jc w:val="both"/>
      </w:pPr>
    </w:p>
    <w:p w14:paraId="6692D09B" w14:textId="77777777" w:rsidR="005A17CE" w:rsidRPr="00C72437" w:rsidRDefault="00D21FFE">
      <w:pPr>
        <w:jc w:val="both"/>
      </w:pPr>
      <w:r>
        <w:rPr>
          <w:rFonts w:ascii="Helvetica Neue" w:eastAsia="Helvetica Neue" w:hAnsi="Helvetica Neue" w:cs="Helvetica Neue"/>
          <w:b/>
        </w:rPr>
        <w:t>Tabelle 2 (Anteil der Hochschulen, die ein OAR betreiben pro Bundesland)</w:t>
      </w:r>
    </w:p>
    <w:tbl>
      <w:tblPr>
        <w:tblW w:w="900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600" w:firstRow="0" w:lastRow="0" w:firstColumn="0" w:lastColumn="0" w:noHBand="1" w:noVBand="1"/>
      </w:tblPr>
      <w:tblGrid>
        <w:gridCol w:w="2460"/>
        <w:gridCol w:w="1440"/>
        <w:gridCol w:w="1575"/>
        <w:gridCol w:w="1605"/>
        <w:gridCol w:w="1920"/>
      </w:tblGrid>
      <w:tr w:rsidR="005A17CE" w14:paraId="3E92F608" w14:textId="77777777" w:rsidTr="00C72437">
        <w:tc>
          <w:tcPr>
            <w:tcW w:w="2460" w:type="dxa"/>
            <w:tcMar>
              <w:top w:w="40" w:type="dxa"/>
              <w:left w:w="40" w:type="dxa"/>
              <w:bottom w:w="40" w:type="dxa"/>
              <w:right w:w="40" w:type="dxa"/>
            </w:tcMar>
            <w:vAlign w:val="bottom"/>
          </w:tcPr>
          <w:p w14:paraId="2959B1B6" w14:textId="77777777" w:rsidR="005A17CE" w:rsidRPr="00C72437" w:rsidRDefault="00D21FFE" w:rsidP="00E47CA6">
            <w:pPr>
              <w:spacing w:line="240" w:lineRule="auto"/>
              <w:jc w:val="both"/>
            </w:pPr>
            <w:r>
              <w:rPr>
                <w:b/>
                <w:sz w:val="20"/>
              </w:rPr>
              <w:t>Bundesländer</w:t>
            </w:r>
          </w:p>
        </w:tc>
        <w:tc>
          <w:tcPr>
            <w:tcW w:w="1440" w:type="dxa"/>
            <w:tcMar>
              <w:top w:w="40" w:type="dxa"/>
              <w:left w:w="40" w:type="dxa"/>
              <w:bottom w:w="40" w:type="dxa"/>
              <w:right w:w="40" w:type="dxa"/>
            </w:tcMar>
            <w:vAlign w:val="bottom"/>
          </w:tcPr>
          <w:p w14:paraId="71036011" w14:textId="77777777" w:rsidR="005A17CE" w:rsidRDefault="00D21FFE">
            <w:r>
              <w:rPr>
                <w:b/>
                <w:sz w:val="20"/>
              </w:rPr>
              <w:t>Anzahl der Universitäten im jeweiligen Bundesland laut HRK-Liste (Total)</w:t>
            </w:r>
            <w:r w:rsidRPr="00C72437">
              <w:rPr>
                <w:b/>
                <w:sz w:val="20"/>
              </w:rPr>
              <w:footnoteReference w:id="12"/>
            </w:r>
          </w:p>
        </w:tc>
        <w:tc>
          <w:tcPr>
            <w:tcW w:w="1575" w:type="dxa"/>
            <w:tcMar>
              <w:top w:w="40" w:type="dxa"/>
              <w:left w:w="40" w:type="dxa"/>
              <w:bottom w:w="40" w:type="dxa"/>
              <w:right w:w="40" w:type="dxa"/>
            </w:tcMar>
            <w:vAlign w:val="bottom"/>
          </w:tcPr>
          <w:p w14:paraId="29895AEC" w14:textId="77777777" w:rsidR="005A17CE" w:rsidRPr="00C72437" w:rsidRDefault="00D21FFE">
            <w:r>
              <w:rPr>
                <w:b/>
                <w:sz w:val="20"/>
              </w:rPr>
              <w:t>Anzahl der Universitäten im jeweiligen Bundesland laut HRK-Liste, die ein OAR betreiben, Total (Prozent an Bundesland)</w:t>
            </w:r>
          </w:p>
        </w:tc>
        <w:tc>
          <w:tcPr>
            <w:tcW w:w="1605" w:type="dxa"/>
            <w:tcMar>
              <w:top w:w="40" w:type="dxa"/>
              <w:left w:w="40" w:type="dxa"/>
              <w:bottom w:w="40" w:type="dxa"/>
              <w:right w:w="40" w:type="dxa"/>
            </w:tcMar>
            <w:vAlign w:val="bottom"/>
          </w:tcPr>
          <w:p w14:paraId="1571D532" w14:textId="77777777" w:rsidR="005A17CE" w:rsidRPr="00C72437" w:rsidRDefault="00D21FFE">
            <w:r>
              <w:rPr>
                <w:b/>
                <w:sz w:val="20"/>
              </w:rPr>
              <w:t>Anzahl der Fachhochschulen im jeweiligen Bundesland laut HRK-Liste (Total)</w:t>
            </w:r>
          </w:p>
        </w:tc>
        <w:tc>
          <w:tcPr>
            <w:tcW w:w="1920" w:type="dxa"/>
            <w:tcMar>
              <w:top w:w="40" w:type="dxa"/>
              <w:left w:w="40" w:type="dxa"/>
              <w:bottom w:w="40" w:type="dxa"/>
              <w:right w:w="40" w:type="dxa"/>
            </w:tcMar>
            <w:vAlign w:val="bottom"/>
          </w:tcPr>
          <w:p w14:paraId="4B0CA140" w14:textId="77777777" w:rsidR="005A17CE" w:rsidRPr="00C72437" w:rsidRDefault="00D21FFE">
            <w:r>
              <w:rPr>
                <w:b/>
                <w:sz w:val="20"/>
              </w:rPr>
              <w:t>Anzahl der Fachhochschulen im jeweiligen Bundesland laut HRK-Liste, die ein OAR betreiben, Total (Prozent an Bundesland)</w:t>
            </w:r>
          </w:p>
        </w:tc>
      </w:tr>
      <w:tr w:rsidR="005A17CE" w14:paraId="262988DE" w14:textId="77777777" w:rsidTr="00C72437">
        <w:tc>
          <w:tcPr>
            <w:tcW w:w="2460" w:type="dxa"/>
            <w:tcMar>
              <w:top w:w="40" w:type="dxa"/>
              <w:left w:w="40" w:type="dxa"/>
              <w:bottom w:w="40" w:type="dxa"/>
              <w:right w:w="40" w:type="dxa"/>
            </w:tcMar>
            <w:vAlign w:val="bottom"/>
          </w:tcPr>
          <w:p w14:paraId="26F56C52" w14:textId="77777777" w:rsidR="005A17CE" w:rsidRPr="00C72437" w:rsidRDefault="00D21FFE">
            <w:r>
              <w:rPr>
                <w:sz w:val="20"/>
              </w:rPr>
              <w:t>Baden-Württemberg</w:t>
            </w:r>
          </w:p>
        </w:tc>
        <w:tc>
          <w:tcPr>
            <w:tcW w:w="1440" w:type="dxa"/>
            <w:tcMar>
              <w:top w:w="40" w:type="dxa"/>
              <w:left w:w="40" w:type="dxa"/>
              <w:bottom w:w="40" w:type="dxa"/>
              <w:right w:w="40" w:type="dxa"/>
            </w:tcMar>
            <w:vAlign w:val="bottom"/>
          </w:tcPr>
          <w:p w14:paraId="30495058" w14:textId="77777777" w:rsidR="005A17CE" w:rsidRPr="00C72437" w:rsidRDefault="00D21FFE">
            <w:pPr>
              <w:jc w:val="right"/>
            </w:pPr>
            <w:r>
              <w:rPr>
                <w:sz w:val="20"/>
              </w:rPr>
              <w:t>27</w:t>
            </w:r>
          </w:p>
        </w:tc>
        <w:tc>
          <w:tcPr>
            <w:tcW w:w="1575" w:type="dxa"/>
            <w:tcMar>
              <w:top w:w="40" w:type="dxa"/>
              <w:left w:w="40" w:type="dxa"/>
              <w:bottom w:w="40" w:type="dxa"/>
              <w:right w:w="40" w:type="dxa"/>
            </w:tcMar>
            <w:vAlign w:val="bottom"/>
          </w:tcPr>
          <w:p w14:paraId="079C0F8C" w14:textId="77777777" w:rsidR="005A17CE" w:rsidRPr="00C72437" w:rsidRDefault="00D21FFE">
            <w:pPr>
              <w:jc w:val="right"/>
            </w:pPr>
            <w:r>
              <w:rPr>
                <w:sz w:val="20"/>
              </w:rPr>
              <w:t>15 (55,56 %)</w:t>
            </w:r>
          </w:p>
        </w:tc>
        <w:tc>
          <w:tcPr>
            <w:tcW w:w="1605" w:type="dxa"/>
            <w:tcMar>
              <w:top w:w="40" w:type="dxa"/>
              <w:left w:w="40" w:type="dxa"/>
              <w:bottom w:w="40" w:type="dxa"/>
              <w:right w:w="40" w:type="dxa"/>
            </w:tcMar>
            <w:vAlign w:val="bottom"/>
          </w:tcPr>
          <w:p w14:paraId="090D1D98" w14:textId="77777777" w:rsidR="005A17CE" w:rsidRPr="00C72437" w:rsidRDefault="00D21FFE">
            <w:pPr>
              <w:jc w:val="right"/>
            </w:pPr>
            <w:r>
              <w:rPr>
                <w:sz w:val="20"/>
              </w:rPr>
              <w:t>42</w:t>
            </w:r>
          </w:p>
        </w:tc>
        <w:tc>
          <w:tcPr>
            <w:tcW w:w="1920" w:type="dxa"/>
            <w:tcMar>
              <w:top w:w="40" w:type="dxa"/>
              <w:left w:w="40" w:type="dxa"/>
              <w:bottom w:w="40" w:type="dxa"/>
              <w:right w:w="40" w:type="dxa"/>
            </w:tcMar>
            <w:vAlign w:val="bottom"/>
          </w:tcPr>
          <w:p w14:paraId="5734F861" w14:textId="77777777" w:rsidR="005A17CE" w:rsidRPr="00C72437" w:rsidRDefault="00D21FFE">
            <w:pPr>
              <w:jc w:val="right"/>
            </w:pPr>
            <w:r>
              <w:rPr>
                <w:sz w:val="20"/>
              </w:rPr>
              <w:t>6 (14,29 %)</w:t>
            </w:r>
          </w:p>
        </w:tc>
      </w:tr>
      <w:tr w:rsidR="005A17CE" w14:paraId="722E699E" w14:textId="77777777" w:rsidTr="00C72437">
        <w:tc>
          <w:tcPr>
            <w:tcW w:w="2460" w:type="dxa"/>
            <w:tcMar>
              <w:top w:w="40" w:type="dxa"/>
              <w:left w:w="40" w:type="dxa"/>
              <w:bottom w:w="40" w:type="dxa"/>
              <w:right w:w="40" w:type="dxa"/>
            </w:tcMar>
            <w:vAlign w:val="bottom"/>
          </w:tcPr>
          <w:p w14:paraId="22746825" w14:textId="77777777" w:rsidR="005A17CE" w:rsidRPr="00C72437" w:rsidRDefault="00D21FFE">
            <w:r>
              <w:rPr>
                <w:sz w:val="20"/>
              </w:rPr>
              <w:t>Bayern</w:t>
            </w:r>
          </w:p>
        </w:tc>
        <w:tc>
          <w:tcPr>
            <w:tcW w:w="1440" w:type="dxa"/>
            <w:tcMar>
              <w:top w:w="40" w:type="dxa"/>
              <w:left w:w="40" w:type="dxa"/>
              <w:bottom w:w="40" w:type="dxa"/>
              <w:right w:w="40" w:type="dxa"/>
            </w:tcMar>
            <w:vAlign w:val="bottom"/>
          </w:tcPr>
          <w:p w14:paraId="66CC0F75" w14:textId="77777777" w:rsidR="005A17CE" w:rsidRPr="00C72437" w:rsidRDefault="00D21FFE">
            <w:pPr>
              <w:jc w:val="right"/>
            </w:pPr>
            <w:r>
              <w:rPr>
                <w:sz w:val="20"/>
              </w:rPr>
              <w:t>23</w:t>
            </w:r>
          </w:p>
        </w:tc>
        <w:tc>
          <w:tcPr>
            <w:tcW w:w="1575" w:type="dxa"/>
            <w:tcMar>
              <w:top w:w="40" w:type="dxa"/>
              <w:left w:w="40" w:type="dxa"/>
              <w:bottom w:w="40" w:type="dxa"/>
              <w:right w:w="40" w:type="dxa"/>
            </w:tcMar>
            <w:vAlign w:val="bottom"/>
          </w:tcPr>
          <w:p w14:paraId="3D79E84D" w14:textId="77777777" w:rsidR="005A17CE" w:rsidRPr="00C72437" w:rsidRDefault="00D21FFE">
            <w:pPr>
              <w:jc w:val="right"/>
            </w:pPr>
            <w:r>
              <w:rPr>
                <w:sz w:val="20"/>
              </w:rPr>
              <w:t>10 (43,48 %)</w:t>
            </w:r>
          </w:p>
        </w:tc>
        <w:tc>
          <w:tcPr>
            <w:tcW w:w="1605" w:type="dxa"/>
            <w:tcMar>
              <w:top w:w="40" w:type="dxa"/>
              <w:left w:w="40" w:type="dxa"/>
              <w:bottom w:w="40" w:type="dxa"/>
              <w:right w:w="40" w:type="dxa"/>
            </w:tcMar>
            <w:vAlign w:val="bottom"/>
          </w:tcPr>
          <w:p w14:paraId="08D1A1ED" w14:textId="77777777" w:rsidR="005A17CE" w:rsidRPr="00C72437" w:rsidRDefault="00D21FFE">
            <w:pPr>
              <w:jc w:val="right"/>
            </w:pPr>
            <w:r>
              <w:rPr>
                <w:sz w:val="20"/>
              </w:rPr>
              <w:t>24</w:t>
            </w:r>
          </w:p>
        </w:tc>
        <w:tc>
          <w:tcPr>
            <w:tcW w:w="1920" w:type="dxa"/>
            <w:tcMar>
              <w:top w:w="40" w:type="dxa"/>
              <w:left w:w="40" w:type="dxa"/>
              <w:bottom w:w="40" w:type="dxa"/>
              <w:right w:w="40" w:type="dxa"/>
            </w:tcMar>
            <w:vAlign w:val="bottom"/>
          </w:tcPr>
          <w:p w14:paraId="6D3DAD4E" w14:textId="77777777" w:rsidR="005A17CE" w:rsidRPr="00C72437" w:rsidRDefault="00D21FFE">
            <w:pPr>
              <w:jc w:val="right"/>
            </w:pPr>
            <w:r>
              <w:rPr>
                <w:sz w:val="20"/>
              </w:rPr>
              <w:t>4 (16,67 %)</w:t>
            </w:r>
          </w:p>
        </w:tc>
      </w:tr>
      <w:tr w:rsidR="005A17CE" w14:paraId="109C3F68" w14:textId="77777777" w:rsidTr="00C72437">
        <w:tc>
          <w:tcPr>
            <w:tcW w:w="2460" w:type="dxa"/>
            <w:tcMar>
              <w:top w:w="40" w:type="dxa"/>
              <w:left w:w="40" w:type="dxa"/>
              <w:bottom w:w="40" w:type="dxa"/>
              <w:right w:w="40" w:type="dxa"/>
            </w:tcMar>
            <w:vAlign w:val="bottom"/>
          </w:tcPr>
          <w:p w14:paraId="7996BBF8" w14:textId="77777777" w:rsidR="005A17CE" w:rsidRPr="00C72437" w:rsidRDefault="00D21FFE">
            <w:r>
              <w:rPr>
                <w:sz w:val="20"/>
              </w:rPr>
              <w:t>Berlin</w:t>
            </w:r>
          </w:p>
        </w:tc>
        <w:tc>
          <w:tcPr>
            <w:tcW w:w="1440" w:type="dxa"/>
            <w:tcMar>
              <w:top w:w="40" w:type="dxa"/>
              <w:left w:w="40" w:type="dxa"/>
              <w:bottom w:w="40" w:type="dxa"/>
              <w:right w:w="40" w:type="dxa"/>
            </w:tcMar>
            <w:vAlign w:val="bottom"/>
          </w:tcPr>
          <w:p w14:paraId="26B616C0" w14:textId="77777777" w:rsidR="005A17CE" w:rsidRPr="00C72437" w:rsidRDefault="00D21FFE">
            <w:pPr>
              <w:jc w:val="right"/>
            </w:pPr>
            <w:r>
              <w:rPr>
                <w:sz w:val="20"/>
              </w:rPr>
              <w:t>12</w:t>
            </w:r>
          </w:p>
        </w:tc>
        <w:tc>
          <w:tcPr>
            <w:tcW w:w="1575" w:type="dxa"/>
            <w:tcMar>
              <w:top w:w="40" w:type="dxa"/>
              <w:left w:w="40" w:type="dxa"/>
              <w:bottom w:w="40" w:type="dxa"/>
              <w:right w:w="40" w:type="dxa"/>
            </w:tcMar>
            <w:vAlign w:val="bottom"/>
          </w:tcPr>
          <w:p w14:paraId="32938EC1" w14:textId="77777777" w:rsidR="005A17CE" w:rsidRPr="00C72437" w:rsidRDefault="00D21FFE">
            <w:pPr>
              <w:jc w:val="right"/>
            </w:pPr>
            <w:r>
              <w:rPr>
                <w:sz w:val="20"/>
              </w:rPr>
              <w:t>5 (41,67 %)</w:t>
            </w:r>
          </w:p>
        </w:tc>
        <w:tc>
          <w:tcPr>
            <w:tcW w:w="1605" w:type="dxa"/>
            <w:tcMar>
              <w:top w:w="40" w:type="dxa"/>
              <w:left w:w="40" w:type="dxa"/>
              <w:bottom w:w="40" w:type="dxa"/>
              <w:right w:w="40" w:type="dxa"/>
            </w:tcMar>
            <w:vAlign w:val="bottom"/>
          </w:tcPr>
          <w:p w14:paraId="61D85522" w14:textId="77777777" w:rsidR="005A17CE" w:rsidRPr="00C72437" w:rsidRDefault="00D21FFE">
            <w:pPr>
              <w:jc w:val="right"/>
            </w:pPr>
            <w:r>
              <w:rPr>
                <w:sz w:val="20"/>
              </w:rPr>
              <w:t>26</w:t>
            </w:r>
          </w:p>
        </w:tc>
        <w:tc>
          <w:tcPr>
            <w:tcW w:w="1920" w:type="dxa"/>
            <w:tcMar>
              <w:top w:w="40" w:type="dxa"/>
              <w:left w:w="40" w:type="dxa"/>
              <w:bottom w:w="40" w:type="dxa"/>
              <w:right w:w="40" w:type="dxa"/>
            </w:tcMar>
            <w:vAlign w:val="bottom"/>
          </w:tcPr>
          <w:p w14:paraId="4346DD15" w14:textId="77777777" w:rsidR="005A17CE" w:rsidRPr="00C72437" w:rsidRDefault="00D21FFE">
            <w:pPr>
              <w:jc w:val="right"/>
            </w:pPr>
            <w:r>
              <w:rPr>
                <w:sz w:val="20"/>
              </w:rPr>
              <w:t>1 (3,85 %)</w:t>
            </w:r>
          </w:p>
        </w:tc>
      </w:tr>
      <w:tr w:rsidR="005A17CE" w14:paraId="5F80C959" w14:textId="77777777" w:rsidTr="00C72437">
        <w:tc>
          <w:tcPr>
            <w:tcW w:w="2460" w:type="dxa"/>
            <w:tcMar>
              <w:top w:w="40" w:type="dxa"/>
              <w:left w:w="40" w:type="dxa"/>
              <w:bottom w:w="40" w:type="dxa"/>
              <w:right w:w="40" w:type="dxa"/>
            </w:tcMar>
            <w:vAlign w:val="bottom"/>
          </w:tcPr>
          <w:p w14:paraId="553924EA" w14:textId="77777777" w:rsidR="005A17CE" w:rsidRPr="00C72437" w:rsidRDefault="00D21FFE">
            <w:r>
              <w:rPr>
                <w:sz w:val="20"/>
              </w:rPr>
              <w:t>Brandenburg</w:t>
            </w:r>
          </w:p>
        </w:tc>
        <w:tc>
          <w:tcPr>
            <w:tcW w:w="1440" w:type="dxa"/>
            <w:tcMar>
              <w:top w:w="40" w:type="dxa"/>
              <w:left w:w="40" w:type="dxa"/>
              <w:bottom w:w="40" w:type="dxa"/>
              <w:right w:w="40" w:type="dxa"/>
            </w:tcMar>
            <w:vAlign w:val="bottom"/>
          </w:tcPr>
          <w:p w14:paraId="0C49FE53" w14:textId="77777777" w:rsidR="005A17CE" w:rsidRPr="00C72437" w:rsidRDefault="00D21FFE">
            <w:pPr>
              <w:jc w:val="right"/>
            </w:pPr>
            <w:r>
              <w:rPr>
                <w:sz w:val="20"/>
              </w:rPr>
              <w:t>4</w:t>
            </w:r>
          </w:p>
        </w:tc>
        <w:tc>
          <w:tcPr>
            <w:tcW w:w="1575" w:type="dxa"/>
            <w:tcMar>
              <w:top w:w="40" w:type="dxa"/>
              <w:left w:w="40" w:type="dxa"/>
              <w:bottom w:w="40" w:type="dxa"/>
              <w:right w:w="40" w:type="dxa"/>
            </w:tcMar>
            <w:vAlign w:val="bottom"/>
          </w:tcPr>
          <w:p w14:paraId="0DAE7D6A" w14:textId="77777777" w:rsidR="005A17CE" w:rsidRPr="00C72437" w:rsidRDefault="00D21FFE">
            <w:pPr>
              <w:jc w:val="right"/>
            </w:pPr>
            <w:r>
              <w:rPr>
                <w:sz w:val="20"/>
              </w:rPr>
              <w:t>4 (100,00 %)</w:t>
            </w:r>
          </w:p>
        </w:tc>
        <w:tc>
          <w:tcPr>
            <w:tcW w:w="1605" w:type="dxa"/>
            <w:tcMar>
              <w:top w:w="40" w:type="dxa"/>
              <w:left w:w="40" w:type="dxa"/>
              <w:bottom w:w="40" w:type="dxa"/>
              <w:right w:w="40" w:type="dxa"/>
            </w:tcMar>
            <w:vAlign w:val="bottom"/>
          </w:tcPr>
          <w:p w14:paraId="7A0DF504" w14:textId="77777777" w:rsidR="005A17CE" w:rsidRPr="00C72437" w:rsidRDefault="00D21FFE">
            <w:pPr>
              <w:jc w:val="right"/>
            </w:pPr>
            <w:r>
              <w:rPr>
                <w:sz w:val="20"/>
              </w:rPr>
              <w:t>6</w:t>
            </w:r>
          </w:p>
        </w:tc>
        <w:tc>
          <w:tcPr>
            <w:tcW w:w="1920" w:type="dxa"/>
            <w:tcMar>
              <w:top w:w="40" w:type="dxa"/>
              <w:left w:w="40" w:type="dxa"/>
              <w:bottom w:w="40" w:type="dxa"/>
              <w:right w:w="40" w:type="dxa"/>
            </w:tcMar>
            <w:vAlign w:val="bottom"/>
          </w:tcPr>
          <w:p w14:paraId="047D8C6C" w14:textId="77777777" w:rsidR="005A17CE" w:rsidRPr="00C72437" w:rsidRDefault="00D21FFE">
            <w:pPr>
              <w:jc w:val="right"/>
            </w:pPr>
            <w:r>
              <w:rPr>
                <w:sz w:val="20"/>
              </w:rPr>
              <w:t>3 (50,00 %)</w:t>
            </w:r>
          </w:p>
        </w:tc>
      </w:tr>
      <w:tr w:rsidR="005A17CE" w14:paraId="7C6A1DF3" w14:textId="77777777" w:rsidTr="00C72437">
        <w:tc>
          <w:tcPr>
            <w:tcW w:w="2460" w:type="dxa"/>
            <w:tcMar>
              <w:top w:w="40" w:type="dxa"/>
              <w:left w:w="40" w:type="dxa"/>
              <w:bottom w:w="40" w:type="dxa"/>
              <w:right w:w="40" w:type="dxa"/>
            </w:tcMar>
            <w:vAlign w:val="bottom"/>
          </w:tcPr>
          <w:p w14:paraId="6AB94B6C" w14:textId="77777777" w:rsidR="005A17CE" w:rsidRPr="00C72437" w:rsidRDefault="00D21FFE">
            <w:r>
              <w:rPr>
                <w:sz w:val="20"/>
              </w:rPr>
              <w:t>Bremen</w:t>
            </w:r>
          </w:p>
        </w:tc>
        <w:tc>
          <w:tcPr>
            <w:tcW w:w="1440" w:type="dxa"/>
            <w:tcMar>
              <w:top w:w="40" w:type="dxa"/>
              <w:left w:w="40" w:type="dxa"/>
              <w:bottom w:w="40" w:type="dxa"/>
              <w:right w:w="40" w:type="dxa"/>
            </w:tcMar>
            <w:vAlign w:val="bottom"/>
          </w:tcPr>
          <w:p w14:paraId="618F643F" w14:textId="77777777" w:rsidR="005A17CE" w:rsidRPr="00C72437" w:rsidRDefault="00D21FFE">
            <w:pPr>
              <w:jc w:val="right"/>
            </w:pPr>
            <w:r>
              <w:rPr>
                <w:sz w:val="20"/>
              </w:rPr>
              <w:t>3</w:t>
            </w:r>
          </w:p>
        </w:tc>
        <w:tc>
          <w:tcPr>
            <w:tcW w:w="1575" w:type="dxa"/>
            <w:tcMar>
              <w:top w:w="40" w:type="dxa"/>
              <w:left w:w="40" w:type="dxa"/>
              <w:bottom w:w="40" w:type="dxa"/>
              <w:right w:w="40" w:type="dxa"/>
            </w:tcMar>
            <w:vAlign w:val="bottom"/>
          </w:tcPr>
          <w:p w14:paraId="5505A1F2" w14:textId="77777777" w:rsidR="005A17CE" w:rsidRPr="00C72437" w:rsidRDefault="00D21FFE">
            <w:pPr>
              <w:jc w:val="right"/>
            </w:pPr>
            <w:r>
              <w:rPr>
                <w:sz w:val="20"/>
              </w:rPr>
              <w:t>1 (33,33 %)</w:t>
            </w:r>
          </w:p>
        </w:tc>
        <w:tc>
          <w:tcPr>
            <w:tcW w:w="1605" w:type="dxa"/>
            <w:tcMar>
              <w:top w:w="40" w:type="dxa"/>
              <w:left w:w="40" w:type="dxa"/>
              <w:bottom w:w="40" w:type="dxa"/>
              <w:right w:w="40" w:type="dxa"/>
            </w:tcMar>
            <w:vAlign w:val="bottom"/>
          </w:tcPr>
          <w:p w14:paraId="5422B1AE" w14:textId="77777777" w:rsidR="005A17CE" w:rsidRPr="00C72437" w:rsidRDefault="00D21FFE">
            <w:pPr>
              <w:jc w:val="right"/>
            </w:pPr>
            <w:r>
              <w:rPr>
                <w:sz w:val="20"/>
              </w:rPr>
              <w:t>3</w:t>
            </w:r>
          </w:p>
        </w:tc>
        <w:tc>
          <w:tcPr>
            <w:tcW w:w="1920" w:type="dxa"/>
            <w:tcMar>
              <w:top w:w="40" w:type="dxa"/>
              <w:left w:w="40" w:type="dxa"/>
              <w:bottom w:w="40" w:type="dxa"/>
              <w:right w:w="40" w:type="dxa"/>
            </w:tcMar>
            <w:vAlign w:val="bottom"/>
          </w:tcPr>
          <w:p w14:paraId="52074836" w14:textId="77777777" w:rsidR="005A17CE" w:rsidRPr="00C72437" w:rsidRDefault="00D21FFE">
            <w:pPr>
              <w:jc w:val="right"/>
            </w:pPr>
            <w:r>
              <w:rPr>
                <w:sz w:val="20"/>
              </w:rPr>
              <w:t>0 (0,00 %)</w:t>
            </w:r>
          </w:p>
        </w:tc>
      </w:tr>
      <w:tr w:rsidR="005A17CE" w14:paraId="3F532075" w14:textId="77777777" w:rsidTr="00C72437">
        <w:tc>
          <w:tcPr>
            <w:tcW w:w="2460" w:type="dxa"/>
            <w:tcMar>
              <w:top w:w="40" w:type="dxa"/>
              <w:left w:w="40" w:type="dxa"/>
              <w:bottom w:w="40" w:type="dxa"/>
              <w:right w:w="40" w:type="dxa"/>
            </w:tcMar>
            <w:vAlign w:val="bottom"/>
          </w:tcPr>
          <w:p w14:paraId="0E0BE76B" w14:textId="77777777" w:rsidR="005A17CE" w:rsidRPr="00C72437" w:rsidRDefault="00D21FFE">
            <w:r>
              <w:rPr>
                <w:sz w:val="20"/>
              </w:rPr>
              <w:t>Hamburg</w:t>
            </w:r>
          </w:p>
        </w:tc>
        <w:tc>
          <w:tcPr>
            <w:tcW w:w="1440" w:type="dxa"/>
            <w:tcMar>
              <w:top w:w="40" w:type="dxa"/>
              <w:left w:w="40" w:type="dxa"/>
              <w:bottom w:w="40" w:type="dxa"/>
              <w:right w:w="40" w:type="dxa"/>
            </w:tcMar>
            <w:vAlign w:val="bottom"/>
          </w:tcPr>
          <w:p w14:paraId="79B9BC53" w14:textId="77777777" w:rsidR="005A17CE" w:rsidRPr="00C72437" w:rsidRDefault="00D21FFE">
            <w:pPr>
              <w:jc w:val="right"/>
            </w:pPr>
            <w:r>
              <w:rPr>
                <w:sz w:val="20"/>
              </w:rPr>
              <w:t>7</w:t>
            </w:r>
          </w:p>
        </w:tc>
        <w:tc>
          <w:tcPr>
            <w:tcW w:w="1575" w:type="dxa"/>
            <w:tcMar>
              <w:top w:w="40" w:type="dxa"/>
              <w:left w:w="40" w:type="dxa"/>
              <w:bottom w:w="40" w:type="dxa"/>
              <w:right w:w="40" w:type="dxa"/>
            </w:tcMar>
            <w:vAlign w:val="bottom"/>
          </w:tcPr>
          <w:p w14:paraId="657AAECA" w14:textId="77777777" w:rsidR="005A17CE" w:rsidRPr="00C72437" w:rsidRDefault="00D21FFE">
            <w:pPr>
              <w:jc w:val="right"/>
            </w:pPr>
            <w:r>
              <w:rPr>
                <w:sz w:val="20"/>
              </w:rPr>
              <w:t>3 (42,86 %)</w:t>
            </w:r>
          </w:p>
        </w:tc>
        <w:tc>
          <w:tcPr>
            <w:tcW w:w="1605" w:type="dxa"/>
            <w:tcMar>
              <w:top w:w="40" w:type="dxa"/>
              <w:left w:w="40" w:type="dxa"/>
              <w:bottom w:w="40" w:type="dxa"/>
              <w:right w:w="40" w:type="dxa"/>
            </w:tcMar>
            <w:vAlign w:val="bottom"/>
          </w:tcPr>
          <w:p w14:paraId="2E90784A" w14:textId="77777777" w:rsidR="005A17CE" w:rsidRPr="00C72437" w:rsidRDefault="00D21FFE">
            <w:pPr>
              <w:jc w:val="right"/>
            </w:pPr>
            <w:r>
              <w:rPr>
                <w:sz w:val="20"/>
              </w:rPr>
              <w:t>9</w:t>
            </w:r>
          </w:p>
        </w:tc>
        <w:tc>
          <w:tcPr>
            <w:tcW w:w="1920" w:type="dxa"/>
            <w:tcMar>
              <w:top w:w="40" w:type="dxa"/>
              <w:left w:w="40" w:type="dxa"/>
              <w:bottom w:w="40" w:type="dxa"/>
              <w:right w:w="40" w:type="dxa"/>
            </w:tcMar>
            <w:vAlign w:val="bottom"/>
          </w:tcPr>
          <w:p w14:paraId="776380DA" w14:textId="77777777" w:rsidR="005A17CE" w:rsidRPr="00C72437" w:rsidRDefault="00D21FFE">
            <w:pPr>
              <w:jc w:val="right"/>
            </w:pPr>
            <w:r>
              <w:rPr>
                <w:sz w:val="20"/>
              </w:rPr>
              <w:t>0 (0,00 %)</w:t>
            </w:r>
          </w:p>
        </w:tc>
      </w:tr>
      <w:tr w:rsidR="005A17CE" w14:paraId="470A3B74" w14:textId="77777777" w:rsidTr="00C72437">
        <w:tc>
          <w:tcPr>
            <w:tcW w:w="2460" w:type="dxa"/>
            <w:tcMar>
              <w:top w:w="40" w:type="dxa"/>
              <w:left w:w="40" w:type="dxa"/>
              <w:bottom w:w="40" w:type="dxa"/>
              <w:right w:w="40" w:type="dxa"/>
            </w:tcMar>
            <w:vAlign w:val="bottom"/>
          </w:tcPr>
          <w:p w14:paraId="73110CAE" w14:textId="77777777" w:rsidR="005A17CE" w:rsidRPr="00C72437" w:rsidRDefault="00D21FFE">
            <w:r>
              <w:rPr>
                <w:sz w:val="20"/>
              </w:rPr>
              <w:t>Hessen</w:t>
            </w:r>
          </w:p>
        </w:tc>
        <w:tc>
          <w:tcPr>
            <w:tcW w:w="1440" w:type="dxa"/>
            <w:tcMar>
              <w:top w:w="40" w:type="dxa"/>
              <w:left w:w="40" w:type="dxa"/>
              <w:bottom w:w="40" w:type="dxa"/>
              <w:right w:w="40" w:type="dxa"/>
            </w:tcMar>
            <w:vAlign w:val="bottom"/>
          </w:tcPr>
          <w:p w14:paraId="702069CA" w14:textId="77777777" w:rsidR="005A17CE" w:rsidRPr="00C72437" w:rsidRDefault="00D21FFE">
            <w:pPr>
              <w:jc w:val="right"/>
            </w:pPr>
            <w:r>
              <w:rPr>
                <w:sz w:val="20"/>
              </w:rPr>
              <w:t>13</w:t>
            </w:r>
          </w:p>
        </w:tc>
        <w:tc>
          <w:tcPr>
            <w:tcW w:w="1575" w:type="dxa"/>
            <w:tcMar>
              <w:top w:w="40" w:type="dxa"/>
              <w:left w:w="40" w:type="dxa"/>
              <w:bottom w:w="40" w:type="dxa"/>
              <w:right w:w="40" w:type="dxa"/>
            </w:tcMar>
            <w:vAlign w:val="bottom"/>
          </w:tcPr>
          <w:p w14:paraId="268770E2" w14:textId="77777777" w:rsidR="005A17CE" w:rsidRPr="00C72437" w:rsidRDefault="00D21FFE">
            <w:pPr>
              <w:jc w:val="right"/>
            </w:pPr>
            <w:r>
              <w:rPr>
                <w:sz w:val="20"/>
              </w:rPr>
              <w:t>5 (38,46 %)</w:t>
            </w:r>
          </w:p>
        </w:tc>
        <w:tc>
          <w:tcPr>
            <w:tcW w:w="1605" w:type="dxa"/>
            <w:tcMar>
              <w:top w:w="40" w:type="dxa"/>
              <w:left w:w="40" w:type="dxa"/>
              <w:bottom w:w="40" w:type="dxa"/>
              <w:right w:w="40" w:type="dxa"/>
            </w:tcMar>
            <w:vAlign w:val="bottom"/>
          </w:tcPr>
          <w:p w14:paraId="35024360" w14:textId="77777777" w:rsidR="005A17CE" w:rsidRPr="00C72437" w:rsidRDefault="00D21FFE">
            <w:pPr>
              <w:jc w:val="right"/>
            </w:pPr>
            <w:r>
              <w:rPr>
                <w:sz w:val="20"/>
              </w:rPr>
              <w:t>17</w:t>
            </w:r>
          </w:p>
        </w:tc>
        <w:tc>
          <w:tcPr>
            <w:tcW w:w="1920" w:type="dxa"/>
            <w:tcMar>
              <w:top w:w="40" w:type="dxa"/>
              <w:left w:w="40" w:type="dxa"/>
              <w:bottom w:w="40" w:type="dxa"/>
              <w:right w:w="40" w:type="dxa"/>
            </w:tcMar>
            <w:vAlign w:val="bottom"/>
          </w:tcPr>
          <w:p w14:paraId="32DF9956" w14:textId="77777777" w:rsidR="005A17CE" w:rsidRPr="00C72437" w:rsidRDefault="00D21FFE">
            <w:pPr>
              <w:jc w:val="right"/>
            </w:pPr>
            <w:r>
              <w:rPr>
                <w:sz w:val="20"/>
              </w:rPr>
              <w:t>1 (5,88 %)</w:t>
            </w:r>
          </w:p>
        </w:tc>
      </w:tr>
      <w:tr w:rsidR="005A17CE" w14:paraId="3040BDDB" w14:textId="77777777" w:rsidTr="00C72437">
        <w:tc>
          <w:tcPr>
            <w:tcW w:w="2460" w:type="dxa"/>
            <w:tcMar>
              <w:top w:w="40" w:type="dxa"/>
              <w:left w:w="40" w:type="dxa"/>
              <w:bottom w:w="40" w:type="dxa"/>
              <w:right w:w="40" w:type="dxa"/>
            </w:tcMar>
            <w:vAlign w:val="bottom"/>
          </w:tcPr>
          <w:p w14:paraId="6E97A85B" w14:textId="77777777" w:rsidR="005A17CE" w:rsidRPr="00C72437" w:rsidRDefault="00D21FFE">
            <w:r>
              <w:rPr>
                <w:sz w:val="20"/>
              </w:rPr>
              <w:t>Niedersachsen</w:t>
            </w:r>
          </w:p>
        </w:tc>
        <w:tc>
          <w:tcPr>
            <w:tcW w:w="1440" w:type="dxa"/>
            <w:tcMar>
              <w:top w:w="40" w:type="dxa"/>
              <w:left w:w="40" w:type="dxa"/>
              <w:bottom w:w="40" w:type="dxa"/>
              <w:right w:w="40" w:type="dxa"/>
            </w:tcMar>
            <w:vAlign w:val="bottom"/>
          </w:tcPr>
          <w:p w14:paraId="4B229562" w14:textId="77777777" w:rsidR="005A17CE" w:rsidRPr="00C72437" w:rsidRDefault="00D21FFE">
            <w:pPr>
              <w:jc w:val="right"/>
            </w:pPr>
            <w:r>
              <w:rPr>
                <w:sz w:val="20"/>
              </w:rPr>
              <w:t>13</w:t>
            </w:r>
          </w:p>
        </w:tc>
        <w:tc>
          <w:tcPr>
            <w:tcW w:w="1575" w:type="dxa"/>
            <w:tcMar>
              <w:top w:w="40" w:type="dxa"/>
              <w:left w:w="40" w:type="dxa"/>
              <w:bottom w:w="40" w:type="dxa"/>
              <w:right w:w="40" w:type="dxa"/>
            </w:tcMar>
            <w:vAlign w:val="bottom"/>
          </w:tcPr>
          <w:p w14:paraId="08C9A0DA" w14:textId="77777777" w:rsidR="005A17CE" w:rsidRPr="00C72437" w:rsidRDefault="00D21FFE">
            <w:pPr>
              <w:jc w:val="right"/>
            </w:pPr>
            <w:r>
              <w:rPr>
                <w:sz w:val="20"/>
              </w:rPr>
              <w:t>4 (30,77 %)</w:t>
            </w:r>
          </w:p>
        </w:tc>
        <w:tc>
          <w:tcPr>
            <w:tcW w:w="1605" w:type="dxa"/>
            <w:tcMar>
              <w:top w:w="40" w:type="dxa"/>
              <w:left w:w="40" w:type="dxa"/>
              <w:bottom w:w="40" w:type="dxa"/>
              <w:right w:w="40" w:type="dxa"/>
            </w:tcMar>
            <w:vAlign w:val="bottom"/>
          </w:tcPr>
          <w:p w14:paraId="3A2C9347" w14:textId="77777777" w:rsidR="005A17CE" w:rsidRPr="00C72437" w:rsidRDefault="00D21FFE">
            <w:pPr>
              <w:jc w:val="right"/>
            </w:pPr>
            <w:r>
              <w:rPr>
                <w:sz w:val="20"/>
              </w:rPr>
              <w:t>14</w:t>
            </w:r>
          </w:p>
        </w:tc>
        <w:tc>
          <w:tcPr>
            <w:tcW w:w="1920" w:type="dxa"/>
            <w:tcMar>
              <w:top w:w="40" w:type="dxa"/>
              <w:left w:w="40" w:type="dxa"/>
              <w:bottom w:w="40" w:type="dxa"/>
              <w:right w:w="40" w:type="dxa"/>
            </w:tcMar>
            <w:vAlign w:val="bottom"/>
          </w:tcPr>
          <w:p w14:paraId="5B1ADA97" w14:textId="77777777" w:rsidR="005A17CE" w:rsidRPr="00C72437" w:rsidRDefault="00D21FFE">
            <w:pPr>
              <w:jc w:val="right"/>
            </w:pPr>
            <w:r>
              <w:rPr>
                <w:sz w:val="20"/>
              </w:rPr>
              <w:t>2 (14,29 %)</w:t>
            </w:r>
          </w:p>
        </w:tc>
      </w:tr>
      <w:tr w:rsidR="005A17CE" w14:paraId="06C7B2C4" w14:textId="77777777" w:rsidTr="00C72437">
        <w:tc>
          <w:tcPr>
            <w:tcW w:w="2460" w:type="dxa"/>
            <w:tcMar>
              <w:top w:w="40" w:type="dxa"/>
              <w:left w:w="40" w:type="dxa"/>
              <w:bottom w:w="40" w:type="dxa"/>
              <w:right w:w="40" w:type="dxa"/>
            </w:tcMar>
            <w:vAlign w:val="bottom"/>
          </w:tcPr>
          <w:p w14:paraId="3EC03CB8" w14:textId="77777777" w:rsidR="005A17CE" w:rsidRPr="00C72437" w:rsidRDefault="00D21FFE">
            <w:r>
              <w:rPr>
                <w:sz w:val="20"/>
              </w:rPr>
              <w:t>Nordrhein-Westfalen</w:t>
            </w:r>
          </w:p>
        </w:tc>
        <w:tc>
          <w:tcPr>
            <w:tcW w:w="1440" w:type="dxa"/>
            <w:tcMar>
              <w:top w:w="40" w:type="dxa"/>
              <w:left w:w="40" w:type="dxa"/>
              <w:bottom w:w="40" w:type="dxa"/>
              <w:right w:w="40" w:type="dxa"/>
            </w:tcMar>
            <w:vAlign w:val="bottom"/>
          </w:tcPr>
          <w:p w14:paraId="6FE64797" w14:textId="77777777" w:rsidR="005A17CE" w:rsidRPr="00C72437" w:rsidRDefault="00D21FFE">
            <w:pPr>
              <w:jc w:val="right"/>
            </w:pPr>
            <w:r>
              <w:rPr>
                <w:sz w:val="20"/>
              </w:rPr>
              <w:t>28</w:t>
            </w:r>
          </w:p>
        </w:tc>
        <w:tc>
          <w:tcPr>
            <w:tcW w:w="1575" w:type="dxa"/>
            <w:tcMar>
              <w:top w:w="40" w:type="dxa"/>
              <w:left w:w="40" w:type="dxa"/>
              <w:bottom w:w="40" w:type="dxa"/>
              <w:right w:w="40" w:type="dxa"/>
            </w:tcMar>
            <w:vAlign w:val="bottom"/>
          </w:tcPr>
          <w:p w14:paraId="70556982" w14:textId="77777777" w:rsidR="005A17CE" w:rsidRPr="00C72437" w:rsidRDefault="00D21FFE">
            <w:pPr>
              <w:jc w:val="right"/>
            </w:pPr>
            <w:r>
              <w:rPr>
                <w:sz w:val="20"/>
              </w:rPr>
              <w:t>11 (39,29 %)</w:t>
            </w:r>
          </w:p>
        </w:tc>
        <w:tc>
          <w:tcPr>
            <w:tcW w:w="1605" w:type="dxa"/>
            <w:tcMar>
              <w:top w:w="40" w:type="dxa"/>
              <w:left w:w="40" w:type="dxa"/>
              <w:bottom w:w="40" w:type="dxa"/>
              <w:right w:w="40" w:type="dxa"/>
            </w:tcMar>
            <w:vAlign w:val="bottom"/>
          </w:tcPr>
          <w:p w14:paraId="17BD9199" w14:textId="77777777" w:rsidR="005A17CE" w:rsidRPr="00C72437" w:rsidRDefault="00D21FFE">
            <w:pPr>
              <w:jc w:val="right"/>
            </w:pPr>
            <w:r>
              <w:rPr>
                <w:sz w:val="20"/>
              </w:rPr>
              <w:t>38</w:t>
            </w:r>
          </w:p>
        </w:tc>
        <w:tc>
          <w:tcPr>
            <w:tcW w:w="1920" w:type="dxa"/>
            <w:tcMar>
              <w:top w:w="40" w:type="dxa"/>
              <w:left w:w="40" w:type="dxa"/>
              <w:bottom w:w="40" w:type="dxa"/>
              <w:right w:w="40" w:type="dxa"/>
            </w:tcMar>
            <w:vAlign w:val="bottom"/>
          </w:tcPr>
          <w:p w14:paraId="5E874750" w14:textId="77777777" w:rsidR="005A17CE" w:rsidRPr="00C72437" w:rsidRDefault="00D21FFE">
            <w:pPr>
              <w:jc w:val="right"/>
            </w:pPr>
            <w:r>
              <w:rPr>
                <w:sz w:val="20"/>
              </w:rPr>
              <w:t>3 (7,89 %)</w:t>
            </w:r>
          </w:p>
        </w:tc>
      </w:tr>
      <w:tr w:rsidR="005A17CE" w14:paraId="671D6A8E" w14:textId="77777777" w:rsidTr="00C72437">
        <w:tc>
          <w:tcPr>
            <w:tcW w:w="2460" w:type="dxa"/>
            <w:tcMar>
              <w:top w:w="40" w:type="dxa"/>
              <w:left w:w="40" w:type="dxa"/>
              <w:bottom w:w="40" w:type="dxa"/>
              <w:right w:w="40" w:type="dxa"/>
            </w:tcMar>
            <w:vAlign w:val="bottom"/>
          </w:tcPr>
          <w:p w14:paraId="3621AF7E" w14:textId="77777777" w:rsidR="005A17CE" w:rsidRPr="00C72437" w:rsidRDefault="00D21FFE">
            <w:r>
              <w:rPr>
                <w:sz w:val="20"/>
              </w:rPr>
              <w:lastRenderedPageBreak/>
              <w:t>Rheinland-Pfalz</w:t>
            </w:r>
          </w:p>
        </w:tc>
        <w:tc>
          <w:tcPr>
            <w:tcW w:w="1440" w:type="dxa"/>
            <w:tcMar>
              <w:top w:w="40" w:type="dxa"/>
              <w:left w:w="40" w:type="dxa"/>
              <w:bottom w:w="40" w:type="dxa"/>
              <w:right w:w="40" w:type="dxa"/>
            </w:tcMar>
            <w:vAlign w:val="bottom"/>
          </w:tcPr>
          <w:p w14:paraId="455647A5" w14:textId="77777777" w:rsidR="005A17CE" w:rsidRPr="00C72437" w:rsidRDefault="00D21FFE">
            <w:pPr>
              <w:jc w:val="right"/>
            </w:pPr>
            <w:r>
              <w:rPr>
                <w:sz w:val="20"/>
              </w:rPr>
              <w:t>8</w:t>
            </w:r>
          </w:p>
        </w:tc>
        <w:tc>
          <w:tcPr>
            <w:tcW w:w="1575" w:type="dxa"/>
            <w:tcMar>
              <w:top w:w="40" w:type="dxa"/>
              <w:left w:w="40" w:type="dxa"/>
              <w:bottom w:w="40" w:type="dxa"/>
              <w:right w:w="40" w:type="dxa"/>
            </w:tcMar>
            <w:vAlign w:val="bottom"/>
          </w:tcPr>
          <w:p w14:paraId="1A075ABD" w14:textId="77777777" w:rsidR="005A17CE" w:rsidRPr="00C72437" w:rsidRDefault="00D21FFE">
            <w:pPr>
              <w:jc w:val="right"/>
            </w:pPr>
            <w:r>
              <w:rPr>
                <w:sz w:val="20"/>
              </w:rPr>
              <w:t>4 (50,00 %)</w:t>
            </w:r>
          </w:p>
        </w:tc>
        <w:tc>
          <w:tcPr>
            <w:tcW w:w="1605" w:type="dxa"/>
            <w:tcMar>
              <w:top w:w="40" w:type="dxa"/>
              <w:left w:w="40" w:type="dxa"/>
              <w:bottom w:w="40" w:type="dxa"/>
              <w:right w:w="40" w:type="dxa"/>
            </w:tcMar>
            <w:vAlign w:val="bottom"/>
          </w:tcPr>
          <w:p w14:paraId="2730B750" w14:textId="77777777" w:rsidR="005A17CE" w:rsidRPr="00C72437" w:rsidRDefault="00D21FFE">
            <w:pPr>
              <w:jc w:val="right"/>
            </w:pPr>
            <w:r>
              <w:rPr>
                <w:sz w:val="20"/>
              </w:rPr>
              <w:t>9</w:t>
            </w:r>
          </w:p>
        </w:tc>
        <w:tc>
          <w:tcPr>
            <w:tcW w:w="1920" w:type="dxa"/>
            <w:tcMar>
              <w:top w:w="40" w:type="dxa"/>
              <w:left w:w="40" w:type="dxa"/>
              <w:bottom w:w="40" w:type="dxa"/>
              <w:right w:w="40" w:type="dxa"/>
            </w:tcMar>
            <w:vAlign w:val="bottom"/>
          </w:tcPr>
          <w:p w14:paraId="12F549D0" w14:textId="77777777" w:rsidR="005A17CE" w:rsidRPr="00C72437" w:rsidRDefault="00D21FFE">
            <w:pPr>
              <w:jc w:val="right"/>
            </w:pPr>
            <w:r>
              <w:rPr>
                <w:sz w:val="20"/>
              </w:rPr>
              <w:t>0 (0,00 %)</w:t>
            </w:r>
          </w:p>
        </w:tc>
      </w:tr>
      <w:tr w:rsidR="005A17CE" w14:paraId="64393AA8" w14:textId="77777777" w:rsidTr="00C72437">
        <w:tc>
          <w:tcPr>
            <w:tcW w:w="2460" w:type="dxa"/>
            <w:tcMar>
              <w:top w:w="40" w:type="dxa"/>
              <w:left w:w="40" w:type="dxa"/>
              <w:bottom w:w="40" w:type="dxa"/>
              <w:right w:w="40" w:type="dxa"/>
            </w:tcMar>
            <w:vAlign w:val="bottom"/>
          </w:tcPr>
          <w:p w14:paraId="6E8DBA0D" w14:textId="77777777" w:rsidR="005A17CE" w:rsidRPr="00C72437" w:rsidRDefault="00D21FFE">
            <w:r>
              <w:rPr>
                <w:sz w:val="20"/>
              </w:rPr>
              <w:t>Saarland</w:t>
            </w:r>
          </w:p>
        </w:tc>
        <w:tc>
          <w:tcPr>
            <w:tcW w:w="1440" w:type="dxa"/>
            <w:tcMar>
              <w:top w:w="40" w:type="dxa"/>
              <w:left w:w="40" w:type="dxa"/>
              <w:bottom w:w="40" w:type="dxa"/>
              <w:right w:w="40" w:type="dxa"/>
            </w:tcMar>
            <w:vAlign w:val="bottom"/>
          </w:tcPr>
          <w:p w14:paraId="4E277736" w14:textId="77777777" w:rsidR="005A17CE" w:rsidRPr="00C72437" w:rsidRDefault="00D21FFE">
            <w:pPr>
              <w:jc w:val="right"/>
            </w:pPr>
            <w:r>
              <w:rPr>
                <w:sz w:val="20"/>
              </w:rPr>
              <w:t>3</w:t>
            </w:r>
          </w:p>
        </w:tc>
        <w:tc>
          <w:tcPr>
            <w:tcW w:w="1575" w:type="dxa"/>
            <w:tcMar>
              <w:top w:w="40" w:type="dxa"/>
              <w:left w:w="40" w:type="dxa"/>
              <w:bottom w:w="40" w:type="dxa"/>
              <w:right w:w="40" w:type="dxa"/>
            </w:tcMar>
            <w:vAlign w:val="bottom"/>
          </w:tcPr>
          <w:p w14:paraId="5B15416F" w14:textId="77777777" w:rsidR="005A17CE" w:rsidRPr="00C72437" w:rsidRDefault="00D21FFE">
            <w:pPr>
              <w:jc w:val="right"/>
            </w:pPr>
            <w:r>
              <w:rPr>
                <w:sz w:val="20"/>
              </w:rPr>
              <w:t>1 (33,33 %)</w:t>
            </w:r>
          </w:p>
        </w:tc>
        <w:tc>
          <w:tcPr>
            <w:tcW w:w="1605" w:type="dxa"/>
            <w:tcMar>
              <w:top w:w="40" w:type="dxa"/>
              <w:left w:w="40" w:type="dxa"/>
              <w:bottom w:w="40" w:type="dxa"/>
              <w:right w:w="40" w:type="dxa"/>
            </w:tcMar>
            <w:vAlign w:val="bottom"/>
          </w:tcPr>
          <w:p w14:paraId="597C31F7" w14:textId="77777777" w:rsidR="005A17CE" w:rsidRPr="00C72437" w:rsidRDefault="00D21FFE">
            <w:pPr>
              <w:jc w:val="right"/>
            </w:pPr>
            <w:r>
              <w:rPr>
                <w:sz w:val="20"/>
              </w:rPr>
              <w:t>2</w:t>
            </w:r>
          </w:p>
        </w:tc>
        <w:tc>
          <w:tcPr>
            <w:tcW w:w="1920" w:type="dxa"/>
            <w:tcMar>
              <w:top w:w="40" w:type="dxa"/>
              <w:left w:w="40" w:type="dxa"/>
              <w:bottom w:w="40" w:type="dxa"/>
              <w:right w:w="40" w:type="dxa"/>
            </w:tcMar>
            <w:vAlign w:val="bottom"/>
          </w:tcPr>
          <w:p w14:paraId="0C95A720" w14:textId="77777777" w:rsidR="005A17CE" w:rsidRPr="00C72437" w:rsidRDefault="00D21FFE">
            <w:pPr>
              <w:jc w:val="right"/>
            </w:pPr>
            <w:r>
              <w:rPr>
                <w:sz w:val="20"/>
              </w:rPr>
              <w:t>0 (0,00 %)</w:t>
            </w:r>
          </w:p>
        </w:tc>
      </w:tr>
      <w:tr w:rsidR="005A17CE" w14:paraId="7E7A2380" w14:textId="77777777" w:rsidTr="00C72437">
        <w:tc>
          <w:tcPr>
            <w:tcW w:w="2460" w:type="dxa"/>
            <w:tcMar>
              <w:top w:w="40" w:type="dxa"/>
              <w:left w:w="40" w:type="dxa"/>
              <w:bottom w:w="40" w:type="dxa"/>
              <w:right w:w="40" w:type="dxa"/>
            </w:tcMar>
            <w:vAlign w:val="bottom"/>
          </w:tcPr>
          <w:p w14:paraId="028C3C8A" w14:textId="77777777" w:rsidR="005A17CE" w:rsidRPr="00C72437" w:rsidRDefault="00D21FFE">
            <w:r>
              <w:rPr>
                <w:sz w:val="20"/>
              </w:rPr>
              <w:t>Sachsen</w:t>
            </w:r>
          </w:p>
        </w:tc>
        <w:tc>
          <w:tcPr>
            <w:tcW w:w="1440" w:type="dxa"/>
            <w:tcMar>
              <w:top w:w="40" w:type="dxa"/>
              <w:left w:w="40" w:type="dxa"/>
              <w:bottom w:w="40" w:type="dxa"/>
              <w:right w:w="40" w:type="dxa"/>
            </w:tcMar>
            <w:vAlign w:val="bottom"/>
          </w:tcPr>
          <w:p w14:paraId="58FB3720" w14:textId="77777777" w:rsidR="005A17CE" w:rsidRPr="00C72437" w:rsidRDefault="00D21FFE">
            <w:pPr>
              <w:jc w:val="right"/>
            </w:pPr>
            <w:r>
              <w:rPr>
                <w:sz w:val="20"/>
              </w:rPr>
              <w:t>11</w:t>
            </w:r>
          </w:p>
        </w:tc>
        <w:tc>
          <w:tcPr>
            <w:tcW w:w="1575" w:type="dxa"/>
            <w:tcMar>
              <w:top w:w="40" w:type="dxa"/>
              <w:left w:w="40" w:type="dxa"/>
              <w:bottom w:w="40" w:type="dxa"/>
              <w:right w:w="40" w:type="dxa"/>
            </w:tcMar>
            <w:vAlign w:val="bottom"/>
          </w:tcPr>
          <w:p w14:paraId="387E9AEC" w14:textId="77777777" w:rsidR="005A17CE" w:rsidRPr="00C72437" w:rsidRDefault="00D21FFE">
            <w:pPr>
              <w:jc w:val="right"/>
            </w:pPr>
            <w:r>
              <w:rPr>
                <w:sz w:val="20"/>
              </w:rPr>
              <w:t>4 (36,36 %)</w:t>
            </w:r>
          </w:p>
        </w:tc>
        <w:tc>
          <w:tcPr>
            <w:tcW w:w="1605" w:type="dxa"/>
            <w:tcMar>
              <w:top w:w="40" w:type="dxa"/>
              <w:left w:w="40" w:type="dxa"/>
              <w:bottom w:w="40" w:type="dxa"/>
              <w:right w:w="40" w:type="dxa"/>
            </w:tcMar>
            <w:vAlign w:val="bottom"/>
          </w:tcPr>
          <w:p w14:paraId="6C0A2779" w14:textId="77777777" w:rsidR="005A17CE" w:rsidRPr="00C72437" w:rsidRDefault="00D21FFE">
            <w:pPr>
              <w:jc w:val="right"/>
            </w:pPr>
            <w:r>
              <w:rPr>
                <w:sz w:val="20"/>
              </w:rPr>
              <w:t>12</w:t>
            </w:r>
          </w:p>
        </w:tc>
        <w:tc>
          <w:tcPr>
            <w:tcW w:w="1920" w:type="dxa"/>
            <w:tcMar>
              <w:top w:w="40" w:type="dxa"/>
              <w:left w:w="40" w:type="dxa"/>
              <w:bottom w:w="40" w:type="dxa"/>
              <w:right w:w="40" w:type="dxa"/>
            </w:tcMar>
            <w:vAlign w:val="bottom"/>
          </w:tcPr>
          <w:p w14:paraId="5C9941B2" w14:textId="77777777" w:rsidR="005A17CE" w:rsidRPr="00C72437" w:rsidRDefault="00D21FFE">
            <w:pPr>
              <w:jc w:val="right"/>
            </w:pPr>
            <w:r>
              <w:rPr>
                <w:sz w:val="20"/>
              </w:rPr>
              <w:t>1 (7,89 %)</w:t>
            </w:r>
          </w:p>
        </w:tc>
      </w:tr>
      <w:tr w:rsidR="005A17CE" w14:paraId="0DDFFE96" w14:textId="77777777" w:rsidTr="00C72437">
        <w:tc>
          <w:tcPr>
            <w:tcW w:w="2460" w:type="dxa"/>
            <w:tcMar>
              <w:top w:w="40" w:type="dxa"/>
              <w:left w:w="40" w:type="dxa"/>
              <w:bottom w:w="40" w:type="dxa"/>
              <w:right w:w="40" w:type="dxa"/>
            </w:tcMar>
            <w:vAlign w:val="bottom"/>
          </w:tcPr>
          <w:p w14:paraId="2EB0DD89" w14:textId="77777777" w:rsidR="005A17CE" w:rsidRPr="00C72437" w:rsidRDefault="00D21FFE">
            <w:r>
              <w:rPr>
                <w:sz w:val="20"/>
              </w:rPr>
              <w:t>Sachsen-Anhalt</w:t>
            </w:r>
          </w:p>
        </w:tc>
        <w:tc>
          <w:tcPr>
            <w:tcW w:w="1440" w:type="dxa"/>
            <w:tcMar>
              <w:top w:w="40" w:type="dxa"/>
              <w:left w:w="40" w:type="dxa"/>
              <w:bottom w:w="40" w:type="dxa"/>
              <w:right w:w="40" w:type="dxa"/>
            </w:tcMar>
            <w:vAlign w:val="bottom"/>
          </w:tcPr>
          <w:p w14:paraId="522FAA4F" w14:textId="77777777" w:rsidR="005A17CE" w:rsidRPr="00C72437" w:rsidRDefault="00D21FFE">
            <w:pPr>
              <w:jc w:val="right"/>
            </w:pPr>
            <w:r>
              <w:rPr>
                <w:sz w:val="20"/>
              </w:rPr>
              <w:t>4</w:t>
            </w:r>
          </w:p>
        </w:tc>
        <w:tc>
          <w:tcPr>
            <w:tcW w:w="1575" w:type="dxa"/>
            <w:tcMar>
              <w:top w:w="40" w:type="dxa"/>
              <w:left w:w="40" w:type="dxa"/>
              <w:bottom w:w="40" w:type="dxa"/>
              <w:right w:w="40" w:type="dxa"/>
            </w:tcMar>
            <w:vAlign w:val="bottom"/>
          </w:tcPr>
          <w:p w14:paraId="09A574DD" w14:textId="77777777" w:rsidR="005A17CE" w:rsidRPr="00C72437" w:rsidRDefault="00D21FFE">
            <w:pPr>
              <w:jc w:val="right"/>
            </w:pPr>
            <w:r>
              <w:rPr>
                <w:sz w:val="20"/>
              </w:rPr>
              <w:t>1 (25,00 %)</w:t>
            </w:r>
          </w:p>
        </w:tc>
        <w:tc>
          <w:tcPr>
            <w:tcW w:w="1605" w:type="dxa"/>
            <w:tcMar>
              <w:top w:w="40" w:type="dxa"/>
              <w:left w:w="40" w:type="dxa"/>
              <w:bottom w:w="40" w:type="dxa"/>
              <w:right w:w="40" w:type="dxa"/>
            </w:tcMar>
            <w:vAlign w:val="bottom"/>
          </w:tcPr>
          <w:p w14:paraId="2B8105CC" w14:textId="77777777" w:rsidR="005A17CE" w:rsidRPr="00C72437" w:rsidRDefault="00D21FFE">
            <w:pPr>
              <w:jc w:val="right"/>
            </w:pPr>
            <w:r>
              <w:rPr>
                <w:sz w:val="20"/>
              </w:rPr>
              <w:t>5</w:t>
            </w:r>
          </w:p>
        </w:tc>
        <w:tc>
          <w:tcPr>
            <w:tcW w:w="1920" w:type="dxa"/>
            <w:tcMar>
              <w:top w:w="40" w:type="dxa"/>
              <w:left w:w="40" w:type="dxa"/>
              <w:bottom w:w="40" w:type="dxa"/>
              <w:right w:w="40" w:type="dxa"/>
            </w:tcMar>
            <w:vAlign w:val="bottom"/>
          </w:tcPr>
          <w:p w14:paraId="0FC82FD7" w14:textId="77777777" w:rsidR="005A17CE" w:rsidRPr="00C72437" w:rsidRDefault="00D21FFE">
            <w:pPr>
              <w:jc w:val="right"/>
            </w:pPr>
            <w:r>
              <w:rPr>
                <w:sz w:val="20"/>
              </w:rPr>
              <w:t>0 (0,00 %)</w:t>
            </w:r>
          </w:p>
        </w:tc>
      </w:tr>
      <w:tr w:rsidR="005A17CE" w14:paraId="04F7D4AC" w14:textId="77777777" w:rsidTr="00C72437">
        <w:tc>
          <w:tcPr>
            <w:tcW w:w="2460" w:type="dxa"/>
            <w:tcMar>
              <w:top w:w="40" w:type="dxa"/>
              <w:left w:w="40" w:type="dxa"/>
              <w:bottom w:w="40" w:type="dxa"/>
              <w:right w:w="40" w:type="dxa"/>
            </w:tcMar>
            <w:vAlign w:val="bottom"/>
          </w:tcPr>
          <w:p w14:paraId="65366BCC" w14:textId="77777777" w:rsidR="005A17CE" w:rsidRPr="00C72437" w:rsidRDefault="00D21FFE">
            <w:r>
              <w:rPr>
                <w:sz w:val="20"/>
              </w:rPr>
              <w:t>Schleswig-Holstein</w:t>
            </w:r>
          </w:p>
        </w:tc>
        <w:tc>
          <w:tcPr>
            <w:tcW w:w="1440" w:type="dxa"/>
            <w:tcMar>
              <w:top w:w="40" w:type="dxa"/>
              <w:left w:w="40" w:type="dxa"/>
              <w:bottom w:w="40" w:type="dxa"/>
              <w:right w:w="40" w:type="dxa"/>
            </w:tcMar>
            <w:vAlign w:val="bottom"/>
          </w:tcPr>
          <w:p w14:paraId="73D270DC" w14:textId="77777777" w:rsidR="005A17CE" w:rsidRPr="00C72437" w:rsidRDefault="00D21FFE">
            <w:pPr>
              <w:jc w:val="right"/>
            </w:pPr>
            <w:r>
              <w:rPr>
                <w:sz w:val="20"/>
              </w:rPr>
              <w:t>5</w:t>
            </w:r>
          </w:p>
        </w:tc>
        <w:tc>
          <w:tcPr>
            <w:tcW w:w="1575" w:type="dxa"/>
            <w:tcMar>
              <w:top w:w="40" w:type="dxa"/>
              <w:left w:w="40" w:type="dxa"/>
              <w:bottom w:w="40" w:type="dxa"/>
              <w:right w:w="40" w:type="dxa"/>
            </w:tcMar>
            <w:vAlign w:val="bottom"/>
          </w:tcPr>
          <w:p w14:paraId="6B409C82" w14:textId="77777777" w:rsidR="005A17CE" w:rsidRPr="00C72437" w:rsidRDefault="00D21FFE">
            <w:pPr>
              <w:jc w:val="right"/>
            </w:pPr>
            <w:r>
              <w:rPr>
                <w:sz w:val="20"/>
              </w:rPr>
              <w:t>1 (20,00 %)</w:t>
            </w:r>
          </w:p>
        </w:tc>
        <w:tc>
          <w:tcPr>
            <w:tcW w:w="1605" w:type="dxa"/>
            <w:tcMar>
              <w:top w:w="40" w:type="dxa"/>
              <w:left w:w="40" w:type="dxa"/>
              <w:bottom w:w="40" w:type="dxa"/>
              <w:right w:w="40" w:type="dxa"/>
            </w:tcMar>
            <w:vAlign w:val="bottom"/>
          </w:tcPr>
          <w:p w14:paraId="28C11958" w14:textId="77777777" w:rsidR="005A17CE" w:rsidRPr="00C72437" w:rsidRDefault="00D21FFE">
            <w:pPr>
              <w:jc w:val="right"/>
            </w:pPr>
            <w:r>
              <w:rPr>
                <w:sz w:val="20"/>
              </w:rPr>
              <w:t>7</w:t>
            </w:r>
          </w:p>
        </w:tc>
        <w:tc>
          <w:tcPr>
            <w:tcW w:w="1920" w:type="dxa"/>
            <w:tcMar>
              <w:top w:w="40" w:type="dxa"/>
              <w:left w:w="40" w:type="dxa"/>
              <w:bottom w:w="40" w:type="dxa"/>
              <w:right w:w="40" w:type="dxa"/>
            </w:tcMar>
            <w:vAlign w:val="bottom"/>
          </w:tcPr>
          <w:p w14:paraId="12F61106" w14:textId="77777777" w:rsidR="005A17CE" w:rsidRPr="00C72437" w:rsidRDefault="00D21FFE">
            <w:pPr>
              <w:jc w:val="right"/>
            </w:pPr>
            <w:r>
              <w:rPr>
                <w:sz w:val="20"/>
              </w:rPr>
              <w:t>0 (0,00 %)</w:t>
            </w:r>
          </w:p>
        </w:tc>
      </w:tr>
      <w:tr w:rsidR="005A17CE" w14:paraId="76DE4B88" w14:textId="77777777" w:rsidTr="00C72437">
        <w:tc>
          <w:tcPr>
            <w:tcW w:w="2460" w:type="dxa"/>
            <w:tcMar>
              <w:top w:w="40" w:type="dxa"/>
              <w:left w:w="40" w:type="dxa"/>
              <w:bottom w:w="40" w:type="dxa"/>
              <w:right w:w="40" w:type="dxa"/>
            </w:tcMar>
            <w:vAlign w:val="bottom"/>
          </w:tcPr>
          <w:p w14:paraId="32A67485" w14:textId="77777777" w:rsidR="005A17CE" w:rsidRPr="00C72437" w:rsidRDefault="00D21FFE">
            <w:r>
              <w:rPr>
                <w:sz w:val="20"/>
              </w:rPr>
              <w:t>Thüringen</w:t>
            </w:r>
          </w:p>
        </w:tc>
        <w:tc>
          <w:tcPr>
            <w:tcW w:w="1440" w:type="dxa"/>
            <w:tcMar>
              <w:top w:w="40" w:type="dxa"/>
              <w:left w:w="40" w:type="dxa"/>
              <w:bottom w:w="40" w:type="dxa"/>
              <w:right w:w="40" w:type="dxa"/>
            </w:tcMar>
            <w:vAlign w:val="bottom"/>
          </w:tcPr>
          <w:p w14:paraId="36D0E856" w14:textId="77777777" w:rsidR="005A17CE" w:rsidRPr="00C72437" w:rsidRDefault="00D21FFE">
            <w:pPr>
              <w:jc w:val="right"/>
            </w:pPr>
            <w:r>
              <w:rPr>
                <w:sz w:val="20"/>
              </w:rPr>
              <w:t>5</w:t>
            </w:r>
          </w:p>
        </w:tc>
        <w:tc>
          <w:tcPr>
            <w:tcW w:w="1575" w:type="dxa"/>
            <w:tcMar>
              <w:top w:w="40" w:type="dxa"/>
              <w:left w:w="40" w:type="dxa"/>
              <w:bottom w:w="40" w:type="dxa"/>
              <w:right w:w="40" w:type="dxa"/>
            </w:tcMar>
            <w:vAlign w:val="bottom"/>
          </w:tcPr>
          <w:p w14:paraId="076DF2CD" w14:textId="77777777" w:rsidR="005A17CE" w:rsidRPr="00C72437" w:rsidRDefault="00D21FFE">
            <w:pPr>
              <w:jc w:val="right"/>
            </w:pPr>
            <w:r>
              <w:rPr>
                <w:sz w:val="20"/>
              </w:rPr>
              <w:t>2 (40,00 %)</w:t>
            </w:r>
          </w:p>
        </w:tc>
        <w:tc>
          <w:tcPr>
            <w:tcW w:w="1605" w:type="dxa"/>
            <w:tcMar>
              <w:top w:w="40" w:type="dxa"/>
              <w:left w:w="40" w:type="dxa"/>
              <w:bottom w:w="40" w:type="dxa"/>
              <w:right w:w="40" w:type="dxa"/>
            </w:tcMar>
            <w:vAlign w:val="bottom"/>
          </w:tcPr>
          <w:p w14:paraId="200867DC" w14:textId="77777777" w:rsidR="005A17CE" w:rsidRPr="00C72437" w:rsidRDefault="00D21FFE">
            <w:pPr>
              <w:jc w:val="right"/>
            </w:pPr>
            <w:r>
              <w:rPr>
                <w:sz w:val="20"/>
              </w:rPr>
              <w:t>6</w:t>
            </w:r>
          </w:p>
        </w:tc>
        <w:tc>
          <w:tcPr>
            <w:tcW w:w="1920" w:type="dxa"/>
            <w:tcMar>
              <w:top w:w="40" w:type="dxa"/>
              <w:left w:w="40" w:type="dxa"/>
              <w:bottom w:w="40" w:type="dxa"/>
              <w:right w:w="40" w:type="dxa"/>
            </w:tcMar>
            <w:vAlign w:val="bottom"/>
          </w:tcPr>
          <w:p w14:paraId="7D851E09" w14:textId="77777777" w:rsidR="005A17CE" w:rsidRPr="00C72437" w:rsidRDefault="00D21FFE">
            <w:pPr>
              <w:jc w:val="right"/>
            </w:pPr>
            <w:r>
              <w:rPr>
                <w:sz w:val="20"/>
              </w:rPr>
              <w:t>0 (0,00 %)</w:t>
            </w:r>
          </w:p>
        </w:tc>
      </w:tr>
      <w:tr w:rsidR="005A17CE" w14:paraId="2FA43B4D" w14:textId="77777777" w:rsidTr="00C72437">
        <w:tc>
          <w:tcPr>
            <w:tcW w:w="2460" w:type="dxa"/>
            <w:tcBorders>
              <w:bottom w:val="single" w:sz="8" w:space="0" w:color="CCCCCC"/>
            </w:tcBorders>
            <w:tcMar>
              <w:top w:w="40" w:type="dxa"/>
              <w:left w:w="40" w:type="dxa"/>
              <w:bottom w:w="40" w:type="dxa"/>
              <w:right w:w="40" w:type="dxa"/>
            </w:tcMar>
            <w:vAlign w:val="bottom"/>
          </w:tcPr>
          <w:p w14:paraId="4904A1CF" w14:textId="77777777" w:rsidR="005A17CE" w:rsidRDefault="00D21FFE">
            <w:r>
              <w:rPr>
                <w:sz w:val="20"/>
              </w:rPr>
              <w:t>Mecklenburg-Vorpommern</w:t>
            </w:r>
            <w:r w:rsidRPr="00C72437">
              <w:rPr>
                <w:b/>
                <w:sz w:val="20"/>
              </w:rPr>
              <w:footnoteReference w:id="13"/>
            </w:r>
          </w:p>
        </w:tc>
        <w:tc>
          <w:tcPr>
            <w:tcW w:w="1440" w:type="dxa"/>
            <w:tcBorders>
              <w:bottom w:val="single" w:sz="8" w:space="0" w:color="CCCCCC"/>
            </w:tcBorders>
            <w:tcMar>
              <w:top w:w="40" w:type="dxa"/>
              <w:left w:w="40" w:type="dxa"/>
              <w:bottom w:w="40" w:type="dxa"/>
              <w:right w:w="40" w:type="dxa"/>
            </w:tcMar>
            <w:vAlign w:val="bottom"/>
          </w:tcPr>
          <w:p w14:paraId="51C05059" w14:textId="77777777" w:rsidR="005A17CE" w:rsidRPr="00C72437" w:rsidRDefault="00D21FFE">
            <w:pPr>
              <w:jc w:val="right"/>
            </w:pPr>
            <w:r>
              <w:rPr>
                <w:sz w:val="20"/>
              </w:rPr>
              <w:t>3</w:t>
            </w:r>
          </w:p>
        </w:tc>
        <w:tc>
          <w:tcPr>
            <w:tcW w:w="1575" w:type="dxa"/>
            <w:tcBorders>
              <w:bottom w:val="single" w:sz="8" w:space="0" w:color="CCCCCC"/>
            </w:tcBorders>
            <w:tcMar>
              <w:top w:w="40" w:type="dxa"/>
              <w:left w:w="40" w:type="dxa"/>
              <w:bottom w:w="40" w:type="dxa"/>
              <w:right w:w="40" w:type="dxa"/>
            </w:tcMar>
            <w:vAlign w:val="bottom"/>
          </w:tcPr>
          <w:p w14:paraId="59D7517A" w14:textId="77777777" w:rsidR="005A17CE" w:rsidRPr="00C72437" w:rsidRDefault="00D21FFE">
            <w:pPr>
              <w:jc w:val="right"/>
            </w:pPr>
            <w:r>
              <w:rPr>
                <w:sz w:val="20"/>
              </w:rPr>
              <w:t>0 (0,00 %)</w:t>
            </w:r>
          </w:p>
        </w:tc>
        <w:tc>
          <w:tcPr>
            <w:tcW w:w="1605" w:type="dxa"/>
            <w:tcBorders>
              <w:bottom w:val="single" w:sz="8" w:space="0" w:color="CCCCCC"/>
            </w:tcBorders>
            <w:tcMar>
              <w:top w:w="40" w:type="dxa"/>
              <w:left w:w="40" w:type="dxa"/>
              <w:bottom w:w="40" w:type="dxa"/>
              <w:right w:w="40" w:type="dxa"/>
            </w:tcMar>
            <w:vAlign w:val="bottom"/>
          </w:tcPr>
          <w:p w14:paraId="345DABC8" w14:textId="77777777" w:rsidR="005A17CE" w:rsidRPr="00C72437" w:rsidRDefault="00D21FFE">
            <w:pPr>
              <w:jc w:val="right"/>
            </w:pPr>
            <w:r>
              <w:rPr>
                <w:sz w:val="20"/>
              </w:rPr>
              <w:t>4</w:t>
            </w:r>
          </w:p>
        </w:tc>
        <w:tc>
          <w:tcPr>
            <w:tcW w:w="1920" w:type="dxa"/>
            <w:tcBorders>
              <w:bottom w:val="single" w:sz="8" w:space="0" w:color="CCCCCC"/>
            </w:tcBorders>
            <w:tcMar>
              <w:top w:w="40" w:type="dxa"/>
              <w:left w:w="40" w:type="dxa"/>
              <w:bottom w:w="40" w:type="dxa"/>
              <w:right w:w="40" w:type="dxa"/>
            </w:tcMar>
            <w:vAlign w:val="bottom"/>
          </w:tcPr>
          <w:p w14:paraId="0893F82B" w14:textId="77777777" w:rsidR="005A17CE" w:rsidRPr="00C72437" w:rsidRDefault="00D21FFE">
            <w:pPr>
              <w:jc w:val="right"/>
            </w:pPr>
            <w:r>
              <w:rPr>
                <w:sz w:val="20"/>
              </w:rPr>
              <w:t>0 (0,00 %)</w:t>
            </w:r>
          </w:p>
        </w:tc>
      </w:tr>
      <w:tr w:rsidR="005A17CE" w14:paraId="648C4BFB" w14:textId="77777777" w:rsidTr="00C72437">
        <w:tc>
          <w:tcPr>
            <w:tcW w:w="24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A83BCDB" w14:textId="77777777" w:rsidR="005A17CE" w:rsidRPr="00C72437" w:rsidRDefault="00D21FFE">
            <w:r>
              <w:rPr>
                <w:b/>
                <w:sz w:val="20"/>
              </w:rPr>
              <w:t>Gesamt BRD</w:t>
            </w:r>
          </w:p>
        </w:tc>
        <w:tc>
          <w:tcPr>
            <w:tcW w:w="14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AF10D21" w14:textId="77777777" w:rsidR="005A17CE" w:rsidRPr="00C72437" w:rsidRDefault="00D21FFE">
            <w:pPr>
              <w:jc w:val="right"/>
            </w:pPr>
            <w:r>
              <w:rPr>
                <w:b/>
                <w:sz w:val="20"/>
              </w:rPr>
              <w:t>169</w:t>
            </w:r>
          </w:p>
        </w:tc>
        <w:tc>
          <w:tcPr>
            <w:tcW w:w="157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C917039" w14:textId="77777777" w:rsidR="005A17CE" w:rsidRPr="00C72437" w:rsidRDefault="00D21FFE">
            <w:pPr>
              <w:jc w:val="right"/>
            </w:pPr>
            <w:r>
              <w:rPr>
                <w:b/>
                <w:sz w:val="20"/>
              </w:rPr>
              <w:t>71 (42,01 %)</w:t>
            </w:r>
          </w:p>
        </w:tc>
        <w:tc>
          <w:tcPr>
            <w:tcW w:w="16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28B0E42" w14:textId="77777777" w:rsidR="005A17CE" w:rsidRPr="00C72437" w:rsidRDefault="00D21FFE">
            <w:pPr>
              <w:jc w:val="right"/>
            </w:pPr>
            <w:r>
              <w:rPr>
                <w:b/>
                <w:sz w:val="20"/>
              </w:rPr>
              <w:t>224</w:t>
            </w:r>
          </w:p>
        </w:tc>
        <w:tc>
          <w:tcPr>
            <w:tcW w:w="19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BAE9B65" w14:textId="77777777" w:rsidR="005A17CE" w:rsidRPr="00C72437" w:rsidRDefault="00D21FFE">
            <w:pPr>
              <w:jc w:val="right"/>
            </w:pPr>
            <w:r>
              <w:rPr>
                <w:b/>
                <w:sz w:val="20"/>
              </w:rPr>
              <w:t>21 (9,38 %)</w:t>
            </w:r>
          </w:p>
        </w:tc>
      </w:tr>
    </w:tbl>
    <w:p w14:paraId="754BC84D" w14:textId="77777777" w:rsidR="005A17CE" w:rsidRDefault="005A17CE">
      <w:pPr>
        <w:jc w:val="both"/>
      </w:pPr>
    </w:p>
    <w:p w14:paraId="7750364B" w14:textId="19E1BDF5" w:rsidR="005A17CE" w:rsidRDefault="00D21FFE">
      <w:pPr>
        <w:jc w:val="both"/>
      </w:pPr>
      <w:r>
        <w:rPr>
          <w:rFonts w:ascii="Helvetica Neue" w:eastAsia="Helvetica Neue" w:hAnsi="Helvetica Neue" w:cs="Helvetica Neue"/>
        </w:rPr>
        <w:t xml:space="preserve">Tabelle 2 zeigt, dass 42,01 % aller deutschen Universitäten und 9,38 % aller deutschen Fachhochschulen ein OAR </w:t>
      </w:r>
      <w:r w:rsidR="00BB0CA2">
        <w:rPr>
          <w:rFonts w:ascii="Helvetica Neue" w:eastAsia="Helvetica Neue" w:hAnsi="Helvetica Neue" w:cs="Helvetica Neue"/>
        </w:rPr>
        <w:t>betre</w:t>
      </w:r>
      <w:r w:rsidR="00272D5C">
        <w:rPr>
          <w:rFonts w:ascii="Helvetica Neue" w:eastAsia="Helvetica Neue" w:hAnsi="Helvetica Neue" w:cs="Helvetica Neue"/>
        </w:rPr>
        <w:t>i</w:t>
      </w:r>
      <w:r w:rsidR="00BB0CA2">
        <w:rPr>
          <w:rFonts w:ascii="Helvetica Neue" w:eastAsia="Helvetica Neue" w:hAnsi="Helvetica Neue" w:cs="Helvetica Neue"/>
        </w:rPr>
        <w:t>ben</w:t>
      </w:r>
      <w:r>
        <w:rPr>
          <w:rFonts w:ascii="Helvetica Neue" w:eastAsia="Helvetica Neue" w:hAnsi="Helvetica Neue" w:cs="Helvetica Neue"/>
        </w:rPr>
        <w:t>. Wichtig hierbei ist zu wissen, dass zu den Universitäten laut HRK auch Musik- und Kunsthochschulen zählen. Baden-Württemberg, Bayern und Nordrhein-Westfalen haben eine hohe Anzahl an Universitäten, zugleich aber auch einen hohen Anteil an Fachhochschulen, die ein OAR betreiben. Die drei Bundesländer entsprechen somit dem Bundesdurchschnitt. Vorbildcharakter kann den Hochschulen im Land Brandenburg zugesprochen werden: Alle vier Universitäten betreiben ein OAR und drei von sechs Fachhochschulen betreiben ein OAR. Einige Bundesländer schneiden deutlich schlechter ab: Weniger als die Hälfte der dortigen Universitäten betreiben OAR und an den Fachhochschulen werden teilweise gar keine OAR betrieben.</w:t>
      </w:r>
      <w:r w:rsidR="00BB0CA2">
        <w:rPr>
          <w:rFonts w:ascii="Helvetica Neue" w:eastAsia="Helvetica Neue" w:hAnsi="Helvetica Neue" w:cs="Helvetica Neue"/>
        </w:rPr>
        <w:t xml:space="preserve"> </w:t>
      </w:r>
    </w:p>
    <w:p w14:paraId="5B3FD30E" w14:textId="77777777" w:rsidR="005A17CE" w:rsidRDefault="005A17CE">
      <w:pPr>
        <w:jc w:val="both"/>
      </w:pPr>
    </w:p>
    <w:p w14:paraId="3A90AB02" w14:textId="77777777" w:rsidR="005A17CE" w:rsidRDefault="00D21FFE">
      <w:pPr>
        <w:jc w:val="both"/>
      </w:pPr>
      <w:r>
        <w:rPr>
          <w:rFonts w:ascii="Helvetica Neue" w:eastAsia="Helvetica Neue" w:hAnsi="Helvetica Neue" w:cs="Helvetica Neue"/>
        </w:rPr>
        <w:t>Als Ursachen dafür, dass nicht einmal die Hälfte aller deutschen Universitäten ein OAR betreiben und den noch deutlich geringeren Anteil der Fachhochschulen, die ein OAR betreiben, lassen sich nur Vermutungen anstellen: Vielleicht steht dies im Zusammenhang mit mangelnder Kenntnis oder Akzeptanz des grünen Wegs des Open-Access-Publizierens, mit mangelnden Ressourcen oder auch einem verhältnismäßig geringen (OA-)Publikationsaufkommen der entsprechenden Institutionen. Dieser letzteren Forschungslücke ließe sich mit einem flächendeckenden Einsatz von Hochschulbibliografien bzw. Forschungsinformationssystemen (FIS) und entsprechenden gemeinsamen Datenstandards annähern.</w:t>
      </w:r>
    </w:p>
    <w:p w14:paraId="5AFD4D48" w14:textId="77777777" w:rsidR="005A17CE" w:rsidRDefault="005A17CE">
      <w:pPr>
        <w:jc w:val="both"/>
      </w:pPr>
    </w:p>
    <w:p w14:paraId="428AB007" w14:textId="77777777" w:rsidR="005A17CE" w:rsidRDefault="00D21FFE" w:rsidP="00E47CA6">
      <w:pPr>
        <w:pStyle w:val="berschrift3"/>
        <w:contextualSpacing w:val="0"/>
        <w:jc w:val="both"/>
      </w:pPr>
      <w:bookmarkStart w:id="9" w:name="h.3f6en5b0wf5n"/>
      <w:bookmarkEnd w:id="9"/>
      <w:r>
        <w:t>Größe der Open-Access-Repositorien (Zahl der items in den Repositorien)</w:t>
      </w:r>
    </w:p>
    <w:p w14:paraId="5D8FD375" w14:textId="77777777" w:rsidR="005A17CE" w:rsidRDefault="005A17CE">
      <w:pPr>
        <w:jc w:val="both"/>
      </w:pPr>
    </w:p>
    <w:p w14:paraId="71B02450" w14:textId="7F087B13" w:rsidR="005A17CE" w:rsidRDefault="00D21FFE">
      <w:pPr>
        <w:jc w:val="both"/>
      </w:pPr>
      <w:r>
        <w:rPr>
          <w:rFonts w:ascii="Helvetica Neue" w:eastAsia="Helvetica Neue" w:hAnsi="Helvetica Neue" w:cs="Helvetica Neue"/>
        </w:rPr>
        <w:t>Neben der Anzahl der OAR pro Bundesland wurden im 2014 Census ihre jeweilige Größe erfasst. Die Größe eines OAR meint die Zahl der im OAR verfügbaren items (Metadatensätze). Diese Angaben wurden wie eingangs beschrieben von BASE geliefert.</w:t>
      </w:r>
    </w:p>
    <w:p w14:paraId="0D6E1816" w14:textId="77777777" w:rsidR="005A17CE" w:rsidRDefault="005A17CE">
      <w:pPr>
        <w:jc w:val="both"/>
      </w:pPr>
    </w:p>
    <w:p w14:paraId="539EC3C1" w14:textId="10CB7274" w:rsidR="005A17CE" w:rsidRDefault="00D21FFE">
      <w:pPr>
        <w:jc w:val="both"/>
      </w:pPr>
      <w:r>
        <w:rPr>
          <w:rFonts w:ascii="Helvetica Neue" w:eastAsia="Helvetica Neue" w:hAnsi="Helvetica Neue" w:cs="Helvetica Neue"/>
        </w:rPr>
        <w:t xml:space="preserve">Die Analyse zeigt, dass der Anteil von OAR eines Bundeslandes </w:t>
      </w:r>
      <w:r w:rsidR="00160E96">
        <w:rPr>
          <w:rFonts w:ascii="Helvetica Neue" w:eastAsia="Helvetica Neue" w:hAnsi="Helvetica Neue" w:cs="Helvetica Neue"/>
        </w:rPr>
        <w:t>partikular</w:t>
      </w:r>
      <w:r>
        <w:rPr>
          <w:rFonts w:ascii="Helvetica Neue" w:eastAsia="Helvetica Neue" w:hAnsi="Helvetica Neue" w:cs="Helvetica Neue"/>
        </w:rPr>
        <w:t xml:space="preserve"> deutlich vom Anteil der vorgehaltenen items des jeweiligen Bundeslandes am Gesamtbestand des Bundesgebiets abweicht, wie die Beispiele Baden-Württemberg und Nordrhein-Westfalen zeigen. Das bedeutet dass ein Bundesland wie Baden-Württemberg zwar einen Anteil von 20,39 % aller OAR in Deutschland haben kann, dass aber der Anteil der vorgehaltenen items von 12,30 % der Gesamtzahl der items in OAR in Deutschland nicht im gleichen Maße hoch ist.</w:t>
      </w:r>
      <w:r w:rsidR="00BB0CA2">
        <w:rPr>
          <w:rFonts w:ascii="Helvetica Neue" w:eastAsia="Helvetica Neue" w:hAnsi="Helvetica Neue" w:cs="Helvetica Neue"/>
        </w:rPr>
        <w:t xml:space="preserve"> </w:t>
      </w:r>
    </w:p>
    <w:p w14:paraId="0CC8B30F" w14:textId="77777777" w:rsidR="005A17CE" w:rsidRDefault="005A17CE">
      <w:pPr>
        <w:jc w:val="both"/>
      </w:pPr>
    </w:p>
    <w:p w14:paraId="0A8A082A" w14:textId="31ECC84E" w:rsidR="005A17CE" w:rsidRDefault="00D21FFE">
      <w:pPr>
        <w:jc w:val="both"/>
      </w:pPr>
      <w:r>
        <w:rPr>
          <w:rFonts w:ascii="Helvetica Neue" w:eastAsia="Helvetica Neue" w:hAnsi="Helvetica Neue" w:cs="Helvetica Neue"/>
        </w:rPr>
        <w:lastRenderedPageBreak/>
        <w:t>Die Größenunterschiede zwischen den</w:t>
      </w:r>
      <w:r w:rsidR="00BB0CA2">
        <w:rPr>
          <w:rFonts w:ascii="Helvetica Neue" w:eastAsia="Helvetica Neue" w:hAnsi="Helvetica Neue" w:cs="Helvetica Neue"/>
        </w:rPr>
        <w:t xml:space="preserve"> </w:t>
      </w:r>
      <w:r>
        <w:rPr>
          <w:rFonts w:ascii="Helvetica Neue" w:eastAsia="Helvetica Neue" w:hAnsi="Helvetica Neue" w:cs="Helvetica Neue"/>
        </w:rPr>
        <w:t>verschiedenen Typen der verantwortlichen Institution fallen indes noch deutlicher aus. So beträgt der bundesweite Anteil der in den OAR von Fachhochschulen vorgehaltenen items nur 1,29 %, wohingegen in den OAR der Universitäten (54,04 %) sowie der außeruniversitären Forschungseinrichtung (44,67 %) der Großteil der items zu finden ist (siehe Tabelle 3).</w:t>
      </w:r>
      <w:r w:rsidR="00BB0CA2">
        <w:rPr>
          <w:rFonts w:ascii="Helvetica Neue" w:eastAsia="Helvetica Neue" w:hAnsi="Helvetica Neue" w:cs="Helvetica Neue"/>
        </w:rPr>
        <w:t xml:space="preserve"> </w:t>
      </w:r>
    </w:p>
    <w:p w14:paraId="6C67F232" w14:textId="77777777" w:rsidR="005A17CE" w:rsidRDefault="005A17CE">
      <w:pPr>
        <w:jc w:val="both"/>
      </w:pPr>
    </w:p>
    <w:p w14:paraId="6AC3582E" w14:textId="77777777" w:rsidR="005A17CE" w:rsidRPr="00C72437" w:rsidRDefault="00D21FFE">
      <w:pPr>
        <w:jc w:val="both"/>
      </w:pPr>
      <w:r>
        <w:rPr>
          <w:rFonts w:ascii="Helvetica Neue" w:eastAsia="Helvetica Neue" w:hAnsi="Helvetica Neue" w:cs="Helvetica Neue"/>
          <w:b/>
        </w:rPr>
        <w:t>Tabelle 3 (Größe von OAR nach Bundesländern)</w:t>
      </w:r>
    </w:p>
    <w:tbl>
      <w:tblPr>
        <w:tblW w:w="1473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600" w:firstRow="0" w:lastRow="0" w:firstColumn="0" w:lastColumn="0" w:noHBand="1" w:noVBand="1"/>
      </w:tblPr>
      <w:tblGrid>
        <w:gridCol w:w="3083"/>
        <w:gridCol w:w="1835"/>
        <w:gridCol w:w="2471"/>
        <w:gridCol w:w="2545"/>
        <w:gridCol w:w="2227"/>
        <w:gridCol w:w="2569"/>
      </w:tblGrid>
      <w:tr w:rsidR="005A17CE" w14:paraId="4C079808" w14:textId="77777777" w:rsidTr="00C72437">
        <w:tc>
          <w:tcPr>
            <w:tcW w:w="1890" w:type="dxa"/>
            <w:tcMar>
              <w:top w:w="40" w:type="dxa"/>
              <w:left w:w="40" w:type="dxa"/>
              <w:bottom w:w="40" w:type="dxa"/>
              <w:right w:w="40" w:type="dxa"/>
            </w:tcMar>
            <w:vAlign w:val="bottom"/>
          </w:tcPr>
          <w:p w14:paraId="631ACBD4" w14:textId="77777777" w:rsidR="005A17CE" w:rsidRPr="00C72437" w:rsidRDefault="00D21FFE" w:rsidP="00E47CA6">
            <w:pPr>
              <w:spacing w:line="240" w:lineRule="auto"/>
              <w:jc w:val="both"/>
            </w:pPr>
            <w:r>
              <w:rPr>
                <w:b/>
                <w:sz w:val="20"/>
              </w:rPr>
              <w:t>Bundesländer</w:t>
            </w:r>
          </w:p>
        </w:tc>
        <w:tc>
          <w:tcPr>
            <w:tcW w:w="1125" w:type="dxa"/>
            <w:tcMar>
              <w:top w:w="40" w:type="dxa"/>
              <w:left w:w="40" w:type="dxa"/>
              <w:bottom w:w="40" w:type="dxa"/>
              <w:right w:w="40" w:type="dxa"/>
            </w:tcMar>
            <w:vAlign w:val="bottom"/>
          </w:tcPr>
          <w:p w14:paraId="160A6C2B" w14:textId="77777777" w:rsidR="005A17CE" w:rsidRPr="00C72437" w:rsidRDefault="00D21FFE" w:rsidP="00C72437">
            <w:pPr>
              <w:spacing w:line="240" w:lineRule="auto"/>
              <w:jc w:val="right"/>
            </w:pPr>
            <w:r>
              <w:rPr>
                <w:b/>
                <w:sz w:val="20"/>
              </w:rPr>
              <w:t>Total OAR (Prozent an Gesamt)</w:t>
            </w:r>
          </w:p>
        </w:tc>
        <w:tc>
          <w:tcPr>
            <w:tcW w:w="1515" w:type="dxa"/>
            <w:tcMar>
              <w:top w:w="40" w:type="dxa"/>
              <w:left w:w="40" w:type="dxa"/>
              <w:bottom w:w="40" w:type="dxa"/>
              <w:right w:w="40" w:type="dxa"/>
            </w:tcMar>
            <w:vAlign w:val="bottom"/>
          </w:tcPr>
          <w:p w14:paraId="28E47388" w14:textId="77777777" w:rsidR="005A17CE" w:rsidRPr="00C72437" w:rsidRDefault="00D21FFE" w:rsidP="00C72437">
            <w:pPr>
              <w:spacing w:line="240" w:lineRule="auto"/>
              <w:jc w:val="right"/>
            </w:pPr>
            <w:r>
              <w:rPr>
                <w:b/>
                <w:sz w:val="20"/>
              </w:rPr>
              <w:t>Anzahl der vorgehaltenen items, Total (Prozent an Gesamt BRD)</w:t>
            </w:r>
          </w:p>
        </w:tc>
        <w:tc>
          <w:tcPr>
            <w:tcW w:w="1560" w:type="dxa"/>
            <w:tcMar>
              <w:top w:w="40" w:type="dxa"/>
              <w:left w:w="40" w:type="dxa"/>
              <w:bottom w:w="40" w:type="dxa"/>
              <w:right w:w="40" w:type="dxa"/>
            </w:tcMar>
            <w:vAlign w:val="bottom"/>
          </w:tcPr>
          <w:p w14:paraId="5F30EDF0" w14:textId="77777777" w:rsidR="005A17CE" w:rsidRPr="00C72437" w:rsidRDefault="00D21FFE" w:rsidP="00C72437">
            <w:pPr>
              <w:spacing w:line="240" w:lineRule="auto"/>
              <w:jc w:val="right"/>
            </w:pPr>
            <w:r>
              <w:rPr>
                <w:b/>
                <w:sz w:val="20"/>
              </w:rPr>
              <w:t>Anzahl der vorgehaltenen items in OAR an Universitäten, Total (Prozent an Bundesland)</w:t>
            </w:r>
          </w:p>
        </w:tc>
        <w:tc>
          <w:tcPr>
            <w:tcW w:w="1365" w:type="dxa"/>
            <w:tcMar>
              <w:top w:w="40" w:type="dxa"/>
              <w:left w:w="40" w:type="dxa"/>
              <w:bottom w:w="40" w:type="dxa"/>
              <w:right w:w="40" w:type="dxa"/>
            </w:tcMar>
            <w:vAlign w:val="bottom"/>
          </w:tcPr>
          <w:p w14:paraId="7324FF9A" w14:textId="77777777" w:rsidR="005A17CE" w:rsidRPr="00C72437" w:rsidRDefault="00D21FFE" w:rsidP="00C72437">
            <w:pPr>
              <w:spacing w:line="240" w:lineRule="auto"/>
              <w:jc w:val="right"/>
            </w:pPr>
            <w:r>
              <w:rPr>
                <w:b/>
                <w:sz w:val="20"/>
              </w:rPr>
              <w:t>Anzahl der vorgehaltenen items in OAR an Fachhochschulen, Total (Prozent an Bundesland)</w:t>
            </w:r>
          </w:p>
        </w:tc>
        <w:tc>
          <w:tcPr>
            <w:tcW w:w="1575" w:type="dxa"/>
            <w:tcMar>
              <w:top w:w="40" w:type="dxa"/>
              <w:left w:w="40" w:type="dxa"/>
              <w:bottom w:w="40" w:type="dxa"/>
              <w:right w:w="40" w:type="dxa"/>
            </w:tcMar>
            <w:vAlign w:val="bottom"/>
          </w:tcPr>
          <w:p w14:paraId="6D6EBAF7" w14:textId="77777777" w:rsidR="005A17CE" w:rsidRPr="00C72437" w:rsidRDefault="00D21FFE" w:rsidP="00C72437">
            <w:pPr>
              <w:spacing w:line="240" w:lineRule="auto"/>
              <w:jc w:val="right"/>
            </w:pPr>
            <w:r>
              <w:rPr>
                <w:b/>
                <w:sz w:val="20"/>
              </w:rPr>
              <w:t>Anzahl der vorgehaltenen items in OAR an Außeruniversitäre Forschungseinrichtung und Andere, Total (Prozent an Bundesland)</w:t>
            </w:r>
          </w:p>
        </w:tc>
      </w:tr>
      <w:tr w:rsidR="005A17CE" w14:paraId="5D1FE503" w14:textId="77777777" w:rsidTr="00C72437">
        <w:tc>
          <w:tcPr>
            <w:tcW w:w="1890" w:type="dxa"/>
            <w:tcMar>
              <w:top w:w="40" w:type="dxa"/>
              <w:left w:w="40" w:type="dxa"/>
              <w:bottom w:w="40" w:type="dxa"/>
              <w:right w:w="40" w:type="dxa"/>
            </w:tcMar>
            <w:vAlign w:val="bottom"/>
          </w:tcPr>
          <w:p w14:paraId="5A603FF3" w14:textId="77777777" w:rsidR="005A17CE" w:rsidRPr="00C72437" w:rsidRDefault="00D21FFE">
            <w:r>
              <w:rPr>
                <w:sz w:val="20"/>
              </w:rPr>
              <w:t>Baden-Württemberg</w:t>
            </w:r>
          </w:p>
        </w:tc>
        <w:tc>
          <w:tcPr>
            <w:tcW w:w="1125" w:type="dxa"/>
            <w:tcMar>
              <w:top w:w="40" w:type="dxa"/>
              <w:left w:w="40" w:type="dxa"/>
              <w:bottom w:w="40" w:type="dxa"/>
              <w:right w:w="40" w:type="dxa"/>
            </w:tcMar>
            <w:vAlign w:val="bottom"/>
          </w:tcPr>
          <w:p w14:paraId="39822D56" w14:textId="77777777" w:rsidR="005A17CE" w:rsidRPr="00C72437" w:rsidRDefault="00D21FFE">
            <w:pPr>
              <w:jc w:val="right"/>
            </w:pPr>
            <w:r>
              <w:rPr>
                <w:sz w:val="20"/>
              </w:rPr>
              <w:t>31 (20,39 %)</w:t>
            </w:r>
          </w:p>
        </w:tc>
        <w:tc>
          <w:tcPr>
            <w:tcW w:w="1515" w:type="dxa"/>
            <w:tcMar>
              <w:top w:w="40" w:type="dxa"/>
              <w:left w:w="40" w:type="dxa"/>
              <w:bottom w:w="40" w:type="dxa"/>
              <w:right w:w="40" w:type="dxa"/>
            </w:tcMar>
            <w:vAlign w:val="bottom"/>
          </w:tcPr>
          <w:p w14:paraId="521210D6" w14:textId="77777777" w:rsidR="005A17CE" w:rsidRPr="00C72437" w:rsidRDefault="00D21FFE">
            <w:pPr>
              <w:jc w:val="right"/>
            </w:pPr>
            <w:r>
              <w:rPr>
                <w:sz w:val="20"/>
              </w:rPr>
              <w:t>109.326 (12,30 %)</w:t>
            </w:r>
          </w:p>
        </w:tc>
        <w:tc>
          <w:tcPr>
            <w:tcW w:w="1560" w:type="dxa"/>
            <w:tcMar>
              <w:top w:w="40" w:type="dxa"/>
              <w:left w:w="40" w:type="dxa"/>
              <w:bottom w:w="40" w:type="dxa"/>
              <w:right w:w="40" w:type="dxa"/>
            </w:tcMar>
            <w:vAlign w:val="bottom"/>
          </w:tcPr>
          <w:p w14:paraId="1A1CBE5B" w14:textId="77777777" w:rsidR="005A17CE" w:rsidRPr="00C72437" w:rsidRDefault="00D21FFE">
            <w:pPr>
              <w:jc w:val="right"/>
            </w:pPr>
            <w:r>
              <w:rPr>
                <w:sz w:val="20"/>
              </w:rPr>
              <w:t>103.804 (94,95 %)</w:t>
            </w:r>
          </w:p>
        </w:tc>
        <w:tc>
          <w:tcPr>
            <w:tcW w:w="1365" w:type="dxa"/>
            <w:tcMar>
              <w:top w:w="40" w:type="dxa"/>
              <w:left w:w="40" w:type="dxa"/>
              <w:bottom w:w="40" w:type="dxa"/>
              <w:right w:w="40" w:type="dxa"/>
            </w:tcMar>
            <w:vAlign w:val="bottom"/>
          </w:tcPr>
          <w:p w14:paraId="5BBF7004" w14:textId="77777777" w:rsidR="005A17CE" w:rsidRPr="00C72437" w:rsidRDefault="00D21FFE">
            <w:pPr>
              <w:jc w:val="right"/>
            </w:pPr>
            <w:r>
              <w:rPr>
                <w:sz w:val="20"/>
              </w:rPr>
              <w:t>1.380 (1,26 %)</w:t>
            </w:r>
          </w:p>
        </w:tc>
        <w:tc>
          <w:tcPr>
            <w:tcW w:w="1575" w:type="dxa"/>
            <w:tcMar>
              <w:top w:w="40" w:type="dxa"/>
              <w:left w:w="40" w:type="dxa"/>
              <w:bottom w:w="40" w:type="dxa"/>
              <w:right w:w="40" w:type="dxa"/>
            </w:tcMar>
            <w:vAlign w:val="bottom"/>
          </w:tcPr>
          <w:p w14:paraId="5A3923D1" w14:textId="77777777" w:rsidR="005A17CE" w:rsidRPr="00C72437" w:rsidRDefault="00D21FFE">
            <w:pPr>
              <w:jc w:val="right"/>
            </w:pPr>
            <w:r>
              <w:rPr>
                <w:sz w:val="20"/>
              </w:rPr>
              <w:t>4.142 (3,79 %)</w:t>
            </w:r>
          </w:p>
        </w:tc>
      </w:tr>
      <w:tr w:rsidR="005A17CE" w14:paraId="6CF72795" w14:textId="77777777" w:rsidTr="00C72437">
        <w:tc>
          <w:tcPr>
            <w:tcW w:w="1890" w:type="dxa"/>
            <w:tcMar>
              <w:top w:w="40" w:type="dxa"/>
              <w:left w:w="40" w:type="dxa"/>
              <w:bottom w:w="40" w:type="dxa"/>
              <w:right w:w="40" w:type="dxa"/>
            </w:tcMar>
            <w:vAlign w:val="bottom"/>
          </w:tcPr>
          <w:p w14:paraId="2BA186FF" w14:textId="77777777" w:rsidR="005A17CE" w:rsidRPr="00C72437" w:rsidRDefault="00D21FFE">
            <w:r>
              <w:rPr>
                <w:sz w:val="20"/>
              </w:rPr>
              <w:t>Bayern</w:t>
            </w:r>
          </w:p>
        </w:tc>
        <w:tc>
          <w:tcPr>
            <w:tcW w:w="1125" w:type="dxa"/>
            <w:tcMar>
              <w:top w:w="40" w:type="dxa"/>
              <w:left w:w="40" w:type="dxa"/>
              <w:bottom w:w="40" w:type="dxa"/>
              <w:right w:w="40" w:type="dxa"/>
            </w:tcMar>
            <w:vAlign w:val="bottom"/>
          </w:tcPr>
          <w:p w14:paraId="6EC4B57B" w14:textId="77777777" w:rsidR="005A17CE" w:rsidRPr="00C72437" w:rsidRDefault="00D21FFE">
            <w:pPr>
              <w:jc w:val="right"/>
            </w:pPr>
            <w:r>
              <w:rPr>
                <w:sz w:val="20"/>
              </w:rPr>
              <w:t>20 (13,16 %)</w:t>
            </w:r>
          </w:p>
        </w:tc>
        <w:tc>
          <w:tcPr>
            <w:tcW w:w="1515" w:type="dxa"/>
            <w:tcMar>
              <w:top w:w="40" w:type="dxa"/>
              <w:left w:w="40" w:type="dxa"/>
              <w:bottom w:w="40" w:type="dxa"/>
              <w:right w:w="40" w:type="dxa"/>
            </w:tcMar>
            <w:vAlign w:val="bottom"/>
          </w:tcPr>
          <w:p w14:paraId="0B732F84" w14:textId="77777777" w:rsidR="005A17CE" w:rsidRPr="00C72437" w:rsidRDefault="00D21FFE">
            <w:pPr>
              <w:jc w:val="right"/>
            </w:pPr>
            <w:r>
              <w:rPr>
                <w:sz w:val="20"/>
              </w:rPr>
              <w:t>162.013 (18,23 %)</w:t>
            </w:r>
          </w:p>
        </w:tc>
        <w:tc>
          <w:tcPr>
            <w:tcW w:w="1560" w:type="dxa"/>
            <w:tcMar>
              <w:top w:w="40" w:type="dxa"/>
              <w:left w:w="40" w:type="dxa"/>
              <w:bottom w:w="40" w:type="dxa"/>
              <w:right w:w="40" w:type="dxa"/>
            </w:tcMar>
            <w:vAlign w:val="bottom"/>
          </w:tcPr>
          <w:p w14:paraId="5CF289EF" w14:textId="77777777" w:rsidR="005A17CE" w:rsidRPr="00C72437" w:rsidRDefault="00D21FFE">
            <w:pPr>
              <w:jc w:val="right"/>
            </w:pPr>
            <w:r>
              <w:rPr>
                <w:sz w:val="20"/>
              </w:rPr>
              <w:t>132.928 (82,05 %)</w:t>
            </w:r>
          </w:p>
        </w:tc>
        <w:tc>
          <w:tcPr>
            <w:tcW w:w="1365" w:type="dxa"/>
            <w:tcMar>
              <w:top w:w="40" w:type="dxa"/>
              <w:left w:w="40" w:type="dxa"/>
              <w:bottom w:w="40" w:type="dxa"/>
              <w:right w:w="40" w:type="dxa"/>
            </w:tcMar>
            <w:vAlign w:val="bottom"/>
          </w:tcPr>
          <w:p w14:paraId="5FA26B64" w14:textId="77777777" w:rsidR="005A17CE" w:rsidRPr="00C72437" w:rsidRDefault="00D21FFE">
            <w:pPr>
              <w:jc w:val="right"/>
            </w:pPr>
            <w:r>
              <w:rPr>
                <w:sz w:val="20"/>
              </w:rPr>
              <w:t>104 (0,06 %)</w:t>
            </w:r>
          </w:p>
        </w:tc>
        <w:tc>
          <w:tcPr>
            <w:tcW w:w="1575" w:type="dxa"/>
            <w:tcMar>
              <w:top w:w="40" w:type="dxa"/>
              <w:left w:w="40" w:type="dxa"/>
              <w:bottom w:w="40" w:type="dxa"/>
              <w:right w:w="40" w:type="dxa"/>
            </w:tcMar>
            <w:vAlign w:val="bottom"/>
          </w:tcPr>
          <w:p w14:paraId="74FEC5CC" w14:textId="77777777" w:rsidR="005A17CE" w:rsidRPr="00C72437" w:rsidRDefault="00D21FFE">
            <w:pPr>
              <w:jc w:val="right"/>
            </w:pPr>
            <w:r>
              <w:rPr>
                <w:sz w:val="20"/>
              </w:rPr>
              <w:t>28.981(17,89 %)</w:t>
            </w:r>
          </w:p>
        </w:tc>
      </w:tr>
      <w:tr w:rsidR="005A17CE" w14:paraId="04FF867F" w14:textId="77777777" w:rsidTr="00C72437">
        <w:tc>
          <w:tcPr>
            <w:tcW w:w="1890" w:type="dxa"/>
            <w:tcMar>
              <w:top w:w="40" w:type="dxa"/>
              <w:left w:w="40" w:type="dxa"/>
              <w:bottom w:w="40" w:type="dxa"/>
              <w:right w:w="40" w:type="dxa"/>
            </w:tcMar>
            <w:vAlign w:val="bottom"/>
          </w:tcPr>
          <w:p w14:paraId="60B65E5C" w14:textId="77777777" w:rsidR="005A17CE" w:rsidRPr="00C72437" w:rsidRDefault="00D21FFE">
            <w:r>
              <w:rPr>
                <w:sz w:val="20"/>
              </w:rPr>
              <w:t>Berlin</w:t>
            </w:r>
          </w:p>
        </w:tc>
        <w:tc>
          <w:tcPr>
            <w:tcW w:w="1125" w:type="dxa"/>
            <w:tcMar>
              <w:top w:w="40" w:type="dxa"/>
              <w:left w:w="40" w:type="dxa"/>
              <w:bottom w:w="40" w:type="dxa"/>
              <w:right w:w="40" w:type="dxa"/>
            </w:tcMar>
            <w:vAlign w:val="bottom"/>
          </w:tcPr>
          <w:p w14:paraId="4F4EEA87" w14:textId="77777777" w:rsidR="005A17CE" w:rsidRPr="00C72437" w:rsidRDefault="00D21FFE">
            <w:pPr>
              <w:jc w:val="right"/>
            </w:pPr>
            <w:r>
              <w:rPr>
                <w:sz w:val="20"/>
              </w:rPr>
              <w:t>12 (7,89 %)</w:t>
            </w:r>
          </w:p>
        </w:tc>
        <w:tc>
          <w:tcPr>
            <w:tcW w:w="1515" w:type="dxa"/>
            <w:tcMar>
              <w:top w:w="40" w:type="dxa"/>
              <w:left w:w="40" w:type="dxa"/>
              <w:bottom w:w="40" w:type="dxa"/>
              <w:right w:w="40" w:type="dxa"/>
            </w:tcMar>
            <w:vAlign w:val="bottom"/>
          </w:tcPr>
          <w:p w14:paraId="21882798" w14:textId="77777777" w:rsidR="005A17CE" w:rsidRPr="00C72437" w:rsidRDefault="00D21FFE">
            <w:pPr>
              <w:jc w:val="right"/>
            </w:pPr>
            <w:r>
              <w:rPr>
                <w:sz w:val="20"/>
              </w:rPr>
              <w:t>73.228 (8,24 %)</w:t>
            </w:r>
          </w:p>
        </w:tc>
        <w:tc>
          <w:tcPr>
            <w:tcW w:w="1560" w:type="dxa"/>
            <w:tcMar>
              <w:top w:w="40" w:type="dxa"/>
              <w:left w:w="40" w:type="dxa"/>
              <w:bottom w:w="40" w:type="dxa"/>
              <w:right w:w="40" w:type="dxa"/>
            </w:tcMar>
            <w:vAlign w:val="bottom"/>
          </w:tcPr>
          <w:p w14:paraId="7F63B0EE" w14:textId="77777777" w:rsidR="005A17CE" w:rsidRPr="00C72437" w:rsidRDefault="00D21FFE">
            <w:pPr>
              <w:jc w:val="right"/>
            </w:pPr>
            <w:r>
              <w:rPr>
                <w:sz w:val="20"/>
              </w:rPr>
              <w:t>29.682 (40,53 %)</w:t>
            </w:r>
          </w:p>
        </w:tc>
        <w:tc>
          <w:tcPr>
            <w:tcW w:w="1365" w:type="dxa"/>
            <w:tcMar>
              <w:top w:w="40" w:type="dxa"/>
              <w:left w:w="40" w:type="dxa"/>
              <w:bottom w:w="40" w:type="dxa"/>
              <w:right w:w="40" w:type="dxa"/>
            </w:tcMar>
            <w:vAlign w:val="bottom"/>
          </w:tcPr>
          <w:p w14:paraId="2E879BF0" w14:textId="77777777" w:rsidR="005A17CE" w:rsidRPr="00C72437" w:rsidRDefault="00D21FFE">
            <w:pPr>
              <w:jc w:val="right"/>
            </w:pPr>
            <w:r>
              <w:rPr>
                <w:sz w:val="20"/>
              </w:rPr>
              <w:t>74 (0,10 %)</w:t>
            </w:r>
          </w:p>
        </w:tc>
        <w:tc>
          <w:tcPr>
            <w:tcW w:w="1575" w:type="dxa"/>
            <w:tcMar>
              <w:top w:w="40" w:type="dxa"/>
              <w:left w:w="40" w:type="dxa"/>
              <w:bottom w:w="40" w:type="dxa"/>
              <w:right w:w="40" w:type="dxa"/>
            </w:tcMar>
            <w:vAlign w:val="bottom"/>
          </w:tcPr>
          <w:p w14:paraId="23761B3C" w14:textId="77777777" w:rsidR="005A17CE" w:rsidRPr="00C72437" w:rsidRDefault="00D21FFE">
            <w:pPr>
              <w:jc w:val="right"/>
            </w:pPr>
            <w:r>
              <w:rPr>
                <w:sz w:val="20"/>
              </w:rPr>
              <w:t>43.472 (59,37 %)</w:t>
            </w:r>
          </w:p>
        </w:tc>
      </w:tr>
      <w:tr w:rsidR="005A17CE" w14:paraId="4A905DC4" w14:textId="77777777" w:rsidTr="00C72437">
        <w:tc>
          <w:tcPr>
            <w:tcW w:w="1890" w:type="dxa"/>
            <w:tcMar>
              <w:top w:w="40" w:type="dxa"/>
              <w:left w:w="40" w:type="dxa"/>
              <w:bottom w:w="40" w:type="dxa"/>
              <w:right w:w="40" w:type="dxa"/>
            </w:tcMar>
            <w:vAlign w:val="bottom"/>
          </w:tcPr>
          <w:p w14:paraId="59D7645E" w14:textId="77777777" w:rsidR="005A17CE" w:rsidRPr="00C72437" w:rsidRDefault="00D21FFE">
            <w:r>
              <w:rPr>
                <w:sz w:val="20"/>
              </w:rPr>
              <w:t>Brandenburg</w:t>
            </w:r>
          </w:p>
        </w:tc>
        <w:tc>
          <w:tcPr>
            <w:tcW w:w="1125" w:type="dxa"/>
            <w:tcMar>
              <w:top w:w="40" w:type="dxa"/>
              <w:left w:w="40" w:type="dxa"/>
              <w:bottom w:w="40" w:type="dxa"/>
              <w:right w:w="40" w:type="dxa"/>
            </w:tcMar>
            <w:vAlign w:val="bottom"/>
          </w:tcPr>
          <w:p w14:paraId="373246C3" w14:textId="77777777" w:rsidR="005A17CE" w:rsidRPr="00C72437" w:rsidRDefault="00D21FFE">
            <w:pPr>
              <w:jc w:val="right"/>
            </w:pPr>
            <w:r>
              <w:rPr>
                <w:sz w:val="20"/>
              </w:rPr>
              <w:t>11 (7,24 %)</w:t>
            </w:r>
          </w:p>
        </w:tc>
        <w:tc>
          <w:tcPr>
            <w:tcW w:w="1515" w:type="dxa"/>
            <w:tcMar>
              <w:top w:w="40" w:type="dxa"/>
              <w:left w:w="40" w:type="dxa"/>
              <w:bottom w:w="40" w:type="dxa"/>
              <w:right w:w="40" w:type="dxa"/>
            </w:tcMar>
            <w:vAlign w:val="bottom"/>
          </w:tcPr>
          <w:p w14:paraId="1ED16DCD" w14:textId="77777777" w:rsidR="005A17CE" w:rsidRPr="00C72437" w:rsidRDefault="00D21FFE">
            <w:pPr>
              <w:jc w:val="right"/>
            </w:pPr>
            <w:r>
              <w:rPr>
                <w:sz w:val="20"/>
              </w:rPr>
              <w:t>19.039 (2,14 %)</w:t>
            </w:r>
          </w:p>
        </w:tc>
        <w:tc>
          <w:tcPr>
            <w:tcW w:w="1560" w:type="dxa"/>
            <w:tcMar>
              <w:top w:w="40" w:type="dxa"/>
              <w:left w:w="40" w:type="dxa"/>
              <w:bottom w:w="40" w:type="dxa"/>
              <w:right w:w="40" w:type="dxa"/>
            </w:tcMar>
            <w:vAlign w:val="bottom"/>
          </w:tcPr>
          <w:p w14:paraId="636E0579" w14:textId="77777777" w:rsidR="005A17CE" w:rsidRPr="00C72437" w:rsidRDefault="00D21FFE">
            <w:pPr>
              <w:jc w:val="right"/>
            </w:pPr>
            <w:r>
              <w:rPr>
                <w:sz w:val="20"/>
              </w:rPr>
              <w:t>9.757 (51,25 %)</w:t>
            </w:r>
          </w:p>
        </w:tc>
        <w:tc>
          <w:tcPr>
            <w:tcW w:w="1365" w:type="dxa"/>
            <w:tcMar>
              <w:top w:w="40" w:type="dxa"/>
              <w:left w:w="40" w:type="dxa"/>
              <w:bottom w:w="40" w:type="dxa"/>
              <w:right w:w="40" w:type="dxa"/>
            </w:tcMar>
            <w:vAlign w:val="bottom"/>
          </w:tcPr>
          <w:p w14:paraId="0ED4CF0C" w14:textId="77777777" w:rsidR="005A17CE" w:rsidRPr="00C72437" w:rsidRDefault="00D21FFE">
            <w:pPr>
              <w:jc w:val="right"/>
            </w:pPr>
            <w:r>
              <w:rPr>
                <w:sz w:val="20"/>
              </w:rPr>
              <w:t>901 (4,73 %)</w:t>
            </w:r>
          </w:p>
        </w:tc>
        <w:tc>
          <w:tcPr>
            <w:tcW w:w="1575" w:type="dxa"/>
            <w:tcMar>
              <w:top w:w="40" w:type="dxa"/>
              <w:left w:w="40" w:type="dxa"/>
              <w:bottom w:w="40" w:type="dxa"/>
              <w:right w:w="40" w:type="dxa"/>
            </w:tcMar>
            <w:vAlign w:val="bottom"/>
          </w:tcPr>
          <w:p w14:paraId="1517BBE8" w14:textId="77777777" w:rsidR="005A17CE" w:rsidRPr="00C72437" w:rsidRDefault="00D21FFE">
            <w:pPr>
              <w:jc w:val="right"/>
            </w:pPr>
            <w:r>
              <w:rPr>
                <w:sz w:val="20"/>
              </w:rPr>
              <w:t>8.381 (44,02 %)</w:t>
            </w:r>
          </w:p>
        </w:tc>
      </w:tr>
      <w:tr w:rsidR="005A17CE" w14:paraId="4B256A8C" w14:textId="77777777" w:rsidTr="00C72437">
        <w:tc>
          <w:tcPr>
            <w:tcW w:w="1890" w:type="dxa"/>
            <w:tcMar>
              <w:top w:w="40" w:type="dxa"/>
              <w:left w:w="40" w:type="dxa"/>
              <w:bottom w:w="40" w:type="dxa"/>
              <w:right w:w="40" w:type="dxa"/>
            </w:tcMar>
            <w:vAlign w:val="bottom"/>
          </w:tcPr>
          <w:p w14:paraId="1F6A01AB" w14:textId="77777777" w:rsidR="005A17CE" w:rsidRPr="00C72437" w:rsidRDefault="00D21FFE">
            <w:r>
              <w:rPr>
                <w:sz w:val="20"/>
              </w:rPr>
              <w:t>Bremen</w:t>
            </w:r>
          </w:p>
        </w:tc>
        <w:tc>
          <w:tcPr>
            <w:tcW w:w="1125" w:type="dxa"/>
            <w:tcMar>
              <w:top w:w="40" w:type="dxa"/>
              <w:left w:w="40" w:type="dxa"/>
              <w:bottom w:w="40" w:type="dxa"/>
              <w:right w:w="40" w:type="dxa"/>
            </w:tcMar>
            <w:vAlign w:val="bottom"/>
          </w:tcPr>
          <w:p w14:paraId="40CED251" w14:textId="77777777" w:rsidR="005A17CE" w:rsidRPr="00C72437" w:rsidRDefault="00D21FFE">
            <w:pPr>
              <w:jc w:val="right"/>
            </w:pPr>
            <w:r>
              <w:rPr>
                <w:sz w:val="20"/>
              </w:rPr>
              <w:t>2 (1,32 %)</w:t>
            </w:r>
          </w:p>
        </w:tc>
        <w:tc>
          <w:tcPr>
            <w:tcW w:w="1515" w:type="dxa"/>
            <w:tcMar>
              <w:top w:w="40" w:type="dxa"/>
              <w:left w:w="40" w:type="dxa"/>
              <w:bottom w:w="40" w:type="dxa"/>
              <w:right w:w="40" w:type="dxa"/>
            </w:tcMar>
            <w:vAlign w:val="bottom"/>
          </w:tcPr>
          <w:p w14:paraId="5967350E" w14:textId="77777777" w:rsidR="005A17CE" w:rsidRPr="00C72437" w:rsidRDefault="00D21FFE">
            <w:pPr>
              <w:jc w:val="right"/>
            </w:pPr>
            <w:r>
              <w:rPr>
                <w:sz w:val="20"/>
              </w:rPr>
              <w:t>34.803 (3,92 %)</w:t>
            </w:r>
          </w:p>
        </w:tc>
        <w:tc>
          <w:tcPr>
            <w:tcW w:w="1560" w:type="dxa"/>
            <w:tcMar>
              <w:top w:w="40" w:type="dxa"/>
              <w:left w:w="40" w:type="dxa"/>
              <w:bottom w:w="40" w:type="dxa"/>
              <w:right w:w="40" w:type="dxa"/>
            </w:tcMar>
            <w:vAlign w:val="bottom"/>
          </w:tcPr>
          <w:p w14:paraId="676B4CCD" w14:textId="77777777" w:rsidR="005A17CE" w:rsidRPr="00C72437" w:rsidRDefault="00D21FFE">
            <w:pPr>
              <w:jc w:val="right"/>
            </w:pPr>
            <w:r>
              <w:rPr>
                <w:sz w:val="20"/>
              </w:rPr>
              <w:t>2.380 (6,84 %)</w:t>
            </w:r>
          </w:p>
        </w:tc>
        <w:tc>
          <w:tcPr>
            <w:tcW w:w="1365" w:type="dxa"/>
            <w:tcMar>
              <w:top w:w="40" w:type="dxa"/>
              <w:left w:w="40" w:type="dxa"/>
              <w:bottom w:w="40" w:type="dxa"/>
              <w:right w:w="40" w:type="dxa"/>
            </w:tcMar>
            <w:vAlign w:val="bottom"/>
          </w:tcPr>
          <w:p w14:paraId="1A6E31D6" w14:textId="77777777" w:rsidR="005A17CE" w:rsidRPr="00C72437" w:rsidRDefault="00D21FFE">
            <w:pPr>
              <w:jc w:val="right"/>
            </w:pPr>
            <w:r>
              <w:rPr>
                <w:sz w:val="20"/>
              </w:rPr>
              <w:t>0 (0,00 %)</w:t>
            </w:r>
          </w:p>
        </w:tc>
        <w:tc>
          <w:tcPr>
            <w:tcW w:w="1575" w:type="dxa"/>
            <w:tcMar>
              <w:top w:w="40" w:type="dxa"/>
              <w:left w:w="40" w:type="dxa"/>
              <w:bottom w:w="40" w:type="dxa"/>
              <w:right w:w="40" w:type="dxa"/>
            </w:tcMar>
            <w:vAlign w:val="bottom"/>
          </w:tcPr>
          <w:p w14:paraId="107A9EA9" w14:textId="77777777" w:rsidR="005A17CE" w:rsidRPr="00C72437" w:rsidRDefault="00D21FFE">
            <w:pPr>
              <w:jc w:val="right"/>
            </w:pPr>
            <w:r>
              <w:rPr>
                <w:sz w:val="20"/>
              </w:rPr>
              <w:t>32.423 (93,16 %)</w:t>
            </w:r>
          </w:p>
        </w:tc>
      </w:tr>
      <w:tr w:rsidR="005A17CE" w14:paraId="2D76AAD2" w14:textId="77777777" w:rsidTr="00C72437">
        <w:tc>
          <w:tcPr>
            <w:tcW w:w="1890" w:type="dxa"/>
            <w:tcMar>
              <w:top w:w="40" w:type="dxa"/>
              <w:left w:w="40" w:type="dxa"/>
              <w:bottom w:w="40" w:type="dxa"/>
              <w:right w:w="40" w:type="dxa"/>
            </w:tcMar>
            <w:vAlign w:val="bottom"/>
          </w:tcPr>
          <w:p w14:paraId="75755CB1" w14:textId="77777777" w:rsidR="005A17CE" w:rsidRPr="00C72437" w:rsidRDefault="00D21FFE">
            <w:r>
              <w:rPr>
                <w:sz w:val="20"/>
              </w:rPr>
              <w:t>Hamburg</w:t>
            </w:r>
          </w:p>
        </w:tc>
        <w:tc>
          <w:tcPr>
            <w:tcW w:w="1125" w:type="dxa"/>
            <w:tcMar>
              <w:top w:w="40" w:type="dxa"/>
              <w:left w:w="40" w:type="dxa"/>
              <w:bottom w:w="40" w:type="dxa"/>
              <w:right w:w="40" w:type="dxa"/>
            </w:tcMar>
            <w:vAlign w:val="bottom"/>
          </w:tcPr>
          <w:p w14:paraId="3271D85B" w14:textId="77777777" w:rsidR="005A17CE" w:rsidRPr="00C72437" w:rsidRDefault="00D21FFE">
            <w:pPr>
              <w:jc w:val="right"/>
            </w:pPr>
            <w:r>
              <w:rPr>
                <w:sz w:val="20"/>
              </w:rPr>
              <w:t>5 (3,29 %)</w:t>
            </w:r>
          </w:p>
        </w:tc>
        <w:tc>
          <w:tcPr>
            <w:tcW w:w="1515" w:type="dxa"/>
            <w:tcMar>
              <w:top w:w="40" w:type="dxa"/>
              <w:left w:w="40" w:type="dxa"/>
              <w:bottom w:w="40" w:type="dxa"/>
              <w:right w:w="40" w:type="dxa"/>
            </w:tcMar>
            <w:vAlign w:val="bottom"/>
          </w:tcPr>
          <w:p w14:paraId="5485DDD2" w14:textId="77777777" w:rsidR="005A17CE" w:rsidRPr="00C72437" w:rsidRDefault="00D21FFE">
            <w:pPr>
              <w:jc w:val="right"/>
            </w:pPr>
            <w:r>
              <w:rPr>
                <w:sz w:val="20"/>
              </w:rPr>
              <w:t>35.554 (4,00 %)</w:t>
            </w:r>
          </w:p>
        </w:tc>
        <w:tc>
          <w:tcPr>
            <w:tcW w:w="1560" w:type="dxa"/>
            <w:tcMar>
              <w:top w:w="40" w:type="dxa"/>
              <w:left w:w="40" w:type="dxa"/>
              <w:bottom w:w="40" w:type="dxa"/>
              <w:right w:w="40" w:type="dxa"/>
            </w:tcMar>
            <w:vAlign w:val="bottom"/>
          </w:tcPr>
          <w:p w14:paraId="2E9B950F" w14:textId="77777777" w:rsidR="005A17CE" w:rsidRPr="00C72437" w:rsidRDefault="00D21FFE">
            <w:pPr>
              <w:jc w:val="right"/>
            </w:pPr>
            <w:r>
              <w:rPr>
                <w:sz w:val="20"/>
              </w:rPr>
              <w:t>6.450 (18,14 %)</w:t>
            </w:r>
          </w:p>
        </w:tc>
        <w:tc>
          <w:tcPr>
            <w:tcW w:w="1365" w:type="dxa"/>
            <w:tcMar>
              <w:top w:w="40" w:type="dxa"/>
              <w:left w:w="40" w:type="dxa"/>
              <w:bottom w:w="40" w:type="dxa"/>
              <w:right w:w="40" w:type="dxa"/>
            </w:tcMar>
            <w:vAlign w:val="bottom"/>
          </w:tcPr>
          <w:p w14:paraId="21B23D23" w14:textId="77777777" w:rsidR="005A17CE" w:rsidRPr="00C72437" w:rsidRDefault="00D21FFE">
            <w:pPr>
              <w:jc w:val="right"/>
            </w:pPr>
            <w:r>
              <w:rPr>
                <w:sz w:val="20"/>
              </w:rPr>
              <w:t>0 (0,00 %)</w:t>
            </w:r>
          </w:p>
        </w:tc>
        <w:tc>
          <w:tcPr>
            <w:tcW w:w="1575" w:type="dxa"/>
            <w:tcMar>
              <w:top w:w="40" w:type="dxa"/>
              <w:left w:w="40" w:type="dxa"/>
              <w:bottom w:w="40" w:type="dxa"/>
              <w:right w:w="40" w:type="dxa"/>
            </w:tcMar>
            <w:vAlign w:val="bottom"/>
          </w:tcPr>
          <w:p w14:paraId="4DE035A4" w14:textId="77777777" w:rsidR="005A17CE" w:rsidRPr="00C72437" w:rsidRDefault="00D21FFE">
            <w:pPr>
              <w:jc w:val="right"/>
            </w:pPr>
            <w:r>
              <w:rPr>
                <w:sz w:val="20"/>
              </w:rPr>
              <w:t>29.104 (81,86 %)</w:t>
            </w:r>
          </w:p>
        </w:tc>
      </w:tr>
      <w:tr w:rsidR="005A17CE" w14:paraId="7A0F14DF" w14:textId="77777777" w:rsidTr="00C72437">
        <w:tc>
          <w:tcPr>
            <w:tcW w:w="1890" w:type="dxa"/>
            <w:tcMar>
              <w:top w:w="40" w:type="dxa"/>
              <w:left w:w="40" w:type="dxa"/>
              <w:bottom w:w="40" w:type="dxa"/>
              <w:right w:w="40" w:type="dxa"/>
            </w:tcMar>
            <w:vAlign w:val="bottom"/>
          </w:tcPr>
          <w:p w14:paraId="3C8416C0" w14:textId="77777777" w:rsidR="005A17CE" w:rsidRPr="00C72437" w:rsidRDefault="00D21FFE">
            <w:r>
              <w:rPr>
                <w:sz w:val="20"/>
              </w:rPr>
              <w:t>Hessen</w:t>
            </w:r>
          </w:p>
        </w:tc>
        <w:tc>
          <w:tcPr>
            <w:tcW w:w="1125" w:type="dxa"/>
            <w:tcMar>
              <w:top w:w="40" w:type="dxa"/>
              <w:left w:w="40" w:type="dxa"/>
              <w:bottom w:w="40" w:type="dxa"/>
              <w:right w:w="40" w:type="dxa"/>
            </w:tcMar>
            <w:vAlign w:val="bottom"/>
          </w:tcPr>
          <w:p w14:paraId="3269A323" w14:textId="77777777" w:rsidR="005A17CE" w:rsidRPr="00C72437" w:rsidRDefault="00D21FFE">
            <w:pPr>
              <w:jc w:val="right"/>
            </w:pPr>
            <w:r>
              <w:rPr>
                <w:sz w:val="20"/>
              </w:rPr>
              <w:t>7 (4,61 %)</w:t>
            </w:r>
          </w:p>
        </w:tc>
        <w:tc>
          <w:tcPr>
            <w:tcW w:w="1515" w:type="dxa"/>
            <w:tcMar>
              <w:top w:w="40" w:type="dxa"/>
              <w:left w:w="40" w:type="dxa"/>
              <w:bottom w:w="40" w:type="dxa"/>
              <w:right w:w="40" w:type="dxa"/>
            </w:tcMar>
            <w:vAlign w:val="bottom"/>
          </w:tcPr>
          <w:p w14:paraId="19A431F6" w14:textId="77777777" w:rsidR="005A17CE" w:rsidRPr="00C72437" w:rsidRDefault="00D21FFE">
            <w:pPr>
              <w:jc w:val="right"/>
            </w:pPr>
            <w:r>
              <w:rPr>
                <w:sz w:val="20"/>
              </w:rPr>
              <w:t>60.916 (6,85 %)</w:t>
            </w:r>
          </w:p>
        </w:tc>
        <w:tc>
          <w:tcPr>
            <w:tcW w:w="1560" w:type="dxa"/>
            <w:tcMar>
              <w:top w:w="40" w:type="dxa"/>
              <w:left w:w="40" w:type="dxa"/>
              <w:bottom w:w="40" w:type="dxa"/>
              <w:right w:w="40" w:type="dxa"/>
            </w:tcMar>
            <w:vAlign w:val="bottom"/>
          </w:tcPr>
          <w:p w14:paraId="4B1D5F57" w14:textId="77777777" w:rsidR="005A17CE" w:rsidRPr="00C72437" w:rsidRDefault="00D21FFE">
            <w:pPr>
              <w:jc w:val="right"/>
            </w:pPr>
            <w:r>
              <w:rPr>
                <w:sz w:val="20"/>
              </w:rPr>
              <w:t>51.020 (83,75 %)</w:t>
            </w:r>
          </w:p>
        </w:tc>
        <w:tc>
          <w:tcPr>
            <w:tcW w:w="1365" w:type="dxa"/>
            <w:tcMar>
              <w:top w:w="40" w:type="dxa"/>
              <w:left w:w="40" w:type="dxa"/>
              <w:bottom w:w="40" w:type="dxa"/>
              <w:right w:w="40" w:type="dxa"/>
            </w:tcMar>
            <w:vAlign w:val="bottom"/>
          </w:tcPr>
          <w:p w14:paraId="40DF768E" w14:textId="77777777" w:rsidR="005A17CE" w:rsidRPr="00C72437" w:rsidRDefault="00D21FFE">
            <w:pPr>
              <w:jc w:val="right"/>
            </w:pPr>
            <w:r>
              <w:rPr>
                <w:sz w:val="20"/>
              </w:rPr>
              <w:t>3.542 (5,81 %)</w:t>
            </w:r>
          </w:p>
        </w:tc>
        <w:tc>
          <w:tcPr>
            <w:tcW w:w="1575" w:type="dxa"/>
            <w:tcMar>
              <w:top w:w="40" w:type="dxa"/>
              <w:left w:w="40" w:type="dxa"/>
              <w:bottom w:w="40" w:type="dxa"/>
              <w:right w:w="40" w:type="dxa"/>
            </w:tcMar>
            <w:vAlign w:val="bottom"/>
          </w:tcPr>
          <w:p w14:paraId="57D3F948" w14:textId="77777777" w:rsidR="005A17CE" w:rsidRPr="00C72437" w:rsidRDefault="00D21FFE">
            <w:pPr>
              <w:jc w:val="right"/>
            </w:pPr>
            <w:r>
              <w:rPr>
                <w:sz w:val="20"/>
              </w:rPr>
              <w:t>6.354 (10,43 %)</w:t>
            </w:r>
          </w:p>
        </w:tc>
      </w:tr>
      <w:tr w:rsidR="005A17CE" w14:paraId="046C0777" w14:textId="77777777" w:rsidTr="00C72437">
        <w:tc>
          <w:tcPr>
            <w:tcW w:w="1890" w:type="dxa"/>
            <w:tcMar>
              <w:top w:w="40" w:type="dxa"/>
              <w:left w:w="40" w:type="dxa"/>
              <w:bottom w:w="40" w:type="dxa"/>
              <w:right w:w="40" w:type="dxa"/>
            </w:tcMar>
            <w:vAlign w:val="bottom"/>
          </w:tcPr>
          <w:p w14:paraId="2FA0A76C" w14:textId="77777777" w:rsidR="005A17CE" w:rsidRPr="00C72437" w:rsidRDefault="00D21FFE">
            <w:r>
              <w:rPr>
                <w:sz w:val="20"/>
              </w:rPr>
              <w:t>Niedersachsen</w:t>
            </w:r>
          </w:p>
        </w:tc>
        <w:tc>
          <w:tcPr>
            <w:tcW w:w="1125" w:type="dxa"/>
            <w:tcMar>
              <w:top w:w="40" w:type="dxa"/>
              <w:left w:w="40" w:type="dxa"/>
              <w:bottom w:w="40" w:type="dxa"/>
              <w:right w:w="40" w:type="dxa"/>
            </w:tcMar>
            <w:vAlign w:val="bottom"/>
          </w:tcPr>
          <w:p w14:paraId="4143B02D" w14:textId="77777777" w:rsidR="005A17CE" w:rsidRPr="00C72437" w:rsidRDefault="00D21FFE">
            <w:pPr>
              <w:jc w:val="right"/>
            </w:pPr>
            <w:r>
              <w:rPr>
                <w:sz w:val="20"/>
              </w:rPr>
              <w:t>12 (7,89 %)</w:t>
            </w:r>
          </w:p>
        </w:tc>
        <w:tc>
          <w:tcPr>
            <w:tcW w:w="1515" w:type="dxa"/>
            <w:tcMar>
              <w:top w:w="40" w:type="dxa"/>
              <w:left w:w="40" w:type="dxa"/>
              <w:bottom w:w="40" w:type="dxa"/>
              <w:right w:w="40" w:type="dxa"/>
            </w:tcMar>
            <w:vAlign w:val="bottom"/>
          </w:tcPr>
          <w:p w14:paraId="5CCA954C" w14:textId="77777777" w:rsidR="005A17CE" w:rsidRPr="00C72437" w:rsidRDefault="00D21FFE">
            <w:pPr>
              <w:jc w:val="right"/>
            </w:pPr>
            <w:r>
              <w:rPr>
                <w:sz w:val="20"/>
              </w:rPr>
              <w:t>26.391 (2,97 %)</w:t>
            </w:r>
          </w:p>
        </w:tc>
        <w:tc>
          <w:tcPr>
            <w:tcW w:w="1560" w:type="dxa"/>
            <w:tcMar>
              <w:top w:w="40" w:type="dxa"/>
              <w:left w:w="40" w:type="dxa"/>
              <w:bottom w:w="40" w:type="dxa"/>
              <w:right w:w="40" w:type="dxa"/>
            </w:tcMar>
            <w:vAlign w:val="bottom"/>
          </w:tcPr>
          <w:p w14:paraId="62CE747A" w14:textId="77777777" w:rsidR="005A17CE" w:rsidRPr="00C72437" w:rsidRDefault="00D21FFE">
            <w:pPr>
              <w:jc w:val="right"/>
            </w:pPr>
            <w:r>
              <w:rPr>
                <w:sz w:val="20"/>
              </w:rPr>
              <w:t>23.868 (90,44 %)</w:t>
            </w:r>
          </w:p>
        </w:tc>
        <w:tc>
          <w:tcPr>
            <w:tcW w:w="1365" w:type="dxa"/>
            <w:tcMar>
              <w:top w:w="40" w:type="dxa"/>
              <w:left w:w="40" w:type="dxa"/>
              <w:bottom w:w="40" w:type="dxa"/>
              <w:right w:w="40" w:type="dxa"/>
            </w:tcMar>
            <w:vAlign w:val="bottom"/>
          </w:tcPr>
          <w:p w14:paraId="25574D6E" w14:textId="77777777" w:rsidR="005A17CE" w:rsidRPr="00C72437" w:rsidRDefault="00D21FFE">
            <w:pPr>
              <w:jc w:val="right"/>
            </w:pPr>
            <w:r>
              <w:rPr>
                <w:sz w:val="20"/>
              </w:rPr>
              <w:t>357 (1,35 %)</w:t>
            </w:r>
          </w:p>
        </w:tc>
        <w:tc>
          <w:tcPr>
            <w:tcW w:w="1575" w:type="dxa"/>
            <w:tcMar>
              <w:top w:w="40" w:type="dxa"/>
              <w:left w:w="40" w:type="dxa"/>
              <w:bottom w:w="40" w:type="dxa"/>
              <w:right w:w="40" w:type="dxa"/>
            </w:tcMar>
            <w:vAlign w:val="bottom"/>
          </w:tcPr>
          <w:p w14:paraId="21423806" w14:textId="77777777" w:rsidR="005A17CE" w:rsidRPr="00C72437" w:rsidRDefault="00D21FFE">
            <w:pPr>
              <w:jc w:val="right"/>
            </w:pPr>
            <w:r>
              <w:rPr>
                <w:sz w:val="20"/>
              </w:rPr>
              <w:t>2.166 (8,21 %)</w:t>
            </w:r>
          </w:p>
        </w:tc>
      </w:tr>
      <w:tr w:rsidR="005A17CE" w14:paraId="188178D5" w14:textId="77777777" w:rsidTr="00C72437">
        <w:tc>
          <w:tcPr>
            <w:tcW w:w="1890" w:type="dxa"/>
            <w:tcMar>
              <w:top w:w="40" w:type="dxa"/>
              <w:left w:w="40" w:type="dxa"/>
              <w:bottom w:w="40" w:type="dxa"/>
              <w:right w:w="40" w:type="dxa"/>
            </w:tcMar>
            <w:vAlign w:val="bottom"/>
          </w:tcPr>
          <w:p w14:paraId="3F670612" w14:textId="77777777" w:rsidR="005A17CE" w:rsidRPr="00C72437" w:rsidRDefault="00D21FFE">
            <w:r>
              <w:rPr>
                <w:sz w:val="20"/>
              </w:rPr>
              <w:t>Nordrhein-Westfalen</w:t>
            </w:r>
          </w:p>
        </w:tc>
        <w:tc>
          <w:tcPr>
            <w:tcW w:w="1125" w:type="dxa"/>
            <w:tcMar>
              <w:top w:w="40" w:type="dxa"/>
              <w:left w:w="40" w:type="dxa"/>
              <w:bottom w:w="40" w:type="dxa"/>
              <w:right w:w="40" w:type="dxa"/>
            </w:tcMar>
            <w:vAlign w:val="bottom"/>
          </w:tcPr>
          <w:p w14:paraId="6E60AFF6" w14:textId="77777777" w:rsidR="005A17CE" w:rsidRPr="00C72437" w:rsidRDefault="00D21FFE">
            <w:pPr>
              <w:jc w:val="right"/>
            </w:pPr>
            <w:r>
              <w:rPr>
                <w:sz w:val="20"/>
              </w:rPr>
              <w:t>29 (19,08 %)</w:t>
            </w:r>
          </w:p>
        </w:tc>
        <w:tc>
          <w:tcPr>
            <w:tcW w:w="1515" w:type="dxa"/>
            <w:tcMar>
              <w:top w:w="40" w:type="dxa"/>
              <w:left w:w="40" w:type="dxa"/>
              <w:bottom w:w="40" w:type="dxa"/>
              <w:right w:w="40" w:type="dxa"/>
            </w:tcMar>
            <w:vAlign w:val="bottom"/>
          </w:tcPr>
          <w:p w14:paraId="0E4B5EE4" w14:textId="77777777" w:rsidR="005A17CE" w:rsidRPr="00C72437" w:rsidRDefault="00D21FFE">
            <w:pPr>
              <w:jc w:val="right"/>
            </w:pPr>
            <w:r>
              <w:rPr>
                <w:sz w:val="20"/>
              </w:rPr>
              <w:t>227.996 (25,65 %)</w:t>
            </w:r>
          </w:p>
        </w:tc>
        <w:tc>
          <w:tcPr>
            <w:tcW w:w="1560" w:type="dxa"/>
            <w:tcMar>
              <w:top w:w="40" w:type="dxa"/>
              <w:left w:w="40" w:type="dxa"/>
              <w:bottom w:w="40" w:type="dxa"/>
              <w:right w:w="40" w:type="dxa"/>
            </w:tcMar>
            <w:vAlign w:val="bottom"/>
          </w:tcPr>
          <w:p w14:paraId="7C84014E" w14:textId="77777777" w:rsidR="005A17CE" w:rsidRPr="00C72437" w:rsidRDefault="00D21FFE">
            <w:pPr>
              <w:jc w:val="right"/>
            </w:pPr>
            <w:r>
              <w:rPr>
                <w:sz w:val="20"/>
              </w:rPr>
              <w:t>78.318 (34,35 %)</w:t>
            </w:r>
          </w:p>
        </w:tc>
        <w:tc>
          <w:tcPr>
            <w:tcW w:w="1365" w:type="dxa"/>
            <w:tcMar>
              <w:top w:w="40" w:type="dxa"/>
              <w:left w:w="40" w:type="dxa"/>
              <w:bottom w:w="40" w:type="dxa"/>
              <w:right w:w="40" w:type="dxa"/>
            </w:tcMar>
            <w:vAlign w:val="bottom"/>
          </w:tcPr>
          <w:p w14:paraId="6F32FB2E" w14:textId="77777777" w:rsidR="005A17CE" w:rsidRPr="00C72437" w:rsidRDefault="00D21FFE">
            <w:pPr>
              <w:jc w:val="right"/>
            </w:pPr>
            <w:r>
              <w:rPr>
                <w:sz w:val="20"/>
              </w:rPr>
              <w:t>1.665 (0,73 %)</w:t>
            </w:r>
          </w:p>
        </w:tc>
        <w:tc>
          <w:tcPr>
            <w:tcW w:w="1575" w:type="dxa"/>
            <w:tcMar>
              <w:top w:w="40" w:type="dxa"/>
              <w:left w:w="40" w:type="dxa"/>
              <w:bottom w:w="40" w:type="dxa"/>
              <w:right w:w="40" w:type="dxa"/>
            </w:tcMar>
            <w:vAlign w:val="bottom"/>
          </w:tcPr>
          <w:p w14:paraId="11DAF8A4" w14:textId="77777777" w:rsidR="005A17CE" w:rsidRPr="00C72437" w:rsidRDefault="00D21FFE">
            <w:pPr>
              <w:jc w:val="right"/>
            </w:pPr>
            <w:r>
              <w:rPr>
                <w:sz w:val="20"/>
              </w:rPr>
              <w:t>148.013 (64,92 %)</w:t>
            </w:r>
          </w:p>
        </w:tc>
      </w:tr>
      <w:tr w:rsidR="005A17CE" w14:paraId="6AF2A91A" w14:textId="77777777" w:rsidTr="00C72437">
        <w:tc>
          <w:tcPr>
            <w:tcW w:w="1890" w:type="dxa"/>
            <w:tcMar>
              <w:top w:w="40" w:type="dxa"/>
              <w:left w:w="40" w:type="dxa"/>
              <w:bottom w:w="40" w:type="dxa"/>
              <w:right w:w="40" w:type="dxa"/>
            </w:tcMar>
            <w:vAlign w:val="bottom"/>
          </w:tcPr>
          <w:p w14:paraId="3A054145" w14:textId="77777777" w:rsidR="005A17CE" w:rsidRPr="00C72437" w:rsidRDefault="00D21FFE">
            <w:r>
              <w:rPr>
                <w:sz w:val="20"/>
              </w:rPr>
              <w:t>Rheinland-Pfalz</w:t>
            </w:r>
          </w:p>
        </w:tc>
        <w:tc>
          <w:tcPr>
            <w:tcW w:w="1125" w:type="dxa"/>
            <w:tcMar>
              <w:top w:w="40" w:type="dxa"/>
              <w:left w:w="40" w:type="dxa"/>
              <w:bottom w:w="40" w:type="dxa"/>
              <w:right w:w="40" w:type="dxa"/>
            </w:tcMar>
            <w:vAlign w:val="bottom"/>
          </w:tcPr>
          <w:p w14:paraId="76A5CF40" w14:textId="77777777" w:rsidR="005A17CE" w:rsidRPr="00C72437" w:rsidRDefault="00D21FFE">
            <w:pPr>
              <w:jc w:val="right"/>
            </w:pPr>
            <w:r>
              <w:rPr>
                <w:sz w:val="20"/>
              </w:rPr>
              <w:t>4 (2,63 %)</w:t>
            </w:r>
          </w:p>
        </w:tc>
        <w:tc>
          <w:tcPr>
            <w:tcW w:w="1515" w:type="dxa"/>
            <w:tcMar>
              <w:top w:w="40" w:type="dxa"/>
              <w:left w:w="40" w:type="dxa"/>
              <w:bottom w:w="40" w:type="dxa"/>
              <w:right w:w="40" w:type="dxa"/>
            </w:tcMar>
            <w:vAlign w:val="bottom"/>
          </w:tcPr>
          <w:p w14:paraId="520CCCA0" w14:textId="77777777" w:rsidR="005A17CE" w:rsidRPr="00C72437" w:rsidRDefault="00D21FFE">
            <w:pPr>
              <w:jc w:val="right"/>
            </w:pPr>
            <w:r>
              <w:rPr>
                <w:sz w:val="20"/>
              </w:rPr>
              <w:t>6.825 (0,77 %)</w:t>
            </w:r>
          </w:p>
        </w:tc>
        <w:tc>
          <w:tcPr>
            <w:tcW w:w="1560" w:type="dxa"/>
            <w:tcMar>
              <w:top w:w="40" w:type="dxa"/>
              <w:left w:w="40" w:type="dxa"/>
              <w:bottom w:w="40" w:type="dxa"/>
              <w:right w:w="40" w:type="dxa"/>
            </w:tcMar>
            <w:vAlign w:val="bottom"/>
          </w:tcPr>
          <w:p w14:paraId="5012F210" w14:textId="77777777" w:rsidR="005A17CE" w:rsidRPr="00C72437" w:rsidRDefault="00D21FFE">
            <w:pPr>
              <w:jc w:val="right"/>
            </w:pPr>
            <w:r>
              <w:rPr>
                <w:sz w:val="20"/>
              </w:rPr>
              <w:t>6.825 (100,00 %)</w:t>
            </w:r>
          </w:p>
        </w:tc>
        <w:tc>
          <w:tcPr>
            <w:tcW w:w="1365" w:type="dxa"/>
            <w:tcMar>
              <w:top w:w="40" w:type="dxa"/>
              <w:left w:w="40" w:type="dxa"/>
              <w:bottom w:w="40" w:type="dxa"/>
              <w:right w:w="40" w:type="dxa"/>
            </w:tcMar>
            <w:vAlign w:val="bottom"/>
          </w:tcPr>
          <w:p w14:paraId="01DD24C9" w14:textId="77777777" w:rsidR="005A17CE" w:rsidRPr="00C72437" w:rsidRDefault="00D21FFE">
            <w:pPr>
              <w:jc w:val="right"/>
            </w:pPr>
            <w:r>
              <w:rPr>
                <w:sz w:val="20"/>
              </w:rPr>
              <w:t>0 (0,00 %)</w:t>
            </w:r>
          </w:p>
        </w:tc>
        <w:tc>
          <w:tcPr>
            <w:tcW w:w="1575" w:type="dxa"/>
            <w:tcMar>
              <w:top w:w="40" w:type="dxa"/>
              <w:left w:w="40" w:type="dxa"/>
              <w:bottom w:w="40" w:type="dxa"/>
              <w:right w:w="40" w:type="dxa"/>
            </w:tcMar>
            <w:vAlign w:val="bottom"/>
          </w:tcPr>
          <w:p w14:paraId="1BD8E5C0" w14:textId="77777777" w:rsidR="005A17CE" w:rsidRPr="00C72437" w:rsidRDefault="00D21FFE">
            <w:pPr>
              <w:jc w:val="right"/>
            </w:pPr>
            <w:r>
              <w:rPr>
                <w:sz w:val="20"/>
              </w:rPr>
              <w:t>0 (0,00 %)</w:t>
            </w:r>
          </w:p>
        </w:tc>
      </w:tr>
      <w:tr w:rsidR="005A17CE" w14:paraId="34C4B4EB" w14:textId="77777777" w:rsidTr="00C72437">
        <w:tc>
          <w:tcPr>
            <w:tcW w:w="1890" w:type="dxa"/>
            <w:tcMar>
              <w:top w:w="40" w:type="dxa"/>
              <w:left w:w="40" w:type="dxa"/>
              <w:bottom w:w="40" w:type="dxa"/>
              <w:right w:w="40" w:type="dxa"/>
            </w:tcMar>
            <w:vAlign w:val="bottom"/>
          </w:tcPr>
          <w:p w14:paraId="7A4E3DAF" w14:textId="77777777" w:rsidR="005A17CE" w:rsidRPr="00C72437" w:rsidRDefault="00D21FFE">
            <w:r>
              <w:rPr>
                <w:sz w:val="20"/>
              </w:rPr>
              <w:t>Saarland</w:t>
            </w:r>
          </w:p>
        </w:tc>
        <w:tc>
          <w:tcPr>
            <w:tcW w:w="1125" w:type="dxa"/>
            <w:tcMar>
              <w:top w:w="40" w:type="dxa"/>
              <w:left w:w="40" w:type="dxa"/>
              <w:bottom w:w="40" w:type="dxa"/>
              <w:right w:w="40" w:type="dxa"/>
            </w:tcMar>
            <w:vAlign w:val="bottom"/>
          </w:tcPr>
          <w:p w14:paraId="26A14A80" w14:textId="77777777" w:rsidR="005A17CE" w:rsidRPr="00C72437" w:rsidRDefault="00D21FFE">
            <w:pPr>
              <w:jc w:val="right"/>
            </w:pPr>
            <w:r>
              <w:rPr>
                <w:sz w:val="20"/>
              </w:rPr>
              <w:t>3 (1,97 %)</w:t>
            </w:r>
          </w:p>
        </w:tc>
        <w:tc>
          <w:tcPr>
            <w:tcW w:w="1515" w:type="dxa"/>
            <w:tcMar>
              <w:top w:w="40" w:type="dxa"/>
              <w:left w:w="40" w:type="dxa"/>
              <w:bottom w:w="40" w:type="dxa"/>
              <w:right w:w="40" w:type="dxa"/>
            </w:tcMar>
            <w:vAlign w:val="bottom"/>
          </w:tcPr>
          <w:p w14:paraId="14B3E7F2" w14:textId="77777777" w:rsidR="005A17CE" w:rsidRPr="00C72437" w:rsidRDefault="00D21FFE">
            <w:pPr>
              <w:jc w:val="right"/>
            </w:pPr>
            <w:r>
              <w:rPr>
                <w:sz w:val="20"/>
              </w:rPr>
              <w:t>11.461 (1,29 %)</w:t>
            </w:r>
          </w:p>
        </w:tc>
        <w:tc>
          <w:tcPr>
            <w:tcW w:w="1560" w:type="dxa"/>
            <w:tcMar>
              <w:top w:w="40" w:type="dxa"/>
              <w:left w:w="40" w:type="dxa"/>
              <w:bottom w:w="40" w:type="dxa"/>
              <w:right w:w="40" w:type="dxa"/>
            </w:tcMar>
            <w:vAlign w:val="bottom"/>
          </w:tcPr>
          <w:p w14:paraId="54D5E16A" w14:textId="77777777" w:rsidR="005A17CE" w:rsidRPr="00C72437" w:rsidRDefault="00D21FFE">
            <w:pPr>
              <w:jc w:val="right"/>
            </w:pPr>
            <w:r>
              <w:rPr>
                <w:sz w:val="20"/>
              </w:rPr>
              <w:t>8.003 (69,83 %)</w:t>
            </w:r>
          </w:p>
        </w:tc>
        <w:tc>
          <w:tcPr>
            <w:tcW w:w="1365" w:type="dxa"/>
            <w:tcMar>
              <w:top w:w="40" w:type="dxa"/>
              <w:left w:w="40" w:type="dxa"/>
              <w:bottom w:w="40" w:type="dxa"/>
              <w:right w:w="40" w:type="dxa"/>
            </w:tcMar>
            <w:vAlign w:val="bottom"/>
          </w:tcPr>
          <w:p w14:paraId="2C3589AF" w14:textId="77777777" w:rsidR="005A17CE" w:rsidRPr="00C72437" w:rsidRDefault="00D21FFE">
            <w:pPr>
              <w:jc w:val="right"/>
            </w:pPr>
            <w:r>
              <w:rPr>
                <w:sz w:val="20"/>
              </w:rPr>
              <w:t>0 (0,00 %)</w:t>
            </w:r>
          </w:p>
        </w:tc>
        <w:tc>
          <w:tcPr>
            <w:tcW w:w="1575" w:type="dxa"/>
            <w:tcMar>
              <w:top w:w="40" w:type="dxa"/>
              <w:left w:w="40" w:type="dxa"/>
              <w:bottom w:w="40" w:type="dxa"/>
              <w:right w:w="40" w:type="dxa"/>
            </w:tcMar>
            <w:vAlign w:val="bottom"/>
          </w:tcPr>
          <w:p w14:paraId="1CEFC0D0" w14:textId="77777777" w:rsidR="005A17CE" w:rsidRPr="00C72437" w:rsidRDefault="00D21FFE">
            <w:pPr>
              <w:jc w:val="right"/>
            </w:pPr>
            <w:r>
              <w:rPr>
                <w:sz w:val="20"/>
              </w:rPr>
              <w:t>3.458 (30,17 %)</w:t>
            </w:r>
          </w:p>
        </w:tc>
      </w:tr>
      <w:tr w:rsidR="005A17CE" w14:paraId="1EA76425" w14:textId="77777777" w:rsidTr="00C72437">
        <w:tc>
          <w:tcPr>
            <w:tcW w:w="1890" w:type="dxa"/>
            <w:tcMar>
              <w:top w:w="40" w:type="dxa"/>
              <w:left w:w="40" w:type="dxa"/>
              <w:bottom w:w="40" w:type="dxa"/>
              <w:right w:w="40" w:type="dxa"/>
            </w:tcMar>
            <w:vAlign w:val="bottom"/>
          </w:tcPr>
          <w:p w14:paraId="795D6E8A" w14:textId="77777777" w:rsidR="005A17CE" w:rsidRPr="00C72437" w:rsidRDefault="00D21FFE">
            <w:r>
              <w:rPr>
                <w:sz w:val="20"/>
              </w:rPr>
              <w:t>Sachsen</w:t>
            </w:r>
          </w:p>
        </w:tc>
        <w:tc>
          <w:tcPr>
            <w:tcW w:w="1125" w:type="dxa"/>
            <w:tcMar>
              <w:top w:w="40" w:type="dxa"/>
              <w:left w:w="40" w:type="dxa"/>
              <w:bottom w:w="40" w:type="dxa"/>
              <w:right w:w="40" w:type="dxa"/>
            </w:tcMar>
            <w:vAlign w:val="bottom"/>
          </w:tcPr>
          <w:p w14:paraId="106695CD" w14:textId="77777777" w:rsidR="005A17CE" w:rsidRPr="00C72437" w:rsidRDefault="00D21FFE">
            <w:pPr>
              <w:jc w:val="right"/>
            </w:pPr>
            <w:r>
              <w:rPr>
                <w:sz w:val="20"/>
              </w:rPr>
              <w:t>8 (5,26 %)</w:t>
            </w:r>
          </w:p>
        </w:tc>
        <w:tc>
          <w:tcPr>
            <w:tcW w:w="1515" w:type="dxa"/>
            <w:tcMar>
              <w:top w:w="40" w:type="dxa"/>
              <w:left w:w="40" w:type="dxa"/>
              <w:bottom w:w="40" w:type="dxa"/>
              <w:right w:w="40" w:type="dxa"/>
            </w:tcMar>
            <w:vAlign w:val="bottom"/>
          </w:tcPr>
          <w:p w14:paraId="4A8DA214" w14:textId="77777777" w:rsidR="005A17CE" w:rsidRPr="00C72437" w:rsidRDefault="00D21FFE">
            <w:pPr>
              <w:jc w:val="right"/>
            </w:pPr>
            <w:r>
              <w:rPr>
                <w:sz w:val="20"/>
              </w:rPr>
              <w:t>17.783 (2,00 %)</w:t>
            </w:r>
          </w:p>
        </w:tc>
        <w:tc>
          <w:tcPr>
            <w:tcW w:w="1560" w:type="dxa"/>
            <w:tcMar>
              <w:top w:w="40" w:type="dxa"/>
              <w:left w:w="40" w:type="dxa"/>
              <w:bottom w:w="40" w:type="dxa"/>
              <w:right w:w="40" w:type="dxa"/>
            </w:tcMar>
            <w:vAlign w:val="bottom"/>
          </w:tcPr>
          <w:p w14:paraId="368FB37B" w14:textId="77777777" w:rsidR="005A17CE" w:rsidRPr="00C72437" w:rsidRDefault="00D21FFE">
            <w:pPr>
              <w:jc w:val="right"/>
            </w:pPr>
            <w:r>
              <w:rPr>
                <w:sz w:val="20"/>
              </w:rPr>
              <w:t>13.734 (77,23 %)</w:t>
            </w:r>
          </w:p>
        </w:tc>
        <w:tc>
          <w:tcPr>
            <w:tcW w:w="1365" w:type="dxa"/>
            <w:tcMar>
              <w:top w:w="40" w:type="dxa"/>
              <w:left w:w="40" w:type="dxa"/>
              <w:bottom w:w="40" w:type="dxa"/>
              <w:right w:w="40" w:type="dxa"/>
            </w:tcMar>
            <w:vAlign w:val="bottom"/>
          </w:tcPr>
          <w:p w14:paraId="41E543D6" w14:textId="77777777" w:rsidR="005A17CE" w:rsidRPr="00C72437" w:rsidRDefault="00D21FFE">
            <w:pPr>
              <w:jc w:val="right"/>
            </w:pPr>
            <w:r>
              <w:rPr>
                <w:sz w:val="20"/>
              </w:rPr>
              <w:t>3.473 (19,53 %)</w:t>
            </w:r>
          </w:p>
        </w:tc>
        <w:tc>
          <w:tcPr>
            <w:tcW w:w="1575" w:type="dxa"/>
            <w:tcMar>
              <w:top w:w="40" w:type="dxa"/>
              <w:left w:w="40" w:type="dxa"/>
              <w:bottom w:w="40" w:type="dxa"/>
              <w:right w:w="40" w:type="dxa"/>
            </w:tcMar>
            <w:vAlign w:val="bottom"/>
          </w:tcPr>
          <w:p w14:paraId="13682D88" w14:textId="77777777" w:rsidR="005A17CE" w:rsidRPr="00C72437" w:rsidRDefault="00D21FFE">
            <w:pPr>
              <w:jc w:val="right"/>
            </w:pPr>
            <w:r>
              <w:rPr>
                <w:sz w:val="20"/>
              </w:rPr>
              <w:t>576 (3,24 %)</w:t>
            </w:r>
          </w:p>
        </w:tc>
      </w:tr>
      <w:tr w:rsidR="005A17CE" w14:paraId="0D9F1EF2" w14:textId="77777777" w:rsidTr="00C72437">
        <w:tc>
          <w:tcPr>
            <w:tcW w:w="1890" w:type="dxa"/>
            <w:tcMar>
              <w:top w:w="40" w:type="dxa"/>
              <w:left w:w="40" w:type="dxa"/>
              <w:bottom w:w="40" w:type="dxa"/>
              <w:right w:w="40" w:type="dxa"/>
            </w:tcMar>
            <w:vAlign w:val="bottom"/>
          </w:tcPr>
          <w:p w14:paraId="16B99997" w14:textId="77777777" w:rsidR="005A17CE" w:rsidRPr="00C72437" w:rsidRDefault="00D21FFE">
            <w:r>
              <w:rPr>
                <w:sz w:val="20"/>
              </w:rPr>
              <w:t>Sachsen-Anhalt</w:t>
            </w:r>
          </w:p>
        </w:tc>
        <w:tc>
          <w:tcPr>
            <w:tcW w:w="1125" w:type="dxa"/>
            <w:tcMar>
              <w:top w:w="40" w:type="dxa"/>
              <w:left w:w="40" w:type="dxa"/>
              <w:bottom w:w="40" w:type="dxa"/>
              <w:right w:w="40" w:type="dxa"/>
            </w:tcMar>
            <w:vAlign w:val="bottom"/>
          </w:tcPr>
          <w:p w14:paraId="6945E788" w14:textId="77777777" w:rsidR="005A17CE" w:rsidRPr="00C72437" w:rsidRDefault="00D21FFE">
            <w:pPr>
              <w:jc w:val="right"/>
            </w:pPr>
            <w:r>
              <w:rPr>
                <w:sz w:val="20"/>
              </w:rPr>
              <w:t>2 (1,32 %)</w:t>
            </w:r>
          </w:p>
        </w:tc>
        <w:tc>
          <w:tcPr>
            <w:tcW w:w="1515" w:type="dxa"/>
            <w:tcMar>
              <w:top w:w="40" w:type="dxa"/>
              <w:left w:w="40" w:type="dxa"/>
              <w:bottom w:w="40" w:type="dxa"/>
              <w:right w:w="40" w:type="dxa"/>
            </w:tcMar>
            <w:vAlign w:val="bottom"/>
          </w:tcPr>
          <w:p w14:paraId="39D036A8" w14:textId="77777777" w:rsidR="005A17CE" w:rsidRPr="00C72437" w:rsidRDefault="00D21FFE">
            <w:pPr>
              <w:jc w:val="right"/>
            </w:pPr>
            <w:r>
              <w:rPr>
                <w:sz w:val="20"/>
              </w:rPr>
              <w:t>3.445 (0,39 %)</w:t>
            </w:r>
          </w:p>
        </w:tc>
        <w:tc>
          <w:tcPr>
            <w:tcW w:w="1560" w:type="dxa"/>
            <w:tcMar>
              <w:top w:w="40" w:type="dxa"/>
              <w:left w:w="40" w:type="dxa"/>
              <w:bottom w:w="40" w:type="dxa"/>
              <w:right w:w="40" w:type="dxa"/>
            </w:tcMar>
            <w:vAlign w:val="bottom"/>
          </w:tcPr>
          <w:p w14:paraId="03CD943D" w14:textId="77777777" w:rsidR="005A17CE" w:rsidRPr="00C72437" w:rsidRDefault="00D21FFE">
            <w:pPr>
              <w:jc w:val="right"/>
            </w:pPr>
            <w:r>
              <w:rPr>
                <w:sz w:val="20"/>
              </w:rPr>
              <w:t>1.081 (31,38 %)</w:t>
            </w:r>
          </w:p>
        </w:tc>
        <w:tc>
          <w:tcPr>
            <w:tcW w:w="1365" w:type="dxa"/>
            <w:tcMar>
              <w:top w:w="40" w:type="dxa"/>
              <w:left w:w="40" w:type="dxa"/>
              <w:bottom w:w="40" w:type="dxa"/>
              <w:right w:w="40" w:type="dxa"/>
            </w:tcMar>
            <w:vAlign w:val="bottom"/>
          </w:tcPr>
          <w:p w14:paraId="00BCAD66" w14:textId="77777777" w:rsidR="005A17CE" w:rsidRPr="00C72437" w:rsidRDefault="00D21FFE">
            <w:pPr>
              <w:jc w:val="right"/>
            </w:pPr>
            <w:r>
              <w:rPr>
                <w:sz w:val="20"/>
              </w:rPr>
              <w:t>0 (0,00 %)</w:t>
            </w:r>
          </w:p>
        </w:tc>
        <w:tc>
          <w:tcPr>
            <w:tcW w:w="1575" w:type="dxa"/>
            <w:tcMar>
              <w:top w:w="40" w:type="dxa"/>
              <w:left w:w="40" w:type="dxa"/>
              <w:bottom w:w="40" w:type="dxa"/>
              <w:right w:w="40" w:type="dxa"/>
            </w:tcMar>
            <w:vAlign w:val="bottom"/>
          </w:tcPr>
          <w:p w14:paraId="6154CF3C" w14:textId="77777777" w:rsidR="005A17CE" w:rsidRPr="00C72437" w:rsidRDefault="00D21FFE">
            <w:pPr>
              <w:jc w:val="right"/>
            </w:pPr>
            <w:r>
              <w:rPr>
                <w:sz w:val="20"/>
              </w:rPr>
              <w:t>2.364 (68,62 %)</w:t>
            </w:r>
          </w:p>
        </w:tc>
      </w:tr>
      <w:tr w:rsidR="005A17CE" w14:paraId="7DC33FA4" w14:textId="77777777" w:rsidTr="00C72437">
        <w:tc>
          <w:tcPr>
            <w:tcW w:w="1890" w:type="dxa"/>
            <w:tcMar>
              <w:top w:w="40" w:type="dxa"/>
              <w:left w:w="40" w:type="dxa"/>
              <w:bottom w:w="40" w:type="dxa"/>
              <w:right w:w="40" w:type="dxa"/>
            </w:tcMar>
            <w:vAlign w:val="bottom"/>
          </w:tcPr>
          <w:p w14:paraId="2C72E94E" w14:textId="77777777" w:rsidR="005A17CE" w:rsidRPr="00C72437" w:rsidRDefault="00D21FFE">
            <w:r>
              <w:rPr>
                <w:sz w:val="20"/>
              </w:rPr>
              <w:t>Schleswig-Holstein</w:t>
            </w:r>
          </w:p>
        </w:tc>
        <w:tc>
          <w:tcPr>
            <w:tcW w:w="1125" w:type="dxa"/>
            <w:tcMar>
              <w:top w:w="40" w:type="dxa"/>
              <w:left w:w="40" w:type="dxa"/>
              <w:bottom w:w="40" w:type="dxa"/>
              <w:right w:w="40" w:type="dxa"/>
            </w:tcMar>
            <w:vAlign w:val="bottom"/>
          </w:tcPr>
          <w:p w14:paraId="4F6D2270" w14:textId="77777777" w:rsidR="005A17CE" w:rsidRPr="00C72437" w:rsidRDefault="00D21FFE">
            <w:pPr>
              <w:jc w:val="right"/>
            </w:pPr>
            <w:r>
              <w:rPr>
                <w:sz w:val="20"/>
              </w:rPr>
              <w:t>4 (2,63 %)</w:t>
            </w:r>
          </w:p>
        </w:tc>
        <w:tc>
          <w:tcPr>
            <w:tcW w:w="1515" w:type="dxa"/>
            <w:tcMar>
              <w:top w:w="40" w:type="dxa"/>
              <w:left w:w="40" w:type="dxa"/>
              <w:bottom w:w="40" w:type="dxa"/>
              <w:right w:w="40" w:type="dxa"/>
            </w:tcMar>
            <w:vAlign w:val="bottom"/>
          </w:tcPr>
          <w:p w14:paraId="28CEF902" w14:textId="77777777" w:rsidR="005A17CE" w:rsidRPr="00C72437" w:rsidRDefault="00D21FFE">
            <w:pPr>
              <w:jc w:val="right"/>
            </w:pPr>
            <w:r>
              <w:rPr>
                <w:sz w:val="20"/>
              </w:rPr>
              <w:t>90.157 (10,14 %)</w:t>
            </w:r>
          </w:p>
        </w:tc>
        <w:tc>
          <w:tcPr>
            <w:tcW w:w="1560" w:type="dxa"/>
            <w:tcMar>
              <w:top w:w="40" w:type="dxa"/>
              <w:left w:w="40" w:type="dxa"/>
              <w:bottom w:w="40" w:type="dxa"/>
              <w:right w:w="40" w:type="dxa"/>
            </w:tcMar>
            <w:vAlign w:val="bottom"/>
          </w:tcPr>
          <w:p w14:paraId="27337ECC" w14:textId="77777777" w:rsidR="005A17CE" w:rsidRPr="00C72437" w:rsidRDefault="00D21FFE">
            <w:pPr>
              <w:jc w:val="right"/>
            </w:pPr>
            <w:r>
              <w:rPr>
                <w:sz w:val="20"/>
              </w:rPr>
              <w:t>2.620 (2,91 %)</w:t>
            </w:r>
          </w:p>
        </w:tc>
        <w:tc>
          <w:tcPr>
            <w:tcW w:w="1365" w:type="dxa"/>
            <w:tcMar>
              <w:top w:w="40" w:type="dxa"/>
              <w:left w:w="40" w:type="dxa"/>
              <w:bottom w:w="40" w:type="dxa"/>
              <w:right w:w="40" w:type="dxa"/>
            </w:tcMar>
            <w:vAlign w:val="bottom"/>
          </w:tcPr>
          <w:p w14:paraId="7D940D01" w14:textId="77777777" w:rsidR="005A17CE" w:rsidRPr="00C72437" w:rsidRDefault="00D21FFE">
            <w:pPr>
              <w:jc w:val="right"/>
            </w:pPr>
            <w:r>
              <w:rPr>
                <w:sz w:val="20"/>
              </w:rPr>
              <w:t>0 (0,00 %)</w:t>
            </w:r>
          </w:p>
        </w:tc>
        <w:tc>
          <w:tcPr>
            <w:tcW w:w="1575" w:type="dxa"/>
            <w:tcMar>
              <w:top w:w="40" w:type="dxa"/>
              <w:left w:w="40" w:type="dxa"/>
              <w:bottom w:w="40" w:type="dxa"/>
              <w:right w:w="40" w:type="dxa"/>
            </w:tcMar>
            <w:vAlign w:val="bottom"/>
          </w:tcPr>
          <w:p w14:paraId="33C3E8B5" w14:textId="77777777" w:rsidR="005A17CE" w:rsidRPr="00C72437" w:rsidRDefault="00D21FFE">
            <w:pPr>
              <w:jc w:val="right"/>
            </w:pPr>
            <w:r>
              <w:rPr>
                <w:sz w:val="20"/>
              </w:rPr>
              <w:t>87.537 (97,08 %)</w:t>
            </w:r>
          </w:p>
        </w:tc>
      </w:tr>
      <w:tr w:rsidR="005A17CE" w14:paraId="77394705" w14:textId="77777777" w:rsidTr="00C72437">
        <w:tc>
          <w:tcPr>
            <w:tcW w:w="1890" w:type="dxa"/>
            <w:tcMar>
              <w:top w:w="40" w:type="dxa"/>
              <w:left w:w="40" w:type="dxa"/>
              <w:bottom w:w="40" w:type="dxa"/>
              <w:right w:w="40" w:type="dxa"/>
            </w:tcMar>
            <w:vAlign w:val="bottom"/>
          </w:tcPr>
          <w:p w14:paraId="466D7941" w14:textId="77777777" w:rsidR="005A17CE" w:rsidRPr="00C72437" w:rsidRDefault="00D21FFE">
            <w:r>
              <w:rPr>
                <w:sz w:val="20"/>
              </w:rPr>
              <w:t>Thüringen</w:t>
            </w:r>
          </w:p>
        </w:tc>
        <w:tc>
          <w:tcPr>
            <w:tcW w:w="1125" w:type="dxa"/>
            <w:tcBorders>
              <w:bottom w:val="single" w:sz="6" w:space="0" w:color="000000"/>
            </w:tcBorders>
            <w:tcMar>
              <w:top w:w="40" w:type="dxa"/>
              <w:left w:w="40" w:type="dxa"/>
              <w:bottom w:w="40" w:type="dxa"/>
              <w:right w:w="40" w:type="dxa"/>
            </w:tcMar>
            <w:vAlign w:val="bottom"/>
          </w:tcPr>
          <w:p w14:paraId="70D1840F" w14:textId="77777777" w:rsidR="005A17CE" w:rsidRPr="00C72437" w:rsidRDefault="00D21FFE">
            <w:pPr>
              <w:jc w:val="right"/>
            </w:pPr>
            <w:r>
              <w:rPr>
                <w:sz w:val="20"/>
              </w:rPr>
              <w:t>2 (1,32 %)</w:t>
            </w:r>
          </w:p>
        </w:tc>
        <w:tc>
          <w:tcPr>
            <w:tcW w:w="1515" w:type="dxa"/>
            <w:tcBorders>
              <w:bottom w:val="single" w:sz="6" w:space="0" w:color="000000"/>
            </w:tcBorders>
            <w:tcMar>
              <w:top w:w="40" w:type="dxa"/>
              <w:left w:w="40" w:type="dxa"/>
              <w:bottom w:w="40" w:type="dxa"/>
              <w:right w:w="40" w:type="dxa"/>
            </w:tcMar>
            <w:vAlign w:val="bottom"/>
          </w:tcPr>
          <w:p w14:paraId="30C41E4C" w14:textId="77777777" w:rsidR="005A17CE" w:rsidRPr="00C72437" w:rsidRDefault="00D21FFE">
            <w:pPr>
              <w:jc w:val="right"/>
            </w:pPr>
            <w:r>
              <w:rPr>
                <w:sz w:val="20"/>
              </w:rPr>
              <w:t>9.800 (1,10 %)</w:t>
            </w:r>
          </w:p>
        </w:tc>
        <w:tc>
          <w:tcPr>
            <w:tcW w:w="1560" w:type="dxa"/>
            <w:tcBorders>
              <w:bottom w:val="single" w:sz="6" w:space="0" w:color="000000"/>
            </w:tcBorders>
            <w:tcMar>
              <w:top w:w="40" w:type="dxa"/>
              <w:left w:w="40" w:type="dxa"/>
              <w:bottom w:w="40" w:type="dxa"/>
              <w:right w:w="40" w:type="dxa"/>
            </w:tcMar>
            <w:vAlign w:val="bottom"/>
          </w:tcPr>
          <w:p w14:paraId="6ECB2458" w14:textId="77777777" w:rsidR="005A17CE" w:rsidRPr="00C72437" w:rsidRDefault="00D21FFE">
            <w:pPr>
              <w:jc w:val="right"/>
            </w:pPr>
            <w:r>
              <w:rPr>
                <w:sz w:val="20"/>
              </w:rPr>
              <w:t>9.800 (100,00 %)</w:t>
            </w:r>
          </w:p>
        </w:tc>
        <w:tc>
          <w:tcPr>
            <w:tcW w:w="1365" w:type="dxa"/>
            <w:tcBorders>
              <w:bottom w:val="single" w:sz="6" w:space="0" w:color="000000"/>
            </w:tcBorders>
            <w:tcMar>
              <w:top w:w="40" w:type="dxa"/>
              <w:left w:w="40" w:type="dxa"/>
              <w:bottom w:w="40" w:type="dxa"/>
              <w:right w:w="40" w:type="dxa"/>
            </w:tcMar>
            <w:vAlign w:val="bottom"/>
          </w:tcPr>
          <w:p w14:paraId="023E42E7" w14:textId="77777777" w:rsidR="005A17CE" w:rsidRPr="00C72437" w:rsidRDefault="00D21FFE">
            <w:pPr>
              <w:jc w:val="right"/>
            </w:pPr>
            <w:r>
              <w:rPr>
                <w:sz w:val="20"/>
              </w:rPr>
              <w:t>0 (0,0 %)</w:t>
            </w:r>
          </w:p>
        </w:tc>
        <w:tc>
          <w:tcPr>
            <w:tcW w:w="1575" w:type="dxa"/>
            <w:tcBorders>
              <w:bottom w:val="single" w:sz="6" w:space="0" w:color="000000"/>
            </w:tcBorders>
            <w:tcMar>
              <w:top w:w="40" w:type="dxa"/>
              <w:left w:w="40" w:type="dxa"/>
              <w:bottom w:w="40" w:type="dxa"/>
              <w:right w:w="40" w:type="dxa"/>
            </w:tcMar>
            <w:vAlign w:val="bottom"/>
          </w:tcPr>
          <w:p w14:paraId="29994002" w14:textId="77777777" w:rsidR="005A17CE" w:rsidRPr="00C72437" w:rsidRDefault="00D21FFE">
            <w:pPr>
              <w:jc w:val="right"/>
            </w:pPr>
            <w:r>
              <w:rPr>
                <w:sz w:val="20"/>
              </w:rPr>
              <w:t>0 (0,00 %)</w:t>
            </w:r>
          </w:p>
        </w:tc>
      </w:tr>
      <w:tr w:rsidR="005A17CE" w14:paraId="09883C77" w14:textId="77777777" w:rsidTr="00C72437">
        <w:tc>
          <w:tcPr>
            <w:tcW w:w="1890" w:type="dxa"/>
            <w:tcMar>
              <w:top w:w="40" w:type="dxa"/>
              <w:left w:w="40" w:type="dxa"/>
              <w:bottom w:w="40" w:type="dxa"/>
              <w:right w:w="40" w:type="dxa"/>
            </w:tcMar>
            <w:vAlign w:val="bottom"/>
          </w:tcPr>
          <w:p w14:paraId="6B6687CB" w14:textId="77777777" w:rsidR="005A17CE" w:rsidRPr="00C72437" w:rsidRDefault="00D21FFE">
            <w:r>
              <w:rPr>
                <w:b/>
                <w:sz w:val="20"/>
              </w:rPr>
              <w:t>Gesamt BRD</w:t>
            </w:r>
          </w:p>
        </w:tc>
        <w:tc>
          <w:tcPr>
            <w:tcW w:w="1125" w:type="dxa"/>
            <w:tcBorders>
              <w:bottom w:val="single" w:sz="6" w:space="0" w:color="000000"/>
            </w:tcBorders>
            <w:tcMar>
              <w:top w:w="40" w:type="dxa"/>
              <w:left w:w="40" w:type="dxa"/>
              <w:bottom w:w="40" w:type="dxa"/>
              <w:right w:w="40" w:type="dxa"/>
            </w:tcMar>
            <w:vAlign w:val="bottom"/>
          </w:tcPr>
          <w:p w14:paraId="5774760C" w14:textId="77777777" w:rsidR="005A17CE" w:rsidRPr="00C72437" w:rsidRDefault="00D21FFE">
            <w:pPr>
              <w:jc w:val="right"/>
            </w:pPr>
            <w:r>
              <w:rPr>
                <w:b/>
                <w:sz w:val="20"/>
              </w:rPr>
              <w:t>152 (100,00 %)</w:t>
            </w:r>
          </w:p>
        </w:tc>
        <w:tc>
          <w:tcPr>
            <w:tcW w:w="1515" w:type="dxa"/>
            <w:tcBorders>
              <w:bottom w:val="single" w:sz="6" w:space="0" w:color="000000"/>
            </w:tcBorders>
            <w:tcMar>
              <w:top w:w="40" w:type="dxa"/>
              <w:left w:w="40" w:type="dxa"/>
              <w:bottom w:w="40" w:type="dxa"/>
              <w:right w:w="40" w:type="dxa"/>
            </w:tcMar>
            <w:vAlign w:val="bottom"/>
          </w:tcPr>
          <w:p w14:paraId="29E19B94" w14:textId="77777777" w:rsidR="005A17CE" w:rsidRPr="00C72437" w:rsidRDefault="00D21FFE">
            <w:pPr>
              <w:jc w:val="right"/>
            </w:pPr>
            <w:r>
              <w:rPr>
                <w:b/>
                <w:sz w:val="20"/>
              </w:rPr>
              <w:t>888.737 (100,00 %)</w:t>
            </w:r>
          </w:p>
        </w:tc>
        <w:tc>
          <w:tcPr>
            <w:tcW w:w="1560" w:type="dxa"/>
            <w:tcBorders>
              <w:bottom w:val="single" w:sz="6" w:space="0" w:color="000000"/>
            </w:tcBorders>
            <w:tcMar>
              <w:top w:w="40" w:type="dxa"/>
              <w:left w:w="40" w:type="dxa"/>
              <w:bottom w:w="40" w:type="dxa"/>
              <w:right w:w="40" w:type="dxa"/>
            </w:tcMar>
            <w:vAlign w:val="bottom"/>
          </w:tcPr>
          <w:p w14:paraId="4F1A41D9" w14:textId="77777777" w:rsidR="005A17CE" w:rsidRPr="00C72437" w:rsidRDefault="00D21FFE">
            <w:pPr>
              <w:jc w:val="right"/>
            </w:pPr>
            <w:r>
              <w:rPr>
                <w:b/>
                <w:sz w:val="20"/>
              </w:rPr>
              <w:t>480.270 (54,04 %)</w:t>
            </w:r>
          </w:p>
        </w:tc>
        <w:tc>
          <w:tcPr>
            <w:tcW w:w="1365" w:type="dxa"/>
            <w:tcBorders>
              <w:bottom w:val="single" w:sz="6" w:space="0" w:color="000000"/>
            </w:tcBorders>
            <w:tcMar>
              <w:top w:w="40" w:type="dxa"/>
              <w:left w:w="40" w:type="dxa"/>
              <w:bottom w:w="40" w:type="dxa"/>
              <w:right w:w="40" w:type="dxa"/>
            </w:tcMar>
            <w:vAlign w:val="bottom"/>
          </w:tcPr>
          <w:p w14:paraId="3D5D0DCE" w14:textId="77777777" w:rsidR="005A17CE" w:rsidRPr="00C72437" w:rsidRDefault="00D21FFE">
            <w:pPr>
              <w:jc w:val="right"/>
            </w:pPr>
            <w:r>
              <w:rPr>
                <w:b/>
                <w:sz w:val="20"/>
              </w:rPr>
              <w:t>11.496 (1,29 %)</w:t>
            </w:r>
          </w:p>
        </w:tc>
        <w:tc>
          <w:tcPr>
            <w:tcW w:w="1575" w:type="dxa"/>
            <w:tcBorders>
              <w:bottom w:val="single" w:sz="6" w:space="0" w:color="000000"/>
            </w:tcBorders>
            <w:tcMar>
              <w:top w:w="40" w:type="dxa"/>
              <w:left w:w="40" w:type="dxa"/>
              <w:bottom w:w="40" w:type="dxa"/>
              <w:right w:w="40" w:type="dxa"/>
            </w:tcMar>
            <w:vAlign w:val="bottom"/>
          </w:tcPr>
          <w:p w14:paraId="35E767DC" w14:textId="77777777" w:rsidR="005A17CE" w:rsidRPr="00C72437" w:rsidRDefault="00D21FFE">
            <w:pPr>
              <w:jc w:val="right"/>
            </w:pPr>
            <w:r>
              <w:rPr>
                <w:b/>
                <w:sz w:val="20"/>
              </w:rPr>
              <w:t>396.971 (44,67 %)</w:t>
            </w:r>
          </w:p>
        </w:tc>
      </w:tr>
    </w:tbl>
    <w:p w14:paraId="4A845707" w14:textId="77777777" w:rsidR="005A17CE" w:rsidRDefault="005A17CE">
      <w:pPr>
        <w:jc w:val="both"/>
      </w:pPr>
    </w:p>
    <w:p w14:paraId="520B916A" w14:textId="77777777" w:rsidR="005A17CE" w:rsidRDefault="005A17CE">
      <w:pPr>
        <w:jc w:val="both"/>
      </w:pPr>
    </w:p>
    <w:p w14:paraId="20D6829A" w14:textId="51ACD2F4" w:rsidR="005A17CE" w:rsidRDefault="00D21FFE">
      <w:pPr>
        <w:jc w:val="both"/>
      </w:pPr>
      <w:r>
        <w:rPr>
          <w:rFonts w:ascii="Helvetica Neue" w:eastAsia="Helvetica Neue" w:hAnsi="Helvetica Neue" w:cs="Helvetica Neue"/>
        </w:rPr>
        <w:t xml:space="preserve">Diese ungleiche Verteilung spiegelt sich ebenfalls in den Größenunterschieden zwischen den OAR verschiedener Institutionstypen wider. Tabelle 4 zeigt den Median der in einem deutschen OAR vorgehaltenen items nach den Typen der verantwortlichen Institutionen. Der Median eines OAR in Deutschland liegt bei 2.141, wobei die von Universitäten (2.670) und außeruniversitären Forschungseinrichtungen (2.564) betriebenen OAR darüber liegen. Mit lediglich 110 vorgehaltenen items sind OAR, die von Fachhochschulen betrieben werden, deutlich kleiner (siehe Tabelle 4). Auf welche Ursachen die enormen Größenunterschiede sowie die ungleiche Verteilung auf die unterschiedlichen Institutionstypen zurückzuführen ist, bleibt </w:t>
      </w:r>
      <w:r w:rsidR="00BB0CA2">
        <w:rPr>
          <w:rFonts w:ascii="Helvetica Neue" w:eastAsia="Helvetica Neue" w:hAnsi="Helvetica Neue" w:cs="Helvetica Neue"/>
        </w:rPr>
        <w:t>auch</w:t>
      </w:r>
      <w:r>
        <w:rPr>
          <w:rFonts w:ascii="Helvetica Neue" w:eastAsia="Helvetica Neue" w:hAnsi="Helvetica Neue" w:cs="Helvetica Neue"/>
        </w:rPr>
        <w:t xml:space="preserve"> hier zu überprüfen.</w:t>
      </w:r>
      <w:r w:rsidRPr="00C72437">
        <w:rPr>
          <w:rFonts w:ascii="Helvetica Neue" w:hAnsi="Helvetica Neue"/>
        </w:rPr>
        <w:footnoteReference w:id="14"/>
      </w:r>
      <w:r w:rsidR="00BB0CA2">
        <w:rPr>
          <w:rFonts w:ascii="Helvetica Neue" w:eastAsia="Helvetica Neue" w:hAnsi="Helvetica Neue" w:cs="Helvetica Neue"/>
        </w:rPr>
        <w:t xml:space="preserve"> </w:t>
      </w:r>
    </w:p>
    <w:p w14:paraId="605D016B" w14:textId="77777777" w:rsidR="005A17CE" w:rsidRDefault="005A17CE">
      <w:pPr>
        <w:jc w:val="both"/>
      </w:pPr>
    </w:p>
    <w:p w14:paraId="6B0C5DE7" w14:textId="77777777" w:rsidR="005A17CE" w:rsidRDefault="005A17CE">
      <w:pPr>
        <w:jc w:val="both"/>
      </w:pPr>
    </w:p>
    <w:p w14:paraId="547B66AB" w14:textId="77777777" w:rsidR="005A17CE" w:rsidRPr="00C72437" w:rsidRDefault="00D21FFE">
      <w:pPr>
        <w:jc w:val="both"/>
      </w:pPr>
      <w:r>
        <w:rPr>
          <w:rFonts w:ascii="Helvetica Neue" w:eastAsia="Helvetica Neue" w:hAnsi="Helvetica Neue" w:cs="Helvetica Neue"/>
          <w:b/>
        </w:rPr>
        <w:t>Tabelle 4 (Median der in OAR vorgehaltenen items nach Typ der verantwortlichen Einrichtung)</w:t>
      </w:r>
    </w:p>
    <w:tbl>
      <w:tblPr>
        <w:tblW w:w="900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135"/>
        <w:gridCol w:w="2865"/>
      </w:tblGrid>
      <w:tr w:rsidR="005A17CE" w14:paraId="322FFFE1" w14:textId="77777777" w:rsidTr="00C72437">
        <w:tc>
          <w:tcPr>
            <w:tcW w:w="6135" w:type="dxa"/>
            <w:tcMar>
              <w:top w:w="40" w:type="dxa"/>
              <w:left w:w="40" w:type="dxa"/>
              <w:bottom w:w="40" w:type="dxa"/>
              <w:right w:w="40" w:type="dxa"/>
            </w:tcMar>
            <w:vAlign w:val="bottom"/>
          </w:tcPr>
          <w:p w14:paraId="1D1EA2C9" w14:textId="77777777" w:rsidR="005A17CE" w:rsidRPr="00C72437" w:rsidRDefault="00D21FFE" w:rsidP="00E47CA6">
            <w:pPr>
              <w:spacing w:line="240" w:lineRule="auto"/>
            </w:pPr>
            <w:r>
              <w:rPr>
                <w:b/>
              </w:rPr>
              <w:lastRenderedPageBreak/>
              <w:t>Institutionstyp</w:t>
            </w:r>
          </w:p>
        </w:tc>
        <w:tc>
          <w:tcPr>
            <w:tcW w:w="2865" w:type="dxa"/>
            <w:tcMar>
              <w:top w:w="40" w:type="dxa"/>
              <w:left w:w="40" w:type="dxa"/>
              <w:bottom w:w="40" w:type="dxa"/>
              <w:right w:w="40" w:type="dxa"/>
            </w:tcMar>
            <w:vAlign w:val="bottom"/>
          </w:tcPr>
          <w:p w14:paraId="3B57CBBE" w14:textId="77777777" w:rsidR="005A17CE" w:rsidRPr="00C72437" w:rsidRDefault="00D21FFE" w:rsidP="00C72437">
            <w:pPr>
              <w:spacing w:line="240" w:lineRule="auto"/>
              <w:jc w:val="right"/>
            </w:pPr>
            <w:r>
              <w:rPr>
                <w:b/>
              </w:rPr>
              <w:t>Anzahl der vorgehaltenen items (Median)</w:t>
            </w:r>
          </w:p>
        </w:tc>
      </w:tr>
      <w:tr w:rsidR="005A17CE" w14:paraId="5CAE0C53" w14:textId="77777777" w:rsidTr="00C72437">
        <w:tc>
          <w:tcPr>
            <w:tcW w:w="6135" w:type="dxa"/>
            <w:tcMar>
              <w:top w:w="40" w:type="dxa"/>
              <w:left w:w="40" w:type="dxa"/>
              <w:bottom w:w="40" w:type="dxa"/>
              <w:right w:w="40" w:type="dxa"/>
            </w:tcMar>
            <w:vAlign w:val="bottom"/>
          </w:tcPr>
          <w:p w14:paraId="76783BFE" w14:textId="77777777" w:rsidR="005A17CE" w:rsidRDefault="00D21FFE" w:rsidP="00E47CA6">
            <w:pPr>
              <w:spacing w:line="240" w:lineRule="auto"/>
            </w:pPr>
            <w:r>
              <w:t>Median eines deutschen OAR</w:t>
            </w:r>
          </w:p>
        </w:tc>
        <w:tc>
          <w:tcPr>
            <w:tcW w:w="2865" w:type="dxa"/>
            <w:tcMar>
              <w:top w:w="40" w:type="dxa"/>
              <w:left w:w="40" w:type="dxa"/>
              <w:bottom w:w="40" w:type="dxa"/>
              <w:right w:w="40" w:type="dxa"/>
            </w:tcMar>
            <w:vAlign w:val="bottom"/>
          </w:tcPr>
          <w:p w14:paraId="7DA276A1" w14:textId="77777777" w:rsidR="005A17CE" w:rsidRDefault="00D21FFE" w:rsidP="00C72437">
            <w:pPr>
              <w:spacing w:line="240" w:lineRule="auto"/>
              <w:jc w:val="right"/>
            </w:pPr>
            <w:r>
              <w:t>2.141</w:t>
            </w:r>
          </w:p>
        </w:tc>
      </w:tr>
      <w:tr w:rsidR="005A17CE" w14:paraId="12F7EBDB" w14:textId="77777777" w:rsidTr="00C72437">
        <w:tc>
          <w:tcPr>
            <w:tcW w:w="6135" w:type="dxa"/>
            <w:tcMar>
              <w:top w:w="40" w:type="dxa"/>
              <w:left w:w="40" w:type="dxa"/>
              <w:bottom w:w="40" w:type="dxa"/>
              <w:right w:w="40" w:type="dxa"/>
            </w:tcMar>
            <w:vAlign w:val="bottom"/>
          </w:tcPr>
          <w:p w14:paraId="1C1BC683" w14:textId="77777777" w:rsidR="005A17CE" w:rsidRDefault="00D21FFE" w:rsidP="00E47CA6">
            <w:pPr>
              <w:spacing w:line="240" w:lineRule="auto"/>
            </w:pPr>
            <w:r>
              <w:t>Universität</w:t>
            </w:r>
          </w:p>
        </w:tc>
        <w:tc>
          <w:tcPr>
            <w:tcW w:w="2865" w:type="dxa"/>
            <w:tcMar>
              <w:top w:w="40" w:type="dxa"/>
              <w:left w:w="40" w:type="dxa"/>
              <w:bottom w:w="40" w:type="dxa"/>
              <w:right w:w="40" w:type="dxa"/>
            </w:tcMar>
            <w:vAlign w:val="bottom"/>
          </w:tcPr>
          <w:p w14:paraId="709B5AD1" w14:textId="77777777" w:rsidR="005A17CE" w:rsidRDefault="00D21FFE" w:rsidP="00C72437">
            <w:pPr>
              <w:spacing w:line="240" w:lineRule="auto"/>
              <w:jc w:val="right"/>
            </w:pPr>
            <w:r>
              <w:t>2.670</w:t>
            </w:r>
          </w:p>
        </w:tc>
      </w:tr>
      <w:tr w:rsidR="005A17CE" w14:paraId="2D230071" w14:textId="77777777" w:rsidTr="00C72437">
        <w:tc>
          <w:tcPr>
            <w:tcW w:w="6135" w:type="dxa"/>
            <w:tcMar>
              <w:top w:w="40" w:type="dxa"/>
              <w:left w:w="40" w:type="dxa"/>
              <w:bottom w:w="40" w:type="dxa"/>
              <w:right w:w="40" w:type="dxa"/>
            </w:tcMar>
            <w:vAlign w:val="bottom"/>
          </w:tcPr>
          <w:p w14:paraId="4C1FE1A3" w14:textId="77777777" w:rsidR="005A17CE" w:rsidRDefault="00D21FFE" w:rsidP="00E47CA6">
            <w:pPr>
              <w:spacing w:line="240" w:lineRule="auto"/>
            </w:pPr>
            <w:r>
              <w:t>Fachhochschulen</w:t>
            </w:r>
          </w:p>
        </w:tc>
        <w:tc>
          <w:tcPr>
            <w:tcW w:w="2865" w:type="dxa"/>
            <w:tcMar>
              <w:top w:w="40" w:type="dxa"/>
              <w:left w:w="40" w:type="dxa"/>
              <w:bottom w:w="40" w:type="dxa"/>
              <w:right w:w="40" w:type="dxa"/>
            </w:tcMar>
            <w:vAlign w:val="bottom"/>
          </w:tcPr>
          <w:p w14:paraId="7E200314" w14:textId="77777777" w:rsidR="005A17CE" w:rsidRDefault="00D21FFE" w:rsidP="00C72437">
            <w:pPr>
              <w:spacing w:line="240" w:lineRule="auto"/>
              <w:jc w:val="right"/>
            </w:pPr>
            <w:r>
              <w:t>110</w:t>
            </w:r>
          </w:p>
        </w:tc>
      </w:tr>
      <w:tr w:rsidR="005A17CE" w14:paraId="6AF4BA38" w14:textId="77777777" w:rsidTr="00C72437">
        <w:tc>
          <w:tcPr>
            <w:tcW w:w="6135" w:type="dxa"/>
            <w:tcMar>
              <w:top w:w="40" w:type="dxa"/>
              <w:left w:w="40" w:type="dxa"/>
              <w:bottom w:w="40" w:type="dxa"/>
              <w:right w:w="40" w:type="dxa"/>
            </w:tcMar>
            <w:vAlign w:val="bottom"/>
          </w:tcPr>
          <w:p w14:paraId="32D4B15D" w14:textId="77777777" w:rsidR="005A17CE" w:rsidRDefault="00D21FFE" w:rsidP="00E47CA6">
            <w:pPr>
              <w:spacing w:line="240" w:lineRule="auto"/>
            </w:pPr>
            <w:r>
              <w:t>Außeruniversitäre Forschungseinrichtung und Andere</w:t>
            </w:r>
          </w:p>
        </w:tc>
        <w:tc>
          <w:tcPr>
            <w:tcW w:w="2865" w:type="dxa"/>
            <w:tcMar>
              <w:top w:w="40" w:type="dxa"/>
              <w:left w:w="40" w:type="dxa"/>
              <w:bottom w:w="40" w:type="dxa"/>
              <w:right w:w="40" w:type="dxa"/>
            </w:tcMar>
            <w:vAlign w:val="bottom"/>
          </w:tcPr>
          <w:p w14:paraId="24A50D1C" w14:textId="77777777" w:rsidR="005A17CE" w:rsidRDefault="00D21FFE" w:rsidP="00C72437">
            <w:pPr>
              <w:spacing w:line="240" w:lineRule="auto"/>
              <w:jc w:val="right"/>
            </w:pPr>
            <w:r>
              <w:t>2.564</w:t>
            </w:r>
          </w:p>
        </w:tc>
      </w:tr>
    </w:tbl>
    <w:p w14:paraId="4998E862" w14:textId="77777777" w:rsidR="005A17CE" w:rsidRDefault="005A17CE">
      <w:pPr>
        <w:jc w:val="both"/>
      </w:pPr>
    </w:p>
    <w:p w14:paraId="0A17E321" w14:textId="77777777" w:rsidR="005A17CE" w:rsidRDefault="005A17CE">
      <w:pPr>
        <w:jc w:val="both"/>
      </w:pPr>
    </w:p>
    <w:p w14:paraId="51710F33" w14:textId="77777777" w:rsidR="005A17CE" w:rsidRPr="00C72437" w:rsidRDefault="00D21FFE" w:rsidP="00E47CA6">
      <w:pPr>
        <w:pStyle w:val="berschrift3"/>
        <w:keepNext/>
        <w:keepLines/>
        <w:contextualSpacing w:val="0"/>
        <w:jc w:val="both"/>
      </w:pPr>
      <w:bookmarkStart w:id="10" w:name="h.p0mstrligudi"/>
      <w:bookmarkEnd w:id="10"/>
      <w:r>
        <w:rPr>
          <w:b/>
        </w:rPr>
        <w:t>Typen von Open-Access-Repositorien</w:t>
      </w:r>
    </w:p>
    <w:p w14:paraId="796109CA" w14:textId="77777777" w:rsidR="005A17CE" w:rsidRDefault="005A17CE">
      <w:pPr>
        <w:jc w:val="both"/>
      </w:pPr>
    </w:p>
    <w:p w14:paraId="1AC18AAA" w14:textId="2F9D4FCA" w:rsidR="005A17CE" w:rsidRDefault="00D21FFE">
      <w:pPr>
        <w:jc w:val="both"/>
      </w:pPr>
      <w:r>
        <w:t>Im 2014 Census wurde neben der Typisierung der Institutionen, die ein OAR betreiben, auch erstmals eine Typisierung</w:t>
      </w:r>
      <w:r w:rsidR="00F50EA0">
        <w:t xml:space="preserve"> </w:t>
      </w:r>
      <w:r>
        <w:t>der OAR selbst nach fachbezogenen oder institutionellen Repositorien durchgeführt. Es erfolgte keine Zuordnung nach dem Typ “Cross-institutional repository”, weil eine eindeutige Zuordnung zu institutionell oder cross-institutional wie in den Fällen der Repositorien von Forschungsorganisationen (wie Max-Planck-Gesellschaft und Fraunhofer-Gesellschaft) teilweise nicht möglich war. Für die Typisierung wurde auf die Definitionen für fachbezogene und institutionelle Repositoren aus dem DINI-Zertifikat für Open-Access-Repositorien und -Publikationsdienste 2013 zurückgegriffen.</w:t>
      </w:r>
      <w:r w:rsidRPr="00C72437">
        <w:footnoteReference w:id="15"/>
      </w:r>
    </w:p>
    <w:p w14:paraId="0DF14E0A" w14:textId="77777777" w:rsidR="005A17CE" w:rsidRDefault="005A17CE">
      <w:pPr>
        <w:jc w:val="both"/>
      </w:pPr>
    </w:p>
    <w:p w14:paraId="7D4B8489" w14:textId="77777777" w:rsidR="005A17CE" w:rsidRDefault="00D21FFE">
      <w:pPr>
        <w:jc w:val="both"/>
      </w:pPr>
      <w:r>
        <w:t>Das Gros der OAR in Deutschland bilden die 135 institutionellen OAR (88,82 %) von Universitäten, Fachhochschulen und außeruniversitären Forschungsreinrichtungen (siehe Tabelle 5). Dem gegenüber stehen 17 fachbezogene OAR (11,18 %), die ausschließlich von außeruniversitären Forschungseinrichtungen und Universitäten betrieben werden. Außeruniversitäre Forschungseinrichtungen betreiben, bezogen auf ihren Anteil an den fachbezogenen OAR, überproportional viele fachbezogene OAR.</w:t>
      </w:r>
    </w:p>
    <w:p w14:paraId="552870BB" w14:textId="77777777" w:rsidR="005A17CE" w:rsidRDefault="005A17CE">
      <w:pPr>
        <w:jc w:val="both"/>
      </w:pPr>
    </w:p>
    <w:p w14:paraId="0B79A49B" w14:textId="77777777" w:rsidR="005A17CE" w:rsidRDefault="005A17CE">
      <w:pPr>
        <w:jc w:val="both"/>
      </w:pPr>
    </w:p>
    <w:p w14:paraId="54AC8CA6" w14:textId="77777777" w:rsidR="005A17CE" w:rsidRPr="00C72437" w:rsidRDefault="00D21FFE">
      <w:pPr>
        <w:jc w:val="both"/>
      </w:pPr>
      <w:r>
        <w:rPr>
          <w:rFonts w:ascii="Helvetica Neue" w:eastAsia="Helvetica Neue" w:hAnsi="Helvetica Neue" w:cs="Helvetica Neue"/>
          <w:b/>
        </w:rPr>
        <w:t>Tabelle 5 (Typen von Open-Access-Repositorien nach betreibenden Institutionen)</w:t>
      </w:r>
    </w:p>
    <w:tbl>
      <w:tblPr>
        <w:tblW w:w="901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370"/>
        <w:gridCol w:w="1545"/>
        <w:gridCol w:w="1635"/>
        <w:gridCol w:w="1965"/>
        <w:gridCol w:w="1500"/>
      </w:tblGrid>
      <w:tr w:rsidR="005A17CE" w14:paraId="70E57BAC" w14:textId="77777777" w:rsidTr="00C72437">
        <w:tc>
          <w:tcPr>
            <w:tcW w:w="2370" w:type="dxa"/>
            <w:tcMar>
              <w:top w:w="40" w:type="dxa"/>
              <w:left w:w="40" w:type="dxa"/>
              <w:bottom w:w="40" w:type="dxa"/>
              <w:right w:w="40" w:type="dxa"/>
            </w:tcMar>
            <w:vAlign w:val="bottom"/>
          </w:tcPr>
          <w:p w14:paraId="7A9C9AF0" w14:textId="77777777" w:rsidR="005A17CE" w:rsidRPr="00C72437" w:rsidRDefault="00D21FFE" w:rsidP="00E47CA6">
            <w:pPr>
              <w:widowControl w:val="0"/>
              <w:spacing w:line="240" w:lineRule="auto"/>
            </w:pPr>
            <w:r>
              <w:rPr>
                <w:b/>
                <w:sz w:val="20"/>
              </w:rPr>
              <w:t>Repositorientyp</w:t>
            </w:r>
          </w:p>
        </w:tc>
        <w:tc>
          <w:tcPr>
            <w:tcW w:w="1545" w:type="dxa"/>
            <w:tcMar>
              <w:top w:w="40" w:type="dxa"/>
              <w:left w:w="40" w:type="dxa"/>
              <w:bottom w:w="40" w:type="dxa"/>
              <w:right w:w="40" w:type="dxa"/>
            </w:tcMar>
            <w:vAlign w:val="bottom"/>
          </w:tcPr>
          <w:p w14:paraId="64F0D2D6" w14:textId="77777777" w:rsidR="005A17CE" w:rsidRPr="00C72437" w:rsidRDefault="00D21FFE" w:rsidP="00E47CA6">
            <w:pPr>
              <w:spacing w:line="240" w:lineRule="auto"/>
              <w:jc w:val="right"/>
            </w:pPr>
            <w:r>
              <w:rPr>
                <w:b/>
                <w:sz w:val="20"/>
              </w:rPr>
              <w:t>Anzahl der OAR betrieben an Universitäten, Total (Prozent an Repositorientyp)</w:t>
            </w:r>
          </w:p>
        </w:tc>
        <w:tc>
          <w:tcPr>
            <w:tcW w:w="1635" w:type="dxa"/>
            <w:tcMar>
              <w:top w:w="40" w:type="dxa"/>
              <w:left w:w="40" w:type="dxa"/>
              <w:bottom w:w="40" w:type="dxa"/>
              <w:right w:w="40" w:type="dxa"/>
            </w:tcMar>
            <w:vAlign w:val="bottom"/>
          </w:tcPr>
          <w:p w14:paraId="05D53A15" w14:textId="77777777" w:rsidR="005A17CE" w:rsidRPr="00C72437" w:rsidRDefault="00D21FFE" w:rsidP="00C72437">
            <w:pPr>
              <w:spacing w:line="240" w:lineRule="auto"/>
              <w:jc w:val="right"/>
            </w:pPr>
            <w:r>
              <w:rPr>
                <w:b/>
                <w:sz w:val="20"/>
              </w:rPr>
              <w:t>Anzahl der OAR betrieben an Fachhochschulen, Total (Prozent an Repositorientyp)</w:t>
            </w:r>
          </w:p>
        </w:tc>
        <w:tc>
          <w:tcPr>
            <w:tcW w:w="1965" w:type="dxa"/>
            <w:tcMar>
              <w:top w:w="40" w:type="dxa"/>
              <w:left w:w="40" w:type="dxa"/>
              <w:bottom w:w="40" w:type="dxa"/>
              <w:right w:w="40" w:type="dxa"/>
            </w:tcMar>
            <w:vAlign w:val="bottom"/>
          </w:tcPr>
          <w:p w14:paraId="6021DF0A" w14:textId="77777777" w:rsidR="005A17CE" w:rsidRPr="00C72437" w:rsidRDefault="00D21FFE" w:rsidP="00C72437">
            <w:pPr>
              <w:spacing w:line="240" w:lineRule="auto"/>
              <w:jc w:val="right"/>
            </w:pPr>
            <w:r>
              <w:rPr>
                <w:b/>
                <w:sz w:val="20"/>
              </w:rPr>
              <w:t>Anzahl der OAR betrieben an Außeruniversitären Forschungseinrichtungen und Anderen, Total (Prozent an Repositorientyp)</w:t>
            </w:r>
          </w:p>
        </w:tc>
        <w:tc>
          <w:tcPr>
            <w:tcW w:w="1500" w:type="dxa"/>
            <w:tcMar>
              <w:top w:w="40" w:type="dxa"/>
              <w:left w:w="40" w:type="dxa"/>
              <w:bottom w:w="40" w:type="dxa"/>
              <w:right w:w="40" w:type="dxa"/>
            </w:tcMar>
            <w:vAlign w:val="bottom"/>
          </w:tcPr>
          <w:p w14:paraId="0E76714E" w14:textId="77777777" w:rsidR="005A17CE" w:rsidRPr="00C72437" w:rsidRDefault="00D21FFE" w:rsidP="00C72437">
            <w:pPr>
              <w:spacing w:line="240" w:lineRule="auto"/>
              <w:jc w:val="right"/>
            </w:pPr>
            <w:r>
              <w:rPr>
                <w:b/>
                <w:sz w:val="20"/>
              </w:rPr>
              <w:t>Gesamtanzahl der OAR des jeweiligen Repositorientyps Total (Prozent an BRD)</w:t>
            </w:r>
          </w:p>
        </w:tc>
      </w:tr>
      <w:tr w:rsidR="005A17CE" w14:paraId="3755BA53" w14:textId="77777777" w:rsidTr="00C72437">
        <w:tc>
          <w:tcPr>
            <w:tcW w:w="2370" w:type="dxa"/>
            <w:tcMar>
              <w:top w:w="40" w:type="dxa"/>
              <w:left w:w="40" w:type="dxa"/>
              <w:bottom w:w="40" w:type="dxa"/>
              <w:right w:w="40" w:type="dxa"/>
            </w:tcMar>
            <w:vAlign w:val="bottom"/>
          </w:tcPr>
          <w:p w14:paraId="2EC67A7C" w14:textId="77777777" w:rsidR="005A17CE" w:rsidRDefault="00D21FFE" w:rsidP="00E47CA6">
            <w:pPr>
              <w:spacing w:line="240" w:lineRule="auto"/>
            </w:pPr>
            <w:r>
              <w:lastRenderedPageBreak/>
              <w:t>Fachbezogenes OAR</w:t>
            </w:r>
          </w:p>
        </w:tc>
        <w:tc>
          <w:tcPr>
            <w:tcW w:w="1545" w:type="dxa"/>
            <w:tcMar>
              <w:top w:w="40" w:type="dxa"/>
              <w:left w:w="40" w:type="dxa"/>
              <w:bottom w:w="40" w:type="dxa"/>
              <w:right w:w="40" w:type="dxa"/>
            </w:tcMar>
            <w:vAlign w:val="bottom"/>
          </w:tcPr>
          <w:p w14:paraId="0F55AA69" w14:textId="77777777" w:rsidR="005A17CE" w:rsidRDefault="00D21FFE" w:rsidP="00C72437">
            <w:pPr>
              <w:spacing w:line="240" w:lineRule="auto"/>
              <w:jc w:val="right"/>
            </w:pPr>
            <w:r>
              <w:t>8 (47,06 %)</w:t>
            </w:r>
          </w:p>
        </w:tc>
        <w:tc>
          <w:tcPr>
            <w:tcW w:w="1635" w:type="dxa"/>
            <w:tcMar>
              <w:top w:w="40" w:type="dxa"/>
              <w:left w:w="40" w:type="dxa"/>
              <w:bottom w:w="40" w:type="dxa"/>
              <w:right w:w="40" w:type="dxa"/>
            </w:tcMar>
            <w:vAlign w:val="bottom"/>
          </w:tcPr>
          <w:p w14:paraId="64773CEF" w14:textId="77777777" w:rsidR="005A17CE" w:rsidRDefault="00D21FFE" w:rsidP="00C72437">
            <w:pPr>
              <w:spacing w:line="240" w:lineRule="auto"/>
              <w:jc w:val="right"/>
            </w:pPr>
            <w:r>
              <w:t>0 (0,00 %)</w:t>
            </w:r>
          </w:p>
        </w:tc>
        <w:tc>
          <w:tcPr>
            <w:tcW w:w="1965" w:type="dxa"/>
            <w:tcMar>
              <w:top w:w="40" w:type="dxa"/>
              <w:left w:w="40" w:type="dxa"/>
              <w:bottom w:w="40" w:type="dxa"/>
              <w:right w:w="40" w:type="dxa"/>
            </w:tcMar>
            <w:vAlign w:val="bottom"/>
          </w:tcPr>
          <w:p w14:paraId="4D697EE8" w14:textId="77777777" w:rsidR="005A17CE" w:rsidRDefault="00D21FFE" w:rsidP="00C72437">
            <w:pPr>
              <w:spacing w:line="240" w:lineRule="auto"/>
              <w:jc w:val="right"/>
            </w:pPr>
            <w:r>
              <w:t>9 (52,94 %)</w:t>
            </w:r>
          </w:p>
        </w:tc>
        <w:tc>
          <w:tcPr>
            <w:tcW w:w="1500" w:type="dxa"/>
            <w:tcMar>
              <w:top w:w="40" w:type="dxa"/>
              <w:left w:w="40" w:type="dxa"/>
              <w:bottom w:w="40" w:type="dxa"/>
              <w:right w:w="40" w:type="dxa"/>
            </w:tcMar>
            <w:vAlign w:val="bottom"/>
          </w:tcPr>
          <w:p w14:paraId="63365B34" w14:textId="77777777" w:rsidR="005A17CE" w:rsidRDefault="00D21FFE" w:rsidP="00C72437">
            <w:pPr>
              <w:spacing w:line="240" w:lineRule="auto"/>
              <w:jc w:val="right"/>
            </w:pPr>
            <w:r>
              <w:t>17 (11,18 %)</w:t>
            </w:r>
          </w:p>
        </w:tc>
      </w:tr>
      <w:tr w:rsidR="005A17CE" w14:paraId="6BCEE360" w14:textId="77777777" w:rsidTr="00C72437">
        <w:tc>
          <w:tcPr>
            <w:tcW w:w="2370" w:type="dxa"/>
            <w:tcMar>
              <w:top w:w="40" w:type="dxa"/>
              <w:left w:w="40" w:type="dxa"/>
              <w:bottom w:w="40" w:type="dxa"/>
              <w:right w:w="40" w:type="dxa"/>
            </w:tcMar>
            <w:vAlign w:val="bottom"/>
          </w:tcPr>
          <w:p w14:paraId="6ED9D339" w14:textId="77777777" w:rsidR="005A17CE" w:rsidRDefault="00D21FFE" w:rsidP="00E47CA6">
            <w:pPr>
              <w:spacing w:line="240" w:lineRule="auto"/>
            </w:pPr>
            <w:r>
              <w:t>Institutionelles OAR</w:t>
            </w:r>
          </w:p>
        </w:tc>
        <w:tc>
          <w:tcPr>
            <w:tcW w:w="1545" w:type="dxa"/>
            <w:tcMar>
              <w:top w:w="40" w:type="dxa"/>
              <w:left w:w="40" w:type="dxa"/>
              <w:bottom w:w="40" w:type="dxa"/>
              <w:right w:w="40" w:type="dxa"/>
            </w:tcMar>
            <w:vAlign w:val="bottom"/>
          </w:tcPr>
          <w:p w14:paraId="35892014" w14:textId="77777777" w:rsidR="005A17CE" w:rsidRDefault="00D21FFE" w:rsidP="00C72437">
            <w:pPr>
              <w:spacing w:line="240" w:lineRule="auto"/>
              <w:jc w:val="right"/>
            </w:pPr>
            <w:r>
              <w:t>78 (57,78 %)</w:t>
            </w:r>
          </w:p>
        </w:tc>
        <w:tc>
          <w:tcPr>
            <w:tcW w:w="1635" w:type="dxa"/>
            <w:tcMar>
              <w:top w:w="40" w:type="dxa"/>
              <w:left w:w="40" w:type="dxa"/>
              <w:bottom w:w="40" w:type="dxa"/>
              <w:right w:w="40" w:type="dxa"/>
            </w:tcMar>
            <w:vAlign w:val="bottom"/>
          </w:tcPr>
          <w:p w14:paraId="68A0682B" w14:textId="77777777" w:rsidR="005A17CE" w:rsidRDefault="00D21FFE" w:rsidP="00C72437">
            <w:pPr>
              <w:spacing w:line="240" w:lineRule="auto"/>
              <w:jc w:val="right"/>
            </w:pPr>
            <w:r>
              <w:t>27 (20,00 %)</w:t>
            </w:r>
          </w:p>
        </w:tc>
        <w:tc>
          <w:tcPr>
            <w:tcW w:w="1965" w:type="dxa"/>
            <w:tcMar>
              <w:top w:w="40" w:type="dxa"/>
              <w:left w:w="40" w:type="dxa"/>
              <w:bottom w:w="40" w:type="dxa"/>
              <w:right w:w="40" w:type="dxa"/>
            </w:tcMar>
            <w:vAlign w:val="bottom"/>
          </w:tcPr>
          <w:p w14:paraId="6CC92FB5" w14:textId="77777777" w:rsidR="005A17CE" w:rsidRDefault="00D21FFE" w:rsidP="00C72437">
            <w:pPr>
              <w:spacing w:line="240" w:lineRule="auto"/>
              <w:jc w:val="right"/>
            </w:pPr>
            <w:r>
              <w:t>30 (22,22 %)</w:t>
            </w:r>
          </w:p>
        </w:tc>
        <w:tc>
          <w:tcPr>
            <w:tcW w:w="1500" w:type="dxa"/>
            <w:tcMar>
              <w:top w:w="40" w:type="dxa"/>
              <w:left w:w="40" w:type="dxa"/>
              <w:bottom w:w="40" w:type="dxa"/>
              <w:right w:w="40" w:type="dxa"/>
            </w:tcMar>
            <w:vAlign w:val="bottom"/>
          </w:tcPr>
          <w:p w14:paraId="7D3816C8" w14:textId="77777777" w:rsidR="005A17CE" w:rsidRDefault="00D21FFE" w:rsidP="00C72437">
            <w:pPr>
              <w:spacing w:line="240" w:lineRule="auto"/>
              <w:jc w:val="right"/>
            </w:pPr>
            <w:r>
              <w:t>135 (88,82 %)</w:t>
            </w:r>
          </w:p>
        </w:tc>
      </w:tr>
      <w:tr w:rsidR="005A17CE" w14:paraId="3D2DE5CB" w14:textId="77777777" w:rsidTr="00C72437">
        <w:tc>
          <w:tcPr>
            <w:tcW w:w="2370" w:type="dxa"/>
            <w:tcMar>
              <w:top w:w="40" w:type="dxa"/>
              <w:left w:w="40" w:type="dxa"/>
              <w:bottom w:w="40" w:type="dxa"/>
              <w:right w:w="40" w:type="dxa"/>
            </w:tcMar>
            <w:vAlign w:val="bottom"/>
          </w:tcPr>
          <w:p w14:paraId="7AF5C94A" w14:textId="77777777" w:rsidR="005A17CE" w:rsidRDefault="00D21FFE" w:rsidP="00E47CA6">
            <w:pPr>
              <w:spacing w:line="240" w:lineRule="auto"/>
            </w:pPr>
            <w:r>
              <w:t>Total</w:t>
            </w:r>
          </w:p>
        </w:tc>
        <w:tc>
          <w:tcPr>
            <w:tcW w:w="1545" w:type="dxa"/>
            <w:tcMar>
              <w:top w:w="40" w:type="dxa"/>
              <w:left w:w="40" w:type="dxa"/>
              <w:bottom w:w="40" w:type="dxa"/>
              <w:right w:w="40" w:type="dxa"/>
            </w:tcMar>
            <w:vAlign w:val="bottom"/>
          </w:tcPr>
          <w:p w14:paraId="42381FFB" w14:textId="77777777" w:rsidR="005A17CE" w:rsidRDefault="00D21FFE" w:rsidP="00C72437">
            <w:pPr>
              <w:spacing w:line="240" w:lineRule="auto"/>
              <w:jc w:val="right"/>
            </w:pPr>
            <w:r>
              <w:t>86 (56,58 %)</w:t>
            </w:r>
          </w:p>
        </w:tc>
        <w:tc>
          <w:tcPr>
            <w:tcW w:w="1635" w:type="dxa"/>
            <w:tcMar>
              <w:top w:w="40" w:type="dxa"/>
              <w:left w:w="40" w:type="dxa"/>
              <w:bottom w:w="40" w:type="dxa"/>
              <w:right w:w="40" w:type="dxa"/>
            </w:tcMar>
            <w:vAlign w:val="bottom"/>
          </w:tcPr>
          <w:p w14:paraId="7E2FC303" w14:textId="77777777" w:rsidR="005A17CE" w:rsidRDefault="00D21FFE" w:rsidP="00C72437">
            <w:pPr>
              <w:spacing w:line="240" w:lineRule="auto"/>
              <w:jc w:val="right"/>
            </w:pPr>
            <w:r>
              <w:t>27 (17,76 %)</w:t>
            </w:r>
          </w:p>
        </w:tc>
        <w:tc>
          <w:tcPr>
            <w:tcW w:w="1965" w:type="dxa"/>
            <w:tcMar>
              <w:top w:w="40" w:type="dxa"/>
              <w:left w:w="40" w:type="dxa"/>
              <w:bottom w:w="40" w:type="dxa"/>
              <w:right w:w="40" w:type="dxa"/>
            </w:tcMar>
            <w:vAlign w:val="bottom"/>
          </w:tcPr>
          <w:p w14:paraId="09593A56" w14:textId="77777777" w:rsidR="005A17CE" w:rsidRDefault="00D21FFE" w:rsidP="00C72437">
            <w:pPr>
              <w:spacing w:line="240" w:lineRule="auto"/>
              <w:jc w:val="right"/>
            </w:pPr>
            <w:r>
              <w:t>39 (25,66 %)</w:t>
            </w:r>
          </w:p>
        </w:tc>
        <w:tc>
          <w:tcPr>
            <w:tcW w:w="1500" w:type="dxa"/>
            <w:tcMar>
              <w:top w:w="40" w:type="dxa"/>
              <w:left w:w="40" w:type="dxa"/>
              <w:bottom w:w="40" w:type="dxa"/>
              <w:right w:w="40" w:type="dxa"/>
            </w:tcMar>
            <w:vAlign w:val="bottom"/>
          </w:tcPr>
          <w:p w14:paraId="3F1FAC9D" w14:textId="77777777" w:rsidR="005A17CE" w:rsidRDefault="00D21FFE" w:rsidP="00C72437">
            <w:pPr>
              <w:spacing w:line="240" w:lineRule="auto"/>
              <w:jc w:val="right"/>
            </w:pPr>
            <w:r>
              <w:t>152 (100,00 %)</w:t>
            </w:r>
          </w:p>
        </w:tc>
      </w:tr>
    </w:tbl>
    <w:p w14:paraId="24D55FA9" w14:textId="77777777" w:rsidR="005A17CE" w:rsidRDefault="005A17CE">
      <w:pPr>
        <w:jc w:val="both"/>
      </w:pPr>
    </w:p>
    <w:p w14:paraId="28C391BD" w14:textId="77777777" w:rsidR="005A17CE" w:rsidRDefault="005A17CE">
      <w:pPr>
        <w:jc w:val="both"/>
      </w:pPr>
    </w:p>
    <w:p w14:paraId="71BAD41A" w14:textId="77777777" w:rsidR="005A17CE" w:rsidRDefault="00D21FFE" w:rsidP="00E47CA6">
      <w:pPr>
        <w:pStyle w:val="berschrift3"/>
        <w:contextualSpacing w:val="0"/>
        <w:jc w:val="both"/>
      </w:pPr>
      <w:bookmarkStart w:id="11" w:name="h.1w98711ys9qb"/>
      <w:bookmarkEnd w:id="11"/>
      <w:r>
        <w:t>Software von Open-Access-Repositorien</w:t>
      </w:r>
    </w:p>
    <w:p w14:paraId="2767DE7C" w14:textId="77777777" w:rsidR="005A17CE" w:rsidRDefault="005A17CE">
      <w:pPr>
        <w:jc w:val="both"/>
      </w:pPr>
    </w:p>
    <w:p w14:paraId="56CF0A65" w14:textId="2BFA894B" w:rsidR="005A17CE" w:rsidRDefault="00D21FFE">
      <w:pPr>
        <w:jc w:val="both"/>
      </w:pPr>
      <w:r>
        <w:t>Eine der wichtigsten Aufgaben beim Management von OAR ist die Wahl der Software. Im 2014 Census wurde anhand der Angaben auf den Webseiten der OAR erfasst, welche Software verwendet wird, um das OAR zu betreiben. Außer den Software-Lösungen DSpace, EPrints</w:t>
      </w:r>
      <w:r w:rsidR="00C72437">
        <w:t xml:space="preserve"> und </w:t>
      </w:r>
      <w:r>
        <w:t>OPUS wird keine Software für mehr als zehn Instanzen verwendet. Alle weiteren Software-Lösungen</w:t>
      </w:r>
      <w:r w:rsidR="00C72437">
        <w:t xml:space="preserve"> wie etwa MyCoRe</w:t>
      </w:r>
      <w:r>
        <w:t xml:space="preserve"> wurden in der Kategorie "Andere" zusammengefasst.</w:t>
      </w:r>
    </w:p>
    <w:p w14:paraId="5FCEAC3E" w14:textId="77777777" w:rsidR="005A17CE" w:rsidRDefault="00D21FFE">
      <w:pPr>
        <w:jc w:val="both"/>
      </w:pPr>
      <w:r>
        <w:t>Mit 81 Instanzen der Software OPUS (53,29 %) bleibt Deutschland auch im Jahr 2014 ein “OPUS-Land” (siehe Tabelle 6). Die Mehrheit dieser OPUS-Instanzen wird an Universitäten und Fachhochschulen betrieben. Wie in 2012 war es das Ziel zu erfahren ob ein OAR gehostet wird, d.h. dass die Instanz durch einen dritten Anbieter bereitgestellt wird. Im 2014 Census wurde dieses Kriterium in der Online-Umfrage abgefragt. Durch die geringe Rücklaufquote zu dieser Frage haben die Daten nur eine bedingte Aussagekraft.</w:t>
      </w:r>
    </w:p>
    <w:p w14:paraId="16B2A16A" w14:textId="77777777" w:rsidR="005A17CE" w:rsidRDefault="005A17CE">
      <w:pPr>
        <w:jc w:val="both"/>
      </w:pPr>
    </w:p>
    <w:p w14:paraId="5DE71FA5" w14:textId="0275D8B3" w:rsidR="005A17CE" w:rsidRDefault="00D21FFE">
      <w:pPr>
        <w:jc w:val="both"/>
      </w:pPr>
      <w:r>
        <w:t>Die im 2012 Census gestellte Prognose einer “Konzentration und Evolution” von Repositorien-Software wird im 2014 Census bestätigt.</w:t>
      </w:r>
      <w:r w:rsidRPr="00C72437">
        <w:footnoteReference w:id="16"/>
      </w:r>
      <w:r>
        <w:t xml:space="preserve"> Zwischen 2012 und 2014 sind sechs Institutionen mit ihrer OAR-Software migriert. Alle Betreiber wechselten von OPUS hin zu EPrints (insgesamt fünf OAR, vier davon an der UB Heidelberg) und zu einer anderen Software. Dieser Trend zur Nutzung von internationalen Softwarelösungen wie EPrints wird sich vermutlich weiter fortsetzen. Diese Tendenz wird durch Aussagen von OAR-Betreibern im Zusammenhang mit der Durchführung des Census bestätigt, die entweder eine Migration vorbereiten oder sich bereits in der konkreten Umsetzungsphase befinden. </w:t>
      </w:r>
    </w:p>
    <w:p w14:paraId="06B5E95E" w14:textId="77777777" w:rsidR="005A17CE" w:rsidRDefault="005A17CE"/>
    <w:p w14:paraId="0BC66842" w14:textId="77777777" w:rsidR="005A17CE" w:rsidRPr="00C72437" w:rsidRDefault="00D21FFE">
      <w:pPr>
        <w:jc w:val="both"/>
      </w:pPr>
      <w:r>
        <w:rPr>
          <w:rFonts w:ascii="Helvetica Neue" w:eastAsia="Helvetica Neue" w:hAnsi="Helvetica Neue" w:cs="Helvetica Neue"/>
          <w:b/>
        </w:rPr>
        <w:t>Tabelle 6 (Software von OAR nach betreibenden Institutionen)</w:t>
      </w:r>
    </w:p>
    <w:tbl>
      <w:tblPr>
        <w:tblW w:w="902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1806"/>
        <w:gridCol w:w="1805"/>
        <w:gridCol w:w="1805"/>
        <w:gridCol w:w="1805"/>
        <w:gridCol w:w="1805"/>
      </w:tblGrid>
      <w:tr w:rsidR="005A17CE" w14:paraId="275208BE" w14:textId="77777777" w:rsidTr="00C72437">
        <w:tc>
          <w:tcPr>
            <w:tcW w:w="1805" w:type="dxa"/>
            <w:tcMar>
              <w:top w:w="40" w:type="dxa"/>
              <w:left w:w="40" w:type="dxa"/>
              <w:bottom w:w="40" w:type="dxa"/>
              <w:right w:w="40" w:type="dxa"/>
            </w:tcMar>
            <w:vAlign w:val="bottom"/>
          </w:tcPr>
          <w:p w14:paraId="559A6CCA" w14:textId="77777777" w:rsidR="005A17CE" w:rsidRPr="00C72437" w:rsidRDefault="00D21FFE" w:rsidP="00E47CA6">
            <w:pPr>
              <w:widowControl w:val="0"/>
              <w:spacing w:line="240" w:lineRule="auto"/>
            </w:pPr>
            <w:r>
              <w:rPr>
                <w:b/>
                <w:sz w:val="20"/>
              </w:rPr>
              <w:t>Software</w:t>
            </w:r>
          </w:p>
        </w:tc>
        <w:tc>
          <w:tcPr>
            <w:tcW w:w="1805" w:type="dxa"/>
            <w:tcMar>
              <w:top w:w="40" w:type="dxa"/>
              <w:left w:w="40" w:type="dxa"/>
              <w:bottom w:w="40" w:type="dxa"/>
              <w:right w:w="40" w:type="dxa"/>
            </w:tcMar>
            <w:vAlign w:val="bottom"/>
          </w:tcPr>
          <w:p w14:paraId="204C5FCB" w14:textId="77777777" w:rsidR="005A17CE" w:rsidRPr="00C72437" w:rsidRDefault="00D21FFE" w:rsidP="00C72437">
            <w:pPr>
              <w:spacing w:line="240" w:lineRule="auto"/>
              <w:jc w:val="right"/>
            </w:pPr>
            <w:r>
              <w:rPr>
                <w:b/>
                <w:sz w:val="20"/>
              </w:rPr>
              <w:t>Anzahl der OAR betrieben an Universitäten, Total (Prozent an Repositorientyp)</w:t>
            </w:r>
          </w:p>
        </w:tc>
        <w:tc>
          <w:tcPr>
            <w:tcW w:w="1805" w:type="dxa"/>
            <w:tcMar>
              <w:top w:w="40" w:type="dxa"/>
              <w:left w:w="40" w:type="dxa"/>
              <w:bottom w:w="40" w:type="dxa"/>
              <w:right w:w="40" w:type="dxa"/>
            </w:tcMar>
            <w:vAlign w:val="bottom"/>
          </w:tcPr>
          <w:p w14:paraId="2D03C37E" w14:textId="77777777" w:rsidR="005A17CE" w:rsidRPr="00C72437" w:rsidRDefault="00D21FFE" w:rsidP="00C72437">
            <w:pPr>
              <w:spacing w:line="240" w:lineRule="auto"/>
              <w:jc w:val="right"/>
            </w:pPr>
            <w:r>
              <w:rPr>
                <w:b/>
                <w:sz w:val="20"/>
              </w:rPr>
              <w:t>Anzahl der OAR betrieben an Fachhochschulen, Total (Prozent an Repositorientyp)</w:t>
            </w:r>
          </w:p>
        </w:tc>
        <w:tc>
          <w:tcPr>
            <w:tcW w:w="1805" w:type="dxa"/>
            <w:tcMar>
              <w:top w:w="40" w:type="dxa"/>
              <w:left w:w="40" w:type="dxa"/>
              <w:bottom w:w="40" w:type="dxa"/>
              <w:right w:w="40" w:type="dxa"/>
            </w:tcMar>
            <w:vAlign w:val="bottom"/>
          </w:tcPr>
          <w:p w14:paraId="046F7CF6" w14:textId="77777777" w:rsidR="005A17CE" w:rsidRPr="00C72437" w:rsidRDefault="00D21FFE" w:rsidP="00C72437">
            <w:pPr>
              <w:spacing w:line="240" w:lineRule="auto"/>
              <w:jc w:val="right"/>
            </w:pPr>
            <w:r>
              <w:rPr>
                <w:b/>
                <w:sz w:val="20"/>
              </w:rPr>
              <w:t>Anzahl der OAR betrieben an Außeruniversitären Forschungseinrichtungen und Anderen, Total (Prozent an Repositorientyp)</w:t>
            </w:r>
          </w:p>
        </w:tc>
        <w:tc>
          <w:tcPr>
            <w:tcW w:w="1805" w:type="dxa"/>
            <w:tcMar>
              <w:top w:w="40" w:type="dxa"/>
              <w:left w:w="40" w:type="dxa"/>
              <w:bottom w:w="40" w:type="dxa"/>
              <w:right w:w="40" w:type="dxa"/>
            </w:tcMar>
            <w:vAlign w:val="bottom"/>
          </w:tcPr>
          <w:p w14:paraId="4419A815" w14:textId="77777777" w:rsidR="005A17CE" w:rsidRPr="00C72437" w:rsidRDefault="00D21FFE" w:rsidP="00C72437">
            <w:pPr>
              <w:spacing w:line="240" w:lineRule="auto"/>
              <w:jc w:val="right"/>
            </w:pPr>
            <w:r>
              <w:rPr>
                <w:b/>
                <w:sz w:val="20"/>
              </w:rPr>
              <w:t>Gesamtanzahl der OAR der jeweiligen Repositoriensoftware Total (Prozent an BRD)</w:t>
            </w:r>
          </w:p>
        </w:tc>
      </w:tr>
      <w:tr w:rsidR="005A17CE" w14:paraId="5A127DE3" w14:textId="77777777" w:rsidTr="00C72437">
        <w:tc>
          <w:tcPr>
            <w:tcW w:w="1805" w:type="dxa"/>
            <w:tcMar>
              <w:top w:w="40" w:type="dxa"/>
              <w:left w:w="40" w:type="dxa"/>
              <w:bottom w:w="40" w:type="dxa"/>
              <w:right w:w="40" w:type="dxa"/>
            </w:tcMar>
            <w:vAlign w:val="bottom"/>
          </w:tcPr>
          <w:p w14:paraId="11263612" w14:textId="77777777" w:rsidR="005A17CE" w:rsidRDefault="00D21FFE" w:rsidP="00E47CA6">
            <w:pPr>
              <w:widowControl w:val="0"/>
              <w:spacing w:line="240" w:lineRule="auto"/>
            </w:pPr>
            <w:r>
              <w:t>DSpace</w:t>
            </w:r>
          </w:p>
        </w:tc>
        <w:tc>
          <w:tcPr>
            <w:tcW w:w="1805" w:type="dxa"/>
            <w:tcMar>
              <w:top w:w="40" w:type="dxa"/>
              <w:left w:w="40" w:type="dxa"/>
              <w:bottom w:w="40" w:type="dxa"/>
              <w:right w:w="40" w:type="dxa"/>
            </w:tcMar>
            <w:vAlign w:val="bottom"/>
          </w:tcPr>
          <w:p w14:paraId="01F50A3D" w14:textId="77777777" w:rsidR="005A17CE" w:rsidRDefault="00D21FFE" w:rsidP="00C72437">
            <w:pPr>
              <w:widowControl w:val="0"/>
              <w:spacing w:line="240" w:lineRule="auto"/>
              <w:jc w:val="right"/>
            </w:pPr>
            <w:r>
              <w:t>6 (6,98 %)</w:t>
            </w:r>
          </w:p>
        </w:tc>
        <w:tc>
          <w:tcPr>
            <w:tcW w:w="1805" w:type="dxa"/>
            <w:tcMar>
              <w:top w:w="40" w:type="dxa"/>
              <w:left w:w="40" w:type="dxa"/>
              <w:bottom w:w="40" w:type="dxa"/>
              <w:right w:w="40" w:type="dxa"/>
            </w:tcMar>
            <w:vAlign w:val="bottom"/>
          </w:tcPr>
          <w:p w14:paraId="30967464" w14:textId="77777777" w:rsidR="005A17CE" w:rsidRDefault="00D21FFE" w:rsidP="00C72437">
            <w:pPr>
              <w:widowControl w:val="0"/>
              <w:spacing w:line="240" w:lineRule="auto"/>
              <w:jc w:val="right"/>
            </w:pPr>
            <w:r>
              <w:t>0 (0,00 %)</w:t>
            </w:r>
          </w:p>
        </w:tc>
        <w:tc>
          <w:tcPr>
            <w:tcW w:w="1805" w:type="dxa"/>
            <w:tcMar>
              <w:top w:w="40" w:type="dxa"/>
              <w:left w:w="40" w:type="dxa"/>
              <w:bottom w:w="40" w:type="dxa"/>
              <w:right w:w="40" w:type="dxa"/>
            </w:tcMar>
            <w:vAlign w:val="bottom"/>
          </w:tcPr>
          <w:p w14:paraId="16FBFCF2" w14:textId="77777777" w:rsidR="005A17CE" w:rsidRDefault="00D21FFE" w:rsidP="00C72437">
            <w:pPr>
              <w:widowControl w:val="0"/>
              <w:spacing w:line="240" w:lineRule="auto"/>
              <w:jc w:val="right"/>
            </w:pPr>
            <w:r>
              <w:t>5 (12,82 %)</w:t>
            </w:r>
          </w:p>
        </w:tc>
        <w:tc>
          <w:tcPr>
            <w:tcW w:w="1805" w:type="dxa"/>
            <w:tcMar>
              <w:top w:w="40" w:type="dxa"/>
              <w:left w:w="40" w:type="dxa"/>
              <w:bottom w:w="40" w:type="dxa"/>
              <w:right w:w="40" w:type="dxa"/>
            </w:tcMar>
            <w:vAlign w:val="bottom"/>
          </w:tcPr>
          <w:p w14:paraId="5C238782" w14:textId="77777777" w:rsidR="005A17CE" w:rsidRPr="00C72437" w:rsidRDefault="00D21FFE" w:rsidP="00C72437">
            <w:pPr>
              <w:widowControl w:val="0"/>
              <w:spacing w:line="240" w:lineRule="auto"/>
              <w:jc w:val="right"/>
            </w:pPr>
            <w:r>
              <w:rPr>
                <w:b/>
              </w:rPr>
              <w:t>11 (7,24 %)</w:t>
            </w:r>
          </w:p>
        </w:tc>
      </w:tr>
      <w:tr w:rsidR="005A17CE" w14:paraId="34C3F761" w14:textId="77777777" w:rsidTr="00C72437">
        <w:tc>
          <w:tcPr>
            <w:tcW w:w="1805" w:type="dxa"/>
            <w:tcMar>
              <w:top w:w="40" w:type="dxa"/>
              <w:left w:w="40" w:type="dxa"/>
              <w:bottom w:w="40" w:type="dxa"/>
              <w:right w:w="40" w:type="dxa"/>
            </w:tcMar>
            <w:vAlign w:val="bottom"/>
          </w:tcPr>
          <w:p w14:paraId="12744A61" w14:textId="77777777" w:rsidR="005A17CE" w:rsidRDefault="00D21FFE" w:rsidP="00E47CA6">
            <w:pPr>
              <w:widowControl w:val="0"/>
              <w:spacing w:line="240" w:lineRule="auto"/>
            </w:pPr>
            <w:r>
              <w:t>EPrints</w:t>
            </w:r>
          </w:p>
        </w:tc>
        <w:tc>
          <w:tcPr>
            <w:tcW w:w="1805" w:type="dxa"/>
            <w:tcMar>
              <w:top w:w="40" w:type="dxa"/>
              <w:left w:w="40" w:type="dxa"/>
              <w:bottom w:w="40" w:type="dxa"/>
              <w:right w:w="40" w:type="dxa"/>
            </w:tcMar>
            <w:vAlign w:val="bottom"/>
          </w:tcPr>
          <w:p w14:paraId="125627B5" w14:textId="77777777" w:rsidR="005A17CE" w:rsidRDefault="00D21FFE" w:rsidP="00C72437">
            <w:pPr>
              <w:widowControl w:val="0"/>
              <w:spacing w:line="240" w:lineRule="auto"/>
              <w:jc w:val="right"/>
            </w:pPr>
            <w:r>
              <w:t>18 (20,93 %)</w:t>
            </w:r>
          </w:p>
        </w:tc>
        <w:tc>
          <w:tcPr>
            <w:tcW w:w="1805" w:type="dxa"/>
            <w:tcMar>
              <w:top w:w="40" w:type="dxa"/>
              <w:left w:w="40" w:type="dxa"/>
              <w:bottom w:w="40" w:type="dxa"/>
              <w:right w:w="40" w:type="dxa"/>
            </w:tcMar>
            <w:vAlign w:val="bottom"/>
          </w:tcPr>
          <w:p w14:paraId="0E3E14A3" w14:textId="77777777" w:rsidR="005A17CE" w:rsidRDefault="00D21FFE" w:rsidP="00C72437">
            <w:pPr>
              <w:widowControl w:val="0"/>
              <w:spacing w:line="240" w:lineRule="auto"/>
              <w:jc w:val="right"/>
            </w:pPr>
            <w:r>
              <w:t>0 (0,00 %)</w:t>
            </w:r>
          </w:p>
        </w:tc>
        <w:tc>
          <w:tcPr>
            <w:tcW w:w="1805" w:type="dxa"/>
            <w:tcMar>
              <w:top w:w="40" w:type="dxa"/>
              <w:left w:w="40" w:type="dxa"/>
              <w:bottom w:w="40" w:type="dxa"/>
              <w:right w:w="40" w:type="dxa"/>
            </w:tcMar>
            <w:vAlign w:val="bottom"/>
          </w:tcPr>
          <w:p w14:paraId="7EAA686F" w14:textId="77777777" w:rsidR="005A17CE" w:rsidRDefault="00D21FFE" w:rsidP="00C72437">
            <w:pPr>
              <w:widowControl w:val="0"/>
              <w:spacing w:line="240" w:lineRule="auto"/>
              <w:jc w:val="right"/>
            </w:pPr>
            <w:r>
              <w:t>5 (12,82 %)</w:t>
            </w:r>
          </w:p>
        </w:tc>
        <w:tc>
          <w:tcPr>
            <w:tcW w:w="1805" w:type="dxa"/>
            <w:tcMar>
              <w:top w:w="40" w:type="dxa"/>
              <w:left w:w="40" w:type="dxa"/>
              <w:bottom w:w="40" w:type="dxa"/>
              <w:right w:w="40" w:type="dxa"/>
            </w:tcMar>
            <w:vAlign w:val="bottom"/>
          </w:tcPr>
          <w:p w14:paraId="6A756581" w14:textId="77777777" w:rsidR="005A17CE" w:rsidRPr="00C72437" w:rsidRDefault="00D21FFE" w:rsidP="00C72437">
            <w:pPr>
              <w:widowControl w:val="0"/>
              <w:spacing w:line="240" w:lineRule="auto"/>
              <w:jc w:val="right"/>
            </w:pPr>
            <w:r>
              <w:rPr>
                <w:b/>
              </w:rPr>
              <w:t>23 (15,13 %)</w:t>
            </w:r>
          </w:p>
        </w:tc>
      </w:tr>
      <w:tr w:rsidR="005A17CE" w14:paraId="0ED751A3" w14:textId="77777777" w:rsidTr="00C72437">
        <w:tc>
          <w:tcPr>
            <w:tcW w:w="1805" w:type="dxa"/>
            <w:tcMar>
              <w:top w:w="40" w:type="dxa"/>
              <w:left w:w="40" w:type="dxa"/>
              <w:bottom w:w="40" w:type="dxa"/>
              <w:right w:w="40" w:type="dxa"/>
            </w:tcMar>
            <w:vAlign w:val="bottom"/>
          </w:tcPr>
          <w:p w14:paraId="5CF62532" w14:textId="77777777" w:rsidR="005A17CE" w:rsidRDefault="00D21FFE" w:rsidP="00E47CA6">
            <w:pPr>
              <w:widowControl w:val="0"/>
              <w:spacing w:line="240" w:lineRule="auto"/>
            </w:pPr>
            <w:r>
              <w:t>OPUS</w:t>
            </w:r>
          </w:p>
        </w:tc>
        <w:tc>
          <w:tcPr>
            <w:tcW w:w="1805" w:type="dxa"/>
            <w:tcMar>
              <w:top w:w="40" w:type="dxa"/>
              <w:left w:w="40" w:type="dxa"/>
              <w:bottom w:w="40" w:type="dxa"/>
              <w:right w:w="40" w:type="dxa"/>
            </w:tcMar>
            <w:vAlign w:val="bottom"/>
          </w:tcPr>
          <w:p w14:paraId="69FDCAA6" w14:textId="77777777" w:rsidR="005A17CE" w:rsidRDefault="00D21FFE" w:rsidP="00C72437">
            <w:pPr>
              <w:widowControl w:val="0"/>
              <w:spacing w:line="240" w:lineRule="auto"/>
              <w:jc w:val="right"/>
            </w:pPr>
            <w:r>
              <w:t>38 (44,19 %)</w:t>
            </w:r>
          </w:p>
        </w:tc>
        <w:tc>
          <w:tcPr>
            <w:tcW w:w="1805" w:type="dxa"/>
            <w:tcMar>
              <w:top w:w="40" w:type="dxa"/>
              <w:left w:w="40" w:type="dxa"/>
              <w:bottom w:w="40" w:type="dxa"/>
              <w:right w:w="40" w:type="dxa"/>
            </w:tcMar>
            <w:vAlign w:val="bottom"/>
          </w:tcPr>
          <w:p w14:paraId="48543A31" w14:textId="77777777" w:rsidR="005A17CE" w:rsidRDefault="00D21FFE" w:rsidP="00C72437">
            <w:pPr>
              <w:widowControl w:val="0"/>
              <w:spacing w:line="240" w:lineRule="auto"/>
              <w:jc w:val="right"/>
            </w:pPr>
            <w:r>
              <w:t>27 (100,00 %)</w:t>
            </w:r>
          </w:p>
        </w:tc>
        <w:tc>
          <w:tcPr>
            <w:tcW w:w="1805" w:type="dxa"/>
            <w:tcMar>
              <w:top w:w="40" w:type="dxa"/>
              <w:left w:w="40" w:type="dxa"/>
              <w:bottom w:w="40" w:type="dxa"/>
              <w:right w:w="40" w:type="dxa"/>
            </w:tcMar>
            <w:vAlign w:val="bottom"/>
          </w:tcPr>
          <w:p w14:paraId="62493540" w14:textId="77777777" w:rsidR="005A17CE" w:rsidRDefault="00D21FFE" w:rsidP="00C72437">
            <w:pPr>
              <w:widowControl w:val="0"/>
              <w:spacing w:line="240" w:lineRule="auto"/>
              <w:jc w:val="right"/>
            </w:pPr>
            <w:r>
              <w:t>16 (41,03 %)</w:t>
            </w:r>
          </w:p>
        </w:tc>
        <w:tc>
          <w:tcPr>
            <w:tcW w:w="1805" w:type="dxa"/>
            <w:tcMar>
              <w:top w:w="40" w:type="dxa"/>
              <w:left w:w="40" w:type="dxa"/>
              <w:bottom w:w="40" w:type="dxa"/>
              <w:right w:w="40" w:type="dxa"/>
            </w:tcMar>
            <w:vAlign w:val="bottom"/>
          </w:tcPr>
          <w:p w14:paraId="2D8CD515" w14:textId="77777777" w:rsidR="005A17CE" w:rsidRPr="00C72437" w:rsidRDefault="00D21FFE" w:rsidP="00C72437">
            <w:pPr>
              <w:widowControl w:val="0"/>
              <w:spacing w:line="240" w:lineRule="auto"/>
              <w:jc w:val="right"/>
            </w:pPr>
            <w:r>
              <w:rPr>
                <w:b/>
              </w:rPr>
              <w:t>81 (53,29 %)</w:t>
            </w:r>
          </w:p>
        </w:tc>
      </w:tr>
      <w:tr w:rsidR="005A17CE" w14:paraId="2CDA6554" w14:textId="77777777" w:rsidTr="00C72437">
        <w:tc>
          <w:tcPr>
            <w:tcW w:w="1805" w:type="dxa"/>
            <w:tcMar>
              <w:top w:w="40" w:type="dxa"/>
              <w:left w:w="40" w:type="dxa"/>
              <w:bottom w:w="40" w:type="dxa"/>
              <w:right w:w="40" w:type="dxa"/>
            </w:tcMar>
            <w:vAlign w:val="bottom"/>
          </w:tcPr>
          <w:p w14:paraId="756386DF" w14:textId="77777777" w:rsidR="005A17CE" w:rsidRDefault="00D21FFE" w:rsidP="00E47CA6">
            <w:pPr>
              <w:widowControl w:val="0"/>
              <w:spacing w:line="240" w:lineRule="auto"/>
            </w:pPr>
            <w:r>
              <w:t>Other</w:t>
            </w:r>
          </w:p>
        </w:tc>
        <w:tc>
          <w:tcPr>
            <w:tcW w:w="1805" w:type="dxa"/>
            <w:tcBorders>
              <w:bottom w:val="single" w:sz="6" w:space="0" w:color="000000"/>
            </w:tcBorders>
            <w:tcMar>
              <w:top w:w="40" w:type="dxa"/>
              <w:left w:w="40" w:type="dxa"/>
              <w:bottom w:w="40" w:type="dxa"/>
              <w:right w:w="40" w:type="dxa"/>
            </w:tcMar>
            <w:vAlign w:val="bottom"/>
          </w:tcPr>
          <w:p w14:paraId="0639FCBF" w14:textId="77777777" w:rsidR="005A17CE" w:rsidRDefault="00D21FFE" w:rsidP="00C72437">
            <w:pPr>
              <w:widowControl w:val="0"/>
              <w:spacing w:line="240" w:lineRule="auto"/>
              <w:jc w:val="right"/>
            </w:pPr>
            <w:r>
              <w:t>24 (27,91 %)</w:t>
            </w:r>
          </w:p>
        </w:tc>
        <w:tc>
          <w:tcPr>
            <w:tcW w:w="1805" w:type="dxa"/>
            <w:tcBorders>
              <w:bottom w:val="single" w:sz="6" w:space="0" w:color="000000"/>
            </w:tcBorders>
            <w:tcMar>
              <w:top w:w="40" w:type="dxa"/>
              <w:left w:w="40" w:type="dxa"/>
              <w:bottom w:w="40" w:type="dxa"/>
              <w:right w:w="40" w:type="dxa"/>
            </w:tcMar>
            <w:vAlign w:val="bottom"/>
          </w:tcPr>
          <w:p w14:paraId="79A1D5DE" w14:textId="77777777" w:rsidR="005A17CE" w:rsidRDefault="00D21FFE" w:rsidP="00C72437">
            <w:pPr>
              <w:widowControl w:val="0"/>
              <w:spacing w:line="240" w:lineRule="auto"/>
              <w:jc w:val="right"/>
            </w:pPr>
            <w:r>
              <w:t>(0,00 %)</w:t>
            </w:r>
          </w:p>
        </w:tc>
        <w:tc>
          <w:tcPr>
            <w:tcW w:w="1805" w:type="dxa"/>
            <w:tcBorders>
              <w:bottom w:val="single" w:sz="6" w:space="0" w:color="000000"/>
            </w:tcBorders>
            <w:tcMar>
              <w:top w:w="40" w:type="dxa"/>
              <w:left w:w="40" w:type="dxa"/>
              <w:bottom w:w="40" w:type="dxa"/>
              <w:right w:w="40" w:type="dxa"/>
            </w:tcMar>
            <w:vAlign w:val="bottom"/>
          </w:tcPr>
          <w:p w14:paraId="5096A57A" w14:textId="77777777" w:rsidR="005A17CE" w:rsidRDefault="00D21FFE" w:rsidP="00C72437">
            <w:pPr>
              <w:widowControl w:val="0"/>
              <w:spacing w:line="240" w:lineRule="auto"/>
              <w:jc w:val="right"/>
            </w:pPr>
            <w:r>
              <w:t>13 (33,33 %)</w:t>
            </w:r>
          </w:p>
        </w:tc>
        <w:tc>
          <w:tcPr>
            <w:tcW w:w="1805" w:type="dxa"/>
            <w:tcMar>
              <w:top w:w="40" w:type="dxa"/>
              <w:left w:w="40" w:type="dxa"/>
              <w:bottom w:w="40" w:type="dxa"/>
              <w:right w:w="40" w:type="dxa"/>
            </w:tcMar>
            <w:vAlign w:val="bottom"/>
          </w:tcPr>
          <w:p w14:paraId="3E570EAA" w14:textId="77777777" w:rsidR="005A17CE" w:rsidRPr="00C72437" w:rsidRDefault="00D21FFE" w:rsidP="00C72437">
            <w:pPr>
              <w:widowControl w:val="0"/>
              <w:spacing w:line="240" w:lineRule="auto"/>
              <w:jc w:val="right"/>
            </w:pPr>
            <w:r>
              <w:rPr>
                <w:b/>
              </w:rPr>
              <w:t>37 (24,34 %)</w:t>
            </w:r>
          </w:p>
        </w:tc>
      </w:tr>
      <w:tr w:rsidR="005A17CE" w14:paraId="63D1DF75" w14:textId="77777777" w:rsidTr="00C72437">
        <w:tc>
          <w:tcPr>
            <w:tcW w:w="1805" w:type="dxa"/>
            <w:tcMar>
              <w:top w:w="40" w:type="dxa"/>
              <w:left w:w="40" w:type="dxa"/>
              <w:bottom w:w="40" w:type="dxa"/>
              <w:right w:w="40" w:type="dxa"/>
            </w:tcMar>
            <w:vAlign w:val="bottom"/>
          </w:tcPr>
          <w:p w14:paraId="516E0BA0" w14:textId="77777777" w:rsidR="005A17CE" w:rsidRDefault="005A17CE" w:rsidP="00E47CA6">
            <w:pPr>
              <w:widowControl w:val="0"/>
              <w:spacing w:line="240" w:lineRule="auto"/>
              <w:jc w:val="right"/>
            </w:pPr>
          </w:p>
        </w:tc>
        <w:tc>
          <w:tcPr>
            <w:tcW w:w="1805" w:type="dxa"/>
            <w:tcBorders>
              <w:bottom w:val="single" w:sz="6" w:space="0" w:color="000000"/>
            </w:tcBorders>
            <w:tcMar>
              <w:top w:w="40" w:type="dxa"/>
              <w:left w:w="40" w:type="dxa"/>
              <w:bottom w:w="40" w:type="dxa"/>
              <w:right w:w="40" w:type="dxa"/>
            </w:tcMar>
            <w:vAlign w:val="bottom"/>
          </w:tcPr>
          <w:p w14:paraId="05C0D73D" w14:textId="77777777" w:rsidR="005A17CE" w:rsidRPr="00C72437" w:rsidRDefault="00D21FFE" w:rsidP="00C72437">
            <w:pPr>
              <w:widowControl w:val="0"/>
              <w:spacing w:line="240" w:lineRule="auto"/>
              <w:jc w:val="right"/>
            </w:pPr>
            <w:r>
              <w:rPr>
                <w:b/>
              </w:rPr>
              <w:t>86 (100,00 %)</w:t>
            </w:r>
          </w:p>
        </w:tc>
        <w:tc>
          <w:tcPr>
            <w:tcW w:w="1805" w:type="dxa"/>
            <w:tcBorders>
              <w:bottom w:val="single" w:sz="6" w:space="0" w:color="000000"/>
            </w:tcBorders>
            <w:tcMar>
              <w:top w:w="40" w:type="dxa"/>
              <w:left w:w="40" w:type="dxa"/>
              <w:bottom w:w="40" w:type="dxa"/>
              <w:right w:w="40" w:type="dxa"/>
            </w:tcMar>
            <w:vAlign w:val="bottom"/>
          </w:tcPr>
          <w:p w14:paraId="520DF808" w14:textId="77777777" w:rsidR="005A17CE" w:rsidRPr="00C72437" w:rsidRDefault="00D21FFE" w:rsidP="00C72437">
            <w:pPr>
              <w:widowControl w:val="0"/>
              <w:spacing w:line="240" w:lineRule="auto"/>
              <w:jc w:val="right"/>
            </w:pPr>
            <w:r>
              <w:rPr>
                <w:b/>
              </w:rPr>
              <w:t>27 (100,00 %)</w:t>
            </w:r>
          </w:p>
        </w:tc>
        <w:tc>
          <w:tcPr>
            <w:tcW w:w="1805" w:type="dxa"/>
            <w:tcBorders>
              <w:bottom w:val="single" w:sz="6" w:space="0" w:color="000000"/>
            </w:tcBorders>
            <w:tcMar>
              <w:top w:w="40" w:type="dxa"/>
              <w:left w:w="40" w:type="dxa"/>
              <w:bottom w:w="40" w:type="dxa"/>
              <w:right w:w="40" w:type="dxa"/>
            </w:tcMar>
            <w:vAlign w:val="bottom"/>
          </w:tcPr>
          <w:p w14:paraId="7CF11F92" w14:textId="77777777" w:rsidR="005A17CE" w:rsidRPr="00C72437" w:rsidRDefault="00D21FFE" w:rsidP="00C72437">
            <w:pPr>
              <w:widowControl w:val="0"/>
              <w:spacing w:line="240" w:lineRule="auto"/>
              <w:jc w:val="right"/>
            </w:pPr>
            <w:r>
              <w:rPr>
                <w:b/>
              </w:rPr>
              <w:t>39 (100,00 %)</w:t>
            </w:r>
          </w:p>
        </w:tc>
        <w:tc>
          <w:tcPr>
            <w:tcW w:w="1805" w:type="dxa"/>
            <w:tcMar>
              <w:top w:w="40" w:type="dxa"/>
              <w:left w:w="40" w:type="dxa"/>
              <w:bottom w:w="40" w:type="dxa"/>
              <w:right w:w="40" w:type="dxa"/>
            </w:tcMar>
            <w:vAlign w:val="bottom"/>
          </w:tcPr>
          <w:p w14:paraId="49552DFB" w14:textId="77777777" w:rsidR="005A17CE" w:rsidRPr="00C72437" w:rsidRDefault="00D21FFE" w:rsidP="00C72437">
            <w:pPr>
              <w:widowControl w:val="0"/>
              <w:spacing w:line="240" w:lineRule="auto"/>
              <w:jc w:val="right"/>
            </w:pPr>
            <w:r>
              <w:rPr>
                <w:b/>
              </w:rPr>
              <w:t>152 (100,00 %)</w:t>
            </w:r>
          </w:p>
        </w:tc>
      </w:tr>
    </w:tbl>
    <w:p w14:paraId="05766D37" w14:textId="77777777" w:rsidR="005A17CE" w:rsidRDefault="005A17CE"/>
    <w:p w14:paraId="2B488510" w14:textId="77777777" w:rsidR="005A17CE" w:rsidRDefault="005A17CE">
      <w:pPr>
        <w:jc w:val="both"/>
      </w:pPr>
    </w:p>
    <w:p w14:paraId="1825857D" w14:textId="77777777" w:rsidR="005A17CE" w:rsidRPr="00C72437" w:rsidRDefault="00D21FFE">
      <w:pPr>
        <w:jc w:val="both"/>
      </w:pPr>
      <w:r w:rsidRPr="00C72437">
        <w:rPr>
          <w:rFonts w:ascii="Trebuchet MS" w:hAnsi="Trebuchet MS"/>
          <w:b/>
          <w:color w:val="666666"/>
          <w:sz w:val="24"/>
        </w:rPr>
        <w:t>DINI-Zertifikat</w:t>
      </w:r>
    </w:p>
    <w:p w14:paraId="727EDB9B" w14:textId="77777777" w:rsidR="005A17CE" w:rsidRDefault="005A17CE">
      <w:pPr>
        <w:jc w:val="both"/>
      </w:pPr>
    </w:p>
    <w:p w14:paraId="07BBC94A" w14:textId="58F1EE9F" w:rsidR="005A17CE" w:rsidRDefault="00D21FFE">
      <w:pPr>
        <w:jc w:val="both"/>
      </w:pPr>
      <w:r>
        <w:t>Als wichtiger Standard für Open-Access-Repositorien in Deutschland gilt das DINI-Zertifikat für Dokumenten- und Publikationsservices. Es dient Repositorien-Betreibern beim Aufbau und der Weiterentwicklung ihres OA in technischer und organisatorischer Hinsicht.</w:t>
      </w:r>
      <w:r w:rsidRPr="00C72437">
        <w:footnoteReference w:id="17"/>
      </w:r>
      <w:r>
        <w:t xml:space="preserve"> Der Census erfasst, ob das OAR laut DINI-Liste der Repositorien mit dem Stand vom 6. Januar 2014 ein DINI-Zertifikat besitzt. Die Zertifikatsversionen 2004/2007/2010 wurden erhoben.</w:t>
      </w:r>
    </w:p>
    <w:p w14:paraId="4A25D8A6" w14:textId="6B99BA7D" w:rsidR="005A17CE" w:rsidRDefault="00D21FFE">
      <w:pPr>
        <w:jc w:val="both"/>
      </w:pPr>
      <w:r>
        <w:t xml:space="preserve">Von allen 152 OAR in Deutschland haben etwa ein Drittel ein DINI-Zertifikat, wobei der Anteil der zertifizierten OAR für die verschiedenen Betreibertypen sehr unterschiedlich ausfällt (siehe Tabelle 7). Während 39,53 % aller universitären OAR ein DINI-Zertifikat besitzen, fällt der Wert für die OAR von Fachhochschulen mit lediglich 7,41 % sowie für außeruniversitäre Forschungseinrichtungen und Andere mit 17,95 % deutlich geringer aus. </w:t>
      </w:r>
    </w:p>
    <w:p w14:paraId="28F53E0F" w14:textId="77777777" w:rsidR="005A17CE" w:rsidRDefault="005A17CE">
      <w:pPr>
        <w:jc w:val="both"/>
      </w:pPr>
    </w:p>
    <w:p w14:paraId="635A928C" w14:textId="77777777" w:rsidR="005A17CE" w:rsidRPr="00C72437" w:rsidRDefault="00D21FFE">
      <w:pPr>
        <w:jc w:val="both"/>
      </w:pPr>
      <w:r>
        <w:rPr>
          <w:rFonts w:ascii="Helvetica Neue" w:eastAsia="Helvetica Neue" w:hAnsi="Helvetica Neue" w:cs="Helvetica Neue"/>
          <w:b/>
        </w:rPr>
        <w:t>Tabelle 7 (DINI-Zertifikat nach betreibenden Institutionen)</w:t>
      </w:r>
    </w:p>
    <w:tbl>
      <w:tblPr>
        <w:tblW w:w="902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1806"/>
        <w:gridCol w:w="1805"/>
        <w:gridCol w:w="1805"/>
        <w:gridCol w:w="1805"/>
        <w:gridCol w:w="1805"/>
      </w:tblGrid>
      <w:tr w:rsidR="005A17CE" w14:paraId="7EC31C36" w14:textId="77777777" w:rsidTr="00C72437">
        <w:tc>
          <w:tcPr>
            <w:tcW w:w="1805" w:type="dxa"/>
            <w:tcMar>
              <w:top w:w="40" w:type="dxa"/>
              <w:left w:w="40" w:type="dxa"/>
              <w:bottom w:w="40" w:type="dxa"/>
              <w:right w:w="40" w:type="dxa"/>
            </w:tcMar>
            <w:vAlign w:val="bottom"/>
          </w:tcPr>
          <w:p w14:paraId="24B5018B" w14:textId="77777777" w:rsidR="005A17CE" w:rsidRPr="00C72437" w:rsidRDefault="00D21FFE" w:rsidP="00E47CA6">
            <w:pPr>
              <w:widowControl w:val="0"/>
              <w:spacing w:line="240" w:lineRule="auto"/>
            </w:pPr>
            <w:r>
              <w:rPr>
                <w:b/>
                <w:sz w:val="20"/>
              </w:rPr>
              <w:t>DINI-Zertifikat</w:t>
            </w:r>
          </w:p>
        </w:tc>
        <w:tc>
          <w:tcPr>
            <w:tcW w:w="1805" w:type="dxa"/>
            <w:tcMar>
              <w:top w:w="40" w:type="dxa"/>
              <w:left w:w="40" w:type="dxa"/>
              <w:bottom w:w="40" w:type="dxa"/>
              <w:right w:w="40" w:type="dxa"/>
            </w:tcMar>
            <w:vAlign w:val="bottom"/>
          </w:tcPr>
          <w:p w14:paraId="4F08EE90" w14:textId="77777777" w:rsidR="005A17CE" w:rsidRPr="00C72437" w:rsidRDefault="00D21FFE" w:rsidP="00C72437">
            <w:pPr>
              <w:spacing w:line="240" w:lineRule="auto"/>
              <w:jc w:val="right"/>
            </w:pPr>
            <w:r>
              <w:rPr>
                <w:b/>
                <w:sz w:val="20"/>
              </w:rPr>
              <w:t>Anzahl der OAR betrieben an Universitäten, Total (Prozent an Repositorientyp)</w:t>
            </w:r>
          </w:p>
        </w:tc>
        <w:tc>
          <w:tcPr>
            <w:tcW w:w="1805" w:type="dxa"/>
            <w:tcMar>
              <w:top w:w="40" w:type="dxa"/>
              <w:left w:w="40" w:type="dxa"/>
              <w:bottom w:w="40" w:type="dxa"/>
              <w:right w:w="40" w:type="dxa"/>
            </w:tcMar>
            <w:vAlign w:val="bottom"/>
          </w:tcPr>
          <w:p w14:paraId="24B4E594" w14:textId="77777777" w:rsidR="005A17CE" w:rsidRPr="00C72437" w:rsidRDefault="00D21FFE" w:rsidP="00C72437">
            <w:pPr>
              <w:spacing w:line="240" w:lineRule="auto"/>
              <w:jc w:val="right"/>
            </w:pPr>
            <w:r>
              <w:rPr>
                <w:b/>
                <w:sz w:val="20"/>
              </w:rPr>
              <w:t>Anzahl der OAR betrieben an Fachhochschulen, Total (Prozent an Repositorientyp)</w:t>
            </w:r>
          </w:p>
        </w:tc>
        <w:tc>
          <w:tcPr>
            <w:tcW w:w="1805" w:type="dxa"/>
            <w:tcMar>
              <w:top w:w="40" w:type="dxa"/>
              <w:left w:w="40" w:type="dxa"/>
              <w:bottom w:w="40" w:type="dxa"/>
              <w:right w:w="40" w:type="dxa"/>
            </w:tcMar>
            <w:vAlign w:val="bottom"/>
          </w:tcPr>
          <w:p w14:paraId="4AD81B62" w14:textId="77777777" w:rsidR="005A17CE" w:rsidRPr="00C72437" w:rsidRDefault="00D21FFE" w:rsidP="00C72437">
            <w:pPr>
              <w:spacing w:line="240" w:lineRule="auto"/>
              <w:jc w:val="right"/>
            </w:pPr>
            <w:r>
              <w:rPr>
                <w:b/>
                <w:sz w:val="20"/>
              </w:rPr>
              <w:t>Anzahl der OAR betrieben an Außeruniversitären Forschungseinrichtungen und Anderen, Total (Prozent an Repositorientyp)</w:t>
            </w:r>
          </w:p>
        </w:tc>
        <w:tc>
          <w:tcPr>
            <w:tcW w:w="1805" w:type="dxa"/>
            <w:tcMar>
              <w:top w:w="40" w:type="dxa"/>
              <w:left w:w="40" w:type="dxa"/>
              <w:bottom w:w="40" w:type="dxa"/>
              <w:right w:w="40" w:type="dxa"/>
            </w:tcMar>
            <w:vAlign w:val="bottom"/>
          </w:tcPr>
          <w:p w14:paraId="5F9F566A" w14:textId="77777777" w:rsidR="005A17CE" w:rsidRPr="00C72437" w:rsidRDefault="00D21FFE" w:rsidP="00C72437">
            <w:pPr>
              <w:spacing w:line="240" w:lineRule="auto"/>
              <w:jc w:val="right"/>
            </w:pPr>
            <w:r>
              <w:rPr>
                <w:b/>
                <w:sz w:val="20"/>
              </w:rPr>
              <w:t>Gesamtanzahl der OAR mit dem jeweiligen DINI-Zertifikat Total (Prozent an BRD)</w:t>
            </w:r>
          </w:p>
        </w:tc>
      </w:tr>
      <w:tr w:rsidR="005A17CE" w14:paraId="526A9F6F" w14:textId="77777777" w:rsidTr="00C72437">
        <w:tc>
          <w:tcPr>
            <w:tcW w:w="1805" w:type="dxa"/>
            <w:tcMar>
              <w:top w:w="100" w:type="dxa"/>
              <w:left w:w="100" w:type="dxa"/>
              <w:bottom w:w="100" w:type="dxa"/>
              <w:right w:w="100" w:type="dxa"/>
            </w:tcMar>
          </w:tcPr>
          <w:p w14:paraId="1E1E3F8D" w14:textId="77777777" w:rsidR="005A17CE" w:rsidRDefault="00D21FFE" w:rsidP="00E47CA6">
            <w:pPr>
              <w:widowControl w:val="0"/>
              <w:spacing w:line="240" w:lineRule="auto"/>
            </w:pPr>
            <w:r>
              <w:t>ohne Zertifikat</w:t>
            </w:r>
          </w:p>
        </w:tc>
        <w:tc>
          <w:tcPr>
            <w:tcW w:w="1805" w:type="dxa"/>
            <w:tcMar>
              <w:top w:w="40" w:type="dxa"/>
              <w:left w:w="40" w:type="dxa"/>
              <w:bottom w:w="40" w:type="dxa"/>
              <w:right w:w="40" w:type="dxa"/>
            </w:tcMar>
            <w:vAlign w:val="bottom"/>
          </w:tcPr>
          <w:p w14:paraId="0978C87C" w14:textId="77777777" w:rsidR="005A17CE" w:rsidRDefault="00D21FFE" w:rsidP="00C72437">
            <w:pPr>
              <w:widowControl w:val="0"/>
              <w:spacing w:line="240" w:lineRule="auto"/>
              <w:jc w:val="right"/>
            </w:pPr>
            <w:r>
              <w:t>52 (60,47 %)</w:t>
            </w:r>
          </w:p>
        </w:tc>
        <w:tc>
          <w:tcPr>
            <w:tcW w:w="1805" w:type="dxa"/>
            <w:tcMar>
              <w:top w:w="40" w:type="dxa"/>
              <w:left w:w="40" w:type="dxa"/>
              <w:bottom w:w="40" w:type="dxa"/>
              <w:right w:w="40" w:type="dxa"/>
            </w:tcMar>
            <w:vAlign w:val="bottom"/>
          </w:tcPr>
          <w:p w14:paraId="79B002BA" w14:textId="77777777" w:rsidR="005A17CE" w:rsidRDefault="00D21FFE" w:rsidP="00C72437">
            <w:pPr>
              <w:widowControl w:val="0"/>
              <w:spacing w:line="240" w:lineRule="auto"/>
              <w:jc w:val="right"/>
            </w:pPr>
            <w:r>
              <w:t>25 (92,59 %)</w:t>
            </w:r>
          </w:p>
        </w:tc>
        <w:tc>
          <w:tcPr>
            <w:tcW w:w="1805" w:type="dxa"/>
            <w:tcMar>
              <w:top w:w="40" w:type="dxa"/>
              <w:left w:w="40" w:type="dxa"/>
              <w:bottom w:w="40" w:type="dxa"/>
              <w:right w:w="40" w:type="dxa"/>
            </w:tcMar>
            <w:vAlign w:val="bottom"/>
          </w:tcPr>
          <w:p w14:paraId="706596EC" w14:textId="77777777" w:rsidR="005A17CE" w:rsidRDefault="00D21FFE" w:rsidP="00C72437">
            <w:pPr>
              <w:widowControl w:val="0"/>
              <w:spacing w:line="240" w:lineRule="auto"/>
              <w:jc w:val="right"/>
            </w:pPr>
            <w:r>
              <w:t>32 (82,05 %)</w:t>
            </w:r>
          </w:p>
        </w:tc>
        <w:tc>
          <w:tcPr>
            <w:tcW w:w="1805" w:type="dxa"/>
            <w:tcMar>
              <w:top w:w="40" w:type="dxa"/>
              <w:left w:w="40" w:type="dxa"/>
              <w:bottom w:w="40" w:type="dxa"/>
              <w:right w:w="40" w:type="dxa"/>
            </w:tcMar>
            <w:vAlign w:val="bottom"/>
          </w:tcPr>
          <w:p w14:paraId="045BD798" w14:textId="68EC4204" w:rsidR="005A17CE" w:rsidRDefault="00D21FFE" w:rsidP="00C72437">
            <w:pPr>
              <w:widowControl w:val="0"/>
              <w:spacing w:line="240" w:lineRule="auto"/>
              <w:jc w:val="right"/>
            </w:pPr>
            <w:r>
              <w:t>109 (71,71 %)</w:t>
            </w:r>
            <w:r w:rsidR="00BB0CA2">
              <w:t xml:space="preserve"> </w:t>
            </w:r>
          </w:p>
        </w:tc>
      </w:tr>
      <w:tr w:rsidR="005A17CE" w14:paraId="6FDFDAB5" w14:textId="77777777" w:rsidTr="00C72437">
        <w:tc>
          <w:tcPr>
            <w:tcW w:w="1805" w:type="dxa"/>
            <w:tcMar>
              <w:top w:w="100" w:type="dxa"/>
              <w:left w:w="100" w:type="dxa"/>
              <w:bottom w:w="100" w:type="dxa"/>
              <w:right w:w="100" w:type="dxa"/>
            </w:tcMar>
          </w:tcPr>
          <w:p w14:paraId="5F734E86" w14:textId="77777777" w:rsidR="005A17CE" w:rsidRDefault="00D21FFE" w:rsidP="00E47CA6">
            <w:pPr>
              <w:widowControl w:val="0"/>
              <w:spacing w:line="240" w:lineRule="auto"/>
            </w:pPr>
            <w:r>
              <w:t>mit Zertifikat</w:t>
            </w:r>
          </w:p>
        </w:tc>
        <w:tc>
          <w:tcPr>
            <w:tcW w:w="1805" w:type="dxa"/>
            <w:tcMar>
              <w:top w:w="40" w:type="dxa"/>
              <w:left w:w="40" w:type="dxa"/>
              <w:bottom w:w="40" w:type="dxa"/>
              <w:right w:w="40" w:type="dxa"/>
            </w:tcMar>
            <w:vAlign w:val="bottom"/>
          </w:tcPr>
          <w:p w14:paraId="6598456A" w14:textId="77777777" w:rsidR="005A17CE" w:rsidRDefault="00D21FFE" w:rsidP="00C72437">
            <w:pPr>
              <w:widowControl w:val="0"/>
              <w:spacing w:line="240" w:lineRule="auto"/>
              <w:jc w:val="right"/>
            </w:pPr>
            <w:r>
              <w:t>34 (39,53 %)</w:t>
            </w:r>
          </w:p>
        </w:tc>
        <w:tc>
          <w:tcPr>
            <w:tcW w:w="1805" w:type="dxa"/>
            <w:tcMar>
              <w:top w:w="40" w:type="dxa"/>
              <w:left w:w="40" w:type="dxa"/>
              <w:bottom w:w="40" w:type="dxa"/>
              <w:right w:w="40" w:type="dxa"/>
            </w:tcMar>
            <w:vAlign w:val="bottom"/>
          </w:tcPr>
          <w:p w14:paraId="1DABF270" w14:textId="77777777" w:rsidR="005A17CE" w:rsidRDefault="00D21FFE" w:rsidP="00C72437">
            <w:pPr>
              <w:widowControl w:val="0"/>
              <w:spacing w:line="240" w:lineRule="auto"/>
              <w:jc w:val="right"/>
            </w:pPr>
            <w:r>
              <w:t>2 (7,41 %)</w:t>
            </w:r>
          </w:p>
        </w:tc>
        <w:tc>
          <w:tcPr>
            <w:tcW w:w="1805" w:type="dxa"/>
            <w:tcMar>
              <w:top w:w="40" w:type="dxa"/>
              <w:left w:w="40" w:type="dxa"/>
              <w:bottom w:w="40" w:type="dxa"/>
              <w:right w:w="40" w:type="dxa"/>
            </w:tcMar>
            <w:vAlign w:val="bottom"/>
          </w:tcPr>
          <w:p w14:paraId="688080FC" w14:textId="77777777" w:rsidR="005A17CE" w:rsidRDefault="00D21FFE" w:rsidP="00C72437">
            <w:pPr>
              <w:widowControl w:val="0"/>
              <w:spacing w:line="240" w:lineRule="auto"/>
              <w:jc w:val="right"/>
            </w:pPr>
            <w:r>
              <w:t>7 (17,95 %)</w:t>
            </w:r>
          </w:p>
        </w:tc>
        <w:tc>
          <w:tcPr>
            <w:tcW w:w="1805" w:type="dxa"/>
            <w:tcMar>
              <w:top w:w="40" w:type="dxa"/>
              <w:left w:w="40" w:type="dxa"/>
              <w:bottom w:w="40" w:type="dxa"/>
              <w:right w:w="40" w:type="dxa"/>
            </w:tcMar>
            <w:vAlign w:val="bottom"/>
          </w:tcPr>
          <w:p w14:paraId="24E13CA2" w14:textId="77777777" w:rsidR="005A17CE" w:rsidRDefault="00D21FFE" w:rsidP="00C72437">
            <w:pPr>
              <w:widowControl w:val="0"/>
              <w:spacing w:line="240" w:lineRule="auto"/>
              <w:jc w:val="right"/>
            </w:pPr>
            <w:r>
              <w:t>43 (28,29 %)</w:t>
            </w:r>
          </w:p>
        </w:tc>
      </w:tr>
      <w:tr w:rsidR="005A17CE" w14:paraId="3A0FCF67" w14:textId="77777777" w:rsidTr="00C72437">
        <w:tc>
          <w:tcPr>
            <w:tcW w:w="1805" w:type="dxa"/>
            <w:tcMar>
              <w:top w:w="100" w:type="dxa"/>
              <w:left w:w="100" w:type="dxa"/>
              <w:bottom w:w="100" w:type="dxa"/>
              <w:right w:w="100" w:type="dxa"/>
            </w:tcMar>
          </w:tcPr>
          <w:p w14:paraId="79D63302" w14:textId="77777777" w:rsidR="005A17CE" w:rsidRDefault="00D21FFE" w:rsidP="00E47CA6">
            <w:pPr>
              <w:widowControl w:val="0"/>
              <w:spacing w:line="240" w:lineRule="auto"/>
            </w:pPr>
            <w:r>
              <w:t>davon 2004</w:t>
            </w:r>
          </w:p>
        </w:tc>
        <w:tc>
          <w:tcPr>
            <w:tcW w:w="1805" w:type="dxa"/>
            <w:tcMar>
              <w:top w:w="40" w:type="dxa"/>
              <w:left w:w="40" w:type="dxa"/>
              <w:bottom w:w="40" w:type="dxa"/>
              <w:right w:w="40" w:type="dxa"/>
            </w:tcMar>
            <w:vAlign w:val="bottom"/>
          </w:tcPr>
          <w:p w14:paraId="296FCB3D" w14:textId="77777777" w:rsidR="005A17CE" w:rsidRDefault="00D21FFE" w:rsidP="00C72437">
            <w:pPr>
              <w:widowControl w:val="0"/>
              <w:spacing w:line="240" w:lineRule="auto"/>
              <w:jc w:val="right"/>
            </w:pPr>
            <w:r>
              <w:t>10 (11,63 %)</w:t>
            </w:r>
          </w:p>
        </w:tc>
        <w:tc>
          <w:tcPr>
            <w:tcW w:w="1805" w:type="dxa"/>
            <w:tcMar>
              <w:top w:w="40" w:type="dxa"/>
              <w:left w:w="40" w:type="dxa"/>
              <w:bottom w:w="40" w:type="dxa"/>
              <w:right w:w="40" w:type="dxa"/>
            </w:tcMar>
            <w:vAlign w:val="bottom"/>
          </w:tcPr>
          <w:p w14:paraId="40D4B236" w14:textId="77777777" w:rsidR="005A17CE" w:rsidRDefault="00D21FFE" w:rsidP="00C72437">
            <w:pPr>
              <w:widowControl w:val="0"/>
              <w:spacing w:line="240" w:lineRule="auto"/>
              <w:jc w:val="right"/>
            </w:pPr>
            <w:r>
              <w:t>0 (0,00 %)</w:t>
            </w:r>
          </w:p>
        </w:tc>
        <w:tc>
          <w:tcPr>
            <w:tcW w:w="1805" w:type="dxa"/>
            <w:tcMar>
              <w:top w:w="40" w:type="dxa"/>
              <w:left w:w="40" w:type="dxa"/>
              <w:bottom w:w="40" w:type="dxa"/>
              <w:right w:w="40" w:type="dxa"/>
            </w:tcMar>
            <w:vAlign w:val="bottom"/>
          </w:tcPr>
          <w:p w14:paraId="3AC58D4C" w14:textId="77777777" w:rsidR="005A17CE" w:rsidRDefault="00D21FFE" w:rsidP="00C72437">
            <w:pPr>
              <w:widowControl w:val="0"/>
              <w:spacing w:line="240" w:lineRule="auto"/>
              <w:jc w:val="right"/>
            </w:pPr>
            <w:r>
              <w:t>0 (0,00 %)</w:t>
            </w:r>
          </w:p>
        </w:tc>
        <w:tc>
          <w:tcPr>
            <w:tcW w:w="1805" w:type="dxa"/>
            <w:tcMar>
              <w:top w:w="40" w:type="dxa"/>
              <w:left w:w="40" w:type="dxa"/>
              <w:bottom w:w="40" w:type="dxa"/>
              <w:right w:w="40" w:type="dxa"/>
            </w:tcMar>
            <w:vAlign w:val="bottom"/>
          </w:tcPr>
          <w:p w14:paraId="47CA619E" w14:textId="77777777" w:rsidR="005A17CE" w:rsidRDefault="00D21FFE" w:rsidP="00C72437">
            <w:pPr>
              <w:widowControl w:val="0"/>
              <w:spacing w:line="240" w:lineRule="auto"/>
              <w:jc w:val="right"/>
            </w:pPr>
            <w:r>
              <w:t>10 (6,58 %)</w:t>
            </w:r>
          </w:p>
        </w:tc>
      </w:tr>
      <w:tr w:rsidR="005A17CE" w14:paraId="59939937" w14:textId="77777777" w:rsidTr="00C72437">
        <w:tc>
          <w:tcPr>
            <w:tcW w:w="1805" w:type="dxa"/>
            <w:tcMar>
              <w:top w:w="100" w:type="dxa"/>
              <w:left w:w="100" w:type="dxa"/>
              <w:bottom w:w="100" w:type="dxa"/>
              <w:right w:w="100" w:type="dxa"/>
            </w:tcMar>
          </w:tcPr>
          <w:p w14:paraId="0B947691" w14:textId="77777777" w:rsidR="005A17CE" w:rsidRDefault="00D21FFE" w:rsidP="00E47CA6">
            <w:pPr>
              <w:widowControl w:val="0"/>
              <w:spacing w:line="240" w:lineRule="auto"/>
            </w:pPr>
            <w:r>
              <w:t>davon 2007</w:t>
            </w:r>
          </w:p>
        </w:tc>
        <w:tc>
          <w:tcPr>
            <w:tcW w:w="1805" w:type="dxa"/>
            <w:tcMar>
              <w:top w:w="40" w:type="dxa"/>
              <w:left w:w="40" w:type="dxa"/>
              <w:bottom w:w="40" w:type="dxa"/>
              <w:right w:w="40" w:type="dxa"/>
            </w:tcMar>
            <w:vAlign w:val="bottom"/>
          </w:tcPr>
          <w:p w14:paraId="59954B7A" w14:textId="77777777" w:rsidR="005A17CE" w:rsidRDefault="00D21FFE" w:rsidP="00C72437">
            <w:pPr>
              <w:widowControl w:val="0"/>
              <w:spacing w:line="240" w:lineRule="auto"/>
              <w:jc w:val="right"/>
            </w:pPr>
            <w:r>
              <w:t>13 (15,12 %)</w:t>
            </w:r>
          </w:p>
        </w:tc>
        <w:tc>
          <w:tcPr>
            <w:tcW w:w="1805" w:type="dxa"/>
            <w:tcMar>
              <w:top w:w="40" w:type="dxa"/>
              <w:left w:w="40" w:type="dxa"/>
              <w:bottom w:w="40" w:type="dxa"/>
              <w:right w:w="40" w:type="dxa"/>
            </w:tcMar>
            <w:vAlign w:val="bottom"/>
          </w:tcPr>
          <w:p w14:paraId="4F7D6701" w14:textId="77777777" w:rsidR="005A17CE" w:rsidRDefault="00D21FFE" w:rsidP="00C72437">
            <w:pPr>
              <w:widowControl w:val="0"/>
              <w:spacing w:line="240" w:lineRule="auto"/>
              <w:jc w:val="right"/>
            </w:pPr>
            <w:r>
              <w:t>1 (3,70%)</w:t>
            </w:r>
          </w:p>
        </w:tc>
        <w:tc>
          <w:tcPr>
            <w:tcW w:w="1805" w:type="dxa"/>
            <w:tcMar>
              <w:top w:w="40" w:type="dxa"/>
              <w:left w:w="40" w:type="dxa"/>
              <w:bottom w:w="40" w:type="dxa"/>
              <w:right w:w="40" w:type="dxa"/>
            </w:tcMar>
            <w:vAlign w:val="bottom"/>
          </w:tcPr>
          <w:p w14:paraId="18E5697B" w14:textId="77777777" w:rsidR="005A17CE" w:rsidRDefault="00D21FFE" w:rsidP="00C72437">
            <w:pPr>
              <w:widowControl w:val="0"/>
              <w:spacing w:line="240" w:lineRule="auto"/>
              <w:jc w:val="right"/>
            </w:pPr>
            <w:r>
              <w:t>2 (5,13 %)</w:t>
            </w:r>
          </w:p>
        </w:tc>
        <w:tc>
          <w:tcPr>
            <w:tcW w:w="1805" w:type="dxa"/>
            <w:tcMar>
              <w:top w:w="40" w:type="dxa"/>
              <w:left w:w="40" w:type="dxa"/>
              <w:bottom w:w="40" w:type="dxa"/>
              <w:right w:w="40" w:type="dxa"/>
            </w:tcMar>
            <w:vAlign w:val="bottom"/>
          </w:tcPr>
          <w:p w14:paraId="340C5E8A" w14:textId="77777777" w:rsidR="005A17CE" w:rsidRDefault="00D21FFE" w:rsidP="00C72437">
            <w:pPr>
              <w:widowControl w:val="0"/>
              <w:spacing w:line="240" w:lineRule="auto"/>
              <w:jc w:val="right"/>
            </w:pPr>
            <w:r>
              <w:t>16 (10,53 %)</w:t>
            </w:r>
          </w:p>
        </w:tc>
      </w:tr>
      <w:tr w:rsidR="005A17CE" w14:paraId="09882A86" w14:textId="77777777" w:rsidTr="00C72437">
        <w:tc>
          <w:tcPr>
            <w:tcW w:w="1805" w:type="dxa"/>
            <w:tcMar>
              <w:top w:w="100" w:type="dxa"/>
              <w:left w:w="100" w:type="dxa"/>
              <w:bottom w:w="100" w:type="dxa"/>
              <w:right w:w="100" w:type="dxa"/>
            </w:tcMar>
          </w:tcPr>
          <w:p w14:paraId="0E69BEF5" w14:textId="77777777" w:rsidR="005A17CE" w:rsidRDefault="00D21FFE" w:rsidP="00E47CA6">
            <w:pPr>
              <w:widowControl w:val="0"/>
              <w:spacing w:line="240" w:lineRule="auto"/>
            </w:pPr>
            <w:r>
              <w:t>davon 2010</w:t>
            </w:r>
          </w:p>
        </w:tc>
        <w:tc>
          <w:tcPr>
            <w:tcW w:w="1805" w:type="dxa"/>
            <w:tcMar>
              <w:top w:w="40" w:type="dxa"/>
              <w:left w:w="40" w:type="dxa"/>
              <w:bottom w:w="40" w:type="dxa"/>
              <w:right w:w="40" w:type="dxa"/>
            </w:tcMar>
            <w:vAlign w:val="bottom"/>
          </w:tcPr>
          <w:p w14:paraId="09CF66AB" w14:textId="77777777" w:rsidR="005A17CE" w:rsidRDefault="00D21FFE" w:rsidP="00C72437">
            <w:pPr>
              <w:widowControl w:val="0"/>
              <w:spacing w:line="240" w:lineRule="auto"/>
              <w:jc w:val="right"/>
            </w:pPr>
            <w:r>
              <w:t>11 (12,79 %)</w:t>
            </w:r>
          </w:p>
        </w:tc>
        <w:tc>
          <w:tcPr>
            <w:tcW w:w="1805" w:type="dxa"/>
            <w:tcMar>
              <w:top w:w="40" w:type="dxa"/>
              <w:left w:w="40" w:type="dxa"/>
              <w:bottom w:w="40" w:type="dxa"/>
              <w:right w:w="40" w:type="dxa"/>
            </w:tcMar>
            <w:vAlign w:val="bottom"/>
          </w:tcPr>
          <w:p w14:paraId="74A2614B" w14:textId="77777777" w:rsidR="005A17CE" w:rsidRDefault="00D21FFE" w:rsidP="00C72437">
            <w:pPr>
              <w:widowControl w:val="0"/>
              <w:spacing w:line="240" w:lineRule="auto"/>
              <w:jc w:val="right"/>
            </w:pPr>
            <w:r>
              <w:t>1 (3,70%)</w:t>
            </w:r>
          </w:p>
        </w:tc>
        <w:tc>
          <w:tcPr>
            <w:tcW w:w="1805" w:type="dxa"/>
            <w:tcMar>
              <w:top w:w="40" w:type="dxa"/>
              <w:left w:w="40" w:type="dxa"/>
              <w:bottom w:w="40" w:type="dxa"/>
              <w:right w:w="40" w:type="dxa"/>
            </w:tcMar>
            <w:vAlign w:val="bottom"/>
          </w:tcPr>
          <w:p w14:paraId="147B7CC6" w14:textId="77777777" w:rsidR="005A17CE" w:rsidRDefault="00D21FFE" w:rsidP="00C72437">
            <w:pPr>
              <w:widowControl w:val="0"/>
              <w:spacing w:line="240" w:lineRule="auto"/>
              <w:jc w:val="right"/>
            </w:pPr>
            <w:r>
              <w:t>5 (12,82 %)</w:t>
            </w:r>
          </w:p>
        </w:tc>
        <w:tc>
          <w:tcPr>
            <w:tcW w:w="1805" w:type="dxa"/>
            <w:tcMar>
              <w:top w:w="40" w:type="dxa"/>
              <w:left w:w="40" w:type="dxa"/>
              <w:bottom w:w="40" w:type="dxa"/>
              <w:right w:w="40" w:type="dxa"/>
            </w:tcMar>
            <w:vAlign w:val="bottom"/>
          </w:tcPr>
          <w:p w14:paraId="606E7B97" w14:textId="77777777" w:rsidR="005A17CE" w:rsidRDefault="00D21FFE" w:rsidP="00C72437">
            <w:pPr>
              <w:widowControl w:val="0"/>
              <w:spacing w:line="240" w:lineRule="auto"/>
              <w:jc w:val="right"/>
            </w:pPr>
            <w:r>
              <w:t>17 (11,18 %)</w:t>
            </w:r>
          </w:p>
        </w:tc>
      </w:tr>
      <w:tr w:rsidR="005A17CE" w14:paraId="075DFC55" w14:textId="77777777" w:rsidTr="00C72437">
        <w:tc>
          <w:tcPr>
            <w:tcW w:w="1805" w:type="dxa"/>
            <w:tcMar>
              <w:top w:w="100" w:type="dxa"/>
              <w:left w:w="100" w:type="dxa"/>
              <w:bottom w:w="100" w:type="dxa"/>
              <w:right w:w="100" w:type="dxa"/>
            </w:tcMar>
          </w:tcPr>
          <w:p w14:paraId="47D401EA" w14:textId="77777777" w:rsidR="005A17CE" w:rsidRDefault="00D21FFE" w:rsidP="00E47CA6">
            <w:pPr>
              <w:widowControl w:val="0"/>
              <w:spacing w:line="240" w:lineRule="auto"/>
            </w:pPr>
            <w:r>
              <w:t>Gesamt</w:t>
            </w:r>
          </w:p>
        </w:tc>
        <w:tc>
          <w:tcPr>
            <w:tcW w:w="1805" w:type="dxa"/>
            <w:tcMar>
              <w:top w:w="40" w:type="dxa"/>
              <w:left w:w="40" w:type="dxa"/>
              <w:bottom w:w="40" w:type="dxa"/>
              <w:right w:w="40" w:type="dxa"/>
            </w:tcMar>
            <w:vAlign w:val="bottom"/>
          </w:tcPr>
          <w:p w14:paraId="2B5A406E" w14:textId="77777777" w:rsidR="005A17CE" w:rsidRDefault="00D21FFE" w:rsidP="00C72437">
            <w:pPr>
              <w:widowControl w:val="0"/>
              <w:spacing w:line="240" w:lineRule="auto"/>
              <w:jc w:val="right"/>
            </w:pPr>
            <w:r>
              <w:t>86 (100,00 %)</w:t>
            </w:r>
          </w:p>
        </w:tc>
        <w:tc>
          <w:tcPr>
            <w:tcW w:w="1805" w:type="dxa"/>
            <w:tcMar>
              <w:top w:w="40" w:type="dxa"/>
              <w:left w:w="40" w:type="dxa"/>
              <w:bottom w:w="40" w:type="dxa"/>
              <w:right w:w="40" w:type="dxa"/>
            </w:tcMar>
            <w:vAlign w:val="bottom"/>
          </w:tcPr>
          <w:p w14:paraId="40668E4F" w14:textId="77777777" w:rsidR="005A17CE" w:rsidRDefault="00D21FFE" w:rsidP="00C72437">
            <w:pPr>
              <w:widowControl w:val="0"/>
              <w:spacing w:line="240" w:lineRule="auto"/>
              <w:jc w:val="right"/>
            </w:pPr>
            <w:r>
              <w:t>27 (100,00 %)</w:t>
            </w:r>
          </w:p>
        </w:tc>
        <w:tc>
          <w:tcPr>
            <w:tcW w:w="1805" w:type="dxa"/>
            <w:tcMar>
              <w:top w:w="40" w:type="dxa"/>
              <w:left w:w="40" w:type="dxa"/>
              <w:bottom w:w="40" w:type="dxa"/>
              <w:right w:w="40" w:type="dxa"/>
            </w:tcMar>
            <w:vAlign w:val="bottom"/>
          </w:tcPr>
          <w:p w14:paraId="396E3814" w14:textId="77777777" w:rsidR="005A17CE" w:rsidRDefault="00D21FFE" w:rsidP="00C72437">
            <w:pPr>
              <w:widowControl w:val="0"/>
              <w:spacing w:line="240" w:lineRule="auto"/>
              <w:jc w:val="right"/>
            </w:pPr>
            <w:r>
              <w:t>39 (100,00 %)</w:t>
            </w:r>
          </w:p>
        </w:tc>
        <w:tc>
          <w:tcPr>
            <w:tcW w:w="1805" w:type="dxa"/>
            <w:tcMar>
              <w:top w:w="40" w:type="dxa"/>
              <w:left w:w="40" w:type="dxa"/>
              <w:bottom w:w="40" w:type="dxa"/>
              <w:right w:w="40" w:type="dxa"/>
            </w:tcMar>
            <w:vAlign w:val="bottom"/>
          </w:tcPr>
          <w:p w14:paraId="546A26C3" w14:textId="77777777" w:rsidR="005A17CE" w:rsidRDefault="00D21FFE" w:rsidP="00C72437">
            <w:pPr>
              <w:widowControl w:val="0"/>
              <w:spacing w:line="240" w:lineRule="auto"/>
              <w:jc w:val="right"/>
            </w:pPr>
            <w:r>
              <w:t>152 (100,00 %)</w:t>
            </w:r>
          </w:p>
        </w:tc>
      </w:tr>
    </w:tbl>
    <w:p w14:paraId="3BA5F52A" w14:textId="77777777" w:rsidR="005A17CE" w:rsidRDefault="005A17CE">
      <w:pPr>
        <w:jc w:val="both"/>
      </w:pPr>
    </w:p>
    <w:p w14:paraId="68BB0D25" w14:textId="77777777" w:rsidR="005A17CE" w:rsidRDefault="005A17CE">
      <w:pPr>
        <w:jc w:val="both"/>
      </w:pPr>
    </w:p>
    <w:p w14:paraId="6AF429D1" w14:textId="77777777" w:rsidR="005A17CE" w:rsidRPr="00C72437" w:rsidRDefault="00D21FFE">
      <w:pPr>
        <w:jc w:val="both"/>
      </w:pPr>
      <w:r w:rsidRPr="00C72437">
        <w:rPr>
          <w:rFonts w:ascii="Trebuchet MS" w:hAnsi="Trebuchet MS"/>
          <w:b/>
          <w:color w:val="666666"/>
          <w:sz w:val="24"/>
        </w:rPr>
        <w:t>Berliner Erklärung über den offenen Zugang zu wissenschaftlichem Wissen</w:t>
      </w:r>
    </w:p>
    <w:p w14:paraId="33F52DEA" w14:textId="77777777" w:rsidR="005A17CE" w:rsidRDefault="005A17CE">
      <w:pPr>
        <w:jc w:val="both"/>
      </w:pPr>
    </w:p>
    <w:p w14:paraId="5FEF2E91" w14:textId="4AAD8A37" w:rsidR="005A17CE" w:rsidRDefault="00D21FFE">
      <w:pPr>
        <w:jc w:val="both"/>
      </w:pPr>
      <w:r>
        <w:rPr>
          <w:rFonts w:ascii="Helvetica Neue" w:eastAsia="Helvetica Neue" w:hAnsi="Helvetica Neue" w:cs="Helvetica Neue"/>
        </w:rPr>
        <w:t xml:space="preserve">Institutionen, die die Berliner Erklärung (Berlin Declaration on Open Access to Knowledge in the Sciences and the Humanities) unterzeichnet haben, setzen damit ein wichtiges Signal für die Unterstützung des Open-Access-Gedankens. In diesem Kriterium wurde erfasst, ob die für das OAR verantwortliche </w:t>
      </w:r>
      <w:r>
        <w:rPr>
          <w:rFonts w:ascii="Helvetica Neue" w:eastAsia="Helvetica Neue" w:hAnsi="Helvetica Neue" w:cs="Helvetica Neue"/>
        </w:rPr>
        <w:lastRenderedPageBreak/>
        <w:t>Institution (oder bei außeruniversitären Forschungseinrichtungen ihre “Dachorganisation”) am Stichtag 6. Januar 2014 auf der Webseite der Unterzeichner der Berliner Erklärung gelistet war.</w:t>
      </w:r>
      <w:r w:rsidRPr="00C72437">
        <w:rPr>
          <w:rFonts w:ascii="Helvetica Neue" w:hAnsi="Helvetica Neue"/>
        </w:rPr>
        <w:footnoteReference w:id="18"/>
      </w:r>
      <w:r w:rsidR="00BB0CA2">
        <w:rPr>
          <w:rFonts w:ascii="Helvetica Neue" w:eastAsia="Helvetica Neue" w:hAnsi="Helvetica Neue" w:cs="Helvetica Neue"/>
        </w:rPr>
        <w:t xml:space="preserve"> </w:t>
      </w:r>
    </w:p>
    <w:p w14:paraId="75DA523B" w14:textId="77777777" w:rsidR="005A17CE" w:rsidRDefault="005A17CE">
      <w:pPr>
        <w:jc w:val="both"/>
      </w:pPr>
    </w:p>
    <w:p w14:paraId="53918E4E" w14:textId="19546539" w:rsidR="005A17CE" w:rsidRDefault="00D21FFE">
      <w:pPr>
        <w:jc w:val="both"/>
      </w:pPr>
      <w:r>
        <w:rPr>
          <w:rFonts w:ascii="Helvetica Neue" w:eastAsia="Helvetica Neue" w:hAnsi="Helvetica Neue" w:cs="Helvetica Neue"/>
        </w:rPr>
        <w:t>Außeruniversitäre Forschungseinrichtungen und Andere stellen mit über 50 % einen bemerkenswert hohen Anteil derjenigen Institutionen, die die Berliner Erklärung unterzeichnet haben. Das liegt darin begründet, dass beispielsweise mehrere Einrichtungen der Helmholtz-Gemeinschaft oder Leibniz-Gemeinschaft, die beide als Dachorganisationen die Berlin Erklärung unterzeichnet haben, OAR betreiben (siehe Tabelle 8). Im Vergleich dazu haben 24 % der Universitäten und 11 % der Fachhochschulen, die ein OAR betreiben, die Berliner Erklärung unterzeichnet. Diese relativ geringe Zahl ist angesichts des bereits vor über einem Jahr begangenen zehnjährigen Jubiläums der Berliner Erklärung</w:t>
      </w:r>
      <w:r w:rsidR="00C72437">
        <w:rPr>
          <w:rFonts w:ascii="Helvetica Neue" w:eastAsia="Helvetica Neue" w:hAnsi="Helvetica Neue" w:cs="Helvetica Neue"/>
        </w:rPr>
        <w:t xml:space="preserve"> bemerkenswert</w:t>
      </w:r>
      <w:r>
        <w:rPr>
          <w:rFonts w:ascii="Helvetica Neue" w:eastAsia="Helvetica Neue" w:hAnsi="Helvetica Neue" w:cs="Helvetica Neue"/>
        </w:rPr>
        <w:t>. Der niedrige Wert von 11 % unterstützt die Annahme, dass das Thema Open Access an Fachhochschulen bislang noch keinen hohen Stellenwert besitzt.</w:t>
      </w:r>
    </w:p>
    <w:p w14:paraId="120D1D55" w14:textId="77777777" w:rsidR="005A17CE" w:rsidRDefault="005A17CE"/>
    <w:p w14:paraId="1C2AF4F0" w14:textId="77777777" w:rsidR="005A17CE" w:rsidRPr="00C72437" w:rsidRDefault="00D21FFE">
      <w:pPr>
        <w:jc w:val="both"/>
      </w:pPr>
      <w:r>
        <w:rPr>
          <w:rFonts w:ascii="Helvetica Neue" w:eastAsia="Helvetica Neue" w:hAnsi="Helvetica Neue" w:cs="Helvetica Neue"/>
          <w:b/>
        </w:rPr>
        <w:t>Tabelle 8 (Berlin-Declaration-Unterzeichner nach betreibenden Institutionen)</w:t>
      </w:r>
    </w:p>
    <w:tbl>
      <w:tblPr>
        <w:tblW w:w="902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1806"/>
        <w:gridCol w:w="1805"/>
        <w:gridCol w:w="1805"/>
        <w:gridCol w:w="1805"/>
        <w:gridCol w:w="1805"/>
      </w:tblGrid>
      <w:tr w:rsidR="005A17CE" w14:paraId="091E0906" w14:textId="77777777" w:rsidTr="00C72437">
        <w:tc>
          <w:tcPr>
            <w:tcW w:w="1805" w:type="dxa"/>
            <w:tcMar>
              <w:top w:w="40" w:type="dxa"/>
              <w:left w:w="40" w:type="dxa"/>
              <w:bottom w:w="40" w:type="dxa"/>
              <w:right w:w="40" w:type="dxa"/>
            </w:tcMar>
            <w:vAlign w:val="bottom"/>
          </w:tcPr>
          <w:p w14:paraId="3703515D" w14:textId="77777777" w:rsidR="005A17CE" w:rsidRPr="00C72437" w:rsidRDefault="00D21FFE" w:rsidP="00E47CA6">
            <w:pPr>
              <w:widowControl w:val="0"/>
              <w:spacing w:line="240" w:lineRule="auto"/>
            </w:pPr>
            <w:r>
              <w:rPr>
                <w:b/>
                <w:sz w:val="20"/>
              </w:rPr>
              <w:t>(n=152)</w:t>
            </w:r>
          </w:p>
        </w:tc>
        <w:tc>
          <w:tcPr>
            <w:tcW w:w="1805" w:type="dxa"/>
            <w:tcMar>
              <w:top w:w="40" w:type="dxa"/>
              <w:left w:w="40" w:type="dxa"/>
              <w:bottom w:w="40" w:type="dxa"/>
              <w:right w:w="40" w:type="dxa"/>
            </w:tcMar>
            <w:vAlign w:val="bottom"/>
          </w:tcPr>
          <w:p w14:paraId="15551CC7" w14:textId="77777777" w:rsidR="005A17CE" w:rsidRPr="00C72437" w:rsidRDefault="00D21FFE" w:rsidP="00C72437">
            <w:pPr>
              <w:spacing w:line="240" w:lineRule="auto"/>
              <w:jc w:val="right"/>
            </w:pPr>
            <w:r>
              <w:rPr>
                <w:b/>
                <w:sz w:val="20"/>
              </w:rPr>
              <w:t>Anzahl der OAR betrieben an Universitäten, Total (Prozent an Repositorientyp)</w:t>
            </w:r>
          </w:p>
        </w:tc>
        <w:tc>
          <w:tcPr>
            <w:tcW w:w="1805" w:type="dxa"/>
            <w:tcMar>
              <w:top w:w="40" w:type="dxa"/>
              <w:left w:w="40" w:type="dxa"/>
              <w:bottom w:w="40" w:type="dxa"/>
              <w:right w:w="40" w:type="dxa"/>
            </w:tcMar>
            <w:vAlign w:val="bottom"/>
          </w:tcPr>
          <w:p w14:paraId="7D3DB669" w14:textId="77777777" w:rsidR="005A17CE" w:rsidRPr="00C72437" w:rsidRDefault="00D21FFE" w:rsidP="00C72437">
            <w:pPr>
              <w:spacing w:line="240" w:lineRule="auto"/>
              <w:jc w:val="right"/>
            </w:pPr>
            <w:r>
              <w:rPr>
                <w:b/>
                <w:sz w:val="20"/>
              </w:rPr>
              <w:t>Anzahl der OAR betrieben an Fachhochschulen, Total (Prozent an Repositorientyp)</w:t>
            </w:r>
          </w:p>
        </w:tc>
        <w:tc>
          <w:tcPr>
            <w:tcW w:w="1805" w:type="dxa"/>
            <w:tcMar>
              <w:top w:w="40" w:type="dxa"/>
              <w:left w:w="40" w:type="dxa"/>
              <w:bottom w:w="40" w:type="dxa"/>
              <w:right w:w="40" w:type="dxa"/>
            </w:tcMar>
            <w:vAlign w:val="bottom"/>
          </w:tcPr>
          <w:p w14:paraId="438BDC38" w14:textId="77777777" w:rsidR="005A17CE" w:rsidRPr="00C72437" w:rsidRDefault="00D21FFE" w:rsidP="00C72437">
            <w:pPr>
              <w:spacing w:line="240" w:lineRule="auto"/>
              <w:jc w:val="right"/>
            </w:pPr>
            <w:r>
              <w:rPr>
                <w:b/>
                <w:sz w:val="20"/>
              </w:rPr>
              <w:t>Anzahl der OAR betrieben an Außeruniversitären Forschungseinrichtungen und Anderen, Total (Prozent an Repositorientyp)</w:t>
            </w:r>
          </w:p>
        </w:tc>
        <w:tc>
          <w:tcPr>
            <w:tcW w:w="1805" w:type="dxa"/>
            <w:tcMar>
              <w:top w:w="40" w:type="dxa"/>
              <w:left w:w="40" w:type="dxa"/>
              <w:bottom w:w="40" w:type="dxa"/>
              <w:right w:w="40" w:type="dxa"/>
            </w:tcMar>
            <w:vAlign w:val="bottom"/>
          </w:tcPr>
          <w:p w14:paraId="678C36C5" w14:textId="77777777" w:rsidR="005A17CE" w:rsidRPr="00C72437" w:rsidRDefault="00D21FFE" w:rsidP="00C72437">
            <w:pPr>
              <w:spacing w:line="240" w:lineRule="auto"/>
              <w:jc w:val="right"/>
            </w:pPr>
            <w:r>
              <w:rPr>
                <w:b/>
                <w:sz w:val="20"/>
              </w:rPr>
              <w:t>Gesamtanzahl der OAR, deren Betreiber die Berlin Declaration unterzeichnet haben, Total (Prozent an BRD)</w:t>
            </w:r>
          </w:p>
        </w:tc>
      </w:tr>
      <w:tr w:rsidR="005A17CE" w14:paraId="6884093B" w14:textId="77777777" w:rsidTr="00C72437">
        <w:tc>
          <w:tcPr>
            <w:tcW w:w="1805" w:type="dxa"/>
            <w:tcMar>
              <w:top w:w="40" w:type="dxa"/>
              <w:left w:w="40" w:type="dxa"/>
              <w:bottom w:w="40" w:type="dxa"/>
              <w:right w:w="40" w:type="dxa"/>
            </w:tcMar>
            <w:vAlign w:val="bottom"/>
          </w:tcPr>
          <w:p w14:paraId="604CDC68" w14:textId="77777777" w:rsidR="005A17CE" w:rsidRDefault="00D21FFE" w:rsidP="00E47CA6">
            <w:pPr>
              <w:widowControl w:val="0"/>
              <w:spacing w:line="240" w:lineRule="auto"/>
              <w:jc w:val="right"/>
            </w:pPr>
            <w:r>
              <w:t>OAR, deren Betreiber die Berlin Declaration nicht unterzeichnet haben</w:t>
            </w:r>
          </w:p>
        </w:tc>
        <w:tc>
          <w:tcPr>
            <w:tcW w:w="1805" w:type="dxa"/>
            <w:tcMar>
              <w:top w:w="40" w:type="dxa"/>
              <w:left w:w="40" w:type="dxa"/>
              <w:bottom w:w="40" w:type="dxa"/>
              <w:right w:w="40" w:type="dxa"/>
            </w:tcMar>
            <w:vAlign w:val="bottom"/>
          </w:tcPr>
          <w:p w14:paraId="7FB06894" w14:textId="77777777" w:rsidR="005A17CE" w:rsidRDefault="00D21FFE" w:rsidP="00C72437">
            <w:pPr>
              <w:widowControl w:val="0"/>
              <w:spacing w:line="240" w:lineRule="auto"/>
              <w:jc w:val="right"/>
            </w:pPr>
            <w:r>
              <w:t>65 (75,58 %)</w:t>
            </w:r>
          </w:p>
        </w:tc>
        <w:tc>
          <w:tcPr>
            <w:tcW w:w="1805" w:type="dxa"/>
            <w:tcMar>
              <w:top w:w="40" w:type="dxa"/>
              <w:left w:w="40" w:type="dxa"/>
              <w:bottom w:w="40" w:type="dxa"/>
              <w:right w:w="40" w:type="dxa"/>
            </w:tcMar>
            <w:vAlign w:val="bottom"/>
          </w:tcPr>
          <w:p w14:paraId="2DA8FE10" w14:textId="77777777" w:rsidR="005A17CE" w:rsidRDefault="00D21FFE" w:rsidP="00C72437">
            <w:pPr>
              <w:widowControl w:val="0"/>
              <w:spacing w:line="240" w:lineRule="auto"/>
              <w:jc w:val="right"/>
            </w:pPr>
            <w:r>
              <w:t>24 (88,89 %)</w:t>
            </w:r>
          </w:p>
        </w:tc>
        <w:tc>
          <w:tcPr>
            <w:tcW w:w="1805" w:type="dxa"/>
            <w:tcMar>
              <w:top w:w="40" w:type="dxa"/>
              <w:left w:w="40" w:type="dxa"/>
              <w:bottom w:w="40" w:type="dxa"/>
              <w:right w:w="40" w:type="dxa"/>
            </w:tcMar>
            <w:vAlign w:val="bottom"/>
          </w:tcPr>
          <w:p w14:paraId="47276EE0" w14:textId="77777777" w:rsidR="005A17CE" w:rsidRDefault="00D21FFE" w:rsidP="00C72437">
            <w:pPr>
              <w:widowControl w:val="0"/>
              <w:spacing w:line="240" w:lineRule="auto"/>
              <w:jc w:val="right"/>
            </w:pPr>
            <w:r>
              <w:t>17 (43,59 %)</w:t>
            </w:r>
          </w:p>
        </w:tc>
        <w:tc>
          <w:tcPr>
            <w:tcW w:w="1805" w:type="dxa"/>
            <w:tcMar>
              <w:top w:w="40" w:type="dxa"/>
              <w:left w:w="40" w:type="dxa"/>
              <w:bottom w:w="40" w:type="dxa"/>
              <w:right w:w="40" w:type="dxa"/>
            </w:tcMar>
            <w:vAlign w:val="bottom"/>
          </w:tcPr>
          <w:p w14:paraId="4ED550A7" w14:textId="77777777" w:rsidR="005A17CE" w:rsidRDefault="00D21FFE" w:rsidP="00C72437">
            <w:pPr>
              <w:widowControl w:val="0"/>
              <w:spacing w:line="240" w:lineRule="auto"/>
              <w:jc w:val="right"/>
            </w:pPr>
            <w:r>
              <w:t>106 (69,74 %)</w:t>
            </w:r>
          </w:p>
        </w:tc>
      </w:tr>
      <w:tr w:rsidR="005A17CE" w14:paraId="24F5ABB2" w14:textId="77777777" w:rsidTr="00C72437">
        <w:tc>
          <w:tcPr>
            <w:tcW w:w="1805" w:type="dxa"/>
            <w:tcMar>
              <w:top w:w="40" w:type="dxa"/>
              <w:left w:w="40" w:type="dxa"/>
              <w:bottom w:w="40" w:type="dxa"/>
              <w:right w:w="40" w:type="dxa"/>
            </w:tcMar>
            <w:vAlign w:val="bottom"/>
          </w:tcPr>
          <w:p w14:paraId="2C631239" w14:textId="77777777" w:rsidR="005A17CE" w:rsidRDefault="00D21FFE" w:rsidP="00E47CA6">
            <w:pPr>
              <w:widowControl w:val="0"/>
              <w:spacing w:line="240" w:lineRule="auto"/>
              <w:jc w:val="right"/>
            </w:pPr>
            <w:r>
              <w:t>OAR deren Betreiber die Berlin Declaration unterzeichnet haben</w:t>
            </w:r>
          </w:p>
        </w:tc>
        <w:tc>
          <w:tcPr>
            <w:tcW w:w="1805" w:type="dxa"/>
            <w:tcMar>
              <w:top w:w="40" w:type="dxa"/>
              <w:left w:w="40" w:type="dxa"/>
              <w:bottom w:w="40" w:type="dxa"/>
              <w:right w:w="40" w:type="dxa"/>
            </w:tcMar>
            <w:vAlign w:val="bottom"/>
          </w:tcPr>
          <w:p w14:paraId="6FBEDCDC" w14:textId="77777777" w:rsidR="005A17CE" w:rsidRDefault="00D21FFE" w:rsidP="00C72437">
            <w:pPr>
              <w:widowControl w:val="0"/>
              <w:spacing w:line="240" w:lineRule="auto"/>
              <w:jc w:val="right"/>
            </w:pPr>
            <w:r>
              <w:t>21 (24,42 %)</w:t>
            </w:r>
          </w:p>
        </w:tc>
        <w:tc>
          <w:tcPr>
            <w:tcW w:w="1805" w:type="dxa"/>
            <w:tcMar>
              <w:top w:w="40" w:type="dxa"/>
              <w:left w:w="40" w:type="dxa"/>
              <w:bottom w:w="40" w:type="dxa"/>
              <w:right w:w="40" w:type="dxa"/>
            </w:tcMar>
            <w:vAlign w:val="bottom"/>
          </w:tcPr>
          <w:p w14:paraId="082BE10E" w14:textId="77777777" w:rsidR="005A17CE" w:rsidRDefault="00D21FFE" w:rsidP="00C72437">
            <w:pPr>
              <w:widowControl w:val="0"/>
              <w:spacing w:line="240" w:lineRule="auto"/>
              <w:jc w:val="right"/>
            </w:pPr>
            <w:r>
              <w:t>3 (11,11 %)</w:t>
            </w:r>
          </w:p>
        </w:tc>
        <w:tc>
          <w:tcPr>
            <w:tcW w:w="1805" w:type="dxa"/>
            <w:tcMar>
              <w:top w:w="40" w:type="dxa"/>
              <w:left w:w="40" w:type="dxa"/>
              <w:bottom w:w="40" w:type="dxa"/>
              <w:right w:w="40" w:type="dxa"/>
            </w:tcMar>
            <w:vAlign w:val="bottom"/>
          </w:tcPr>
          <w:p w14:paraId="166596C0" w14:textId="77777777" w:rsidR="005A17CE" w:rsidRDefault="00D21FFE" w:rsidP="00C72437">
            <w:pPr>
              <w:widowControl w:val="0"/>
              <w:spacing w:line="240" w:lineRule="auto"/>
              <w:jc w:val="right"/>
            </w:pPr>
            <w:r>
              <w:t>22 (56,41 %)</w:t>
            </w:r>
          </w:p>
        </w:tc>
        <w:tc>
          <w:tcPr>
            <w:tcW w:w="1805" w:type="dxa"/>
            <w:tcMar>
              <w:top w:w="40" w:type="dxa"/>
              <w:left w:w="40" w:type="dxa"/>
              <w:bottom w:w="40" w:type="dxa"/>
              <w:right w:w="40" w:type="dxa"/>
            </w:tcMar>
            <w:vAlign w:val="bottom"/>
          </w:tcPr>
          <w:p w14:paraId="52551439" w14:textId="5AD4E468" w:rsidR="005A17CE" w:rsidRDefault="00D21FFE" w:rsidP="00C72437">
            <w:pPr>
              <w:widowControl w:val="0"/>
              <w:spacing w:line="240" w:lineRule="auto"/>
              <w:jc w:val="right"/>
            </w:pPr>
            <w:r>
              <w:t>46 (30,26 %)</w:t>
            </w:r>
            <w:r w:rsidR="00BB0CA2">
              <w:t xml:space="preserve"> </w:t>
            </w:r>
          </w:p>
        </w:tc>
      </w:tr>
      <w:tr w:rsidR="005A17CE" w14:paraId="3632201C" w14:textId="77777777" w:rsidTr="00C72437">
        <w:tc>
          <w:tcPr>
            <w:tcW w:w="1805" w:type="dxa"/>
            <w:tcMar>
              <w:top w:w="40" w:type="dxa"/>
              <w:left w:w="40" w:type="dxa"/>
              <w:bottom w:w="40" w:type="dxa"/>
              <w:right w:w="40" w:type="dxa"/>
            </w:tcMar>
            <w:vAlign w:val="bottom"/>
          </w:tcPr>
          <w:p w14:paraId="7FC88F19" w14:textId="77777777" w:rsidR="005A17CE" w:rsidRPr="00C72437" w:rsidRDefault="00D21FFE" w:rsidP="00E47CA6">
            <w:pPr>
              <w:widowControl w:val="0"/>
              <w:spacing w:line="240" w:lineRule="auto"/>
            </w:pPr>
            <w:r>
              <w:rPr>
                <w:b/>
              </w:rPr>
              <w:t>Total</w:t>
            </w:r>
          </w:p>
        </w:tc>
        <w:tc>
          <w:tcPr>
            <w:tcW w:w="1805" w:type="dxa"/>
            <w:tcMar>
              <w:top w:w="40" w:type="dxa"/>
              <w:left w:w="40" w:type="dxa"/>
              <w:bottom w:w="40" w:type="dxa"/>
              <w:right w:w="40" w:type="dxa"/>
            </w:tcMar>
            <w:vAlign w:val="bottom"/>
          </w:tcPr>
          <w:p w14:paraId="4C269E34" w14:textId="77777777" w:rsidR="005A17CE" w:rsidRPr="00C72437" w:rsidRDefault="00D21FFE" w:rsidP="00C72437">
            <w:pPr>
              <w:widowControl w:val="0"/>
              <w:spacing w:line="240" w:lineRule="auto"/>
              <w:jc w:val="right"/>
            </w:pPr>
            <w:r>
              <w:rPr>
                <w:b/>
              </w:rPr>
              <w:t>86 (100,00 %)</w:t>
            </w:r>
          </w:p>
        </w:tc>
        <w:tc>
          <w:tcPr>
            <w:tcW w:w="1805" w:type="dxa"/>
            <w:tcMar>
              <w:top w:w="40" w:type="dxa"/>
              <w:left w:w="40" w:type="dxa"/>
              <w:bottom w:w="40" w:type="dxa"/>
              <w:right w:w="40" w:type="dxa"/>
            </w:tcMar>
            <w:vAlign w:val="bottom"/>
          </w:tcPr>
          <w:p w14:paraId="00900EEE" w14:textId="77777777" w:rsidR="005A17CE" w:rsidRPr="00C72437" w:rsidRDefault="00D21FFE" w:rsidP="00C72437">
            <w:pPr>
              <w:widowControl w:val="0"/>
              <w:spacing w:line="240" w:lineRule="auto"/>
              <w:jc w:val="right"/>
            </w:pPr>
            <w:r>
              <w:rPr>
                <w:b/>
              </w:rPr>
              <w:t>27 (100,00 %)</w:t>
            </w:r>
          </w:p>
        </w:tc>
        <w:tc>
          <w:tcPr>
            <w:tcW w:w="1805" w:type="dxa"/>
            <w:tcMar>
              <w:top w:w="40" w:type="dxa"/>
              <w:left w:w="40" w:type="dxa"/>
              <w:bottom w:w="40" w:type="dxa"/>
              <w:right w:w="40" w:type="dxa"/>
            </w:tcMar>
            <w:vAlign w:val="bottom"/>
          </w:tcPr>
          <w:p w14:paraId="3199725D" w14:textId="77777777" w:rsidR="005A17CE" w:rsidRPr="00C72437" w:rsidRDefault="00D21FFE" w:rsidP="00C72437">
            <w:pPr>
              <w:widowControl w:val="0"/>
              <w:spacing w:line="240" w:lineRule="auto"/>
              <w:jc w:val="right"/>
            </w:pPr>
            <w:r>
              <w:rPr>
                <w:b/>
              </w:rPr>
              <w:t>39 (100,00 %)</w:t>
            </w:r>
          </w:p>
        </w:tc>
        <w:tc>
          <w:tcPr>
            <w:tcW w:w="1805" w:type="dxa"/>
            <w:tcMar>
              <w:top w:w="40" w:type="dxa"/>
              <w:left w:w="40" w:type="dxa"/>
              <w:bottom w:w="40" w:type="dxa"/>
              <w:right w:w="40" w:type="dxa"/>
            </w:tcMar>
            <w:vAlign w:val="bottom"/>
          </w:tcPr>
          <w:p w14:paraId="66C53293" w14:textId="77777777" w:rsidR="005A17CE" w:rsidRPr="00C72437" w:rsidRDefault="00D21FFE" w:rsidP="00C72437">
            <w:pPr>
              <w:widowControl w:val="0"/>
              <w:spacing w:line="240" w:lineRule="auto"/>
              <w:jc w:val="right"/>
            </w:pPr>
            <w:r>
              <w:rPr>
                <w:b/>
              </w:rPr>
              <w:t>152 (100,00 %)</w:t>
            </w:r>
          </w:p>
        </w:tc>
      </w:tr>
    </w:tbl>
    <w:p w14:paraId="3C06A724" w14:textId="77777777" w:rsidR="005A17CE" w:rsidRDefault="005A17CE"/>
    <w:p w14:paraId="6646E92A" w14:textId="77777777" w:rsidR="005A17CE" w:rsidRDefault="00D21FFE" w:rsidP="00E47CA6">
      <w:pPr>
        <w:pStyle w:val="berschrift3"/>
        <w:contextualSpacing w:val="0"/>
      </w:pPr>
      <w:bookmarkStart w:id="12" w:name="h.7bpzo2bzbsrc"/>
      <w:bookmarkEnd w:id="12"/>
      <w:r>
        <w:t>Startdatum</w:t>
      </w:r>
    </w:p>
    <w:p w14:paraId="496BEF56" w14:textId="77777777" w:rsidR="005A17CE" w:rsidRDefault="005A17CE"/>
    <w:p w14:paraId="4CC9927A" w14:textId="3961C8A9" w:rsidR="005A17CE" w:rsidRDefault="00D21FFE">
      <w:pPr>
        <w:jc w:val="both"/>
      </w:pPr>
      <w:r>
        <w:t>Da über den historischen Verlauf des grünen Wegs in Deutschland bis dato wenig Überblickswissen bekannt ist, sollte im Rahmen des 2014 Census erfasst werden,</w:t>
      </w:r>
      <w:r w:rsidR="00F50EA0">
        <w:t xml:space="preserve"> </w:t>
      </w:r>
      <w:r>
        <w:t>wann die an der Umfrage teilnehmenden OAR “online gegangen” sind. Die konkrete Frage lautete: “Seit welchem Jahr ist Ihr Repositorium über das WWW zugänglich? Im Falle von Vorgängerversionen wird die Jahreszahl der ersten Implementierung des Repositoriums erfasst.”</w:t>
      </w:r>
    </w:p>
    <w:p w14:paraId="6C054329" w14:textId="77777777" w:rsidR="005A17CE" w:rsidRDefault="005A17CE">
      <w:pPr>
        <w:jc w:val="both"/>
      </w:pPr>
    </w:p>
    <w:p w14:paraId="20EE6ADE" w14:textId="5A66A9FE" w:rsidR="005A17CE" w:rsidRDefault="00D21FFE">
      <w:pPr>
        <w:jc w:val="both"/>
      </w:pPr>
      <w:r>
        <w:t>Beim Vergleich des Medians des angegeben Startdatums aller OAR geordnet nach Betreibertypen zeigt sich, dass Universitäten früher als Fachhochschulen und außeruniversitäre For</w:t>
      </w:r>
      <w:r>
        <w:lastRenderedPageBreak/>
        <w:t>schungseinrichtungen und Andere mit ihren OAR gestartet sind (siehe Tabelle 9). Diese Vorreiterrolle der Universitäten manifestiert sich vor allem in den Gründungsjahren um die Jahrtausendwende. Von 1998 bis 2002 gingen mit 23 der 51 mehr als die Hälfte der universitären OAR online, die an der Umfrage teilnahmen.</w:t>
      </w:r>
      <w:r w:rsidR="001B30CE">
        <w:t xml:space="preserve"> </w:t>
      </w:r>
      <w:r>
        <w:t xml:space="preserve">Dem gegenüber stehen drei OAR von Fachhochschulen sowie außeruniversitären Forschungseinrichtungen und Anderen, die zwischen 1997 und 2002 starteten. Dieses Ergebnis vermittelt den Eindruck, dass es Universitäten waren, die den grünen Pfad in Deutschland zuerst einschlugen und sowohl für Fachhochschulen </w:t>
      </w:r>
      <w:r w:rsidR="00FB67AE">
        <w:t>als</w:t>
      </w:r>
      <w:r>
        <w:t xml:space="preserve"> auch für außeruniversitäre Forschungseinrichtungen ebneten.</w:t>
      </w:r>
      <w:r w:rsidR="001B30CE">
        <w:t xml:space="preserve"> </w:t>
      </w:r>
      <w:r w:rsidR="001B30CE">
        <w:t>Zu ergänzen ist an dieser Stelle, dass die Universitäten bereits Ende der 1990er Jahre mit dem Aufbau von Dissertationsservern begonnen haben, die dann zu OAR weiterentwickelt wurden</w:t>
      </w:r>
      <w:r w:rsidR="001B30CE">
        <w:t xml:space="preserve">. </w:t>
      </w:r>
    </w:p>
    <w:p w14:paraId="75867A92" w14:textId="77777777" w:rsidR="005A17CE" w:rsidRDefault="005A17CE"/>
    <w:p w14:paraId="43192E85" w14:textId="77777777" w:rsidR="005A17CE" w:rsidRPr="00C72437" w:rsidRDefault="00D21FFE">
      <w:pPr>
        <w:jc w:val="both"/>
      </w:pPr>
      <w:r>
        <w:rPr>
          <w:rFonts w:ascii="Helvetica Neue" w:eastAsia="Helvetica Neue" w:hAnsi="Helvetica Neue" w:cs="Helvetica Neue"/>
          <w:b/>
        </w:rPr>
        <w:t>Tabelle 9 (Median Startdatum nach betreibenden Institutionen)</w:t>
      </w:r>
    </w:p>
    <w:tbl>
      <w:tblPr>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256"/>
        <w:gridCol w:w="2256"/>
        <w:gridCol w:w="2257"/>
        <w:gridCol w:w="2257"/>
      </w:tblGrid>
      <w:tr w:rsidR="005A17CE" w14:paraId="3E4E562B" w14:textId="77777777" w:rsidTr="00C72437">
        <w:tc>
          <w:tcPr>
            <w:tcW w:w="2256" w:type="dxa"/>
            <w:tcMar>
              <w:top w:w="100" w:type="dxa"/>
              <w:left w:w="100" w:type="dxa"/>
              <w:bottom w:w="100" w:type="dxa"/>
              <w:right w:w="100" w:type="dxa"/>
            </w:tcMar>
          </w:tcPr>
          <w:p w14:paraId="381A8B58" w14:textId="77777777" w:rsidR="005A17CE" w:rsidRDefault="00D21FFE" w:rsidP="00E47CA6">
            <w:pPr>
              <w:widowControl w:val="0"/>
              <w:spacing w:line="240" w:lineRule="auto"/>
            </w:pPr>
            <w:r>
              <w:t>(n=80)*</w:t>
            </w:r>
          </w:p>
        </w:tc>
        <w:tc>
          <w:tcPr>
            <w:tcW w:w="2256" w:type="dxa"/>
            <w:tcMar>
              <w:top w:w="40" w:type="dxa"/>
              <w:left w:w="40" w:type="dxa"/>
              <w:bottom w:w="40" w:type="dxa"/>
              <w:right w:w="40" w:type="dxa"/>
            </w:tcMar>
            <w:vAlign w:val="bottom"/>
          </w:tcPr>
          <w:p w14:paraId="6D607F70" w14:textId="77777777" w:rsidR="005A17CE" w:rsidRPr="00C72437" w:rsidRDefault="00D21FFE" w:rsidP="00C72437">
            <w:pPr>
              <w:spacing w:line="240" w:lineRule="auto"/>
              <w:jc w:val="right"/>
            </w:pPr>
            <w:r>
              <w:rPr>
                <w:b/>
                <w:sz w:val="20"/>
              </w:rPr>
              <w:t>Median Startdatum von OAR betrieben an Universitäten</w:t>
            </w:r>
          </w:p>
        </w:tc>
        <w:tc>
          <w:tcPr>
            <w:tcW w:w="2256" w:type="dxa"/>
            <w:tcMar>
              <w:top w:w="40" w:type="dxa"/>
              <w:left w:w="40" w:type="dxa"/>
              <w:bottom w:w="40" w:type="dxa"/>
              <w:right w:w="40" w:type="dxa"/>
            </w:tcMar>
            <w:vAlign w:val="bottom"/>
          </w:tcPr>
          <w:p w14:paraId="2A05EF0A" w14:textId="77777777" w:rsidR="005A17CE" w:rsidRPr="00C72437" w:rsidRDefault="00D21FFE" w:rsidP="00C72437">
            <w:pPr>
              <w:spacing w:line="240" w:lineRule="auto"/>
              <w:jc w:val="right"/>
            </w:pPr>
            <w:r>
              <w:rPr>
                <w:b/>
                <w:sz w:val="20"/>
              </w:rPr>
              <w:t>Median Startdatum von OAR betrieben an Fachhochschulen</w:t>
            </w:r>
          </w:p>
        </w:tc>
        <w:tc>
          <w:tcPr>
            <w:tcW w:w="2256" w:type="dxa"/>
            <w:tcMar>
              <w:top w:w="40" w:type="dxa"/>
              <w:left w:w="40" w:type="dxa"/>
              <w:bottom w:w="40" w:type="dxa"/>
              <w:right w:w="40" w:type="dxa"/>
            </w:tcMar>
            <w:vAlign w:val="bottom"/>
          </w:tcPr>
          <w:p w14:paraId="40B01625" w14:textId="77777777" w:rsidR="005A17CE" w:rsidRPr="00C72437" w:rsidRDefault="00D21FFE" w:rsidP="00C72437">
            <w:pPr>
              <w:spacing w:line="240" w:lineRule="auto"/>
              <w:jc w:val="right"/>
            </w:pPr>
            <w:r>
              <w:rPr>
                <w:b/>
                <w:sz w:val="20"/>
              </w:rPr>
              <w:t>Median Startdatum von OAR betrieben an Außeruniversitären Forschungseinrichtungen und Anderen</w:t>
            </w:r>
          </w:p>
        </w:tc>
      </w:tr>
      <w:tr w:rsidR="005A17CE" w14:paraId="61DF0208" w14:textId="77777777" w:rsidTr="00C72437">
        <w:tc>
          <w:tcPr>
            <w:tcW w:w="2256" w:type="dxa"/>
            <w:tcMar>
              <w:top w:w="100" w:type="dxa"/>
              <w:left w:w="100" w:type="dxa"/>
              <w:bottom w:w="100" w:type="dxa"/>
              <w:right w:w="100" w:type="dxa"/>
            </w:tcMar>
          </w:tcPr>
          <w:p w14:paraId="5E4C8975" w14:textId="77777777" w:rsidR="005A17CE" w:rsidRDefault="00D21FFE" w:rsidP="00E47CA6">
            <w:pPr>
              <w:widowControl w:val="0"/>
              <w:spacing w:line="240" w:lineRule="auto"/>
            </w:pPr>
            <w:r>
              <w:t>Startdatum</w:t>
            </w:r>
          </w:p>
        </w:tc>
        <w:tc>
          <w:tcPr>
            <w:tcW w:w="2256" w:type="dxa"/>
            <w:tcMar>
              <w:top w:w="100" w:type="dxa"/>
              <w:left w:w="100" w:type="dxa"/>
              <w:bottom w:w="100" w:type="dxa"/>
              <w:right w:w="100" w:type="dxa"/>
            </w:tcMar>
          </w:tcPr>
          <w:p w14:paraId="3942458A" w14:textId="77777777" w:rsidR="005A17CE" w:rsidRDefault="00D21FFE" w:rsidP="00C72437">
            <w:pPr>
              <w:widowControl w:val="0"/>
              <w:spacing w:line="240" w:lineRule="auto"/>
              <w:jc w:val="right"/>
            </w:pPr>
            <w:r>
              <w:t>2002 (51)</w:t>
            </w:r>
          </w:p>
        </w:tc>
        <w:tc>
          <w:tcPr>
            <w:tcW w:w="2256" w:type="dxa"/>
            <w:tcMar>
              <w:top w:w="100" w:type="dxa"/>
              <w:left w:w="100" w:type="dxa"/>
              <w:bottom w:w="100" w:type="dxa"/>
              <w:right w:w="100" w:type="dxa"/>
            </w:tcMar>
          </w:tcPr>
          <w:p w14:paraId="3E729886" w14:textId="77777777" w:rsidR="005A17CE" w:rsidRDefault="00D21FFE" w:rsidP="00C72437">
            <w:pPr>
              <w:widowControl w:val="0"/>
              <w:spacing w:line="240" w:lineRule="auto"/>
              <w:jc w:val="right"/>
            </w:pPr>
            <w:r>
              <w:t>2006 (9)</w:t>
            </w:r>
          </w:p>
        </w:tc>
        <w:tc>
          <w:tcPr>
            <w:tcW w:w="2256" w:type="dxa"/>
            <w:tcMar>
              <w:top w:w="100" w:type="dxa"/>
              <w:left w:w="100" w:type="dxa"/>
              <w:bottom w:w="100" w:type="dxa"/>
              <w:right w:w="100" w:type="dxa"/>
            </w:tcMar>
          </w:tcPr>
          <w:p w14:paraId="4D521AE8" w14:textId="77777777" w:rsidR="005A17CE" w:rsidRDefault="00D21FFE" w:rsidP="00C72437">
            <w:pPr>
              <w:widowControl w:val="0"/>
              <w:spacing w:line="240" w:lineRule="auto"/>
              <w:jc w:val="right"/>
            </w:pPr>
            <w:r>
              <w:t>2006 (21)</w:t>
            </w:r>
          </w:p>
        </w:tc>
      </w:tr>
    </w:tbl>
    <w:p w14:paraId="435DDF3F" w14:textId="77777777" w:rsidR="005A17CE" w:rsidRDefault="00D21FFE">
      <w:r>
        <w:t>* Durch einen technischen Fehler wurde bei der Erfassung des Startdatums ein Blank-Wert zugelassen, der in dieser Auswertung nicht berücksichtigt werden kann, weshalb sich die Grundgesamtheit von ursprünglich 81 Umfrageteilnehmern auf 80 reduziert.</w:t>
      </w:r>
    </w:p>
    <w:p w14:paraId="034A54C6" w14:textId="77777777" w:rsidR="005A17CE" w:rsidRDefault="005A17CE"/>
    <w:p w14:paraId="55A2DE16" w14:textId="77777777" w:rsidR="005A17CE" w:rsidRDefault="005A17CE"/>
    <w:p w14:paraId="642EC7A3" w14:textId="77777777" w:rsidR="005A17CE" w:rsidRDefault="00D21FFE" w:rsidP="00E47CA6">
      <w:pPr>
        <w:pStyle w:val="berschrift3"/>
        <w:contextualSpacing w:val="0"/>
      </w:pPr>
      <w:bookmarkStart w:id="13" w:name="h.2hcy1m9sa3nt"/>
      <w:bookmarkEnd w:id="13"/>
      <w:r>
        <w:t>Fazit und Ausblick</w:t>
      </w:r>
    </w:p>
    <w:p w14:paraId="71AD9A4B" w14:textId="77777777" w:rsidR="005A17CE" w:rsidRDefault="005A17CE"/>
    <w:p w14:paraId="2C052689" w14:textId="73CF7B12" w:rsidR="005A17CE" w:rsidRDefault="00D21FFE">
      <w:pPr>
        <w:jc w:val="both"/>
      </w:pPr>
      <w:r>
        <w:t>Der vorliegende Artikel konzentriert sich auf die betreibenden Institutionen von OAR in Deutschland, auch wenn dieser sich ebenso auf Österreich und die Schweiz erstreckte. Die aufgeführten Ergebnisse des Census 2014 spiegeln dabei nur einen kleinen Teil der Erkenntnisse wieder, die aus den Census-Daten gewonnen werden können.</w:t>
      </w:r>
      <w:r w:rsidR="00BB0CA2">
        <w:rPr>
          <w:rFonts w:ascii="Helvetica Neue" w:eastAsia="Helvetica Neue" w:hAnsi="Helvetica Neue" w:cs="Helvetica Neue"/>
        </w:rPr>
        <w:t xml:space="preserve"> </w:t>
      </w:r>
      <w:r w:rsidR="00C72437">
        <w:rPr>
          <w:rFonts w:ascii="Helvetica Neue" w:eastAsia="Helvetica Neue" w:hAnsi="Helvetica Neue" w:cs="Helvetica Neue"/>
        </w:rPr>
        <w:t>Einige dieser Ergebnisse wurden bereits im Rahmen von Konferenzen, auf Postern sowie Grafiken präsentiert.</w:t>
      </w:r>
      <w:r w:rsidR="00674391">
        <w:rPr>
          <w:rStyle w:val="Funotenzeichen"/>
          <w:rFonts w:ascii="Helvetica Neue" w:eastAsia="Helvetica Neue" w:hAnsi="Helvetica Neue" w:cs="Helvetica Neue"/>
        </w:rPr>
        <w:footnoteReference w:id="19"/>
      </w:r>
    </w:p>
    <w:p w14:paraId="5CA40FD6" w14:textId="77777777" w:rsidR="005A17CE" w:rsidRDefault="005A17CE">
      <w:pPr>
        <w:jc w:val="both"/>
      </w:pPr>
    </w:p>
    <w:p w14:paraId="1D007C2E" w14:textId="4C3E8D0D" w:rsidR="005A17CE" w:rsidRDefault="00D21FFE">
      <w:pPr>
        <w:jc w:val="both"/>
      </w:pPr>
      <w:r>
        <w:t>Die Ergebnisse des 2014 Census lassen sich auch in den Gesamtkontext der wissenschaftspolitischen Strategien zu Open Access der Bundesländer einbetten. So lässt sich vermuten, dass es kein Zufall ist, dass Brandenburg in seinem Landeshochschulgesetz “open access” ausdrücklich erwähnt und gleichzeitig 70 % aller Universitäten und Fachhochschulen in Brandenburg ein OAR betreiben.</w:t>
      </w:r>
      <w:r w:rsidRPr="00674391">
        <w:footnoteReference w:id="20"/>
      </w:r>
      <w:r>
        <w:t xml:space="preserve"> Brandenburg stellt damit den bundesweiten Rekord. Die starke Rolle Baden-Württembergs mit zahlreichen OAR und dem großen Anteil an vorgehaltenen items hält in der Gesetzgebung des Landes die Hochschulen dazu an, den Hochschulangehörigen die Zweitveröffentlichung auf Grundlage des Zweitveröffentlichungsrechts zu ermöglichen.</w:t>
      </w:r>
      <w:r w:rsidRPr="00674391">
        <w:footnoteReference w:id="21"/>
      </w:r>
    </w:p>
    <w:p w14:paraId="36A8B8B8" w14:textId="16B6027E" w:rsidR="005A17CE" w:rsidRDefault="00D21FFE">
      <w:r>
        <w:lastRenderedPageBreak/>
        <w:t>Vor dem Hinterg</w:t>
      </w:r>
      <w:r w:rsidR="005F1F95">
        <w:t>r</w:t>
      </w:r>
      <w:r>
        <w:t>und dieser aktuellen Entwicklungen fassen die nachstehenden Lessons learned die für die Betreiber von OAR relevanten Ergebnisse des Cenus 2014 zusammen:</w:t>
      </w:r>
      <w:r w:rsidR="00BB0CA2">
        <w:t xml:space="preserve"> </w:t>
      </w:r>
    </w:p>
    <w:p w14:paraId="01C333AE" w14:textId="77777777" w:rsidR="005A17CE" w:rsidRDefault="005A17CE"/>
    <w:p w14:paraId="38A23C9B" w14:textId="77777777" w:rsidR="005A17CE" w:rsidRDefault="00D21FFE">
      <w:r>
        <w:t>Kernaussagen des 2014 Census in Bezug auf OAR betreibende Institutionen in Deutschland</w:t>
      </w:r>
      <w:r>
        <w:t xml:space="preserve"> sind:</w:t>
      </w:r>
    </w:p>
    <w:p w14:paraId="42FBC819" w14:textId="77777777" w:rsidR="005A17CE" w:rsidRDefault="005A17CE"/>
    <w:p w14:paraId="503843FE" w14:textId="77777777" w:rsidR="005A17CE" w:rsidRDefault="00D21FFE" w:rsidP="00D6774E">
      <w:pPr>
        <w:numPr>
          <w:ilvl w:val="0"/>
          <w:numId w:val="12"/>
        </w:numPr>
        <w:ind w:hanging="359"/>
        <w:contextualSpacing/>
      </w:pPr>
      <w:r>
        <w:t>Universitäten sind die historischen Vorreiter im Aufbau von OAR in Deutschland.</w:t>
      </w:r>
    </w:p>
    <w:p w14:paraId="19954A1B" w14:textId="77777777" w:rsidR="005A17CE" w:rsidRDefault="00D21FFE" w:rsidP="00D6774E">
      <w:pPr>
        <w:numPr>
          <w:ilvl w:val="0"/>
          <w:numId w:val="12"/>
        </w:numPr>
        <w:ind w:hanging="359"/>
        <w:contextualSpacing/>
      </w:pPr>
      <w:r>
        <w:t>Die meisten OAR in Deutschland werden von Universitäten betrieben.</w:t>
      </w:r>
    </w:p>
    <w:p w14:paraId="0F48B7B1" w14:textId="77777777" w:rsidR="005A17CE" w:rsidRDefault="00D21FFE" w:rsidP="00D6774E">
      <w:pPr>
        <w:numPr>
          <w:ilvl w:val="0"/>
          <w:numId w:val="12"/>
        </w:numPr>
        <w:ind w:hanging="359"/>
        <w:contextualSpacing/>
      </w:pPr>
      <w:r>
        <w:t>Gleichzeitig betreiben weniger als die Hälfte aller Universitäten in Deutschland ein OAR.</w:t>
      </w:r>
    </w:p>
    <w:p w14:paraId="73BBB885" w14:textId="77777777" w:rsidR="005A17CE" w:rsidRDefault="00D21FFE" w:rsidP="00D6774E">
      <w:pPr>
        <w:numPr>
          <w:ilvl w:val="0"/>
          <w:numId w:val="12"/>
        </w:numPr>
        <w:ind w:hanging="359"/>
        <w:contextualSpacing/>
      </w:pPr>
      <w:r>
        <w:t>Nur wenige deutsche Fachhochschulen betreiben ein OAR.</w:t>
      </w:r>
    </w:p>
    <w:p w14:paraId="03A2C181" w14:textId="77777777" w:rsidR="005A17CE" w:rsidRDefault="00D21FFE" w:rsidP="00D6774E">
      <w:pPr>
        <w:numPr>
          <w:ilvl w:val="0"/>
          <w:numId w:val="12"/>
        </w:numPr>
        <w:ind w:hanging="359"/>
        <w:contextualSpacing/>
      </w:pPr>
      <w:r>
        <w:t xml:space="preserve">Fast alle items (Open-Access-Publikationen) in Deutschlands OAR werden von Universitäten sowie außeruniversitären Forschungseinrichtungen und Anderen vorgehalten, wobei Baden-Württemberg, Bayern und Nordrhein-Westfalen zusammen mehr als die Hälfte </w:t>
      </w:r>
      <w:r>
        <w:t xml:space="preserve">der items </w:t>
      </w:r>
      <w:r>
        <w:t>stellen.</w:t>
      </w:r>
    </w:p>
    <w:p w14:paraId="15E616A8" w14:textId="77777777" w:rsidR="005A17CE" w:rsidRDefault="00D21FFE" w:rsidP="00D6774E">
      <w:pPr>
        <w:numPr>
          <w:ilvl w:val="0"/>
          <w:numId w:val="12"/>
        </w:numPr>
        <w:ind w:hanging="359"/>
        <w:contextualSpacing/>
      </w:pPr>
      <w:r>
        <w:t>OAR von Fachhochschulen sind hinsichtlich der Anzahl der items deutlich kleiner als OAR von Universitäten und außeruniversitären Forschungseinrichtungen und Anderen.</w:t>
      </w:r>
    </w:p>
    <w:p w14:paraId="36FFE5A0" w14:textId="77777777" w:rsidR="005A17CE" w:rsidRDefault="00D21FFE" w:rsidP="00D6774E">
      <w:pPr>
        <w:numPr>
          <w:ilvl w:val="0"/>
          <w:numId w:val="12"/>
        </w:numPr>
        <w:ind w:hanging="359"/>
        <w:contextualSpacing/>
      </w:pPr>
      <w:r>
        <w:t>Alle fachbezogenen OAR in Deutschland werden an Universitäten sowie außeruniversitären Forschungseinrichtungen und Anderen betrieben.</w:t>
      </w:r>
    </w:p>
    <w:p w14:paraId="1219069E" w14:textId="51DF8976" w:rsidR="005A17CE" w:rsidRDefault="00D21FFE" w:rsidP="00D6774E">
      <w:pPr>
        <w:numPr>
          <w:ilvl w:val="0"/>
          <w:numId w:val="12"/>
        </w:numPr>
        <w:ind w:hanging="359"/>
        <w:contextualSpacing/>
      </w:pPr>
      <w:r>
        <w:t>Mehr als die Hälfte aller OAR in Deutschland werden mit der OAR-Software OPUS betrieben. Bei den zwischen 2012 und 2014 gezählten Software-Migrationen wechselten alle OAR von OPUS zu einer anderen Software-Lösung.</w:t>
      </w:r>
    </w:p>
    <w:p w14:paraId="651F868E" w14:textId="77777777" w:rsidR="005A17CE" w:rsidRDefault="00D21FFE" w:rsidP="00D6774E">
      <w:pPr>
        <w:numPr>
          <w:ilvl w:val="0"/>
          <w:numId w:val="12"/>
        </w:numPr>
        <w:ind w:hanging="359"/>
        <w:contextualSpacing/>
      </w:pPr>
      <w:r>
        <w:t>Ein Drittel aller deutschen OAR besitzt ein DINI-Zertifikat.</w:t>
      </w:r>
    </w:p>
    <w:p w14:paraId="0579E768" w14:textId="77777777" w:rsidR="005A17CE" w:rsidRDefault="00D21FFE" w:rsidP="00D6774E">
      <w:pPr>
        <w:numPr>
          <w:ilvl w:val="0"/>
          <w:numId w:val="12"/>
        </w:numPr>
        <w:ind w:hanging="359"/>
        <w:contextualSpacing/>
      </w:pPr>
      <w:r>
        <w:t>Nach über zehn Jahren Berliner Erklärung haben ein Drittel aller deutschen OAR-Betreiber diese auch unterzeichnet.</w:t>
      </w:r>
    </w:p>
    <w:p w14:paraId="30AF30E3" w14:textId="77777777" w:rsidR="005A17CE" w:rsidRDefault="005A17CE"/>
    <w:p w14:paraId="4BF33F78" w14:textId="77777777" w:rsidR="005A17CE" w:rsidRDefault="005A17CE"/>
    <w:p w14:paraId="4DD6B19D" w14:textId="267ECCE2" w:rsidR="005A17CE" w:rsidRDefault="00D21FFE">
      <w:pPr>
        <w:jc w:val="both"/>
      </w:pPr>
      <w:r>
        <w:t>In Deutschland spielen Open-Access-Repositorien eine wichtige Rolle bei der Umsetzung und Förderung von Open Access. Die Betreiber von OAR müssen beständig auf wissenschaftspolitische Vorgaben, Anforderungen von Wissenschaftler</w:t>
      </w:r>
      <w:r w:rsidR="005F1F95">
        <w:t xml:space="preserve">innen und Wissenschaftlern </w:t>
      </w:r>
      <w:r>
        <w:t xml:space="preserve">sowie technische Neuerungen reagieren. </w:t>
      </w:r>
      <w:r w:rsidR="00D6774E">
        <w:t xml:space="preserve">Auf Grundlage des </w:t>
      </w:r>
      <w:r>
        <w:t>2014 Census können Repositorienbetreiber Strategien zur Weiterentwicklung ihrer Dienste neu ausrichten und an die Bedürfnisse ihrer Institution anpassen. In diesem Sinne stellen die Daten des 2014 Census einen wertvollen Beitrag für die interne Evaluation und Verortung auch auf Landes- und Bundesebene dar, der den Blick auf den grünen Weg freimacht, der noch vor uns liegt.</w:t>
      </w:r>
    </w:p>
    <w:sectPr w:rsidR="005A17CE">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52971" w14:textId="77777777" w:rsidR="009A00A5" w:rsidRDefault="009A00A5" w:rsidP="00E47CA6">
      <w:pPr>
        <w:spacing w:line="240" w:lineRule="auto"/>
      </w:pPr>
      <w:r>
        <w:separator/>
      </w:r>
    </w:p>
  </w:endnote>
  <w:endnote w:type="continuationSeparator" w:id="0">
    <w:p w14:paraId="1A8730A9" w14:textId="77777777" w:rsidR="009A00A5" w:rsidRDefault="009A00A5" w:rsidP="00E47CA6">
      <w:pPr>
        <w:spacing w:line="240" w:lineRule="auto"/>
      </w:pPr>
      <w:r>
        <w:continuationSeparator/>
      </w:r>
    </w:p>
  </w:endnote>
  <w:endnote w:type="continuationNotice" w:id="1">
    <w:p w14:paraId="129BF67A" w14:textId="77777777" w:rsidR="009A00A5" w:rsidRDefault="009A00A5" w:rsidP="00E47C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Helvetica Neue">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228D7" w14:textId="019BE39A" w:rsidR="00674391" w:rsidRDefault="00674391">
    <w:pPr>
      <w:jc w:val="right"/>
    </w:pPr>
    <w:r>
      <w:fldChar w:fldCharType="begin"/>
    </w:r>
    <w:r>
      <w:instrText>PAGE</w:instrText>
    </w:r>
    <w:r>
      <w:fldChar w:fldCharType="separate"/>
    </w:r>
    <w:r w:rsidR="0063634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7850C" w14:textId="77777777" w:rsidR="009A00A5" w:rsidRDefault="009A00A5" w:rsidP="00E47CA6">
      <w:pPr>
        <w:spacing w:line="240" w:lineRule="auto"/>
      </w:pPr>
      <w:r w:rsidRPr="00E47CA6">
        <w:separator/>
      </w:r>
    </w:p>
  </w:footnote>
  <w:footnote w:type="continuationSeparator" w:id="0">
    <w:p w14:paraId="534F537B" w14:textId="77777777" w:rsidR="009A00A5" w:rsidRDefault="009A00A5" w:rsidP="00E47CA6">
      <w:pPr>
        <w:spacing w:line="240" w:lineRule="auto"/>
      </w:pPr>
      <w:r>
        <w:continuationSeparator/>
      </w:r>
    </w:p>
  </w:footnote>
  <w:footnote w:type="continuationNotice" w:id="1">
    <w:p w14:paraId="01A32F02" w14:textId="77777777" w:rsidR="009A00A5" w:rsidRDefault="009A00A5" w:rsidP="00E47CA6">
      <w:pPr>
        <w:spacing w:line="240" w:lineRule="auto"/>
      </w:pPr>
    </w:p>
  </w:footnote>
  <w:footnote w:id="2">
    <w:p w14:paraId="23798AB7" w14:textId="3426AEDC" w:rsidR="00674391" w:rsidRDefault="00674391">
      <w:pPr>
        <w:spacing w:line="324" w:lineRule="auto"/>
        <w:ind w:hanging="439"/>
      </w:pPr>
      <w:r w:rsidRPr="006B1384">
        <w:footnoteRef/>
      </w:r>
      <w:r>
        <w:rPr>
          <w:sz w:val="20"/>
        </w:rPr>
        <w:t xml:space="preserve"> </w:t>
      </w:r>
      <w:r>
        <w:rPr>
          <w:i/>
          <w:sz w:val="20"/>
        </w:rPr>
        <w:t>Gesetz- und Verordnungsblatt für das Land Brandenburg Teil I</w:t>
      </w:r>
      <w:r>
        <w:rPr>
          <w:sz w:val="20"/>
        </w:rPr>
        <w:t>, 2008. ;</w:t>
      </w:r>
    </w:p>
    <w:p w14:paraId="08CB4961" w14:textId="77777777" w:rsidR="00674391" w:rsidRDefault="00674391">
      <w:pPr>
        <w:spacing w:line="324" w:lineRule="auto"/>
        <w:ind w:hanging="439"/>
      </w:pPr>
      <w:r>
        <w:rPr>
          <w:sz w:val="20"/>
        </w:rPr>
        <w:t xml:space="preserve"> </w:t>
      </w:r>
      <w:r>
        <w:rPr>
          <w:i/>
          <w:sz w:val="20"/>
        </w:rPr>
        <w:t>Gesetz über die Hochschulen in Baden-Württemberg</w:t>
      </w:r>
      <w:r>
        <w:rPr>
          <w:sz w:val="20"/>
        </w:rPr>
        <w:t>, 2014.; “Strategie Der Bundesregierung Zum Europäischen Forschungsraum (EFR) - Leitlinien Und Nationale Roadmap,” 2014. http://www.bmbf.de/pubRD/EFR-Strategie_deutsch.pdf.</w:t>
      </w:r>
    </w:p>
    <w:p w14:paraId="71232A69" w14:textId="6F9326B7" w:rsidR="00674391" w:rsidRPr="006B1384" w:rsidRDefault="00674391" w:rsidP="006B1384">
      <w:pPr>
        <w:spacing w:line="240" w:lineRule="auto"/>
      </w:pPr>
    </w:p>
  </w:footnote>
  <w:footnote w:id="3">
    <w:p w14:paraId="3CEEA26A" w14:textId="770F0289" w:rsidR="00674391" w:rsidRDefault="00674391">
      <w:pPr>
        <w:pStyle w:val="Funotentext"/>
      </w:pPr>
      <w:r>
        <w:rPr>
          <w:rStyle w:val="Funotenzeichen"/>
        </w:rPr>
        <w:footnoteRef/>
      </w:r>
      <w:r w:rsidRPr="00A83B67">
        <w:rPr>
          <w:lang w:val="en-US"/>
        </w:rPr>
        <w:t xml:space="preserve"> </w:t>
      </w:r>
      <w:r>
        <w:rPr>
          <w:lang w:val="en-GB"/>
        </w:rPr>
        <w:t xml:space="preserve">Vierkant, Paul. “2012 Census of Open Access Repositories in Germany: Turning Perceived Knowledge Into Sound Understanding.” </w:t>
      </w:r>
      <w:r>
        <w:rPr>
          <w:i/>
        </w:rPr>
        <w:t>D-Lib Magazine</w:t>
      </w:r>
      <w:r>
        <w:t xml:space="preserve"> 19, no. 11/12 (November 2013). doi:10.1045/november2013-vierkant.</w:t>
      </w:r>
    </w:p>
  </w:footnote>
  <w:footnote w:id="4">
    <w:p w14:paraId="19378FCA" w14:textId="77777777" w:rsidR="00674391" w:rsidRDefault="00674391">
      <w:pPr>
        <w:spacing w:line="324" w:lineRule="auto"/>
        <w:ind w:hanging="439"/>
      </w:pPr>
      <w:r>
        <w:rPr>
          <w:vertAlign w:val="superscript"/>
        </w:rPr>
        <w:footnoteRef/>
      </w:r>
      <w:r>
        <w:rPr>
          <w:sz w:val="20"/>
        </w:rPr>
        <w:t xml:space="preserve"> DINI, Arbeitsgruppe Elektronisches Publizieren. “DINI-Zertifikat Für Open-Access-Repositorien Und -Publikationsdienste 2013.” DINI-Schriften 3. Deutsche Initiative für Netzwerkinformation (DINI), 2014. urn:nbn:de:kobv:11-100217162.</w:t>
      </w:r>
    </w:p>
    <w:p w14:paraId="03940A0F" w14:textId="77777777" w:rsidR="00674391" w:rsidRDefault="00674391">
      <w:pPr>
        <w:spacing w:line="240" w:lineRule="auto"/>
      </w:pPr>
      <w:r>
        <w:rPr>
          <w:sz w:val="20"/>
        </w:rPr>
        <w:t xml:space="preserve"> </w:t>
      </w:r>
    </w:p>
  </w:footnote>
  <w:footnote w:id="5">
    <w:p w14:paraId="34DC223A" w14:textId="632EAD6A" w:rsidR="00674391" w:rsidRDefault="00674391">
      <w:pPr>
        <w:spacing w:line="324" w:lineRule="auto"/>
        <w:ind w:hanging="439"/>
      </w:pPr>
      <w:r w:rsidRPr="006E2814">
        <w:footnoteRef/>
      </w:r>
      <w:r>
        <w:rPr>
          <w:sz w:val="20"/>
        </w:rPr>
        <w:t xml:space="preserve"> “Hochschulkompass - Ein Angebot Der Hochschulrektorenkonferenz.” Datenbank. </w:t>
      </w:r>
      <w:r>
        <w:rPr>
          <w:i/>
          <w:sz w:val="20"/>
        </w:rPr>
        <w:t>Hochschulen in Deutschland</w:t>
      </w:r>
      <w:r>
        <w:rPr>
          <w:sz w:val="20"/>
        </w:rPr>
        <w:t>, November 19, 2014. http://www.hochschulkompass.de/hochschulen/hochschulen-in-deutschland-die-hochschulsuche.html.</w:t>
      </w:r>
    </w:p>
    <w:p w14:paraId="048CFD11" w14:textId="10BF9D25" w:rsidR="00674391" w:rsidRPr="006E2814" w:rsidRDefault="00674391" w:rsidP="00D6774E">
      <w:pPr>
        <w:spacing w:line="240" w:lineRule="auto"/>
      </w:pPr>
    </w:p>
  </w:footnote>
  <w:footnote w:id="6">
    <w:p w14:paraId="3C85A3C2" w14:textId="4A358675" w:rsidR="00674391" w:rsidRDefault="00674391">
      <w:pPr>
        <w:pStyle w:val="Funotentext"/>
      </w:pPr>
      <w:r>
        <w:rPr>
          <w:rStyle w:val="Funotenzeichen"/>
        </w:rPr>
        <w:footnoteRef/>
      </w:r>
      <w:r>
        <w:t xml:space="preserve"> </w:t>
      </w:r>
      <w:r w:rsidRPr="006E2814">
        <w:t>http://oanet.cms.hu-berlin.de/validator/pages/validation_dini.xhtml</w:t>
      </w:r>
    </w:p>
  </w:footnote>
  <w:footnote w:id="7">
    <w:p w14:paraId="2FD52EA6" w14:textId="3EA6C866" w:rsidR="00674391" w:rsidRPr="006E2814" w:rsidRDefault="00674391">
      <w:pPr>
        <w:spacing w:line="324" w:lineRule="auto"/>
        <w:ind w:hanging="439"/>
        <w:rPr>
          <w:lang w:val="en-GB"/>
        </w:rPr>
      </w:pPr>
      <w:r w:rsidRPr="006E2814">
        <w:footnoteRef/>
      </w:r>
      <w:r>
        <w:rPr>
          <w:sz w:val="20"/>
        </w:rPr>
        <w:t xml:space="preserve"> “</w:t>
      </w:r>
      <w:hyperlink r:id="rId1" w:anchor="chap03).">
        <w:r>
          <w:rPr>
            <w:sz w:val="20"/>
          </w:rPr>
          <w:t>Item” bezeichnet die laut Bielefeld</w:t>
        </w:r>
      </w:hyperlink>
      <w:r>
        <w:rPr>
          <w:sz w:val="20"/>
        </w:rPr>
        <w:t xml:space="preserve"> Academic Search Engine vorgehaltenen Open-Access-Volltextveröffentlichungen, die im Idealfall die Gesamtheit des Bestands ausmachen.“BASE FAQ - Fragen zur Suche und zur Trefferliste.” </w:t>
      </w:r>
      <w:r>
        <w:rPr>
          <w:sz w:val="20"/>
          <w:lang w:val="en-GB"/>
        </w:rPr>
        <w:t xml:space="preserve">Datenbank. </w:t>
      </w:r>
      <w:r>
        <w:rPr>
          <w:i/>
          <w:sz w:val="20"/>
          <w:lang w:val="en-GB"/>
        </w:rPr>
        <w:t>Bielefeld Academic Search Engine</w:t>
      </w:r>
      <w:r>
        <w:rPr>
          <w:sz w:val="20"/>
          <w:lang w:val="en-GB"/>
        </w:rPr>
        <w:t>, 2014 2004. http://www.base-search.net/about/de/faq.php#chap03.</w:t>
      </w:r>
    </w:p>
    <w:p w14:paraId="206B55FF" w14:textId="77777777" w:rsidR="00674391" w:rsidRDefault="00674391" w:rsidP="00E47CA6">
      <w:pPr>
        <w:spacing w:line="240" w:lineRule="auto"/>
        <w:rPr>
          <w:lang w:val="en-GB"/>
        </w:rPr>
      </w:pPr>
    </w:p>
    <w:p w14:paraId="2A978F16" w14:textId="1F62B40B" w:rsidR="00674391" w:rsidRPr="006E2814" w:rsidRDefault="00674391" w:rsidP="006E2814">
      <w:pPr>
        <w:spacing w:line="240" w:lineRule="auto"/>
        <w:rPr>
          <w:lang w:val="en-GB"/>
        </w:rPr>
      </w:pPr>
    </w:p>
  </w:footnote>
  <w:footnote w:id="8">
    <w:p w14:paraId="1358FD8F" w14:textId="26C90E26" w:rsidR="00674391" w:rsidRDefault="00674391">
      <w:pPr>
        <w:spacing w:line="324" w:lineRule="auto"/>
        <w:ind w:hanging="439"/>
      </w:pPr>
      <w:r w:rsidRPr="006E2814">
        <w:footnoteRef/>
      </w:r>
      <w:r w:rsidRPr="0052563A">
        <w:rPr>
          <w:sz w:val="20"/>
          <w:lang w:val="en-GB"/>
        </w:rPr>
        <w:t xml:space="preserve"> </w:t>
      </w:r>
      <w:r>
        <w:rPr>
          <w:sz w:val="20"/>
          <w:lang w:val="en-GB"/>
        </w:rPr>
        <w:t xml:space="preserve">Vierkant, Paul. “2012 Census of Open Access Repositories in Germany: Turning Perceived Knowledge Into Sound Understanding.” </w:t>
      </w:r>
      <w:r>
        <w:rPr>
          <w:i/>
          <w:sz w:val="20"/>
        </w:rPr>
        <w:t>D-Lib Magazine</w:t>
      </w:r>
      <w:r>
        <w:rPr>
          <w:sz w:val="20"/>
        </w:rPr>
        <w:t xml:space="preserve"> 19, no. 11/12 (November 2013). doi:10.1045/november2013-vierkant.</w:t>
      </w:r>
    </w:p>
    <w:p w14:paraId="31EABCE9" w14:textId="21FC3B8E" w:rsidR="00674391" w:rsidRPr="006E2814" w:rsidRDefault="00674391" w:rsidP="006E2814">
      <w:pPr>
        <w:spacing w:line="240" w:lineRule="auto"/>
      </w:pPr>
    </w:p>
  </w:footnote>
  <w:footnote w:id="9">
    <w:p w14:paraId="557D0D47" w14:textId="20444855" w:rsidR="00674391" w:rsidRPr="006E2814" w:rsidRDefault="00674391" w:rsidP="006E2814">
      <w:pPr>
        <w:jc w:val="both"/>
      </w:pPr>
      <w:r w:rsidRPr="006E2814">
        <w:footnoteRef/>
      </w:r>
      <w:r>
        <w:rPr>
          <w:sz w:val="20"/>
        </w:rPr>
        <w:t xml:space="preserve"> Um die Auswertungen für Österreich und Schweiz sowie dem gesamten D-A-CH-Raum zu ermöglichen, werden die Forschungsdaten aller drei Länder in einem Datensatz veröffentlicht, siehe Fazit.</w:t>
      </w:r>
    </w:p>
  </w:footnote>
  <w:footnote w:id="10">
    <w:p w14:paraId="39733C41" w14:textId="4E67CA3F" w:rsidR="00674391" w:rsidRDefault="00674391">
      <w:pPr>
        <w:spacing w:line="324" w:lineRule="auto"/>
        <w:ind w:hanging="439"/>
      </w:pPr>
      <w:r w:rsidRPr="006E2814">
        <w:footnoteRef/>
      </w:r>
      <w:r w:rsidRPr="0052563A">
        <w:rPr>
          <w:sz w:val="20"/>
          <w:lang w:val="en-GB"/>
        </w:rPr>
        <w:t xml:space="preserve"> </w:t>
      </w:r>
      <w:r>
        <w:rPr>
          <w:sz w:val="20"/>
          <w:lang w:val="en-GB"/>
        </w:rPr>
        <w:t xml:space="preserve">Vierkant, Paul. “2012 Census of Open Access Repositories in Germany: Turning Perceived Knowledge Into Sound Understanding.” </w:t>
      </w:r>
      <w:r>
        <w:rPr>
          <w:i/>
          <w:sz w:val="20"/>
        </w:rPr>
        <w:t>D-Lib Magazine</w:t>
      </w:r>
      <w:r>
        <w:rPr>
          <w:sz w:val="20"/>
        </w:rPr>
        <w:t xml:space="preserve"> 19, no. 11/12 (November 2013). doi:10.1045/november2013-vierkant.</w:t>
      </w:r>
    </w:p>
    <w:p w14:paraId="3C1F11DF" w14:textId="7697AE02" w:rsidR="00674391" w:rsidRPr="006E2814" w:rsidRDefault="00674391" w:rsidP="006E2814">
      <w:pPr>
        <w:spacing w:line="240" w:lineRule="auto"/>
      </w:pPr>
    </w:p>
  </w:footnote>
  <w:footnote w:id="11">
    <w:p w14:paraId="28BE2FA2" w14:textId="4EB8E5CD" w:rsidR="00674391" w:rsidRPr="006E2814" w:rsidRDefault="00674391" w:rsidP="006E2814">
      <w:pPr>
        <w:spacing w:line="240" w:lineRule="auto"/>
      </w:pPr>
      <w:r w:rsidRPr="006E2814">
        <w:footnoteRef/>
      </w:r>
      <w:r>
        <w:rPr>
          <w:sz w:val="20"/>
        </w:rPr>
        <w:t xml:space="preserve"> Da zum Zeitpunkt der Erhebung kein zentrales Register für außeruniversitäre Forschungseinrichtungen und Andere vorlag, konnte der Anteil dieses Betreibertyps nicht analysiert werden.</w:t>
      </w:r>
    </w:p>
  </w:footnote>
  <w:footnote w:id="12">
    <w:p w14:paraId="6DB549A6" w14:textId="1B1DD986" w:rsidR="00674391" w:rsidRPr="006E2814" w:rsidRDefault="00674391" w:rsidP="006E2814">
      <w:pPr>
        <w:spacing w:line="240" w:lineRule="auto"/>
      </w:pPr>
      <w:r w:rsidRPr="006E2814">
        <w:footnoteRef/>
      </w:r>
      <w:r>
        <w:rPr>
          <w:sz w:val="20"/>
        </w:rPr>
        <w:t xml:space="preserve"> Universität subsumiert </w:t>
      </w:r>
      <w:r w:rsidRPr="00E47CA6">
        <w:rPr>
          <w:sz w:val="20"/>
        </w:rPr>
        <w:t>Universitäten und Hochschulen mit Promotionsrecht sowie Kunst- und Musikhochschulen mit und ohne Promotionsrecht siehe Kapitel</w:t>
      </w:r>
      <w:r>
        <w:rPr>
          <w:sz w:val="18"/>
        </w:rPr>
        <w:t xml:space="preserve"> zu </w:t>
      </w:r>
      <w:r>
        <w:rPr>
          <w:sz w:val="20"/>
        </w:rPr>
        <w:t>Anmerkungen zum Kriterium “Typ der verantwortlichen Institution”</w:t>
      </w:r>
    </w:p>
  </w:footnote>
  <w:footnote w:id="13">
    <w:p w14:paraId="05222339" w14:textId="71F4436C" w:rsidR="00674391" w:rsidRPr="006E2814" w:rsidRDefault="00674391" w:rsidP="00D6774E">
      <w:pPr>
        <w:spacing w:line="240" w:lineRule="auto"/>
      </w:pPr>
      <w:r w:rsidRPr="006E2814">
        <w:footnoteRef/>
      </w:r>
      <w:r>
        <w:rPr>
          <w:sz w:val="20"/>
        </w:rPr>
        <w:t xml:space="preserve"> Zum Zeitpunkt der Erhebung entsprach kein OAR aus Mecklenburg-Vorpommern der Definition des Census, weshalb aus diesem Bundesland keine Installation aufgeführt ist.</w:t>
      </w:r>
    </w:p>
  </w:footnote>
  <w:footnote w:id="14">
    <w:p w14:paraId="09ADF94F" w14:textId="388574A6" w:rsidR="00674391" w:rsidRDefault="00674391">
      <w:pPr>
        <w:spacing w:line="324" w:lineRule="auto"/>
        <w:ind w:hanging="439"/>
      </w:pPr>
      <w:r w:rsidRPr="006E2814">
        <w:footnoteRef/>
      </w:r>
      <w:r>
        <w:rPr>
          <w:sz w:val="20"/>
        </w:rPr>
        <w:t xml:space="preserve"> Vergleiche Hansche, Dorothea. “Open Access an Fachhochschulen am Beispiel der Fachhochschule Potsdam : Ein Kommunikationskonzept,” 2011, S. 34. urn:nbn:de:kobv:525-opus-2182.</w:t>
      </w:r>
    </w:p>
    <w:p w14:paraId="679F81C3" w14:textId="72D8E1D0" w:rsidR="00674391" w:rsidRPr="006E2814" w:rsidRDefault="00674391" w:rsidP="00D6774E">
      <w:pPr>
        <w:spacing w:line="240" w:lineRule="auto"/>
      </w:pPr>
    </w:p>
  </w:footnote>
  <w:footnote w:id="15">
    <w:p w14:paraId="6D41F8AB" w14:textId="26F230E1" w:rsidR="00674391" w:rsidRPr="006E2814" w:rsidRDefault="00674391" w:rsidP="006E2814">
      <w:pPr>
        <w:spacing w:line="240" w:lineRule="auto"/>
        <w:ind w:hanging="437"/>
        <w:jc w:val="both"/>
      </w:pPr>
      <w:r w:rsidRPr="006E2814">
        <w:footnoteRef/>
      </w:r>
      <w:r>
        <w:rPr>
          <w:sz w:val="20"/>
        </w:rPr>
        <w:t xml:space="preserve"> Siehe 53 DINI, Arbeitsgruppe Elektronisches Publizieren. “DINI-Zertifikat für Open-Access-Repositorien und -Publikationsdienste 2013.” DINI-Schriften 3. Deutsche Initiative für Netzwerkinformation (DINI), 2014, S. 52. urn:nbn:de:kobv:11-100217162.</w:t>
      </w:r>
    </w:p>
    <w:p w14:paraId="16EDA85E" w14:textId="77777777" w:rsidR="00674391" w:rsidRPr="006E2814" w:rsidRDefault="00674391" w:rsidP="006E2814">
      <w:pPr>
        <w:spacing w:line="240" w:lineRule="auto"/>
        <w:jc w:val="both"/>
      </w:pPr>
      <w:r>
        <w:rPr>
          <w:sz w:val="20"/>
        </w:rPr>
        <w:t>“Ein fachbezogenes Open-Access-Repositorium beinhaltet überwiegend einer bestimmten Disziplin zugehörige Open-Access-Volltexte. Darunter kann jegliche Art von wissenschaftlichen Publikationen fallen (Qualifikationsarbeiten, Berichte, Zweitveröffentlichungen etc.). In Fachrepositorien werden Publikationen von Personen zugänglich gemacht, die verschiedenen Institutionen angehören können.</w:t>
      </w:r>
      <w:r>
        <w:rPr>
          <w:sz w:val="20"/>
        </w:rPr>
        <w:br/>
        <w:t>Ein institutionelles Repositorium beinhaltet überwiegend Open-Access-Volltexte einer Einrichtung. Darunter kann jegliche Art wissenschaftlicher Publikationen fallen (Qualifikationsarbeiten, Berichte, Zweitveröffentlichungen etc.). Darüber hinaus kann das Repositorium auch weitere Ergebnisse des wissenschaftlichen Alltags in digitaler Form enthalten.”</w:t>
      </w:r>
    </w:p>
    <w:p w14:paraId="3660D585" w14:textId="77777777" w:rsidR="00674391" w:rsidRDefault="00674391" w:rsidP="006E2814">
      <w:pPr>
        <w:spacing w:line="240" w:lineRule="auto"/>
        <w:jc w:val="both"/>
      </w:pPr>
    </w:p>
    <w:p w14:paraId="3BEC3213" w14:textId="77777777" w:rsidR="00674391" w:rsidRDefault="00674391" w:rsidP="006E2814">
      <w:pPr>
        <w:spacing w:line="240" w:lineRule="auto"/>
      </w:pPr>
    </w:p>
    <w:p w14:paraId="7C369E44" w14:textId="77777777" w:rsidR="00674391" w:rsidRDefault="00674391" w:rsidP="006E2814">
      <w:pPr>
        <w:spacing w:line="240" w:lineRule="auto"/>
      </w:pPr>
    </w:p>
  </w:footnote>
  <w:footnote w:id="16">
    <w:p w14:paraId="1E751D58" w14:textId="125448AC" w:rsidR="00674391" w:rsidRDefault="00674391" w:rsidP="00C72437">
      <w:pPr>
        <w:spacing w:line="240" w:lineRule="auto"/>
      </w:pPr>
      <w:r w:rsidRPr="006E2814">
        <w:footnoteRef/>
      </w:r>
      <w:r>
        <w:rPr>
          <w:sz w:val="20"/>
          <w:lang w:val="en-GB"/>
        </w:rPr>
        <w:t xml:space="preserve"> Vierkant, Paul. “2012 Census of Open Access Repositories in Germany: Turning Perceived Knowledge Into Sound Understanding.” </w:t>
      </w:r>
      <w:r>
        <w:rPr>
          <w:i/>
          <w:sz w:val="20"/>
        </w:rPr>
        <w:t>D-Lib Magazine</w:t>
      </w:r>
      <w:r>
        <w:rPr>
          <w:sz w:val="20"/>
        </w:rPr>
        <w:t xml:space="preserve"> 19, no. 11/12 (November 2013). doi:10.1045/november2013-vierkant.</w:t>
      </w:r>
    </w:p>
  </w:footnote>
  <w:footnote w:id="17">
    <w:p w14:paraId="0DF368C7" w14:textId="46749778" w:rsidR="00674391" w:rsidRDefault="00674391" w:rsidP="006E2814">
      <w:pPr>
        <w:spacing w:line="240" w:lineRule="auto"/>
        <w:ind w:hanging="28"/>
      </w:pPr>
      <w:r w:rsidRPr="006E2814">
        <w:footnoteRef/>
      </w:r>
      <w:r>
        <w:rPr>
          <w:sz w:val="20"/>
        </w:rPr>
        <w:t xml:space="preserve"> DINI, Arbeitsgruppe Elektronisches Publizieren. “DINI-Zertifikat Für Open-Access-Repositorien Und -Publikationsdienste 2013.” DINI-Schriften 3. Deutsche Initiative für Netzwerkinformation (DINI), 2014. urn:nbn:de:kobv:11-100217162.</w:t>
      </w:r>
    </w:p>
    <w:p w14:paraId="4E07496C" w14:textId="77777777" w:rsidR="00674391" w:rsidRDefault="00674391" w:rsidP="006E2814">
      <w:pPr>
        <w:spacing w:line="240" w:lineRule="auto"/>
      </w:pPr>
    </w:p>
  </w:footnote>
  <w:footnote w:id="18">
    <w:p w14:paraId="089897BE" w14:textId="6CB4A014" w:rsidR="00674391" w:rsidRPr="006E2814" w:rsidRDefault="00674391" w:rsidP="006E2814">
      <w:pPr>
        <w:spacing w:line="240" w:lineRule="auto"/>
        <w:ind w:hanging="28"/>
        <w:rPr>
          <w:lang w:val="en-GB"/>
        </w:rPr>
      </w:pPr>
      <w:r w:rsidRPr="006E2814">
        <w:footnoteRef/>
      </w:r>
      <w:r>
        <w:rPr>
          <w:sz w:val="20"/>
          <w:lang w:val="en-GB"/>
        </w:rPr>
        <w:t xml:space="preserve"> “Berlin Declaration on Open Access to Knowledge in the Sciences and Humanities,” 14.10.2003. http://openaccess.mpg.de/Berliner-Erklaerung.</w:t>
      </w:r>
    </w:p>
    <w:p w14:paraId="61020FE4" w14:textId="77777777" w:rsidR="00674391" w:rsidRPr="006E2814" w:rsidRDefault="00674391" w:rsidP="006E2814">
      <w:pPr>
        <w:spacing w:line="240" w:lineRule="auto"/>
        <w:rPr>
          <w:lang w:val="en-GB"/>
        </w:rPr>
      </w:pPr>
    </w:p>
  </w:footnote>
  <w:footnote w:id="19">
    <w:p w14:paraId="79B16077" w14:textId="075DF606" w:rsidR="00674391" w:rsidRDefault="00674391">
      <w:pPr>
        <w:pStyle w:val="Funotentext"/>
      </w:pPr>
      <w:r>
        <w:rPr>
          <w:rStyle w:val="Funotenzeichen"/>
        </w:rPr>
        <w:footnoteRef/>
      </w:r>
      <w:r>
        <w:t xml:space="preserve"> Alle zum 2014 Census gehörigen Auswertungen sind als Referenz zum Datensatz unter </w:t>
      </w:r>
      <w:r w:rsidR="00D6774E" w:rsidRPr="00D6774E">
        <w:t>10.5281/zenodo.10734</w:t>
      </w:r>
      <w:r w:rsidR="00D6774E">
        <w:t xml:space="preserve"> angegeben.</w:t>
      </w:r>
    </w:p>
  </w:footnote>
  <w:footnote w:id="20">
    <w:p w14:paraId="57444421" w14:textId="3FBEC362" w:rsidR="00674391" w:rsidRDefault="00674391">
      <w:pPr>
        <w:spacing w:line="324" w:lineRule="auto"/>
        <w:ind w:hanging="29"/>
      </w:pPr>
      <w:r w:rsidRPr="005F1F95">
        <w:rPr>
          <w:rStyle w:val="Funotenzeichen"/>
          <w:sz w:val="20"/>
        </w:rPr>
        <w:footnoteRef/>
      </w:r>
      <w:r w:rsidRPr="005F1F95">
        <w:rPr>
          <w:rStyle w:val="Funotenzeichen"/>
        </w:rPr>
        <w:t xml:space="preserve"> </w:t>
      </w:r>
      <w:r>
        <w:rPr>
          <w:sz w:val="20"/>
        </w:rPr>
        <w:t xml:space="preserve">Siehe: Gesetz- und Verordnungsblatt für das Land Brandenburg Teil I, 2008. </w:t>
      </w:r>
    </w:p>
  </w:footnote>
  <w:footnote w:id="21">
    <w:p w14:paraId="70F677CF" w14:textId="145A6730" w:rsidR="00674391" w:rsidRDefault="00674391">
      <w:pPr>
        <w:spacing w:line="324" w:lineRule="auto"/>
        <w:ind w:hanging="29"/>
      </w:pPr>
      <w:r w:rsidRPr="005F1F95">
        <w:rPr>
          <w:rStyle w:val="Funotenzeichen"/>
          <w:sz w:val="20"/>
        </w:rPr>
        <w:footnoteRef/>
      </w:r>
      <w:r>
        <w:rPr>
          <w:sz w:val="20"/>
        </w:rPr>
        <w:t xml:space="preserve"> </w:t>
      </w:r>
      <w:r>
        <w:rPr>
          <w:i/>
          <w:sz w:val="20"/>
        </w:rPr>
        <w:t>Gesetz über die Hochschulen in Baden-Württemberg</w:t>
      </w:r>
      <w:r>
        <w:rPr>
          <w:sz w:val="20"/>
        </w:rPr>
        <w:t xml:space="preserve">, 2014. </w:t>
      </w:r>
    </w:p>
    <w:p w14:paraId="3A5F2787" w14:textId="77777777" w:rsidR="00674391" w:rsidRDefault="00674391" w:rsidP="005F1F95">
      <w:pPr>
        <w:pStyle w:val="Footnot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A3871"/>
    <w:multiLevelType w:val="multilevel"/>
    <w:tmpl w:val="18B42392"/>
    <w:styleLink w:val="WWNum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
    <w:nsid w:val="166F6790"/>
    <w:multiLevelType w:val="multilevel"/>
    <w:tmpl w:val="A63A9330"/>
    <w:styleLink w:val="WWNum1"/>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
    <w:nsid w:val="2E3D24A2"/>
    <w:multiLevelType w:val="multilevel"/>
    <w:tmpl w:val="3AA8A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A3576F"/>
    <w:multiLevelType w:val="multilevel"/>
    <w:tmpl w:val="07F6D530"/>
    <w:styleLink w:val="WWNum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597A6802"/>
    <w:multiLevelType w:val="multilevel"/>
    <w:tmpl w:val="C9F44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BAF658C"/>
    <w:multiLevelType w:val="multilevel"/>
    <w:tmpl w:val="DF008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CAB2A43"/>
    <w:multiLevelType w:val="multilevel"/>
    <w:tmpl w:val="18A830E8"/>
    <w:styleLink w:val="WWNum3"/>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7">
    <w:nsid w:val="6E8835C0"/>
    <w:multiLevelType w:val="multilevel"/>
    <w:tmpl w:val="891C766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 w:numId="3">
    <w:abstractNumId w:val="6"/>
  </w:num>
  <w:num w:numId="4">
    <w:abstractNumId w:val="3"/>
  </w:num>
  <w:num w:numId="5">
    <w:abstractNumId w:val="0"/>
  </w:num>
  <w:num w:numId="6">
    <w:abstractNumId w:val="1"/>
  </w:num>
  <w:num w:numId="7">
    <w:abstractNumId w:val="6"/>
  </w:num>
  <w:num w:numId="8">
    <w:abstractNumId w:val="3"/>
    <w:lvlOverride w:ilvl="0">
      <w:startOverride w:val="1"/>
    </w:lvlOverride>
  </w:num>
  <w:num w:numId="9">
    <w:abstractNumId w:val="2"/>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CE"/>
    <w:rsid w:val="000B1C2E"/>
    <w:rsid w:val="00160E96"/>
    <w:rsid w:val="001B30CE"/>
    <w:rsid w:val="00220B1B"/>
    <w:rsid w:val="00272D5C"/>
    <w:rsid w:val="003C72E6"/>
    <w:rsid w:val="003F2F81"/>
    <w:rsid w:val="00453584"/>
    <w:rsid w:val="00491F99"/>
    <w:rsid w:val="0052563A"/>
    <w:rsid w:val="00527BCC"/>
    <w:rsid w:val="005A17CE"/>
    <w:rsid w:val="005F1F95"/>
    <w:rsid w:val="00636346"/>
    <w:rsid w:val="00674391"/>
    <w:rsid w:val="00694328"/>
    <w:rsid w:val="006B1384"/>
    <w:rsid w:val="006E2814"/>
    <w:rsid w:val="008157FB"/>
    <w:rsid w:val="00884A7A"/>
    <w:rsid w:val="008A093F"/>
    <w:rsid w:val="008A74CC"/>
    <w:rsid w:val="009448DF"/>
    <w:rsid w:val="009A00A5"/>
    <w:rsid w:val="00A1052E"/>
    <w:rsid w:val="00A83B67"/>
    <w:rsid w:val="00AB5E9B"/>
    <w:rsid w:val="00AD209B"/>
    <w:rsid w:val="00AE03ED"/>
    <w:rsid w:val="00B23748"/>
    <w:rsid w:val="00BB0CA2"/>
    <w:rsid w:val="00C72437"/>
    <w:rsid w:val="00D21FFE"/>
    <w:rsid w:val="00D6774E"/>
    <w:rsid w:val="00E47CA6"/>
    <w:rsid w:val="00F50EA0"/>
    <w:rsid w:val="00FA65F4"/>
    <w:rsid w:val="00FB6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5C55"/>
  <w15:docId w15:val="{CC694EE1-2E7C-4162-A645-2FBF5D9C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uppressAutoHyphens w:val="0"/>
      <w:autoSpaceDN/>
      <w:spacing w:line="276" w:lineRule="auto"/>
      <w:textAlignment w:val="auto"/>
    </w:pPr>
    <w:rPr>
      <w:rFonts w:ascii="Arial" w:eastAsia="Arial" w:hAnsi="Arial" w:cs="Arial"/>
      <w:color w:val="000000"/>
      <w:kern w:val="0"/>
      <w:sz w:val="22"/>
      <w:szCs w:val="20"/>
      <w:lang w:eastAsia="de-DE" w:bidi="ar-SA"/>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sz w:val="26"/>
    </w:rPr>
  </w:style>
  <w:style w:type="paragraph" w:styleId="Sprechblasentext">
    <w:name w:val="Balloon Text"/>
    <w:basedOn w:val="Standard"/>
    <w:link w:val="SprechblasentextZchn"/>
    <w:uiPriority w:val="99"/>
    <w:semiHidden/>
    <w:unhideWhenUsed/>
    <w:rsid w:val="00BB0CA2"/>
    <w:pPr>
      <w:spacing w:line="240" w:lineRule="auto"/>
    </w:pPr>
    <w:rPr>
      <w:rFonts w:ascii="Segoe UI" w:eastAsia="SimSun" w:hAnsi="Segoe UI" w:cs="Segoe UI"/>
      <w:color w:val="auto"/>
      <w:kern w:val="3"/>
      <w:sz w:val="18"/>
      <w:szCs w:val="18"/>
      <w:lang w:eastAsia="zh-CN" w:bidi="hi-IN"/>
    </w:rPr>
  </w:style>
  <w:style w:type="paragraph" w:styleId="Kommentartext">
    <w:name w:val="annotation text"/>
    <w:basedOn w:val="Standard"/>
    <w:link w:val="KommentartextZchn"/>
    <w:uiPriority w:val="99"/>
    <w:semiHidden/>
    <w:unhideWhenUsed/>
    <w:rsid w:val="00BB0CA2"/>
    <w:pPr>
      <w:spacing w:line="240" w:lineRule="auto"/>
    </w:pPr>
    <w:rPr>
      <w:rFonts w:ascii="Times New Roman" w:eastAsia="SimSun" w:hAnsi="Times New Roman" w:cs="Mangal"/>
      <w:color w:val="auto"/>
      <w:kern w:val="3"/>
      <w:sz w:val="20"/>
      <w:szCs w:val="24"/>
      <w:lang w:eastAsia="zh-CN" w:bidi="hi-IN"/>
    </w:rPr>
  </w:style>
  <w:style w:type="paragraph" w:styleId="Kommentarthema">
    <w:name w:val="annotation subject"/>
    <w:basedOn w:val="Kommentartext"/>
    <w:next w:val="Kommentartext"/>
    <w:link w:val="KommentarthemaZchn"/>
    <w:uiPriority w:val="99"/>
    <w:semiHidden/>
    <w:unhideWhenUsed/>
    <w:rsid w:val="00BB0CA2"/>
    <w:rPr>
      <w:b/>
      <w:bCs/>
    </w:rPr>
  </w:style>
  <w:style w:type="paragraph" w:customStyle="1" w:styleId="Footnote">
    <w:name w:val="Footnote"/>
    <w:basedOn w:val="Standard"/>
    <w:pPr>
      <w:suppressLineNumbers/>
      <w:ind w:left="283" w:hanging="283"/>
    </w:pPr>
    <w:rPr>
      <w:sz w:val="20"/>
    </w:rPr>
  </w:style>
  <w:style w:type="paragraph" w:styleId="Fuzeile">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Kommentarzeichen">
    <w:name w:val="annotation reference"/>
    <w:basedOn w:val="Absatz-Standardschriftart"/>
    <w:uiPriority w:val="99"/>
    <w:semiHidden/>
    <w:unhideWhenUsed/>
    <w:rsid w:val="00BB0CA2"/>
    <w:rPr>
      <w:sz w:val="16"/>
      <w:szCs w:val="16"/>
    </w:rPr>
  </w:style>
  <w:style w:type="character" w:customStyle="1" w:styleId="KommentartextZchn">
    <w:name w:val="Kommentartext Zchn"/>
    <w:basedOn w:val="Absatz-Standardschriftart"/>
    <w:link w:val="Kommentartext"/>
    <w:uiPriority w:val="99"/>
    <w:semiHidden/>
    <w:rPr>
      <w:sz w:val="20"/>
    </w:rPr>
  </w:style>
  <w:style w:type="character" w:customStyle="1" w:styleId="KommentarthemaZchn">
    <w:name w:val="Kommentarthema Zchn"/>
    <w:basedOn w:val="KommentartextZchn"/>
    <w:link w:val="Kommentarthema"/>
    <w:uiPriority w:val="99"/>
    <w:semiHidden/>
    <w:rPr>
      <w:b/>
      <w:bCs/>
      <w:sz w:val="20"/>
    </w:rPr>
  </w:style>
  <w:style w:type="character" w:customStyle="1" w:styleId="ListLabel1">
    <w:name w:val="ListLabel 1"/>
    <w:rPr>
      <w:u w:val="none"/>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character" w:styleId="Funotenzeichen">
    <w:name w:val="footnote reference"/>
    <w:basedOn w:val="Absatz-Standardschriftart"/>
    <w:uiPriority w:val="99"/>
    <w:semiHidden/>
    <w:unhideWhenUsed/>
    <w:rPr>
      <w:vertAlign w:val="superscript"/>
    </w:rPr>
  </w:style>
  <w:style w:type="table" w:customStyle="1" w:styleId="TableNormal">
    <w:name w:val="Table Normal"/>
    <w:rsid w:val="00E47CA6"/>
    <w:pPr>
      <w:widowControl/>
      <w:suppressAutoHyphens w:val="0"/>
      <w:autoSpaceDN/>
      <w:spacing w:line="276" w:lineRule="auto"/>
      <w:textAlignment w:val="auto"/>
    </w:pPr>
    <w:rPr>
      <w:rFonts w:ascii="Arial" w:eastAsia="Arial" w:hAnsi="Arial" w:cs="Arial"/>
      <w:color w:val="000000"/>
      <w:kern w:val="0"/>
      <w:sz w:val="22"/>
      <w:szCs w:val="20"/>
      <w:lang w:eastAsia="de-DE" w:bidi="ar-SA"/>
    </w:rPr>
    <w:tblPr>
      <w:tblCellMar>
        <w:top w:w="0" w:type="dxa"/>
        <w:left w:w="0" w:type="dxa"/>
        <w:bottom w:w="0" w:type="dxa"/>
        <w:right w:w="0" w:type="dxa"/>
      </w:tblCellMar>
    </w:tblPr>
  </w:style>
  <w:style w:type="paragraph" w:styleId="Kopfzeile">
    <w:name w:val="header"/>
    <w:basedOn w:val="Standard"/>
    <w:link w:val="KopfzeileZchn"/>
    <w:uiPriority w:val="99"/>
    <w:unhideWhenUsed/>
    <w:rsid w:val="00E47CA6"/>
    <w:pPr>
      <w:tabs>
        <w:tab w:val="center" w:pos="4536"/>
        <w:tab w:val="right" w:pos="9072"/>
      </w:tabs>
    </w:pPr>
    <w:rPr>
      <w:szCs w:val="21"/>
    </w:rPr>
  </w:style>
  <w:style w:type="character" w:customStyle="1" w:styleId="KopfzeileZchn">
    <w:name w:val="Kopfzeile Zchn"/>
    <w:basedOn w:val="Absatz-Standardschriftart"/>
    <w:link w:val="Kopfzeile"/>
    <w:uiPriority w:val="99"/>
    <w:rsid w:val="00E47CA6"/>
    <w:rPr>
      <w:szCs w:val="21"/>
    </w:rPr>
  </w:style>
  <w:style w:type="paragraph" w:styleId="berarbeitung">
    <w:name w:val="Revision"/>
    <w:hidden/>
    <w:uiPriority w:val="99"/>
    <w:semiHidden/>
    <w:rsid w:val="00A83B67"/>
    <w:pPr>
      <w:widowControl/>
      <w:suppressAutoHyphens w:val="0"/>
      <w:autoSpaceDN/>
      <w:textAlignment w:val="auto"/>
    </w:pPr>
    <w:rPr>
      <w:rFonts w:ascii="Arial" w:eastAsia="Arial" w:hAnsi="Arial" w:cs="Arial"/>
      <w:color w:val="000000"/>
      <w:kern w:val="0"/>
      <w:sz w:val="22"/>
      <w:szCs w:val="20"/>
      <w:lang w:eastAsia="de-DE" w:bidi="ar-SA"/>
    </w:rPr>
  </w:style>
  <w:style w:type="paragraph" w:styleId="Funotentext">
    <w:name w:val="footnote text"/>
    <w:basedOn w:val="Standard"/>
    <w:link w:val="FunotentextZchn"/>
    <w:uiPriority w:val="99"/>
    <w:semiHidden/>
    <w:unhideWhenUsed/>
    <w:rsid w:val="00A83B67"/>
    <w:pPr>
      <w:spacing w:line="240" w:lineRule="auto"/>
    </w:pPr>
    <w:rPr>
      <w:sz w:val="20"/>
    </w:rPr>
  </w:style>
  <w:style w:type="character" w:customStyle="1" w:styleId="FunotentextZchn">
    <w:name w:val="Fußnotentext Zchn"/>
    <w:basedOn w:val="Absatz-Standardschriftart"/>
    <w:link w:val="Funotentext"/>
    <w:uiPriority w:val="99"/>
    <w:semiHidden/>
    <w:rsid w:val="00A83B67"/>
    <w:rPr>
      <w:rFonts w:ascii="Arial" w:eastAsia="Arial" w:hAnsi="Arial" w:cs="Arial"/>
      <w:color w:val="000000"/>
      <w:kern w:val="0"/>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base-search.net/about/de/faq.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08C7D-1139-404F-A32E-DD9C566D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4571</Words>
  <Characters>28801</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Census 2014 Type of Responsible Institutions running an Open Access Repository .docx</vt:lpstr>
    </vt:vector>
  </TitlesOfParts>
  <Company/>
  <LinksUpToDate>false</LinksUpToDate>
  <CharactersWithSpaces>33306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2014 Type of Responsible Institutions running an Open Access Repository .docx</dc:title>
  <dc:creator>Maxi Kindling</dc:creator>
  <cp:lastModifiedBy>Maxi Kindling</cp:lastModifiedBy>
  <cp:revision>13</cp:revision>
  <dcterms:created xsi:type="dcterms:W3CDTF">2014-12-14T11:38:00Z</dcterms:created>
  <dcterms:modified xsi:type="dcterms:W3CDTF">2014-12-16T16:44:00Z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Docear4Word_StyleTitle">
    <vt:lpwstr>ACM SIG Proceedings With Long Author List</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