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60595" w:rsidRDefault="0046256A">
      <w:pPr>
        <w:pStyle w:val="Title"/>
        <w:rPr>
          <w:sz w:val="32"/>
          <w:szCs w:val="32"/>
          <w:u w:val="none"/>
        </w:rPr>
      </w:pPr>
      <w:bookmarkStart w:id="0" w:name="_gjdgxs" w:colFirst="0" w:colLast="0"/>
      <w:bookmarkEnd w:id="0"/>
      <w:r>
        <w:rPr>
          <w:sz w:val="32"/>
          <w:szCs w:val="32"/>
          <w:u w:val="none"/>
        </w:rPr>
        <w:t xml:space="preserve">Scholarly Makerspaces – Zwischenbericht zum DFG-Projekt </w:t>
      </w:r>
      <w:proofErr w:type="spellStart"/>
      <w:r>
        <w:rPr>
          <w:sz w:val="32"/>
          <w:szCs w:val="32"/>
          <w:u w:val="none"/>
        </w:rPr>
        <w:t>FuReSH</w:t>
      </w:r>
      <w:proofErr w:type="spellEnd"/>
    </w:p>
    <w:p w14:paraId="00000002" w14:textId="77777777" w:rsidR="00260595" w:rsidRDefault="0046256A">
      <w:r>
        <w:t>Ben Kaden, Michae</w:t>
      </w:r>
      <w:bookmarkStart w:id="1" w:name="_GoBack"/>
      <w:bookmarkEnd w:id="1"/>
      <w:r>
        <w:t>l Kleineberg</w:t>
      </w:r>
    </w:p>
    <w:p w14:paraId="00000003" w14:textId="77777777" w:rsidR="00260595" w:rsidRDefault="0046256A">
      <w:r>
        <w:t xml:space="preserve">An der Universitätsbibliothek der Humboldt-Universität zu Berlin wird aktuell eine Konzeptstudie zur Idee der so genannten </w:t>
      </w:r>
      <w:r>
        <w:rPr>
          <w:i/>
        </w:rPr>
        <w:t>Scholarly Makerspaces</w:t>
      </w:r>
      <w:r>
        <w:t xml:space="preserve"> erarbeitet. Mit diesem Ansatz soll die Vermittlung von Bausteinen der digitalen Forschung in den Kultur- und Ge</w:t>
      </w:r>
      <w:r>
        <w:t>isteswissenschaften auch über den Kernbereich der Digital Humanities hinaus auf lokaler Ebene verbessert werden. Aus bibliothekarischer Sicht versteht sich die Idee zugleich als ein Angebot, um die Rolle von Universitätsbibliotheken in ihrem jeweiligen Bed</w:t>
      </w:r>
      <w:r>
        <w:t xml:space="preserve">ingungs- und Wirkungsrahmen explizit als Partner der Forschung zu untersuchen und Möglichkeiten einer differenzierten Vermittlung so genannter digitaler </w:t>
      </w:r>
      <w:proofErr w:type="spellStart"/>
      <w:r>
        <w:t>Literarizitäten</w:t>
      </w:r>
      <w:proofErr w:type="spellEnd"/>
      <w:r>
        <w:t xml:space="preserve"> über den sehr allgemeinen Begriff der Informationskompetenz hinaus auszuloten. Aus Sich</w:t>
      </w:r>
      <w:r>
        <w:t>t der Entwicklung von digitalen Forschungswerkzeugen ermöglichen Scholarly Makerspaces einen besseren Zugang zu Zielgruppen in der Breite und damit neue Vermittlungs- und Kommunikationsmöglichkeiten für Anbietende. Der Bericht dokumentiert den Zwischenstan</w:t>
      </w:r>
      <w:r>
        <w:t>d anhand ausgewählter Aspekte. Die Gesamtstudie wird Ende des Jahres 2019 vorgelegt.</w:t>
      </w:r>
    </w:p>
    <w:p w14:paraId="00000004" w14:textId="77777777" w:rsidR="00260595" w:rsidRDefault="00260595"/>
    <w:p w14:paraId="00000005" w14:textId="77777777" w:rsidR="00260595" w:rsidRDefault="0046256A">
      <w:pPr>
        <w:pStyle w:val="Heading1"/>
      </w:pPr>
      <w:bookmarkStart w:id="2" w:name="_noogle2ge07" w:colFirst="0" w:colLast="0"/>
      <w:bookmarkEnd w:id="2"/>
      <w:r>
        <w:t xml:space="preserve">1 Projektziel </w:t>
      </w:r>
    </w:p>
    <w:p w14:paraId="00000006" w14:textId="77777777" w:rsidR="00260595" w:rsidRDefault="0046256A">
      <w:r>
        <w:t xml:space="preserve">Das DFG-Projekt “Future e-Research Support in </w:t>
      </w:r>
      <w:proofErr w:type="spellStart"/>
      <w:r>
        <w:t>the</w:t>
      </w:r>
      <w:proofErr w:type="spellEnd"/>
      <w:r>
        <w:t xml:space="preserve"> Humanities” (</w:t>
      </w:r>
      <w:proofErr w:type="spellStart"/>
      <w:r>
        <w:t>FuReSH</w:t>
      </w:r>
      <w:proofErr w:type="spellEnd"/>
      <w:r>
        <w:t>)</w:t>
      </w:r>
      <w:r>
        <w:rPr>
          <w:vertAlign w:val="superscript"/>
        </w:rPr>
        <w:footnoteReference w:id="1"/>
      </w:r>
      <w:r>
        <w:t>, angesiedelt an der Universitätsbibliothek der Humboldt-Universität zu Berlin, erar</w:t>
      </w:r>
      <w:r>
        <w:t xml:space="preserve">beitet eine Konzeptstudie zur </w:t>
      </w:r>
      <w:proofErr w:type="spellStart"/>
      <w:r>
        <w:t>Implementierbarkeit</w:t>
      </w:r>
      <w:proofErr w:type="spellEnd"/>
      <w:r>
        <w:t xml:space="preserve"> von sogenannten “Scholarly Makerspaces” in das Dienstleistungsangebot von Universitätsbibliotheken. Den Ausgangspunkt bildet die Annahme, dass das traditionelle, primär auf bestandsbezogene Bereitstellung u</w:t>
      </w:r>
      <w:r>
        <w:t>nd Erschließung fokussierende Serviceverständnis Wissenschaftlicher Bibliotheken nicht ausreicht, um datenintensive und toolbasierte digitale Arbeits- und Forschungsformen organisatorisch, fachlich und technisch in der notwendigen Breite zu unterstützen.</w:t>
      </w:r>
    </w:p>
    <w:p w14:paraId="00000007" w14:textId="77777777" w:rsidR="00260595" w:rsidRDefault="0046256A">
      <w:bookmarkStart w:id="3" w:name="_1fob9te" w:colFirst="0" w:colLast="0"/>
      <w:bookmarkEnd w:id="3"/>
      <w:r>
        <w:t>I</w:t>
      </w:r>
      <w:r>
        <w:t>m Bibliothekswesen greifen digitale Technologien auf Traditionslinien beispielsweise der Online-Datenbanken, Verbundkatalogisierung oder auch digitaler Dokumentenlieferung zurück, die seit den 1990er Jahren unter dem Begriff der “Digitalen Bibliothek” erhe</w:t>
      </w:r>
      <w:r>
        <w:t xml:space="preserve">blich erweitert einen großen Teil des Aufgabenfeldes der Bibliotheken prägen. Selbst wo der Schwerpunkt auf der Versorgung mit Printmaterialien verbleibt, sind Nachweis und </w:t>
      </w:r>
      <w:proofErr w:type="spellStart"/>
      <w:r>
        <w:t>Retrieval</w:t>
      </w:r>
      <w:proofErr w:type="spellEnd"/>
      <w:r>
        <w:t xml:space="preserve"> in den überwiegenden Fällen digital. </w:t>
      </w:r>
      <w:r>
        <w:lastRenderedPageBreak/>
        <w:t>Spätestens mit der Open-Access-Beweg</w:t>
      </w:r>
      <w:r>
        <w:t>ung und dem Aufkommen von Publikationsservern und Repositorien werden Wissenschaftliche Bibliotheken und damit auch Universitätsbibliotheken zu Infrastruktur- und Serviceanbietern für die digitale Wissenschaft.</w:t>
      </w:r>
    </w:p>
    <w:p w14:paraId="00000008" w14:textId="77777777" w:rsidR="00260595" w:rsidRDefault="0046256A">
      <w:r>
        <w:t>Die Konzeption von Scholarly Makerspaces schl</w:t>
      </w:r>
      <w:r>
        <w:t xml:space="preserve">ießt an diese Tradition an und verknüpft sie mit der Idee der Wissenschaftlichen Bibliothek als einem “Labor” der Geisteswissenschaften, </w:t>
      </w:r>
      <w:proofErr w:type="gramStart"/>
      <w:r>
        <w:t>in dem Materialien</w:t>
      </w:r>
      <w:proofErr w:type="gramEnd"/>
      <w:r>
        <w:t xml:space="preserve"> und Werkzeuge für geisteswissenschaftliche Forschung an einem Ort direkt vermittelt werden. Hierbei </w:t>
      </w:r>
      <w:r>
        <w:t>werden digitale Inhalte und Ressourcen nicht mehr nur nach traditionellem Verständnis als „lokal“ vorgehaltene Bibliotheksbestände gesammelt, erschlossen und für die Nutzung zur Verfügung gestellt. Vielmehr müssen bestandsübergreifend digitale Quellenmater</w:t>
      </w:r>
      <w:r>
        <w:t xml:space="preserve">ialien beziehungsweise Forschungsdaten für ihre Nutzung und Nutzbarkeit in vernetzten Forschungskontexten von Bibliotheken aufbereitet und </w:t>
      </w:r>
      <w:proofErr w:type="spellStart"/>
      <w:r>
        <w:t>kuratiert</w:t>
      </w:r>
      <w:proofErr w:type="spellEnd"/>
      <w:r>
        <w:t xml:space="preserve"> werden.</w:t>
      </w:r>
    </w:p>
    <w:p w14:paraId="00000009" w14:textId="77777777" w:rsidR="00260595" w:rsidRDefault="0046256A">
      <w:r>
        <w:t>Zur Unterstützung digitaler geistes- und kulturwissenschaftlicher Forschung ist damit also nicht nu</w:t>
      </w:r>
      <w:r>
        <w:t>r die Vermittlung digitaler Forschungsdaten (beispielsweise Text- und Bildmaterialien beziehungsweise Korpora), sondern auch der entsprechenden Analyse- und Bearbeitungswerkzeuge, basaler Verständnis- und Nutzungskompetenzen sowie relevanter übergeordneter</w:t>
      </w:r>
      <w:r>
        <w:t xml:space="preserve"> Kontexte notwendig. Da entsprechende Nutzungskompetenzen aufgrund der technischen Anforderungen, der Spezifik der Lösungen sowie wissenschaftsstruktureller Bedingungen in vielen Fällen nicht vorausgesetzt werden können, liegt ein Schwerpunkt auf der Vermi</w:t>
      </w:r>
      <w:r>
        <w:t xml:space="preserve">ttlung einer grundlegenden </w:t>
      </w:r>
      <w:r>
        <w:rPr>
          <w:i/>
        </w:rPr>
        <w:t xml:space="preserve">digital </w:t>
      </w:r>
      <w:proofErr w:type="spellStart"/>
      <w:r>
        <w:rPr>
          <w:i/>
        </w:rPr>
        <w:t>literacy</w:t>
      </w:r>
      <w:proofErr w:type="spellEnd"/>
      <w:r>
        <w:t>, die ausdrücklich auch die Reflexion über die digitale Transformation in den Geistes- und Kulturwissenschaften einschließt beziehungsweise auf eine solche hinleitet.</w:t>
      </w:r>
    </w:p>
    <w:p w14:paraId="0000000A" w14:textId="77777777" w:rsidR="00260595" w:rsidRDefault="0046256A">
      <w:r>
        <w:t>Der Ansatz der Scholarly Makerspaces ist durch</w:t>
      </w:r>
      <w:r>
        <w:t xml:space="preserve"> die bislang hauptsächlich in Öffentlichen Bibliotheken etablierten “Makerspaces” als Arbeits- und Experimentierräume inspiriert. In diesen wird eine ergebnisoffene und Community-orientierte Auseinandersetzung mit physischen und digitalen Werkzeugen und Te</w:t>
      </w:r>
      <w:r>
        <w:t>chnologien in offenen sozialen Räumen angeregt und ermöglicht. Die Idee der “Scholarly Makerspaces” spezifiziert diesen Ansatz dahingehend, dass sie sich erstens primär auf digitale Werkzeuge bezieht und zweitens dezidiert auf Forschungskontexte richtet, i</w:t>
      </w:r>
      <w:r>
        <w:t>nsbesondere auf die infrastrukturelle Unterstützung von e-Research in den Geistes- und Kulturwissenschaften.</w:t>
      </w:r>
    </w:p>
    <w:p w14:paraId="0000000B" w14:textId="77777777" w:rsidR="00260595" w:rsidRDefault="0046256A">
      <w:r>
        <w:t xml:space="preserve">Zusammengefasst bieten Scholarly Makerspaces offene, dynamische und auf Rückkopplung orientierte Infrastrukturen für digital geprägte geistes- und </w:t>
      </w:r>
      <w:r>
        <w:t>kulturwissenschaftliche Forschung mit den Schwerpunkten:</w:t>
      </w:r>
    </w:p>
    <w:p w14:paraId="0000000C" w14:textId="77777777" w:rsidR="00260595" w:rsidRDefault="0046256A">
      <w:pPr>
        <w:numPr>
          <w:ilvl w:val="0"/>
          <w:numId w:val="1"/>
        </w:numPr>
        <w:pBdr>
          <w:top w:val="nil"/>
          <w:left w:val="nil"/>
          <w:bottom w:val="nil"/>
          <w:right w:val="nil"/>
          <w:between w:val="nil"/>
        </w:pBdr>
        <w:spacing w:after="0"/>
      </w:pPr>
      <w:r>
        <w:rPr>
          <w:color w:val="000000"/>
        </w:rPr>
        <w:lastRenderedPageBreak/>
        <w:t>Ausrichtung der Serviceinfrastruktur von Universitätsbibliotheken sowohl technologisch als auch konzeptionell auf die Bedürfnisse vorwiegend der lokalen digitalen Wissenschaftspraxis in den Kultur- u</w:t>
      </w:r>
      <w:r>
        <w:rPr>
          <w:color w:val="000000"/>
        </w:rPr>
        <w:t>nd Geisteswissenschaften;</w:t>
      </w:r>
    </w:p>
    <w:p w14:paraId="0000000D" w14:textId="77777777" w:rsidR="00260595" w:rsidRDefault="0046256A">
      <w:pPr>
        <w:numPr>
          <w:ilvl w:val="0"/>
          <w:numId w:val="1"/>
        </w:numPr>
        <w:pBdr>
          <w:top w:val="nil"/>
          <w:left w:val="nil"/>
          <w:bottom w:val="nil"/>
          <w:right w:val="nil"/>
          <w:between w:val="nil"/>
        </w:pBdr>
        <w:spacing w:after="0"/>
      </w:pPr>
      <w:r>
        <w:rPr>
          <w:color w:val="000000"/>
        </w:rPr>
        <w:t>Zugänglichmachung und Kuratierung bestehender digitaler Werkzeuge und anderer Ressourcen für die Forschung und Lehre;</w:t>
      </w:r>
    </w:p>
    <w:p w14:paraId="0000000E" w14:textId="77777777" w:rsidR="00260595" w:rsidRDefault="0046256A">
      <w:pPr>
        <w:numPr>
          <w:ilvl w:val="0"/>
          <w:numId w:val="1"/>
        </w:numPr>
        <w:pBdr>
          <w:top w:val="nil"/>
          <w:left w:val="nil"/>
          <w:bottom w:val="nil"/>
          <w:right w:val="nil"/>
          <w:between w:val="nil"/>
        </w:pBdr>
        <w:spacing w:after="0"/>
      </w:pPr>
      <w:r>
        <w:rPr>
          <w:color w:val="000000"/>
        </w:rPr>
        <w:t>Zugänglichmachung und Kuratierung geeigneter digitaler Forschungsmaterialien;</w:t>
      </w:r>
    </w:p>
    <w:p w14:paraId="0000000F" w14:textId="77777777" w:rsidR="00260595" w:rsidRDefault="0046256A">
      <w:pPr>
        <w:numPr>
          <w:ilvl w:val="0"/>
          <w:numId w:val="1"/>
        </w:numPr>
        <w:pBdr>
          <w:top w:val="nil"/>
          <w:left w:val="nil"/>
          <w:bottom w:val="nil"/>
          <w:right w:val="nil"/>
          <w:between w:val="nil"/>
        </w:pBdr>
        <w:spacing w:after="0"/>
      </w:pPr>
      <w:r>
        <w:rPr>
          <w:color w:val="000000"/>
        </w:rPr>
        <w:t>Kompetenzvermittlung durch Schulun</w:t>
      </w:r>
      <w:r>
        <w:rPr>
          <w:color w:val="000000"/>
        </w:rPr>
        <w:t>gen, Tutorials und weitere Veranstaltungen;</w:t>
      </w:r>
    </w:p>
    <w:p w14:paraId="00000010" w14:textId="77777777" w:rsidR="00260595" w:rsidRDefault="0046256A">
      <w:pPr>
        <w:numPr>
          <w:ilvl w:val="0"/>
          <w:numId w:val="1"/>
        </w:numPr>
        <w:pBdr>
          <w:top w:val="nil"/>
          <w:left w:val="nil"/>
          <w:bottom w:val="nil"/>
          <w:right w:val="nil"/>
          <w:between w:val="nil"/>
        </w:pBdr>
        <w:spacing w:after="0"/>
      </w:pPr>
      <w:r>
        <w:rPr>
          <w:color w:val="000000"/>
        </w:rPr>
        <w:t>Aufbau eines Kontakt- und Kooperationsnetzwerkes zur Vermittlung von Expertise externer Ansprechpartner;</w:t>
      </w:r>
    </w:p>
    <w:p w14:paraId="00000011" w14:textId="77777777" w:rsidR="00260595" w:rsidRDefault="0046256A">
      <w:pPr>
        <w:numPr>
          <w:ilvl w:val="0"/>
          <w:numId w:val="1"/>
        </w:numPr>
        <w:pBdr>
          <w:top w:val="nil"/>
          <w:left w:val="nil"/>
          <w:bottom w:val="nil"/>
          <w:right w:val="nil"/>
          <w:between w:val="nil"/>
        </w:pBdr>
        <w:spacing w:after="0"/>
      </w:pPr>
      <w:r>
        <w:rPr>
          <w:color w:val="000000"/>
        </w:rPr>
        <w:t>Stetige Erhebung der Bedarfe und Ansprüche der Fachwissenschaften zur künftigen Infrastruktur- und Servicee</w:t>
      </w:r>
      <w:r>
        <w:rPr>
          <w:color w:val="000000"/>
        </w:rPr>
        <w:t>ntwicklung mit den Zielstellungen a) der weiteren iterativen Entwicklung des Angebotes und b) der Kommunikation an im Betrachtungsfeld generell aktive Stakeholder;</w:t>
      </w:r>
    </w:p>
    <w:p w14:paraId="00000012" w14:textId="77777777" w:rsidR="00260595" w:rsidRDefault="0046256A">
      <w:pPr>
        <w:numPr>
          <w:ilvl w:val="0"/>
          <w:numId w:val="1"/>
        </w:numPr>
        <w:pBdr>
          <w:top w:val="nil"/>
          <w:left w:val="nil"/>
          <w:bottom w:val="nil"/>
          <w:right w:val="nil"/>
          <w:between w:val="nil"/>
        </w:pBdr>
      </w:pPr>
      <w:r>
        <w:rPr>
          <w:color w:val="000000"/>
        </w:rPr>
        <w:t>Fortlaufendes Monitoring von Trends und neuen Angeboten</w:t>
      </w:r>
      <w:r>
        <w:rPr>
          <w:color w:val="000000"/>
          <w:vertAlign w:val="superscript"/>
        </w:rPr>
        <w:footnoteReference w:id="2"/>
      </w:r>
      <w:r>
        <w:rPr>
          <w:color w:val="000000"/>
        </w:rPr>
        <w:t xml:space="preserve"> sowie Prüfung auf ihre jeweilige Relevanz und Integrierbarkeit mit dem Serviceprofil der Scholarly Makerspaces.</w:t>
      </w:r>
    </w:p>
    <w:p w14:paraId="00000013" w14:textId="77777777" w:rsidR="00260595" w:rsidRDefault="0046256A">
      <w:r>
        <w:t>Das Ziel der Konzeptstudie besteht darin, die Realisierbarkeit von Scholarly Makerspace</w:t>
      </w:r>
      <w:r>
        <w:t>s unter Einschluss der dafür notwendigen Aufwände und Bedingungen zu analysieren und die Chancen einer tragfähigen Umsetzung zu bewerten. Ergebnis der Studie wird ein Prozess- und Organisationsmodell zur Umsetzung der Scholarly Makerspaces unter Berücksich</w:t>
      </w:r>
      <w:r>
        <w:t>tigung von Aufwands- und Kostenkalkulation zur Vorbereitung einer prototypischen Entwicklung von Scholarly Makerspaces an der Humboldt-Universität zu Berlin sein.</w:t>
      </w:r>
    </w:p>
    <w:p w14:paraId="00000014" w14:textId="77777777" w:rsidR="00260595" w:rsidRDefault="0046256A">
      <w:pPr>
        <w:pStyle w:val="Heading1"/>
        <w:spacing w:after="0"/>
      </w:pPr>
      <w:bookmarkStart w:id="4" w:name="_3znysh7" w:colFirst="0" w:colLast="0"/>
      <w:bookmarkEnd w:id="4"/>
      <w:r>
        <w:t>2 Verfahren und Zwischenauswertung</w:t>
      </w:r>
    </w:p>
    <w:p w14:paraId="00000015" w14:textId="77777777" w:rsidR="00260595" w:rsidRDefault="0046256A">
      <w:r>
        <w:t xml:space="preserve">Um die Projektziele zu erreichen, verfolgt </w:t>
      </w:r>
      <w:proofErr w:type="spellStart"/>
      <w:r>
        <w:t>FuReSH</w:t>
      </w:r>
      <w:proofErr w:type="spellEnd"/>
      <w:r>
        <w:t xml:space="preserve"> mehrere </w:t>
      </w:r>
      <w:r>
        <w:t>Verfahren zur Datenerhebung und -auswertung. Als Grundlage einer Bedarfs- und Anforderungsanalyse werden neben einer Literatur- und Quellenanalyse einschließlich einer Sammlung von Best-Practice-Lösungen, Testläufe mit bestehenden digitalen Werkzeugen voll</w:t>
      </w:r>
      <w:r>
        <w:t xml:space="preserve">zogen sowie eine Reihe von qualitativen Leitfadeninterviews mit Expertinnen und Experten sowohl der geisteswissenschaftlichen Fach-Communities als auch des Infrastrukturbereiches durchgeführt. Zudem stellt das </w:t>
      </w:r>
      <w:proofErr w:type="spellStart"/>
      <w:r>
        <w:t>FuReSH</w:t>
      </w:r>
      <w:proofErr w:type="spellEnd"/>
      <w:r>
        <w:t>-Projekt die Konzeption von Scholarly Ma</w:t>
      </w:r>
      <w:r>
        <w:t xml:space="preserve">kerspaces auf Veranstaltungen zur Diskussion und führt Workshops durch, in denen offene Fragen diskutiert werden. Zu den Kooperationspartnern des Projektes zählen unter anderen die </w:t>
      </w:r>
      <w:r>
        <w:lastRenderedPageBreak/>
        <w:t>Forschungsverbünde CLARIN-D</w:t>
      </w:r>
      <w:r>
        <w:rPr>
          <w:vertAlign w:val="superscript"/>
        </w:rPr>
        <w:footnoteReference w:id="3"/>
      </w:r>
      <w:r>
        <w:t xml:space="preserve"> und DARIAH-DE</w:t>
      </w:r>
      <w:r>
        <w:rPr>
          <w:vertAlign w:val="superscript"/>
        </w:rPr>
        <w:footnoteReference w:id="4"/>
      </w:r>
      <w:r>
        <w:t>, die insbesondere bei der Auswa</w:t>
      </w:r>
      <w:r>
        <w:t>hl und Vermittlung von digitalen Werkzeugen und Diensten mit ihrer Expertise zur Verfügung stehen.</w:t>
      </w:r>
    </w:p>
    <w:p w14:paraId="00000016" w14:textId="77777777" w:rsidR="00260595" w:rsidRDefault="0046256A">
      <w:pPr>
        <w:pStyle w:val="Heading2"/>
      </w:pPr>
      <w:bookmarkStart w:id="5" w:name="_2et92p0" w:colFirst="0" w:colLast="0"/>
      <w:bookmarkEnd w:id="5"/>
      <w:r>
        <w:t>2.1 Beispiele digitaler Forschungswerkzeuge</w:t>
      </w:r>
    </w:p>
    <w:p w14:paraId="00000017" w14:textId="77777777" w:rsidR="00260595" w:rsidRDefault="0046256A">
      <w:r>
        <w:t xml:space="preserve">Das Angebot an Ressourcen und Werkzeugen für die digitale Forschung in den Geistes- und Kulturwissenschaften ist </w:t>
      </w:r>
      <w:r>
        <w:t>mittlerweile sehr groß und wird oft als unübersichtlich empfunden.</w:t>
      </w:r>
      <w:r>
        <w:rPr>
          <w:vertAlign w:val="superscript"/>
        </w:rPr>
        <w:footnoteReference w:id="5"/>
      </w:r>
      <w:r>
        <w:t xml:space="preserve"> Einen generellen Überblick bieten das nach Forschungsprozessen angeordnete Verzeichnis </w:t>
      </w:r>
      <w:r>
        <w:rPr>
          <w:i/>
        </w:rPr>
        <w:t>Digital Research Tools</w:t>
      </w:r>
      <w:r>
        <w:rPr>
          <w:vertAlign w:val="superscript"/>
        </w:rPr>
        <w:footnoteReference w:id="6"/>
      </w:r>
      <w:r>
        <w:t xml:space="preserve"> sowie die noch umfangreichere </w:t>
      </w:r>
      <w:r>
        <w:rPr>
          <w:i/>
        </w:rPr>
        <w:t xml:space="preserve">Database </w:t>
      </w:r>
      <w:proofErr w:type="spellStart"/>
      <w:r>
        <w:rPr>
          <w:i/>
        </w:rPr>
        <w:t>of</w:t>
      </w:r>
      <w:proofErr w:type="spellEnd"/>
      <w:r>
        <w:rPr>
          <w:i/>
        </w:rPr>
        <w:t xml:space="preserve"> Scholarly Communication Tools</w:t>
      </w:r>
      <w:r>
        <w:rPr>
          <w:vertAlign w:val="superscript"/>
        </w:rPr>
        <w:footnoteReference w:id="7"/>
      </w:r>
      <w:r>
        <w:t xml:space="preserve">. Allgemein ist es sinnvoll zwischen allgemeinen digitalen Werkzeugen (zum Beispiel Textverarbeitungsprogramme, Literaturverwaltungssysteme, Cloudspeicher, </w:t>
      </w:r>
      <w:proofErr w:type="spellStart"/>
      <w:r>
        <w:t>Etherpads</w:t>
      </w:r>
      <w:proofErr w:type="spellEnd"/>
      <w:r>
        <w:t>, Wikis, Repositorien) und dezidierten digitalen Forschungswerkzeugen zu unterscheiden, die</w:t>
      </w:r>
      <w:r>
        <w:t xml:space="preserve"> zur Analyse von Forschungsobjekten eingesetzt werden. Allgemeine digitale Werkzeuge werden in den Scholarly Makerspaces dort für die Vermittlung berücksichtigt, wo sie einen sinnvollen Mehrwert für die digitale kultur- und geisteswissenschaftliche Forschu</w:t>
      </w:r>
      <w:r>
        <w:t>ng bieten.</w:t>
      </w:r>
    </w:p>
    <w:p w14:paraId="00000018" w14:textId="77777777" w:rsidR="00260595" w:rsidRDefault="0046256A">
      <w:r>
        <w:t>Welche konkreten Angebote an digitalen Forschungswerkzeugen in Scholarly Makerspaces integriert werden, hängt von mehreren Leitkriterien ab:</w:t>
      </w:r>
    </w:p>
    <w:p w14:paraId="00000019" w14:textId="77777777" w:rsidR="00260595" w:rsidRDefault="0046256A">
      <w:pPr>
        <w:numPr>
          <w:ilvl w:val="0"/>
          <w:numId w:val="7"/>
        </w:numPr>
        <w:pBdr>
          <w:top w:val="nil"/>
          <w:left w:val="nil"/>
          <w:bottom w:val="nil"/>
          <w:right w:val="nil"/>
          <w:between w:val="nil"/>
        </w:pBdr>
        <w:spacing w:after="0"/>
      </w:pPr>
      <w:r>
        <w:rPr>
          <w:color w:val="000000"/>
        </w:rPr>
        <w:t xml:space="preserve">den Anforderungen der Zielgruppen, </w:t>
      </w:r>
    </w:p>
    <w:p w14:paraId="0000001A" w14:textId="77777777" w:rsidR="00260595" w:rsidRDefault="0046256A">
      <w:pPr>
        <w:numPr>
          <w:ilvl w:val="0"/>
          <w:numId w:val="7"/>
        </w:numPr>
        <w:pBdr>
          <w:top w:val="nil"/>
          <w:left w:val="nil"/>
          <w:bottom w:val="nil"/>
          <w:right w:val="nil"/>
          <w:between w:val="nil"/>
        </w:pBdr>
        <w:spacing w:after="0"/>
      </w:pPr>
      <w:r>
        <w:rPr>
          <w:color w:val="000000"/>
        </w:rPr>
        <w:t xml:space="preserve">der Entwicklungsreife der Werkzeuge, </w:t>
      </w:r>
    </w:p>
    <w:p w14:paraId="0000001B" w14:textId="77777777" w:rsidR="00260595" w:rsidRDefault="0046256A">
      <w:pPr>
        <w:numPr>
          <w:ilvl w:val="0"/>
          <w:numId w:val="7"/>
        </w:numPr>
        <w:pBdr>
          <w:top w:val="nil"/>
          <w:left w:val="nil"/>
          <w:bottom w:val="nil"/>
          <w:right w:val="nil"/>
          <w:between w:val="nil"/>
        </w:pBdr>
        <w:spacing w:after="0"/>
      </w:pPr>
      <w:r>
        <w:rPr>
          <w:color w:val="000000"/>
        </w:rPr>
        <w:t>der Relevanz und einer eventue</w:t>
      </w:r>
      <w:r>
        <w:rPr>
          <w:color w:val="000000"/>
        </w:rPr>
        <w:t>llen Etablierung in den Communities,</w:t>
      </w:r>
    </w:p>
    <w:p w14:paraId="0000001C" w14:textId="77777777" w:rsidR="00260595" w:rsidRDefault="0046256A">
      <w:pPr>
        <w:numPr>
          <w:ilvl w:val="0"/>
          <w:numId w:val="7"/>
        </w:numPr>
        <w:pBdr>
          <w:top w:val="nil"/>
          <w:left w:val="nil"/>
          <w:bottom w:val="nil"/>
          <w:right w:val="nil"/>
          <w:between w:val="nil"/>
        </w:pBdr>
        <w:spacing w:after="0"/>
      </w:pPr>
      <w:r>
        <w:rPr>
          <w:color w:val="000000"/>
        </w:rPr>
        <w:t>den lokalen Vermittlungsressourcen</w:t>
      </w:r>
    </w:p>
    <w:p w14:paraId="0000001D" w14:textId="77777777" w:rsidR="00260595" w:rsidRDefault="0046256A">
      <w:pPr>
        <w:numPr>
          <w:ilvl w:val="0"/>
          <w:numId w:val="7"/>
        </w:numPr>
        <w:pBdr>
          <w:top w:val="nil"/>
          <w:left w:val="nil"/>
          <w:bottom w:val="nil"/>
          <w:right w:val="nil"/>
          <w:between w:val="nil"/>
        </w:pBdr>
      </w:pPr>
      <w:r>
        <w:t>und gegebenenfalls</w:t>
      </w:r>
      <w:r>
        <w:rPr>
          <w:color w:val="000000"/>
        </w:rPr>
        <w:t xml:space="preserve"> die Berücksichtigung und Unterstützung der Ansprüche offener Wissenschaft. </w:t>
      </w:r>
    </w:p>
    <w:p w14:paraId="0000001E" w14:textId="77777777" w:rsidR="00260595" w:rsidRDefault="0046256A">
      <w:r>
        <w:t>Zudem sollen die Ansprüche und Bedarfe der jeweils lokal anzutreffenden Zielgruppen besonders berücksichtigt werden. Nachfolgend werden kurz einige Beispiele bewährter digitaler Forschungswerkzeuge benannt.</w:t>
      </w:r>
    </w:p>
    <w:p w14:paraId="0000001F" w14:textId="77777777" w:rsidR="00260595" w:rsidRDefault="0046256A">
      <w:pPr>
        <w:pStyle w:val="Heading3"/>
      </w:pPr>
      <w:bookmarkStart w:id="6" w:name="_tyjcwt" w:colFirst="0" w:colLast="0"/>
      <w:bookmarkEnd w:id="6"/>
      <w:r>
        <w:t>CATMA</w:t>
      </w:r>
    </w:p>
    <w:p w14:paraId="00000020" w14:textId="239F56C6" w:rsidR="00260595" w:rsidRDefault="0046256A">
      <w:pPr>
        <w:spacing w:after="0"/>
      </w:pPr>
      <w:bookmarkStart w:id="7" w:name="_3dy6vkm" w:colFirst="0" w:colLast="0"/>
      <w:bookmarkEnd w:id="7"/>
      <w:r>
        <w:t>Ein zentrales Anwendungsfeld digitaler Fors</w:t>
      </w:r>
      <w:r>
        <w:t xml:space="preserve">chung in den Geistes- und Kulturwissenschaften besteht im Bereich der Annotation. Hierfür steht mittlerweile eine große Vielfalt von unterschiedlichen </w:t>
      </w:r>
      <w:r>
        <w:lastRenderedPageBreak/>
        <w:t>Werkzeugen zur Verfügung, oft Open Source,</w:t>
      </w:r>
      <w:r>
        <w:t xml:space="preserve"> die je nach Szenario direkt über die Scholarly Makerspaces an</w:t>
      </w:r>
      <w:r>
        <w:t xml:space="preserve">geboten oder vermittelt werden könnten. Ein Beispiel dafür ist </w:t>
      </w:r>
      <w:r>
        <w:rPr>
          <w:i/>
        </w:rPr>
        <w:t>CATMA</w:t>
      </w:r>
      <w:r>
        <w:t xml:space="preserve"> (</w:t>
      </w:r>
      <w:r>
        <w:rPr>
          <w:i/>
        </w:rPr>
        <w:t xml:space="preserve">Computer </w:t>
      </w:r>
      <w:proofErr w:type="spellStart"/>
      <w:r>
        <w:rPr>
          <w:i/>
        </w:rPr>
        <w:t>Assisted</w:t>
      </w:r>
      <w:proofErr w:type="spellEnd"/>
      <w:r>
        <w:rPr>
          <w:i/>
        </w:rPr>
        <w:t xml:space="preserve"> Text Markup </w:t>
      </w:r>
      <w:proofErr w:type="spellStart"/>
      <w:r>
        <w:rPr>
          <w:i/>
        </w:rPr>
        <w:t>and</w:t>
      </w:r>
      <w:proofErr w:type="spellEnd"/>
      <w:r>
        <w:rPr>
          <w:i/>
        </w:rPr>
        <w:t xml:space="preserve"> Analysis</w:t>
      </w:r>
      <w:r>
        <w:t xml:space="preserve">), das webbasierte und </w:t>
      </w:r>
      <w:proofErr w:type="spellStart"/>
      <w:r>
        <w:t>kollaborative</w:t>
      </w:r>
      <w:proofErr w:type="spellEnd"/>
      <w:r>
        <w:t xml:space="preserve"> Funktionen zur </w:t>
      </w:r>
      <w:proofErr w:type="spellStart"/>
      <w:r>
        <w:t>Korpuszusammenstellung</w:t>
      </w:r>
      <w:proofErr w:type="spellEnd"/>
      <w:r>
        <w:t>, Annotation, Analyse und Visualisierung von Texten ermöglicht.</w:t>
      </w:r>
      <w:r>
        <w:rPr>
          <w:vertAlign w:val="superscript"/>
        </w:rPr>
        <w:footnoteReference w:id="8"/>
      </w:r>
      <w:r>
        <w:t xml:space="preserve"> Die S</w:t>
      </w:r>
      <w:r>
        <w:t>oftware erweist sich hinsichtlich der Funktionalität und Usability als besonders weit entwickelt und hat zudem niedrige Zugangshürden.</w:t>
      </w:r>
    </w:p>
    <w:p w14:paraId="00000021" w14:textId="77777777" w:rsidR="00260595" w:rsidRDefault="00260595">
      <w:pPr>
        <w:spacing w:after="0"/>
      </w:pPr>
    </w:p>
    <w:p w14:paraId="00000022" w14:textId="77777777" w:rsidR="00260595" w:rsidRDefault="0046256A">
      <w:pPr>
        <w:pStyle w:val="Heading3"/>
      </w:pPr>
      <w:bookmarkStart w:id="8" w:name="_1t3h5sf" w:colFirst="0" w:colLast="0"/>
      <w:bookmarkEnd w:id="8"/>
      <w:r>
        <w:t xml:space="preserve">Hypothes.is </w:t>
      </w:r>
    </w:p>
    <w:p w14:paraId="00000023" w14:textId="76D34F8A" w:rsidR="00260595" w:rsidRDefault="0046256A">
      <w:pPr>
        <w:rPr>
          <w:color w:val="000000"/>
        </w:rPr>
      </w:pPr>
      <w:r>
        <w:t>Eine weitere niedrigschwellige Anwendung im Bereich der Annotation ist der so genannte “</w:t>
      </w:r>
      <w:proofErr w:type="spellStart"/>
      <w:r>
        <w:t>Conversation</w:t>
      </w:r>
      <w:proofErr w:type="spellEnd"/>
      <w:r>
        <w:t xml:space="preserve"> Layer”</w:t>
      </w:r>
      <w:r>
        <w:t xml:space="preserve"> des Hypothes.is-Projekts.</w:t>
      </w:r>
      <w:r>
        <w:rPr>
          <w:vertAlign w:val="superscript"/>
        </w:rPr>
        <w:footnoteReference w:id="9"/>
      </w:r>
      <w:r>
        <w:t xml:space="preserve"> Er ist rein browserbasiert und bildet eine Art Verbindung zu </w:t>
      </w:r>
      <w:proofErr w:type="spellStart"/>
      <w:r>
        <w:t>Social</w:t>
      </w:r>
      <w:proofErr w:type="spellEnd"/>
      <w:r>
        <w:t>-Media-Anwendungen. Die Lösung ermöglicht es, Komponenten auf beliebigen Webseiten zu annotieren und über Tags zu erschließen. Sie bietet sich insbesondere zur E</w:t>
      </w:r>
      <w:r>
        <w:t xml:space="preserve">rzeugung eines grundlegenden Verständnisses des Prinzips der digitalen und vernetzenden Annotation an. Die Lösung ist dank ihrer </w:t>
      </w:r>
      <w:proofErr w:type="spellStart"/>
      <w:r>
        <w:t>Niedrigschwelligkeit</w:t>
      </w:r>
      <w:proofErr w:type="spellEnd"/>
      <w:r>
        <w:t xml:space="preserve"> insbesondere als Ausgangspunkt für die methodologische Reflexionsarbeit geeignet.</w:t>
      </w:r>
    </w:p>
    <w:p w14:paraId="00000024" w14:textId="77777777" w:rsidR="00260595" w:rsidRDefault="0046256A">
      <w:pPr>
        <w:pStyle w:val="Heading3"/>
      </w:pPr>
      <w:bookmarkStart w:id="9" w:name="_4d34og8" w:colFirst="0" w:colLast="0"/>
      <w:bookmarkEnd w:id="9"/>
      <w:proofErr w:type="spellStart"/>
      <w:r>
        <w:t>Voyant</w:t>
      </w:r>
      <w:proofErr w:type="spellEnd"/>
      <w:r>
        <w:t xml:space="preserve"> Tools</w:t>
      </w:r>
    </w:p>
    <w:p w14:paraId="00000025" w14:textId="77777777" w:rsidR="00260595" w:rsidRDefault="0046256A">
      <w:proofErr w:type="spellStart"/>
      <w:r>
        <w:rPr>
          <w:i/>
        </w:rPr>
        <w:t>Voyant</w:t>
      </w:r>
      <w:proofErr w:type="spellEnd"/>
      <w:r>
        <w:rPr>
          <w:i/>
        </w:rPr>
        <w:t xml:space="preserve"> To</w:t>
      </w:r>
      <w:r>
        <w:rPr>
          <w:i/>
        </w:rPr>
        <w:t>ols</w:t>
      </w:r>
      <w:r>
        <w:t xml:space="preserve"> bieten eine niedrigschwellige Arbeitsumgebung, die digitale Werkzeuge bereitstellt, um Texte quantitativ zu analysieren und zu visualisieren.</w:t>
      </w:r>
      <w:r>
        <w:rPr>
          <w:vertAlign w:val="superscript"/>
        </w:rPr>
        <w:footnoteReference w:id="10"/>
      </w:r>
      <w:r>
        <w:t xml:space="preserve"> Die Angebote stehen für eine Nachnutzung zur Verfügung. Sie bieten sich auf Workstations oder auch als Plattf</w:t>
      </w:r>
      <w:r>
        <w:t>ormdienste vor allem zu didaktischen Zwecken an und ermöglichen nach einer methodologischen Einführung die Analyse eigener Korpora.</w:t>
      </w:r>
    </w:p>
    <w:p w14:paraId="00000026" w14:textId="77777777" w:rsidR="00260595" w:rsidRDefault="0046256A">
      <w:pPr>
        <w:pStyle w:val="Heading3"/>
      </w:pPr>
      <w:bookmarkStart w:id="10" w:name="_2s8eyo1" w:colFirst="0" w:colLast="0"/>
      <w:bookmarkEnd w:id="10"/>
      <w:proofErr w:type="spellStart"/>
      <w:r>
        <w:t>Stereoscope</w:t>
      </w:r>
      <w:proofErr w:type="spellEnd"/>
    </w:p>
    <w:p w14:paraId="00000027" w14:textId="77777777" w:rsidR="00260595" w:rsidRDefault="0046256A">
      <w:proofErr w:type="spellStart"/>
      <w:r>
        <w:rPr>
          <w:i/>
        </w:rPr>
        <w:t>Stereoscope</w:t>
      </w:r>
      <w:proofErr w:type="spellEnd"/>
      <w:r>
        <w:t xml:space="preserve"> ist eine Visualisierungslösung für hermeneutische Annäherungen an Texte über Annotationen.</w:t>
      </w:r>
      <w:r>
        <w:rPr>
          <w:vertAlign w:val="superscript"/>
        </w:rPr>
        <w:footnoteReference w:id="11"/>
      </w:r>
      <w:r>
        <w:t xml:space="preserve"> Die Anwe</w:t>
      </w:r>
      <w:r>
        <w:t>ndung ist funktional und hinsichtlich der Usability auf einem für die Anwendung in den Scholarly Makerspaces geeigneten Entwicklungsstand. Zudem ist sie browserbasiert und offen nutzbar und bietet Im- und Exportschnittstellen für JSON-Daten.</w:t>
      </w:r>
    </w:p>
    <w:p w14:paraId="00000028" w14:textId="77777777" w:rsidR="00260595" w:rsidRDefault="0046256A">
      <w:pPr>
        <w:pStyle w:val="Heading3"/>
      </w:pPr>
      <w:bookmarkStart w:id="11" w:name="_17dp8vu" w:colFirst="0" w:colLast="0"/>
      <w:bookmarkEnd w:id="11"/>
      <w:r>
        <w:t xml:space="preserve">DARIAH Topics </w:t>
      </w:r>
      <w:r>
        <w:t>Explorer</w:t>
      </w:r>
    </w:p>
    <w:p w14:paraId="00000029" w14:textId="77777777" w:rsidR="00260595" w:rsidRDefault="0046256A">
      <w:pPr>
        <w:spacing w:after="0"/>
      </w:pPr>
      <w:r>
        <w:t xml:space="preserve">Ein weiteres wichtiges Anwendungsfeld ist das Topic Modeling, das es ermöglicht aus großen Textkorpora wichtige Themenfelder zu identifizieren und zu visualisieren. Das Werkzeug </w:t>
      </w:r>
      <w:r>
        <w:rPr>
          <w:i/>
        </w:rPr>
        <w:t xml:space="preserve">DARIAH </w:t>
      </w:r>
      <w:r>
        <w:rPr>
          <w:i/>
        </w:rPr>
        <w:lastRenderedPageBreak/>
        <w:t xml:space="preserve">Topics Explorer </w:t>
      </w:r>
      <w:r>
        <w:t>eignet sich für Textdateien in den Formaten TX</w:t>
      </w:r>
      <w:r>
        <w:t>T oder XML und kann Ergebnisse in unterschiedlichen Dateiformaten ausgeben.</w:t>
      </w:r>
      <w:r>
        <w:rPr>
          <w:vertAlign w:val="superscript"/>
        </w:rPr>
        <w:footnoteReference w:id="12"/>
      </w:r>
    </w:p>
    <w:p w14:paraId="0000002A" w14:textId="77777777" w:rsidR="00260595" w:rsidRDefault="00260595">
      <w:pPr>
        <w:spacing w:after="0"/>
      </w:pPr>
    </w:p>
    <w:p w14:paraId="0000002B" w14:textId="77777777" w:rsidR="00260595" w:rsidRDefault="0046256A">
      <w:pPr>
        <w:pStyle w:val="Heading3"/>
      </w:pPr>
      <w:bookmarkStart w:id="12" w:name="_3rdcrjn" w:colFirst="0" w:colLast="0"/>
      <w:bookmarkEnd w:id="12"/>
      <w:proofErr w:type="spellStart"/>
      <w:r>
        <w:t>Stylo</w:t>
      </w:r>
      <w:proofErr w:type="spellEnd"/>
    </w:p>
    <w:p w14:paraId="0000002C" w14:textId="77777777" w:rsidR="00260595" w:rsidRDefault="0046256A">
      <w:r>
        <w:t xml:space="preserve">Für textorientierte Geistes- und Kulturwissenschaften bieten </w:t>
      </w:r>
      <w:proofErr w:type="spellStart"/>
      <w:r>
        <w:t>stylometrische</w:t>
      </w:r>
      <w:proofErr w:type="spellEnd"/>
      <w:r>
        <w:t xml:space="preserve"> Analyseverfahren ein weiteres Anwendungsfeld. Das Werkzeug </w:t>
      </w:r>
      <w:proofErr w:type="spellStart"/>
      <w:r>
        <w:rPr>
          <w:i/>
        </w:rPr>
        <w:t>Stylo</w:t>
      </w:r>
      <w:proofErr w:type="spellEnd"/>
      <w:r>
        <w:t xml:space="preserve"> ermöglicht durch stilistische V</w:t>
      </w:r>
      <w:r>
        <w:t xml:space="preserve">ergleichsanalysen Fragen der </w:t>
      </w:r>
      <w:proofErr w:type="spellStart"/>
      <w:r>
        <w:t>Autorschaftsattribution</w:t>
      </w:r>
      <w:proofErr w:type="spellEnd"/>
      <w:r>
        <w:t>, Genre- oder Epochenklassifikationen sowie stilistische Entwicklungen eines Gesamtwerkes zu bearbeiten.</w:t>
      </w:r>
      <w:r>
        <w:rPr>
          <w:vertAlign w:val="superscript"/>
        </w:rPr>
        <w:footnoteReference w:id="13"/>
      </w:r>
    </w:p>
    <w:p w14:paraId="0000002D" w14:textId="77777777" w:rsidR="00260595" w:rsidRDefault="0046256A">
      <w:pPr>
        <w:pStyle w:val="Heading3"/>
      </w:pPr>
      <w:bookmarkStart w:id="13" w:name="_26in1rg" w:colFirst="0" w:colLast="0"/>
      <w:bookmarkEnd w:id="13"/>
      <w:proofErr w:type="spellStart"/>
      <w:r>
        <w:t>Transkribus</w:t>
      </w:r>
      <w:proofErr w:type="spellEnd"/>
    </w:p>
    <w:p w14:paraId="0000002E" w14:textId="77777777" w:rsidR="00260595" w:rsidRDefault="0046256A">
      <w:r>
        <w:t xml:space="preserve">Um handschriftliche Quellen digital nutzbar zu machen, müssen diese digitalisiert und </w:t>
      </w:r>
      <w:r>
        <w:t xml:space="preserve">aufbereitet werden. Das Werkzeug </w:t>
      </w:r>
      <w:proofErr w:type="spellStart"/>
      <w:r>
        <w:rPr>
          <w:i/>
        </w:rPr>
        <w:t>Transkribus</w:t>
      </w:r>
      <w:proofErr w:type="spellEnd"/>
      <w:r>
        <w:t xml:space="preserve"> wurde für das manuelle Transkribieren und die automatisierte Handschriftenerkennung (HTR) entwickelt. Zudem wird eine optische Zeichenerkennung (OCR) für Druckschriften angeboten. Das Werkzeug eignet sich auch z</w:t>
      </w:r>
      <w:r>
        <w:t>ur Erstellung digitaler Editionen.</w:t>
      </w:r>
      <w:r>
        <w:rPr>
          <w:vertAlign w:val="superscript"/>
        </w:rPr>
        <w:footnoteReference w:id="14"/>
      </w:r>
    </w:p>
    <w:p w14:paraId="0000002F" w14:textId="77777777" w:rsidR="00260595" w:rsidRDefault="0046256A">
      <w:pPr>
        <w:pStyle w:val="Heading3"/>
        <w:rPr>
          <w:rFonts w:ascii="Cambria" w:eastAsia="Cambria" w:hAnsi="Cambria" w:cs="Cambria"/>
        </w:rPr>
      </w:pPr>
      <w:bookmarkStart w:id="14" w:name="_lnxbz9" w:colFirst="0" w:colLast="0"/>
      <w:bookmarkEnd w:id="14"/>
      <w:proofErr w:type="spellStart"/>
      <w:r>
        <w:t>ConedaKOR</w:t>
      </w:r>
      <w:proofErr w:type="spellEnd"/>
    </w:p>
    <w:p w14:paraId="00000030" w14:textId="77777777" w:rsidR="00260595" w:rsidRDefault="0046256A">
      <w:r>
        <w:t xml:space="preserve">Das webbasierte Werkzeug </w:t>
      </w:r>
      <w:proofErr w:type="spellStart"/>
      <w:r>
        <w:rPr>
          <w:i/>
        </w:rPr>
        <w:t>ConedaKOR</w:t>
      </w:r>
      <w:proofErr w:type="spellEnd"/>
      <w:r>
        <w:t xml:space="preserve"> dient der Verwaltung und Präsentation akademischer Objektsammlungen aus den bildbasierten Kultur- und Geisteswissenschaften.</w:t>
      </w:r>
      <w:r>
        <w:rPr>
          <w:vertAlign w:val="superscript"/>
        </w:rPr>
        <w:footnoteReference w:id="15"/>
      </w:r>
      <w:r>
        <w:t xml:space="preserve"> Es beruht auf der Technologie einer </w:t>
      </w:r>
      <w:proofErr w:type="spellStart"/>
      <w:r>
        <w:t>Graphdatenbank</w:t>
      </w:r>
      <w:proofErr w:type="spellEnd"/>
      <w:r>
        <w:t xml:space="preserve">, </w:t>
      </w:r>
      <w:proofErr w:type="gramStart"/>
      <w:r>
        <w:t>die semantische Informationen</w:t>
      </w:r>
      <w:proofErr w:type="gramEnd"/>
      <w:r>
        <w:t xml:space="preserve"> in einer Netzstruktur verknüpft und für eine interaktive Recherche nutzbar macht.</w:t>
      </w:r>
    </w:p>
    <w:p w14:paraId="00000031" w14:textId="77777777" w:rsidR="00260595" w:rsidRDefault="00260595"/>
    <w:p w14:paraId="00000032" w14:textId="77777777" w:rsidR="00260595" w:rsidRDefault="00260595"/>
    <w:p w14:paraId="00000033" w14:textId="77777777" w:rsidR="00260595" w:rsidRDefault="0046256A">
      <w:r>
        <w:t>In den Testläufen mit einer Reihe von Digital-Humanities-Tools wurde jedoch auch deutlich</w:t>
      </w:r>
      <w:r>
        <w:t>, dass es insgesamt nur wenige aus der Community stammende dezidierte Forschungswerkzeuge gibt, die ohne tiefere Vorkenntnisse beziehungsweise ohne Betreuung und Schulung nutzbar sind. Entsprechend sind die Scholarly Makerspaces in jedem Fall als Ort der K</w:t>
      </w:r>
      <w:r>
        <w:t xml:space="preserve">ompetenzvermittlung und des Angebots regelmäßiger Schulungen zu planen. Im Sinne der Grundidee einer integrativen, interaktiven und niedrigschwelligen </w:t>
      </w:r>
      <w:proofErr w:type="spellStart"/>
      <w:r>
        <w:t>Maker</w:t>
      </w:r>
      <w:proofErr w:type="spellEnd"/>
      <w:r>
        <w:t>-Kultur ist außerdem eine Schwerpunktsetzung auf Community-Bildung zu empfehlen, also das Angebot ei</w:t>
      </w:r>
      <w:r>
        <w:t xml:space="preserve">nes Kommunikationsrahmens, in dem sich Nutzende mit </w:t>
      </w:r>
      <w:r>
        <w:lastRenderedPageBreak/>
        <w:t xml:space="preserve">unterschiedlichen Interessen und Kompetenzstufen begegnen und austauschen können. Scholarly Makerspaces werden in dieser Richtung als </w:t>
      </w:r>
      <w:proofErr w:type="spellStart"/>
      <w:r>
        <w:rPr>
          <w:i/>
        </w:rPr>
        <w:t>facilitator</w:t>
      </w:r>
      <w:proofErr w:type="spellEnd"/>
      <w:r>
        <w:t xml:space="preserve"> gedacht.</w:t>
      </w:r>
    </w:p>
    <w:p w14:paraId="00000034" w14:textId="77777777" w:rsidR="00260595" w:rsidRDefault="0046256A">
      <w:pPr>
        <w:pStyle w:val="Heading2"/>
      </w:pPr>
      <w:bookmarkStart w:id="15" w:name="_35nkun2" w:colFirst="0" w:colLast="0"/>
      <w:bookmarkEnd w:id="15"/>
      <w:r>
        <w:t>2.2 Interviews</w:t>
      </w:r>
    </w:p>
    <w:p w14:paraId="00000035" w14:textId="77777777" w:rsidR="00260595" w:rsidRDefault="0046256A">
      <w:r>
        <w:t>Die im Projekt durchgeführten qualitativen Leitfadeninterviews mit einem Convenience-Sample von 16 Expertinnen und Experten aus den Bereichen Digital Humanities und Informationsinfrastrukturen dienten der Anforderungsanalyse, um konkret feststellbare Bedar</w:t>
      </w:r>
      <w:r>
        <w:t>fe und wahrgenommene Desiderate zu erheben. Zwar sind die Ergebnisse wegen des Zuschnitts der Stichprobe nicht repräsentativ, jedoch erlauben sie aufgrund der Fachkompetenz der Befragten tiefere Einblicke in die gegenwärtige Ausgangslage sowie die Berücksi</w:t>
      </w:r>
      <w:r>
        <w:t>chtigung kritischer Aspekte für die Umsetzung von Scholarly Makerspaces.</w:t>
      </w:r>
    </w:p>
    <w:p w14:paraId="00000036" w14:textId="77777777" w:rsidR="00260595" w:rsidRDefault="0046256A">
      <w:r>
        <w:t>Die befragten Personen zeigten sich durchgehend interessiert am Konzept der Scholarly Makerspaces und begrüßten die aktive Rolle von Universitätsbibliotheken bei der Vermittlung von D</w:t>
      </w:r>
      <w:r>
        <w:t>igital-Humanities-Tools und entsprechenden Kompetenzen. Gleichzeitig wurde mehrfach betont, dass eine deutliche Abgrenzung zu bestehenden Digital-Humanities-Zentren beziehungsweise DH Labs erfolgen sollte.</w:t>
      </w:r>
      <w:r>
        <w:rPr>
          <w:vertAlign w:val="superscript"/>
        </w:rPr>
        <w:footnoteReference w:id="16"/>
      </w:r>
      <w:r>
        <w:t xml:space="preserve"> Insbesondere sollten Universitätsbibliotheken nic</w:t>
      </w:r>
      <w:r>
        <w:t xml:space="preserve">ht mit der Entwicklung von digitalen Forschungswerkzeugen befasst sein, da dies fachwissenschaftliche Expertise und umfangreiche Ressourcen benötige. Vielmehr bestünde das Potenzial von Scholarly Makerspaces in einer erhöhten Sichtbarkeit und verbesserten </w:t>
      </w:r>
      <w:r>
        <w:t>Zugänglichmachung von DH-Tools und damit auch dem Erreichen neuer Zielgruppen. Eine engere Kooperation und Arbeitsteilung zwischen DH-Communities und Universitätsbibliotheken wurde in diesem Zusammenhang als unabdingbar angesehen.</w:t>
      </w:r>
    </w:p>
    <w:p w14:paraId="00000037" w14:textId="77777777" w:rsidR="00260595" w:rsidRDefault="0046256A">
      <w:r>
        <w:t>Einigkeit bestand auch üb</w:t>
      </w:r>
      <w:r>
        <w:t xml:space="preserve">er den Befund, dass die </w:t>
      </w:r>
      <w:r>
        <w:rPr>
          <w:i/>
        </w:rPr>
        <w:t xml:space="preserve">digital </w:t>
      </w:r>
      <w:proofErr w:type="spellStart"/>
      <w:r>
        <w:rPr>
          <w:i/>
        </w:rPr>
        <w:t>literacy</w:t>
      </w:r>
      <w:proofErr w:type="spellEnd"/>
      <w:r>
        <w:t xml:space="preserve"> allgemein sowohl bei den Studierenden als auch bei den Forschenden und Dozierenden der Geistes- und Kulturwissenschaften vergleichsweise gering ausgeprägt ist und stark von der persönlichen Motivation, dem Vorwissen</w:t>
      </w:r>
      <w:r>
        <w:t xml:space="preserve"> und der Lernbereitschaft abhängt. </w:t>
      </w:r>
      <w:r>
        <w:rPr>
          <w:i/>
        </w:rPr>
        <w:t xml:space="preserve">Digital </w:t>
      </w:r>
      <w:proofErr w:type="spellStart"/>
      <w:r>
        <w:rPr>
          <w:i/>
        </w:rPr>
        <w:t>literacy</w:t>
      </w:r>
      <w:proofErr w:type="spellEnd"/>
      <w:r>
        <w:t xml:space="preserve"> bezieht sich hierbei auf wissenschaftsspezifische digitale Anwendungen und Strukturen, wozu unter anderem auch Informationsinfrastrukturen und digitale Forschungsdaten zählen. Gerade in diesen Bereichen w</w:t>
      </w:r>
      <w:r>
        <w:t xml:space="preserve">ird von Universitätsbibliotheken eine aktive </w:t>
      </w:r>
      <w:r>
        <w:lastRenderedPageBreak/>
        <w:t>Vermittlungsrolle eingefordert. Die Scholarly Makerspaces lassen sich daher als direkte Reaktion auf diese Erwartung sehen.</w:t>
      </w:r>
    </w:p>
    <w:p w14:paraId="00000038" w14:textId="77777777" w:rsidR="00260595" w:rsidRDefault="0046256A">
      <w:r>
        <w:t>Weiterhin findet eine systematische Methodenausbildung für computergestützte und werkze</w:t>
      </w:r>
      <w:r>
        <w:t>ugbasierte digitale Verfahren im Vergleich zu eher technikaffinen Wissenschaftsbereichen wie den MINT-Fächern kaum statt. Scholarly Makerspaces können und sollen dieses Desiderat nicht auffangen. Sie können jedoch einen Anlaufpunkt sowie Kommunikations- un</w:t>
      </w:r>
      <w:r>
        <w:t xml:space="preserve">d Koordinierungsraum für Akteure und Initiativen in diesem Bereich sein. Darüber können Universitätsbibliotheken als Infrastruktur- und Serviceanbieter einen Beitrag leisten, indem sie zielgruppenorientiert und niedrigschwellig Angebote schaffen, die sich </w:t>
      </w:r>
      <w:r>
        <w:t>auch für den Erstkontakt mit digitalen Forschungswerkzeugen eignen.</w:t>
      </w:r>
    </w:p>
    <w:p w14:paraId="00000039" w14:textId="77777777" w:rsidR="00260595" w:rsidRDefault="0046256A">
      <w:r>
        <w:t>Folglich wird generell die Bedeutung der Scholarly Makerspaces als Explorationsraum betont, in dem vorinstallierte Forschungswerkzeuge sowie digitale Forschungsmaterialien in unterschiedli</w:t>
      </w:r>
      <w:r>
        <w:t xml:space="preserve">chen Aufbereitungsstufen im Sinne einer </w:t>
      </w:r>
      <w:proofErr w:type="spellStart"/>
      <w:r>
        <w:t>Sandbox</w:t>
      </w:r>
      <w:proofErr w:type="spellEnd"/>
      <w:r>
        <w:t xml:space="preserve"> angeboten werden, um sich mit den Möglichkeiten und Grenzen digitaler Verfahren praktisch und ergebnisoffen auseinanderzusetzen. Für eine direkte Verbindung mit der Lehre sind Implementierungsoptionen in vorh</w:t>
      </w:r>
      <w:r>
        <w:t xml:space="preserve">andene E-Learning-Umgebungen (zum Beispiel </w:t>
      </w:r>
      <w:proofErr w:type="spellStart"/>
      <w:r>
        <w:t>Moodle</w:t>
      </w:r>
      <w:proofErr w:type="spellEnd"/>
      <w:r>
        <w:t xml:space="preserve"> an der Humboldt-Universität zu Berlin) vorgesehen.</w:t>
      </w:r>
    </w:p>
    <w:p w14:paraId="0000003A" w14:textId="77777777" w:rsidR="00260595" w:rsidRDefault="0046256A">
      <w:r>
        <w:t>Mehrfach wurde darauf hingewiesen, dass Scholarly Makerspaces einen offen und flexibel nutzbaren physischen Raum anbieten sollten, in dem physische Werkzeu</w:t>
      </w:r>
      <w:r>
        <w:t>ge (wie Buchscanner, Objekt-Scanner, 3D-Drucker, Plotter) zur Verfügung stehen, Schulungen und weitere Veranstaltungen stattfinden können sowie ein direkter Kontakt vor Ort ermöglicht wird.</w:t>
      </w:r>
    </w:p>
    <w:p w14:paraId="0000003B" w14:textId="77777777" w:rsidR="00260595" w:rsidRDefault="0046256A">
      <w:r>
        <w:t>Bei der Auswahl der angebotenen digitalen Werkzeuge sollten transp</w:t>
      </w:r>
      <w:r>
        <w:t>arente Kriterien angewendet werden, um Nutzenden die Orientierung zu erleichtern. Vorgeschlagen wurden unter anderem folgende Aspekte:</w:t>
      </w:r>
    </w:p>
    <w:p w14:paraId="0000003C" w14:textId="77777777" w:rsidR="00260595" w:rsidRDefault="0046256A">
      <w:pPr>
        <w:numPr>
          <w:ilvl w:val="0"/>
          <w:numId w:val="4"/>
        </w:numPr>
        <w:pBdr>
          <w:top w:val="nil"/>
          <w:left w:val="nil"/>
          <w:bottom w:val="nil"/>
          <w:right w:val="nil"/>
          <w:between w:val="nil"/>
        </w:pBdr>
        <w:spacing w:after="0"/>
      </w:pPr>
      <w:r>
        <w:rPr>
          <w:color w:val="000000"/>
        </w:rPr>
        <w:t xml:space="preserve">Aktualität </w:t>
      </w:r>
      <w:r>
        <w:t>beziehungsweise</w:t>
      </w:r>
      <w:r>
        <w:rPr>
          <w:color w:val="000000"/>
        </w:rPr>
        <w:t xml:space="preserve"> Stand der Wissenschaft und Technik</w:t>
      </w:r>
    </w:p>
    <w:p w14:paraId="0000003D" w14:textId="77777777" w:rsidR="00260595" w:rsidRDefault="0046256A">
      <w:pPr>
        <w:numPr>
          <w:ilvl w:val="0"/>
          <w:numId w:val="4"/>
        </w:numPr>
        <w:pBdr>
          <w:top w:val="nil"/>
          <w:left w:val="nil"/>
          <w:bottom w:val="nil"/>
          <w:right w:val="nil"/>
          <w:between w:val="nil"/>
        </w:pBdr>
        <w:spacing w:after="0"/>
      </w:pPr>
      <w:r>
        <w:rPr>
          <w:color w:val="000000"/>
        </w:rPr>
        <w:t>Pflegegrad und Nachhaltigkeitskonzept</w:t>
      </w:r>
    </w:p>
    <w:p w14:paraId="0000003E" w14:textId="77777777" w:rsidR="00260595" w:rsidRDefault="0046256A">
      <w:pPr>
        <w:numPr>
          <w:ilvl w:val="0"/>
          <w:numId w:val="4"/>
        </w:numPr>
        <w:pBdr>
          <w:top w:val="nil"/>
          <w:left w:val="nil"/>
          <w:bottom w:val="nil"/>
          <w:right w:val="nil"/>
          <w:between w:val="nil"/>
        </w:pBdr>
        <w:spacing w:after="0"/>
      </w:pPr>
      <w:r>
        <w:rPr>
          <w:color w:val="000000"/>
        </w:rPr>
        <w:t>Akzeptanz in der Fach</w:t>
      </w:r>
      <w:r>
        <w:rPr>
          <w:color w:val="000000"/>
        </w:rPr>
        <w:t>-Community</w:t>
      </w:r>
    </w:p>
    <w:p w14:paraId="0000003F" w14:textId="77777777" w:rsidR="00260595" w:rsidRDefault="0046256A">
      <w:pPr>
        <w:numPr>
          <w:ilvl w:val="0"/>
          <w:numId w:val="4"/>
        </w:numPr>
        <w:pBdr>
          <w:top w:val="nil"/>
          <w:left w:val="nil"/>
          <w:bottom w:val="nil"/>
          <w:right w:val="nil"/>
          <w:between w:val="nil"/>
        </w:pBdr>
        <w:spacing w:after="0"/>
      </w:pPr>
      <w:r>
        <w:rPr>
          <w:color w:val="000000"/>
        </w:rPr>
        <w:t>Installationsaufwand und Usability</w:t>
      </w:r>
    </w:p>
    <w:p w14:paraId="00000040" w14:textId="77777777" w:rsidR="00260595" w:rsidRDefault="0046256A">
      <w:pPr>
        <w:numPr>
          <w:ilvl w:val="0"/>
          <w:numId w:val="4"/>
        </w:numPr>
        <w:pBdr>
          <w:top w:val="nil"/>
          <w:left w:val="nil"/>
          <w:bottom w:val="nil"/>
          <w:right w:val="nil"/>
          <w:between w:val="nil"/>
        </w:pBdr>
        <w:spacing w:after="0"/>
      </w:pPr>
      <w:r>
        <w:rPr>
          <w:color w:val="000000"/>
        </w:rPr>
        <w:t>Interoperabilität (</w:t>
      </w:r>
      <w:r>
        <w:t>zum Beispiel</w:t>
      </w:r>
      <w:r>
        <w:rPr>
          <w:color w:val="000000"/>
        </w:rPr>
        <w:t xml:space="preserve"> Exportformate, Datenstandards)</w:t>
      </w:r>
    </w:p>
    <w:p w14:paraId="00000041" w14:textId="77777777" w:rsidR="00260595" w:rsidRDefault="0046256A">
      <w:pPr>
        <w:numPr>
          <w:ilvl w:val="0"/>
          <w:numId w:val="4"/>
        </w:numPr>
        <w:pBdr>
          <w:top w:val="nil"/>
          <w:left w:val="nil"/>
          <w:bottom w:val="nil"/>
          <w:right w:val="nil"/>
          <w:between w:val="nil"/>
        </w:pBdr>
        <w:spacing w:after="0"/>
      </w:pPr>
      <w:r>
        <w:rPr>
          <w:color w:val="000000"/>
        </w:rPr>
        <w:t>Ansprechpartner auf Seiten der Entwickler</w:t>
      </w:r>
    </w:p>
    <w:p w14:paraId="00000042" w14:textId="77777777" w:rsidR="00260595" w:rsidRDefault="0046256A">
      <w:pPr>
        <w:numPr>
          <w:ilvl w:val="0"/>
          <w:numId w:val="4"/>
        </w:numPr>
        <w:pBdr>
          <w:top w:val="nil"/>
          <w:left w:val="nil"/>
          <w:bottom w:val="nil"/>
          <w:right w:val="nil"/>
          <w:between w:val="nil"/>
        </w:pBdr>
        <w:jc w:val="left"/>
      </w:pPr>
      <w:r>
        <w:rPr>
          <w:color w:val="000000"/>
        </w:rPr>
        <w:t>Schulungsangebote durch die Scholarly Makerspaces.</w:t>
      </w:r>
    </w:p>
    <w:p w14:paraId="00000043" w14:textId="77777777" w:rsidR="00260595" w:rsidRDefault="0046256A">
      <w:pPr>
        <w:spacing w:after="0"/>
      </w:pPr>
      <w:r>
        <w:lastRenderedPageBreak/>
        <w:t>Auch die konkrete lokale Nachfrage sollte berücksichti</w:t>
      </w:r>
      <w:r>
        <w:t>gt werden. Allgemein wird ein Grundstock an vergleichsweise generischen und exemplarischen Lösungen erwartet, der je nach lokaler Situation um spezifische Lösungen ergänzt werden kann.</w:t>
      </w:r>
    </w:p>
    <w:p w14:paraId="00000044" w14:textId="77777777" w:rsidR="00260595" w:rsidRDefault="0046256A">
      <w:pPr>
        <w:spacing w:before="200"/>
      </w:pPr>
      <w:r>
        <w:t>Allerdings wurde darauf hingewiesen, dass aufgrund der Vielzahl und dynamischen Entwicklung von DH-Tools nicht das einzelne Forschungswerkzeug im Fokus stehen sollte, sondern die entsprechende Funktion von Werkzeugen innerhalb typischer Forschungsprozesse.</w:t>
      </w:r>
      <w:r>
        <w:t xml:space="preserve"> Die </w:t>
      </w:r>
      <w:proofErr w:type="spellStart"/>
      <w:r>
        <w:t>TaDiRAH</w:t>
      </w:r>
      <w:proofErr w:type="spellEnd"/>
      <w:r>
        <w:t>-Taxonomie bietet hier eine erste Orientierung (beispielsweise Erfassen, Erzeugen, Anreichern, Analyse, Interpretation, Speicherung, Dissemination).</w:t>
      </w:r>
      <w:r>
        <w:rPr>
          <w:vertAlign w:val="superscript"/>
        </w:rPr>
        <w:footnoteReference w:id="17"/>
      </w:r>
      <w:r>
        <w:t xml:space="preserve"> Idealerweise bieten Scholarly Makerspaces zu jeder Funktion eine Auswahl an Werkzeugen mitsamt</w:t>
      </w:r>
      <w:r>
        <w:t xml:space="preserve"> Evaluation und Nutzungsbeschreibung, eventuell sogar einem Tutorial an. Dabei sollten durchaus auch kommerzielle Angebote berücksichtigt werden, die gegebenenfalls für die Hochschule lizenziert werden können. Ein Beispiel wäre der in der DH-Community weit</w:t>
      </w:r>
      <w:r>
        <w:t>hin etablierte XML-Editor Oxygen.</w:t>
      </w:r>
      <w:r>
        <w:rPr>
          <w:vertAlign w:val="superscript"/>
        </w:rPr>
        <w:footnoteReference w:id="18"/>
      </w:r>
    </w:p>
    <w:p w14:paraId="00000045" w14:textId="77777777" w:rsidR="00260595" w:rsidRDefault="0046256A">
      <w:pPr>
        <w:spacing w:before="200"/>
      </w:pPr>
      <w:r>
        <w:t xml:space="preserve">Im Unterschied zu bloßen Linklisten für DH-Tools sollten Scholarly Makerspaces die Angebote </w:t>
      </w:r>
      <w:proofErr w:type="spellStart"/>
      <w:r>
        <w:t>kuratieren</w:t>
      </w:r>
      <w:proofErr w:type="spellEnd"/>
      <w:r>
        <w:t xml:space="preserve"> und didaktisch aufbereiten. Ein konkreter Vorschlag ist eine Art geführte Tour, die von Nutzenden auch eigenständig ab</w:t>
      </w:r>
      <w:r>
        <w:t>solviert werden kann. Diese Tour sollte einen idealtypischen Arbeits- und Forschungsprozess mit den entsprechenden werkzeugbasierten Verfahren abbilden, sodass sich Nutzende mit neuen Forschungsverfahren über praktische Erfahrungen, beispielsweise über Dem</w:t>
      </w:r>
      <w:r>
        <w:t>os oder Testdaten, vertraut machen können. Am Beispiel der Textanalyse würde eine solche geführte Tour beispielsweise folgende Schritte umfassen:</w:t>
      </w:r>
    </w:p>
    <w:p w14:paraId="00000046" w14:textId="77777777" w:rsidR="00260595" w:rsidRDefault="0046256A">
      <w:pPr>
        <w:numPr>
          <w:ilvl w:val="0"/>
          <w:numId w:val="2"/>
        </w:numPr>
        <w:spacing w:before="200" w:after="0"/>
      </w:pPr>
      <w:r>
        <w:t xml:space="preserve">Erstellung eines </w:t>
      </w:r>
      <w:proofErr w:type="spellStart"/>
      <w:r>
        <w:t>Digitalisates</w:t>
      </w:r>
      <w:proofErr w:type="spellEnd"/>
      <w:r>
        <w:t>,</w:t>
      </w:r>
    </w:p>
    <w:p w14:paraId="00000047" w14:textId="59BBF978" w:rsidR="00260595" w:rsidRDefault="0046256A">
      <w:pPr>
        <w:numPr>
          <w:ilvl w:val="0"/>
          <w:numId w:val="2"/>
        </w:numPr>
        <w:spacing w:after="0"/>
      </w:pPr>
      <w:r>
        <w:t>Handschriftenerfassung beziehungsweise Texterfassung</w:t>
      </w:r>
      <w:r>
        <w:t>,</w:t>
      </w:r>
    </w:p>
    <w:p w14:paraId="00000048" w14:textId="77777777" w:rsidR="00260595" w:rsidRDefault="0046256A">
      <w:pPr>
        <w:numPr>
          <w:ilvl w:val="0"/>
          <w:numId w:val="2"/>
        </w:numPr>
        <w:spacing w:after="0"/>
      </w:pPr>
      <w:r>
        <w:t>XML-Strukturierung,</w:t>
      </w:r>
    </w:p>
    <w:p w14:paraId="00000049" w14:textId="77777777" w:rsidR="00260595" w:rsidRDefault="0046256A">
      <w:pPr>
        <w:numPr>
          <w:ilvl w:val="0"/>
          <w:numId w:val="2"/>
        </w:numPr>
        <w:spacing w:after="0"/>
      </w:pPr>
      <w:r>
        <w:t>Nor</w:t>
      </w:r>
      <w:r>
        <w:t>malisierung,</w:t>
      </w:r>
    </w:p>
    <w:p w14:paraId="0000004A" w14:textId="77777777" w:rsidR="00260595" w:rsidRDefault="0046256A">
      <w:pPr>
        <w:numPr>
          <w:ilvl w:val="0"/>
          <w:numId w:val="2"/>
        </w:numPr>
        <w:spacing w:after="0"/>
      </w:pPr>
      <w:r>
        <w:t>Anreicherung beziehungsweise Annotation,</w:t>
      </w:r>
    </w:p>
    <w:p w14:paraId="0000004B" w14:textId="77777777" w:rsidR="00260595" w:rsidRDefault="0046256A">
      <w:pPr>
        <w:numPr>
          <w:ilvl w:val="0"/>
          <w:numId w:val="2"/>
        </w:numPr>
        <w:spacing w:after="0"/>
      </w:pPr>
      <w:r>
        <w:t>Textanalyse,</w:t>
      </w:r>
    </w:p>
    <w:p w14:paraId="0000004C" w14:textId="77777777" w:rsidR="00260595" w:rsidRDefault="0046256A">
      <w:pPr>
        <w:numPr>
          <w:ilvl w:val="0"/>
          <w:numId w:val="2"/>
        </w:numPr>
        <w:spacing w:after="0"/>
      </w:pPr>
      <w:r>
        <w:t>Visualisierung,</w:t>
      </w:r>
    </w:p>
    <w:p w14:paraId="0000004D" w14:textId="77777777" w:rsidR="00260595" w:rsidRDefault="0046256A">
      <w:pPr>
        <w:numPr>
          <w:ilvl w:val="0"/>
          <w:numId w:val="2"/>
        </w:numPr>
        <w:spacing w:after="0"/>
      </w:pPr>
      <w:r>
        <w:t>Export zur Ausgabevorbereitung in Druck und digital,</w:t>
      </w:r>
    </w:p>
    <w:p w14:paraId="0000004E" w14:textId="77777777" w:rsidR="00260595" w:rsidRDefault="0046256A">
      <w:pPr>
        <w:numPr>
          <w:ilvl w:val="0"/>
          <w:numId w:val="2"/>
        </w:numPr>
      </w:pPr>
      <w:r>
        <w:t>Export zur Langzeitarchivierung und Bereitstellung zur Nachnutzung.</w:t>
      </w:r>
    </w:p>
    <w:p w14:paraId="0000004F" w14:textId="77777777" w:rsidR="00260595" w:rsidRDefault="0046256A">
      <w:pPr>
        <w:pBdr>
          <w:top w:val="nil"/>
          <w:left w:val="nil"/>
          <w:bottom w:val="nil"/>
          <w:right w:val="nil"/>
          <w:between w:val="nil"/>
        </w:pBdr>
      </w:pPr>
      <w:r>
        <w:t>Weiterhin wurde in den Interviews hervorgehoben, das</w:t>
      </w:r>
      <w:r>
        <w:t xml:space="preserve">s die Anbieter von Scholarly Makerspaces über hinreichende DH-Kompetenzen verfügen müssen, um Schulungen und Beratungen vor Ort </w:t>
      </w:r>
      <w:r>
        <w:lastRenderedPageBreak/>
        <w:t>durchführen beziehungsweise koordinieren zu können. Da diese Kompetenzen oftmals nicht im vorhandenen Personalbestand vorausgese</w:t>
      </w:r>
      <w:r>
        <w:t xml:space="preserve">tzt werden können, sollte bei Personalentscheidungen auf entsprechende Qualifizierungen geachtet werden, beispielsweise mit dem Profil eines </w:t>
      </w:r>
      <w:r>
        <w:rPr>
          <w:i/>
        </w:rPr>
        <w:t xml:space="preserve">Data </w:t>
      </w:r>
      <w:proofErr w:type="spellStart"/>
      <w:r>
        <w:rPr>
          <w:i/>
        </w:rPr>
        <w:t>Librarian</w:t>
      </w:r>
      <w:proofErr w:type="spellEnd"/>
      <w:r>
        <w:t xml:space="preserve"> beziehungsweise von Absolventinnen und Absolventen eines DH-Studienganges.</w:t>
      </w:r>
    </w:p>
    <w:p w14:paraId="00000050" w14:textId="77777777" w:rsidR="00260595" w:rsidRDefault="0046256A">
      <w:pPr>
        <w:pBdr>
          <w:top w:val="nil"/>
          <w:left w:val="nil"/>
          <w:bottom w:val="nil"/>
          <w:right w:val="nil"/>
          <w:between w:val="nil"/>
        </w:pBdr>
      </w:pPr>
      <w:r>
        <w:t>Schließlich wurde empfohl</w:t>
      </w:r>
      <w:r>
        <w:t>en, die Umsetzung eines Scholarly Makerspaces in das strategische Gesamtkonzept der jeweiligen Universitätsbibliothek beziehungsweise Universität zu integrieren und bei der Einführung auf Marketing-Strategien wie Branding und gezielte Öffentlichkeitsarbeit</w:t>
      </w:r>
      <w:r>
        <w:t xml:space="preserve"> zur Etablierung vor Ort zu setzen.</w:t>
      </w:r>
    </w:p>
    <w:p w14:paraId="00000051" w14:textId="77777777" w:rsidR="00260595" w:rsidRDefault="0046256A">
      <w:pPr>
        <w:pStyle w:val="Heading2"/>
      </w:pPr>
      <w:bookmarkStart w:id="16" w:name="_1ksv4uv" w:colFirst="0" w:colLast="0"/>
      <w:bookmarkEnd w:id="16"/>
      <w:r>
        <w:t>2.3 Expertenworkshop</w:t>
      </w:r>
    </w:p>
    <w:p w14:paraId="00000052" w14:textId="77777777" w:rsidR="00260595" w:rsidRDefault="0046256A">
      <w:r>
        <w:t xml:space="preserve">In einer Diskussion mit Expertinnen und Experten im Rahmen des </w:t>
      </w:r>
      <w:proofErr w:type="spellStart"/>
      <w:r>
        <w:t>FuReSH</w:t>
      </w:r>
      <w:proofErr w:type="spellEnd"/>
      <w:r>
        <w:t>-Workshops “Scholarly Makerspaces – Bibliotheken als Vermittlungsplattform von Digital-Humanities-Tools”</w:t>
      </w:r>
      <w:r>
        <w:rPr>
          <w:vertAlign w:val="superscript"/>
        </w:rPr>
        <w:footnoteReference w:id="19"/>
      </w:r>
      <w:r>
        <w:t xml:space="preserve"> wurden weitere Aspekte konkretisiert und diskutiert. Beispielsweise sollten Scholarly Makerspaces mit bereits bestehenden Serviceangeboten der jeweiligen Hochschule integriert werden, sodass Infrastrukturlösungen (zum Beispiel Cloud-Speicher, Umgebungen z</w:t>
      </w:r>
      <w:r>
        <w:t xml:space="preserve">um </w:t>
      </w:r>
      <w:proofErr w:type="spellStart"/>
      <w:r>
        <w:t>kollaborativen</w:t>
      </w:r>
      <w:proofErr w:type="spellEnd"/>
      <w:r>
        <w:t xml:space="preserve"> Arbeiten, Medienrepositorien, Mediatheken, Publikationsserver) und weitere digitale Werkzeuge (zum Beispiel Literaturverwaltungsprogramme) bis hin zu physischen Werkzeugen (zum Beispiel 3D-Drucker, Plotter) in einem größeren Zusammenhang </w:t>
      </w:r>
      <w:r>
        <w:t>sichtbar werden.</w:t>
      </w:r>
    </w:p>
    <w:p w14:paraId="00000053" w14:textId="77777777" w:rsidR="00260595" w:rsidRDefault="0046256A">
      <w:r>
        <w:t>Ein weiterer angesprochener Aspekt war die Orientierung an den Curricula mit Schnittmengen zu digitaler Forschung an der jeweiligen Hochschule. Da die Kompetenzvermittlung zur digitalen Forschung in den Kultur- und Geisteswissenschaften vo</w:t>
      </w:r>
      <w:r>
        <w:t>rnehmlich die Aufgabe der Fach-Communities und damit der einzelnen Fakultäten und Institute ist, sollten die Infrastrukturangebote auf deren Aktivitäten und Bedarfe zugeschnitten sein. An der Humboldt-Universität zu Berlin könnten beispielsweise für Studie</w:t>
      </w:r>
      <w:r>
        <w:t>rende der digitalen Geschichtswissenschaft entsprechende Annotations- und Analysewerkzeuge auf arbeitsfähigen Workstations bereitgestellt werden, die eine seminarbegleitende Methodenvermittlung ermöglichen.</w:t>
      </w:r>
    </w:p>
    <w:p w14:paraId="00000054" w14:textId="77777777" w:rsidR="00260595" w:rsidRDefault="0046256A">
      <w:r>
        <w:t xml:space="preserve">Des </w:t>
      </w:r>
      <w:proofErr w:type="spellStart"/>
      <w:r>
        <w:t>Weiteren</w:t>
      </w:r>
      <w:proofErr w:type="spellEnd"/>
      <w:r>
        <w:t xml:space="preserve"> wurde darauf hingewiesen, dass versc</w:t>
      </w:r>
      <w:r>
        <w:t>hiedene Konzeptionen von sogenannten Labs (Library Lab</w:t>
      </w:r>
      <w:r>
        <w:rPr>
          <w:vertAlign w:val="superscript"/>
        </w:rPr>
        <w:footnoteReference w:id="20"/>
      </w:r>
      <w:r>
        <w:t xml:space="preserve">, DH Lab, Data Lab und andere) zwar der Idee von Scholarly Makerspaces ähneln, jedoch </w:t>
      </w:r>
      <w:r>
        <w:lastRenderedPageBreak/>
        <w:t>andere Schwerpunkte aufweisen und daher eher arbeitsteilig als Ergänzung oder Partner verstanden werden sollten. Wä</w:t>
      </w:r>
      <w:r>
        <w:t>hrend es zum Beispiel bei dem geplanten SBB Lab der Staatsbibliothek Berlin vorrangig um die Kuratierung des eigenen digitalen Bestandes geht und bei der Konzeption des Human-</w:t>
      </w:r>
      <w:proofErr w:type="spellStart"/>
      <w:r>
        <w:t>Centered</w:t>
      </w:r>
      <w:proofErr w:type="spellEnd"/>
      <w:r>
        <w:t xml:space="preserve"> Data Laboratory an der Freien Universität Berlin um die kritische Reflex</w:t>
      </w:r>
      <w:r>
        <w:t>ion über die Mensch-Maschine-Interaktion, steht bei den Scholarly Makerspaces vor allem ein forschungsbegleitender und didaktischer Ansatz im Vordergrund. Sowohl das SBB Lab als auch das Data Laboratory können aber im Netzwerk der Scholarly Makerspaces akt</w:t>
      </w:r>
      <w:r>
        <w:t>ive Rollen übernehmen – das erste, in dem es digitalisierte Quellen zur Beforschung bereitstellt; das zweite, in dem es aktiv beispielsweise über Veranstaltungen die Reflexion zu den Bedingungen digitaler Forschung anregt.</w:t>
      </w:r>
    </w:p>
    <w:p w14:paraId="00000055" w14:textId="77777777" w:rsidR="00260595" w:rsidRDefault="0046256A">
      <w:r>
        <w:t>In der Diskussion wurde auch erwo</w:t>
      </w:r>
      <w:r>
        <w:t>gen, ob für die angebotenen Schulungen in den Scholarly Makerspaces nicht auch als anrechenbare Leistung im Rahmen des Studiums vergeben werden könnten, um einen höheren Anreiz für Studierende zu schaffen. Allerdings gab es hierbei unterschiedliche Meinung</w:t>
      </w:r>
      <w:r>
        <w:t xml:space="preserve">en. Da es nicht Aufgabe von Universitätsbibliotheken ist, über Studienordnungen und Kreditierungen zu entscheiden, können solche Erwägungen nur im Gespräch mit den entsprechenden Fakultäten und Instituten </w:t>
      </w:r>
      <w:proofErr w:type="spellStart"/>
      <w:r>
        <w:t>substanziiert</w:t>
      </w:r>
      <w:proofErr w:type="spellEnd"/>
      <w:r>
        <w:t xml:space="preserve"> und allenfalls mittel- oder langfrist</w:t>
      </w:r>
      <w:r>
        <w:t>ig umgesetzt werden. Der Schwerpunkt der Scholarly Makerspaces sollte nicht die Übernahme einer Methodenausbildung sein, sondern ein Beratungs- und Motivationsangebot für die reflexive und im Ergebnis forschungsorientierte Beschäftigung mit digitalen Werkz</w:t>
      </w:r>
      <w:r>
        <w:t>eugen, Daten und Verfahren.</w:t>
      </w:r>
    </w:p>
    <w:p w14:paraId="00000056" w14:textId="77777777" w:rsidR="00260595" w:rsidRDefault="0046256A">
      <w:r>
        <w:t>Einigkeit bestand über die Herausforderung, dass sich die Umsetzung von Scholarly Makerspaces an Universitätsbibliotheken in einem Spannungsfeld zwischen personellen Ressourcen und der Komplexität der Aufgaben befindet. Allgemei</w:t>
      </w:r>
      <w:r>
        <w:t>n wurde die dauerhafte Betreuung eines Scholarly Makerspaces mit ein bis zwei Vollzeitstellen als realistisch angesehen.</w:t>
      </w:r>
    </w:p>
    <w:p w14:paraId="00000057" w14:textId="77777777" w:rsidR="00260595" w:rsidRDefault="0046256A">
      <w:r>
        <w:t>Für die Implementierungsphase sollten schon aus pragmatischen Gründen Arbeitsschwerpunkte klar definiert und priorisiert werden. Für da</w:t>
      </w:r>
      <w:r>
        <w:t>s Umsetzungsmodell wurde daher eine Differenzierung zwischen festen Aufgaben im Sinne der Grundidee und variablen Schwerpunkten in Abstimmung mit den jeweiligen lokalen Bedingungen und Anforderungen diskutiert. Zu den festen Diensten zählt neben der Kurati</w:t>
      </w:r>
      <w:r>
        <w:t>erung digitaler Angebote und der Bereitstellung eines Raumes mit anwendungsbereiten Workstations, der zugleich Schulungs-, Explorations-, Kommunikations- und Reflexionsraum sein soll, vor allem der Schwerpunkt Vernetzung und Kooperation mit weiteren Partne</w:t>
      </w:r>
      <w:r>
        <w:t>rn. Somit muss im Idealfall gerade bei Beratungen keine vollumfassende Expertise vor Ort vorhanden sein. Wichtig ist, den Beratungsbedarf eindeutig zu bestimmen und die passenden Expertinnen und Experten vermitteln zu können.</w:t>
      </w:r>
    </w:p>
    <w:p w14:paraId="00000058" w14:textId="77777777" w:rsidR="00260595" w:rsidRDefault="0046256A">
      <w:pPr>
        <w:pStyle w:val="Heading1"/>
      </w:pPr>
      <w:bookmarkStart w:id="17" w:name="_44sinio" w:colFirst="0" w:colLast="0"/>
      <w:bookmarkEnd w:id="17"/>
      <w:r>
        <w:lastRenderedPageBreak/>
        <w:t>3 Konkretisierung des Zielszenarios</w:t>
      </w:r>
    </w:p>
    <w:p w14:paraId="00000059" w14:textId="77777777" w:rsidR="00260595" w:rsidRDefault="0046256A">
      <w:pPr>
        <w:pStyle w:val="Heading2"/>
        <w:spacing w:before="0"/>
      </w:pPr>
      <w:bookmarkStart w:id="18" w:name="_2jxsxqh" w:colFirst="0" w:colLast="0"/>
      <w:bookmarkEnd w:id="18"/>
      <w:r>
        <w:t>3.1 Eingrenzung und Beschreibung des Angebots</w:t>
      </w:r>
    </w:p>
    <w:p w14:paraId="0000005A" w14:textId="77777777" w:rsidR="00260595" w:rsidRDefault="0046256A">
      <w:r>
        <w:t>Als zentrale Herausforderung wurde in der Erhebung festgestellt, dass ein Angebot wie die Scholarly Makerspaces zu stark in Richtung der Fachwissenschaften und insbesondere d</w:t>
      </w:r>
      <w:r>
        <w:t xml:space="preserve">er Digital Humanities streben könnte und damit das eigentliche Angebots- und Leistungsprofil von Universitätsbibliotheken überschreiten würde. Daher müssen der bibliothekarische Hintergrund und der </w:t>
      </w:r>
      <w:proofErr w:type="spellStart"/>
      <w:r>
        <w:t>kollaborative</w:t>
      </w:r>
      <w:proofErr w:type="spellEnd"/>
      <w:r>
        <w:t xml:space="preserve"> Ansatz des Angebotes klar herausgestellt wer</w:t>
      </w:r>
      <w:r>
        <w:t>den. Hinter der Idee der Scholarly Makerspaces steht die Prämisse, dass eine Universitätsbibliothek ihre Nutzenden grundsätzlich befähigen muss, die für die Wissenschaft notwendigen Bestände und bibliothekarisch vermittelten Bezugsmaterialien angemessen re</w:t>
      </w:r>
      <w:r>
        <w:t>zipieren zu können.</w:t>
      </w:r>
    </w:p>
    <w:p w14:paraId="0000005B" w14:textId="77777777" w:rsidR="00260595" w:rsidRDefault="0046256A">
      <w:r>
        <w:t>In dem Maße, in dem die lange dominierenden narrativen Publikationsformen (zum Beispiel Zeitschriftenaufsatz, Monografien, Sammelbände) erweitert beziehungsweise digital überformt werden (zum Beispiel Datenbanken, Forschungsdatenpublika</w:t>
      </w:r>
      <w:r>
        <w:t>tionen, Enhanced Publications, Korpora) und oft nur mit bestimmten Anzeige-, Zugangs- und Verarbeitungsmitteln genutzt werden können, muss die Bibliothek folglich Angebote schaffen, die den Nutzenden eine grundlegende Anwendung dieser Mittel ermöglicht.</w:t>
      </w:r>
    </w:p>
    <w:p w14:paraId="0000005C" w14:textId="77777777" w:rsidR="00260595" w:rsidRDefault="0046256A">
      <w:r>
        <w:t>Hi</w:t>
      </w:r>
      <w:r>
        <w:t>nzu kommt, dass die Auseinandersetzung mit derartigen Materialien nicht mehr in einer linear modellierbaren reinen Rezeption erfolgt, sondern häufig über dynamische Interaktion. Ein Desiderat bleibt dabei, dass die Nutzung solcher Formen der digitalen Fors</w:t>
      </w:r>
      <w:r>
        <w:t xml:space="preserve">chung bestimmte neue </w:t>
      </w:r>
      <w:proofErr w:type="spellStart"/>
      <w:r>
        <w:t>Literarizitäten</w:t>
      </w:r>
      <w:proofErr w:type="spellEnd"/>
      <w:r>
        <w:t xml:space="preserve"> (zum Beispiel </w:t>
      </w:r>
      <w:r>
        <w:rPr>
          <w:i/>
        </w:rPr>
        <w:t xml:space="preserve">digital </w:t>
      </w:r>
      <w:proofErr w:type="spellStart"/>
      <w:r>
        <w:rPr>
          <w:i/>
        </w:rPr>
        <w:t>literacy</w:t>
      </w:r>
      <w:proofErr w:type="spellEnd"/>
      <w:r>
        <w:t xml:space="preserve">, </w:t>
      </w:r>
      <w:proofErr w:type="spellStart"/>
      <w:r>
        <w:rPr>
          <w:i/>
        </w:rPr>
        <w:t>data</w:t>
      </w:r>
      <w:proofErr w:type="spellEnd"/>
      <w:r>
        <w:rPr>
          <w:i/>
        </w:rPr>
        <w:t xml:space="preserve"> </w:t>
      </w:r>
      <w:proofErr w:type="spellStart"/>
      <w:r>
        <w:rPr>
          <w:i/>
        </w:rPr>
        <w:t>literacy</w:t>
      </w:r>
      <w:proofErr w:type="spellEnd"/>
      <w:r>
        <w:rPr>
          <w:i/>
        </w:rPr>
        <w:t xml:space="preserve">, </w:t>
      </w:r>
      <w:proofErr w:type="spellStart"/>
      <w:r>
        <w:rPr>
          <w:i/>
        </w:rPr>
        <w:t>tool</w:t>
      </w:r>
      <w:proofErr w:type="spellEnd"/>
      <w:r>
        <w:rPr>
          <w:i/>
        </w:rPr>
        <w:t xml:space="preserve"> </w:t>
      </w:r>
      <w:proofErr w:type="spellStart"/>
      <w:r>
        <w:rPr>
          <w:i/>
        </w:rPr>
        <w:t>literacy</w:t>
      </w:r>
      <w:proofErr w:type="spellEnd"/>
      <w:r>
        <w:t>) voraussetzt. Diese beschränken sich nicht auf die reine Bedienungsfähigkeit, sondern umfassen den eigentlich wichtigeren Aspekt eines Verstehens der Funktion</w:t>
      </w:r>
      <w:r>
        <w:t>sweise, Möglichkeiten und Grenzen digitaler Forschungsverfahren und -technologien. Dies wird als Forschungsagenda teilweise in der Bibliotheks- und Informationswissenschaft und in den Konzepten der Science Technology Studies abgedeckt, ist jedoch von derar</w:t>
      </w:r>
      <w:r>
        <w:t>t grundlegender Relevanz, dass entsprechende Reflexionsschritte Teil jeder digital beeinflussten Methodologie sein sollten. Dieser Schritt soll und muss in der Tiefe den Fachwissenschaften überlassen werden. Da sich diese jedoch, wie auch die Erhebung erga</w:t>
      </w:r>
      <w:r>
        <w:t>b, bislang sehr heterogen, oft nicht systematisch, teils auch sogar nur implizit mit diesen Fragen auseinandersetzen, ergibt sich für Universitätsbibliotheken als Dienstleister der wissenschaftlichen Informationsversorgung die zumindest vorübergehende Aufg</w:t>
      </w:r>
      <w:r>
        <w:t>abe, gezielt angleichende Vermittlungen von Basiskompetenzen zur Nutzung digitaler Formen wissenschaftlicher Information und Kommunikation anzubieten beziehungsweise anzuregen.</w:t>
      </w:r>
    </w:p>
    <w:p w14:paraId="0000005D" w14:textId="77777777" w:rsidR="00260595" w:rsidRDefault="0046256A">
      <w:r>
        <w:lastRenderedPageBreak/>
        <w:t>Für die Forschenden der Hochschule umfasst das Angebot neben einer ebenfalls na</w:t>
      </w:r>
      <w:r>
        <w:t>chgefragten allgemeinen Kompetenzvermittlung auch eine Beratung mit dem Ziel der Forschungsoptimierung und -</w:t>
      </w:r>
      <w:proofErr w:type="spellStart"/>
      <w:r>
        <w:t>qualitätssicherung</w:t>
      </w:r>
      <w:proofErr w:type="spellEnd"/>
      <w:r>
        <w:t>. In Entsprechung zu bereits vorhandenen Beratungsdiensten zum Forschungsdatenmanagement und zum elektronischen Publizieren schlie</w:t>
      </w:r>
      <w:r>
        <w:t>ßen Scholarly Makerspaces die Lücke für die Auswahl von Verfahren und Werkzeugen. Sie helfen sicherzustellen, dass Forschende für ihre Projekte den jeweils aktuellen Stand entsprechender Lösungen und Standards kennen und berücksichtigen. Die Scholarly Make</w:t>
      </w:r>
      <w:r>
        <w:t>rspaces sind demnach nicht nur Arbeits- und Trainingsort, sondern auch Anlaufpunkt für einen systematischen Überblick zum aktuellen Entwicklungsstand zu digitalen Forschungsverfahren und -</w:t>
      </w:r>
      <w:proofErr w:type="spellStart"/>
      <w:r>
        <w:t>werkzeugen</w:t>
      </w:r>
      <w:proofErr w:type="spellEnd"/>
      <w:r>
        <w:t xml:space="preserve"> für die Kultur- und Geisteswissenschaften, etwa in Entspr</w:t>
      </w:r>
      <w:r>
        <w:t>echung zur Rolle von Fachreferentinnen und -referenten.</w:t>
      </w:r>
    </w:p>
    <w:p w14:paraId="0000005E" w14:textId="77777777" w:rsidR="00260595" w:rsidRDefault="0046256A">
      <w:pPr>
        <w:pStyle w:val="Heading2"/>
      </w:pPr>
      <w:bookmarkStart w:id="19" w:name="_z337ya" w:colFirst="0" w:colLast="0"/>
      <w:bookmarkEnd w:id="19"/>
      <w:r>
        <w:t>3.2 Serviceangebote</w:t>
      </w:r>
    </w:p>
    <w:p w14:paraId="0000005F" w14:textId="77777777" w:rsidR="00260595" w:rsidRDefault="0046256A">
      <w:r>
        <w:t xml:space="preserve">Das Serviceportfolio von Scholarly Makerspaces bietet infrastrukturelle Lösungen sowie Angebote zur Schulung, Beratung und Community-Bildung. Zu den Infrastrukturangeboten gehören </w:t>
      </w:r>
      <w:r>
        <w:t>ein physischer Raum sowie die Workstations mit einsatzbereiten digitalen Werkzeugen beziehungsweise Schnittstellen zu weiteren digitalen Ressourcen. Die Angebote der Schulung und Beratung umfassen neben einer Webpräsenz (zum Beispiel Webseite, Weblog, Wiki</w:t>
      </w:r>
      <w:r>
        <w:t>) eingebundene oder verlinkte Tutorials in verschiedenen medialen Formen sowie die direkte Kommunikation in Form von Kompetenzschulungen, Beratungen und weiteren Veranstaltungen vor Ort. Die Community-Bildung wird aktiv durch die Etablierung und Pflege ein</w:t>
      </w:r>
      <w:r>
        <w:t>es Netzwerkes unterstützt. Die Angebote sind so konzipiert, dass sie sich ergänzen und in Wechselwirkung stehen.</w:t>
      </w:r>
    </w:p>
    <w:p w14:paraId="00000060" w14:textId="77777777" w:rsidR="00260595" w:rsidRDefault="0046256A">
      <w:pPr>
        <w:pStyle w:val="Heading2"/>
      </w:pPr>
      <w:bookmarkStart w:id="20" w:name="_3j2qqm3" w:colFirst="0" w:colLast="0"/>
      <w:bookmarkEnd w:id="20"/>
      <w:r>
        <w:t xml:space="preserve">3.3 Zielgruppen </w:t>
      </w:r>
    </w:p>
    <w:p w14:paraId="00000061" w14:textId="77777777" w:rsidR="00260595" w:rsidRDefault="0046256A">
      <w:r>
        <w:t>Allgemein sollen sich in den unmittelbaren Zielgruppen potenziell alle Nutzenden der Universitätsbibliothek finden können. Für</w:t>
      </w:r>
      <w:r>
        <w:t xml:space="preserve"> die Operationalisierung und den Zuschnitt entsprechender Angebote und Kommunikationsstrategien sind diese jedoch konkreter zu differenzieren. Neben der Gruppe der allgemein Interessierten sind dies im Bereich der Geistes- und Kulturwissenschaften vor alle</w:t>
      </w:r>
      <w:r>
        <w:t>m:</w:t>
      </w:r>
    </w:p>
    <w:p w14:paraId="00000062" w14:textId="77777777" w:rsidR="00260595" w:rsidRDefault="0046256A">
      <w:pPr>
        <w:numPr>
          <w:ilvl w:val="0"/>
          <w:numId w:val="6"/>
        </w:numPr>
        <w:pBdr>
          <w:top w:val="nil"/>
          <w:left w:val="nil"/>
          <w:bottom w:val="nil"/>
          <w:right w:val="nil"/>
          <w:between w:val="nil"/>
        </w:pBdr>
        <w:spacing w:after="0"/>
        <w:jc w:val="left"/>
      </w:pPr>
      <w:r>
        <w:rPr>
          <w:color w:val="000000"/>
        </w:rPr>
        <w:t>Forschende,</w:t>
      </w:r>
    </w:p>
    <w:p w14:paraId="00000063" w14:textId="77777777" w:rsidR="00260595" w:rsidRDefault="0046256A">
      <w:pPr>
        <w:numPr>
          <w:ilvl w:val="0"/>
          <w:numId w:val="6"/>
        </w:numPr>
        <w:pBdr>
          <w:top w:val="nil"/>
          <w:left w:val="nil"/>
          <w:bottom w:val="nil"/>
          <w:right w:val="nil"/>
          <w:between w:val="nil"/>
        </w:pBdr>
        <w:spacing w:after="0"/>
        <w:jc w:val="left"/>
      </w:pPr>
      <w:r>
        <w:rPr>
          <w:color w:val="000000"/>
        </w:rPr>
        <w:t>Projektplanende,</w:t>
      </w:r>
    </w:p>
    <w:p w14:paraId="00000064" w14:textId="77777777" w:rsidR="00260595" w:rsidRDefault="0046256A">
      <w:pPr>
        <w:numPr>
          <w:ilvl w:val="0"/>
          <w:numId w:val="6"/>
        </w:numPr>
        <w:pBdr>
          <w:top w:val="nil"/>
          <w:left w:val="nil"/>
          <w:bottom w:val="nil"/>
          <w:right w:val="nil"/>
          <w:between w:val="nil"/>
        </w:pBdr>
        <w:spacing w:after="0"/>
        <w:jc w:val="left"/>
      </w:pPr>
      <w:r>
        <w:rPr>
          <w:color w:val="000000"/>
        </w:rPr>
        <w:t>Lehrende,</w:t>
      </w:r>
    </w:p>
    <w:p w14:paraId="00000065" w14:textId="77777777" w:rsidR="00260595" w:rsidRDefault="0046256A">
      <w:pPr>
        <w:numPr>
          <w:ilvl w:val="0"/>
          <w:numId w:val="6"/>
        </w:numPr>
        <w:pBdr>
          <w:top w:val="nil"/>
          <w:left w:val="nil"/>
          <w:bottom w:val="nil"/>
          <w:right w:val="nil"/>
          <w:between w:val="nil"/>
        </w:pBdr>
        <w:jc w:val="left"/>
      </w:pPr>
      <w:r>
        <w:rPr>
          <w:color w:val="000000"/>
        </w:rPr>
        <w:t>Studierende.</w:t>
      </w:r>
    </w:p>
    <w:p w14:paraId="00000066" w14:textId="77777777" w:rsidR="00260595" w:rsidRDefault="0046256A">
      <w:r>
        <w:t xml:space="preserve">Dabei wird ein Schwerpunkt besonders bei der Kooperation mit der jeweiligen Einrichtung gezielt auf der Nachwuchsförderung liegen, da hier aus den Erhebungen das größte Vernetzungspotenzial und </w:t>
      </w:r>
      <w:r>
        <w:lastRenderedPageBreak/>
        <w:t>zugleic</w:t>
      </w:r>
      <w:r>
        <w:t>h eine besonders ausgeprägte thematische Aufgeschlossenheit und Dynamik ermittelt werden konnte.</w:t>
      </w:r>
    </w:p>
    <w:p w14:paraId="00000067" w14:textId="77777777" w:rsidR="00260595" w:rsidRDefault="0046256A">
      <w:r>
        <w:t xml:space="preserve">Mittelbare Zielgruppen sind zudem Stakeholder, für die Scholarly Makerspaces selbst ein Mittel zum </w:t>
      </w:r>
      <w:proofErr w:type="spellStart"/>
      <w:r>
        <w:t>Entwicklungsmonitoring</w:t>
      </w:r>
      <w:proofErr w:type="spellEnd"/>
      <w:r>
        <w:t>, zur Bedarfsermittlung und zur Kommun</w:t>
      </w:r>
      <w:r>
        <w:t>ikation werden:</w:t>
      </w:r>
    </w:p>
    <w:p w14:paraId="00000068" w14:textId="77777777" w:rsidR="00260595" w:rsidRDefault="0046256A">
      <w:pPr>
        <w:numPr>
          <w:ilvl w:val="0"/>
          <w:numId w:val="5"/>
        </w:numPr>
        <w:pBdr>
          <w:top w:val="nil"/>
          <w:left w:val="nil"/>
          <w:bottom w:val="nil"/>
          <w:right w:val="nil"/>
          <w:between w:val="nil"/>
        </w:pBdr>
        <w:spacing w:after="0"/>
        <w:jc w:val="left"/>
      </w:pPr>
      <w:r>
        <w:rPr>
          <w:color w:val="000000"/>
        </w:rPr>
        <w:t>Anbieter von Werkzeugen und Verfahren (</w:t>
      </w:r>
      <w:r>
        <w:t>zum Beispiel</w:t>
      </w:r>
      <w:r>
        <w:rPr>
          <w:color w:val="000000"/>
        </w:rPr>
        <w:t xml:space="preserve"> </w:t>
      </w:r>
      <w:proofErr w:type="spellStart"/>
      <w:r>
        <w:rPr>
          <w:color w:val="000000"/>
        </w:rPr>
        <w:t>Showcasing</w:t>
      </w:r>
      <w:proofErr w:type="spellEnd"/>
      <w:r>
        <w:rPr>
          <w:color w:val="000000"/>
        </w:rPr>
        <w:t>, Schulungen, Testläufe),</w:t>
      </w:r>
    </w:p>
    <w:p w14:paraId="00000069" w14:textId="77777777" w:rsidR="00260595" w:rsidRDefault="0046256A">
      <w:pPr>
        <w:numPr>
          <w:ilvl w:val="0"/>
          <w:numId w:val="5"/>
        </w:numPr>
        <w:pBdr>
          <w:top w:val="nil"/>
          <w:left w:val="nil"/>
          <w:bottom w:val="nil"/>
          <w:right w:val="nil"/>
          <w:between w:val="nil"/>
        </w:pBdr>
        <w:spacing w:after="0"/>
        <w:jc w:val="left"/>
      </w:pPr>
      <w:r>
        <w:rPr>
          <w:color w:val="000000"/>
        </w:rPr>
        <w:t>Akteure der Forschungsplanung</w:t>
      </w:r>
      <w:r>
        <w:rPr>
          <w:color w:val="000000"/>
          <w:vertAlign w:val="superscript"/>
        </w:rPr>
        <w:footnoteReference w:id="21"/>
      </w:r>
      <w:r>
        <w:rPr>
          <w:color w:val="000000"/>
        </w:rPr>
        <w:t xml:space="preserve"> (</w:t>
      </w:r>
      <w:r>
        <w:t>zum Beispiel</w:t>
      </w:r>
      <w:r>
        <w:rPr>
          <w:color w:val="000000"/>
        </w:rPr>
        <w:t xml:space="preserve"> Antragstellung für Drittmittel),</w:t>
      </w:r>
    </w:p>
    <w:p w14:paraId="0000006A" w14:textId="77777777" w:rsidR="00260595" w:rsidRDefault="0046256A">
      <w:pPr>
        <w:numPr>
          <w:ilvl w:val="0"/>
          <w:numId w:val="5"/>
        </w:numPr>
        <w:pBdr>
          <w:top w:val="nil"/>
          <w:left w:val="nil"/>
          <w:bottom w:val="nil"/>
          <w:right w:val="nil"/>
          <w:between w:val="nil"/>
        </w:pBdr>
        <w:jc w:val="left"/>
      </w:pPr>
      <w:r>
        <w:rPr>
          <w:color w:val="000000"/>
        </w:rPr>
        <w:t>Akteure aus der Hochschuladministration zur Bedarfsfeststellung und Hochschulentwicklung.</w:t>
      </w:r>
    </w:p>
    <w:p w14:paraId="0000006B" w14:textId="77777777" w:rsidR="00260595" w:rsidRDefault="0046256A">
      <w:r>
        <w:t>Langfristig ist auch eine Erweiterung des Angebots auf außerakademische Zielgruppen angedacht:</w:t>
      </w:r>
    </w:p>
    <w:p w14:paraId="0000006C" w14:textId="77777777" w:rsidR="00260595" w:rsidRDefault="0046256A">
      <w:pPr>
        <w:numPr>
          <w:ilvl w:val="0"/>
          <w:numId w:val="3"/>
        </w:numPr>
        <w:pBdr>
          <w:top w:val="nil"/>
          <w:left w:val="nil"/>
          <w:bottom w:val="nil"/>
          <w:right w:val="nil"/>
          <w:between w:val="nil"/>
        </w:pBdr>
        <w:spacing w:after="0"/>
        <w:jc w:val="left"/>
      </w:pPr>
      <w:r>
        <w:rPr>
          <w:color w:val="000000"/>
        </w:rPr>
        <w:t>Wissenschaftsvermittlung,</w:t>
      </w:r>
    </w:p>
    <w:p w14:paraId="0000006D" w14:textId="77777777" w:rsidR="00260595" w:rsidRDefault="0046256A">
      <w:pPr>
        <w:numPr>
          <w:ilvl w:val="0"/>
          <w:numId w:val="3"/>
        </w:numPr>
        <w:pBdr>
          <w:top w:val="nil"/>
          <w:left w:val="nil"/>
          <w:bottom w:val="nil"/>
          <w:right w:val="nil"/>
          <w:between w:val="nil"/>
        </w:pBdr>
        <w:spacing w:after="0"/>
        <w:jc w:val="left"/>
      </w:pPr>
      <w:r>
        <w:rPr>
          <w:color w:val="000000"/>
        </w:rPr>
        <w:t>Bürgerwissenschaft,</w:t>
      </w:r>
    </w:p>
    <w:p w14:paraId="0000006E" w14:textId="77777777" w:rsidR="00260595" w:rsidRDefault="0046256A">
      <w:pPr>
        <w:numPr>
          <w:ilvl w:val="0"/>
          <w:numId w:val="3"/>
        </w:numPr>
        <w:pBdr>
          <w:top w:val="nil"/>
          <w:left w:val="nil"/>
          <w:bottom w:val="nil"/>
          <w:right w:val="nil"/>
          <w:between w:val="nil"/>
        </w:pBdr>
        <w:jc w:val="left"/>
      </w:pPr>
      <w:r>
        <w:rPr>
          <w:color w:val="000000"/>
        </w:rPr>
        <w:t>Kreativ- und Digitalwirtschaft.</w:t>
      </w:r>
    </w:p>
    <w:p w14:paraId="0000006F" w14:textId="77777777" w:rsidR="00260595" w:rsidRDefault="0046256A">
      <w:r>
        <w:t>Weitere Zielgruppen bilden diverse und in ihren Interessen heterogene externe Akteure aus dem breiten Feld der digitalen Auseinandersetzung mit Kulturobjekten.</w:t>
      </w:r>
      <w:r>
        <w:rPr>
          <w:vertAlign w:val="superscript"/>
        </w:rPr>
        <w:footnoteReference w:id="22"/>
      </w:r>
      <w:r>
        <w:t xml:space="preserve"> Dem offenen und inklusiven Prinzip der Makerspaces folgend wäre</w:t>
      </w:r>
      <w:r>
        <w:t xml:space="preserve"> auch denkbar, dies im Rahmen von Vermittlungsaktivitäten eines </w:t>
      </w:r>
      <w:proofErr w:type="spellStart"/>
      <w:r>
        <w:rPr>
          <w:i/>
        </w:rPr>
        <w:t>public</w:t>
      </w:r>
      <w:proofErr w:type="spellEnd"/>
      <w:r>
        <w:rPr>
          <w:i/>
        </w:rPr>
        <w:t xml:space="preserve"> </w:t>
      </w:r>
      <w:proofErr w:type="spellStart"/>
      <w:r>
        <w:rPr>
          <w:i/>
        </w:rPr>
        <w:t>understanding</w:t>
      </w:r>
      <w:proofErr w:type="spellEnd"/>
      <w:r>
        <w:rPr>
          <w:i/>
        </w:rPr>
        <w:t xml:space="preserve"> </w:t>
      </w:r>
      <w:proofErr w:type="spellStart"/>
      <w:r>
        <w:rPr>
          <w:i/>
        </w:rPr>
        <w:t>of</w:t>
      </w:r>
      <w:proofErr w:type="spellEnd"/>
      <w:r>
        <w:rPr>
          <w:i/>
        </w:rPr>
        <w:t xml:space="preserve"> </w:t>
      </w:r>
      <w:proofErr w:type="spellStart"/>
      <w:r>
        <w:rPr>
          <w:i/>
        </w:rPr>
        <w:t>science</w:t>
      </w:r>
      <w:proofErr w:type="spellEnd"/>
      <w:r>
        <w:t xml:space="preserve"> besonders zu fördern. Dieser Aspekt wurde in den Interviews mehrfach erwähnt. Allerdings berührt er die prinzipielle Ausrichtung der Universitätsbibliothek bezi</w:t>
      </w:r>
      <w:r>
        <w:t>ehungsweise der Hochschule im Sinne eines Leitbilds. Er soll daher hier nur als Option benannt, jedoch vorerst nicht weiter differenziert werden. Gleiches gilt für die in Interviews ausdrücklich angeregte Kooperation mit der lokalen Kreativ- und Digitalwir</w:t>
      </w:r>
      <w:r>
        <w:t>tschaft. Auch hierfür müssten mögliche Kontakt- und Kooperationsszenarien gezielt erstellt werden, deren Detaillierung jedoch nicht im unmittelbaren Fokus der Konzeptstudie liegt.</w:t>
      </w:r>
    </w:p>
    <w:p w14:paraId="00000070" w14:textId="77777777" w:rsidR="00260595" w:rsidRDefault="0046256A">
      <w:pPr>
        <w:pStyle w:val="Heading2"/>
      </w:pPr>
      <w:bookmarkStart w:id="21" w:name="_1y810tw" w:colFirst="0" w:colLast="0"/>
      <w:bookmarkEnd w:id="21"/>
      <w:r>
        <w:t>3.3 Nutzungsszenarien</w:t>
      </w:r>
    </w:p>
    <w:p w14:paraId="00000071" w14:textId="77777777" w:rsidR="00260595" w:rsidRDefault="0046256A">
      <w:r>
        <w:t>Unabhängig vom jeweils konkreten Anwendungsfall wird z</w:t>
      </w:r>
      <w:r>
        <w:t>ur besseren Strukturierung der Materialien als Grundlage der Kompetenzbewertung ein vierstufiges Vermittlungskonzept gewählt. Es bezieht sich jeweils auf Verfahren und Werkzeuge. Die vier Stufen sind:</w:t>
      </w:r>
    </w:p>
    <w:p w14:paraId="00000072" w14:textId="77777777" w:rsidR="00260595" w:rsidRDefault="0046256A">
      <w:pPr>
        <w:numPr>
          <w:ilvl w:val="0"/>
          <w:numId w:val="8"/>
        </w:numPr>
        <w:spacing w:after="0"/>
      </w:pPr>
      <w:r>
        <w:rPr>
          <w:i/>
        </w:rPr>
        <w:t>Kennenlernen</w:t>
      </w:r>
      <w:r>
        <w:t xml:space="preserve"> – mit einem allgemeinen, unspezifischen In</w:t>
      </w:r>
      <w:r>
        <w:t>teresse als Motivation,</w:t>
      </w:r>
    </w:p>
    <w:p w14:paraId="00000073" w14:textId="77777777" w:rsidR="00260595" w:rsidRDefault="0046256A">
      <w:pPr>
        <w:numPr>
          <w:ilvl w:val="0"/>
          <w:numId w:val="8"/>
        </w:numPr>
        <w:spacing w:after="0"/>
      </w:pPr>
      <w:r>
        <w:rPr>
          <w:i/>
        </w:rPr>
        <w:lastRenderedPageBreak/>
        <w:t>Lernen</w:t>
      </w:r>
      <w:r>
        <w:t xml:space="preserve"> – mit der Motivation, bestimmte Verfahren beziehungsweise Werkzeuge gezielt zu lernen,</w:t>
      </w:r>
    </w:p>
    <w:p w14:paraId="00000074" w14:textId="77777777" w:rsidR="00260595" w:rsidRDefault="0046256A">
      <w:pPr>
        <w:numPr>
          <w:ilvl w:val="0"/>
          <w:numId w:val="8"/>
        </w:numPr>
        <w:spacing w:after="0"/>
      </w:pPr>
      <w:r>
        <w:rPr>
          <w:i/>
        </w:rPr>
        <w:t>Forschungsvorbereitung</w:t>
      </w:r>
      <w:r>
        <w:t xml:space="preserve"> – Auswählen, Beurteilen, Anpassen von Verfahren bzw. Werkzeugen im Zuge der Planung eines Forschungsprojektes,</w:t>
      </w:r>
    </w:p>
    <w:p w14:paraId="00000075" w14:textId="77777777" w:rsidR="00260595" w:rsidRDefault="0046256A">
      <w:pPr>
        <w:numPr>
          <w:ilvl w:val="0"/>
          <w:numId w:val="8"/>
        </w:numPr>
      </w:pPr>
      <w:r>
        <w:rPr>
          <w:i/>
        </w:rPr>
        <w:t>Fors</w:t>
      </w:r>
      <w:r>
        <w:rPr>
          <w:i/>
        </w:rPr>
        <w:t xml:space="preserve">chung </w:t>
      </w:r>
      <w:r>
        <w:t>– Durchführung von direkten Forschungsschritten in Scholarly Makerspaces oder in Begleitung durch die Angebote der Scholarly Makerspaces.</w:t>
      </w:r>
    </w:p>
    <w:p w14:paraId="00000076" w14:textId="77777777" w:rsidR="00260595" w:rsidRDefault="0046256A">
      <w:r>
        <w:t>Für jede dieser Stufen gibt es spezifische Anforderungen an die Vermittlungs- und Kommunikationsstrategien, also</w:t>
      </w:r>
      <w:r>
        <w:t xml:space="preserve"> die Aufbereitung der Materialien. Die Differenzierung ermöglicht es, Anfragen, Annäherungen, Ziele und Bedarfe vorzuordnen, um sie im Anschluss angemessen adressieren zu können. Damit wird das Ziel einer weitreichenden </w:t>
      </w:r>
      <w:proofErr w:type="spellStart"/>
      <w:r>
        <w:t>Inklusivität</w:t>
      </w:r>
      <w:proofErr w:type="spellEnd"/>
      <w:r>
        <w:t xml:space="preserve"> erreicht. Die Angebote </w:t>
      </w:r>
      <w:r>
        <w:t>dieser Stufen sollen den Nutzenden auch helfen, eigene Ziele, Bedarfe und Kompetenzen klarer bestimmen zu können.</w:t>
      </w:r>
    </w:p>
    <w:p w14:paraId="00000077" w14:textId="77777777" w:rsidR="00260595" w:rsidRDefault="0046256A">
      <w:pPr>
        <w:pStyle w:val="Heading3"/>
      </w:pPr>
      <w:bookmarkStart w:id="22" w:name="_4i7ojhp" w:colFirst="0" w:colLast="0"/>
      <w:bookmarkEnd w:id="22"/>
      <w:r>
        <w:t>Digitale geistes- und kulturwissenschaftliche Forschung</w:t>
      </w:r>
    </w:p>
    <w:p w14:paraId="00000078" w14:textId="77777777" w:rsidR="00260595" w:rsidRDefault="0046256A">
      <w:r>
        <w:t>Aus den Interviews und der Analyse der jeweiligen Forschungsfelder ergab sich, dass ei</w:t>
      </w:r>
      <w:r>
        <w:t>ne Orientierung auf die Texterschließung und -strukturierung einer der primären Ansatzpunkte für das Aufsetzen eines solchen Angebotes darstellt. Dies erklärt sich unter anderem dadurch, dass in diesen Bereichen ein besonders hoher Entwicklungsgrad sowie e</w:t>
      </w:r>
      <w:r>
        <w:t>ine breite und sehr aktive Community vorliegen. So ist TEI-XML ein weithin anerkannter Standard zur Textauszeichnung. Dies wirkt sich folgerichtig auf Workflows und Analyseverfahren sowie auf die Werkzeugentwicklung aus. Beispielsweise liegt mit dem Oxygen</w:t>
      </w:r>
      <w:r>
        <w:t xml:space="preserve"> XML-Editor eine stabile Lösung vor, die auch in den Interviews fast durchgängig als essenziell benannt wurde. Zugleich sind die Komplexität und der Anspruch an die Datenhaltung und -verarbeitung bei Texten im Vergleich zu anderen medialen Repräsentationsf</w:t>
      </w:r>
      <w:r>
        <w:t>ormen weniger ausgeprägt.</w:t>
      </w:r>
    </w:p>
    <w:p w14:paraId="00000079" w14:textId="77777777" w:rsidR="00260595" w:rsidRDefault="0046256A">
      <w:r>
        <w:t xml:space="preserve">Als Bezug für die Angebote der Scholarly Makerspaces wird daher ein idealtypischer Verarbeitungsvorgang von Textmaterialien beginnend bei der Digitalisierung über die Textauszeichnung und Erschließung bis zur Ausgabe zum Beispiel </w:t>
      </w:r>
      <w:r>
        <w:t>als Edition gewählt.</w:t>
      </w:r>
      <w:r>
        <w:rPr>
          <w:vertAlign w:val="superscript"/>
        </w:rPr>
        <w:footnoteReference w:id="23"/>
      </w:r>
      <w:r>
        <w:t xml:space="preserve"> Die Prozesskette ist nicht geschlossen, sondern berücksichtigt diverse Ein- und Ausstiegspunkte. Sie dient zugleich dazu, einen weitgehend lückenlosen Ablauf zu erfassen. Die Schwerpunkte liegen dabei auf den bibliothekarischen und bi</w:t>
      </w:r>
      <w:r>
        <w:t xml:space="preserve">bliothekswissenschaftlichen Kompetenzfeldern des Information </w:t>
      </w:r>
      <w:proofErr w:type="spellStart"/>
      <w:r>
        <w:t>Retrievals</w:t>
      </w:r>
      <w:proofErr w:type="spellEnd"/>
      <w:r>
        <w:t xml:space="preserve">, der Datenaufbereitung, -erschließung, -dissemination und -archivierung. Für die spezifisch fachlichen Aspekte werden in Kooperation mit Fach-Communities grundlegende Einführungen </w:t>
      </w:r>
      <w:r>
        <w:lastRenderedPageBreak/>
        <w:t>entw</w:t>
      </w:r>
      <w:r>
        <w:t>ickelt. Parallel ist angedacht, im Rahmen der Exportschnittstellen auch die Idee der offenen Wissenschaft und damit der offenen Bereitstellung von Daten zu unterstützen. Die tiefergehende Beratung muss über Expertinnen und Experten mit jeweils dezidiert fa</w:t>
      </w:r>
      <w:r>
        <w:t>chlichem Hintergrund erfolgen. Hierfür wird ein Kontaktnetzwerk aufgebaut und gepflegt. Die Aufgabe der Scholarly Makerspaces als Bibliotheksangebot liegt an dieser Stelle in der Vermittlung von Expertise entweder über Kontakte oder auch bei breiterem Beda</w:t>
      </w:r>
      <w:r>
        <w:t>rf über die Organisation und Durchführung von Vermittlungsveranstaltungen mit Expertinnen und Experten.</w:t>
      </w:r>
    </w:p>
    <w:p w14:paraId="0000007A" w14:textId="77777777" w:rsidR="00260595" w:rsidRDefault="0046256A">
      <w:r>
        <w:t>Nach dem Vorbild textorientierter digitaler Forschung werden auch für bild-, objekt-, und raumorientierte sowie andere multimodale und multimediale Fors</w:t>
      </w:r>
      <w:r>
        <w:t>chungsformen ähnliche Ansätze aufgebaut. Sofern Lösungen ermittelbar sind, wird auf diese verwiesen und gegebenenfalls ein Kontakt vermittelt. Inwieweit auf Nachfrage auch stärker spezialisierte Werkzeuge auf den Workstations installiert und gegebenenfalls</w:t>
      </w:r>
      <w:r>
        <w:t xml:space="preserve"> auch lizenziert werden können beziehungsweise sollen, ist von dem jeweiligen Bedarf der Forschungseinrichtung abhängig.</w:t>
      </w:r>
    </w:p>
    <w:p w14:paraId="0000007B" w14:textId="77777777" w:rsidR="00260595" w:rsidRDefault="0046256A">
      <w:pPr>
        <w:pStyle w:val="Heading3"/>
      </w:pPr>
      <w:bookmarkStart w:id="23" w:name="_2xcytpi" w:colFirst="0" w:colLast="0"/>
      <w:bookmarkEnd w:id="23"/>
      <w:r>
        <w:t>Beratung und Unterstützung für die Lehre</w:t>
      </w:r>
    </w:p>
    <w:p w14:paraId="0000007C" w14:textId="77777777" w:rsidR="00260595" w:rsidRDefault="0046256A">
      <w:r>
        <w:t>Für das Ziel einer nachhaltigen Vermittlung vor allem hinsichtlich der Zielgruppe der Nachwuch</w:t>
      </w:r>
      <w:r>
        <w:t>sforschenden, insbesondere Promovierenden, leisten Scholarly Makerspaces eine aktiv unterstützende Rolle bei entsprechenden Lehrangeboten. Dies wurde ausdrücklich in den Interviews als Desiderat benannt. Ein solches Angebot kann jedoch nur kooperativ mit d</w:t>
      </w:r>
      <w:r>
        <w:t>en jeweiligen die Lehre anbietenden Instituten sowie Dozierenden realisiert werden. Das Vermittlungs- und Beratungsangebot umfasst für diesen Zweck zwei Portfolios – ein infrastrukturelles und ein didaktisches. Im infrastrukturellen Portfolio werden besteh</w:t>
      </w:r>
      <w:r>
        <w:t>ende Infrastrukturangebote</w:t>
      </w:r>
      <w:r>
        <w:rPr>
          <w:vertAlign w:val="superscript"/>
        </w:rPr>
        <w:footnoteReference w:id="24"/>
      </w:r>
      <w:r>
        <w:t xml:space="preserve"> sowie die Angebote der Scholarly Makerspaces (zum Beispiel Raum, Workstations, digitale und physische Werkzeuge, </w:t>
      </w:r>
      <w:proofErr w:type="spellStart"/>
      <w:r>
        <w:t>Retrieval</w:t>
      </w:r>
      <w:proofErr w:type="spellEnd"/>
      <w:r>
        <w:t>-Möglichkeiten) abgebildet. Ziel ist, die Dienste im Rahmen des Lehrangebots als Bausteine digitaler Forsc</w:t>
      </w:r>
      <w:r>
        <w:t>hung zu vermitteln und damit eventuelle Nutzungshürden gezielt abzubauen. Für die didaktischen Angebote wird eine Best-Practice-Sammlung für in der Lehre besonders geeignete digitale Werkzeuge und Verfahren zusammengestellt und Lehrenden zur Nachnutzung be</w:t>
      </w:r>
      <w:r>
        <w:t>reitgestellt. Dabei wird mit institutionellen Akteuren wie CLARIAH kooperiert. Lehrende können also über die Scholarly Makerspaces grundlegende Materialien für die Planung und Durchführung von Lehrveranstaltungen abrufen sowie den Raum der Scholarly Makers</w:t>
      </w:r>
      <w:r>
        <w:t>paces direkt nutzen oder den Studierenden zur veranstaltungsbegleitenden individuellen oder Gruppenarbeit anbieten. Idealerweise werden diese Angebote in bestehende E-Learning-Plattformen eingebunden.</w:t>
      </w:r>
    </w:p>
    <w:p w14:paraId="0000007D" w14:textId="77777777" w:rsidR="00260595" w:rsidRDefault="0046256A">
      <w:pPr>
        <w:pStyle w:val="Heading3"/>
      </w:pPr>
      <w:bookmarkStart w:id="24" w:name="_1ci93xb" w:colFirst="0" w:colLast="0"/>
      <w:bookmarkEnd w:id="24"/>
      <w:r>
        <w:lastRenderedPageBreak/>
        <w:t>Scholarly Makerspaces als Raum</w:t>
      </w:r>
    </w:p>
    <w:p w14:paraId="0000007E" w14:textId="77777777" w:rsidR="00260595" w:rsidRDefault="0046256A">
      <w:r>
        <w:t>Eine Stärke der Scholarl</w:t>
      </w:r>
      <w:r>
        <w:t xml:space="preserve">y Makerspaces liegt darin, dass sie zieloffen nutzbar sind. In diesem Sinne wird das Prinzip der </w:t>
      </w:r>
      <w:proofErr w:type="spellStart"/>
      <w:r>
        <w:t>Serendipität</w:t>
      </w:r>
      <w:proofErr w:type="spellEnd"/>
      <w:r>
        <w:t xml:space="preserve"> unterstützt, bei dem sich aus einer offenen Auseinandersetzung mit einem Inhalt oder hier auch den Möglichkeiten eines Werkzeugs oft ungeplant neu</w:t>
      </w:r>
      <w:r>
        <w:t xml:space="preserve">e Ansätze, Einsichten, Impulse und Lösungen ergeben. Dies soll zudem über den Community-Aspekt, also den </w:t>
      </w:r>
      <w:proofErr w:type="spellStart"/>
      <w:r>
        <w:t>Makerspace</w:t>
      </w:r>
      <w:proofErr w:type="spellEnd"/>
      <w:r>
        <w:t xml:space="preserve"> als Begegnungs- und Kommunikationsraum bewusst gefördert werden. Die Aufgabe der Betreiber ist dabei, entsprechende Prozesse zu unterstützen</w:t>
      </w:r>
      <w:r>
        <w:t>, zu moderieren und gegebenenfalls zu verstärken und zu dokumentieren. Als Einstieg liegt der Schwerpunkt auf der oben benannten Stufe des „Kennenlernens”.</w:t>
      </w:r>
    </w:p>
    <w:p w14:paraId="0000007F" w14:textId="77777777" w:rsidR="00260595" w:rsidRDefault="0046256A">
      <w:r>
        <w:t>Es soll jedoch ausdrücklich auch die Möglichkeit konkreter Forschungs- und Spin-Off-Ansätze berücksi</w:t>
      </w:r>
      <w:r>
        <w:t>chtigt und gefördert werden. Neben der Vermittlung und Beratung sind Anregung und Unterstützung, Steuerung von Reflexionsprozessen über Aspekte digital geprägter Kultur- und Geisteswissenschaften zentrale Anliegen der Scholarly Makerspaces. Sie umfassen ei</w:t>
      </w:r>
      <w:r>
        <w:t>ne technologische Perspektive ebenso wie wissenschaftssoziologische, -ökonomische und -ethische Aspekte, medientheoretische Überlegungen und epistemologische Fragen. In den Erhebungen zur Studie wurde die Erwartung formuliert, dass gerade über das Zusammen</w:t>
      </w:r>
      <w:r>
        <w:t>wirken von Akteuren aus Universitätsbibliotheken, der Informationsinfrastruktur, den Digital Humanities und kultur- und geisteswissenschaftlichen Communities neue methodologische und technologische Perspektiven eröffnet werden können.</w:t>
      </w:r>
    </w:p>
    <w:p w14:paraId="00000080" w14:textId="77777777" w:rsidR="00260595" w:rsidRDefault="0046256A">
      <w:r>
        <w:t>Einen besonderen Schw</w:t>
      </w:r>
      <w:r>
        <w:t>erpunkt übernimmt die Förderung eines interdisziplinären Dialogs. Perspektivisch soll dieser auch außerakademische Zielgruppen einschließen und somit eine stärkere Verbindung zwischen Wissenschaft und Gesellschaft fördern. Die Scholarly Makerspaces stellen</w:t>
      </w:r>
      <w:r>
        <w:t xml:space="preserve"> für diese Kommunikationen informelle und stärker formalisierte Strukturen bereit. Der informelle Austausch kann über entsprechende Rahmungen wie beispielsweise die Organisation von </w:t>
      </w:r>
      <w:proofErr w:type="spellStart"/>
      <w:r>
        <w:t>Barcamps</w:t>
      </w:r>
      <w:proofErr w:type="spellEnd"/>
      <w:r>
        <w:t xml:space="preserve"> oder </w:t>
      </w:r>
      <w:proofErr w:type="spellStart"/>
      <w:r>
        <w:t>Hackathons</w:t>
      </w:r>
      <w:proofErr w:type="spellEnd"/>
      <w:r>
        <w:t xml:space="preserve"> unterstützt werden.</w:t>
      </w:r>
    </w:p>
    <w:p w14:paraId="00000081" w14:textId="77777777" w:rsidR="00260595" w:rsidRDefault="0046256A">
      <w:r>
        <w:t>Zugleich werden Fragestellung</w:t>
      </w:r>
      <w:r>
        <w:t>en und Entwicklungen mit Zuschnitt auf besondere Forschungs- und Erkenntnisinteressen über regelmäßige Veranstaltungen adressiert. Ausgewählte Ergebnisse der Reflexionsarbeit sollen in angemessener Form dokumentiert und publiziert werden. Die Scholarly Mak</w:t>
      </w:r>
      <w:r>
        <w:t>erspaces betreiben zu diesem Zweck ein Weblog.</w:t>
      </w:r>
      <w:r>
        <w:rPr>
          <w:vertAlign w:val="superscript"/>
        </w:rPr>
        <w:footnoteReference w:id="25"/>
      </w:r>
    </w:p>
    <w:p w14:paraId="00000082" w14:textId="77777777" w:rsidR="00260595" w:rsidRDefault="0046256A">
      <w:pPr>
        <w:pStyle w:val="Heading3"/>
      </w:pPr>
      <w:bookmarkStart w:id="25" w:name="_3whwml4" w:colFirst="0" w:colLast="0"/>
      <w:bookmarkEnd w:id="25"/>
      <w:r>
        <w:lastRenderedPageBreak/>
        <w:t>Scholarly Makerspaces als Kooperationspartner der DH-Forschung</w:t>
      </w:r>
    </w:p>
    <w:p w14:paraId="00000083" w14:textId="77777777" w:rsidR="00260595" w:rsidRDefault="0046256A">
      <w:r>
        <w:t>Von Seiten der befragten Akteure aus dem Bereich der Tool-Entwicklung in den Digital Humanities wurde ein großes Potenzial für das Angebot im direkten Kontakt zu lokalen Communities mit jeweils spezifischen Ansprüchen gesehen. Die Scholarly Makerspaces bie</w:t>
      </w:r>
      <w:r>
        <w:t>ten diesen Anbieter- und Entwicklergruppen den Raum, um neue Werkzeuge und Lösungen gezielt zu vermitteln oder auch testweise anzubieten und zu evaluieren.</w:t>
      </w:r>
    </w:p>
    <w:p w14:paraId="00000084" w14:textId="77777777" w:rsidR="00260595" w:rsidRDefault="0046256A">
      <w:r>
        <w:t xml:space="preserve">Scholarly Makerspaces werden also gerade nicht als </w:t>
      </w:r>
      <w:r>
        <w:rPr>
          <w:i/>
        </w:rPr>
        <w:t>Labs</w:t>
      </w:r>
      <w:r>
        <w:t xml:space="preserve"> im Sinne von DH-Labs, Digital-Humanities-Zen</w:t>
      </w:r>
      <w:r>
        <w:t>tren oder der an vielen Stellen entstehenden Library Labs verstanden. Ihr inhaltlicher Schwerpunkt liegt vor allem in der grundlegenden Kompetenz- und Zugangsvermittlung im Sinne der oben ausgeführten Beschreibung. Es geht also primär um Vermittlungsstrate</w:t>
      </w:r>
      <w:r>
        <w:t xml:space="preserve">gien und Möglichkeiten einer stärkeren und bedarfsnäheren Zusammenführung von Tool-Entwicklung und Tool-Nutzung. Im Organisationsmodell sind dafür Grundlagen in den Bereichen </w:t>
      </w:r>
      <w:r>
        <w:rPr>
          <w:i/>
        </w:rPr>
        <w:t>Monitoring</w:t>
      </w:r>
      <w:r>
        <w:t xml:space="preserve"> und </w:t>
      </w:r>
      <w:r>
        <w:rPr>
          <w:i/>
        </w:rPr>
        <w:t>Netzwerk</w:t>
      </w:r>
      <w:r>
        <w:t xml:space="preserve"> zu schaffen.</w:t>
      </w:r>
    </w:p>
    <w:p w14:paraId="00000085" w14:textId="77777777" w:rsidR="00260595" w:rsidRDefault="0046256A">
      <w:pPr>
        <w:pStyle w:val="Heading3"/>
      </w:pPr>
      <w:bookmarkStart w:id="26" w:name="_2bn6wsx" w:colFirst="0" w:colLast="0"/>
      <w:bookmarkEnd w:id="26"/>
      <w:r>
        <w:t>Antrags- und Forschungsberatung</w:t>
      </w:r>
    </w:p>
    <w:p w14:paraId="00000086" w14:textId="77777777" w:rsidR="00260595" w:rsidRDefault="0046256A">
      <w:r>
        <w:t>Ein weiterer</w:t>
      </w:r>
      <w:r>
        <w:t xml:space="preserve"> Baustein und eine Erweiterung der Ursprungsidee liegt in der Operationalisierung des in den Scholarly Makerspaces vorhandenen Wissens zu Entwicklungen und Möglichkeiten digitaler Forschung mit dem Ziel einer Optimierung der Forschungsplanung. Hierbei wird</w:t>
      </w:r>
      <w:r>
        <w:t xml:space="preserve"> direkt das Desiderat adressiert, dass Entscheidungen zur Tool-Auswahl bei Forschungsprojekten und -planungen häufig nicht auf Basis einer systematischen Übersicht, sondern in Rückgriff auf subjektives Erfahrungswissen getroffen werden. Scholarly Makerspac</w:t>
      </w:r>
      <w:r>
        <w:t xml:space="preserve">es helfen, dieses zu </w:t>
      </w:r>
      <w:proofErr w:type="spellStart"/>
      <w:r>
        <w:t>kontextualisieren</w:t>
      </w:r>
      <w:proofErr w:type="spellEnd"/>
      <w:r>
        <w:t xml:space="preserve"> und auf diesem Weg auch Vernetzungs-, gegebenenfalls sogar Kooperationsmöglichkeiten und denkbare Alternativen aufzuzeigen sowie Machbarkeits- und Komplexitätsabschätzungen zu unterstützen.</w:t>
      </w:r>
    </w:p>
    <w:p w14:paraId="00000087" w14:textId="77777777" w:rsidR="00260595" w:rsidRDefault="0046256A">
      <w:pPr>
        <w:pStyle w:val="Heading1"/>
      </w:pPr>
      <w:bookmarkStart w:id="27" w:name="_qsh70q" w:colFirst="0" w:colLast="0"/>
      <w:bookmarkEnd w:id="27"/>
      <w:r>
        <w:t>4 Ausblick</w:t>
      </w:r>
    </w:p>
    <w:p w14:paraId="00000088" w14:textId="77777777" w:rsidR="00260595" w:rsidRDefault="0046256A">
      <w:r>
        <w:t>Die Laufzeit die</w:t>
      </w:r>
      <w:r>
        <w:t xml:space="preserve">ser Konzeptstudie ist bis Ende Oktober 2019 vorgesehen. Idealerweise schließt sich ein Projekt zur prototypischen Implementierung eines Scholarly Makerspaces an der Universitätsbibliothek der Humboldt-Universität zu Berlin zeitnah an. </w:t>
      </w:r>
    </w:p>
    <w:p w14:paraId="00000089" w14:textId="77777777" w:rsidR="00260595" w:rsidRDefault="0046256A">
      <w:r>
        <w:t>In den nächsten Schr</w:t>
      </w:r>
      <w:r>
        <w:t>itten werden Berichte zur Kostenstruktur sowie zum Perspektivkonzept erarbeitet. Für die Kostenstruktur wird anhand eines idealtypischen Szenarios ein konkretes Kostenmodell erstellt, das als Orientierungsgrundlage sowohl für die Implementierung an der Hum</w:t>
      </w:r>
      <w:r>
        <w:t>boldt-Universität zu Berlin als auch für andere Universitätsbibliotheken dienen soll. Im Perspektivkonzept werden zudem die Nachnutzungsoptionen für andere Einrichtungen sowie Aspekte der Nachhaltigkeit über drittmittelgeförderte Implementierungsphasen hin</w:t>
      </w:r>
      <w:r>
        <w:t>aus erörtert.</w:t>
      </w:r>
    </w:p>
    <w:p w14:paraId="0000008A" w14:textId="77777777" w:rsidR="00260595" w:rsidRDefault="0046256A">
      <w:r>
        <w:lastRenderedPageBreak/>
        <w:t xml:space="preserve">Ein weiterer Bericht betrifft die Konkretisierung der Kooperationsstrukturen. Ausgangspunkt sind hierbei die </w:t>
      </w:r>
      <w:proofErr w:type="spellStart"/>
      <w:r>
        <w:t>FuReSH</w:t>
      </w:r>
      <w:proofErr w:type="spellEnd"/>
      <w:r>
        <w:t>-Projektpartner einschließlich Vertreterinnen und Vertretern der Forschungsverbünde DARIAH und CLARIN. Zusätzlich werden weiter</w:t>
      </w:r>
      <w:r>
        <w:t>e Kooperationsmöglichkeiten vorrangig mit lokalen Institutionen und Netzwerken der Berliner DH-Community geprüft und integriert. In diesem Zusammenhang wird ein weiterer Workshop stattfinden, bei dem das bisherige Konzept der Scholarly Makerspaces vorgeste</w:t>
      </w:r>
      <w:r>
        <w:t>llt und um weitere Kooperationen geworben wird.</w:t>
      </w:r>
    </w:p>
    <w:p w14:paraId="0000008B" w14:textId="77777777" w:rsidR="00260595" w:rsidRDefault="0046256A">
      <w:r>
        <w:t>Schließlich wird das Konzept des Integrierten Monitoring erstellt, mit dem Erkenntnisse des Projektes systematisch fortlaufend dokumentiert, aufbereitet und kommuniziert werden. Da auch für die Implementierun</w:t>
      </w:r>
      <w:r>
        <w:t>gsphase ein integriertes Monitoring im Sinne eines Beobachtungs- und Wissensmanagements stattfinden soll, werden zudem entsprechende Definitionen von Beobachtungs- und Analyseprozessen erarbeitet.</w:t>
      </w:r>
    </w:p>
    <w:p w14:paraId="0000008C" w14:textId="77777777" w:rsidR="00260595" w:rsidRDefault="0046256A">
      <w:r>
        <w:t xml:space="preserve">Bislang befindet sich das </w:t>
      </w:r>
      <w:proofErr w:type="spellStart"/>
      <w:r>
        <w:t>FuReSH</w:t>
      </w:r>
      <w:proofErr w:type="spellEnd"/>
      <w:r>
        <w:t xml:space="preserve">-Projekt im Zeitplan. Nach </w:t>
      </w:r>
      <w:r>
        <w:t>einer ersten Bilanz wird die Umsetzbarkeit von Scholarly Makerspaces an der Humboldt-Universität zu Berlin positiv bewertet. Im Zuge einer deutlicheren Abgrenzung von Digital-Humanities-Zentren und Konzepten sogenannter Library Labs gewinnt die Idee der Sc</w:t>
      </w:r>
      <w:r>
        <w:t>holarly Makerspaces deutlich an Kontur. Insbesondere die spezifischen Zielgruppen und Nutzungsszenarien sind ein Alleinstellungsmerkmal für Universitätsbibliotheken, das folglich passgenaue Lösungen erfordert, um digitale Forschung in den Geistes- und Kult</w:t>
      </w:r>
      <w:r>
        <w:t>urwissenschaften effektiv und zukunftsorientiert zu unterstützen.</w:t>
      </w:r>
    </w:p>
    <w:p w14:paraId="0000008D" w14:textId="77777777" w:rsidR="00260595" w:rsidRDefault="00260595"/>
    <w:sectPr w:rsidR="00260595">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B2FD" w14:textId="77777777" w:rsidR="0046256A" w:rsidRDefault="0046256A">
      <w:pPr>
        <w:spacing w:after="0" w:line="240" w:lineRule="auto"/>
      </w:pPr>
      <w:r>
        <w:separator/>
      </w:r>
    </w:p>
  </w:endnote>
  <w:endnote w:type="continuationSeparator" w:id="0">
    <w:p w14:paraId="46715F1E" w14:textId="77777777" w:rsidR="0046256A" w:rsidRDefault="0046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7" w14:textId="07463835" w:rsidR="00260595" w:rsidRDefault="0046256A">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sidR="005945A3">
      <w:rPr>
        <w:color w:val="000000"/>
      </w:rPr>
      <w:fldChar w:fldCharType="separate"/>
    </w:r>
    <w:r w:rsidR="005945A3">
      <w:rPr>
        <w:noProof/>
        <w:color w:val="000000"/>
      </w:rPr>
      <w:t>1</w:t>
    </w:r>
    <w:r>
      <w:rPr>
        <w:color w:val="000000"/>
      </w:rPr>
      <w:fldChar w:fldCharType="end"/>
    </w:r>
  </w:p>
  <w:p w14:paraId="000000A8" w14:textId="77777777" w:rsidR="00260595" w:rsidRDefault="0026059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A84A8" w14:textId="77777777" w:rsidR="0046256A" w:rsidRDefault="0046256A">
      <w:pPr>
        <w:spacing w:after="0" w:line="240" w:lineRule="auto"/>
      </w:pPr>
      <w:r>
        <w:separator/>
      </w:r>
    </w:p>
  </w:footnote>
  <w:footnote w:type="continuationSeparator" w:id="0">
    <w:p w14:paraId="7BDDA4D0" w14:textId="77777777" w:rsidR="0046256A" w:rsidRDefault="0046256A">
      <w:pPr>
        <w:spacing w:after="0" w:line="240" w:lineRule="auto"/>
      </w:pPr>
      <w:r>
        <w:continuationSeparator/>
      </w:r>
    </w:p>
  </w:footnote>
  <w:footnote w:id="1">
    <w:p w14:paraId="0000008E" w14:textId="77777777" w:rsidR="00260595" w:rsidRDefault="0046256A">
      <w:pPr>
        <w:spacing w:after="0" w:line="240" w:lineRule="auto"/>
        <w:rPr>
          <w:sz w:val="20"/>
          <w:szCs w:val="20"/>
        </w:rPr>
      </w:pPr>
      <w:r>
        <w:rPr>
          <w:vertAlign w:val="superscript"/>
        </w:rPr>
        <w:footnoteRef/>
      </w:r>
      <w:r>
        <w:rPr>
          <w:sz w:val="20"/>
          <w:szCs w:val="20"/>
        </w:rPr>
        <w:t xml:space="preserve"> Projektwebseite: </w:t>
      </w:r>
      <w:hyperlink r:id="rId1">
        <w:r>
          <w:rPr>
            <w:color w:val="1155CC"/>
            <w:sz w:val="20"/>
            <w:szCs w:val="20"/>
            <w:u w:val="single"/>
          </w:rPr>
          <w:t>https://www.ub.hu-berlin.de/de/ueber-uns/projekte/furesh</w:t>
        </w:r>
      </w:hyperlink>
      <w:r>
        <w:rPr>
          <w:sz w:val="20"/>
          <w:szCs w:val="20"/>
        </w:rPr>
        <w:t>.</w:t>
      </w:r>
    </w:p>
  </w:footnote>
  <w:footnote w:id="2">
    <w:p w14:paraId="0000008F" w14:textId="77777777" w:rsidR="00260595" w:rsidRDefault="0046256A">
      <w:pPr>
        <w:spacing w:after="0" w:line="240" w:lineRule="auto"/>
        <w:rPr>
          <w:sz w:val="20"/>
          <w:szCs w:val="20"/>
        </w:rPr>
      </w:pPr>
      <w:r>
        <w:rPr>
          <w:vertAlign w:val="superscript"/>
        </w:rPr>
        <w:footnoteRef/>
      </w:r>
      <w:r>
        <w:rPr>
          <w:sz w:val="20"/>
          <w:szCs w:val="20"/>
        </w:rPr>
        <w:t xml:space="preserve"> Beispielsweise die auch der Logik des Enhanced Publishing folgenden Entwicklung hin zu </w:t>
      </w:r>
      <w:proofErr w:type="spellStart"/>
      <w:r>
        <w:rPr>
          <w:sz w:val="20"/>
          <w:szCs w:val="20"/>
        </w:rPr>
        <w:t>Social</w:t>
      </w:r>
      <w:proofErr w:type="spellEnd"/>
      <w:r>
        <w:rPr>
          <w:sz w:val="20"/>
          <w:szCs w:val="20"/>
        </w:rPr>
        <w:t xml:space="preserve"> </w:t>
      </w:r>
      <w:proofErr w:type="spellStart"/>
      <w:r>
        <w:rPr>
          <w:sz w:val="20"/>
          <w:szCs w:val="20"/>
        </w:rPr>
        <w:t>Linked</w:t>
      </w:r>
      <w:proofErr w:type="spellEnd"/>
      <w:r>
        <w:rPr>
          <w:sz w:val="20"/>
          <w:szCs w:val="20"/>
        </w:rPr>
        <w:t xml:space="preserve"> Data (Solid), vergleiche </w:t>
      </w:r>
      <w:hyperlink r:id="rId2">
        <w:r>
          <w:rPr>
            <w:color w:val="1155CC"/>
            <w:sz w:val="20"/>
            <w:szCs w:val="20"/>
            <w:u w:val="single"/>
          </w:rPr>
          <w:t>https://en.wikipedia.org/wiki/Solid_%28web_decentralization_project%29</w:t>
        </w:r>
      </w:hyperlink>
      <w:r>
        <w:rPr>
          <w:sz w:val="20"/>
          <w:szCs w:val="20"/>
        </w:rPr>
        <w:t>.</w:t>
      </w:r>
    </w:p>
  </w:footnote>
  <w:footnote w:id="3">
    <w:p w14:paraId="00000090" w14:textId="77777777" w:rsidR="00260595" w:rsidRDefault="0046256A">
      <w:pPr>
        <w:spacing w:after="0" w:line="240" w:lineRule="auto"/>
        <w:rPr>
          <w:sz w:val="20"/>
          <w:szCs w:val="20"/>
        </w:rPr>
      </w:pPr>
      <w:r>
        <w:rPr>
          <w:vertAlign w:val="superscript"/>
        </w:rPr>
        <w:footnoteRef/>
      </w:r>
      <w:r>
        <w:rPr>
          <w:sz w:val="20"/>
          <w:szCs w:val="20"/>
        </w:rPr>
        <w:t xml:space="preserve"> </w:t>
      </w:r>
      <w:hyperlink r:id="rId3">
        <w:r>
          <w:rPr>
            <w:color w:val="1155CC"/>
            <w:sz w:val="20"/>
            <w:szCs w:val="20"/>
            <w:u w:val="single"/>
          </w:rPr>
          <w:t>https://www.clarin-d.net/de/</w:t>
        </w:r>
      </w:hyperlink>
      <w:r>
        <w:rPr>
          <w:sz w:val="20"/>
          <w:szCs w:val="20"/>
        </w:rPr>
        <w:t>.</w:t>
      </w:r>
    </w:p>
  </w:footnote>
  <w:footnote w:id="4">
    <w:p w14:paraId="00000091" w14:textId="77777777" w:rsidR="00260595" w:rsidRDefault="0046256A">
      <w:pPr>
        <w:spacing w:after="0" w:line="240" w:lineRule="auto"/>
        <w:rPr>
          <w:sz w:val="20"/>
          <w:szCs w:val="20"/>
        </w:rPr>
      </w:pPr>
      <w:r>
        <w:rPr>
          <w:vertAlign w:val="superscript"/>
        </w:rPr>
        <w:footnoteRef/>
      </w:r>
      <w:r>
        <w:rPr>
          <w:sz w:val="20"/>
          <w:szCs w:val="20"/>
        </w:rPr>
        <w:t xml:space="preserve"> </w:t>
      </w:r>
      <w:hyperlink r:id="rId4">
        <w:r>
          <w:rPr>
            <w:color w:val="1155CC"/>
            <w:sz w:val="20"/>
            <w:szCs w:val="20"/>
            <w:u w:val="single"/>
          </w:rPr>
          <w:t>https://de.dariah.eu/</w:t>
        </w:r>
      </w:hyperlink>
      <w:r>
        <w:rPr>
          <w:sz w:val="20"/>
          <w:szCs w:val="20"/>
        </w:rPr>
        <w:t>, mittlerweile CLARI</w:t>
      </w:r>
      <w:r>
        <w:rPr>
          <w:sz w:val="20"/>
          <w:szCs w:val="20"/>
        </w:rPr>
        <w:t xml:space="preserve">AH, siehe </w:t>
      </w:r>
      <w:hyperlink r:id="rId5">
        <w:r>
          <w:rPr>
            <w:color w:val="1155CC"/>
            <w:sz w:val="20"/>
            <w:szCs w:val="20"/>
            <w:u w:val="single"/>
          </w:rPr>
          <w:t>https://www.clariah.nl/en/</w:t>
        </w:r>
      </w:hyperlink>
      <w:r>
        <w:rPr>
          <w:sz w:val="20"/>
          <w:szCs w:val="20"/>
        </w:rPr>
        <w:t>.</w:t>
      </w:r>
    </w:p>
  </w:footnote>
  <w:footnote w:id="5">
    <w:p w14:paraId="00000092" w14:textId="77777777" w:rsidR="00260595" w:rsidRDefault="0046256A">
      <w:pPr>
        <w:spacing w:after="0" w:line="240" w:lineRule="auto"/>
        <w:rPr>
          <w:sz w:val="20"/>
          <w:szCs w:val="20"/>
        </w:rPr>
      </w:pPr>
      <w:r>
        <w:rPr>
          <w:vertAlign w:val="superscript"/>
        </w:rPr>
        <w:footnoteRef/>
      </w:r>
      <w:r>
        <w:rPr>
          <w:sz w:val="20"/>
          <w:szCs w:val="20"/>
        </w:rPr>
        <w:t xml:space="preserve"> Dies bestätigten beispielsweise Aussagen aus den </w:t>
      </w:r>
      <w:proofErr w:type="spellStart"/>
      <w:r>
        <w:rPr>
          <w:sz w:val="20"/>
          <w:szCs w:val="20"/>
        </w:rPr>
        <w:t>FuReSH</w:t>
      </w:r>
      <w:proofErr w:type="spellEnd"/>
      <w:r>
        <w:rPr>
          <w:sz w:val="20"/>
          <w:szCs w:val="20"/>
        </w:rPr>
        <w:t>-Interviews.</w:t>
      </w:r>
    </w:p>
  </w:footnote>
  <w:footnote w:id="6">
    <w:p w14:paraId="00000093" w14:textId="77777777" w:rsidR="00260595" w:rsidRDefault="0046256A">
      <w:pPr>
        <w:spacing w:after="0" w:line="240" w:lineRule="auto"/>
        <w:rPr>
          <w:sz w:val="20"/>
          <w:szCs w:val="20"/>
        </w:rPr>
      </w:pPr>
      <w:r>
        <w:rPr>
          <w:vertAlign w:val="superscript"/>
        </w:rPr>
        <w:footnoteRef/>
      </w:r>
      <w:r>
        <w:rPr>
          <w:sz w:val="20"/>
          <w:szCs w:val="20"/>
        </w:rPr>
        <w:t xml:space="preserve"> </w:t>
      </w:r>
      <w:hyperlink r:id="rId6">
        <w:r>
          <w:rPr>
            <w:color w:val="1155CC"/>
            <w:sz w:val="20"/>
            <w:szCs w:val="20"/>
            <w:u w:val="single"/>
          </w:rPr>
          <w:t>https://dirtdirectory.org/</w:t>
        </w:r>
      </w:hyperlink>
      <w:r>
        <w:rPr>
          <w:sz w:val="20"/>
          <w:szCs w:val="20"/>
        </w:rPr>
        <w:t>.</w:t>
      </w:r>
    </w:p>
  </w:footnote>
  <w:footnote w:id="7">
    <w:p w14:paraId="00000094" w14:textId="77777777" w:rsidR="00260595" w:rsidRDefault="0046256A">
      <w:pPr>
        <w:spacing w:after="0" w:line="240" w:lineRule="auto"/>
        <w:rPr>
          <w:sz w:val="20"/>
          <w:szCs w:val="20"/>
        </w:rPr>
      </w:pPr>
      <w:r>
        <w:rPr>
          <w:vertAlign w:val="superscript"/>
        </w:rPr>
        <w:footnoteRef/>
      </w:r>
      <w:r>
        <w:rPr>
          <w:sz w:val="20"/>
          <w:szCs w:val="20"/>
        </w:rPr>
        <w:t xml:space="preserve"> </w:t>
      </w:r>
      <w:hyperlink r:id="rId7">
        <w:r>
          <w:rPr>
            <w:color w:val="1155CC"/>
            <w:sz w:val="20"/>
            <w:szCs w:val="20"/>
            <w:u w:val="single"/>
          </w:rPr>
          <w:t>https://blogs.lse.ac.uk/impactofsocialsciences/2015/11/11/101-innovations-in-scholarly-communication/</w:t>
        </w:r>
      </w:hyperlink>
      <w:r>
        <w:rPr>
          <w:sz w:val="20"/>
          <w:szCs w:val="20"/>
        </w:rPr>
        <w:t>.</w:t>
      </w:r>
    </w:p>
  </w:footnote>
  <w:footnote w:id="8">
    <w:p w14:paraId="00000095" w14:textId="77777777" w:rsidR="00260595" w:rsidRDefault="0046256A">
      <w:pPr>
        <w:spacing w:after="0" w:line="240" w:lineRule="auto"/>
        <w:rPr>
          <w:sz w:val="20"/>
          <w:szCs w:val="20"/>
        </w:rPr>
      </w:pPr>
      <w:r>
        <w:rPr>
          <w:vertAlign w:val="superscript"/>
        </w:rPr>
        <w:footnoteRef/>
      </w:r>
      <w:r>
        <w:rPr>
          <w:sz w:val="20"/>
          <w:szCs w:val="20"/>
        </w:rPr>
        <w:t xml:space="preserve"> </w:t>
      </w:r>
      <w:hyperlink r:id="rId8">
        <w:r>
          <w:rPr>
            <w:color w:val="1155CC"/>
            <w:sz w:val="20"/>
            <w:szCs w:val="20"/>
            <w:u w:val="single"/>
          </w:rPr>
          <w:t>http://catma.de/</w:t>
        </w:r>
      </w:hyperlink>
      <w:r>
        <w:rPr>
          <w:sz w:val="20"/>
          <w:szCs w:val="20"/>
        </w:rPr>
        <w:t>.</w:t>
      </w:r>
    </w:p>
  </w:footnote>
  <w:footnote w:id="9">
    <w:p w14:paraId="00000096" w14:textId="77777777" w:rsidR="00260595" w:rsidRDefault="0046256A">
      <w:pPr>
        <w:spacing w:after="0" w:line="240" w:lineRule="auto"/>
        <w:rPr>
          <w:sz w:val="20"/>
          <w:szCs w:val="20"/>
        </w:rPr>
      </w:pPr>
      <w:r>
        <w:rPr>
          <w:vertAlign w:val="superscript"/>
        </w:rPr>
        <w:footnoteRef/>
      </w:r>
      <w:r>
        <w:rPr>
          <w:sz w:val="20"/>
          <w:szCs w:val="20"/>
        </w:rPr>
        <w:t xml:space="preserve"> </w:t>
      </w:r>
      <w:hyperlink r:id="rId9">
        <w:r>
          <w:rPr>
            <w:color w:val="1155CC"/>
            <w:sz w:val="20"/>
            <w:szCs w:val="20"/>
            <w:u w:val="single"/>
          </w:rPr>
          <w:t>https://web.hypothes.is/</w:t>
        </w:r>
      </w:hyperlink>
      <w:r>
        <w:rPr>
          <w:sz w:val="20"/>
          <w:szCs w:val="20"/>
        </w:rPr>
        <w:t>.</w:t>
      </w:r>
    </w:p>
  </w:footnote>
  <w:footnote w:id="10">
    <w:p w14:paraId="00000097" w14:textId="77777777" w:rsidR="00260595" w:rsidRDefault="0046256A">
      <w:pPr>
        <w:spacing w:after="0" w:line="240" w:lineRule="auto"/>
        <w:rPr>
          <w:sz w:val="20"/>
          <w:szCs w:val="20"/>
        </w:rPr>
      </w:pPr>
      <w:r>
        <w:rPr>
          <w:vertAlign w:val="superscript"/>
        </w:rPr>
        <w:footnoteRef/>
      </w:r>
      <w:r>
        <w:rPr>
          <w:sz w:val="20"/>
          <w:szCs w:val="20"/>
        </w:rPr>
        <w:t xml:space="preserve"> </w:t>
      </w:r>
      <w:hyperlink r:id="rId10">
        <w:r>
          <w:rPr>
            <w:color w:val="1155CC"/>
            <w:sz w:val="20"/>
            <w:szCs w:val="20"/>
            <w:u w:val="single"/>
          </w:rPr>
          <w:t>https://voyant-tools.org/</w:t>
        </w:r>
      </w:hyperlink>
      <w:r>
        <w:rPr>
          <w:sz w:val="20"/>
          <w:szCs w:val="20"/>
        </w:rPr>
        <w:t>.</w:t>
      </w:r>
    </w:p>
  </w:footnote>
  <w:footnote w:id="11">
    <w:p w14:paraId="00000098" w14:textId="77777777" w:rsidR="00260595" w:rsidRDefault="0046256A">
      <w:pPr>
        <w:spacing w:after="0" w:line="240" w:lineRule="auto"/>
        <w:rPr>
          <w:sz w:val="20"/>
          <w:szCs w:val="20"/>
        </w:rPr>
      </w:pPr>
      <w:r>
        <w:rPr>
          <w:vertAlign w:val="superscript"/>
        </w:rPr>
        <w:footnoteRef/>
      </w:r>
      <w:r>
        <w:rPr>
          <w:sz w:val="20"/>
          <w:szCs w:val="20"/>
        </w:rPr>
        <w:t xml:space="preserve"> </w:t>
      </w:r>
      <w:hyperlink r:id="rId11">
        <w:r>
          <w:rPr>
            <w:color w:val="1155CC"/>
            <w:sz w:val="20"/>
            <w:szCs w:val="20"/>
            <w:u w:val="single"/>
          </w:rPr>
          <w:t>http://stereoscope.threedh.net/</w:t>
        </w:r>
      </w:hyperlink>
      <w:r>
        <w:rPr>
          <w:sz w:val="20"/>
          <w:szCs w:val="20"/>
        </w:rPr>
        <w:t>.</w:t>
      </w:r>
    </w:p>
  </w:footnote>
  <w:footnote w:id="12">
    <w:p w14:paraId="00000099" w14:textId="77777777" w:rsidR="00260595" w:rsidRDefault="0046256A">
      <w:pPr>
        <w:spacing w:after="0" w:line="240" w:lineRule="auto"/>
        <w:rPr>
          <w:sz w:val="20"/>
          <w:szCs w:val="20"/>
        </w:rPr>
      </w:pPr>
      <w:r>
        <w:rPr>
          <w:vertAlign w:val="superscript"/>
        </w:rPr>
        <w:footnoteRef/>
      </w:r>
      <w:r>
        <w:rPr>
          <w:sz w:val="20"/>
          <w:szCs w:val="20"/>
        </w:rPr>
        <w:t xml:space="preserve"> </w:t>
      </w:r>
      <w:hyperlink r:id="rId12">
        <w:r>
          <w:rPr>
            <w:color w:val="1155CC"/>
            <w:sz w:val="20"/>
            <w:szCs w:val="20"/>
            <w:u w:val="single"/>
          </w:rPr>
          <w:t>https://fortext.net/tools/tools/dariah-topics-explorer</w:t>
        </w:r>
      </w:hyperlink>
      <w:r>
        <w:rPr>
          <w:sz w:val="20"/>
          <w:szCs w:val="20"/>
        </w:rPr>
        <w:t>.</w:t>
      </w:r>
    </w:p>
  </w:footnote>
  <w:footnote w:id="13">
    <w:p w14:paraId="0000009A" w14:textId="77777777" w:rsidR="00260595" w:rsidRDefault="0046256A">
      <w:pPr>
        <w:spacing w:after="0" w:line="240" w:lineRule="auto"/>
        <w:rPr>
          <w:sz w:val="20"/>
          <w:szCs w:val="20"/>
        </w:rPr>
      </w:pPr>
      <w:r>
        <w:rPr>
          <w:vertAlign w:val="superscript"/>
        </w:rPr>
        <w:footnoteRef/>
      </w:r>
      <w:r>
        <w:rPr>
          <w:sz w:val="20"/>
          <w:szCs w:val="20"/>
        </w:rPr>
        <w:t xml:space="preserve"> </w:t>
      </w:r>
      <w:hyperlink r:id="rId13">
        <w:r>
          <w:rPr>
            <w:color w:val="1155CC"/>
            <w:sz w:val="20"/>
            <w:szCs w:val="20"/>
            <w:u w:val="single"/>
          </w:rPr>
          <w:t>https://fortext.net/tools/tools/stylo</w:t>
        </w:r>
      </w:hyperlink>
      <w:r>
        <w:rPr>
          <w:sz w:val="20"/>
          <w:szCs w:val="20"/>
        </w:rPr>
        <w:t>.</w:t>
      </w:r>
    </w:p>
  </w:footnote>
  <w:footnote w:id="14">
    <w:p w14:paraId="0000009B" w14:textId="77777777" w:rsidR="00260595" w:rsidRDefault="0046256A">
      <w:pPr>
        <w:spacing w:after="0" w:line="240" w:lineRule="auto"/>
        <w:rPr>
          <w:sz w:val="20"/>
          <w:szCs w:val="20"/>
        </w:rPr>
      </w:pPr>
      <w:r>
        <w:rPr>
          <w:vertAlign w:val="superscript"/>
        </w:rPr>
        <w:footnoteRef/>
      </w:r>
      <w:r>
        <w:rPr>
          <w:sz w:val="20"/>
          <w:szCs w:val="20"/>
        </w:rPr>
        <w:t xml:space="preserve"> </w:t>
      </w:r>
      <w:hyperlink r:id="rId14">
        <w:r>
          <w:rPr>
            <w:color w:val="1155CC"/>
            <w:sz w:val="20"/>
            <w:szCs w:val="20"/>
            <w:u w:val="single"/>
          </w:rPr>
          <w:t>https://fortext.net/tools/tools/transkribus</w:t>
        </w:r>
      </w:hyperlink>
      <w:r>
        <w:rPr>
          <w:sz w:val="20"/>
          <w:szCs w:val="20"/>
        </w:rPr>
        <w:t>.</w:t>
      </w:r>
    </w:p>
  </w:footnote>
  <w:footnote w:id="15">
    <w:p w14:paraId="0000009C" w14:textId="77777777" w:rsidR="00260595" w:rsidRDefault="0046256A">
      <w:pPr>
        <w:spacing w:after="0" w:line="240" w:lineRule="auto"/>
        <w:rPr>
          <w:sz w:val="20"/>
          <w:szCs w:val="20"/>
        </w:rPr>
      </w:pPr>
      <w:r>
        <w:rPr>
          <w:vertAlign w:val="superscript"/>
        </w:rPr>
        <w:footnoteRef/>
      </w:r>
      <w:r>
        <w:rPr>
          <w:sz w:val="20"/>
          <w:szCs w:val="20"/>
        </w:rPr>
        <w:t xml:space="preserve"> </w:t>
      </w:r>
      <w:hyperlink r:id="rId15">
        <w:r>
          <w:rPr>
            <w:color w:val="0000FF"/>
            <w:sz w:val="20"/>
            <w:szCs w:val="20"/>
            <w:u w:val="single"/>
          </w:rPr>
          <w:t>https://coneda.net/kor/</w:t>
        </w:r>
      </w:hyperlink>
      <w:r>
        <w:rPr>
          <w:sz w:val="20"/>
          <w:szCs w:val="20"/>
        </w:rPr>
        <w:t>.</w:t>
      </w:r>
    </w:p>
  </w:footnote>
  <w:footnote w:id="16">
    <w:p w14:paraId="0000009D" w14:textId="093BE48F" w:rsidR="00260595" w:rsidRDefault="0046256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Vgl. Cologne Center </w:t>
      </w:r>
      <w:proofErr w:type="spellStart"/>
      <w:r>
        <w:rPr>
          <w:color w:val="000000"/>
          <w:sz w:val="20"/>
          <w:szCs w:val="20"/>
        </w:rPr>
        <w:t>for</w:t>
      </w:r>
      <w:proofErr w:type="spellEnd"/>
      <w:r>
        <w:rPr>
          <w:color w:val="000000"/>
          <w:sz w:val="20"/>
          <w:szCs w:val="20"/>
        </w:rPr>
        <w:t xml:space="preserve"> </w:t>
      </w:r>
      <w:proofErr w:type="spellStart"/>
      <w:r>
        <w:rPr>
          <w:color w:val="000000"/>
          <w:sz w:val="20"/>
          <w:szCs w:val="20"/>
        </w:rPr>
        <w:t>eHumanities</w:t>
      </w:r>
      <w:proofErr w:type="spellEnd"/>
      <w:r>
        <w:rPr>
          <w:color w:val="000000"/>
          <w:sz w:val="20"/>
          <w:szCs w:val="20"/>
        </w:rPr>
        <w:t xml:space="preserve"> </w:t>
      </w:r>
      <w:hyperlink r:id="rId16">
        <w:r>
          <w:rPr>
            <w:color w:val="0000FF"/>
            <w:sz w:val="20"/>
            <w:szCs w:val="20"/>
            <w:u w:val="single"/>
          </w:rPr>
          <w:t>http://www.cceh.uni-koeln.de/</w:t>
        </w:r>
      </w:hyperlink>
      <w:r>
        <w:rPr>
          <w:color w:val="000000"/>
          <w:sz w:val="20"/>
          <w:szCs w:val="20"/>
        </w:rPr>
        <w:t xml:space="preserve">; Göttingen </w:t>
      </w:r>
      <w:proofErr w:type="spellStart"/>
      <w:r>
        <w:rPr>
          <w:color w:val="000000"/>
          <w:sz w:val="20"/>
          <w:szCs w:val="20"/>
        </w:rPr>
        <w:t>Centre</w:t>
      </w:r>
      <w:proofErr w:type="spellEnd"/>
      <w:r>
        <w:rPr>
          <w:color w:val="000000"/>
          <w:sz w:val="20"/>
          <w:szCs w:val="20"/>
        </w:rPr>
        <w:t xml:space="preserve"> </w:t>
      </w:r>
      <w:proofErr w:type="spellStart"/>
      <w:r>
        <w:rPr>
          <w:color w:val="000000"/>
          <w:sz w:val="20"/>
          <w:szCs w:val="20"/>
        </w:rPr>
        <w:t>for</w:t>
      </w:r>
      <w:proofErr w:type="spellEnd"/>
      <w:r>
        <w:rPr>
          <w:color w:val="000000"/>
          <w:sz w:val="20"/>
          <w:szCs w:val="20"/>
        </w:rPr>
        <w:t xml:space="preserve"> Digital Humanities </w:t>
      </w:r>
      <w:hyperlink r:id="rId17">
        <w:r>
          <w:rPr>
            <w:color w:val="0000FF"/>
            <w:sz w:val="20"/>
            <w:szCs w:val="20"/>
            <w:u w:val="single"/>
          </w:rPr>
          <w:t>http://www.gcdh.de/en/</w:t>
        </w:r>
      </w:hyperlink>
      <w:r>
        <w:rPr>
          <w:color w:val="000000"/>
          <w:sz w:val="20"/>
          <w:szCs w:val="20"/>
        </w:rPr>
        <w:t xml:space="preserve">; Historisch-Kulturwissenschaftliche Informationsverarbeitung (Köln) </w:t>
      </w:r>
      <w:hyperlink r:id="rId18">
        <w:r>
          <w:rPr>
            <w:color w:val="0000FF"/>
            <w:sz w:val="20"/>
            <w:szCs w:val="20"/>
            <w:u w:val="single"/>
          </w:rPr>
          <w:t>http://www.hki.uni-koeln.de/</w:t>
        </w:r>
      </w:hyperlink>
      <w:r>
        <w:rPr>
          <w:color w:val="000000"/>
          <w:sz w:val="20"/>
          <w:szCs w:val="20"/>
        </w:rPr>
        <w:t xml:space="preserve">; </w:t>
      </w:r>
      <w:proofErr w:type="spellStart"/>
      <w:r>
        <w:rPr>
          <w:color w:val="000000"/>
          <w:sz w:val="20"/>
          <w:szCs w:val="20"/>
        </w:rPr>
        <w:t>Kallimachos</w:t>
      </w:r>
      <w:proofErr w:type="spellEnd"/>
      <w:r>
        <w:rPr>
          <w:color w:val="000000"/>
          <w:sz w:val="20"/>
          <w:szCs w:val="20"/>
        </w:rPr>
        <w:t xml:space="preserve"> </w:t>
      </w:r>
      <w:r w:rsidR="005945A3">
        <w:rPr>
          <w:color w:val="000000"/>
          <w:sz w:val="20"/>
          <w:szCs w:val="20"/>
        </w:rPr>
        <w:t>–</w:t>
      </w:r>
      <w:r>
        <w:rPr>
          <w:color w:val="000000"/>
          <w:sz w:val="20"/>
          <w:szCs w:val="20"/>
        </w:rPr>
        <w:t xml:space="preserve"> Zentrum für digitale Edition und quantitative Analyse (Würzburg) </w:t>
      </w:r>
      <w:hyperlink r:id="rId19">
        <w:r>
          <w:rPr>
            <w:color w:val="0000FF"/>
            <w:sz w:val="20"/>
            <w:szCs w:val="20"/>
            <w:u w:val="single"/>
          </w:rPr>
          <w:t>http://kallimachos.de/kallimac</w:t>
        </w:r>
        <w:r>
          <w:rPr>
            <w:color w:val="0000FF"/>
            <w:sz w:val="20"/>
            <w:szCs w:val="20"/>
            <w:u w:val="single"/>
          </w:rPr>
          <w:t>hos/index.php/Hauptseite</w:t>
        </w:r>
      </w:hyperlink>
      <w:r>
        <w:rPr>
          <w:color w:val="000000"/>
          <w:sz w:val="20"/>
          <w:szCs w:val="20"/>
        </w:rPr>
        <w:t xml:space="preserve">; Computerlinguistik und Texttechnologie (Bielefeld) </w:t>
      </w:r>
      <w:hyperlink r:id="rId20">
        <w:r>
          <w:rPr>
            <w:color w:val="0000FF"/>
            <w:sz w:val="20"/>
            <w:szCs w:val="20"/>
            <w:u w:val="single"/>
          </w:rPr>
          <w:t>http://www.uni-bielefeld.de/lili/studium/faecher/texttechnologie/arbeitsber</w:t>
        </w:r>
        <w:r>
          <w:rPr>
            <w:color w:val="0000FF"/>
            <w:sz w:val="20"/>
            <w:szCs w:val="20"/>
            <w:u w:val="single"/>
          </w:rPr>
          <w:t>eich.html</w:t>
        </w:r>
      </w:hyperlink>
      <w:r>
        <w:rPr>
          <w:color w:val="000000"/>
          <w:sz w:val="20"/>
          <w:szCs w:val="20"/>
        </w:rPr>
        <w:t xml:space="preserve">; Trier Center </w:t>
      </w:r>
      <w:proofErr w:type="spellStart"/>
      <w:r>
        <w:rPr>
          <w:color w:val="000000"/>
          <w:sz w:val="20"/>
          <w:szCs w:val="20"/>
        </w:rPr>
        <w:t>for</w:t>
      </w:r>
      <w:proofErr w:type="spellEnd"/>
      <w:r>
        <w:rPr>
          <w:color w:val="000000"/>
          <w:sz w:val="20"/>
          <w:szCs w:val="20"/>
        </w:rPr>
        <w:t xml:space="preserve"> Digital </w:t>
      </w:r>
      <w:proofErr w:type="spellStart"/>
      <w:r>
        <w:rPr>
          <w:color w:val="000000"/>
          <w:sz w:val="20"/>
          <w:szCs w:val="20"/>
        </w:rPr>
        <w:t>Humanties</w:t>
      </w:r>
      <w:proofErr w:type="spellEnd"/>
      <w:r>
        <w:rPr>
          <w:color w:val="000000"/>
          <w:sz w:val="20"/>
          <w:szCs w:val="20"/>
        </w:rPr>
        <w:t xml:space="preserve"> </w:t>
      </w:r>
      <w:hyperlink r:id="rId21">
        <w:r>
          <w:rPr>
            <w:color w:val="0000FF"/>
            <w:sz w:val="20"/>
            <w:szCs w:val="20"/>
            <w:u w:val="single"/>
          </w:rPr>
          <w:t>https://www.kompetenzzentrum.uni-trier.de/de/</w:t>
        </w:r>
      </w:hyperlink>
      <w:r>
        <w:rPr>
          <w:color w:val="000000"/>
          <w:sz w:val="20"/>
          <w:szCs w:val="20"/>
        </w:rPr>
        <w:t xml:space="preserve">; Austrian </w:t>
      </w:r>
      <w:proofErr w:type="spellStart"/>
      <w:r>
        <w:rPr>
          <w:color w:val="000000"/>
          <w:sz w:val="20"/>
          <w:szCs w:val="20"/>
        </w:rPr>
        <w:t>Centre</w:t>
      </w:r>
      <w:proofErr w:type="spellEnd"/>
      <w:r>
        <w:rPr>
          <w:color w:val="000000"/>
          <w:sz w:val="20"/>
          <w:szCs w:val="20"/>
        </w:rPr>
        <w:t xml:space="preserve"> </w:t>
      </w:r>
      <w:proofErr w:type="spellStart"/>
      <w:r>
        <w:rPr>
          <w:color w:val="000000"/>
          <w:sz w:val="20"/>
          <w:szCs w:val="20"/>
        </w:rPr>
        <w:t>for</w:t>
      </w:r>
      <w:proofErr w:type="spellEnd"/>
      <w:r>
        <w:rPr>
          <w:color w:val="000000"/>
          <w:sz w:val="20"/>
          <w:szCs w:val="20"/>
        </w:rPr>
        <w:t xml:space="preserve"> Digital Humanities (Graz) </w:t>
      </w:r>
      <w:hyperlink r:id="rId22">
        <w:r>
          <w:rPr>
            <w:color w:val="0000FF"/>
            <w:sz w:val="20"/>
            <w:szCs w:val="20"/>
            <w:u w:val="single"/>
          </w:rPr>
          <w:t>https://informationsmodellierung.uni-graz.at/en/</w:t>
        </w:r>
      </w:hyperlink>
      <w:r>
        <w:rPr>
          <w:color w:val="000000"/>
          <w:sz w:val="20"/>
          <w:szCs w:val="20"/>
        </w:rPr>
        <w:t xml:space="preserve">. </w:t>
      </w:r>
    </w:p>
  </w:footnote>
  <w:footnote w:id="17">
    <w:p w14:paraId="0000009E" w14:textId="77777777" w:rsidR="00260595" w:rsidRDefault="0046256A">
      <w:pPr>
        <w:spacing w:after="0" w:line="240" w:lineRule="auto"/>
        <w:rPr>
          <w:sz w:val="20"/>
          <w:szCs w:val="20"/>
        </w:rPr>
      </w:pPr>
      <w:r>
        <w:rPr>
          <w:vertAlign w:val="superscript"/>
        </w:rPr>
        <w:footnoteRef/>
      </w:r>
      <w:r>
        <w:rPr>
          <w:sz w:val="20"/>
          <w:szCs w:val="20"/>
        </w:rPr>
        <w:t xml:space="preserve"> </w:t>
      </w:r>
      <w:hyperlink r:id="rId23">
        <w:r>
          <w:rPr>
            <w:color w:val="1155CC"/>
            <w:sz w:val="20"/>
            <w:szCs w:val="20"/>
            <w:u w:val="single"/>
          </w:rPr>
          <w:t>https://github.com/dhtaxonomy/TaDiRAH/blob/master/deu/aktivitaeten.md</w:t>
        </w:r>
      </w:hyperlink>
      <w:r>
        <w:rPr>
          <w:sz w:val="20"/>
          <w:szCs w:val="20"/>
        </w:rPr>
        <w:t>.</w:t>
      </w:r>
    </w:p>
  </w:footnote>
  <w:footnote w:id="18">
    <w:p w14:paraId="0000009F" w14:textId="77777777" w:rsidR="00260595" w:rsidRDefault="0046256A">
      <w:pPr>
        <w:spacing w:after="0" w:line="240" w:lineRule="auto"/>
        <w:rPr>
          <w:sz w:val="20"/>
          <w:szCs w:val="20"/>
        </w:rPr>
      </w:pPr>
      <w:r>
        <w:rPr>
          <w:vertAlign w:val="superscript"/>
        </w:rPr>
        <w:footnoteRef/>
      </w:r>
      <w:r>
        <w:rPr>
          <w:sz w:val="20"/>
          <w:szCs w:val="20"/>
        </w:rPr>
        <w:t xml:space="preserve"> </w:t>
      </w:r>
      <w:hyperlink r:id="rId24">
        <w:r>
          <w:rPr>
            <w:color w:val="1155CC"/>
            <w:sz w:val="20"/>
            <w:szCs w:val="20"/>
            <w:u w:val="single"/>
          </w:rPr>
          <w:t>https://www.oxygenxml.com/</w:t>
        </w:r>
      </w:hyperlink>
      <w:r>
        <w:rPr>
          <w:sz w:val="20"/>
          <w:szCs w:val="20"/>
        </w:rPr>
        <w:t>.</w:t>
      </w:r>
    </w:p>
  </w:footnote>
  <w:footnote w:id="19">
    <w:p w14:paraId="000000A0" w14:textId="77777777" w:rsidR="00260595" w:rsidRDefault="0046256A">
      <w:pPr>
        <w:spacing w:line="240" w:lineRule="auto"/>
        <w:jc w:val="left"/>
        <w:rPr>
          <w:sz w:val="20"/>
          <w:szCs w:val="20"/>
        </w:rPr>
      </w:pPr>
      <w:r>
        <w:rPr>
          <w:vertAlign w:val="superscript"/>
        </w:rPr>
        <w:footnoteRef/>
      </w:r>
      <w:r>
        <w:rPr>
          <w:sz w:val="20"/>
          <w:szCs w:val="20"/>
        </w:rPr>
        <w:t xml:space="preserve"> Vergleiche Bericht zum Workshop im </w:t>
      </w:r>
      <w:proofErr w:type="spellStart"/>
      <w:r>
        <w:rPr>
          <w:sz w:val="20"/>
          <w:szCs w:val="20"/>
        </w:rPr>
        <w:t>FuReSH</w:t>
      </w:r>
      <w:proofErr w:type="spellEnd"/>
      <w:r>
        <w:rPr>
          <w:sz w:val="20"/>
          <w:szCs w:val="20"/>
        </w:rPr>
        <w:t xml:space="preserve">-Projektblog: </w:t>
      </w:r>
      <w:hyperlink r:id="rId25">
        <w:r>
          <w:rPr>
            <w:color w:val="1155CC"/>
            <w:sz w:val="20"/>
            <w:szCs w:val="20"/>
            <w:u w:val="single"/>
          </w:rPr>
          <w:t>https://blogs.hu-berlin.de/furesh/2019/03/12/bericht-zum-workshop-scholarly-makerspaces-bibliotheken-als-vermittlungsplattform-fuer-digital-humanities-tools/</w:t>
        </w:r>
      </w:hyperlink>
      <w:r>
        <w:rPr>
          <w:sz w:val="20"/>
          <w:szCs w:val="20"/>
        </w:rPr>
        <w:t>.</w:t>
      </w:r>
    </w:p>
  </w:footnote>
  <w:footnote w:id="20">
    <w:p w14:paraId="000000A1" w14:textId="77777777" w:rsidR="00260595" w:rsidRPr="005945A3" w:rsidRDefault="0046256A">
      <w:pPr>
        <w:pBdr>
          <w:top w:val="nil"/>
          <w:left w:val="nil"/>
          <w:bottom w:val="nil"/>
          <w:right w:val="nil"/>
          <w:between w:val="nil"/>
        </w:pBdr>
        <w:spacing w:after="0" w:line="240" w:lineRule="auto"/>
        <w:jc w:val="left"/>
        <w:rPr>
          <w:color w:val="000000"/>
          <w:sz w:val="20"/>
          <w:szCs w:val="20"/>
          <w:lang w:val="en-US"/>
        </w:rPr>
      </w:pPr>
      <w:r>
        <w:rPr>
          <w:vertAlign w:val="superscript"/>
        </w:rPr>
        <w:footnoteRef/>
      </w:r>
      <w:r w:rsidRPr="005945A3">
        <w:rPr>
          <w:color w:val="000000"/>
          <w:sz w:val="20"/>
          <w:szCs w:val="20"/>
          <w:lang w:val="en-US"/>
        </w:rPr>
        <w:t xml:space="preserve"> </w:t>
      </w:r>
      <w:proofErr w:type="spellStart"/>
      <w:r w:rsidRPr="005945A3">
        <w:rPr>
          <w:color w:val="000000"/>
          <w:sz w:val="20"/>
          <w:szCs w:val="20"/>
          <w:lang w:val="en-US"/>
        </w:rPr>
        <w:t>V</w:t>
      </w:r>
      <w:r w:rsidRPr="005945A3">
        <w:rPr>
          <w:sz w:val="20"/>
          <w:szCs w:val="20"/>
          <w:lang w:val="en-US"/>
        </w:rPr>
        <w:t>ergleiche</w:t>
      </w:r>
      <w:proofErr w:type="spellEnd"/>
      <w:r w:rsidRPr="005945A3">
        <w:rPr>
          <w:color w:val="000000"/>
          <w:sz w:val="20"/>
          <w:szCs w:val="20"/>
          <w:lang w:val="en-US"/>
        </w:rPr>
        <w:t xml:space="preserve"> British Library Labs </w:t>
      </w:r>
      <w:hyperlink r:id="rId26">
        <w:r w:rsidRPr="005945A3">
          <w:rPr>
            <w:color w:val="0000FF"/>
            <w:sz w:val="20"/>
            <w:szCs w:val="20"/>
            <w:u w:val="single"/>
            <w:lang w:val="en-US"/>
          </w:rPr>
          <w:t>https://www.bl.uk/projects/british-library-labs</w:t>
        </w:r>
      </w:hyperlink>
      <w:r w:rsidRPr="005945A3">
        <w:rPr>
          <w:color w:val="000000"/>
          <w:sz w:val="20"/>
          <w:szCs w:val="20"/>
          <w:lang w:val="en-US"/>
        </w:rPr>
        <w:t xml:space="preserve">; ETH Library Lab </w:t>
      </w:r>
      <w:hyperlink r:id="rId27">
        <w:r w:rsidRPr="005945A3">
          <w:rPr>
            <w:color w:val="0000FF"/>
            <w:sz w:val="20"/>
            <w:szCs w:val="20"/>
            <w:u w:val="single"/>
            <w:lang w:val="en-US"/>
          </w:rPr>
          <w:t>https://www.librarylab.ethz.ch/</w:t>
        </w:r>
      </w:hyperlink>
      <w:r w:rsidRPr="005945A3">
        <w:rPr>
          <w:color w:val="000000"/>
          <w:sz w:val="20"/>
          <w:szCs w:val="20"/>
          <w:lang w:val="en-US"/>
        </w:rPr>
        <w:t xml:space="preserve">; Harvard Library Lab </w:t>
      </w:r>
      <w:hyperlink r:id="rId28">
        <w:r w:rsidRPr="005945A3">
          <w:rPr>
            <w:color w:val="0000FF"/>
            <w:sz w:val="20"/>
            <w:szCs w:val="20"/>
            <w:u w:val="single"/>
            <w:lang w:val="en-US"/>
          </w:rPr>
          <w:t>https://osc.hul.harvard.edu/liblab/</w:t>
        </w:r>
      </w:hyperlink>
      <w:r w:rsidRPr="005945A3">
        <w:rPr>
          <w:color w:val="000000"/>
          <w:sz w:val="20"/>
          <w:szCs w:val="20"/>
          <w:lang w:val="en-US"/>
        </w:rPr>
        <w:t xml:space="preserve">. </w:t>
      </w:r>
    </w:p>
  </w:footnote>
  <w:footnote w:id="21">
    <w:p w14:paraId="000000A2" w14:textId="77777777" w:rsidR="00260595" w:rsidRDefault="0046256A">
      <w:pPr>
        <w:spacing w:after="0" w:line="240" w:lineRule="auto"/>
        <w:rPr>
          <w:sz w:val="20"/>
          <w:szCs w:val="20"/>
        </w:rPr>
      </w:pPr>
      <w:r>
        <w:rPr>
          <w:vertAlign w:val="superscript"/>
        </w:rPr>
        <w:footnoteRef/>
      </w:r>
      <w:r>
        <w:rPr>
          <w:sz w:val="20"/>
          <w:szCs w:val="20"/>
        </w:rPr>
        <w:t xml:space="preserve"> Zum Beispiel Forschungsabteilungen, Sonderforschungsbereiche und Exzellenzcluster.</w:t>
      </w:r>
    </w:p>
  </w:footnote>
  <w:footnote w:id="22">
    <w:p w14:paraId="000000A3" w14:textId="77777777" w:rsidR="00260595" w:rsidRDefault="0046256A">
      <w:pPr>
        <w:spacing w:after="0" w:line="240" w:lineRule="auto"/>
        <w:rPr>
          <w:sz w:val="20"/>
          <w:szCs w:val="20"/>
        </w:rPr>
      </w:pPr>
      <w:r>
        <w:rPr>
          <w:vertAlign w:val="superscript"/>
        </w:rPr>
        <w:footnoteRef/>
      </w:r>
      <w:r>
        <w:rPr>
          <w:sz w:val="20"/>
          <w:szCs w:val="20"/>
        </w:rPr>
        <w:t xml:space="preserve"> Ein Kontaktpunkt wäre dafür zum Beispiel das </w:t>
      </w:r>
      <w:proofErr w:type="spellStart"/>
      <w:r>
        <w:rPr>
          <w:sz w:val="20"/>
          <w:szCs w:val="20"/>
        </w:rPr>
        <w:t>Coding</w:t>
      </w:r>
      <w:proofErr w:type="spellEnd"/>
      <w:r>
        <w:rPr>
          <w:sz w:val="20"/>
          <w:szCs w:val="20"/>
        </w:rPr>
        <w:t>-Da-Vinci-Projekt beziehungsweise die daran bet</w:t>
      </w:r>
      <w:r>
        <w:rPr>
          <w:sz w:val="20"/>
          <w:szCs w:val="20"/>
        </w:rPr>
        <w:t xml:space="preserve">eiligten Akteure siehe </w:t>
      </w:r>
      <w:hyperlink r:id="rId29">
        <w:r>
          <w:rPr>
            <w:color w:val="1155CC"/>
            <w:sz w:val="20"/>
            <w:szCs w:val="20"/>
            <w:u w:val="single"/>
          </w:rPr>
          <w:t>https://codingdavinci.de/</w:t>
        </w:r>
      </w:hyperlink>
      <w:r>
        <w:rPr>
          <w:sz w:val="20"/>
          <w:szCs w:val="20"/>
        </w:rPr>
        <w:t>.</w:t>
      </w:r>
    </w:p>
  </w:footnote>
  <w:footnote w:id="23">
    <w:p w14:paraId="000000A4" w14:textId="77777777" w:rsidR="00260595" w:rsidRDefault="0046256A">
      <w:pPr>
        <w:spacing w:after="0" w:line="240" w:lineRule="auto"/>
        <w:rPr>
          <w:sz w:val="20"/>
          <w:szCs w:val="20"/>
        </w:rPr>
      </w:pPr>
      <w:r>
        <w:rPr>
          <w:vertAlign w:val="superscript"/>
        </w:rPr>
        <w:footnoteRef/>
      </w:r>
      <w:r>
        <w:rPr>
          <w:sz w:val="20"/>
          <w:szCs w:val="20"/>
        </w:rPr>
        <w:t xml:space="preserve"> Vergleiche das Beispiel einer Prozesskette für die digitale Textanalyse im Abschnitt „Interviews“.</w:t>
      </w:r>
    </w:p>
  </w:footnote>
  <w:footnote w:id="24">
    <w:p w14:paraId="000000A5" w14:textId="77777777" w:rsidR="00260595" w:rsidRDefault="0046256A">
      <w:pPr>
        <w:spacing w:after="0" w:line="240" w:lineRule="auto"/>
        <w:rPr>
          <w:sz w:val="20"/>
          <w:szCs w:val="20"/>
        </w:rPr>
      </w:pPr>
      <w:r>
        <w:rPr>
          <w:vertAlign w:val="superscript"/>
        </w:rPr>
        <w:footnoteRef/>
      </w:r>
      <w:r>
        <w:rPr>
          <w:sz w:val="20"/>
          <w:szCs w:val="20"/>
        </w:rPr>
        <w:t xml:space="preserve"> Für die Humboldt-Universität zu Berlin beispielsweise die </w:t>
      </w:r>
      <w:r>
        <w:rPr>
          <w:sz w:val="20"/>
          <w:szCs w:val="20"/>
        </w:rPr>
        <w:t xml:space="preserve">HU-Box, das Medienrepositorium, die Angebote des </w:t>
      </w:r>
      <w:proofErr w:type="spellStart"/>
      <w:r>
        <w:rPr>
          <w:sz w:val="20"/>
          <w:szCs w:val="20"/>
        </w:rPr>
        <w:t>edoc</w:t>
      </w:r>
      <w:proofErr w:type="spellEnd"/>
      <w:r>
        <w:rPr>
          <w:sz w:val="20"/>
          <w:szCs w:val="20"/>
        </w:rPr>
        <w:t xml:space="preserve">-Servers. </w:t>
      </w:r>
    </w:p>
  </w:footnote>
  <w:footnote w:id="25">
    <w:p w14:paraId="000000A6" w14:textId="77777777" w:rsidR="00260595" w:rsidRDefault="0046256A">
      <w:pPr>
        <w:spacing w:after="0" w:line="240" w:lineRule="auto"/>
        <w:rPr>
          <w:sz w:val="20"/>
          <w:szCs w:val="20"/>
        </w:rPr>
      </w:pPr>
      <w:r>
        <w:rPr>
          <w:vertAlign w:val="superscript"/>
        </w:rPr>
        <w:footnoteRef/>
      </w:r>
      <w:r>
        <w:rPr>
          <w:sz w:val="20"/>
          <w:szCs w:val="20"/>
        </w:rPr>
        <w:t xml:space="preserve"> Weblog des </w:t>
      </w:r>
      <w:proofErr w:type="spellStart"/>
      <w:r>
        <w:rPr>
          <w:sz w:val="20"/>
          <w:szCs w:val="20"/>
        </w:rPr>
        <w:t>FuReSH</w:t>
      </w:r>
      <w:proofErr w:type="spellEnd"/>
      <w:r>
        <w:rPr>
          <w:sz w:val="20"/>
          <w:szCs w:val="20"/>
        </w:rPr>
        <w:t xml:space="preserve">-Projekts: </w:t>
      </w:r>
      <w:hyperlink r:id="rId30">
        <w:r>
          <w:rPr>
            <w:color w:val="1155CC"/>
            <w:sz w:val="20"/>
            <w:szCs w:val="20"/>
            <w:u w:val="single"/>
          </w:rPr>
          <w:t>https://blogs.hu-berlin.de/furesh/2018/05/14/scholarly-makerspaces/</w:t>
        </w:r>
      </w:hyperlink>
      <w:r>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27B"/>
    <w:multiLevelType w:val="multilevel"/>
    <w:tmpl w:val="95F42CD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D34F3"/>
    <w:multiLevelType w:val="multilevel"/>
    <w:tmpl w:val="0906A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943709"/>
    <w:multiLevelType w:val="multilevel"/>
    <w:tmpl w:val="FFC8231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6C4724"/>
    <w:multiLevelType w:val="multilevel"/>
    <w:tmpl w:val="CB30975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564CF5"/>
    <w:multiLevelType w:val="multilevel"/>
    <w:tmpl w:val="159E9D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500479"/>
    <w:multiLevelType w:val="multilevel"/>
    <w:tmpl w:val="7924C8C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7B4E79"/>
    <w:multiLevelType w:val="multilevel"/>
    <w:tmpl w:val="A18C151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4373D1"/>
    <w:multiLevelType w:val="multilevel"/>
    <w:tmpl w:val="C560A66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595"/>
    <w:rsid w:val="00260595"/>
    <w:rsid w:val="0046256A"/>
    <w:rsid w:val="005945A3"/>
    <w:rsid w:val="00D32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31CA52"/>
  <w15:docId w15:val="{48CC7EAB-FF57-FD47-8993-C2F9EBB4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b/>
      <w:sz w:val="28"/>
      <w:szCs w:val="28"/>
    </w:rPr>
  </w:style>
  <w:style w:type="paragraph" w:styleId="Heading2">
    <w:name w:val="heading 2"/>
    <w:basedOn w:val="Normal"/>
    <w:next w:val="Normal"/>
    <w:uiPriority w:val="9"/>
    <w:unhideWhenUsed/>
    <w:qFormat/>
    <w:pPr>
      <w:keepNext/>
      <w:keepLines/>
      <w:spacing w:before="360" w:after="0"/>
      <w:outlineLvl w:val="1"/>
    </w:pPr>
    <w:rPr>
      <w:b/>
      <w:sz w:val="24"/>
      <w:szCs w:val="24"/>
    </w:rPr>
  </w:style>
  <w:style w:type="paragraph" w:styleId="Heading3">
    <w:name w:val="heading 3"/>
    <w:basedOn w:val="Normal"/>
    <w:next w:val="Normal"/>
    <w:uiPriority w:val="9"/>
    <w:unhideWhenUsed/>
    <w:qFormat/>
    <w:pPr>
      <w:keepNext/>
      <w:keepLines/>
      <w:spacing w:after="0"/>
      <w:outlineLvl w:val="2"/>
    </w:pPr>
    <w:rPr>
      <w:b/>
      <w:i/>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36"/>
      <w:szCs w:val="36"/>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catma.de/" TargetMode="External"/><Relationship Id="rId13" Type="http://schemas.openxmlformats.org/officeDocument/2006/relationships/hyperlink" Target="https://fortext.net/tools/tools/stylo" TargetMode="External"/><Relationship Id="rId18" Type="http://schemas.openxmlformats.org/officeDocument/2006/relationships/hyperlink" Target="http://www.hki.uni-koeln.de/" TargetMode="External"/><Relationship Id="rId26" Type="http://schemas.openxmlformats.org/officeDocument/2006/relationships/hyperlink" Target="https://www.bl.uk/projects/british-library-labs" TargetMode="External"/><Relationship Id="rId3" Type="http://schemas.openxmlformats.org/officeDocument/2006/relationships/hyperlink" Target="https://www.clarin-d.net/de/" TargetMode="External"/><Relationship Id="rId21" Type="http://schemas.openxmlformats.org/officeDocument/2006/relationships/hyperlink" Target="https://www.kompetenzzentrum.uni-trier.de/de/" TargetMode="External"/><Relationship Id="rId7" Type="http://schemas.openxmlformats.org/officeDocument/2006/relationships/hyperlink" Target="https://blogs.lse.ac.uk/impactofsocialsciences/2015/11/11/101-innovations-in-scholarly-communication/" TargetMode="External"/><Relationship Id="rId12" Type="http://schemas.openxmlformats.org/officeDocument/2006/relationships/hyperlink" Target="https://fortext.net/tools/tools/dariah-topics-explorer" TargetMode="External"/><Relationship Id="rId17" Type="http://schemas.openxmlformats.org/officeDocument/2006/relationships/hyperlink" Target="http://www.gcdh.de/en/" TargetMode="External"/><Relationship Id="rId25" Type="http://schemas.openxmlformats.org/officeDocument/2006/relationships/hyperlink" Target="https://blogs.hu-berlin.de/furesh/2019/03/12/bericht-zum-workshop-scholarly-makerspaces-bibliotheken-als-vermittlungsplattform-fuer-digital-humanities-tools/" TargetMode="External"/><Relationship Id="rId2" Type="http://schemas.openxmlformats.org/officeDocument/2006/relationships/hyperlink" Target="https://en.wikipedia.org/wiki/Solid_%28web_decentralization_project%29" TargetMode="External"/><Relationship Id="rId16" Type="http://schemas.openxmlformats.org/officeDocument/2006/relationships/hyperlink" Target="http://www.cceh.uni-koeln.de/" TargetMode="External"/><Relationship Id="rId20" Type="http://schemas.openxmlformats.org/officeDocument/2006/relationships/hyperlink" Target="http://www.uni-bielefeld.de/lili/studium/faecher/texttechnologie/arbeitsbereich.html" TargetMode="External"/><Relationship Id="rId29" Type="http://schemas.openxmlformats.org/officeDocument/2006/relationships/hyperlink" Target="https://codingdavinci.de/" TargetMode="External"/><Relationship Id="rId1" Type="http://schemas.openxmlformats.org/officeDocument/2006/relationships/hyperlink" Target="https://www.ub.hu-berlin.de/de/ueber-uns/projekte/furesh" TargetMode="External"/><Relationship Id="rId6" Type="http://schemas.openxmlformats.org/officeDocument/2006/relationships/hyperlink" Target="https://dirtdirectory.org/" TargetMode="External"/><Relationship Id="rId11" Type="http://schemas.openxmlformats.org/officeDocument/2006/relationships/hyperlink" Target="http://stereoscope.threedh.net/" TargetMode="External"/><Relationship Id="rId24" Type="http://schemas.openxmlformats.org/officeDocument/2006/relationships/hyperlink" Target="https://www.oxygenxml.com/" TargetMode="External"/><Relationship Id="rId5" Type="http://schemas.openxmlformats.org/officeDocument/2006/relationships/hyperlink" Target="https://www.clariah.nl/en/" TargetMode="External"/><Relationship Id="rId15" Type="http://schemas.openxmlformats.org/officeDocument/2006/relationships/hyperlink" Target="https://coneda.net/kor/" TargetMode="External"/><Relationship Id="rId23" Type="http://schemas.openxmlformats.org/officeDocument/2006/relationships/hyperlink" Target="https://github.com/dhtaxonomy/TaDiRAH/blob/master/deu/aktivitaeten.md" TargetMode="External"/><Relationship Id="rId28" Type="http://schemas.openxmlformats.org/officeDocument/2006/relationships/hyperlink" Target="https://osc.hul.harvard.edu/liblab/" TargetMode="External"/><Relationship Id="rId10" Type="http://schemas.openxmlformats.org/officeDocument/2006/relationships/hyperlink" Target="https://voyant-tools.org/" TargetMode="External"/><Relationship Id="rId19" Type="http://schemas.openxmlformats.org/officeDocument/2006/relationships/hyperlink" Target="http://kallimachos.de/kallimachos/index.php/Hauptseite" TargetMode="External"/><Relationship Id="rId4" Type="http://schemas.openxmlformats.org/officeDocument/2006/relationships/hyperlink" Target="https://de.dariah.eu/" TargetMode="External"/><Relationship Id="rId9" Type="http://schemas.openxmlformats.org/officeDocument/2006/relationships/hyperlink" Target="https://web.hypothes.is/" TargetMode="External"/><Relationship Id="rId14" Type="http://schemas.openxmlformats.org/officeDocument/2006/relationships/hyperlink" Target="https://fortext.net/tools/tools/transkribus" TargetMode="External"/><Relationship Id="rId22" Type="http://schemas.openxmlformats.org/officeDocument/2006/relationships/hyperlink" Target="https://informationsmodellierung.uni-graz.at/en/" TargetMode="External"/><Relationship Id="rId27" Type="http://schemas.openxmlformats.org/officeDocument/2006/relationships/hyperlink" Target="https://www.librarylab.ethz.ch/" TargetMode="External"/><Relationship Id="rId30" Type="http://schemas.openxmlformats.org/officeDocument/2006/relationships/hyperlink" Target="https://blogs.hu-berlin.de/furesh/2018/05/14/scholarly-maker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6576</Words>
  <Characters>37484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2019-04-25T17:56:00Z</dcterms:created>
  <dcterms:modified xsi:type="dcterms:W3CDTF">2019-04-25T19:07:00Z</dcterms:modified>
</cp:coreProperties>
</file>