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7" w14:textId="77777777" w:rsidR="003E30E9" w:rsidRDefault="00665978">
      <w:pPr>
        <w:jc w:val="both"/>
      </w:pPr>
      <w:r>
        <w:t xml:space="preserve">„Als Wüste werden die vegetationslosen oder vegetationsarmen Gebiete der Erde bezeichnet.“ </w:t>
      </w:r>
      <w:r>
        <w:rPr>
          <w:vertAlign w:val="superscript"/>
        </w:rPr>
        <w:footnoteReference w:id="1"/>
      </w:r>
      <w:r>
        <w:t xml:space="preserve"> Ich zähle die Pflanzen im Hauptraum der Bibliothek: Ein alter Hibiskus, eine Grünlilie und ein Kaktus auf der Fensterbank. Trocken ist es hier auch. Und ein bisschen staubig. Und doch: So wie die Wüste lebt, so lebt auch die Bibliothek. Oftmals im Verborgenen bietet sie den Lebensraum für Organismen, die auf, zwischen und teilweise nur in den Büchern leben.</w:t>
      </w:r>
    </w:p>
    <w:p w14:paraId="00000008" w14:textId="77777777" w:rsidR="003E30E9" w:rsidRDefault="00665978">
      <w:pPr>
        <w:jc w:val="both"/>
      </w:pPr>
      <w:r>
        <w:t>Hinter den schweren Türen der Panzerschränke dokumentieren reich illustrierte und aufwändig kolorierte Rara-Bände die Tier- und Pflanzenwelt der Erde – vermutlich sind hier mehr Arten zu sehen als im artenreichsten Zoo Europas. Auf jeden Fall gibt es in Bibliotheken Tiere zu sehen, die in keinem Tierpark zu bestaunen sind: Völlig selbstverständlich stehen Einhörner neben Nashörnern im Gessner,</w:t>
      </w:r>
      <w:r>
        <w:rPr>
          <w:vertAlign w:val="superscript"/>
        </w:rPr>
        <w:footnoteReference w:id="2"/>
      </w:r>
      <w:r>
        <w:t xml:space="preserve"> fabelhafte Tierwesen verzaubern in Romanen und die 1976 „entdeckte“ Steinlaus (</w:t>
      </w:r>
      <w:proofErr w:type="spellStart"/>
      <w:r>
        <w:rPr>
          <w:i/>
        </w:rPr>
        <w:t>Petrophaga</w:t>
      </w:r>
      <w:proofErr w:type="spellEnd"/>
      <w:r>
        <w:rPr>
          <w:i/>
        </w:rPr>
        <w:t xml:space="preserve"> </w:t>
      </w:r>
      <w:proofErr w:type="spellStart"/>
      <w:r>
        <w:rPr>
          <w:i/>
        </w:rPr>
        <w:t>lorioti</w:t>
      </w:r>
      <w:proofErr w:type="spellEnd"/>
      <w:r>
        <w:rPr>
          <w:i/>
        </w:rPr>
        <w:t>)</w:t>
      </w:r>
      <w:r>
        <w:t xml:space="preserve"> lebt im Pschyrembel</w:t>
      </w:r>
      <w:r>
        <w:rPr>
          <w:vertAlign w:val="superscript"/>
        </w:rPr>
        <w:footnoteReference w:id="3"/>
      </w:r>
      <w:r>
        <w:t xml:space="preserve"> fort. </w:t>
      </w:r>
    </w:p>
    <w:p w14:paraId="00000009" w14:textId="77777777" w:rsidR="003E30E9" w:rsidRDefault="00665978">
      <w:pPr>
        <w:jc w:val="both"/>
      </w:pPr>
      <w:r>
        <w:t xml:space="preserve">Wen wundert es da, dass Bibliotheken Tiere als Schutzsymbol oder Maskottchen ausgewählt haben? Neben dem „Bücherwurm“ sind es vor allem Eulen, die als Symbol der griechischen Göttin der Weisheit, Athene, zahlreiche Bibliotheken wie die Library </w:t>
      </w:r>
      <w:proofErr w:type="spellStart"/>
      <w:r>
        <w:t>of</w:t>
      </w:r>
      <w:proofErr w:type="spellEnd"/>
      <w:r>
        <w:t xml:space="preserve"> </w:t>
      </w:r>
      <w:proofErr w:type="spellStart"/>
      <w:r>
        <w:t>Congress</w:t>
      </w:r>
      <w:proofErr w:type="spellEnd"/>
      <w:r>
        <w:t xml:space="preserve"> zieren. In den vergangenen Jahren haben eher Vierbeiner zwischen den Regalreihen ihr Zuhause gefunden. Neben Therapiehunden vor allem über 300 offizielle Bibliothekskatzen.</w:t>
      </w:r>
      <w:r>
        <w:rPr>
          <w:vertAlign w:val="superscript"/>
        </w:rPr>
        <w:footnoteReference w:id="4"/>
      </w:r>
      <w:r>
        <w:t xml:space="preserve"> Etwas exotischer fiel die Wahl der Haustiere in der Ernst Mayr Library des Museum </w:t>
      </w:r>
      <w:proofErr w:type="spellStart"/>
      <w:r>
        <w:t>of</w:t>
      </w:r>
      <w:proofErr w:type="spellEnd"/>
      <w:r>
        <w:t xml:space="preserve"> </w:t>
      </w:r>
      <w:proofErr w:type="spellStart"/>
      <w:r>
        <w:t>Comparative</w:t>
      </w:r>
      <w:proofErr w:type="spellEnd"/>
      <w:r>
        <w:t xml:space="preserve"> </w:t>
      </w:r>
      <w:proofErr w:type="spellStart"/>
      <w:r>
        <w:t>Zoology</w:t>
      </w:r>
      <w:proofErr w:type="spellEnd"/>
      <w:r>
        <w:t xml:space="preserve"> der Harvard Universität aus. </w:t>
      </w:r>
      <w:proofErr w:type="spellStart"/>
      <w:r>
        <w:rPr>
          <w:i/>
        </w:rPr>
        <w:t>Gromphadorhina</w:t>
      </w:r>
      <w:proofErr w:type="spellEnd"/>
      <w:r>
        <w:rPr>
          <w:i/>
        </w:rPr>
        <w:t xml:space="preserve"> </w:t>
      </w:r>
      <w:proofErr w:type="spellStart"/>
      <w:r>
        <w:rPr>
          <w:i/>
        </w:rPr>
        <w:t>portentosa</w:t>
      </w:r>
      <w:proofErr w:type="spellEnd"/>
      <w:r>
        <w:rPr>
          <w:i/>
        </w:rPr>
        <w:t xml:space="preserve">, </w:t>
      </w:r>
      <w:r>
        <w:t>eher bekannt als Madagaskar-</w:t>
      </w:r>
      <w:proofErr w:type="spellStart"/>
      <w:r>
        <w:t>Fauchschabe</w:t>
      </w:r>
      <w:proofErr w:type="spellEnd"/>
      <w:r>
        <w:t xml:space="preserve">, kann von Studierenden an den Leseplatz ausgeliehen werden (im Terrarium), sollte Therapiehund Cooper in der benachbarten </w:t>
      </w:r>
      <w:proofErr w:type="spellStart"/>
      <w:r>
        <w:t>Countway</w:t>
      </w:r>
      <w:proofErr w:type="spellEnd"/>
      <w:r>
        <w:t xml:space="preserve"> Library mal ausgebucht sein.</w:t>
      </w:r>
      <w:r>
        <w:rPr>
          <w:vertAlign w:val="superscript"/>
        </w:rPr>
        <w:t xml:space="preserve"> </w:t>
      </w:r>
      <w:r>
        <w:rPr>
          <w:vertAlign w:val="superscript"/>
        </w:rPr>
        <w:footnoteReference w:id="5"/>
      </w:r>
      <w:r>
        <w:t xml:space="preserve"> </w:t>
      </w:r>
    </w:p>
    <w:p w14:paraId="0000000A" w14:textId="77777777" w:rsidR="003E30E9" w:rsidRDefault="00665978">
      <w:pPr>
        <w:jc w:val="both"/>
      </w:pPr>
      <w:r>
        <w:t xml:space="preserve">So sehr wir bestimmte Arten verehren, um das Wissen in Bibliothekssammlungen (symbolisch) zu schützen, so sehr bemühen wir uns, andere Organismen aus den Räumen fernzuhalten. Schädlinge wie Nagetiere oder Wanzen ernähren sich gerne von pflanzlichen Materialien (Papier) und stellen eine Bedrohung für die Bestandserhaltung dar. Bislang ist noch keine Art bekannt, die ausschließlich in Bibliotheken lebt (im Gegensatz zu einer Spinne, deren einziger natürlicher Lebensraum das </w:t>
      </w:r>
      <w:proofErr w:type="spellStart"/>
      <w:r>
        <w:t>Finnische</w:t>
      </w:r>
      <w:proofErr w:type="spellEnd"/>
      <w:r>
        <w:t xml:space="preserve"> Naturkundemuseum ist</w:t>
      </w:r>
      <w:r>
        <w:rPr>
          <w:vertAlign w:val="superscript"/>
        </w:rPr>
        <w:footnoteReference w:id="6"/>
      </w:r>
      <w:r>
        <w:t>), und doch gibt es Arten, die in Archiven und Bibliotheken einen paradiesischen Lebensraum gefunden haben, zum Beispiel der Papiersilberfisch (</w:t>
      </w:r>
      <w:proofErr w:type="spellStart"/>
      <w:r>
        <w:rPr>
          <w:i/>
        </w:rPr>
        <w:t>Ctenolepisma</w:t>
      </w:r>
      <w:proofErr w:type="spellEnd"/>
      <w:r>
        <w:rPr>
          <w:i/>
        </w:rPr>
        <w:t xml:space="preserve"> </w:t>
      </w:r>
      <w:proofErr w:type="spellStart"/>
      <w:r>
        <w:rPr>
          <w:i/>
        </w:rPr>
        <w:t>longicaudata</w:t>
      </w:r>
      <w:proofErr w:type="spellEnd"/>
      <w:r>
        <w:t xml:space="preserve">). Dieses </w:t>
      </w:r>
      <w:proofErr w:type="spellStart"/>
      <w:r>
        <w:t>synantrophe</w:t>
      </w:r>
      <w:proofErr w:type="spellEnd"/>
      <w:r>
        <w:t xml:space="preserve"> Tier ernährt sich fast ausschließlich von Papier und Karton indem es </w:t>
      </w:r>
      <w:proofErr w:type="spellStart"/>
      <w:r>
        <w:t>Zellulosen</w:t>
      </w:r>
      <w:proofErr w:type="spellEnd"/>
      <w:r>
        <w:t xml:space="preserve"> mit körpereigener </w:t>
      </w:r>
      <w:proofErr w:type="spellStart"/>
      <w:r>
        <w:t>Cellulase</w:t>
      </w:r>
      <w:proofErr w:type="spellEnd"/>
      <w:r>
        <w:t xml:space="preserve"> in Zucker zerlegt, der dann verdaut werden kann. Papier-Silberfische sind in ihrer Umgebung nicht sehr anspruchsvoll (Temperaturen zwischen 20 und 24 Grad Celsius, trockene Umgebung, meidet Licht) und können bis zu 300 Tage ohne Nahrung überleben – ein Albtraum für das </w:t>
      </w:r>
      <w:r>
        <w:rPr>
          <w:i/>
        </w:rPr>
        <w:t>Integrated Pest Management</w:t>
      </w:r>
      <w:r>
        <w:t>. Und wenn die Umgebung von trocken zu feucht wechselt und damit für den Papiersilberfisch unwirtlich wird, erobern (Schimmel-)Pilze das Biotop „Buch“.</w:t>
      </w:r>
    </w:p>
    <w:p w14:paraId="0000000B" w14:textId="77777777" w:rsidR="003E30E9" w:rsidRDefault="00665978">
      <w:pPr>
        <w:jc w:val="both"/>
      </w:pPr>
      <w:r>
        <w:lastRenderedPageBreak/>
        <w:t xml:space="preserve">Weder </w:t>
      </w:r>
      <w:proofErr w:type="spellStart"/>
      <w:r>
        <w:rPr>
          <w:i/>
        </w:rPr>
        <w:t>Ctenolepisma</w:t>
      </w:r>
      <w:proofErr w:type="spellEnd"/>
      <w:r>
        <w:rPr>
          <w:i/>
        </w:rPr>
        <w:t xml:space="preserve"> </w:t>
      </w:r>
      <w:proofErr w:type="spellStart"/>
      <w:r>
        <w:rPr>
          <w:i/>
        </w:rPr>
        <w:t>longicaudata</w:t>
      </w:r>
      <w:proofErr w:type="spellEnd"/>
      <w:r>
        <w:t xml:space="preserve"> noch Schimmelpilze werden von der International Union </w:t>
      </w:r>
      <w:proofErr w:type="spellStart"/>
      <w:r>
        <w:t>for</w:t>
      </w:r>
      <w:proofErr w:type="spellEnd"/>
      <w:r>
        <w:t xml:space="preserve"> </w:t>
      </w:r>
      <w:proofErr w:type="spellStart"/>
      <w:r>
        <w:t>Conservation</w:t>
      </w:r>
      <w:proofErr w:type="spellEnd"/>
      <w:r>
        <w:t xml:space="preserve"> </w:t>
      </w:r>
      <w:proofErr w:type="spellStart"/>
      <w:r>
        <w:t>of</w:t>
      </w:r>
      <w:proofErr w:type="spellEnd"/>
      <w:r>
        <w:t xml:space="preserve"> Nature (IUCN) auf der Roten Liste der gefährdeten Arten</w:t>
      </w:r>
      <w:r>
        <w:rPr>
          <w:vertAlign w:val="superscript"/>
        </w:rPr>
        <w:footnoteReference w:id="7"/>
      </w:r>
      <w:r>
        <w:t xml:space="preserve"> geführt. Einige der Bücher, die sie bedrohen, enthalten jedoch Hinweise auf ausgestorbene, bedrohte oder vom Aussterben bedrohte Tiere, Pflanzen und andere Organismen. Als der berühmte Illustrator John Gould 1838 seine Expedition nach Australien unternahm, dokumentierte er die eindrucksvolle Tierwelt des roten Kontinents. Auf über 180 Tafeln stellten sie Säugetiere, die ihnen auf der Expedition begegneten, in möglichst natürlicher Umgebung dar und publizierten diese mit Begleittexten im Werk „The </w:t>
      </w:r>
      <w:proofErr w:type="spellStart"/>
      <w:r>
        <w:t>Mammals</w:t>
      </w:r>
      <w:proofErr w:type="spellEnd"/>
      <w:r>
        <w:t xml:space="preserve"> </w:t>
      </w:r>
      <w:proofErr w:type="spellStart"/>
      <w:r>
        <w:t>of</w:t>
      </w:r>
      <w:proofErr w:type="spellEnd"/>
      <w:r>
        <w:t xml:space="preserve"> Australia“.</w:t>
      </w:r>
      <w:r>
        <w:rPr>
          <w:vertAlign w:val="superscript"/>
        </w:rPr>
        <w:footnoteReference w:id="8"/>
      </w:r>
      <w:r>
        <w:t xml:space="preserve"> Aus heutiger Sicht dokumentiert es die schwindende Artenvielfalt Australiens. Die letzten Aufzeichnungen über das Wallaby wurden 1930 in Westaustralien verifiziert und 1956 wurde das </w:t>
      </w:r>
      <w:proofErr w:type="spellStart"/>
      <w:r>
        <w:t>Mondnagelkänguruh</w:t>
      </w:r>
      <w:proofErr w:type="spellEnd"/>
      <w:r>
        <w:t xml:space="preserve"> für ausgestorben erklärt. Die einzige verbreitete Darstellung dieser Art ist die Goulds </w:t>
      </w:r>
      <w:proofErr w:type="gramStart"/>
      <w:r>
        <w:t>Abbildung  in</w:t>
      </w:r>
      <w:proofErr w:type="gramEnd"/>
      <w:r>
        <w:t xml:space="preserve"> „The </w:t>
      </w:r>
      <w:proofErr w:type="spellStart"/>
      <w:r>
        <w:t>Mammals</w:t>
      </w:r>
      <w:proofErr w:type="spellEnd"/>
      <w:r>
        <w:t xml:space="preserve"> </w:t>
      </w:r>
      <w:proofErr w:type="spellStart"/>
      <w:r>
        <w:t>of</w:t>
      </w:r>
      <w:proofErr w:type="spellEnd"/>
      <w:r>
        <w:t xml:space="preserve"> Australia“.</w:t>
      </w:r>
      <w:r>
        <w:rPr>
          <w:vertAlign w:val="superscript"/>
        </w:rPr>
        <w:footnoteReference w:id="9"/>
      </w:r>
    </w:p>
    <w:p w14:paraId="0000000C" w14:textId="77777777" w:rsidR="003E30E9" w:rsidRDefault="00665978">
      <w:pPr>
        <w:jc w:val="both"/>
      </w:pPr>
      <w:r>
        <w:t>Letztlich kann man von Glück reden, dass die Art zumindest dokumentiert wurde. ExpertInnen gehen heute davon aus, dass lediglich 14% der Arten auf dem Land und nur 9% der Arten im Wasser bekannt sind.</w:t>
      </w:r>
      <w:r>
        <w:rPr>
          <w:vertAlign w:val="superscript"/>
        </w:rPr>
        <w:footnoteReference w:id="10"/>
      </w:r>
      <w:r>
        <w:t xml:space="preserve"> Die Biodiversitätsforschung befindet sich also in einem Wettlauf gegen die Zeit und braucht starke Partner: Informationseinrichtungen. Bibliotheken und Archive bewahren das Wissen um die bisher bekannte Flora und Fauna der Erde und liefern so wichtige Grundlagen für Artbeschreibungen, Dokumentation des Klimawandels und Forschungsmethoden allgemein.</w:t>
      </w:r>
    </w:p>
    <w:p w14:paraId="0000000D" w14:textId="77777777" w:rsidR="003E30E9" w:rsidRDefault="00665978">
      <w:pPr>
        <w:jc w:val="both"/>
      </w:pPr>
      <w:r>
        <w:t xml:space="preserve">Insbesondere in naturwissenschaftlichen Bibliotheken und Archiven eröffnet sich den Lesenden eine teils vergessene Tier- und Pflanzenwelt. Um den Zugang zu diesen Quellen für die Biodiversitätsforschung zu erleichtern, gründeten 2006 zehn Bibliotheken, Archive und Informationseinrichtung aus Naturkundemuseen, Botanischen Gärten und ähnlichen Einrichtungen das Konsortium der </w:t>
      </w:r>
      <w:proofErr w:type="spellStart"/>
      <w:r>
        <w:t>Biodiversity</w:t>
      </w:r>
      <w:proofErr w:type="spellEnd"/>
      <w:r>
        <w:t xml:space="preserve"> Heritage Library (BHL).</w:t>
      </w:r>
      <w:r>
        <w:rPr>
          <w:vertAlign w:val="superscript"/>
        </w:rPr>
        <w:footnoteReference w:id="11"/>
      </w:r>
      <w:r>
        <w:t xml:space="preserve"> Seither wurden über die BHL circa 58 Mio. Seiten, aus 160.000 Titeln beziehungsweise 261.000 Bänden digitalisiert und open </w:t>
      </w:r>
      <w:proofErr w:type="spellStart"/>
      <w:r>
        <w:t>access</w:t>
      </w:r>
      <w:proofErr w:type="spellEnd"/>
      <w:r>
        <w:t xml:space="preserve"> zur Verfügung gestellt. Die mittlerweile 20 </w:t>
      </w:r>
      <w:proofErr w:type="spellStart"/>
      <w:r>
        <w:t>Konsortiumsmitglieder</w:t>
      </w:r>
      <w:proofErr w:type="spellEnd"/>
      <w:r>
        <w:t>,</w:t>
      </w:r>
      <w:r>
        <w:rPr>
          <w:vertAlign w:val="superscript"/>
        </w:rPr>
        <w:footnoteReference w:id="12"/>
      </w:r>
      <w:r>
        <w:t xml:space="preserve"> darunter dem Museum für Naturkunde Berlin als einzige Institution aus dem deutschsprachigen Raum, engagieren sich zudem in Verlagsverhandlungen, um urheberrechtlich geschützte Literatur bereits vor dem Ablauf der Schutzfrist open </w:t>
      </w:r>
      <w:proofErr w:type="spellStart"/>
      <w:r>
        <w:t>access</w:t>
      </w:r>
      <w:proofErr w:type="spellEnd"/>
      <w:r>
        <w:t xml:space="preserve"> anzubieten.</w:t>
      </w:r>
    </w:p>
    <w:p w14:paraId="0000000E" w14:textId="77777777" w:rsidR="003E30E9" w:rsidRDefault="00665978">
      <w:pPr>
        <w:jc w:val="both"/>
      </w:pPr>
      <w:r>
        <w:t xml:space="preserve">Neben der reinen Literaturbereitstellung werden die darin enthaltenen Informationen aufbereitet und mit Daten aus anderen Datenportalen, insbesondere aus dem Bereich Biodiversität, verlinkt. So sind die OCR-Volltexte in der BHL alle auf taxonomische Namen automatisch analysiert und mit den Einträgen in der Encyclopedia </w:t>
      </w:r>
      <w:proofErr w:type="spellStart"/>
      <w:r>
        <w:t>of</w:t>
      </w:r>
      <w:proofErr w:type="spellEnd"/>
      <w:r>
        <w:t xml:space="preserve"> Life verknüpft. Dies ermöglicht es zum einen die Artbeschreibung in ihrem historischen Kontext darstellen zu können und zum anderen bietet es Forschenden einen weiteren Zugang </w:t>
      </w:r>
      <w:proofErr w:type="gramStart"/>
      <w:r>
        <w:t>zu weiterführenden Information</w:t>
      </w:r>
      <w:proofErr w:type="gramEnd"/>
      <w:r>
        <w:t xml:space="preserve"> zu einer Art.</w:t>
      </w:r>
    </w:p>
    <w:p w14:paraId="0000000F" w14:textId="77777777" w:rsidR="003E30E9" w:rsidRDefault="00665978">
      <w:pPr>
        <w:jc w:val="both"/>
      </w:pPr>
      <w:r>
        <w:lastRenderedPageBreak/>
        <w:t>Wie wichtig die freie Zugänglichkeit zu Biodiversitätsliteratur ist, hat die SARS-CoV-2-Pandemie in jüngster Zeit gezeigt. Wie in vielen anderen Bereiche unseres Lebens waren die gewohnten Wege nicht mehr gangbar – Archive und Bibliotheken eine Weile geschlossen. Die Versorgung von Forschenden, Studierenden, PädagogInnen und SchülerInnen mit wissenschaftlicher Literatur war nur über elektronische Ressourcen möglich und Open-Access-Bibliotheken wie die BHL haben schwere Einschnitte in der Literaturversorgung abgemildert. Zusätzlich zu ihren verschiedenen Tools und Services für die wissenschaftliche Arbeit, stellten das BHL-Konsortium Material zusammen, um den Fernunterricht durch kuratierte Sammlungen, Bildressourcen, aber auch Malbücher zu unterstützen. Die MitarbeiterInnen der BHL haben zudem stark an der Verbesserung des Zugangs zu den Sammlungen gearbeitet, indem sie die Metadaten für digitalisierte Bände und die darin enthaltenen Bildnachweise zu verbessern.</w:t>
      </w:r>
    </w:p>
    <w:p w14:paraId="00000010" w14:textId="77777777" w:rsidR="003E30E9" w:rsidRDefault="00665978">
      <w:pPr>
        <w:jc w:val="both"/>
      </w:pPr>
      <w:r>
        <w:t xml:space="preserve">Neben der Bewahrung des Wissens über die biologische Vielfalt engagiert sich der BHL auch aktiv für die Sensibilisierung der Öffentlichkeit für Naturschutzfragen. Gegenwärtig untersucht die </w:t>
      </w:r>
      <w:r>
        <w:rPr>
          <w:i/>
        </w:rPr>
        <w:t xml:space="preserve">Earth </w:t>
      </w:r>
      <w:proofErr w:type="spellStart"/>
      <w:r>
        <w:rPr>
          <w:i/>
        </w:rPr>
        <w:t>Optimism</w:t>
      </w:r>
      <w:proofErr w:type="spellEnd"/>
      <w:r>
        <w:rPr>
          <w:i/>
        </w:rPr>
        <w:t xml:space="preserve"> Campaign</w:t>
      </w:r>
      <w:r>
        <w:rPr>
          <w:i/>
          <w:vertAlign w:val="superscript"/>
        </w:rPr>
        <w:footnoteReference w:id="13"/>
      </w:r>
      <w:r>
        <w:t xml:space="preserve"> das Leben und die Arbeit von Personen, die entscheidend dazu beigetragen haben, den Naturschutz in Wissenschaft und Gesellschaft zu etablieren. Ursprünglich für April 2020 geplant und wegen der SARS-CoV-2-Pandemie verschoben, wurde die Kampagne im Juli aufgenommen und wird bis Ende dieses Jahres 2020 wegweisende Literatur zum Naturschutz beleuchten.</w:t>
      </w:r>
    </w:p>
    <w:p w14:paraId="00000011" w14:textId="77777777" w:rsidR="003E30E9" w:rsidRDefault="00665978">
      <w:pPr>
        <w:jc w:val="both"/>
      </w:pPr>
      <w:r>
        <w:t xml:space="preserve">Wir haben gesehen, dass Bibliotheken für einige Tiere, Pflanzen und Organismen ein realer Lebensraum sind. Ausgestorbene Arten leben in den Büchern weiter und manche leben ausschließlich auf dem Papier. Sie engagieren sich (nicht nur) im Rahmen der </w:t>
      </w:r>
      <w:proofErr w:type="spellStart"/>
      <w:r>
        <w:t>Sustainable</w:t>
      </w:r>
      <w:proofErr w:type="spellEnd"/>
      <w:r>
        <w:t xml:space="preserve"> Development Goals (SDGs) der Vereinten Nationen</w:t>
      </w:r>
      <w:r>
        <w:rPr>
          <w:vertAlign w:val="superscript"/>
        </w:rPr>
        <w:footnoteReference w:id="14"/>
      </w:r>
      <w:r>
        <w:t xml:space="preserve"> für den Erhalt von Biodiversität und tragen so </w:t>
      </w:r>
      <w:proofErr w:type="gramStart"/>
      <w:r>
        <w:t>zu einem ökologischerem Bewusstsein</w:t>
      </w:r>
      <w:proofErr w:type="gramEnd"/>
      <w:r>
        <w:t xml:space="preserve"> bei. Bibliotheken sind daher gar nichts so weit weg von den Merkmalen von Naturschutzgebieten, </w:t>
      </w:r>
      <w:proofErr w:type="gramStart"/>
      <w:r>
        <w:t>die  „</w:t>
      </w:r>
      <w:proofErr w:type="gramEnd"/>
      <w:r>
        <w:t>… aus wissenschaftlichen, naturwissenschaftlichen […] oder wegen ihrer Seltenheit, besonderen Eigenart oder hervorragenden Schönheit. …“</w:t>
      </w:r>
      <w:r>
        <w:rPr>
          <w:vertAlign w:val="superscript"/>
        </w:rPr>
        <w:footnoteReference w:id="15"/>
      </w:r>
      <w:r>
        <w:t xml:space="preserve"> schützenswert sind.</w:t>
      </w:r>
    </w:p>
    <w:p w14:paraId="00000012" w14:textId="77777777" w:rsidR="003E30E9" w:rsidRDefault="00665978">
      <w:r>
        <w:t xml:space="preserve">Dieser Artikel entstand mit großer Unterstützung von Constance Rinaldo, </w:t>
      </w:r>
      <w:proofErr w:type="spellStart"/>
      <w:r>
        <w:t>Librarian</w:t>
      </w:r>
      <w:proofErr w:type="spellEnd"/>
      <w:r>
        <w:t xml:space="preserve"> </w:t>
      </w:r>
      <w:proofErr w:type="spellStart"/>
      <w:r>
        <w:t>of</w:t>
      </w:r>
      <w:proofErr w:type="spellEnd"/>
      <w:r>
        <w:t xml:space="preserve"> </w:t>
      </w:r>
      <w:proofErr w:type="spellStart"/>
      <w:r>
        <w:t>the</w:t>
      </w:r>
      <w:proofErr w:type="spellEnd"/>
      <w:r>
        <w:t xml:space="preserve"> Ernst Mayr Library and Museum </w:t>
      </w:r>
      <w:proofErr w:type="spellStart"/>
      <w:r>
        <w:t>of</w:t>
      </w:r>
      <w:proofErr w:type="spellEnd"/>
      <w:r>
        <w:t xml:space="preserve"> </w:t>
      </w:r>
      <w:proofErr w:type="spellStart"/>
      <w:r>
        <w:t>Comparative</w:t>
      </w:r>
      <w:proofErr w:type="spellEnd"/>
      <w:r>
        <w:t xml:space="preserve"> </w:t>
      </w:r>
      <w:proofErr w:type="spellStart"/>
      <w:r>
        <w:t>Zoology</w:t>
      </w:r>
      <w:proofErr w:type="spellEnd"/>
      <w:r>
        <w:t xml:space="preserve"> Archives und Tomoko Y. Steen, </w:t>
      </w:r>
      <w:proofErr w:type="spellStart"/>
      <w:r>
        <w:t>Ph.D</w:t>
      </w:r>
      <w:proofErr w:type="spellEnd"/>
      <w:r>
        <w:t xml:space="preserve">., Department </w:t>
      </w:r>
      <w:proofErr w:type="spellStart"/>
      <w:r>
        <w:t>of</w:t>
      </w:r>
      <w:proofErr w:type="spellEnd"/>
      <w:r>
        <w:t xml:space="preserve"> </w:t>
      </w:r>
      <w:proofErr w:type="spellStart"/>
      <w:r>
        <w:t>Microbiology</w:t>
      </w:r>
      <w:proofErr w:type="spellEnd"/>
      <w:r>
        <w:t xml:space="preserve"> and </w:t>
      </w:r>
      <w:proofErr w:type="spellStart"/>
      <w:r>
        <w:t>Immunology</w:t>
      </w:r>
      <w:proofErr w:type="spellEnd"/>
      <w:r>
        <w:t>, Georgetown University.</w:t>
      </w:r>
    </w:p>
    <w:p w14:paraId="00000015" w14:textId="287FD759" w:rsidR="003E30E9" w:rsidRDefault="003E30E9">
      <w:pPr>
        <w:jc w:val="both"/>
      </w:pPr>
    </w:p>
    <w:sectPr w:rsidR="003E30E9">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DEB845" w14:textId="77777777" w:rsidR="0075180E" w:rsidRDefault="0075180E">
      <w:pPr>
        <w:spacing w:after="0" w:line="240" w:lineRule="auto"/>
      </w:pPr>
      <w:r>
        <w:separator/>
      </w:r>
    </w:p>
  </w:endnote>
  <w:endnote w:type="continuationSeparator" w:id="0">
    <w:p w14:paraId="17A304BD" w14:textId="77777777" w:rsidR="0075180E" w:rsidRDefault="00751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7F9B6E" w14:textId="77777777" w:rsidR="0075180E" w:rsidRDefault="0075180E">
      <w:pPr>
        <w:spacing w:after="0" w:line="240" w:lineRule="auto"/>
      </w:pPr>
      <w:r>
        <w:separator/>
      </w:r>
    </w:p>
  </w:footnote>
  <w:footnote w:type="continuationSeparator" w:id="0">
    <w:p w14:paraId="71D92485" w14:textId="77777777" w:rsidR="0075180E" w:rsidRDefault="0075180E">
      <w:pPr>
        <w:spacing w:after="0" w:line="240" w:lineRule="auto"/>
      </w:pPr>
      <w:r>
        <w:continuationSeparator/>
      </w:r>
    </w:p>
  </w:footnote>
  <w:footnote w:id="1">
    <w:p w14:paraId="00000016" w14:textId="77777777" w:rsidR="003E30E9" w:rsidRDefault="00665978">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Wikipedia: Wüste. </w:t>
      </w:r>
      <w:hyperlink r:id="rId1">
        <w:r>
          <w:rPr>
            <w:color w:val="0563C1"/>
            <w:sz w:val="20"/>
            <w:szCs w:val="20"/>
            <w:u w:val="single"/>
          </w:rPr>
          <w:t>https://de.wikipedia.org/wiki/W%C3%BCste</w:t>
        </w:r>
      </w:hyperlink>
      <w:r>
        <w:rPr>
          <w:color w:val="000000"/>
          <w:sz w:val="20"/>
          <w:szCs w:val="20"/>
        </w:rPr>
        <w:t xml:space="preserve"> (zuletzt aufgerufen am 20.08.2020)</w:t>
      </w:r>
    </w:p>
  </w:footnote>
  <w:footnote w:id="2">
    <w:p w14:paraId="00000017" w14:textId="77777777" w:rsidR="003E30E9" w:rsidRDefault="00665978">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Gessner, Conrad: </w:t>
      </w:r>
      <w:proofErr w:type="spellStart"/>
      <w:r>
        <w:rPr>
          <w:color w:val="000000"/>
          <w:sz w:val="20"/>
          <w:szCs w:val="20"/>
        </w:rPr>
        <w:t>Historiae</w:t>
      </w:r>
      <w:proofErr w:type="spellEnd"/>
      <w:r>
        <w:rPr>
          <w:color w:val="000000"/>
          <w:sz w:val="20"/>
          <w:szCs w:val="20"/>
        </w:rPr>
        <w:t xml:space="preserve"> </w:t>
      </w:r>
      <w:proofErr w:type="spellStart"/>
      <w:r>
        <w:rPr>
          <w:color w:val="000000"/>
          <w:sz w:val="20"/>
          <w:szCs w:val="20"/>
        </w:rPr>
        <w:t>animalvm</w:t>
      </w:r>
      <w:proofErr w:type="spellEnd"/>
      <w:r>
        <w:rPr>
          <w:color w:val="000000"/>
          <w:sz w:val="20"/>
          <w:szCs w:val="20"/>
        </w:rPr>
        <w:t xml:space="preserve">. Digital verfügbar in der </w:t>
      </w:r>
      <w:proofErr w:type="spellStart"/>
      <w:r>
        <w:rPr>
          <w:color w:val="000000"/>
          <w:sz w:val="20"/>
          <w:szCs w:val="20"/>
        </w:rPr>
        <w:t>Biodiversity</w:t>
      </w:r>
      <w:proofErr w:type="spellEnd"/>
      <w:r>
        <w:rPr>
          <w:color w:val="000000"/>
          <w:sz w:val="20"/>
          <w:szCs w:val="20"/>
        </w:rPr>
        <w:t xml:space="preserve"> Heritage Library. </w:t>
      </w:r>
      <w:hyperlink r:id="rId2">
        <w:r>
          <w:rPr>
            <w:color w:val="0563C1"/>
            <w:sz w:val="20"/>
            <w:szCs w:val="20"/>
            <w:u w:val="single"/>
          </w:rPr>
          <w:t>https://doi.org/10.5962/bhl.title.125499</w:t>
        </w:r>
      </w:hyperlink>
      <w:r>
        <w:rPr>
          <w:color w:val="000000"/>
          <w:sz w:val="20"/>
          <w:szCs w:val="20"/>
        </w:rPr>
        <w:t>. (zuletzt aufgerufen am 20.08.2020)</w:t>
      </w:r>
    </w:p>
  </w:footnote>
  <w:footnote w:id="3">
    <w:p w14:paraId="00000018" w14:textId="62D93BBB" w:rsidR="003E30E9" w:rsidRDefault="00665978">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Pschyrembel Online: Steinlaus. </w:t>
      </w:r>
      <w:hyperlink r:id="rId3">
        <w:r>
          <w:rPr>
            <w:color w:val="0563C1"/>
            <w:sz w:val="20"/>
            <w:szCs w:val="20"/>
            <w:u w:val="single"/>
          </w:rPr>
          <w:t>https://www.pschyrembel.de/Steinlaus/K0LHT</w:t>
        </w:r>
      </w:hyperlink>
      <w:r>
        <w:rPr>
          <w:color w:val="000000"/>
          <w:sz w:val="20"/>
          <w:szCs w:val="20"/>
        </w:rPr>
        <w:t xml:space="preserve"> (zuletzt aufgerufen am</w:t>
      </w:r>
      <w:r w:rsidR="00E321BF">
        <w:rPr>
          <w:color w:val="000000"/>
          <w:sz w:val="20"/>
          <w:szCs w:val="20"/>
        </w:rPr>
        <w:t xml:space="preserve"> </w:t>
      </w:r>
      <w:r>
        <w:rPr>
          <w:color w:val="000000"/>
          <w:sz w:val="20"/>
          <w:szCs w:val="20"/>
        </w:rPr>
        <w:t>20.08.2020)</w:t>
      </w:r>
    </w:p>
  </w:footnote>
  <w:footnote w:id="4">
    <w:p w14:paraId="00000019" w14:textId="77777777" w:rsidR="003E30E9" w:rsidRDefault="00665978">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Open Education Database: A Quick Guide </w:t>
      </w:r>
      <w:proofErr w:type="spellStart"/>
      <w:r>
        <w:rPr>
          <w:color w:val="000000"/>
          <w:sz w:val="20"/>
          <w:szCs w:val="20"/>
        </w:rPr>
        <w:t>to</w:t>
      </w:r>
      <w:proofErr w:type="spellEnd"/>
      <w:r>
        <w:rPr>
          <w:color w:val="000000"/>
          <w:sz w:val="20"/>
          <w:szCs w:val="20"/>
        </w:rPr>
        <w:t xml:space="preserve"> Library Cats. </w:t>
      </w:r>
      <w:hyperlink r:id="rId4">
        <w:r>
          <w:rPr>
            <w:color w:val="0563C1"/>
            <w:sz w:val="20"/>
            <w:szCs w:val="20"/>
            <w:u w:val="single"/>
          </w:rPr>
          <w:t>https://oedb.org/ilibrarian/quick-guide-library-cats/</w:t>
        </w:r>
      </w:hyperlink>
      <w:r>
        <w:rPr>
          <w:color w:val="000000"/>
          <w:sz w:val="20"/>
          <w:szCs w:val="20"/>
        </w:rPr>
        <w:t xml:space="preserve"> (zuletzt aufgerufen am 20.08.2020) </w:t>
      </w:r>
    </w:p>
  </w:footnote>
  <w:footnote w:id="5">
    <w:p w14:paraId="0000001A" w14:textId="77777777" w:rsidR="003E30E9" w:rsidRDefault="00665978">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Ernst Mayr Library (2012): Library </w:t>
      </w:r>
      <w:proofErr w:type="spellStart"/>
      <w:r>
        <w:rPr>
          <w:color w:val="000000"/>
          <w:sz w:val="20"/>
          <w:szCs w:val="20"/>
        </w:rPr>
        <w:t>Pets</w:t>
      </w:r>
      <w:proofErr w:type="spellEnd"/>
      <w:r>
        <w:rPr>
          <w:color w:val="000000"/>
          <w:sz w:val="20"/>
          <w:szCs w:val="20"/>
        </w:rPr>
        <w:t xml:space="preserve">. </w:t>
      </w:r>
      <w:hyperlink r:id="rId5">
        <w:r>
          <w:rPr>
            <w:color w:val="0563C1"/>
            <w:sz w:val="20"/>
            <w:szCs w:val="20"/>
            <w:u w:val="single"/>
          </w:rPr>
          <w:t>https://library.mcz.harvard.edu/blog/library-pets</w:t>
        </w:r>
      </w:hyperlink>
      <w:r>
        <w:rPr>
          <w:color w:val="000000"/>
          <w:sz w:val="20"/>
          <w:szCs w:val="20"/>
        </w:rPr>
        <w:t xml:space="preserve"> (zuletzt abgerufen am 20.08.2020)</w:t>
      </w:r>
    </w:p>
  </w:footnote>
  <w:footnote w:id="6">
    <w:p w14:paraId="0000001B" w14:textId="77777777" w:rsidR="003E30E9" w:rsidRDefault="00665978">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Nicholls, Henry (2016): The </w:t>
      </w:r>
      <w:proofErr w:type="spellStart"/>
      <w:r>
        <w:rPr>
          <w:color w:val="000000"/>
          <w:sz w:val="20"/>
          <w:szCs w:val="20"/>
        </w:rPr>
        <w:t>museum</w:t>
      </w:r>
      <w:proofErr w:type="spellEnd"/>
      <w:r>
        <w:rPr>
          <w:color w:val="000000"/>
          <w:sz w:val="20"/>
          <w:szCs w:val="20"/>
        </w:rPr>
        <w:t xml:space="preserve"> </w:t>
      </w:r>
      <w:proofErr w:type="spellStart"/>
      <w:r>
        <w:rPr>
          <w:color w:val="000000"/>
          <w:sz w:val="20"/>
          <w:szCs w:val="20"/>
        </w:rPr>
        <w:t>filled</w:t>
      </w:r>
      <w:proofErr w:type="spellEnd"/>
      <w:r>
        <w:rPr>
          <w:color w:val="000000"/>
          <w:sz w:val="20"/>
          <w:szCs w:val="20"/>
        </w:rPr>
        <w:t xml:space="preserve"> </w:t>
      </w:r>
      <w:proofErr w:type="spellStart"/>
      <w:r>
        <w:rPr>
          <w:color w:val="000000"/>
          <w:sz w:val="20"/>
          <w:szCs w:val="20"/>
        </w:rPr>
        <w:t>with</w:t>
      </w:r>
      <w:proofErr w:type="spellEnd"/>
      <w:r>
        <w:rPr>
          <w:color w:val="000000"/>
          <w:sz w:val="20"/>
          <w:szCs w:val="20"/>
        </w:rPr>
        <w:t xml:space="preserve"> </w:t>
      </w:r>
      <w:proofErr w:type="spellStart"/>
      <w:r>
        <w:rPr>
          <w:color w:val="000000"/>
          <w:sz w:val="20"/>
          <w:szCs w:val="20"/>
        </w:rPr>
        <w:t>venomous</w:t>
      </w:r>
      <w:proofErr w:type="spellEnd"/>
      <w:r>
        <w:rPr>
          <w:color w:val="000000"/>
          <w:sz w:val="20"/>
          <w:szCs w:val="20"/>
        </w:rPr>
        <w:t xml:space="preserve"> </w:t>
      </w:r>
      <w:proofErr w:type="spellStart"/>
      <w:r>
        <w:rPr>
          <w:color w:val="000000"/>
          <w:sz w:val="20"/>
          <w:szCs w:val="20"/>
        </w:rPr>
        <w:t>spiders</w:t>
      </w:r>
      <w:proofErr w:type="spellEnd"/>
      <w:r>
        <w:rPr>
          <w:color w:val="000000"/>
          <w:sz w:val="20"/>
          <w:szCs w:val="20"/>
        </w:rPr>
        <w:t xml:space="preserve"> </w:t>
      </w:r>
      <w:proofErr w:type="spellStart"/>
      <w:r>
        <w:rPr>
          <w:color w:val="000000"/>
          <w:sz w:val="20"/>
          <w:szCs w:val="20"/>
        </w:rPr>
        <w:t>that</w:t>
      </w:r>
      <w:proofErr w:type="spellEnd"/>
      <w:r>
        <w:rPr>
          <w:color w:val="000000"/>
          <w:sz w:val="20"/>
          <w:szCs w:val="20"/>
        </w:rPr>
        <w:t xml:space="preserve"> just </w:t>
      </w:r>
      <w:proofErr w:type="spellStart"/>
      <w:r>
        <w:rPr>
          <w:color w:val="000000"/>
          <w:sz w:val="20"/>
          <w:szCs w:val="20"/>
        </w:rPr>
        <w:t>won't</w:t>
      </w:r>
      <w:proofErr w:type="spellEnd"/>
      <w:r>
        <w:rPr>
          <w:color w:val="000000"/>
          <w:sz w:val="20"/>
          <w:szCs w:val="20"/>
        </w:rPr>
        <w:t xml:space="preserve"> die. </w:t>
      </w:r>
      <w:hyperlink r:id="rId6">
        <w:r>
          <w:rPr>
            <w:color w:val="0563C1"/>
            <w:sz w:val="20"/>
            <w:szCs w:val="20"/>
            <w:u w:val="single"/>
          </w:rPr>
          <w:t>https://www.bbc.com/future/article/20160413-the-museum-filled-with-poisonous-spiders-that-just-wont-die</w:t>
        </w:r>
      </w:hyperlink>
      <w:r>
        <w:rPr>
          <w:color w:val="000000"/>
          <w:sz w:val="20"/>
          <w:szCs w:val="20"/>
        </w:rPr>
        <w:t xml:space="preserve"> (zuletzt aufgerufen am 20.08.2020)</w:t>
      </w:r>
    </w:p>
  </w:footnote>
  <w:footnote w:id="7">
    <w:p w14:paraId="0000001C" w14:textId="77777777" w:rsidR="003E30E9" w:rsidRDefault="00665978">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IUCN, International Union </w:t>
      </w:r>
      <w:proofErr w:type="spellStart"/>
      <w:r>
        <w:rPr>
          <w:color w:val="000000"/>
          <w:sz w:val="20"/>
          <w:szCs w:val="20"/>
        </w:rPr>
        <w:t>for</w:t>
      </w:r>
      <w:proofErr w:type="spellEnd"/>
      <w:r>
        <w:rPr>
          <w:color w:val="000000"/>
          <w:sz w:val="20"/>
          <w:szCs w:val="20"/>
        </w:rPr>
        <w:t xml:space="preserve"> </w:t>
      </w:r>
      <w:proofErr w:type="spellStart"/>
      <w:r>
        <w:rPr>
          <w:color w:val="000000"/>
          <w:sz w:val="20"/>
          <w:szCs w:val="20"/>
        </w:rPr>
        <w:t>Conservation</w:t>
      </w:r>
      <w:proofErr w:type="spellEnd"/>
      <w:r>
        <w:rPr>
          <w:color w:val="000000"/>
          <w:sz w:val="20"/>
          <w:szCs w:val="20"/>
        </w:rPr>
        <w:t xml:space="preserve"> </w:t>
      </w:r>
      <w:proofErr w:type="spellStart"/>
      <w:r>
        <w:rPr>
          <w:color w:val="000000"/>
          <w:sz w:val="20"/>
          <w:szCs w:val="20"/>
        </w:rPr>
        <w:t>of</w:t>
      </w:r>
      <w:proofErr w:type="spellEnd"/>
      <w:r>
        <w:rPr>
          <w:color w:val="000000"/>
          <w:sz w:val="20"/>
          <w:szCs w:val="20"/>
        </w:rPr>
        <w:t xml:space="preserve"> Nature: The IUCN </w:t>
      </w:r>
      <w:proofErr w:type="spellStart"/>
      <w:r>
        <w:rPr>
          <w:color w:val="000000"/>
          <w:sz w:val="20"/>
          <w:szCs w:val="20"/>
        </w:rPr>
        <w:t>Red</w:t>
      </w:r>
      <w:proofErr w:type="spellEnd"/>
      <w:r>
        <w:rPr>
          <w:color w:val="000000"/>
          <w:sz w:val="20"/>
          <w:szCs w:val="20"/>
        </w:rPr>
        <w:t xml:space="preserve"> List </w:t>
      </w:r>
      <w:proofErr w:type="spellStart"/>
      <w:r>
        <w:rPr>
          <w:color w:val="000000"/>
          <w:sz w:val="20"/>
          <w:szCs w:val="20"/>
        </w:rPr>
        <w:t>Of</w:t>
      </w:r>
      <w:proofErr w:type="spellEnd"/>
      <w:r>
        <w:rPr>
          <w:color w:val="000000"/>
          <w:sz w:val="20"/>
          <w:szCs w:val="20"/>
        </w:rPr>
        <w:t xml:space="preserve"> </w:t>
      </w:r>
      <w:proofErr w:type="spellStart"/>
      <w:r>
        <w:rPr>
          <w:color w:val="000000"/>
          <w:sz w:val="20"/>
          <w:szCs w:val="20"/>
        </w:rPr>
        <w:t>Threatened</w:t>
      </w:r>
      <w:proofErr w:type="spellEnd"/>
      <w:r>
        <w:rPr>
          <w:color w:val="000000"/>
          <w:sz w:val="20"/>
          <w:szCs w:val="20"/>
        </w:rPr>
        <w:t xml:space="preserve"> </w:t>
      </w:r>
      <w:proofErr w:type="spellStart"/>
      <w:r>
        <w:rPr>
          <w:color w:val="000000"/>
          <w:sz w:val="20"/>
          <w:szCs w:val="20"/>
        </w:rPr>
        <w:t>Species</w:t>
      </w:r>
      <w:proofErr w:type="spellEnd"/>
      <w:r>
        <w:rPr>
          <w:color w:val="000000"/>
          <w:sz w:val="20"/>
          <w:szCs w:val="20"/>
        </w:rPr>
        <w:t xml:space="preserve">. </w:t>
      </w:r>
      <w:hyperlink r:id="rId7">
        <w:r>
          <w:rPr>
            <w:color w:val="0563C1"/>
            <w:sz w:val="20"/>
            <w:szCs w:val="20"/>
            <w:u w:val="single"/>
          </w:rPr>
          <w:t>https://www.iucnredlist.org/</w:t>
        </w:r>
      </w:hyperlink>
      <w:r>
        <w:rPr>
          <w:color w:val="000000"/>
          <w:sz w:val="20"/>
          <w:szCs w:val="20"/>
        </w:rPr>
        <w:t xml:space="preserve"> (zuletzt abgerufen 20.08.2020)</w:t>
      </w:r>
    </w:p>
  </w:footnote>
  <w:footnote w:id="8">
    <w:p w14:paraId="0000001D" w14:textId="77777777" w:rsidR="003E30E9" w:rsidRDefault="00665978">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Gould, John: The </w:t>
      </w:r>
      <w:proofErr w:type="spellStart"/>
      <w:r>
        <w:rPr>
          <w:color w:val="000000"/>
          <w:sz w:val="20"/>
          <w:szCs w:val="20"/>
        </w:rPr>
        <w:t>Mammals</w:t>
      </w:r>
      <w:proofErr w:type="spellEnd"/>
      <w:r>
        <w:rPr>
          <w:color w:val="000000"/>
          <w:sz w:val="20"/>
          <w:szCs w:val="20"/>
        </w:rPr>
        <w:t xml:space="preserve"> </w:t>
      </w:r>
      <w:proofErr w:type="spellStart"/>
      <w:r>
        <w:rPr>
          <w:color w:val="000000"/>
          <w:sz w:val="20"/>
          <w:szCs w:val="20"/>
        </w:rPr>
        <w:t>of</w:t>
      </w:r>
      <w:proofErr w:type="spellEnd"/>
      <w:r>
        <w:rPr>
          <w:color w:val="000000"/>
          <w:sz w:val="20"/>
          <w:szCs w:val="20"/>
        </w:rPr>
        <w:t xml:space="preserve"> Australia. Digital verfügbar in der </w:t>
      </w:r>
      <w:proofErr w:type="spellStart"/>
      <w:r>
        <w:rPr>
          <w:color w:val="000000"/>
          <w:sz w:val="20"/>
          <w:szCs w:val="20"/>
        </w:rPr>
        <w:t>Biodiversity</w:t>
      </w:r>
      <w:proofErr w:type="spellEnd"/>
      <w:r>
        <w:rPr>
          <w:color w:val="000000"/>
          <w:sz w:val="20"/>
          <w:szCs w:val="20"/>
        </w:rPr>
        <w:t xml:space="preserve"> Heritage Library: </w:t>
      </w:r>
      <w:hyperlink r:id="rId8">
        <w:r>
          <w:rPr>
            <w:color w:val="0563C1"/>
            <w:sz w:val="20"/>
            <w:szCs w:val="20"/>
            <w:u w:val="single"/>
          </w:rPr>
          <w:t>https://doi.org/10.5962/bhl.title.112962</w:t>
        </w:r>
      </w:hyperlink>
      <w:r>
        <w:rPr>
          <w:color w:val="000000"/>
          <w:sz w:val="20"/>
          <w:szCs w:val="20"/>
        </w:rPr>
        <w:t xml:space="preserve"> (zuletzt aufgerufen am 20.08.2020)</w:t>
      </w:r>
    </w:p>
  </w:footnote>
  <w:footnote w:id="9">
    <w:p w14:paraId="0000001E" w14:textId="77777777" w:rsidR="003E30E9" w:rsidRDefault="00665978">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Gould, John: </w:t>
      </w:r>
      <w:proofErr w:type="spellStart"/>
      <w:r>
        <w:rPr>
          <w:color w:val="000000"/>
          <w:sz w:val="20"/>
          <w:szCs w:val="20"/>
        </w:rPr>
        <w:t>Onychogalea</w:t>
      </w:r>
      <w:proofErr w:type="spellEnd"/>
      <w:r>
        <w:rPr>
          <w:color w:val="000000"/>
          <w:sz w:val="20"/>
          <w:szCs w:val="20"/>
        </w:rPr>
        <w:t xml:space="preserve"> </w:t>
      </w:r>
      <w:proofErr w:type="spellStart"/>
      <w:r>
        <w:rPr>
          <w:color w:val="000000"/>
          <w:sz w:val="20"/>
          <w:szCs w:val="20"/>
        </w:rPr>
        <w:t>Lunata</w:t>
      </w:r>
      <w:proofErr w:type="spellEnd"/>
      <w:r>
        <w:rPr>
          <w:color w:val="000000"/>
          <w:sz w:val="20"/>
          <w:szCs w:val="20"/>
        </w:rPr>
        <w:t xml:space="preserve">. In: The </w:t>
      </w:r>
      <w:proofErr w:type="spellStart"/>
      <w:r>
        <w:rPr>
          <w:color w:val="000000"/>
          <w:sz w:val="20"/>
          <w:szCs w:val="20"/>
        </w:rPr>
        <w:t>Mammals</w:t>
      </w:r>
      <w:proofErr w:type="spellEnd"/>
      <w:r>
        <w:rPr>
          <w:color w:val="000000"/>
          <w:sz w:val="20"/>
          <w:szCs w:val="20"/>
        </w:rPr>
        <w:t xml:space="preserve"> </w:t>
      </w:r>
      <w:proofErr w:type="spellStart"/>
      <w:r>
        <w:rPr>
          <w:color w:val="000000"/>
          <w:sz w:val="20"/>
          <w:szCs w:val="20"/>
        </w:rPr>
        <w:t>of</w:t>
      </w:r>
      <w:proofErr w:type="spellEnd"/>
      <w:r>
        <w:rPr>
          <w:color w:val="000000"/>
          <w:sz w:val="20"/>
          <w:szCs w:val="20"/>
        </w:rPr>
        <w:t xml:space="preserve"> Australia. Bd.2, Tafel LV. Digital verfügbar in der </w:t>
      </w:r>
      <w:proofErr w:type="spellStart"/>
      <w:r>
        <w:rPr>
          <w:color w:val="000000"/>
          <w:sz w:val="20"/>
          <w:szCs w:val="20"/>
        </w:rPr>
        <w:t>Biodiversity</w:t>
      </w:r>
      <w:proofErr w:type="spellEnd"/>
      <w:r>
        <w:rPr>
          <w:color w:val="000000"/>
          <w:sz w:val="20"/>
          <w:szCs w:val="20"/>
        </w:rPr>
        <w:t xml:space="preserve"> Heritage Library. </w:t>
      </w:r>
      <w:hyperlink r:id="rId9">
        <w:r>
          <w:rPr>
            <w:color w:val="0563C1"/>
            <w:sz w:val="20"/>
            <w:szCs w:val="20"/>
            <w:u w:val="single"/>
          </w:rPr>
          <w:t>https://www.biodiversitylibrary.org/page/49740861</w:t>
        </w:r>
      </w:hyperlink>
      <w:r>
        <w:rPr>
          <w:color w:val="000000"/>
          <w:sz w:val="20"/>
          <w:szCs w:val="20"/>
        </w:rPr>
        <w:t xml:space="preserve"> (zuletzt abgerufen am 20.08.2020) </w:t>
      </w:r>
    </w:p>
  </w:footnote>
  <w:footnote w:id="10">
    <w:p w14:paraId="0000001F" w14:textId="77777777" w:rsidR="003E30E9" w:rsidRDefault="00665978">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Mora et al. (2011): </w:t>
      </w:r>
      <w:proofErr w:type="spellStart"/>
      <w:r>
        <w:rPr>
          <w:color w:val="000000"/>
          <w:sz w:val="20"/>
          <w:szCs w:val="20"/>
        </w:rPr>
        <w:t>How</w:t>
      </w:r>
      <w:proofErr w:type="spellEnd"/>
      <w:r>
        <w:rPr>
          <w:color w:val="000000"/>
          <w:sz w:val="20"/>
          <w:szCs w:val="20"/>
        </w:rPr>
        <w:t xml:space="preserve"> Many </w:t>
      </w:r>
      <w:proofErr w:type="spellStart"/>
      <w:r>
        <w:rPr>
          <w:color w:val="000000"/>
          <w:sz w:val="20"/>
          <w:szCs w:val="20"/>
        </w:rPr>
        <w:t>Species</w:t>
      </w:r>
      <w:proofErr w:type="spellEnd"/>
      <w:r>
        <w:rPr>
          <w:color w:val="000000"/>
          <w:sz w:val="20"/>
          <w:szCs w:val="20"/>
        </w:rPr>
        <w:t xml:space="preserve"> Are </w:t>
      </w:r>
      <w:proofErr w:type="spellStart"/>
      <w:r>
        <w:rPr>
          <w:color w:val="000000"/>
          <w:sz w:val="20"/>
          <w:szCs w:val="20"/>
        </w:rPr>
        <w:t>There</w:t>
      </w:r>
      <w:proofErr w:type="spellEnd"/>
      <w:r>
        <w:rPr>
          <w:color w:val="000000"/>
          <w:sz w:val="20"/>
          <w:szCs w:val="20"/>
        </w:rPr>
        <w:t xml:space="preserve"> on Earth and in </w:t>
      </w:r>
      <w:proofErr w:type="spellStart"/>
      <w:r>
        <w:rPr>
          <w:color w:val="000000"/>
          <w:sz w:val="20"/>
          <w:szCs w:val="20"/>
        </w:rPr>
        <w:t>the</w:t>
      </w:r>
      <w:proofErr w:type="spellEnd"/>
      <w:r>
        <w:rPr>
          <w:color w:val="000000"/>
          <w:sz w:val="20"/>
          <w:szCs w:val="20"/>
        </w:rPr>
        <w:t xml:space="preserve"> Ocean. </w:t>
      </w:r>
      <w:hyperlink r:id="rId10">
        <w:r>
          <w:rPr>
            <w:color w:val="0563C1"/>
            <w:sz w:val="20"/>
            <w:szCs w:val="20"/>
            <w:u w:val="single"/>
          </w:rPr>
          <w:t xml:space="preserve">https://doi.org/10.1371/journal.pbio.1001127 </w:t>
        </w:r>
      </w:hyperlink>
      <w:r>
        <w:rPr>
          <w:color w:val="000000"/>
          <w:sz w:val="20"/>
          <w:szCs w:val="20"/>
        </w:rPr>
        <w:t xml:space="preserve"> (zuletzt aufgerufen am 20.08.2020)</w:t>
      </w:r>
    </w:p>
  </w:footnote>
  <w:footnote w:id="11">
    <w:p w14:paraId="00000020" w14:textId="77777777" w:rsidR="003E30E9" w:rsidRDefault="00665978">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proofErr w:type="spellStart"/>
      <w:r>
        <w:rPr>
          <w:color w:val="000000"/>
          <w:sz w:val="20"/>
          <w:szCs w:val="20"/>
        </w:rPr>
        <w:t>Biodiversity</w:t>
      </w:r>
      <w:proofErr w:type="spellEnd"/>
      <w:r>
        <w:rPr>
          <w:color w:val="000000"/>
          <w:sz w:val="20"/>
          <w:szCs w:val="20"/>
        </w:rPr>
        <w:t xml:space="preserve"> Heritage Library: </w:t>
      </w:r>
      <w:proofErr w:type="spellStart"/>
      <w:r>
        <w:rPr>
          <w:color w:val="000000"/>
          <w:sz w:val="20"/>
          <w:szCs w:val="20"/>
        </w:rPr>
        <w:t>History</w:t>
      </w:r>
      <w:proofErr w:type="spellEnd"/>
      <w:r>
        <w:rPr>
          <w:color w:val="000000"/>
          <w:sz w:val="20"/>
          <w:szCs w:val="20"/>
        </w:rPr>
        <w:t xml:space="preserve"> </w:t>
      </w:r>
      <w:proofErr w:type="spellStart"/>
      <w:r>
        <w:rPr>
          <w:color w:val="000000"/>
          <w:sz w:val="20"/>
          <w:szCs w:val="20"/>
        </w:rPr>
        <w:t>of</w:t>
      </w:r>
      <w:proofErr w:type="spellEnd"/>
      <w:r>
        <w:rPr>
          <w:color w:val="000000"/>
          <w:sz w:val="20"/>
          <w:szCs w:val="20"/>
        </w:rPr>
        <w:t xml:space="preserve"> BHL. </w:t>
      </w:r>
      <w:hyperlink r:id="rId11">
        <w:r>
          <w:rPr>
            <w:color w:val="0563C1"/>
            <w:sz w:val="20"/>
            <w:szCs w:val="20"/>
            <w:u w:val="single"/>
          </w:rPr>
          <w:t>https://about.biodiversitylibrary.org/about/history-of-bhl/</w:t>
        </w:r>
      </w:hyperlink>
      <w:r>
        <w:rPr>
          <w:color w:val="000000"/>
          <w:sz w:val="20"/>
          <w:szCs w:val="20"/>
        </w:rPr>
        <w:t xml:space="preserve"> (zuletzt aufgerufen am 20.08.2020)</w:t>
      </w:r>
    </w:p>
  </w:footnote>
  <w:footnote w:id="12">
    <w:p w14:paraId="00000021" w14:textId="77777777" w:rsidR="003E30E9" w:rsidRDefault="00665978">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proofErr w:type="spellStart"/>
      <w:r>
        <w:rPr>
          <w:color w:val="000000"/>
          <w:sz w:val="20"/>
          <w:szCs w:val="20"/>
        </w:rPr>
        <w:t>Biodiversity</w:t>
      </w:r>
      <w:proofErr w:type="spellEnd"/>
      <w:r>
        <w:rPr>
          <w:color w:val="000000"/>
          <w:sz w:val="20"/>
          <w:szCs w:val="20"/>
        </w:rPr>
        <w:t xml:space="preserve"> Heritage Library: BHL </w:t>
      </w:r>
      <w:proofErr w:type="spellStart"/>
      <w:r>
        <w:rPr>
          <w:color w:val="000000"/>
          <w:sz w:val="20"/>
          <w:szCs w:val="20"/>
        </w:rPr>
        <w:t>Consortium</w:t>
      </w:r>
      <w:proofErr w:type="spellEnd"/>
      <w:r>
        <w:rPr>
          <w:color w:val="000000"/>
          <w:sz w:val="20"/>
          <w:szCs w:val="20"/>
        </w:rPr>
        <w:t xml:space="preserve">. </w:t>
      </w:r>
      <w:hyperlink r:id="rId12">
        <w:r>
          <w:rPr>
            <w:color w:val="0563C1"/>
            <w:sz w:val="20"/>
            <w:szCs w:val="20"/>
            <w:u w:val="single"/>
          </w:rPr>
          <w:t>https://about.biodiversitylibrary.org/about/bhl-consortium/</w:t>
        </w:r>
      </w:hyperlink>
      <w:r>
        <w:rPr>
          <w:color w:val="000000"/>
          <w:sz w:val="20"/>
          <w:szCs w:val="20"/>
        </w:rPr>
        <w:t xml:space="preserve"> (zuletzt aufgerufen am 20.08.2020)</w:t>
      </w:r>
    </w:p>
  </w:footnote>
  <w:footnote w:id="13">
    <w:p w14:paraId="00000022" w14:textId="77777777" w:rsidR="003E30E9" w:rsidRDefault="00665978">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proofErr w:type="spellStart"/>
      <w:r>
        <w:rPr>
          <w:color w:val="000000"/>
          <w:sz w:val="20"/>
          <w:szCs w:val="20"/>
        </w:rPr>
        <w:t>Biodiversity</w:t>
      </w:r>
      <w:proofErr w:type="spellEnd"/>
      <w:r>
        <w:rPr>
          <w:color w:val="000000"/>
          <w:sz w:val="20"/>
          <w:szCs w:val="20"/>
        </w:rPr>
        <w:t xml:space="preserve"> Heritage Library Blog: Earth </w:t>
      </w:r>
      <w:proofErr w:type="spellStart"/>
      <w:r>
        <w:rPr>
          <w:color w:val="000000"/>
          <w:sz w:val="20"/>
          <w:szCs w:val="20"/>
        </w:rPr>
        <w:t>Optimism</w:t>
      </w:r>
      <w:proofErr w:type="spellEnd"/>
      <w:r>
        <w:rPr>
          <w:color w:val="000000"/>
          <w:sz w:val="20"/>
          <w:szCs w:val="20"/>
        </w:rPr>
        <w:t xml:space="preserve"> 2020. </w:t>
      </w:r>
      <w:hyperlink r:id="rId13">
        <w:r>
          <w:rPr>
            <w:color w:val="0563C1"/>
            <w:sz w:val="20"/>
            <w:szCs w:val="20"/>
            <w:u w:val="single"/>
          </w:rPr>
          <w:t>https://blog.biodiversitylibrary.org/category/campaigns/earth-optimism-2020</w:t>
        </w:r>
      </w:hyperlink>
      <w:r>
        <w:rPr>
          <w:color w:val="000000"/>
          <w:sz w:val="20"/>
          <w:szCs w:val="20"/>
        </w:rPr>
        <w:t xml:space="preserve"> (zuletzt aufgerufen am 20.08.2020)</w:t>
      </w:r>
    </w:p>
  </w:footnote>
  <w:footnote w:id="14">
    <w:p w14:paraId="00000023" w14:textId="77777777" w:rsidR="003E30E9" w:rsidRDefault="00665978">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United </w:t>
      </w:r>
      <w:proofErr w:type="spellStart"/>
      <w:r>
        <w:rPr>
          <w:color w:val="000000"/>
          <w:sz w:val="20"/>
          <w:szCs w:val="20"/>
        </w:rPr>
        <w:t>Nations</w:t>
      </w:r>
      <w:proofErr w:type="spellEnd"/>
      <w:r>
        <w:rPr>
          <w:color w:val="000000"/>
          <w:sz w:val="20"/>
          <w:szCs w:val="20"/>
        </w:rPr>
        <w:t xml:space="preserve">: The 17 Goals. </w:t>
      </w:r>
      <w:hyperlink r:id="rId14">
        <w:r>
          <w:rPr>
            <w:color w:val="0563C1"/>
            <w:sz w:val="20"/>
            <w:szCs w:val="20"/>
            <w:u w:val="single"/>
          </w:rPr>
          <w:t>https://sdgs.un.org/goals</w:t>
        </w:r>
      </w:hyperlink>
      <w:r>
        <w:rPr>
          <w:color w:val="000000"/>
          <w:sz w:val="20"/>
          <w:szCs w:val="20"/>
        </w:rPr>
        <w:t xml:space="preserve"> (zuletzt aufgerufen am 20.08.2020)</w:t>
      </w:r>
    </w:p>
  </w:footnote>
  <w:footnote w:id="15">
    <w:p w14:paraId="00000024" w14:textId="77777777" w:rsidR="003E30E9" w:rsidRDefault="00665978">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Bundesnaturschutzgesetz (BNatSchG): §23 Naturschutzgebiete. </w:t>
      </w:r>
      <w:hyperlink r:id="rId15">
        <w:r>
          <w:rPr>
            <w:color w:val="0563C1"/>
            <w:sz w:val="20"/>
            <w:szCs w:val="20"/>
            <w:u w:val="single"/>
          </w:rPr>
          <w:t>http://www.gesetze-im-internet.de/bnatschg_2009/__23.html</w:t>
        </w:r>
      </w:hyperlink>
      <w:r>
        <w:rPr>
          <w:color w:val="000000"/>
          <w:sz w:val="20"/>
          <w:szCs w:val="20"/>
        </w:rPr>
        <w:t xml:space="preserve"> (zuletzt aufgerufen am 20.08.2020)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0E9"/>
    <w:rsid w:val="003E30E9"/>
    <w:rsid w:val="00665978"/>
    <w:rsid w:val="0075180E"/>
    <w:rsid w:val="00AF479D"/>
    <w:rsid w:val="00E321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1B1E"/>
  <w15:docId w15:val="{B904D74B-E571-4A27-BECA-0AFD2407A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213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link w:val="TitelZchn"/>
    <w:uiPriority w:val="10"/>
    <w:qFormat/>
    <w:rsid w:val="007320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3203F"/>
    <w:rPr>
      <w:rFonts w:asciiTheme="majorHAnsi" w:eastAsiaTheme="majorEastAsia" w:hAnsiTheme="majorHAnsi" w:cstheme="majorBidi"/>
      <w:spacing w:val="-10"/>
      <w:kern w:val="28"/>
      <w:sz w:val="56"/>
      <w:szCs w:val="56"/>
    </w:rPr>
  </w:style>
  <w:style w:type="paragraph" w:styleId="Funotentext">
    <w:name w:val="footnote text"/>
    <w:basedOn w:val="Standard"/>
    <w:link w:val="FunotentextZchn"/>
    <w:uiPriority w:val="99"/>
    <w:semiHidden/>
    <w:unhideWhenUsed/>
    <w:rsid w:val="0073203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3203F"/>
    <w:rPr>
      <w:sz w:val="20"/>
      <w:szCs w:val="20"/>
    </w:rPr>
  </w:style>
  <w:style w:type="character" w:styleId="Funotenzeichen">
    <w:name w:val="footnote reference"/>
    <w:basedOn w:val="Absatz-Standardschriftart"/>
    <w:uiPriority w:val="99"/>
    <w:semiHidden/>
    <w:unhideWhenUsed/>
    <w:rsid w:val="0073203F"/>
    <w:rPr>
      <w:vertAlign w:val="superscript"/>
    </w:rPr>
  </w:style>
  <w:style w:type="character" w:styleId="Hyperlink">
    <w:name w:val="Hyperlink"/>
    <w:basedOn w:val="Absatz-Standardschriftart"/>
    <w:uiPriority w:val="99"/>
    <w:unhideWhenUsed/>
    <w:rsid w:val="00E71211"/>
    <w:rPr>
      <w:color w:val="0563C1" w:themeColor="hyperlink"/>
      <w:u w:val="single"/>
    </w:rPr>
  </w:style>
  <w:style w:type="character" w:styleId="Hervorhebung">
    <w:name w:val="Emphasis"/>
    <w:basedOn w:val="Absatz-Standardschriftart"/>
    <w:uiPriority w:val="20"/>
    <w:qFormat/>
    <w:rsid w:val="002F18AE"/>
    <w:rPr>
      <w:i/>
      <w:iCs/>
    </w:rPr>
  </w:style>
  <w:style w:type="character" w:customStyle="1" w:styleId="berschrift1Zchn">
    <w:name w:val="Überschrift 1 Zchn"/>
    <w:basedOn w:val="Absatz-Standardschriftart"/>
    <w:link w:val="berschrift1"/>
    <w:uiPriority w:val="9"/>
    <w:rsid w:val="007213EB"/>
    <w:rPr>
      <w:rFonts w:asciiTheme="majorHAnsi" w:eastAsiaTheme="majorEastAsia" w:hAnsiTheme="majorHAnsi" w:cstheme="majorBidi"/>
      <w:color w:val="2E74B5" w:themeColor="accent1" w:themeShade="BF"/>
      <w:sz w:val="32"/>
      <w:szCs w:val="32"/>
    </w:rPr>
  </w:style>
  <w:style w:type="paragraph" w:styleId="Sprechblasentext">
    <w:name w:val="Balloon Text"/>
    <w:basedOn w:val="Standard"/>
    <w:link w:val="SprechblasentextZchn"/>
    <w:uiPriority w:val="99"/>
    <w:semiHidden/>
    <w:unhideWhenUsed/>
    <w:rsid w:val="00B277C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277CF"/>
    <w:rPr>
      <w:rFonts w:ascii="Segoe UI" w:hAnsi="Segoe UI" w:cs="Segoe UI"/>
      <w:sz w:val="18"/>
      <w:szCs w:val="18"/>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doi.org/10.5962/bhl.title.112962" TargetMode="External"/><Relationship Id="rId13" Type="http://schemas.openxmlformats.org/officeDocument/2006/relationships/hyperlink" Target="https://blog.biodiversitylibrary.org/category/campaigns/earth-optimism-2020" TargetMode="External"/><Relationship Id="rId3" Type="http://schemas.openxmlformats.org/officeDocument/2006/relationships/hyperlink" Target="https://www.pschyrembel.de/Steinlaus/K0LHT" TargetMode="External"/><Relationship Id="rId7" Type="http://schemas.openxmlformats.org/officeDocument/2006/relationships/hyperlink" Target="https://www.iucnredlist.org/" TargetMode="External"/><Relationship Id="rId12" Type="http://schemas.openxmlformats.org/officeDocument/2006/relationships/hyperlink" Target="https://about.biodiversitylibrary.org/about/bhl-consortium/" TargetMode="External"/><Relationship Id="rId2" Type="http://schemas.openxmlformats.org/officeDocument/2006/relationships/hyperlink" Target="https://doi.org/10.5962/bhl.title.125499" TargetMode="External"/><Relationship Id="rId1" Type="http://schemas.openxmlformats.org/officeDocument/2006/relationships/hyperlink" Target="https://de.wikipedia.org/wiki/W%C3%BCste" TargetMode="External"/><Relationship Id="rId6" Type="http://schemas.openxmlformats.org/officeDocument/2006/relationships/hyperlink" Target="https://www.bbc.com/future/article/20160413-the-museum-filled-with-poisonous-spiders-that-just-wont-die" TargetMode="External"/><Relationship Id="rId11" Type="http://schemas.openxmlformats.org/officeDocument/2006/relationships/hyperlink" Target="https://about.biodiversitylibrary.org/about/history-of-bhl/" TargetMode="External"/><Relationship Id="rId5" Type="http://schemas.openxmlformats.org/officeDocument/2006/relationships/hyperlink" Target="https://library.mcz.harvard.edu/blog/library-pets" TargetMode="External"/><Relationship Id="rId15" Type="http://schemas.openxmlformats.org/officeDocument/2006/relationships/hyperlink" Target="http://www.gesetze-im-internet.de/bnatschg_2009/__23.html" TargetMode="External"/><Relationship Id="rId10" Type="http://schemas.openxmlformats.org/officeDocument/2006/relationships/hyperlink" Target="https://doi.org/10.1371/journal.pbio.1001127%20(zuletzt" TargetMode="External"/><Relationship Id="rId4" Type="http://schemas.openxmlformats.org/officeDocument/2006/relationships/hyperlink" Target="https://oedb.org/ilibrarian/quick-guide-library-cats/" TargetMode="External"/><Relationship Id="rId9" Type="http://schemas.openxmlformats.org/officeDocument/2006/relationships/hyperlink" Target="https://www.biodiversitylibrary.org/page/49740861" TargetMode="External"/><Relationship Id="rId14" Type="http://schemas.openxmlformats.org/officeDocument/2006/relationships/hyperlink" Target="https://sdgs.un.org/goal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dH9krNN/yyDrB4xHMx5ZYyJAGQ==">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1157</Words>
  <Characters>7293</Characters>
  <Application>Microsoft Office Word</Application>
  <DocSecurity>0</DocSecurity>
  <Lines>60</Lines>
  <Paragraphs>16</Paragraphs>
  <ScaleCrop>false</ScaleCrop>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Herrmann, Elisa</dc:creator>
  <cp:lastModifiedBy>Eva Bunge</cp:lastModifiedBy>
  <cp:revision>3</cp:revision>
  <dcterms:created xsi:type="dcterms:W3CDTF">2020-11-03T13:31:00Z</dcterms:created>
  <dcterms:modified xsi:type="dcterms:W3CDTF">2020-12-13T13:05:00Z</dcterms:modified>
</cp:coreProperties>
</file>