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77777777" w:rsidR="006D7C42" w:rsidRDefault="00FA3CF7">
      <w:pPr>
        <w:pBdr>
          <w:top w:val="nil"/>
          <w:left w:val="nil"/>
          <w:bottom w:val="nil"/>
          <w:right w:val="nil"/>
          <w:between w:val="nil"/>
        </w:pBdr>
        <w:spacing w:after="140" w:line="276" w:lineRule="auto"/>
        <w:rPr>
          <w:rFonts w:ascii="Arial" w:eastAsia="Arial" w:hAnsi="Arial" w:cs="Arial"/>
          <w:b/>
          <w:color w:val="000000"/>
          <w:sz w:val="22"/>
          <w:szCs w:val="22"/>
        </w:rPr>
      </w:pPr>
      <w:r>
        <w:rPr>
          <w:rFonts w:ascii="Arial" w:eastAsia="Arial" w:hAnsi="Arial" w:cs="Arial"/>
          <w:b/>
          <w:color w:val="000000"/>
          <w:sz w:val="22"/>
          <w:szCs w:val="22"/>
        </w:rPr>
        <w:t>Einleitung</w:t>
      </w:r>
    </w:p>
    <w:p w14:paraId="00000005" w14:textId="77777777" w:rsidR="006D7C42" w:rsidRDefault="00FA3CF7">
      <w:pPr>
        <w:pBdr>
          <w:top w:val="nil"/>
          <w:left w:val="nil"/>
          <w:bottom w:val="nil"/>
          <w:right w:val="nil"/>
          <w:between w:val="nil"/>
        </w:pBdr>
        <w:spacing w:after="140" w:line="276" w:lineRule="auto"/>
        <w:rPr>
          <w:color w:val="000000"/>
        </w:rPr>
      </w:pPr>
      <w:r>
        <w:rPr>
          <w:rFonts w:ascii="Arial" w:eastAsia="Arial" w:hAnsi="Arial" w:cs="Arial"/>
          <w:color w:val="000000"/>
          <w:sz w:val="22"/>
          <w:szCs w:val="22"/>
        </w:rPr>
        <w:t xml:space="preserve">Vor mehr als zehn Jahren katalogisierte ich die Missio-Sondersammlung, eine etwa 6.500 Werke umfassende Dauerleihgabe, die von </w:t>
      </w:r>
      <w:r>
        <w:rPr>
          <w:rFonts w:ascii="Arial" w:eastAsia="Arial" w:hAnsi="Arial" w:cs="Arial"/>
          <w:i/>
          <w:color w:val="000000"/>
          <w:sz w:val="22"/>
          <w:szCs w:val="22"/>
        </w:rPr>
        <w:t>MISSIO Österreich</w:t>
      </w:r>
      <w:r>
        <w:rPr>
          <w:rFonts w:ascii="Arial" w:eastAsia="Arial" w:hAnsi="Arial" w:cs="Arial"/>
          <w:i/>
          <w:color w:val="000000"/>
          <w:sz w:val="22"/>
          <w:szCs w:val="22"/>
          <w:vertAlign w:val="superscript"/>
        </w:rPr>
        <w:footnoteReference w:id="1"/>
      </w:r>
      <w:r>
        <w:rPr>
          <w:rFonts w:ascii="Arial" w:eastAsia="Arial" w:hAnsi="Arial" w:cs="Arial"/>
          <w:color w:val="000000"/>
          <w:sz w:val="22"/>
          <w:szCs w:val="22"/>
        </w:rPr>
        <w:t xml:space="preserve"> </w:t>
      </w:r>
      <w:r>
        <w:rPr>
          <w:rFonts w:ascii="Arial" w:eastAsia="Arial" w:hAnsi="Arial" w:cs="Arial"/>
          <w:sz w:val="23"/>
          <w:szCs w:val="23"/>
          <w:highlight w:val="white"/>
        </w:rPr>
        <w:t>–</w:t>
      </w:r>
      <w:r>
        <w:rPr>
          <w:rFonts w:ascii="Arial" w:eastAsia="Arial" w:hAnsi="Arial" w:cs="Arial"/>
          <w:sz w:val="22"/>
          <w:szCs w:val="22"/>
        </w:rPr>
        <w:t xml:space="preserve"> dem österreichischen Zweig der </w:t>
      </w:r>
      <w:r>
        <w:rPr>
          <w:rFonts w:ascii="Arial" w:eastAsia="Arial" w:hAnsi="Arial" w:cs="Arial"/>
          <w:sz w:val="23"/>
          <w:szCs w:val="23"/>
          <w:highlight w:val="white"/>
        </w:rPr>
        <w:t xml:space="preserve">Päpstlichen Missionswerke – </w:t>
      </w:r>
      <w:r>
        <w:rPr>
          <w:rFonts w:ascii="Arial" w:eastAsia="Arial" w:hAnsi="Arial" w:cs="Arial"/>
          <w:color w:val="000000"/>
          <w:sz w:val="22"/>
          <w:szCs w:val="22"/>
        </w:rPr>
        <w:t xml:space="preserve">an die </w:t>
      </w:r>
      <w:r>
        <w:rPr>
          <w:rFonts w:ascii="Arial" w:eastAsia="Arial" w:hAnsi="Arial" w:cs="Arial"/>
          <w:i/>
          <w:color w:val="000000"/>
          <w:sz w:val="22"/>
          <w:szCs w:val="22"/>
        </w:rPr>
        <w:t>Bibliothek der Österreichischen Forschungsstiftung für Internationale Entwicklung (ÖFSE)</w:t>
      </w:r>
      <w:r>
        <w:rPr>
          <w:rFonts w:ascii="Arial" w:eastAsia="Arial" w:hAnsi="Arial" w:cs="Arial"/>
          <w:color w:val="000000"/>
          <w:sz w:val="22"/>
          <w:szCs w:val="22"/>
        </w:rPr>
        <w:t xml:space="preserve"> gegangen war. Es stellte sich schnell heraus, dass der Bestand von rassistischen Inhalten durchzogen war. 2019, ich hatte noch Kontakt zu einigen </w:t>
      </w:r>
      <w:proofErr w:type="spellStart"/>
      <w:proofErr w:type="gramStart"/>
      <w:r>
        <w:rPr>
          <w:rFonts w:ascii="Arial" w:eastAsia="Arial" w:hAnsi="Arial" w:cs="Arial"/>
          <w:color w:val="000000"/>
          <w:sz w:val="22"/>
          <w:szCs w:val="22"/>
        </w:rPr>
        <w:t>Kolleg:innen</w:t>
      </w:r>
      <w:proofErr w:type="spellEnd"/>
      <w:proofErr w:type="gramEnd"/>
      <w:r>
        <w:rPr>
          <w:rFonts w:ascii="Arial" w:eastAsia="Arial" w:hAnsi="Arial" w:cs="Arial"/>
          <w:color w:val="000000"/>
          <w:sz w:val="22"/>
          <w:szCs w:val="22"/>
        </w:rPr>
        <w:t>,</w:t>
      </w:r>
      <w:r>
        <w:rPr>
          <w:rFonts w:ascii="Arial" w:eastAsia="Arial" w:hAnsi="Arial" w:cs="Arial"/>
          <w:color w:val="000000"/>
          <w:sz w:val="22"/>
          <w:szCs w:val="22"/>
          <w:vertAlign w:val="superscript"/>
        </w:rPr>
        <w:footnoteReference w:id="2"/>
      </w:r>
      <w:r>
        <w:rPr>
          <w:rFonts w:ascii="Arial" w:eastAsia="Arial" w:hAnsi="Arial" w:cs="Arial"/>
          <w:color w:val="000000"/>
          <w:sz w:val="22"/>
          <w:szCs w:val="22"/>
        </w:rPr>
        <w:t xml:space="preserve"> ergab</w:t>
      </w:r>
      <w:r>
        <w:rPr>
          <w:rFonts w:ascii="Arial" w:eastAsia="Arial" w:hAnsi="Arial" w:cs="Arial"/>
          <w:color w:val="000000"/>
          <w:sz w:val="22"/>
          <w:szCs w:val="22"/>
        </w:rPr>
        <w:t xml:space="preserve"> sich die Möglichkeit, mich näher mit diesem Bestand, der mittlerweile</w:t>
      </w:r>
      <w:r>
        <w:rPr>
          <w:rFonts w:ascii="Arial" w:eastAsia="Arial" w:hAnsi="Arial" w:cs="Arial"/>
          <w:sz w:val="22"/>
          <w:szCs w:val="22"/>
        </w:rPr>
        <w:t xml:space="preserve"> der Bibliothek</w:t>
      </w:r>
      <w:r>
        <w:rPr>
          <w:rFonts w:ascii="Arial" w:eastAsia="Arial" w:hAnsi="Arial" w:cs="Arial"/>
          <w:color w:val="000000"/>
          <w:sz w:val="22"/>
          <w:szCs w:val="22"/>
        </w:rPr>
        <w:t xml:space="preserve"> geschenkt worden war, auseinanderzusetzen. Zwischenzeitlich hatten sich Studierende über rassistische Werke in diesem Teilbestand beschwert. Mein Ziel war es, exemplarisc</w:t>
      </w:r>
      <w:r>
        <w:rPr>
          <w:rFonts w:ascii="Arial" w:eastAsia="Arial" w:hAnsi="Arial" w:cs="Arial"/>
          <w:color w:val="000000"/>
          <w:sz w:val="22"/>
          <w:szCs w:val="22"/>
        </w:rPr>
        <w:t>h an dieser Sammlung eine Methode zu entwickeln, die dazu beitragen sollte, koloniale Repräsentationen in Beständen aufzuspüren, ohne dabei jedes einzelne Buch analysieren zu müssen. Es sollte sich um eine im ressourcenknappen Bibliotheksalltag praxistaugl</w:t>
      </w:r>
      <w:r>
        <w:rPr>
          <w:rFonts w:ascii="Arial" w:eastAsia="Arial" w:hAnsi="Arial" w:cs="Arial"/>
          <w:color w:val="000000"/>
          <w:sz w:val="22"/>
          <w:szCs w:val="22"/>
        </w:rPr>
        <w:t xml:space="preserve">iche Anwendungsmöglichkeit handeln. </w:t>
      </w:r>
    </w:p>
    <w:p w14:paraId="00000006" w14:textId="77777777" w:rsidR="006D7C42" w:rsidRDefault="00FA3CF7">
      <w:pPr>
        <w:pBdr>
          <w:top w:val="nil"/>
          <w:left w:val="nil"/>
          <w:bottom w:val="nil"/>
          <w:right w:val="nil"/>
          <w:between w:val="nil"/>
        </w:pBdr>
        <w:spacing w:after="140" w:line="276" w:lineRule="auto"/>
        <w:rPr>
          <w:color w:val="000000"/>
        </w:rPr>
      </w:pPr>
      <w:r>
        <w:rPr>
          <w:rFonts w:ascii="Arial" w:eastAsia="Arial" w:hAnsi="Arial" w:cs="Arial"/>
          <w:color w:val="000000"/>
          <w:sz w:val="22"/>
          <w:szCs w:val="22"/>
        </w:rPr>
        <w:t>Ausgangspunkt dieser historischen Bestandsanalyse ist die Annahme, dass sich koloniale Repräsentationen auf drei Ebenen in die Sammlung eingeschrieben haben, nämlich dass wir sie in der Disziplin selbst, innerhalb der v</w:t>
      </w:r>
      <w:r>
        <w:rPr>
          <w:rFonts w:ascii="Arial" w:eastAsia="Arial" w:hAnsi="Arial" w:cs="Arial"/>
          <w:color w:val="000000"/>
          <w:sz w:val="22"/>
          <w:szCs w:val="22"/>
        </w:rPr>
        <w:t xml:space="preserve">erwendeten Wissensordnung und auf Ebene </w:t>
      </w:r>
      <w:r>
        <w:rPr>
          <w:rFonts w:ascii="Arial" w:eastAsia="Arial" w:hAnsi="Arial" w:cs="Arial"/>
          <w:sz w:val="22"/>
          <w:szCs w:val="22"/>
        </w:rPr>
        <w:t>der Texte</w:t>
      </w:r>
      <w:r>
        <w:rPr>
          <w:rFonts w:ascii="Arial" w:eastAsia="Arial" w:hAnsi="Arial" w:cs="Arial"/>
          <w:color w:val="000000"/>
          <w:sz w:val="22"/>
          <w:szCs w:val="22"/>
        </w:rPr>
        <w:t xml:space="preserve"> finden. Rassistische Denkmuster, die an verschiedenen Stellen der Missionswissenschaft (</w:t>
      </w:r>
      <w:proofErr w:type="spellStart"/>
      <w:r>
        <w:rPr>
          <w:rFonts w:ascii="Arial" w:eastAsia="Arial" w:hAnsi="Arial" w:cs="Arial"/>
          <w:color w:val="000000"/>
          <w:sz w:val="22"/>
          <w:szCs w:val="22"/>
        </w:rPr>
        <w:t>re</w:t>
      </w:r>
      <w:proofErr w:type="spellEnd"/>
      <w:r>
        <w:rPr>
          <w:rFonts w:ascii="Arial" w:eastAsia="Arial" w:hAnsi="Arial" w:cs="Arial"/>
          <w:color w:val="000000"/>
          <w:sz w:val="22"/>
          <w:szCs w:val="22"/>
        </w:rPr>
        <w:t>)produziert werden, würden sich demnach als sozial konstruierte Auf- und Abwertungen in Form von Othering</w:t>
      </w:r>
      <w:r>
        <w:rPr>
          <w:rFonts w:ascii="Arial" w:eastAsia="Arial" w:hAnsi="Arial" w:cs="Arial"/>
          <w:color w:val="000000"/>
          <w:sz w:val="22"/>
          <w:szCs w:val="22"/>
          <w:vertAlign w:val="superscript"/>
        </w:rPr>
        <w:footnoteReference w:id="3"/>
      </w:r>
      <w:r>
        <w:rPr>
          <w:rFonts w:ascii="Arial" w:eastAsia="Arial" w:hAnsi="Arial" w:cs="Arial"/>
          <w:color w:val="000000"/>
          <w:sz w:val="22"/>
          <w:szCs w:val="22"/>
        </w:rPr>
        <w:t xml:space="preserve"> in den e</w:t>
      </w:r>
      <w:r>
        <w:rPr>
          <w:rFonts w:ascii="Arial" w:eastAsia="Arial" w:hAnsi="Arial" w:cs="Arial"/>
          <w:color w:val="000000"/>
          <w:sz w:val="22"/>
          <w:szCs w:val="22"/>
        </w:rPr>
        <w:t>ntsprechenden Gruppen der internen Klassifikation finden. Dort wiederum wäre eine Häufung an rassistischen Büchern auszumachen, so meine Vermutung.</w:t>
      </w:r>
    </w:p>
    <w:p w14:paraId="00000007" w14:textId="77777777" w:rsidR="006D7C42" w:rsidRDefault="00FA3CF7">
      <w:pPr>
        <w:pBdr>
          <w:top w:val="nil"/>
          <w:left w:val="nil"/>
          <w:bottom w:val="nil"/>
          <w:right w:val="nil"/>
          <w:between w:val="nil"/>
        </w:pBdr>
        <w:spacing w:after="140" w:line="276" w:lineRule="auto"/>
        <w:rPr>
          <w:color w:val="000000"/>
        </w:rPr>
      </w:pPr>
      <w:r>
        <w:rPr>
          <w:rFonts w:ascii="Arial" w:eastAsia="Arial" w:hAnsi="Arial" w:cs="Arial"/>
          <w:color w:val="000000"/>
          <w:sz w:val="22"/>
          <w:szCs w:val="22"/>
        </w:rPr>
        <w:t>Um dies zu überprüfen wird der Missio-Bestand und sein Sammelgebiet historisch und wissenschaftsgeschichtlic</w:t>
      </w:r>
      <w:r>
        <w:rPr>
          <w:rFonts w:ascii="Arial" w:eastAsia="Arial" w:hAnsi="Arial" w:cs="Arial"/>
          <w:color w:val="000000"/>
          <w:sz w:val="22"/>
          <w:szCs w:val="22"/>
        </w:rPr>
        <w:t xml:space="preserve">h zu kontextualisieren sein. Danach erfolgt die Analyse der Klassifikation. Um abschließend feststellen zu können, ob sich in den als problematisch beschriebenen Gruppen tatsächlich mehr rassistische Titel finden als in anderen, werden Stichproben aus dem </w:t>
      </w:r>
      <w:r>
        <w:rPr>
          <w:rFonts w:ascii="Arial" w:eastAsia="Arial" w:hAnsi="Arial" w:cs="Arial"/>
          <w:color w:val="000000"/>
          <w:sz w:val="22"/>
          <w:szCs w:val="22"/>
        </w:rPr>
        <w:t>Gesamtbestand gezogen und die Werke inhaltsanalytisch auf Rassismen untersucht. Das vorgestellte Instrument ist ausschließlich auf einen abgeschlossenen, klassifikatorisch geordneten Bestand abgestimmt.</w:t>
      </w:r>
    </w:p>
    <w:p w14:paraId="00000008" w14:textId="77777777" w:rsidR="006D7C42" w:rsidRDefault="006D7C42">
      <w:pPr>
        <w:pBdr>
          <w:top w:val="nil"/>
          <w:left w:val="nil"/>
          <w:bottom w:val="nil"/>
          <w:right w:val="nil"/>
          <w:between w:val="nil"/>
        </w:pBdr>
        <w:spacing w:after="140" w:line="276" w:lineRule="auto"/>
        <w:rPr>
          <w:rFonts w:ascii="Arial" w:eastAsia="Arial" w:hAnsi="Arial" w:cs="Arial"/>
          <w:color w:val="000000"/>
          <w:sz w:val="22"/>
          <w:szCs w:val="22"/>
        </w:rPr>
      </w:pPr>
    </w:p>
    <w:p w14:paraId="00000009" w14:textId="77777777" w:rsidR="006D7C42" w:rsidRDefault="00FA3CF7">
      <w:pPr>
        <w:pBdr>
          <w:top w:val="nil"/>
          <w:left w:val="nil"/>
          <w:bottom w:val="nil"/>
          <w:right w:val="nil"/>
          <w:between w:val="nil"/>
        </w:pBdr>
        <w:spacing w:after="140" w:line="276" w:lineRule="auto"/>
        <w:rPr>
          <w:rFonts w:ascii="Arial" w:eastAsia="Arial" w:hAnsi="Arial" w:cs="Arial"/>
          <w:b/>
          <w:color w:val="000000"/>
          <w:sz w:val="22"/>
          <w:szCs w:val="22"/>
        </w:rPr>
      </w:pPr>
      <w:r>
        <w:rPr>
          <w:rFonts w:ascii="Arial" w:eastAsia="Arial" w:hAnsi="Arial" w:cs="Arial"/>
          <w:b/>
          <w:color w:val="000000"/>
          <w:sz w:val="22"/>
          <w:szCs w:val="22"/>
        </w:rPr>
        <w:t>Ordnung und Wissen</w:t>
      </w:r>
    </w:p>
    <w:p w14:paraId="0000000A" w14:textId="77777777" w:rsidR="006D7C42" w:rsidRDefault="00FA3CF7">
      <w:pPr>
        <w:pBdr>
          <w:top w:val="nil"/>
          <w:left w:val="nil"/>
          <w:bottom w:val="nil"/>
          <w:right w:val="nil"/>
          <w:between w:val="nil"/>
        </w:pBdr>
        <w:spacing w:after="140" w:line="276" w:lineRule="auto"/>
        <w:rPr>
          <w:color w:val="000000"/>
        </w:rPr>
      </w:pPr>
      <w:r>
        <w:rPr>
          <w:rFonts w:ascii="Arial" w:eastAsia="Arial" w:hAnsi="Arial" w:cs="Arial"/>
          <w:color w:val="000000"/>
          <w:sz w:val="22"/>
          <w:szCs w:val="22"/>
        </w:rPr>
        <w:t>Theoretisch fußt meine Herangehensweise auf den Prämissen von Michel Foucault, wonach Wissen im Kontext von Machtgefügen entsteht und als konstruierte Bedeutung gesellschaftlich anerkannte Wahrheit generiert.</w:t>
      </w:r>
      <w:r>
        <w:rPr>
          <w:rFonts w:ascii="Arial" w:eastAsia="Arial" w:hAnsi="Arial" w:cs="Arial"/>
          <w:color w:val="000000"/>
          <w:sz w:val="22"/>
          <w:szCs w:val="22"/>
          <w:vertAlign w:val="superscript"/>
        </w:rPr>
        <w:footnoteReference w:id="4"/>
      </w:r>
      <w:r>
        <w:rPr>
          <w:rFonts w:ascii="Arial" w:eastAsia="Arial" w:hAnsi="Arial" w:cs="Arial"/>
          <w:color w:val="000000"/>
          <w:sz w:val="22"/>
          <w:szCs w:val="22"/>
        </w:rPr>
        <w:t xml:space="preserve"> Wissen ist demnach keine Aussage über eine ob</w:t>
      </w:r>
      <w:r>
        <w:rPr>
          <w:rFonts w:ascii="Arial" w:eastAsia="Arial" w:hAnsi="Arial" w:cs="Arial"/>
          <w:color w:val="000000"/>
          <w:sz w:val="22"/>
          <w:szCs w:val="22"/>
        </w:rPr>
        <w:t xml:space="preserve">jektive Wahrheit, sondern erkämpfte Bedeutung. Der Austragungsort um diese Deutungshoheit ist der Diskurs. Er ist </w:t>
      </w:r>
      <w:r>
        <w:rPr>
          <w:rFonts w:ascii="Arial" w:eastAsia="Arial" w:hAnsi="Arial" w:cs="Arial"/>
          <w:i/>
          <w:color w:val="000000"/>
          <w:sz w:val="22"/>
          <w:szCs w:val="22"/>
        </w:rPr>
        <w:t>„dasjenige, worum und womit man kämpft; er ist die Macht, derer man sich zu bemächtigen versucht.“</w:t>
      </w:r>
      <w:r>
        <w:rPr>
          <w:rFonts w:ascii="Arial" w:eastAsia="Arial" w:hAnsi="Arial" w:cs="Arial"/>
          <w:color w:val="000000"/>
          <w:sz w:val="22"/>
          <w:szCs w:val="22"/>
          <w:vertAlign w:val="superscript"/>
        </w:rPr>
        <w:footnoteReference w:id="5"/>
      </w:r>
      <w:r>
        <w:rPr>
          <w:rFonts w:ascii="Arial" w:eastAsia="Arial" w:hAnsi="Arial" w:cs="Arial"/>
          <w:color w:val="000000"/>
          <w:sz w:val="22"/>
          <w:szCs w:val="22"/>
        </w:rPr>
        <w:t xml:space="preserve"> Machtkonstellationen, die sich institutio</w:t>
      </w:r>
      <w:r>
        <w:rPr>
          <w:rFonts w:ascii="Arial" w:eastAsia="Arial" w:hAnsi="Arial" w:cs="Arial"/>
          <w:color w:val="000000"/>
          <w:sz w:val="22"/>
          <w:szCs w:val="22"/>
        </w:rPr>
        <w:t xml:space="preserve">nalisieren und innerhalb eines Diskurses als strategische und reproduktive Mechanismen in Erscheinung treten, bezeichnet Foucault als </w:t>
      </w:r>
      <w:r>
        <w:rPr>
          <w:rFonts w:ascii="Arial" w:eastAsia="Arial" w:hAnsi="Arial" w:cs="Arial"/>
          <w:color w:val="000000"/>
          <w:sz w:val="22"/>
          <w:szCs w:val="22"/>
        </w:rPr>
        <w:lastRenderedPageBreak/>
        <w:t>Dispositive.</w:t>
      </w:r>
      <w:r>
        <w:rPr>
          <w:rFonts w:ascii="Arial" w:eastAsia="Arial" w:hAnsi="Arial" w:cs="Arial"/>
          <w:color w:val="000000"/>
          <w:sz w:val="22"/>
          <w:szCs w:val="22"/>
          <w:vertAlign w:val="superscript"/>
        </w:rPr>
        <w:footnoteReference w:id="6"/>
      </w:r>
      <w:r>
        <w:rPr>
          <w:rFonts w:ascii="Arial" w:eastAsia="Arial" w:hAnsi="Arial" w:cs="Arial"/>
          <w:color w:val="000000"/>
          <w:sz w:val="22"/>
          <w:szCs w:val="22"/>
        </w:rPr>
        <w:t xml:space="preserve"> </w:t>
      </w:r>
      <w:proofErr w:type="gramStart"/>
      <w:r>
        <w:rPr>
          <w:rFonts w:ascii="Arial" w:eastAsia="Arial" w:hAnsi="Arial" w:cs="Arial"/>
          <w:color w:val="000000"/>
          <w:sz w:val="22"/>
          <w:szCs w:val="22"/>
        </w:rPr>
        <w:t>Explizit</w:t>
      </w:r>
      <w:proofErr w:type="gramEnd"/>
      <w:r>
        <w:rPr>
          <w:rFonts w:ascii="Arial" w:eastAsia="Arial" w:hAnsi="Arial" w:cs="Arial"/>
          <w:color w:val="000000"/>
          <w:sz w:val="22"/>
          <w:szCs w:val="22"/>
        </w:rPr>
        <w:t xml:space="preserve"> führt er Bibliotheken als Dispositiv an, aufgrund der </w:t>
      </w:r>
      <w:r>
        <w:rPr>
          <w:rFonts w:ascii="Arial" w:eastAsia="Arial" w:hAnsi="Arial" w:cs="Arial"/>
          <w:i/>
          <w:color w:val="000000"/>
          <w:sz w:val="22"/>
          <w:szCs w:val="22"/>
        </w:rPr>
        <w:t>„Art und Weise, wie […] Wissen in einer Gese</w:t>
      </w:r>
      <w:r>
        <w:rPr>
          <w:rFonts w:ascii="Arial" w:eastAsia="Arial" w:hAnsi="Arial" w:cs="Arial"/>
          <w:i/>
          <w:color w:val="000000"/>
          <w:sz w:val="22"/>
          <w:szCs w:val="22"/>
        </w:rPr>
        <w:t>llschaft eingesetzt […], gewertet und sortiert, verteilt und zugewiesen wird.“</w:t>
      </w:r>
      <w:r>
        <w:rPr>
          <w:rFonts w:ascii="Arial" w:eastAsia="Arial" w:hAnsi="Arial" w:cs="Arial"/>
          <w:color w:val="000000"/>
          <w:sz w:val="22"/>
          <w:szCs w:val="22"/>
          <w:vertAlign w:val="superscript"/>
        </w:rPr>
        <w:footnoteReference w:id="7"/>
      </w:r>
    </w:p>
    <w:p w14:paraId="0000000B" w14:textId="77777777" w:rsidR="006D7C42" w:rsidRDefault="00FA3CF7">
      <w:pPr>
        <w:pBdr>
          <w:top w:val="nil"/>
          <w:left w:val="nil"/>
          <w:bottom w:val="nil"/>
          <w:right w:val="nil"/>
          <w:between w:val="nil"/>
        </w:pBdr>
        <w:spacing w:after="140" w:line="276" w:lineRule="auto"/>
        <w:rPr>
          <w:color w:val="000000"/>
        </w:rPr>
      </w:pPr>
      <w:r>
        <w:rPr>
          <w:rFonts w:ascii="Arial" w:eastAsia="Arial" w:hAnsi="Arial" w:cs="Arial"/>
          <w:color w:val="000000"/>
          <w:sz w:val="22"/>
          <w:szCs w:val="22"/>
        </w:rPr>
        <w:t xml:space="preserve">In </w:t>
      </w:r>
      <w:r>
        <w:rPr>
          <w:rFonts w:ascii="Arial" w:eastAsia="Arial" w:hAnsi="Arial" w:cs="Arial"/>
          <w:i/>
          <w:color w:val="000000"/>
          <w:sz w:val="22"/>
          <w:szCs w:val="22"/>
        </w:rPr>
        <w:t>Die Ordnung der Dinge</w:t>
      </w:r>
      <w:r>
        <w:rPr>
          <w:rFonts w:ascii="Arial" w:eastAsia="Arial" w:hAnsi="Arial" w:cs="Arial"/>
          <w:color w:val="000000"/>
          <w:sz w:val="22"/>
          <w:szCs w:val="22"/>
        </w:rPr>
        <w:t xml:space="preserve"> geht Foucault der Frage nach der Entstehung von wissenschaftlichem Wissen nach und stellt fest, dass es im 17. Jahrhundert zu einer Verschiebung kommt</w:t>
      </w:r>
      <w:r>
        <w:rPr>
          <w:rFonts w:ascii="Arial" w:eastAsia="Arial" w:hAnsi="Arial" w:cs="Arial"/>
          <w:color w:val="000000"/>
          <w:sz w:val="22"/>
          <w:szCs w:val="22"/>
        </w:rPr>
        <w:t>, weg von den Ähnlichkeiten als maßgebendes Wesensmerkmal ordnender Elemente hin zu den Unterschieden.</w:t>
      </w:r>
      <w:r>
        <w:rPr>
          <w:rFonts w:ascii="Arial" w:eastAsia="Arial" w:hAnsi="Arial" w:cs="Arial"/>
          <w:color w:val="000000"/>
          <w:sz w:val="22"/>
          <w:szCs w:val="22"/>
          <w:vertAlign w:val="superscript"/>
        </w:rPr>
        <w:footnoteReference w:id="8"/>
      </w:r>
      <w:r>
        <w:rPr>
          <w:rFonts w:ascii="Arial" w:eastAsia="Arial" w:hAnsi="Arial" w:cs="Arial"/>
          <w:color w:val="000000"/>
          <w:sz w:val="22"/>
          <w:szCs w:val="22"/>
        </w:rPr>
        <w:t xml:space="preserve"> Es folgen Wissensordnungen wie etwa Carl von Linnés </w:t>
      </w:r>
      <w:proofErr w:type="spellStart"/>
      <w:r>
        <w:rPr>
          <w:rFonts w:ascii="Arial" w:eastAsia="Arial" w:hAnsi="Arial" w:cs="Arial"/>
          <w:i/>
          <w:color w:val="000000"/>
          <w:sz w:val="22"/>
          <w:szCs w:val="22"/>
        </w:rPr>
        <w:t>systemae</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naturae</w:t>
      </w:r>
      <w:proofErr w:type="spellEnd"/>
      <w:r>
        <w:rPr>
          <w:rFonts w:ascii="Arial" w:eastAsia="Arial" w:hAnsi="Arial" w:cs="Arial"/>
          <w:color w:val="000000"/>
          <w:sz w:val="22"/>
          <w:szCs w:val="22"/>
        </w:rPr>
        <w:t xml:space="preserve"> von 1758, wo Identität und Unterschied mit sozialen Auf- und Abwertungen verknüpft</w:t>
      </w:r>
      <w:r>
        <w:rPr>
          <w:rFonts w:ascii="Arial" w:eastAsia="Arial" w:hAnsi="Arial" w:cs="Arial"/>
          <w:color w:val="000000"/>
          <w:sz w:val="22"/>
          <w:szCs w:val="22"/>
        </w:rPr>
        <w:t xml:space="preserve"> werden. Linnés Ordnungssystem zementiert das Bild des fleißigen Europäers und des trägen Afrikaners.</w:t>
      </w:r>
      <w:r>
        <w:rPr>
          <w:rFonts w:ascii="Arial" w:eastAsia="Arial" w:hAnsi="Arial" w:cs="Arial"/>
          <w:color w:val="000000"/>
          <w:sz w:val="22"/>
          <w:szCs w:val="22"/>
          <w:vertAlign w:val="superscript"/>
        </w:rPr>
        <w:footnoteReference w:id="9"/>
      </w:r>
      <w:r>
        <w:rPr>
          <w:rFonts w:ascii="Arial" w:eastAsia="Arial" w:hAnsi="Arial" w:cs="Arial"/>
          <w:color w:val="000000"/>
          <w:sz w:val="22"/>
          <w:szCs w:val="22"/>
        </w:rPr>
        <w:t xml:space="preserve"> Stark vereinfacht entspricht dieser Prozess der Abwertung jenem Phänomen, das </w:t>
      </w:r>
      <w:proofErr w:type="spellStart"/>
      <w:r>
        <w:rPr>
          <w:rFonts w:ascii="Arial" w:eastAsia="Arial" w:hAnsi="Arial" w:cs="Arial"/>
          <w:color w:val="000000"/>
          <w:sz w:val="22"/>
          <w:szCs w:val="22"/>
        </w:rPr>
        <w:t>Gayatri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Chakravorty</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Spivak</w:t>
      </w:r>
      <w:proofErr w:type="spellEnd"/>
      <w:r>
        <w:rPr>
          <w:rFonts w:ascii="Arial" w:eastAsia="Arial" w:hAnsi="Arial" w:cs="Arial"/>
          <w:color w:val="000000"/>
          <w:sz w:val="22"/>
          <w:szCs w:val="22"/>
        </w:rPr>
        <w:t xml:space="preserve"> als Othering bezeichnet.</w:t>
      </w:r>
      <w:r>
        <w:rPr>
          <w:rFonts w:ascii="Arial" w:eastAsia="Arial" w:hAnsi="Arial" w:cs="Arial"/>
          <w:color w:val="000000"/>
          <w:sz w:val="22"/>
          <w:szCs w:val="22"/>
          <w:vertAlign w:val="superscript"/>
        </w:rPr>
        <w:footnoteReference w:id="10"/>
      </w:r>
    </w:p>
    <w:p w14:paraId="0000000C" w14:textId="77777777" w:rsidR="006D7C42" w:rsidRDefault="00FA3CF7">
      <w:pPr>
        <w:pBdr>
          <w:top w:val="nil"/>
          <w:left w:val="nil"/>
          <w:bottom w:val="nil"/>
          <w:right w:val="nil"/>
          <w:between w:val="nil"/>
        </w:pBdr>
        <w:spacing w:after="140" w:line="276" w:lineRule="auto"/>
        <w:rPr>
          <w:color w:val="000000"/>
        </w:rPr>
      </w:pPr>
      <w:r>
        <w:rPr>
          <w:rFonts w:ascii="Arial" w:eastAsia="Arial" w:hAnsi="Arial" w:cs="Arial"/>
          <w:color w:val="000000"/>
          <w:sz w:val="22"/>
          <w:szCs w:val="22"/>
        </w:rPr>
        <w:t>Wenn nun also eine G</w:t>
      </w:r>
      <w:r>
        <w:rPr>
          <w:rFonts w:ascii="Arial" w:eastAsia="Arial" w:hAnsi="Arial" w:cs="Arial"/>
          <w:color w:val="000000"/>
          <w:sz w:val="22"/>
          <w:szCs w:val="22"/>
        </w:rPr>
        <w:t>ruppe von Menschen mittels Othering, sei es aufgrund von Geschlecht, Klasse, ethnischer Zugehörigkeit, Religion, sexueller Präferenz, Nation oder anderen Unterscheidungsmerkmalen, zum vermeintlich unterlegenen Fremden und das vermeintlich überlegene Eigene</w:t>
      </w:r>
      <w:r>
        <w:rPr>
          <w:rFonts w:ascii="Arial" w:eastAsia="Arial" w:hAnsi="Arial" w:cs="Arial"/>
          <w:color w:val="000000"/>
          <w:sz w:val="22"/>
          <w:szCs w:val="22"/>
        </w:rPr>
        <w:t xml:space="preserve"> zum selbstreferentiellen Bezugspunkt wird, führt dies zu sozial konstruierten Ungleichverhältnissen. Folglich können sich diese als Differenzen manifestieren, welche diskursiv reproduziert werden. Das Abbilden in Wissensordnungen ist gleichsam Konsequenz </w:t>
      </w:r>
      <w:r>
        <w:rPr>
          <w:rFonts w:ascii="Arial" w:eastAsia="Arial" w:hAnsi="Arial" w:cs="Arial"/>
          <w:color w:val="000000"/>
          <w:sz w:val="22"/>
          <w:szCs w:val="22"/>
        </w:rPr>
        <w:t>und Ausgangslage von Wissensgenerierung. Durch ihre Anwendung reproduzieren wir eine Geisteshaltung.</w:t>
      </w:r>
      <w:r>
        <w:rPr>
          <w:rFonts w:ascii="Arial" w:eastAsia="Arial" w:hAnsi="Arial" w:cs="Arial"/>
          <w:color w:val="000000"/>
          <w:sz w:val="22"/>
          <w:szCs w:val="22"/>
          <w:vertAlign w:val="superscript"/>
        </w:rPr>
        <w:footnoteReference w:id="11"/>
      </w:r>
      <w:r>
        <w:rPr>
          <w:rFonts w:ascii="Arial" w:eastAsia="Arial" w:hAnsi="Arial" w:cs="Arial"/>
          <w:color w:val="000000"/>
          <w:sz w:val="22"/>
          <w:szCs w:val="22"/>
        </w:rPr>
        <w:t xml:space="preserve"> Diese müsste sich eingeschrieben haben in:</w:t>
      </w:r>
    </w:p>
    <w:p w14:paraId="0000000D" w14:textId="77777777" w:rsidR="006D7C42" w:rsidRDefault="00FA3CF7">
      <w:pPr>
        <w:pBdr>
          <w:top w:val="nil"/>
          <w:left w:val="nil"/>
          <w:bottom w:val="nil"/>
          <w:right w:val="nil"/>
          <w:between w:val="nil"/>
        </w:pBdr>
        <w:spacing w:after="140" w:line="276" w:lineRule="auto"/>
        <w:rPr>
          <w:color w:val="000000"/>
        </w:rPr>
      </w:pPr>
      <w:r>
        <w:rPr>
          <w:rFonts w:ascii="Arial" w:eastAsia="Arial" w:hAnsi="Arial" w:cs="Arial"/>
          <w:color w:val="000000"/>
          <w:sz w:val="22"/>
          <w:szCs w:val="22"/>
        </w:rPr>
        <w:t xml:space="preserve">a) </w:t>
      </w:r>
      <w:proofErr w:type="gramStart"/>
      <w:r>
        <w:rPr>
          <w:rFonts w:ascii="Arial" w:eastAsia="Arial" w:hAnsi="Arial" w:cs="Arial"/>
          <w:color w:val="000000"/>
          <w:sz w:val="22"/>
          <w:szCs w:val="22"/>
        </w:rPr>
        <w:t>die verschiedene Bereiche</w:t>
      </w:r>
      <w:proofErr w:type="gramEnd"/>
      <w:r>
        <w:rPr>
          <w:rFonts w:ascii="Arial" w:eastAsia="Arial" w:hAnsi="Arial" w:cs="Arial"/>
          <w:color w:val="000000"/>
          <w:sz w:val="22"/>
          <w:szCs w:val="22"/>
        </w:rPr>
        <w:t xml:space="preserve"> der Disziplin bzw. des Sammelgebiets</w:t>
      </w:r>
    </w:p>
    <w:p w14:paraId="0000000E" w14:textId="77777777" w:rsidR="006D7C42" w:rsidRDefault="00FA3CF7">
      <w:pPr>
        <w:pBdr>
          <w:top w:val="nil"/>
          <w:left w:val="nil"/>
          <w:bottom w:val="nil"/>
          <w:right w:val="nil"/>
          <w:between w:val="nil"/>
        </w:pBdr>
        <w:spacing w:after="140" w:line="276" w:lineRule="auto"/>
        <w:rPr>
          <w:color w:val="000000"/>
        </w:rPr>
      </w:pPr>
      <w:r>
        <w:rPr>
          <w:rFonts w:ascii="Arial" w:eastAsia="Arial" w:hAnsi="Arial" w:cs="Arial"/>
          <w:color w:val="000000"/>
          <w:sz w:val="22"/>
          <w:szCs w:val="22"/>
        </w:rPr>
        <w:t>b) die Klassifikation und</w:t>
      </w:r>
    </w:p>
    <w:p w14:paraId="0000000F" w14:textId="77777777" w:rsidR="006D7C42" w:rsidRDefault="00FA3CF7">
      <w:pPr>
        <w:pBdr>
          <w:top w:val="nil"/>
          <w:left w:val="nil"/>
          <w:bottom w:val="nil"/>
          <w:right w:val="nil"/>
          <w:between w:val="nil"/>
        </w:pBdr>
        <w:spacing w:after="140" w:line="276" w:lineRule="auto"/>
        <w:rPr>
          <w:color w:val="000000"/>
        </w:rPr>
      </w:pPr>
      <w:r>
        <w:rPr>
          <w:rFonts w:ascii="Arial" w:eastAsia="Arial" w:hAnsi="Arial" w:cs="Arial"/>
          <w:color w:val="000000"/>
          <w:sz w:val="22"/>
          <w:szCs w:val="22"/>
        </w:rPr>
        <w:t>c) die Werke</w:t>
      </w:r>
    </w:p>
    <w:p w14:paraId="00000010" w14:textId="77777777" w:rsidR="006D7C42" w:rsidRDefault="00FA3CF7">
      <w:pPr>
        <w:pBdr>
          <w:top w:val="nil"/>
          <w:left w:val="nil"/>
          <w:bottom w:val="nil"/>
          <w:right w:val="nil"/>
          <w:between w:val="nil"/>
        </w:pBdr>
        <w:spacing w:after="140" w:line="276" w:lineRule="auto"/>
        <w:rPr>
          <w:color w:val="000000"/>
        </w:rPr>
      </w:pPr>
      <w:r>
        <w:rPr>
          <w:rFonts w:ascii="Arial" w:eastAsia="Arial" w:hAnsi="Arial" w:cs="Arial"/>
          <w:color w:val="000000"/>
          <w:sz w:val="22"/>
          <w:szCs w:val="22"/>
        </w:rPr>
        <w:t>Nach einer kurzen Beschreibung der ethnozentrischen Dimensionen des Sammelgebiets wird die Analyse auf Ebene der Klassifikation und der Werke erfolgen,</w:t>
      </w:r>
      <w:r>
        <w:rPr>
          <w:rFonts w:ascii="Arial" w:eastAsia="Arial" w:hAnsi="Arial" w:cs="Arial"/>
          <w:color w:val="000000"/>
          <w:sz w:val="22"/>
          <w:szCs w:val="22"/>
        </w:rPr>
        <w:t xml:space="preserve"> um Reproduktionen kolonialer Geisteshaltungen aufzuspüren.</w:t>
      </w:r>
    </w:p>
    <w:p w14:paraId="00000011" w14:textId="77777777" w:rsidR="006D7C42" w:rsidRDefault="006D7C42">
      <w:pPr>
        <w:pBdr>
          <w:top w:val="nil"/>
          <w:left w:val="nil"/>
          <w:bottom w:val="nil"/>
          <w:right w:val="nil"/>
          <w:between w:val="nil"/>
        </w:pBdr>
        <w:spacing w:after="140" w:line="276" w:lineRule="auto"/>
        <w:rPr>
          <w:rFonts w:ascii="Arial" w:eastAsia="Arial" w:hAnsi="Arial" w:cs="Arial"/>
          <w:color w:val="000000"/>
          <w:sz w:val="22"/>
          <w:szCs w:val="22"/>
        </w:rPr>
      </w:pPr>
    </w:p>
    <w:p w14:paraId="00000012" w14:textId="77777777" w:rsidR="006D7C42" w:rsidRDefault="00FA3CF7">
      <w:pPr>
        <w:pBdr>
          <w:top w:val="nil"/>
          <w:left w:val="nil"/>
          <w:bottom w:val="nil"/>
          <w:right w:val="nil"/>
          <w:between w:val="nil"/>
        </w:pBdr>
        <w:spacing w:after="140" w:line="276" w:lineRule="auto"/>
        <w:rPr>
          <w:rFonts w:ascii="Arial" w:eastAsia="Arial" w:hAnsi="Arial" w:cs="Arial"/>
          <w:b/>
          <w:color w:val="000000"/>
          <w:sz w:val="22"/>
          <w:szCs w:val="22"/>
        </w:rPr>
      </w:pPr>
      <w:r>
        <w:rPr>
          <w:rFonts w:ascii="Arial" w:eastAsia="Arial" w:hAnsi="Arial" w:cs="Arial"/>
          <w:b/>
          <w:color w:val="000000"/>
          <w:sz w:val="22"/>
          <w:szCs w:val="22"/>
        </w:rPr>
        <w:t>Die Missio-Sammlung</w:t>
      </w:r>
    </w:p>
    <w:p w14:paraId="00000013" w14:textId="77777777" w:rsidR="006D7C42" w:rsidRDefault="00FA3CF7">
      <w:pPr>
        <w:pBdr>
          <w:top w:val="nil"/>
          <w:left w:val="nil"/>
          <w:bottom w:val="nil"/>
          <w:right w:val="nil"/>
          <w:between w:val="nil"/>
        </w:pBdr>
        <w:spacing w:after="140" w:line="276" w:lineRule="auto"/>
        <w:rPr>
          <w:color w:val="000000"/>
        </w:rPr>
      </w:pPr>
      <w:r>
        <w:rPr>
          <w:rFonts w:ascii="Arial" w:eastAsia="Arial" w:hAnsi="Arial" w:cs="Arial"/>
          <w:color w:val="000000"/>
          <w:sz w:val="22"/>
          <w:szCs w:val="22"/>
        </w:rPr>
        <w:t xml:space="preserve">Die Gründungsgeschichte der Sammlung lässt sich nicht im Detail nachzeichnen, obwohl Gespräche mit Mitarbeiterinnen von </w:t>
      </w:r>
      <w:r>
        <w:rPr>
          <w:rFonts w:ascii="Arial" w:eastAsia="Arial" w:hAnsi="Arial" w:cs="Arial"/>
          <w:i/>
          <w:color w:val="000000"/>
          <w:sz w:val="22"/>
          <w:szCs w:val="22"/>
        </w:rPr>
        <w:t xml:space="preserve">MISSIO </w:t>
      </w:r>
      <w:r>
        <w:rPr>
          <w:rFonts w:ascii="Arial" w:eastAsia="Arial" w:hAnsi="Arial" w:cs="Arial"/>
          <w:color w:val="000000"/>
          <w:sz w:val="22"/>
          <w:szCs w:val="22"/>
        </w:rPr>
        <w:t>geführt wurden. Es kann aber angenommen werden, dass frühe Bestände lange Zeit als Handbibliothek der Päpstlichen Missionswerke d</w:t>
      </w:r>
      <w:r>
        <w:rPr>
          <w:rFonts w:ascii="Arial" w:eastAsia="Arial" w:hAnsi="Arial" w:cs="Arial"/>
          <w:color w:val="000000"/>
          <w:sz w:val="22"/>
          <w:szCs w:val="22"/>
        </w:rPr>
        <w:t xml:space="preserve">ienten und zum Schutz vor der Zerschlagung durch die Nationalsozialisten 1938 dem </w:t>
      </w:r>
      <w:proofErr w:type="spellStart"/>
      <w:r>
        <w:rPr>
          <w:rFonts w:ascii="Arial" w:eastAsia="Arial" w:hAnsi="Arial" w:cs="Arial"/>
          <w:color w:val="000000"/>
          <w:sz w:val="22"/>
          <w:szCs w:val="22"/>
        </w:rPr>
        <w:t>Missiologischen</w:t>
      </w:r>
      <w:proofErr w:type="spellEnd"/>
      <w:r>
        <w:rPr>
          <w:rFonts w:ascii="Arial" w:eastAsia="Arial" w:hAnsi="Arial" w:cs="Arial"/>
          <w:color w:val="000000"/>
          <w:sz w:val="22"/>
          <w:szCs w:val="22"/>
        </w:rPr>
        <w:t xml:space="preserve"> Institut zugeführt wurden.</w:t>
      </w:r>
      <w:r>
        <w:rPr>
          <w:rFonts w:ascii="Arial" w:eastAsia="Arial" w:hAnsi="Arial" w:cs="Arial"/>
          <w:color w:val="000000"/>
          <w:sz w:val="22"/>
          <w:szCs w:val="22"/>
          <w:vertAlign w:val="superscript"/>
        </w:rPr>
        <w:footnoteReference w:id="12"/>
      </w:r>
      <w:r>
        <w:rPr>
          <w:rFonts w:ascii="Arial" w:eastAsia="Arial" w:hAnsi="Arial" w:cs="Arial"/>
          <w:color w:val="000000"/>
          <w:sz w:val="22"/>
          <w:szCs w:val="22"/>
        </w:rPr>
        <w:t xml:space="preserve"> Stempelvermerke deuten auch auf zahlreiche Schenkungen anderer Einrichtungen wie etwa der Marianischen Frauen- und Jungfrauen</w:t>
      </w:r>
      <w:r>
        <w:rPr>
          <w:rFonts w:ascii="Arial" w:eastAsia="Arial" w:hAnsi="Arial" w:cs="Arial"/>
          <w:sz w:val="22"/>
          <w:szCs w:val="22"/>
        </w:rPr>
        <w:t>-</w:t>
      </w:r>
      <w:proofErr w:type="spellStart"/>
      <w:r>
        <w:rPr>
          <w:rFonts w:ascii="Arial" w:eastAsia="Arial" w:hAnsi="Arial" w:cs="Arial"/>
          <w:color w:val="000000"/>
          <w:sz w:val="22"/>
          <w:szCs w:val="22"/>
        </w:rPr>
        <w:t>Con</w:t>
      </w:r>
      <w:r>
        <w:rPr>
          <w:rFonts w:ascii="Arial" w:eastAsia="Arial" w:hAnsi="Arial" w:cs="Arial"/>
          <w:color w:val="000000"/>
          <w:sz w:val="22"/>
          <w:szCs w:val="22"/>
        </w:rPr>
        <w:t>gregation</w:t>
      </w:r>
      <w:proofErr w:type="spellEnd"/>
      <w:r>
        <w:rPr>
          <w:rFonts w:ascii="Arial" w:eastAsia="Arial" w:hAnsi="Arial" w:cs="Arial"/>
          <w:color w:val="000000"/>
          <w:sz w:val="22"/>
          <w:szCs w:val="22"/>
        </w:rPr>
        <w:t xml:space="preserve"> oder dem Katechetischen Museum Wien hin. Als sich die Päpstlichen Missionswerke in Österreich in den 1990er Jahren in </w:t>
      </w:r>
      <w:r>
        <w:rPr>
          <w:rFonts w:ascii="Arial" w:eastAsia="Arial" w:hAnsi="Arial" w:cs="Arial"/>
          <w:i/>
          <w:color w:val="000000"/>
          <w:sz w:val="22"/>
          <w:szCs w:val="22"/>
        </w:rPr>
        <w:t>MISSIO</w:t>
      </w:r>
      <w:r>
        <w:rPr>
          <w:rFonts w:ascii="Arial" w:eastAsia="Arial" w:hAnsi="Arial" w:cs="Arial"/>
          <w:color w:val="000000"/>
          <w:sz w:val="22"/>
          <w:szCs w:val="22"/>
        </w:rPr>
        <w:t xml:space="preserve"> umbenannten, konnten sie auf eine bereits 150</w:t>
      </w:r>
      <w:r>
        <w:rPr>
          <w:rFonts w:ascii="Arial" w:eastAsia="Arial" w:hAnsi="Arial" w:cs="Arial"/>
          <w:sz w:val="22"/>
          <w:szCs w:val="22"/>
        </w:rPr>
        <w:t>-J</w:t>
      </w:r>
      <w:r>
        <w:rPr>
          <w:rFonts w:ascii="Arial" w:eastAsia="Arial" w:hAnsi="Arial" w:cs="Arial"/>
          <w:color w:val="000000"/>
          <w:sz w:val="22"/>
          <w:szCs w:val="22"/>
        </w:rPr>
        <w:t>ährige, äußerst erfolgreiche Geschichte zurückblicken. Institutionell vers</w:t>
      </w:r>
      <w:r>
        <w:rPr>
          <w:rFonts w:ascii="Arial" w:eastAsia="Arial" w:hAnsi="Arial" w:cs="Arial"/>
          <w:color w:val="000000"/>
          <w:sz w:val="22"/>
          <w:szCs w:val="22"/>
        </w:rPr>
        <w:t xml:space="preserve">teht sich </w:t>
      </w:r>
      <w:r>
        <w:rPr>
          <w:rFonts w:ascii="Arial" w:eastAsia="Arial" w:hAnsi="Arial" w:cs="Arial"/>
          <w:i/>
          <w:color w:val="000000"/>
          <w:sz w:val="22"/>
          <w:szCs w:val="22"/>
        </w:rPr>
        <w:t>MISSIO</w:t>
      </w:r>
      <w:r>
        <w:rPr>
          <w:rFonts w:ascii="Arial" w:eastAsia="Arial" w:hAnsi="Arial" w:cs="Arial"/>
          <w:color w:val="000000"/>
          <w:sz w:val="22"/>
          <w:szCs w:val="22"/>
        </w:rPr>
        <w:t xml:space="preserve"> als Nachfolgeorganisation des 1822 gegründeten Lyoner Missionsvereins. 1922 erfolgte die innerkirchliche Zentralisierung </w:t>
      </w:r>
      <w:r>
        <w:rPr>
          <w:rFonts w:ascii="Arial" w:eastAsia="Arial" w:hAnsi="Arial" w:cs="Arial"/>
          <w:color w:val="000000"/>
          <w:sz w:val="22"/>
          <w:szCs w:val="22"/>
        </w:rPr>
        <w:lastRenderedPageBreak/>
        <w:t>durch die Eingliederung in die Päpstlichen Missionswerke, die der Kongregation der Evangelisierung der Völker unterste</w:t>
      </w:r>
      <w:r>
        <w:rPr>
          <w:rFonts w:ascii="Arial" w:eastAsia="Arial" w:hAnsi="Arial" w:cs="Arial"/>
          <w:color w:val="000000"/>
          <w:sz w:val="22"/>
          <w:szCs w:val="22"/>
        </w:rPr>
        <w:t>llt sind.</w:t>
      </w:r>
      <w:r>
        <w:rPr>
          <w:rFonts w:ascii="Arial" w:eastAsia="Arial" w:hAnsi="Arial" w:cs="Arial"/>
          <w:color w:val="000000"/>
          <w:sz w:val="22"/>
          <w:szCs w:val="22"/>
          <w:vertAlign w:val="superscript"/>
        </w:rPr>
        <w:footnoteReference w:id="13"/>
      </w:r>
      <w:r>
        <w:rPr>
          <w:rFonts w:ascii="Arial" w:eastAsia="Arial" w:hAnsi="Arial" w:cs="Arial"/>
          <w:color w:val="000000"/>
          <w:sz w:val="22"/>
          <w:szCs w:val="22"/>
        </w:rPr>
        <w:t xml:space="preserve"> In den 1820er Jahren verzeichneten einzelne Missionsvereine bereits bis zu 100.000 Mitglieder.</w:t>
      </w:r>
      <w:r>
        <w:rPr>
          <w:rFonts w:ascii="Arial" w:eastAsia="Arial" w:hAnsi="Arial" w:cs="Arial"/>
          <w:color w:val="000000"/>
          <w:sz w:val="22"/>
          <w:szCs w:val="22"/>
          <w:vertAlign w:val="superscript"/>
        </w:rPr>
        <w:footnoteReference w:id="14"/>
      </w:r>
      <w:r>
        <w:rPr>
          <w:rFonts w:ascii="Arial" w:eastAsia="Arial" w:hAnsi="Arial" w:cs="Arial"/>
          <w:color w:val="000000"/>
          <w:sz w:val="22"/>
          <w:szCs w:val="22"/>
        </w:rPr>
        <w:t xml:space="preserve"> Zu Beginn des 20. Jahrhunderts waren sie oft zu enormen Unternehmen mit eigenen Druckereien, Verlagen und Bildungseinrichtungen angewachsen. Ihr Ziel war und blieb die finanzielle Unterstützung der verschiedenen Missionen. 2018 zählte der nationale Ablege</w:t>
      </w:r>
      <w:r>
        <w:rPr>
          <w:rFonts w:ascii="Arial" w:eastAsia="Arial" w:hAnsi="Arial" w:cs="Arial"/>
          <w:color w:val="000000"/>
          <w:sz w:val="22"/>
          <w:szCs w:val="22"/>
        </w:rPr>
        <w:t xml:space="preserve">r von </w:t>
      </w:r>
      <w:r>
        <w:rPr>
          <w:rFonts w:ascii="Arial" w:eastAsia="Arial" w:hAnsi="Arial" w:cs="Arial"/>
          <w:i/>
          <w:color w:val="000000"/>
          <w:sz w:val="22"/>
          <w:szCs w:val="22"/>
        </w:rPr>
        <w:t>MISSIO</w:t>
      </w:r>
      <w:r>
        <w:rPr>
          <w:rFonts w:ascii="Arial" w:eastAsia="Arial" w:hAnsi="Arial" w:cs="Arial"/>
          <w:color w:val="000000"/>
          <w:sz w:val="22"/>
          <w:szCs w:val="22"/>
        </w:rPr>
        <w:t xml:space="preserve"> mit einem Spendenaufkommen von etwa zehn Millionen Euro zu einer der größten Fundraising-Organisationen in Österreich.</w:t>
      </w:r>
      <w:r>
        <w:rPr>
          <w:rFonts w:ascii="Arial" w:eastAsia="Arial" w:hAnsi="Arial" w:cs="Arial"/>
          <w:color w:val="000000"/>
          <w:sz w:val="22"/>
          <w:szCs w:val="22"/>
          <w:vertAlign w:val="superscript"/>
        </w:rPr>
        <w:footnoteReference w:id="15"/>
      </w:r>
      <w:r>
        <w:rPr>
          <w:rFonts w:ascii="Arial" w:eastAsia="Arial" w:hAnsi="Arial" w:cs="Arial"/>
          <w:color w:val="000000"/>
          <w:sz w:val="22"/>
          <w:szCs w:val="22"/>
        </w:rPr>
        <w:t xml:space="preserve"> Die Bibliothek erfuhr in den 1980er Jahren eine Professionalisierung. Bestände wurden zusammengeführt, katalogisiert und a</w:t>
      </w:r>
      <w:r>
        <w:rPr>
          <w:rFonts w:ascii="Arial" w:eastAsia="Arial" w:hAnsi="Arial" w:cs="Arial"/>
          <w:color w:val="000000"/>
          <w:sz w:val="22"/>
          <w:szCs w:val="22"/>
        </w:rPr>
        <w:t>nhand einer eigenen Klassifikation inhaltlich geordnet. Der Medienzuwachs erfolgte über Schenkungen, Nachlässe und projektbezogene</w:t>
      </w:r>
      <w:r>
        <w:rPr>
          <w:rFonts w:ascii="Arial" w:eastAsia="Arial" w:hAnsi="Arial" w:cs="Arial"/>
          <w:sz w:val="22"/>
          <w:szCs w:val="22"/>
        </w:rPr>
        <w:t>n</w:t>
      </w:r>
      <w:r>
        <w:rPr>
          <w:rFonts w:ascii="Arial" w:eastAsia="Arial" w:hAnsi="Arial" w:cs="Arial"/>
          <w:color w:val="000000"/>
          <w:sz w:val="22"/>
          <w:szCs w:val="22"/>
        </w:rPr>
        <w:t xml:space="preserve"> Ankauf. Bis in die 1990er Jahre galt die gesamte Einrichtung kirchenintern als linker Flügel, da in den Jahrzehnten zuvor be</w:t>
      </w:r>
      <w:r>
        <w:rPr>
          <w:rFonts w:ascii="Arial" w:eastAsia="Arial" w:hAnsi="Arial" w:cs="Arial"/>
          <w:color w:val="000000"/>
          <w:sz w:val="22"/>
          <w:szCs w:val="22"/>
        </w:rPr>
        <w:t xml:space="preserve">freiungstheologischen Inhalten eine hohe Bedeutung zugekommen war. 2008 wurde die </w:t>
      </w:r>
      <w:r>
        <w:rPr>
          <w:rFonts w:ascii="Arial" w:eastAsia="Arial" w:hAnsi="Arial" w:cs="Arial"/>
          <w:i/>
          <w:color w:val="000000"/>
          <w:sz w:val="22"/>
          <w:szCs w:val="22"/>
        </w:rPr>
        <w:t>MISSIO</w:t>
      </w:r>
      <w:r>
        <w:rPr>
          <w:rFonts w:ascii="Arial" w:eastAsia="Arial" w:hAnsi="Arial" w:cs="Arial"/>
          <w:color w:val="000000"/>
          <w:sz w:val="22"/>
          <w:szCs w:val="22"/>
        </w:rPr>
        <w:t>-Bibliothek aufgelassen.</w:t>
      </w:r>
      <w:r>
        <w:rPr>
          <w:rFonts w:ascii="Arial" w:eastAsia="Arial" w:hAnsi="Arial" w:cs="Arial"/>
          <w:color w:val="000000"/>
          <w:sz w:val="22"/>
          <w:szCs w:val="22"/>
          <w:vertAlign w:val="superscript"/>
        </w:rPr>
        <w:footnoteReference w:id="16"/>
      </w:r>
      <w:r>
        <w:rPr>
          <w:rFonts w:ascii="Arial" w:eastAsia="Arial" w:hAnsi="Arial" w:cs="Arial"/>
          <w:color w:val="000000"/>
          <w:sz w:val="22"/>
          <w:szCs w:val="22"/>
        </w:rPr>
        <w:t xml:space="preserve"> Neben jenen Medien, die 2009 an die </w:t>
      </w:r>
      <w:r>
        <w:rPr>
          <w:rFonts w:ascii="Arial" w:eastAsia="Arial" w:hAnsi="Arial" w:cs="Arial"/>
          <w:i/>
          <w:color w:val="000000"/>
          <w:sz w:val="22"/>
          <w:szCs w:val="22"/>
        </w:rPr>
        <w:t>ÖFSE</w:t>
      </w:r>
      <w:r>
        <w:rPr>
          <w:rFonts w:ascii="Arial" w:eastAsia="Arial" w:hAnsi="Arial" w:cs="Arial"/>
          <w:color w:val="000000"/>
          <w:sz w:val="22"/>
          <w:szCs w:val="22"/>
        </w:rPr>
        <w:t xml:space="preserve"> gegangen waren, wurde ein weiterer Teilbestand der </w:t>
      </w:r>
      <w:r>
        <w:rPr>
          <w:rFonts w:ascii="Arial" w:eastAsia="Arial" w:hAnsi="Arial" w:cs="Arial"/>
          <w:i/>
          <w:color w:val="000000"/>
          <w:sz w:val="22"/>
          <w:szCs w:val="22"/>
        </w:rPr>
        <w:t>Missionsbibliothek und katholischen Dokumentation</w:t>
      </w:r>
      <w:r>
        <w:rPr>
          <w:rFonts w:ascii="Arial" w:eastAsia="Arial" w:hAnsi="Arial" w:cs="Arial"/>
          <w:i/>
          <w:color w:val="000000"/>
          <w:sz w:val="22"/>
          <w:szCs w:val="22"/>
        </w:rPr>
        <w:t>sstelle</w:t>
      </w:r>
      <w:r>
        <w:rPr>
          <w:rFonts w:ascii="Arial" w:eastAsia="Arial" w:hAnsi="Arial" w:cs="Arial"/>
          <w:color w:val="000000"/>
          <w:sz w:val="22"/>
          <w:szCs w:val="22"/>
        </w:rPr>
        <w:t xml:space="preserve"> von </w:t>
      </w:r>
      <w:proofErr w:type="spellStart"/>
      <w:r>
        <w:rPr>
          <w:rFonts w:ascii="Arial" w:eastAsia="Arial" w:hAnsi="Arial" w:cs="Arial"/>
          <w:i/>
          <w:color w:val="000000"/>
          <w:sz w:val="22"/>
          <w:szCs w:val="22"/>
        </w:rPr>
        <w:t>missio</w:t>
      </w:r>
      <w:proofErr w:type="spellEnd"/>
      <w:r>
        <w:rPr>
          <w:rFonts w:ascii="Arial" w:eastAsia="Arial" w:hAnsi="Arial" w:cs="Arial"/>
          <w:i/>
          <w:color w:val="000000"/>
          <w:sz w:val="22"/>
          <w:szCs w:val="22"/>
        </w:rPr>
        <w:t xml:space="preserve"> Aachen</w:t>
      </w:r>
      <w:r>
        <w:rPr>
          <w:rFonts w:ascii="Arial" w:eastAsia="Arial" w:hAnsi="Arial" w:cs="Arial"/>
          <w:color w:val="000000"/>
          <w:sz w:val="22"/>
          <w:szCs w:val="22"/>
        </w:rPr>
        <w:t xml:space="preserve"> (MIKDAO) übergeben; darunter eine Sammlung sehr seltener Katechismen in außereuropäischen Sprachen.</w:t>
      </w:r>
      <w:r>
        <w:rPr>
          <w:rFonts w:ascii="Arial" w:eastAsia="Arial" w:hAnsi="Arial" w:cs="Arial"/>
          <w:color w:val="000000"/>
          <w:sz w:val="22"/>
          <w:szCs w:val="22"/>
          <w:vertAlign w:val="superscript"/>
        </w:rPr>
        <w:footnoteReference w:id="17"/>
      </w:r>
    </w:p>
    <w:p w14:paraId="00000014" w14:textId="77777777" w:rsidR="006D7C42" w:rsidRDefault="00FA3CF7">
      <w:pPr>
        <w:pBdr>
          <w:top w:val="nil"/>
          <w:left w:val="nil"/>
          <w:bottom w:val="nil"/>
          <w:right w:val="nil"/>
          <w:between w:val="nil"/>
        </w:pBdr>
        <w:spacing w:after="140" w:line="276" w:lineRule="auto"/>
        <w:rPr>
          <w:color w:val="000000"/>
          <w:sz w:val="22"/>
          <w:szCs w:val="22"/>
        </w:rPr>
      </w:pPr>
      <w:r>
        <w:rPr>
          <w:rFonts w:ascii="Arial" w:eastAsia="Arial" w:hAnsi="Arial" w:cs="Arial"/>
          <w:color w:val="000000"/>
          <w:sz w:val="22"/>
          <w:szCs w:val="22"/>
        </w:rPr>
        <w:t>Im kolonialen Wissen, also in den gesellschaftlich anerkannten Wahrheiten, deren Bedeutungen im Kontext der europäischen Expansi</w:t>
      </w:r>
      <w:r>
        <w:rPr>
          <w:rFonts w:ascii="Arial" w:eastAsia="Arial" w:hAnsi="Arial" w:cs="Arial"/>
          <w:color w:val="000000"/>
          <w:sz w:val="22"/>
          <w:szCs w:val="22"/>
        </w:rPr>
        <w:t xml:space="preserve">on generiert wurden, war die Annahme einer weißen Überlegenheit bereits angelegt. Lokale Gesellschaftsformen wurden als unterentwickelt bezeichnet. Fremde spirituelle Überzeugungen erfuhren als Aberglauben eine Abwertung in Abgrenzung zum eigenen Glauben, </w:t>
      </w:r>
      <w:r>
        <w:rPr>
          <w:rFonts w:ascii="Arial" w:eastAsia="Arial" w:hAnsi="Arial" w:cs="Arial"/>
          <w:color w:val="000000"/>
          <w:sz w:val="22"/>
          <w:szCs w:val="22"/>
        </w:rPr>
        <w:t>der christlichen Religion.</w:t>
      </w:r>
      <w:r>
        <w:rPr>
          <w:rFonts w:ascii="Arial" w:eastAsia="Arial" w:hAnsi="Arial" w:cs="Arial"/>
          <w:color w:val="000000"/>
          <w:sz w:val="22"/>
          <w:szCs w:val="22"/>
          <w:vertAlign w:val="superscript"/>
        </w:rPr>
        <w:footnoteReference w:id="18"/>
      </w:r>
      <w:r>
        <w:rPr>
          <w:rFonts w:ascii="Arial" w:eastAsia="Arial" w:hAnsi="Arial" w:cs="Arial"/>
          <w:color w:val="000000"/>
          <w:sz w:val="22"/>
          <w:szCs w:val="22"/>
        </w:rPr>
        <w:t xml:space="preserve"> Systematisierungsansprüche führten dazu, dass zahlreiche Laien und Amateurforscher durch das Erfassen, Vermessen, Ein- und Zuordnen von Gebieten, Fauna, Flora und Menschen verwissenschaftlichtes Wissen schufen.</w:t>
      </w:r>
      <w:r>
        <w:rPr>
          <w:rFonts w:ascii="Arial" w:eastAsia="Arial" w:hAnsi="Arial" w:cs="Arial"/>
          <w:color w:val="000000"/>
          <w:sz w:val="22"/>
          <w:szCs w:val="22"/>
          <w:vertAlign w:val="superscript"/>
        </w:rPr>
        <w:footnoteReference w:id="19"/>
      </w:r>
      <w:r>
        <w:rPr>
          <w:rFonts w:ascii="Arial" w:eastAsia="Arial" w:hAnsi="Arial" w:cs="Arial"/>
          <w:color w:val="000000"/>
          <w:sz w:val="22"/>
          <w:szCs w:val="22"/>
        </w:rPr>
        <w:t xml:space="preserve"> Am regen Infor</w:t>
      </w:r>
      <w:r>
        <w:rPr>
          <w:rFonts w:ascii="Arial" w:eastAsia="Arial" w:hAnsi="Arial" w:cs="Arial"/>
          <w:color w:val="000000"/>
          <w:sz w:val="22"/>
          <w:szCs w:val="22"/>
        </w:rPr>
        <w:t>mationsaustausch zwischen den Kolonien und ihren Mutterländern waren neben Kolonialbeamten, Forschenden, Reisenden</w:t>
      </w:r>
      <w:r>
        <w:rPr>
          <w:rFonts w:ascii="Arial" w:eastAsia="Arial" w:hAnsi="Arial" w:cs="Arial"/>
          <w:sz w:val="22"/>
          <w:szCs w:val="22"/>
        </w:rPr>
        <w:t xml:space="preserve"> </w:t>
      </w:r>
      <w:r>
        <w:rPr>
          <w:rFonts w:ascii="Arial" w:eastAsia="Arial" w:hAnsi="Arial" w:cs="Arial"/>
          <w:color w:val="000000"/>
          <w:sz w:val="22"/>
          <w:szCs w:val="22"/>
        </w:rPr>
        <w:t>und Siedlern auch Missionare beteiligt. In Berichten, Vorträgen und Zeitschriftenartikeln vermittelten sie nicht nur Wissen, das für die Ausb</w:t>
      </w:r>
      <w:r>
        <w:rPr>
          <w:rFonts w:ascii="Arial" w:eastAsia="Arial" w:hAnsi="Arial" w:cs="Arial"/>
          <w:color w:val="000000"/>
          <w:sz w:val="22"/>
          <w:szCs w:val="22"/>
        </w:rPr>
        <w:t xml:space="preserve">eutung der Gebiete von Bedeutung war, wie etwa Hinweise zu Rohstoffvorkommen, Witterungsbedingungen </w:t>
      </w:r>
      <w:r>
        <w:rPr>
          <w:rFonts w:ascii="Arial" w:eastAsia="Arial" w:hAnsi="Arial" w:cs="Arial"/>
          <w:sz w:val="22"/>
          <w:szCs w:val="22"/>
        </w:rPr>
        <w:t xml:space="preserve">et </w:t>
      </w:r>
      <w:proofErr w:type="spellStart"/>
      <w:r>
        <w:rPr>
          <w:rFonts w:ascii="Arial" w:eastAsia="Arial" w:hAnsi="Arial" w:cs="Arial"/>
          <w:sz w:val="22"/>
          <w:szCs w:val="22"/>
        </w:rPr>
        <w:t>cetera</w:t>
      </w:r>
      <w:proofErr w:type="spellEnd"/>
      <w:r>
        <w:rPr>
          <w:rFonts w:ascii="Arial" w:eastAsia="Arial" w:hAnsi="Arial" w:cs="Arial"/>
          <w:color w:val="000000"/>
          <w:sz w:val="22"/>
          <w:szCs w:val="22"/>
        </w:rPr>
        <w:t>. Sie transportierten dabei auch imaginierte Vorstellungen von Gesellschaft, Kultur und Natur der unterworfenen Länder. Missionszeitschriften und -</w:t>
      </w:r>
      <w:r>
        <w:rPr>
          <w:rFonts w:ascii="Arial" w:eastAsia="Arial" w:hAnsi="Arial" w:cs="Arial"/>
          <w:color w:val="000000"/>
          <w:sz w:val="22"/>
          <w:szCs w:val="22"/>
        </w:rPr>
        <w:t xml:space="preserve">ausstellungen trugen das </w:t>
      </w:r>
      <w:r>
        <w:rPr>
          <w:rFonts w:ascii="Arial" w:eastAsia="Arial" w:hAnsi="Arial" w:cs="Arial"/>
          <w:sz w:val="22"/>
          <w:szCs w:val="22"/>
        </w:rPr>
        <w:t>i</w:t>
      </w:r>
      <w:r>
        <w:rPr>
          <w:rFonts w:ascii="Arial" w:eastAsia="Arial" w:hAnsi="Arial" w:cs="Arial"/>
          <w:color w:val="000000"/>
          <w:sz w:val="22"/>
          <w:szCs w:val="22"/>
        </w:rPr>
        <w:t>hrige dazu bei. Umgekehrt produzierten Missionsverlage hohe Auflagen an gedruckten Werken für die Missionen wie etwa Katechismen oder Gebetsbücher.</w:t>
      </w:r>
      <w:r>
        <w:rPr>
          <w:rFonts w:ascii="Arial" w:eastAsia="Arial" w:hAnsi="Arial" w:cs="Arial"/>
          <w:color w:val="000000"/>
          <w:sz w:val="22"/>
          <w:szCs w:val="22"/>
          <w:vertAlign w:val="superscript"/>
        </w:rPr>
        <w:footnoteReference w:id="20"/>
      </w:r>
      <w:r>
        <w:rPr>
          <w:rFonts w:ascii="Arial" w:eastAsia="Arial" w:hAnsi="Arial" w:cs="Arial"/>
          <w:color w:val="000000"/>
          <w:sz w:val="22"/>
          <w:szCs w:val="22"/>
        </w:rPr>
        <w:t xml:space="preserve"> Mit der Glaubenserziehung einher gingen meist auch soziale und kulturelle Diszip</w:t>
      </w:r>
      <w:r>
        <w:rPr>
          <w:rFonts w:ascii="Arial" w:eastAsia="Arial" w:hAnsi="Arial" w:cs="Arial"/>
          <w:color w:val="000000"/>
          <w:sz w:val="22"/>
          <w:szCs w:val="22"/>
        </w:rPr>
        <w:t>linierungsansprüche wie das Annehmen von Bekleidungstraditionen, Sprach-, Rechts- und Körperpraktiken aber auch von bestimmten Arbeitsweisen.</w:t>
      </w:r>
      <w:r>
        <w:rPr>
          <w:rFonts w:ascii="Arial" w:eastAsia="Arial" w:hAnsi="Arial" w:cs="Arial"/>
          <w:color w:val="000000"/>
          <w:sz w:val="22"/>
          <w:szCs w:val="22"/>
          <w:vertAlign w:val="superscript"/>
        </w:rPr>
        <w:footnoteReference w:id="21"/>
      </w:r>
      <w:r>
        <w:rPr>
          <w:rFonts w:ascii="Arial" w:eastAsia="Arial" w:hAnsi="Arial" w:cs="Arial"/>
          <w:color w:val="000000"/>
          <w:sz w:val="22"/>
          <w:szCs w:val="22"/>
        </w:rPr>
        <w:t xml:space="preserve"> Nicht selten übernahmen Missionare koloniale Aufgaben, wenn sie sich etwa als Kartografen betätigten, Schätzunge</w:t>
      </w:r>
      <w:r>
        <w:rPr>
          <w:rFonts w:ascii="Arial" w:eastAsia="Arial" w:hAnsi="Arial" w:cs="Arial"/>
          <w:color w:val="000000"/>
          <w:sz w:val="22"/>
          <w:szCs w:val="22"/>
        </w:rPr>
        <w:t>n zur Größe lokaler Bevölkerungsgruppen abgaben oder sich als Dolmetsch zur Verfügung stellten.</w:t>
      </w:r>
      <w:r>
        <w:rPr>
          <w:rFonts w:ascii="Arial" w:eastAsia="Arial" w:hAnsi="Arial" w:cs="Arial"/>
          <w:color w:val="000000"/>
          <w:sz w:val="22"/>
          <w:szCs w:val="22"/>
          <w:vertAlign w:val="superscript"/>
        </w:rPr>
        <w:footnoteReference w:id="22"/>
      </w:r>
    </w:p>
    <w:p w14:paraId="00000015" w14:textId="77777777" w:rsidR="006D7C42" w:rsidRDefault="00FA3CF7">
      <w:pPr>
        <w:pBdr>
          <w:top w:val="nil"/>
          <w:left w:val="nil"/>
          <w:bottom w:val="nil"/>
          <w:right w:val="nil"/>
          <w:between w:val="nil"/>
        </w:pBdr>
        <w:spacing w:after="140" w:line="276" w:lineRule="auto"/>
        <w:rPr>
          <w:rFonts w:ascii="Arial" w:eastAsia="Arial" w:hAnsi="Arial" w:cs="Arial"/>
          <w:color w:val="000000"/>
          <w:sz w:val="22"/>
          <w:szCs w:val="22"/>
        </w:rPr>
      </w:pPr>
      <w:r>
        <w:rPr>
          <w:rFonts w:ascii="Arial" w:eastAsia="Arial" w:hAnsi="Arial" w:cs="Arial"/>
          <w:color w:val="000000"/>
          <w:sz w:val="22"/>
          <w:szCs w:val="22"/>
        </w:rPr>
        <w:lastRenderedPageBreak/>
        <w:t xml:space="preserve">Die Herausforderung, einen missionswissenschaftlichen Bestand in Hinblick auf Othering zu untersuchen, besteht darin, nicht den inhaltlichen Sammelschwerpunkt als Ganzes den Praktiken der </w:t>
      </w:r>
      <w:proofErr w:type="spellStart"/>
      <w:r>
        <w:rPr>
          <w:rFonts w:ascii="Arial" w:eastAsia="Arial" w:hAnsi="Arial" w:cs="Arial"/>
          <w:i/>
          <w:color w:val="000000"/>
          <w:sz w:val="22"/>
          <w:szCs w:val="22"/>
        </w:rPr>
        <w:t>VerAnderung</w:t>
      </w:r>
      <w:proofErr w:type="spellEnd"/>
      <w:r>
        <w:rPr>
          <w:rFonts w:ascii="Arial" w:eastAsia="Arial" w:hAnsi="Arial" w:cs="Arial"/>
          <w:color w:val="000000"/>
          <w:sz w:val="22"/>
          <w:szCs w:val="22"/>
        </w:rPr>
        <w:t xml:space="preserve"> zuzuordnen. Dies ist insofern schwierig als der Ausgangs</w:t>
      </w:r>
      <w:r>
        <w:rPr>
          <w:rFonts w:ascii="Arial" w:eastAsia="Arial" w:hAnsi="Arial" w:cs="Arial"/>
          <w:color w:val="000000"/>
          <w:sz w:val="22"/>
          <w:szCs w:val="22"/>
        </w:rPr>
        <w:t>punkt von Missionierung ebenfalls das Eigene dem Fremden gegenüberstellt und die kirchliche Lehre eine Abwertung von Ungläubigen (bis hin zu Verfolgungs- und Vernichtungspolitiken) kennt. Diesen Aspekt versuche ich zu entschärfen, indem ich bei der Analyse</w:t>
      </w:r>
      <w:r>
        <w:rPr>
          <w:rFonts w:ascii="Arial" w:eastAsia="Arial" w:hAnsi="Arial" w:cs="Arial"/>
          <w:color w:val="000000"/>
          <w:sz w:val="22"/>
          <w:szCs w:val="22"/>
        </w:rPr>
        <w:t xml:space="preserve"> dem missionierenden Subjekt in bester Absicht unterstelle, sein Gegenüber als autonomes und gleichwertiges Wesen zu begreifen. Religionsimmanente Zuschreibungen bleiben unberücksichtigt, während explizite Selbsterhöhung und/oder Fremdabwertung in den unte</w:t>
      </w:r>
      <w:r>
        <w:rPr>
          <w:rFonts w:ascii="Arial" w:eastAsia="Arial" w:hAnsi="Arial" w:cs="Arial"/>
          <w:color w:val="000000"/>
          <w:sz w:val="22"/>
          <w:szCs w:val="22"/>
        </w:rPr>
        <w:t>rschiedlichen Facetten als Othering begriffen wird.</w:t>
      </w:r>
    </w:p>
    <w:p w14:paraId="00000016" w14:textId="77777777" w:rsidR="006D7C42" w:rsidRDefault="006D7C42">
      <w:pPr>
        <w:pBdr>
          <w:top w:val="nil"/>
          <w:left w:val="nil"/>
          <w:bottom w:val="nil"/>
          <w:right w:val="nil"/>
          <w:between w:val="nil"/>
        </w:pBdr>
        <w:spacing w:after="140" w:line="276" w:lineRule="auto"/>
        <w:rPr>
          <w:rFonts w:ascii="Arial" w:eastAsia="Arial" w:hAnsi="Arial" w:cs="Arial"/>
          <w:color w:val="000000"/>
          <w:sz w:val="22"/>
          <w:szCs w:val="22"/>
        </w:rPr>
      </w:pPr>
    </w:p>
    <w:p w14:paraId="00000017" w14:textId="77777777" w:rsidR="006D7C42" w:rsidRDefault="00FA3CF7">
      <w:pPr>
        <w:pBdr>
          <w:top w:val="nil"/>
          <w:left w:val="nil"/>
          <w:bottom w:val="nil"/>
          <w:right w:val="nil"/>
          <w:between w:val="nil"/>
        </w:pBdr>
        <w:spacing w:after="140" w:line="276" w:lineRule="auto"/>
        <w:rPr>
          <w:rFonts w:ascii="Arial" w:eastAsia="Arial" w:hAnsi="Arial" w:cs="Arial"/>
          <w:b/>
          <w:color w:val="000000"/>
          <w:sz w:val="22"/>
          <w:szCs w:val="22"/>
        </w:rPr>
      </w:pPr>
      <w:r>
        <w:rPr>
          <w:rFonts w:ascii="Arial" w:eastAsia="Arial" w:hAnsi="Arial" w:cs="Arial"/>
          <w:b/>
          <w:color w:val="000000"/>
          <w:sz w:val="22"/>
          <w:szCs w:val="22"/>
        </w:rPr>
        <w:t>Die Missio-Klassifikation</w:t>
      </w:r>
    </w:p>
    <w:p w14:paraId="00000018" w14:textId="77777777" w:rsidR="006D7C42" w:rsidRDefault="00FA3CF7">
      <w:pPr>
        <w:pBdr>
          <w:top w:val="nil"/>
          <w:left w:val="nil"/>
          <w:bottom w:val="nil"/>
          <w:right w:val="nil"/>
          <w:between w:val="nil"/>
        </w:pBdr>
        <w:spacing w:after="140" w:line="276" w:lineRule="auto"/>
        <w:rPr>
          <w:color w:val="000000"/>
        </w:rPr>
      </w:pPr>
      <w:r>
        <w:rPr>
          <w:rFonts w:ascii="Arial" w:eastAsia="Arial" w:hAnsi="Arial" w:cs="Arial"/>
          <w:color w:val="000000"/>
          <w:sz w:val="22"/>
          <w:szCs w:val="22"/>
        </w:rPr>
        <w:t xml:space="preserve">Der Missio-Bestand folgt einer klassifikatorischen Ordnung, bestehend aus 19 Hauptgruppen mit bis zu elf Untergruppen. Neun Hauptgruppen werden in den Notationen mit </w:t>
      </w:r>
      <w:proofErr w:type="spellStart"/>
      <w:r>
        <w:rPr>
          <w:rFonts w:ascii="Arial" w:eastAsia="Arial" w:hAnsi="Arial" w:cs="Arial"/>
          <w:color w:val="000000"/>
          <w:sz w:val="22"/>
          <w:szCs w:val="22"/>
        </w:rPr>
        <w:t>Lateinischen</w:t>
      </w:r>
      <w:proofErr w:type="spellEnd"/>
      <w:r>
        <w:rPr>
          <w:rFonts w:ascii="Arial" w:eastAsia="Arial" w:hAnsi="Arial" w:cs="Arial"/>
          <w:color w:val="000000"/>
          <w:sz w:val="22"/>
          <w:szCs w:val="22"/>
        </w:rPr>
        <w:t xml:space="preserve"> Buchstaben (allgemeine bestandsspezifische Wissensgebiete), zehn Hauptgruppen</w:t>
      </w:r>
      <w:r>
        <w:rPr>
          <w:rFonts w:ascii="Arial" w:eastAsia="Arial" w:hAnsi="Arial" w:cs="Arial"/>
          <w:color w:val="000000"/>
          <w:sz w:val="22"/>
          <w:szCs w:val="22"/>
        </w:rPr>
        <w:t xml:space="preserve"> mit Römischen Ziffern (geografische Zuordnungen) dargestellt, gefolgt von fortlaufenden Nummern, welche den Stellplatz des einzelnen Exemplars im Regal beschreiben. Entworfen wurde die Klassifikation von </w:t>
      </w:r>
      <w:r>
        <w:rPr>
          <w:rFonts w:ascii="Arial" w:eastAsia="Arial" w:hAnsi="Arial" w:cs="Arial"/>
          <w:i/>
          <w:color w:val="000000"/>
          <w:sz w:val="22"/>
          <w:szCs w:val="22"/>
        </w:rPr>
        <w:t>MISSIO</w:t>
      </w:r>
      <w:r>
        <w:rPr>
          <w:rFonts w:ascii="Arial" w:eastAsia="Arial" w:hAnsi="Arial" w:cs="Arial"/>
          <w:color w:val="000000"/>
          <w:sz w:val="22"/>
          <w:szCs w:val="22"/>
        </w:rPr>
        <w:t>. Sie wurde von der ÖFSE unverändert übernomm</w:t>
      </w:r>
      <w:r>
        <w:rPr>
          <w:rFonts w:ascii="Arial" w:eastAsia="Arial" w:hAnsi="Arial" w:cs="Arial"/>
          <w:color w:val="000000"/>
          <w:sz w:val="22"/>
          <w:szCs w:val="22"/>
        </w:rPr>
        <w:t xml:space="preserve">en und ist für </w:t>
      </w:r>
      <w:proofErr w:type="spellStart"/>
      <w:proofErr w:type="gramStart"/>
      <w:r>
        <w:rPr>
          <w:rFonts w:ascii="Arial" w:eastAsia="Arial" w:hAnsi="Arial" w:cs="Arial"/>
          <w:color w:val="000000"/>
          <w:sz w:val="22"/>
          <w:szCs w:val="22"/>
        </w:rPr>
        <w:t>Leser:innen</w:t>
      </w:r>
      <w:proofErr w:type="spellEnd"/>
      <w:proofErr w:type="gramEnd"/>
      <w:r>
        <w:rPr>
          <w:rFonts w:ascii="Arial" w:eastAsia="Arial" w:hAnsi="Arial" w:cs="Arial"/>
          <w:color w:val="000000"/>
          <w:sz w:val="22"/>
          <w:szCs w:val="22"/>
        </w:rPr>
        <w:t xml:space="preserve"> frei zugänglich an den Regalen angebracht.</w:t>
      </w:r>
    </w:p>
    <w:p w14:paraId="00000019" w14:textId="77777777" w:rsidR="006D7C42" w:rsidRDefault="006D7C42">
      <w:pPr>
        <w:pBdr>
          <w:top w:val="nil"/>
          <w:left w:val="nil"/>
          <w:bottom w:val="nil"/>
          <w:right w:val="nil"/>
          <w:between w:val="nil"/>
        </w:pBdr>
        <w:spacing w:after="140" w:line="276" w:lineRule="auto"/>
        <w:rPr>
          <w:rFonts w:ascii="Arial" w:eastAsia="Arial" w:hAnsi="Arial" w:cs="Arial"/>
          <w:color w:val="000000"/>
          <w:sz w:val="22"/>
          <w:szCs w:val="22"/>
        </w:rPr>
      </w:pPr>
    </w:p>
    <w:p w14:paraId="0000001A" w14:textId="420658BE" w:rsidR="006D7C42" w:rsidRPr="00035431" w:rsidRDefault="00FA3CF7">
      <w:pPr>
        <w:pBdr>
          <w:top w:val="nil"/>
          <w:left w:val="nil"/>
          <w:bottom w:val="nil"/>
          <w:right w:val="nil"/>
          <w:between w:val="nil"/>
        </w:pBdr>
        <w:spacing w:after="140" w:line="276" w:lineRule="auto"/>
        <w:rPr>
          <w:rFonts w:ascii="Arial" w:eastAsia="Arial" w:hAnsi="Arial" w:cs="Arial"/>
          <w:sz w:val="22"/>
          <w:szCs w:val="22"/>
        </w:rPr>
      </w:pPr>
      <w:r w:rsidRPr="00035431">
        <w:rPr>
          <w:rFonts w:ascii="Arial" w:eastAsia="Arial" w:hAnsi="Arial" w:cs="Arial"/>
          <w:sz w:val="22"/>
          <w:szCs w:val="22"/>
        </w:rPr>
        <w:t xml:space="preserve">[Bild: </w:t>
      </w:r>
      <w:r w:rsidR="00035431" w:rsidRPr="00035431">
        <w:rPr>
          <w:rFonts w:ascii="Arial" w:eastAsia="Arial" w:hAnsi="Arial" w:cs="Arial"/>
          <w:sz w:val="22"/>
          <w:szCs w:val="22"/>
        </w:rPr>
        <w:t>img</w:t>
      </w:r>
      <w:r w:rsidRPr="00035431">
        <w:rPr>
          <w:rFonts w:ascii="Arial" w:eastAsia="Arial" w:hAnsi="Arial" w:cs="Arial"/>
          <w:sz w:val="22"/>
          <w:szCs w:val="22"/>
        </w:rPr>
        <w:t>1.PNG</w:t>
      </w:r>
    </w:p>
    <w:p w14:paraId="0000001B" w14:textId="77777777" w:rsidR="006D7C42" w:rsidRPr="00035431" w:rsidRDefault="00FA3CF7">
      <w:pPr>
        <w:pBdr>
          <w:top w:val="nil"/>
          <w:left w:val="nil"/>
          <w:bottom w:val="nil"/>
          <w:right w:val="nil"/>
          <w:between w:val="nil"/>
        </w:pBdr>
        <w:spacing w:after="140" w:line="276" w:lineRule="auto"/>
        <w:rPr>
          <w:rFonts w:ascii="Arial" w:eastAsia="Arial" w:hAnsi="Arial" w:cs="Arial"/>
          <w:sz w:val="22"/>
          <w:szCs w:val="22"/>
        </w:rPr>
      </w:pPr>
      <w:r w:rsidRPr="00035431">
        <w:rPr>
          <w:rFonts w:ascii="Arial" w:eastAsia="Arial" w:hAnsi="Arial" w:cs="Arial"/>
          <w:sz w:val="22"/>
          <w:szCs w:val="22"/>
        </w:rPr>
        <w:t>Abb. 1, MISSIO-Klassifikation (</w:t>
      </w:r>
      <w:proofErr w:type="spellStart"/>
      <w:r w:rsidRPr="00035431">
        <w:rPr>
          <w:rFonts w:ascii="Arial" w:eastAsia="Arial" w:hAnsi="Arial" w:cs="Arial"/>
          <w:sz w:val="22"/>
          <w:szCs w:val="22"/>
        </w:rPr>
        <w:t>Sparber</w:t>
      </w:r>
      <w:proofErr w:type="spellEnd"/>
      <w:r w:rsidRPr="00035431">
        <w:rPr>
          <w:rFonts w:ascii="Arial" w:eastAsia="Arial" w:hAnsi="Arial" w:cs="Arial"/>
          <w:sz w:val="22"/>
          <w:szCs w:val="22"/>
        </w:rPr>
        <w:t>, 2019)]</w:t>
      </w:r>
    </w:p>
    <w:p w14:paraId="0000001C" w14:textId="77777777" w:rsidR="006D7C42" w:rsidRDefault="006D7C42">
      <w:pPr>
        <w:pBdr>
          <w:top w:val="nil"/>
          <w:left w:val="nil"/>
          <w:bottom w:val="nil"/>
          <w:right w:val="nil"/>
          <w:between w:val="nil"/>
        </w:pBdr>
        <w:spacing w:after="140" w:line="276" w:lineRule="auto"/>
        <w:rPr>
          <w:rFonts w:ascii="Arial" w:eastAsia="Arial" w:hAnsi="Arial" w:cs="Arial"/>
          <w:color w:val="000000"/>
          <w:sz w:val="22"/>
          <w:szCs w:val="22"/>
        </w:rPr>
      </w:pPr>
    </w:p>
    <w:p w14:paraId="0000001D" w14:textId="77777777" w:rsidR="006D7C42" w:rsidRDefault="00FA3CF7">
      <w:pPr>
        <w:pBdr>
          <w:top w:val="nil"/>
          <w:left w:val="nil"/>
          <w:bottom w:val="nil"/>
          <w:right w:val="nil"/>
          <w:between w:val="nil"/>
        </w:pBdr>
        <w:spacing w:after="140" w:line="276" w:lineRule="auto"/>
        <w:rPr>
          <w:rFonts w:ascii="Arial" w:eastAsia="Arial" w:hAnsi="Arial" w:cs="Arial"/>
          <w:color w:val="000000"/>
          <w:sz w:val="22"/>
          <w:szCs w:val="22"/>
        </w:rPr>
      </w:pPr>
      <w:r>
        <w:rPr>
          <w:rFonts w:ascii="Arial" w:eastAsia="Arial" w:hAnsi="Arial" w:cs="Arial"/>
          <w:color w:val="000000"/>
          <w:sz w:val="22"/>
          <w:szCs w:val="22"/>
        </w:rPr>
        <w:t>Sieht man von formalen Inkonsequenzen wie etwa der Unterbrechung in der Abfolge von allgemeinen Wissensgebieten (Buchstaben) durch geografische Einheiten (Römische Zahlen) oder der Wiederholung der Bezeichnung von Hauptgruppen in ihren Untergruppen ab, las</w:t>
      </w:r>
      <w:r>
        <w:rPr>
          <w:rFonts w:ascii="Arial" w:eastAsia="Arial" w:hAnsi="Arial" w:cs="Arial"/>
          <w:color w:val="000000"/>
          <w:sz w:val="22"/>
          <w:szCs w:val="22"/>
        </w:rPr>
        <w:t>sen sich an folgenden Stellen in der Klassifikation Dimensionen von Othering nachweisen:</w:t>
      </w:r>
    </w:p>
    <w:p w14:paraId="0000001E" w14:textId="77777777" w:rsidR="006D7C42" w:rsidRDefault="00FA3CF7">
      <w:pPr>
        <w:numPr>
          <w:ilvl w:val="0"/>
          <w:numId w:val="2"/>
        </w:numPr>
        <w:pBdr>
          <w:top w:val="nil"/>
          <w:left w:val="nil"/>
          <w:bottom w:val="nil"/>
          <w:right w:val="nil"/>
          <w:between w:val="nil"/>
        </w:pBdr>
        <w:spacing w:after="0" w:line="276" w:lineRule="auto"/>
        <w:rPr>
          <w:rFonts w:ascii="Arial" w:eastAsia="Arial" w:hAnsi="Arial" w:cs="Arial"/>
          <w:color w:val="000000"/>
          <w:sz w:val="22"/>
          <w:szCs w:val="22"/>
        </w:rPr>
      </w:pPr>
      <w:r>
        <w:rPr>
          <w:rFonts w:ascii="Arial" w:eastAsia="Arial" w:hAnsi="Arial" w:cs="Arial"/>
          <w:color w:val="000000"/>
          <w:sz w:val="22"/>
          <w:szCs w:val="22"/>
        </w:rPr>
        <w:t>Im Bereich der geografischen Hauptgruppen (I</w:t>
      </w:r>
      <w:r>
        <w:rPr>
          <w:rFonts w:ascii="Arial" w:eastAsia="Arial" w:hAnsi="Arial" w:cs="Arial"/>
          <w:sz w:val="22"/>
          <w:szCs w:val="22"/>
        </w:rPr>
        <w:t>–</w:t>
      </w:r>
      <w:r>
        <w:rPr>
          <w:rFonts w:ascii="Arial" w:eastAsia="Arial" w:hAnsi="Arial" w:cs="Arial"/>
          <w:color w:val="000000"/>
          <w:sz w:val="22"/>
          <w:szCs w:val="22"/>
        </w:rPr>
        <w:t>X) kann das Fehlen der Kategorie Europa als Normierung des Eigenen gelesen werden. Obwohl innereuropäische Missionierung h</w:t>
      </w:r>
      <w:r>
        <w:rPr>
          <w:rFonts w:ascii="Arial" w:eastAsia="Arial" w:hAnsi="Arial" w:cs="Arial"/>
          <w:color w:val="000000"/>
          <w:sz w:val="22"/>
          <w:szCs w:val="22"/>
        </w:rPr>
        <w:t xml:space="preserve">istorisch belegt ist, bleibt Europa ungenannter selbstreferentieller Bezugspunkt und die Abweichung davon konstruiert das </w:t>
      </w:r>
      <w:proofErr w:type="gramStart"/>
      <w:r>
        <w:rPr>
          <w:rFonts w:ascii="Arial" w:eastAsia="Arial" w:hAnsi="Arial" w:cs="Arial"/>
          <w:color w:val="000000"/>
          <w:sz w:val="22"/>
          <w:szCs w:val="22"/>
        </w:rPr>
        <w:t>Andere</w:t>
      </w:r>
      <w:proofErr w:type="gramEnd"/>
      <w:r>
        <w:rPr>
          <w:rFonts w:ascii="Arial" w:eastAsia="Arial" w:hAnsi="Arial" w:cs="Arial"/>
          <w:color w:val="000000"/>
          <w:sz w:val="22"/>
          <w:szCs w:val="22"/>
        </w:rPr>
        <w:t>, das es zu benennen gilt.</w:t>
      </w:r>
    </w:p>
    <w:p w14:paraId="0000001F" w14:textId="77777777" w:rsidR="006D7C42" w:rsidRDefault="00FA3CF7">
      <w:pPr>
        <w:numPr>
          <w:ilvl w:val="0"/>
          <w:numId w:val="2"/>
        </w:numPr>
        <w:pBdr>
          <w:top w:val="nil"/>
          <w:left w:val="nil"/>
          <w:bottom w:val="nil"/>
          <w:right w:val="nil"/>
          <w:between w:val="nil"/>
        </w:pBdr>
        <w:spacing w:after="0" w:line="276" w:lineRule="auto"/>
        <w:rPr>
          <w:rFonts w:ascii="Arial" w:eastAsia="Arial" w:hAnsi="Arial" w:cs="Arial"/>
          <w:color w:val="000000"/>
          <w:sz w:val="22"/>
          <w:szCs w:val="22"/>
        </w:rPr>
      </w:pPr>
      <w:r>
        <w:rPr>
          <w:rFonts w:ascii="Arial" w:eastAsia="Arial" w:hAnsi="Arial" w:cs="Arial"/>
          <w:color w:val="000000"/>
          <w:sz w:val="22"/>
          <w:szCs w:val="22"/>
        </w:rPr>
        <w:t xml:space="preserve">Innerhalb der geografischen Hauptgruppen erfolgt eine Hierarchisierung der verschiedenen Gebiete und </w:t>
      </w:r>
      <w:r>
        <w:rPr>
          <w:rFonts w:ascii="Arial" w:eastAsia="Arial" w:hAnsi="Arial" w:cs="Arial"/>
          <w:color w:val="000000"/>
          <w:sz w:val="22"/>
          <w:szCs w:val="22"/>
        </w:rPr>
        <w:t>ihrer Benennung, wenn etwa Kontinente (</w:t>
      </w:r>
      <w:r>
        <w:rPr>
          <w:rFonts w:ascii="Arial" w:eastAsia="Arial" w:hAnsi="Arial" w:cs="Arial"/>
          <w:i/>
          <w:color w:val="000000"/>
          <w:sz w:val="22"/>
          <w:szCs w:val="22"/>
        </w:rPr>
        <w:t>Afrika</w:t>
      </w:r>
      <w:r>
        <w:rPr>
          <w:rFonts w:ascii="Arial" w:eastAsia="Arial" w:hAnsi="Arial" w:cs="Arial"/>
          <w:color w:val="000000"/>
          <w:sz w:val="22"/>
          <w:szCs w:val="22"/>
        </w:rPr>
        <w:t>), Länder (</w:t>
      </w:r>
      <w:r>
        <w:rPr>
          <w:rFonts w:ascii="Arial" w:eastAsia="Arial" w:hAnsi="Arial" w:cs="Arial"/>
          <w:sz w:val="22"/>
          <w:szCs w:val="22"/>
        </w:rPr>
        <w:t>zum Beispiel</w:t>
      </w:r>
      <w:r>
        <w:rPr>
          <w:rFonts w:ascii="Arial" w:eastAsia="Arial" w:hAnsi="Arial" w:cs="Arial"/>
          <w:color w:val="000000"/>
          <w:sz w:val="22"/>
          <w:szCs w:val="22"/>
        </w:rPr>
        <w:t xml:space="preserve"> </w:t>
      </w:r>
      <w:r>
        <w:rPr>
          <w:rFonts w:ascii="Arial" w:eastAsia="Arial" w:hAnsi="Arial" w:cs="Arial"/>
          <w:i/>
          <w:color w:val="000000"/>
          <w:sz w:val="22"/>
          <w:szCs w:val="22"/>
        </w:rPr>
        <w:t>Japan</w:t>
      </w:r>
      <w:r>
        <w:rPr>
          <w:rFonts w:ascii="Arial" w:eastAsia="Arial" w:hAnsi="Arial" w:cs="Arial"/>
          <w:color w:val="000000"/>
          <w:sz w:val="22"/>
          <w:szCs w:val="22"/>
        </w:rPr>
        <w:t xml:space="preserve">, </w:t>
      </w:r>
      <w:r>
        <w:rPr>
          <w:rFonts w:ascii="Arial" w:eastAsia="Arial" w:hAnsi="Arial" w:cs="Arial"/>
          <w:i/>
          <w:color w:val="000000"/>
          <w:sz w:val="22"/>
          <w:szCs w:val="22"/>
        </w:rPr>
        <w:t>China</w:t>
      </w:r>
      <w:r>
        <w:rPr>
          <w:rFonts w:ascii="Arial" w:eastAsia="Arial" w:hAnsi="Arial" w:cs="Arial"/>
          <w:color w:val="000000"/>
          <w:sz w:val="22"/>
          <w:szCs w:val="22"/>
        </w:rPr>
        <w:t>) und regionale Bezeichnungen (</w:t>
      </w:r>
      <w:r>
        <w:rPr>
          <w:rFonts w:ascii="Arial" w:eastAsia="Arial" w:hAnsi="Arial" w:cs="Arial"/>
          <w:i/>
          <w:color w:val="000000"/>
          <w:sz w:val="22"/>
          <w:szCs w:val="22"/>
        </w:rPr>
        <w:t>Naher Osten</w:t>
      </w:r>
      <w:r>
        <w:rPr>
          <w:rFonts w:ascii="Arial" w:eastAsia="Arial" w:hAnsi="Arial" w:cs="Arial"/>
          <w:color w:val="000000"/>
          <w:sz w:val="22"/>
          <w:szCs w:val="22"/>
        </w:rPr>
        <w:t>) auf gleicher Ebene genannt werden. Dies impliziert eine Abwertung kultureller und sozialer Errungenschaften der großen geografische</w:t>
      </w:r>
      <w:r>
        <w:rPr>
          <w:rFonts w:ascii="Arial" w:eastAsia="Arial" w:hAnsi="Arial" w:cs="Arial"/>
          <w:color w:val="000000"/>
          <w:sz w:val="22"/>
          <w:szCs w:val="22"/>
        </w:rPr>
        <w:t>n Einheiten. Ihre Leistungen auf den verschiedenen Gebieten benötigen nicht mehr inhaltliche Breite und Tiefe als jene mancher Länder, die ebenfalls in den Hauptgruppen geführt werden. Dieser Umstand deckt sich auch mit den Stichproben, wo insbesondere die</w:t>
      </w:r>
      <w:r>
        <w:rPr>
          <w:rFonts w:ascii="Arial" w:eastAsia="Arial" w:hAnsi="Arial" w:cs="Arial"/>
          <w:color w:val="000000"/>
          <w:sz w:val="22"/>
          <w:szCs w:val="22"/>
        </w:rPr>
        <w:t xml:space="preserve"> sogenannten Hochkulturen Japans, Chinas und Indiens (allesamt als Hauptgruppen geführt), entsprechende Anerkennung in den Publikationen europäischer Autoren finden und somit eine weniger starke Abwertung im Vergleich zu afrikanischen Kulturen erfahren (wa</w:t>
      </w:r>
      <w:r>
        <w:rPr>
          <w:rFonts w:ascii="Arial" w:eastAsia="Arial" w:hAnsi="Arial" w:cs="Arial"/>
          <w:color w:val="000000"/>
          <w:sz w:val="22"/>
          <w:szCs w:val="22"/>
        </w:rPr>
        <w:t>s wiederum nicht bedeutet, dass dort keine rassistischen Inhalte zu finden sind). Die Gleichsetzung des Kontinents Afrika mit den genannten Ländern führt zur Konstruktion einer kulturellen und sozialen afrikanischen Gesamtheit und kollektiven Unterlegenhei</w:t>
      </w:r>
      <w:r>
        <w:rPr>
          <w:rFonts w:ascii="Arial" w:eastAsia="Arial" w:hAnsi="Arial" w:cs="Arial"/>
          <w:color w:val="000000"/>
          <w:sz w:val="22"/>
          <w:szCs w:val="22"/>
        </w:rPr>
        <w:t xml:space="preserve">t. Regionale </w:t>
      </w:r>
      <w:r>
        <w:rPr>
          <w:rFonts w:ascii="Arial" w:eastAsia="Arial" w:hAnsi="Arial" w:cs="Arial"/>
          <w:color w:val="000000"/>
          <w:sz w:val="22"/>
          <w:szCs w:val="22"/>
        </w:rPr>
        <w:lastRenderedPageBreak/>
        <w:t xml:space="preserve">Diversität wird komplett </w:t>
      </w:r>
      <w:proofErr w:type="gramStart"/>
      <w:r>
        <w:rPr>
          <w:rFonts w:ascii="Arial" w:eastAsia="Arial" w:hAnsi="Arial" w:cs="Arial"/>
          <w:color w:val="000000"/>
          <w:sz w:val="22"/>
          <w:szCs w:val="22"/>
        </w:rPr>
        <w:t>ausgeblendet</w:t>
      </w:r>
      <w:proofErr w:type="gramEnd"/>
      <w:r>
        <w:rPr>
          <w:rFonts w:ascii="Arial" w:eastAsia="Arial" w:hAnsi="Arial" w:cs="Arial"/>
          <w:color w:val="000000"/>
          <w:sz w:val="22"/>
          <w:szCs w:val="22"/>
        </w:rPr>
        <w:t xml:space="preserve"> während sie bei den in den Hauptgruppen geführten Ländern nennenswert erscheint.</w:t>
      </w:r>
    </w:p>
    <w:p w14:paraId="00000020" w14:textId="77777777" w:rsidR="006D7C42" w:rsidRDefault="00FA3CF7">
      <w:pPr>
        <w:numPr>
          <w:ilvl w:val="0"/>
          <w:numId w:val="2"/>
        </w:numPr>
        <w:pBdr>
          <w:top w:val="nil"/>
          <w:left w:val="nil"/>
          <w:bottom w:val="nil"/>
          <w:right w:val="nil"/>
          <w:between w:val="nil"/>
        </w:pBdr>
        <w:spacing w:after="0" w:line="276" w:lineRule="auto"/>
        <w:rPr>
          <w:rFonts w:ascii="Arial" w:eastAsia="Arial" w:hAnsi="Arial" w:cs="Arial"/>
          <w:color w:val="000000"/>
          <w:sz w:val="22"/>
          <w:szCs w:val="22"/>
        </w:rPr>
      </w:pPr>
      <w:r>
        <w:rPr>
          <w:rFonts w:ascii="Arial" w:eastAsia="Arial" w:hAnsi="Arial" w:cs="Arial"/>
          <w:color w:val="000000"/>
          <w:sz w:val="22"/>
          <w:szCs w:val="22"/>
        </w:rPr>
        <w:t xml:space="preserve">Eine weitere Auffälligkeit auf Ebene der Hauptgruppen bildet die Hauptgruppe </w:t>
      </w:r>
      <w:r>
        <w:rPr>
          <w:rFonts w:ascii="Arial" w:eastAsia="Arial" w:hAnsi="Arial" w:cs="Arial"/>
          <w:i/>
          <w:color w:val="000000"/>
          <w:sz w:val="22"/>
          <w:szCs w:val="22"/>
        </w:rPr>
        <w:t>Asien Allgemein</w:t>
      </w:r>
      <w:r>
        <w:rPr>
          <w:rFonts w:ascii="Arial" w:eastAsia="Arial" w:hAnsi="Arial" w:cs="Arial"/>
          <w:color w:val="000000"/>
          <w:sz w:val="22"/>
          <w:szCs w:val="22"/>
        </w:rPr>
        <w:t>; kein anderer Kontinent verfügt</w:t>
      </w:r>
      <w:r>
        <w:rPr>
          <w:rFonts w:ascii="Arial" w:eastAsia="Arial" w:hAnsi="Arial" w:cs="Arial"/>
          <w:color w:val="000000"/>
          <w:sz w:val="22"/>
          <w:szCs w:val="22"/>
        </w:rPr>
        <w:t xml:space="preserve"> über diese oder überhaupt eine zusätzliche Hauptgruppe. Asien ist in der Klassifikation mit sechs Nennungen auf erster Ebene überrepräsentiert.</w:t>
      </w:r>
    </w:p>
    <w:p w14:paraId="00000021" w14:textId="77777777" w:rsidR="006D7C42" w:rsidRDefault="00FA3CF7">
      <w:pPr>
        <w:numPr>
          <w:ilvl w:val="0"/>
          <w:numId w:val="2"/>
        </w:numPr>
        <w:pBdr>
          <w:top w:val="nil"/>
          <w:left w:val="nil"/>
          <w:bottom w:val="nil"/>
          <w:right w:val="nil"/>
          <w:between w:val="nil"/>
        </w:pBdr>
        <w:spacing w:after="0" w:line="276" w:lineRule="auto"/>
        <w:rPr>
          <w:rFonts w:ascii="Arial" w:eastAsia="Arial" w:hAnsi="Arial" w:cs="Arial"/>
          <w:color w:val="000000"/>
          <w:sz w:val="22"/>
          <w:szCs w:val="22"/>
        </w:rPr>
      </w:pPr>
      <w:r>
        <w:rPr>
          <w:rFonts w:ascii="Arial" w:eastAsia="Arial" w:hAnsi="Arial" w:cs="Arial"/>
          <w:color w:val="000000"/>
          <w:sz w:val="22"/>
          <w:szCs w:val="22"/>
        </w:rPr>
        <w:t xml:space="preserve">Unter den geografischen Hauptgruppen enthalten nur der </w:t>
      </w:r>
      <w:r>
        <w:rPr>
          <w:rFonts w:ascii="Arial" w:eastAsia="Arial" w:hAnsi="Arial" w:cs="Arial"/>
          <w:i/>
          <w:color w:val="000000"/>
          <w:sz w:val="22"/>
          <w:szCs w:val="22"/>
        </w:rPr>
        <w:t>Nahe Osten</w:t>
      </w:r>
      <w:r>
        <w:rPr>
          <w:rFonts w:ascii="Arial" w:eastAsia="Arial" w:hAnsi="Arial" w:cs="Arial"/>
          <w:color w:val="000000"/>
          <w:sz w:val="22"/>
          <w:szCs w:val="22"/>
        </w:rPr>
        <w:t xml:space="preserve">, </w:t>
      </w:r>
      <w:r>
        <w:rPr>
          <w:rFonts w:ascii="Arial" w:eastAsia="Arial" w:hAnsi="Arial" w:cs="Arial"/>
          <w:i/>
          <w:color w:val="000000"/>
          <w:sz w:val="22"/>
          <w:szCs w:val="22"/>
        </w:rPr>
        <w:t>Asien Allgemein</w:t>
      </w:r>
      <w:r>
        <w:rPr>
          <w:rFonts w:ascii="Arial" w:eastAsia="Arial" w:hAnsi="Arial" w:cs="Arial"/>
          <w:color w:val="000000"/>
          <w:sz w:val="22"/>
          <w:szCs w:val="22"/>
        </w:rPr>
        <w:t xml:space="preserve"> und </w:t>
      </w:r>
      <w:r>
        <w:rPr>
          <w:rFonts w:ascii="Arial" w:eastAsia="Arial" w:hAnsi="Arial" w:cs="Arial"/>
          <w:i/>
          <w:color w:val="000000"/>
          <w:sz w:val="22"/>
          <w:szCs w:val="22"/>
        </w:rPr>
        <w:t>Nordamerika</w:t>
      </w:r>
      <w:r>
        <w:rPr>
          <w:rFonts w:ascii="Arial" w:eastAsia="Arial" w:hAnsi="Arial" w:cs="Arial"/>
          <w:color w:val="000000"/>
          <w:sz w:val="22"/>
          <w:szCs w:val="22"/>
        </w:rPr>
        <w:t xml:space="preserve"> keine Unterg</w:t>
      </w:r>
      <w:r>
        <w:rPr>
          <w:rFonts w:ascii="Arial" w:eastAsia="Arial" w:hAnsi="Arial" w:cs="Arial"/>
          <w:color w:val="000000"/>
          <w:sz w:val="22"/>
          <w:szCs w:val="22"/>
        </w:rPr>
        <w:t>ruppen. Ausgeblendet wird somit der Umstand, dass es missionierende Kirchen etwa in den USA gibt, die ihr Hauptaugenmerk eventuell nicht auf die indigene Bevölkerung richten. Eventuell ist die Nicht-Nennung nicht nur Folge des üblicherweise ungenannten Eig</w:t>
      </w:r>
      <w:r>
        <w:rPr>
          <w:rFonts w:ascii="Arial" w:eastAsia="Arial" w:hAnsi="Arial" w:cs="Arial"/>
          <w:color w:val="000000"/>
          <w:sz w:val="22"/>
          <w:szCs w:val="22"/>
        </w:rPr>
        <w:t xml:space="preserve">enen, sondern auch auf eine geringe Medienanzahl innerhalb dieser Abteilung zurückzuführen. Der Mangel einer systematischen Anordnung von Vergleichbarem auf gleicher Ebene setzt sich auch in den Untergruppen fort. An dieser Stelle kann auch die Frage nach </w:t>
      </w:r>
      <w:r>
        <w:rPr>
          <w:rFonts w:ascii="Arial" w:eastAsia="Arial" w:hAnsi="Arial" w:cs="Arial"/>
          <w:color w:val="000000"/>
          <w:sz w:val="22"/>
          <w:szCs w:val="22"/>
        </w:rPr>
        <w:t>dem Grund nicht vorhandener Medien und somit nicht vorhandener Gruppen aufgeworfen werden. Eventuell wurde dem Thema bislang keine publizistische Aufmerksamkeit geschenkt. Oder aber, es handelt sich um einen blinden Fleck im Bestandsaufbau. Da der Buchanka</w:t>
      </w:r>
      <w:r>
        <w:rPr>
          <w:rFonts w:ascii="Arial" w:eastAsia="Arial" w:hAnsi="Arial" w:cs="Arial"/>
          <w:color w:val="000000"/>
          <w:sz w:val="22"/>
          <w:szCs w:val="22"/>
        </w:rPr>
        <w:t>uf in der Missio-Bibliothek projektbezogen erfolgte, ist es naheliegend, dass solche Auslassungen den organisationsspezifischen Schwerpunkten zugrunde liegen.</w:t>
      </w:r>
    </w:p>
    <w:p w14:paraId="00000022" w14:textId="77777777" w:rsidR="006D7C42" w:rsidRDefault="00FA3CF7">
      <w:pPr>
        <w:numPr>
          <w:ilvl w:val="0"/>
          <w:numId w:val="2"/>
        </w:numPr>
        <w:pBdr>
          <w:top w:val="nil"/>
          <w:left w:val="nil"/>
          <w:bottom w:val="nil"/>
          <w:right w:val="nil"/>
          <w:between w:val="nil"/>
        </w:pBdr>
        <w:spacing w:after="0" w:line="276" w:lineRule="auto"/>
        <w:rPr>
          <w:rFonts w:ascii="Arial" w:eastAsia="Arial" w:hAnsi="Arial" w:cs="Arial"/>
          <w:color w:val="000000"/>
          <w:sz w:val="22"/>
          <w:szCs w:val="22"/>
        </w:rPr>
      </w:pPr>
      <w:r>
        <w:rPr>
          <w:rFonts w:ascii="Arial" w:eastAsia="Arial" w:hAnsi="Arial" w:cs="Arial"/>
          <w:color w:val="000000"/>
          <w:sz w:val="22"/>
          <w:szCs w:val="22"/>
        </w:rPr>
        <w:t>Auch im Bereich der Untergruppen lassen sich Zuschreibungen ausmachen, die als Ausdruck von Other</w:t>
      </w:r>
      <w:r>
        <w:rPr>
          <w:rFonts w:ascii="Arial" w:eastAsia="Arial" w:hAnsi="Arial" w:cs="Arial"/>
          <w:color w:val="000000"/>
          <w:sz w:val="22"/>
          <w:szCs w:val="22"/>
        </w:rPr>
        <w:t xml:space="preserve">ing verstanden werden können. So weist die Untergruppe 4 der Hauptgruppe </w:t>
      </w:r>
      <w:r>
        <w:rPr>
          <w:rFonts w:ascii="Arial" w:eastAsia="Arial" w:hAnsi="Arial" w:cs="Arial"/>
          <w:i/>
          <w:color w:val="000000"/>
          <w:sz w:val="22"/>
          <w:szCs w:val="22"/>
        </w:rPr>
        <w:t xml:space="preserve">Afrika </w:t>
      </w:r>
      <w:r>
        <w:rPr>
          <w:rFonts w:ascii="Arial" w:eastAsia="Arial" w:hAnsi="Arial" w:cs="Arial"/>
          <w:color w:val="000000"/>
          <w:sz w:val="22"/>
          <w:szCs w:val="22"/>
        </w:rPr>
        <w:t xml:space="preserve">die Entitäten </w:t>
      </w:r>
      <w:r>
        <w:rPr>
          <w:rFonts w:ascii="Arial" w:eastAsia="Arial" w:hAnsi="Arial" w:cs="Arial"/>
          <w:i/>
          <w:color w:val="000000"/>
          <w:sz w:val="22"/>
          <w:szCs w:val="22"/>
        </w:rPr>
        <w:t>Politik</w:t>
      </w:r>
      <w:r>
        <w:rPr>
          <w:rFonts w:ascii="Arial" w:eastAsia="Arial" w:hAnsi="Arial" w:cs="Arial"/>
          <w:color w:val="000000"/>
          <w:sz w:val="22"/>
          <w:szCs w:val="22"/>
        </w:rPr>
        <w:t xml:space="preserve">, </w:t>
      </w:r>
      <w:r>
        <w:rPr>
          <w:rFonts w:ascii="Arial" w:eastAsia="Arial" w:hAnsi="Arial" w:cs="Arial"/>
          <w:i/>
          <w:color w:val="000000"/>
          <w:sz w:val="22"/>
          <w:szCs w:val="22"/>
        </w:rPr>
        <w:t>Wirtschaft</w:t>
      </w:r>
      <w:r>
        <w:rPr>
          <w:rFonts w:ascii="Arial" w:eastAsia="Arial" w:hAnsi="Arial" w:cs="Arial"/>
          <w:color w:val="000000"/>
          <w:sz w:val="22"/>
          <w:szCs w:val="22"/>
        </w:rPr>
        <w:t xml:space="preserve">, </w:t>
      </w:r>
      <w:r>
        <w:rPr>
          <w:rFonts w:ascii="Arial" w:eastAsia="Arial" w:hAnsi="Arial" w:cs="Arial"/>
          <w:i/>
          <w:color w:val="000000"/>
          <w:sz w:val="22"/>
          <w:szCs w:val="22"/>
        </w:rPr>
        <w:t>Soziales</w:t>
      </w:r>
      <w:r>
        <w:rPr>
          <w:rFonts w:ascii="Arial" w:eastAsia="Arial" w:hAnsi="Arial" w:cs="Arial"/>
          <w:color w:val="000000"/>
          <w:sz w:val="22"/>
          <w:szCs w:val="22"/>
        </w:rPr>
        <w:t xml:space="preserve"> und </w:t>
      </w:r>
      <w:r>
        <w:rPr>
          <w:rFonts w:ascii="Arial" w:eastAsia="Arial" w:hAnsi="Arial" w:cs="Arial"/>
          <w:i/>
          <w:color w:val="000000"/>
          <w:sz w:val="22"/>
          <w:szCs w:val="22"/>
        </w:rPr>
        <w:t>Rassismus</w:t>
      </w:r>
      <w:r>
        <w:rPr>
          <w:rFonts w:ascii="Arial" w:eastAsia="Arial" w:hAnsi="Arial" w:cs="Arial"/>
          <w:color w:val="000000"/>
          <w:sz w:val="22"/>
          <w:szCs w:val="22"/>
        </w:rPr>
        <w:t xml:space="preserve"> auf. Im Wissen, dass die Klassifikation in den 1980er Jahren angelegt worden ist, zu einem Zeitpunkt als ein Großteil </w:t>
      </w:r>
      <w:r>
        <w:rPr>
          <w:rFonts w:ascii="Arial" w:eastAsia="Arial" w:hAnsi="Arial" w:cs="Arial"/>
          <w:color w:val="000000"/>
          <w:sz w:val="22"/>
          <w:szCs w:val="22"/>
        </w:rPr>
        <w:t xml:space="preserve">der afrikanischen Länder formal ihre politische Unabhängigkeit bereits erlangt hatte, ist die Aneinanderreihung von Kategorien, die weitgehend im Bereich der afrikanischen Staaten selbst liegen, schlüssig. Diese allerdings mit </w:t>
      </w:r>
      <w:r>
        <w:rPr>
          <w:rFonts w:ascii="Arial" w:eastAsia="Arial" w:hAnsi="Arial" w:cs="Arial"/>
          <w:i/>
          <w:color w:val="000000"/>
          <w:sz w:val="22"/>
          <w:szCs w:val="22"/>
        </w:rPr>
        <w:t>Rassismus</w:t>
      </w:r>
      <w:r>
        <w:rPr>
          <w:rFonts w:ascii="Arial" w:eastAsia="Arial" w:hAnsi="Arial" w:cs="Arial"/>
          <w:color w:val="000000"/>
          <w:sz w:val="22"/>
          <w:szCs w:val="22"/>
        </w:rPr>
        <w:t xml:space="preserve"> </w:t>
      </w:r>
      <w:proofErr w:type="gramStart"/>
      <w:r>
        <w:rPr>
          <w:rFonts w:ascii="Arial" w:eastAsia="Arial" w:hAnsi="Arial" w:cs="Arial"/>
          <w:color w:val="000000"/>
          <w:sz w:val="22"/>
          <w:szCs w:val="22"/>
        </w:rPr>
        <w:t>abzuschließen</w:t>
      </w:r>
      <w:proofErr w:type="gramEnd"/>
      <w:r>
        <w:rPr>
          <w:rFonts w:ascii="Arial" w:eastAsia="Arial" w:hAnsi="Arial" w:cs="Arial"/>
          <w:color w:val="000000"/>
          <w:sz w:val="22"/>
          <w:szCs w:val="22"/>
        </w:rPr>
        <w:t xml:space="preserve"> legt </w:t>
      </w:r>
      <w:r>
        <w:rPr>
          <w:rFonts w:ascii="Arial" w:eastAsia="Arial" w:hAnsi="Arial" w:cs="Arial"/>
          <w:color w:val="000000"/>
          <w:sz w:val="22"/>
          <w:szCs w:val="22"/>
        </w:rPr>
        <w:t>nahe, dass es sich bei ihm ebenso um ein afrikanisches Phänomen handelt. Möchte man den europäischen Rassismus gegenüber afrikanischen Personen und gesamten Bevölkerungen abbilden, wäre er als Begriff einer europäischen Kategorie zuzuordnen. Wollte man die</w:t>
      </w:r>
      <w:r>
        <w:rPr>
          <w:rFonts w:ascii="Arial" w:eastAsia="Arial" w:hAnsi="Arial" w:cs="Arial"/>
          <w:color w:val="000000"/>
          <w:sz w:val="22"/>
          <w:szCs w:val="22"/>
        </w:rPr>
        <w:t xml:space="preserve"> gesamtgesellschaftlichen Auswirkungen des europäischen Rassismus in Afrika abbilden, wäre hierfür eine passende Bezeichnung wie etwa Ausbeutung, Unterdrückung oder Diskriminierung vorzuziehen. Es geht hier nicht um den </w:t>
      </w:r>
      <w:r>
        <w:rPr>
          <w:rFonts w:ascii="Arial" w:eastAsia="Arial" w:hAnsi="Arial" w:cs="Arial"/>
          <w:color w:val="000000"/>
          <w:sz w:val="22"/>
          <w:szCs w:val="22"/>
          <w:u w:val="single"/>
        </w:rPr>
        <w:t>einen</w:t>
      </w:r>
      <w:r>
        <w:rPr>
          <w:rFonts w:ascii="Arial" w:eastAsia="Arial" w:hAnsi="Arial" w:cs="Arial"/>
          <w:color w:val="000000"/>
          <w:sz w:val="22"/>
          <w:szCs w:val="22"/>
        </w:rPr>
        <w:t xml:space="preserve"> korrekten </w:t>
      </w:r>
      <w:proofErr w:type="gramStart"/>
      <w:r>
        <w:rPr>
          <w:rFonts w:ascii="Arial" w:eastAsia="Arial" w:hAnsi="Arial" w:cs="Arial"/>
          <w:color w:val="000000"/>
          <w:sz w:val="22"/>
          <w:szCs w:val="22"/>
        </w:rPr>
        <w:t>Begriff</w:t>
      </w:r>
      <w:proofErr w:type="gramEnd"/>
      <w:r>
        <w:rPr>
          <w:rFonts w:ascii="Arial" w:eastAsia="Arial" w:hAnsi="Arial" w:cs="Arial"/>
          <w:color w:val="000000"/>
          <w:sz w:val="22"/>
          <w:szCs w:val="22"/>
        </w:rPr>
        <w:t xml:space="preserve"> sondern darum, nicht den Eindruck zu vermitteln, Rassismus läge wie ein Schleier über seinen Opfern, während jene, die ihn ausüben, unsichtbar bleiben.</w:t>
      </w:r>
    </w:p>
    <w:p w14:paraId="00000023" w14:textId="77777777" w:rsidR="006D7C42" w:rsidRDefault="00FA3CF7">
      <w:pPr>
        <w:numPr>
          <w:ilvl w:val="0"/>
          <w:numId w:val="2"/>
        </w:numPr>
        <w:pBdr>
          <w:top w:val="nil"/>
          <w:left w:val="nil"/>
          <w:bottom w:val="nil"/>
          <w:right w:val="nil"/>
          <w:between w:val="nil"/>
        </w:pBdr>
        <w:spacing w:after="0" w:line="276" w:lineRule="auto"/>
        <w:rPr>
          <w:rFonts w:ascii="Arial" w:eastAsia="Arial" w:hAnsi="Arial" w:cs="Arial"/>
          <w:color w:val="000000"/>
          <w:sz w:val="22"/>
          <w:szCs w:val="22"/>
        </w:rPr>
      </w:pPr>
      <w:r>
        <w:rPr>
          <w:rFonts w:ascii="Arial" w:eastAsia="Arial" w:hAnsi="Arial" w:cs="Arial"/>
          <w:color w:val="000000"/>
          <w:sz w:val="22"/>
          <w:szCs w:val="22"/>
        </w:rPr>
        <w:t>Ein weiteres Indiz europäischer Überlegenheit, das in der Klassifikation ihren Ausdru</w:t>
      </w:r>
      <w:r>
        <w:rPr>
          <w:rFonts w:ascii="Arial" w:eastAsia="Arial" w:hAnsi="Arial" w:cs="Arial"/>
          <w:color w:val="000000"/>
          <w:sz w:val="22"/>
          <w:szCs w:val="22"/>
        </w:rPr>
        <w:t xml:space="preserve">ck findet, ist die Untergruppe E-5 mit der Bezeichnung </w:t>
      </w:r>
      <w:r>
        <w:rPr>
          <w:rFonts w:ascii="Arial" w:eastAsia="Arial" w:hAnsi="Arial" w:cs="Arial"/>
          <w:i/>
          <w:color w:val="000000"/>
          <w:sz w:val="22"/>
          <w:szCs w:val="22"/>
        </w:rPr>
        <w:t>Koloniales</w:t>
      </w:r>
      <w:r>
        <w:rPr>
          <w:rFonts w:ascii="Arial" w:eastAsia="Arial" w:hAnsi="Arial" w:cs="Arial"/>
          <w:color w:val="000000"/>
          <w:sz w:val="22"/>
          <w:szCs w:val="22"/>
        </w:rPr>
        <w:t xml:space="preserve">. Dieses Element ist umgeben von den Entitäten </w:t>
      </w:r>
      <w:r>
        <w:rPr>
          <w:rFonts w:ascii="Arial" w:eastAsia="Arial" w:hAnsi="Arial" w:cs="Arial"/>
          <w:i/>
          <w:color w:val="000000"/>
          <w:sz w:val="22"/>
          <w:szCs w:val="22"/>
        </w:rPr>
        <w:t>Entwicklungspolitik, Welthandel, Entwicklung</w:t>
      </w:r>
      <w:r>
        <w:rPr>
          <w:rFonts w:ascii="Arial" w:eastAsia="Arial" w:hAnsi="Arial" w:cs="Arial"/>
          <w:color w:val="000000"/>
          <w:sz w:val="22"/>
          <w:szCs w:val="22"/>
        </w:rPr>
        <w:t xml:space="preserve"> und </w:t>
      </w:r>
      <w:r>
        <w:rPr>
          <w:rFonts w:ascii="Arial" w:eastAsia="Arial" w:hAnsi="Arial" w:cs="Arial"/>
          <w:i/>
          <w:color w:val="000000"/>
          <w:sz w:val="22"/>
          <w:szCs w:val="22"/>
        </w:rPr>
        <w:t>Soziales</w:t>
      </w:r>
      <w:r>
        <w:rPr>
          <w:rFonts w:ascii="Arial" w:eastAsia="Arial" w:hAnsi="Arial" w:cs="Arial"/>
          <w:color w:val="000000"/>
          <w:sz w:val="22"/>
          <w:szCs w:val="22"/>
        </w:rPr>
        <w:t xml:space="preserve"> sowie </w:t>
      </w:r>
      <w:r>
        <w:rPr>
          <w:rFonts w:ascii="Arial" w:eastAsia="Arial" w:hAnsi="Arial" w:cs="Arial"/>
          <w:i/>
          <w:color w:val="000000"/>
          <w:sz w:val="22"/>
          <w:szCs w:val="22"/>
        </w:rPr>
        <w:t>Kirchliche Entwicklungshilfe</w:t>
      </w:r>
      <w:r>
        <w:rPr>
          <w:rFonts w:ascii="Arial" w:eastAsia="Arial" w:hAnsi="Arial" w:cs="Arial"/>
          <w:color w:val="000000"/>
          <w:sz w:val="22"/>
          <w:szCs w:val="22"/>
        </w:rPr>
        <w:t xml:space="preserve"> und gehört mit ihnen zur Hauptgruppe </w:t>
      </w:r>
      <w:r>
        <w:rPr>
          <w:rFonts w:ascii="Arial" w:eastAsia="Arial" w:hAnsi="Arial" w:cs="Arial"/>
          <w:i/>
          <w:color w:val="000000"/>
          <w:sz w:val="22"/>
          <w:szCs w:val="22"/>
        </w:rPr>
        <w:t>Entwicklungspo</w:t>
      </w:r>
      <w:r>
        <w:rPr>
          <w:rFonts w:ascii="Arial" w:eastAsia="Arial" w:hAnsi="Arial" w:cs="Arial"/>
          <w:i/>
          <w:color w:val="000000"/>
          <w:sz w:val="22"/>
          <w:szCs w:val="22"/>
        </w:rPr>
        <w:t>litik</w:t>
      </w:r>
      <w:r>
        <w:rPr>
          <w:rFonts w:ascii="Arial" w:eastAsia="Arial" w:hAnsi="Arial" w:cs="Arial"/>
          <w:color w:val="000000"/>
          <w:sz w:val="22"/>
          <w:szCs w:val="22"/>
        </w:rPr>
        <w:t xml:space="preserve">. Abgesehen davon, dass sich die Benennung der Hauptgruppe </w:t>
      </w:r>
      <w:r>
        <w:rPr>
          <w:rFonts w:ascii="Arial" w:eastAsia="Arial" w:hAnsi="Arial" w:cs="Arial"/>
          <w:i/>
          <w:color w:val="000000"/>
          <w:sz w:val="22"/>
          <w:szCs w:val="22"/>
        </w:rPr>
        <w:t xml:space="preserve">Entwicklungspolitik </w:t>
      </w:r>
      <w:r>
        <w:rPr>
          <w:rFonts w:ascii="Arial" w:eastAsia="Arial" w:hAnsi="Arial" w:cs="Arial"/>
          <w:color w:val="000000"/>
          <w:sz w:val="22"/>
          <w:szCs w:val="22"/>
        </w:rPr>
        <w:t xml:space="preserve">in einer Untergruppe wiederholt, erweckt die Nennung des </w:t>
      </w:r>
      <w:r>
        <w:rPr>
          <w:rFonts w:ascii="Arial" w:eastAsia="Arial" w:hAnsi="Arial" w:cs="Arial"/>
          <w:i/>
          <w:color w:val="000000"/>
          <w:sz w:val="22"/>
          <w:szCs w:val="22"/>
        </w:rPr>
        <w:t>Kolonialen</w:t>
      </w:r>
      <w:r>
        <w:rPr>
          <w:rFonts w:ascii="Arial" w:eastAsia="Arial" w:hAnsi="Arial" w:cs="Arial"/>
          <w:color w:val="000000"/>
          <w:sz w:val="22"/>
          <w:szCs w:val="22"/>
        </w:rPr>
        <w:t xml:space="preserve"> in der entsprechenden Gruppe den Eindruck als handle es sich dabei um einen Bereich der Entwicklungspoli</w:t>
      </w:r>
      <w:r>
        <w:rPr>
          <w:rFonts w:ascii="Arial" w:eastAsia="Arial" w:hAnsi="Arial" w:cs="Arial"/>
          <w:color w:val="000000"/>
          <w:sz w:val="22"/>
          <w:szCs w:val="22"/>
        </w:rPr>
        <w:t>tik.</w:t>
      </w:r>
    </w:p>
    <w:p w14:paraId="00000024" w14:textId="77777777" w:rsidR="006D7C42" w:rsidRDefault="00FA3CF7">
      <w:pPr>
        <w:numPr>
          <w:ilvl w:val="0"/>
          <w:numId w:val="2"/>
        </w:numPr>
        <w:pBdr>
          <w:top w:val="nil"/>
          <w:left w:val="nil"/>
          <w:bottom w:val="nil"/>
          <w:right w:val="nil"/>
          <w:between w:val="nil"/>
        </w:pBdr>
        <w:spacing w:after="0" w:line="276" w:lineRule="auto"/>
        <w:rPr>
          <w:rFonts w:ascii="Arial" w:eastAsia="Arial" w:hAnsi="Arial" w:cs="Arial"/>
          <w:color w:val="000000"/>
          <w:sz w:val="22"/>
          <w:szCs w:val="22"/>
        </w:rPr>
      </w:pPr>
      <w:r>
        <w:rPr>
          <w:rFonts w:ascii="Arial" w:eastAsia="Arial" w:hAnsi="Arial" w:cs="Arial"/>
          <w:color w:val="000000"/>
          <w:sz w:val="22"/>
          <w:szCs w:val="22"/>
        </w:rPr>
        <w:t xml:space="preserve">Die Hauptgruppe </w:t>
      </w:r>
      <w:r>
        <w:rPr>
          <w:rFonts w:ascii="Arial" w:eastAsia="Arial" w:hAnsi="Arial" w:cs="Arial"/>
          <w:i/>
          <w:color w:val="000000"/>
          <w:sz w:val="22"/>
          <w:szCs w:val="22"/>
        </w:rPr>
        <w:t>Lateinamerika</w:t>
      </w:r>
      <w:r>
        <w:rPr>
          <w:rFonts w:ascii="Arial" w:eastAsia="Arial" w:hAnsi="Arial" w:cs="Arial"/>
          <w:color w:val="000000"/>
          <w:sz w:val="22"/>
          <w:szCs w:val="22"/>
        </w:rPr>
        <w:t xml:space="preserve"> beinhaltet wie die der </w:t>
      </w:r>
      <w:r>
        <w:rPr>
          <w:rFonts w:ascii="Arial" w:eastAsia="Arial" w:hAnsi="Arial" w:cs="Arial"/>
          <w:i/>
          <w:color w:val="000000"/>
          <w:sz w:val="22"/>
          <w:szCs w:val="22"/>
        </w:rPr>
        <w:t>Asiatischen Länder</w:t>
      </w:r>
      <w:r>
        <w:rPr>
          <w:rFonts w:ascii="Arial" w:eastAsia="Arial" w:hAnsi="Arial" w:cs="Arial"/>
          <w:color w:val="000000"/>
          <w:sz w:val="22"/>
          <w:szCs w:val="22"/>
        </w:rPr>
        <w:t xml:space="preserve"> nur eine unvollständige Auflistung von Ländern. Zudem wird der Begriff </w:t>
      </w:r>
      <w:r>
        <w:rPr>
          <w:rFonts w:ascii="Arial" w:eastAsia="Arial" w:hAnsi="Arial" w:cs="Arial"/>
          <w:i/>
          <w:color w:val="000000"/>
          <w:sz w:val="22"/>
          <w:szCs w:val="22"/>
        </w:rPr>
        <w:t>Indianer</w:t>
      </w:r>
      <w:r>
        <w:rPr>
          <w:rFonts w:ascii="Arial" w:eastAsia="Arial" w:hAnsi="Arial" w:cs="Arial"/>
          <w:color w:val="000000"/>
          <w:sz w:val="22"/>
          <w:szCs w:val="22"/>
        </w:rPr>
        <w:t xml:space="preserve"> als koloniale Fremdbezeichnung der indigenen Bevölkerung auf zweiter Ebene der Klassifikation verwe</w:t>
      </w:r>
      <w:r>
        <w:rPr>
          <w:rFonts w:ascii="Arial" w:eastAsia="Arial" w:hAnsi="Arial" w:cs="Arial"/>
          <w:color w:val="000000"/>
          <w:sz w:val="22"/>
          <w:szCs w:val="22"/>
        </w:rPr>
        <w:t>ndet.</w:t>
      </w:r>
    </w:p>
    <w:p w14:paraId="00000025" w14:textId="77777777" w:rsidR="006D7C42" w:rsidRDefault="00FA3CF7">
      <w:pPr>
        <w:numPr>
          <w:ilvl w:val="0"/>
          <w:numId w:val="2"/>
        </w:numPr>
        <w:pBdr>
          <w:top w:val="nil"/>
          <w:left w:val="nil"/>
          <w:bottom w:val="nil"/>
          <w:right w:val="nil"/>
          <w:between w:val="nil"/>
        </w:pBdr>
        <w:spacing w:after="140" w:line="276" w:lineRule="auto"/>
        <w:rPr>
          <w:rFonts w:ascii="Arial" w:eastAsia="Arial" w:hAnsi="Arial" w:cs="Arial"/>
          <w:color w:val="000000"/>
          <w:sz w:val="22"/>
          <w:szCs w:val="22"/>
        </w:rPr>
      </w:pPr>
      <w:r>
        <w:rPr>
          <w:rFonts w:ascii="Arial" w:eastAsia="Arial" w:hAnsi="Arial" w:cs="Arial"/>
          <w:color w:val="000000"/>
          <w:sz w:val="22"/>
          <w:szCs w:val="22"/>
        </w:rPr>
        <w:t xml:space="preserve">Bezüglich der nicht geografischen Abteilungen der Klassifikation kann festgehalten werden, dass hier vor allem die </w:t>
      </w:r>
      <w:r>
        <w:rPr>
          <w:rFonts w:ascii="Arial" w:eastAsia="Arial" w:hAnsi="Arial" w:cs="Arial"/>
          <w:i/>
          <w:color w:val="000000"/>
          <w:sz w:val="22"/>
          <w:szCs w:val="22"/>
        </w:rPr>
        <w:t>Religionswissenschaft</w:t>
      </w:r>
      <w:r>
        <w:rPr>
          <w:rFonts w:ascii="Arial" w:eastAsia="Arial" w:hAnsi="Arial" w:cs="Arial"/>
          <w:color w:val="000000"/>
          <w:sz w:val="22"/>
          <w:szCs w:val="22"/>
        </w:rPr>
        <w:t xml:space="preserve"> Othering aufweist, indem die ersten vier Untergruppen </w:t>
      </w:r>
      <w:r>
        <w:rPr>
          <w:rFonts w:ascii="Arial" w:eastAsia="Arial" w:hAnsi="Arial" w:cs="Arial"/>
          <w:i/>
          <w:color w:val="000000"/>
          <w:sz w:val="22"/>
          <w:szCs w:val="22"/>
        </w:rPr>
        <w:t>Allgemein, Religionsgeschichte, Christentum und nicht-christliche Religionen sowie Christentum und Atheismus</w:t>
      </w:r>
      <w:r>
        <w:rPr>
          <w:rFonts w:ascii="Arial" w:eastAsia="Arial" w:hAnsi="Arial" w:cs="Arial"/>
          <w:color w:val="000000"/>
          <w:sz w:val="22"/>
          <w:szCs w:val="22"/>
        </w:rPr>
        <w:t xml:space="preserve"> das Christentum aufgrund der Ausdifferenzierung </w:t>
      </w:r>
      <w:r>
        <w:rPr>
          <w:rFonts w:ascii="Arial" w:eastAsia="Arial" w:hAnsi="Arial" w:cs="Arial"/>
          <w:color w:val="000000"/>
          <w:sz w:val="22"/>
          <w:szCs w:val="22"/>
        </w:rPr>
        <w:lastRenderedPageBreak/>
        <w:t>privilegiert. Ein Umstand, der angesichts der Positionierung der sammelnden Einrichtung nicht überr</w:t>
      </w:r>
      <w:r>
        <w:rPr>
          <w:rFonts w:ascii="Arial" w:eastAsia="Arial" w:hAnsi="Arial" w:cs="Arial"/>
          <w:color w:val="000000"/>
          <w:sz w:val="22"/>
          <w:szCs w:val="22"/>
        </w:rPr>
        <w:t>aschend ist.</w:t>
      </w:r>
    </w:p>
    <w:p w14:paraId="00000026" w14:textId="77777777" w:rsidR="006D7C42" w:rsidRDefault="006D7C42">
      <w:pPr>
        <w:pBdr>
          <w:top w:val="nil"/>
          <w:left w:val="nil"/>
          <w:bottom w:val="nil"/>
          <w:right w:val="nil"/>
          <w:between w:val="nil"/>
        </w:pBdr>
        <w:spacing w:after="140" w:line="276" w:lineRule="auto"/>
        <w:rPr>
          <w:rFonts w:ascii="Arial" w:eastAsia="Arial" w:hAnsi="Arial" w:cs="Arial"/>
          <w:color w:val="000000"/>
          <w:sz w:val="22"/>
          <w:szCs w:val="22"/>
        </w:rPr>
      </w:pPr>
    </w:p>
    <w:p w14:paraId="00000027" w14:textId="77777777" w:rsidR="006D7C42" w:rsidRDefault="00FA3CF7">
      <w:pPr>
        <w:pBdr>
          <w:top w:val="nil"/>
          <w:left w:val="nil"/>
          <w:bottom w:val="nil"/>
          <w:right w:val="nil"/>
          <w:between w:val="nil"/>
        </w:pBdr>
        <w:spacing w:after="140" w:line="276" w:lineRule="auto"/>
        <w:rPr>
          <w:rFonts w:ascii="Arial" w:eastAsia="Arial" w:hAnsi="Arial" w:cs="Arial"/>
          <w:b/>
          <w:color w:val="000000"/>
          <w:sz w:val="22"/>
          <w:szCs w:val="22"/>
        </w:rPr>
      </w:pPr>
      <w:r>
        <w:rPr>
          <w:rFonts w:ascii="Arial" w:eastAsia="Arial" w:hAnsi="Arial" w:cs="Arial"/>
          <w:b/>
          <w:color w:val="000000"/>
          <w:sz w:val="22"/>
          <w:szCs w:val="22"/>
        </w:rPr>
        <w:t>Die Bücher im Missio-Bestand</w:t>
      </w:r>
    </w:p>
    <w:p w14:paraId="00000028" w14:textId="77777777" w:rsidR="006D7C42" w:rsidRDefault="00FA3CF7">
      <w:pPr>
        <w:pBdr>
          <w:top w:val="nil"/>
          <w:left w:val="nil"/>
          <w:bottom w:val="nil"/>
          <w:right w:val="nil"/>
          <w:between w:val="nil"/>
        </w:pBdr>
        <w:spacing w:after="140" w:line="276" w:lineRule="auto"/>
        <w:rPr>
          <w:color w:val="000000"/>
        </w:rPr>
      </w:pPr>
      <w:r>
        <w:rPr>
          <w:rFonts w:ascii="Arial" w:eastAsia="Arial" w:hAnsi="Arial" w:cs="Arial"/>
          <w:color w:val="000000"/>
          <w:sz w:val="22"/>
          <w:szCs w:val="22"/>
        </w:rPr>
        <w:t>Im November 2009 wurden etwa 6.500 Titel</w:t>
      </w:r>
      <w:r>
        <w:rPr>
          <w:rFonts w:ascii="Arial" w:eastAsia="Arial" w:hAnsi="Arial" w:cs="Arial"/>
          <w:color w:val="000000"/>
          <w:sz w:val="22"/>
          <w:szCs w:val="22"/>
          <w:vertAlign w:val="superscript"/>
        </w:rPr>
        <w:footnoteReference w:id="23"/>
      </w:r>
      <w:r>
        <w:rPr>
          <w:rFonts w:ascii="Arial" w:eastAsia="Arial" w:hAnsi="Arial" w:cs="Arial"/>
          <w:color w:val="000000"/>
          <w:sz w:val="22"/>
          <w:szCs w:val="22"/>
        </w:rPr>
        <w:t xml:space="preserve"> der </w:t>
      </w:r>
      <w:r>
        <w:rPr>
          <w:rFonts w:ascii="Arial" w:eastAsia="Arial" w:hAnsi="Arial" w:cs="Arial"/>
          <w:i/>
          <w:color w:val="000000"/>
          <w:sz w:val="22"/>
          <w:szCs w:val="22"/>
        </w:rPr>
        <w:t>ÖFSE</w:t>
      </w:r>
      <w:r>
        <w:rPr>
          <w:rFonts w:ascii="Arial" w:eastAsia="Arial" w:hAnsi="Arial" w:cs="Arial"/>
          <w:color w:val="000000"/>
          <w:sz w:val="22"/>
          <w:szCs w:val="22"/>
        </w:rPr>
        <w:t xml:space="preserve"> als Dauerleihgabe mit der Auflage übergeben,</w:t>
      </w:r>
      <w:r>
        <w:rPr>
          <w:rFonts w:ascii="Arial" w:eastAsia="Arial" w:hAnsi="Arial" w:cs="Arial"/>
          <w:color w:val="000000"/>
          <w:sz w:val="22"/>
          <w:szCs w:val="22"/>
          <w:vertAlign w:val="superscript"/>
        </w:rPr>
        <w:footnoteReference w:id="24"/>
      </w:r>
      <w:r>
        <w:rPr>
          <w:rFonts w:ascii="Arial" w:eastAsia="Arial" w:hAnsi="Arial" w:cs="Arial"/>
          <w:color w:val="000000"/>
          <w:sz w:val="22"/>
          <w:szCs w:val="22"/>
        </w:rPr>
        <w:t xml:space="preserve"> den Bestand geschlossen aufzustellen; 2018 erfolgte dann die Schenkung des Bestands.</w:t>
      </w:r>
      <w:r>
        <w:rPr>
          <w:rFonts w:ascii="Arial" w:eastAsia="Arial" w:hAnsi="Arial" w:cs="Arial"/>
          <w:color w:val="000000"/>
          <w:sz w:val="22"/>
          <w:szCs w:val="22"/>
          <w:vertAlign w:val="superscript"/>
        </w:rPr>
        <w:footnoteReference w:id="25"/>
      </w:r>
      <w:r>
        <w:rPr>
          <w:rFonts w:ascii="Arial" w:eastAsia="Arial" w:hAnsi="Arial" w:cs="Arial"/>
          <w:color w:val="000000"/>
          <w:sz w:val="22"/>
          <w:szCs w:val="22"/>
        </w:rPr>
        <w:t xml:space="preserve"> Die Untersuchung der Klassifikation und der Medien erfolgte im Dezember 2019. Das Datenmaterial, dem die Analyse zugrunde liegt, umfasst die Wissensordnung in Form der </w:t>
      </w:r>
      <w:r>
        <w:rPr>
          <w:rFonts w:ascii="Arial" w:eastAsia="Arial" w:hAnsi="Arial" w:cs="Arial"/>
          <w:color w:val="000000"/>
          <w:sz w:val="22"/>
          <w:szCs w:val="22"/>
        </w:rPr>
        <w:t>Klassifikation, die den Bestand inhaltlichen Schwerpunkten zuordnet. Sie dient gleichzeitig als Aufstellungssystematik. Neben dem Bibliothekskatalog, in dem sämtliche Exemplare des Missio-Bestands verzeichnet sind, erhielt die Verfasserin von einem Bibliot</w:t>
      </w:r>
      <w:r>
        <w:rPr>
          <w:rFonts w:ascii="Arial" w:eastAsia="Arial" w:hAnsi="Arial" w:cs="Arial"/>
          <w:color w:val="000000"/>
          <w:sz w:val="22"/>
          <w:szCs w:val="22"/>
        </w:rPr>
        <w:t>heksmitarbeiter eine Excel-Datei mit sämtlichen Titeln aus der Sondersammlung. Die Stichproben werden aus dem ohnehin frei zugänglichen Bestand selbst gezogen.</w:t>
      </w:r>
    </w:p>
    <w:p w14:paraId="00000029" w14:textId="77777777" w:rsidR="006D7C42" w:rsidRDefault="00FA3CF7">
      <w:pPr>
        <w:pBdr>
          <w:top w:val="nil"/>
          <w:left w:val="nil"/>
          <w:bottom w:val="nil"/>
          <w:right w:val="nil"/>
          <w:between w:val="nil"/>
        </w:pBdr>
        <w:spacing w:after="140" w:line="276" w:lineRule="auto"/>
        <w:rPr>
          <w:color w:val="000000"/>
        </w:rPr>
      </w:pPr>
      <w:r>
        <w:rPr>
          <w:rFonts w:ascii="Arial" w:eastAsia="Arial" w:hAnsi="Arial" w:cs="Arial"/>
          <w:color w:val="000000"/>
          <w:sz w:val="22"/>
          <w:szCs w:val="22"/>
        </w:rPr>
        <w:t>Die Medien der Sammlung sind vorwiegend in den Sprachen Deutsch, Englisch, Französisch und Itali</w:t>
      </w:r>
      <w:r>
        <w:rPr>
          <w:rFonts w:ascii="Arial" w:eastAsia="Arial" w:hAnsi="Arial" w:cs="Arial"/>
          <w:color w:val="000000"/>
          <w:sz w:val="22"/>
          <w:szCs w:val="22"/>
        </w:rPr>
        <w:t xml:space="preserve">enisch erschienen. Das älteste Buch weist als Erscheinungsjahr 1822 auf, die jüngsten wurden 2009 publiziert. Mehr als 6.000 Bücher, also die überwiegende Mehrheit der Medien im Missio-Bestand, </w:t>
      </w:r>
      <w:r>
        <w:rPr>
          <w:rFonts w:ascii="Arial" w:eastAsia="Arial" w:hAnsi="Arial" w:cs="Arial"/>
          <w:sz w:val="22"/>
          <w:szCs w:val="22"/>
        </w:rPr>
        <w:t>sind</w:t>
      </w:r>
      <w:r>
        <w:rPr>
          <w:rFonts w:ascii="Arial" w:eastAsia="Arial" w:hAnsi="Arial" w:cs="Arial"/>
          <w:color w:val="000000"/>
          <w:sz w:val="22"/>
          <w:szCs w:val="22"/>
        </w:rPr>
        <w:t xml:space="preserve"> in der zweiten Hälfte des 20. Jahrhunderts erschienen, wo</w:t>
      </w:r>
      <w:r>
        <w:rPr>
          <w:rFonts w:ascii="Arial" w:eastAsia="Arial" w:hAnsi="Arial" w:cs="Arial"/>
          <w:color w:val="000000"/>
          <w:sz w:val="22"/>
          <w:szCs w:val="22"/>
        </w:rPr>
        <w:t>bei sich darunter auch Nachdrucke und Neuauflagen früherer Schriften befinden. Die Periode des Nationalsozialismus mit seinen spezifischen rassenideologischen und kolonialen Theorien und Bewegungen wurde nicht extra ausgewertet, da sich die historische Bes</w:t>
      </w:r>
      <w:r>
        <w:rPr>
          <w:rFonts w:ascii="Arial" w:eastAsia="Arial" w:hAnsi="Arial" w:cs="Arial"/>
          <w:color w:val="000000"/>
          <w:sz w:val="22"/>
          <w:szCs w:val="22"/>
        </w:rPr>
        <w:t xml:space="preserve">tandsanalyse auf die inhaltliche Klassifikation beschränkt. Um aber das Ausmaß an nationalsozialistischer Literatur im Bestand zu berücksichtigen, wurde der Erscheinungszeitraum sämtlicher Medien zwischen 1933 und 1945 extra ausgewiesen. Insgesamt handelt </w:t>
      </w:r>
      <w:r>
        <w:rPr>
          <w:rFonts w:ascii="Arial" w:eastAsia="Arial" w:hAnsi="Arial" w:cs="Arial"/>
          <w:color w:val="000000"/>
          <w:sz w:val="22"/>
          <w:szCs w:val="22"/>
        </w:rPr>
        <w:t xml:space="preserve">es sich dabei um 136 Bücher, wovon keines im Jahr 1945 publiziert wurde. Wie durchdrungen von rassistischen und nationalsozialistischen Ideologien scheinbar NS-ferne Bereiche waren, zeigt sich am Titel des Werks </w:t>
      </w:r>
      <w:r>
        <w:rPr>
          <w:rFonts w:ascii="Arial" w:eastAsia="Arial" w:hAnsi="Arial" w:cs="Arial"/>
          <w:i/>
          <w:color w:val="000000"/>
          <w:sz w:val="22"/>
          <w:szCs w:val="22"/>
        </w:rPr>
        <w:t>Die Missionen der deutschen Katholiken und d</w:t>
      </w:r>
      <w:r>
        <w:rPr>
          <w:rFonts w:ascii="Arial" w:eastAsia="Arial" w:hAnsi="Arial" w:cs="Arial"/>
          <w:i/>
          <w:color w:val="000000"/>
          <w:sz w:val="22"/>
          <w:szCs w:val="22"/>
        </w:rPr>
        <w:t>ie Lebensinteressen des deutschen Volkes</w:t>
      </w:r>
      <w:r>
        <w:rPr>
          <w:rFonts w:ascii="Arial" w:eastAsia="Arial" w:hAnsi="Arial" w:cs="Arial"/>
          <w:color w:val="000000"/>
          <w:sz w:val="22"/>
          <w:szCs w:val="22"/>
        </w:rPr>
        <w:t>, erschienen 1938 im Verlag der Berliner Missions-Verwaltungs-Gesellschaft. Insofern stellt der Nationalsozialismus für den Bereich des kolonialen Rassismus in historischen Bibliotheksbeständen keine unterscheidende,</w:t>
      </w:r>
      <w:r>
        <w:rPr>
          <w:rFonts w:ascii="Arial" w:eastAsia="Arial" w:hAnsi="Arial" w:cs="Arial"/>
          <w:color w:val="000000"/>
          <w:sz w:val="22"/>
          <w:szCs w:val="22"/>
        </w:rPr>
        <w:t xml:space="preserve"> sondern eine spezifizierende Kategorie dar.</w:t>
      </w:r>
    </w:p>
    <w:p w14:paraId="0000002A" w14:textId="77777777" w:rsidR="006D7C42" w:rsidRDefault="00FA3CF7">
      <w:pPr>
        <w:pBdr>
          <w:top w:val="nil"/>
          <w:left w:val="nil"/>
          <w:bottom w:val="nil"/>
          <w:right w:val="nil"/>
          <w:between w:val="nil"/>
        </w:pBdr>
        <w:spacing w:after="140" w:line="276" w:lineRule="auto"/>
        <w:rPr>
          <w:color w:val="000000"/>
          <w:sz w:val="22"/>
          <w:szCs w:val="22"/>
        </w:rPr>
      </w:pPr>
      <w:r>
        <w:rPr>
          <w:rFonts w:ascii="Arial" w:eastAsia="Arial" w:hAnsi="Arial" w:cs="Arial"/>
          <w:color w:val="000000"/>
          <w:sz w:val="22"/>
          <w:szCs w:val="22"/>
        </w:rPr>
        <w:t xml:space="preserve">Ob ein Zusammenhang zwischen Othering in verschiedenen Gruppen der Klassifikation und den darin geordneten Medien besteht, soll </w:t>
      </w:r>
      <w:proofErr w:type="gramStart"/>
      <w:r>
        <w:rPr>
          <w:rFonts w:ascii="Arial" w:eastAsia="Arial" w:hAnsi="Arial" w:cs="Arial"/>
          <w:color w:val="000000"/>
          <w:sz w:val="22"/>
          <w:szCs w:val="22"/>
        </w:rPr>
        <w:t>mittels Ziehen</w:t>
      </w:r>
      <w:proofErr w:type="gramEnd"/>
      <w:r>
        <w:rPr>
          <w:rFonts w:ascii="Arial" w:eastAsia="Arial" w:hAnsi="Arial" w:cs="Arial"/>
          <w:color w:val="000000"/>
          <w:sz w:val="22"/>
          <w:szCs w:val="22"/>
        </w:rPr>
        <w:t xml:space="preserve"> von Stichproben aus sämtlichen Hauptgruppen eruiert werden. Als Grun</w:t>
      </w:r>
      <w:r>
        <w:rPr>
          <w:rFonts w:ascii="Arial" w:eastAsia="Arial" w:hAnsi="Arial" w:cs="Arial"/>
          <w:color w:val="000000"/>
          <w:sz w:val="22"/>
          <w:szCs w:val="22"/>
        </w:rPr>
        <w:t xml:space="preserve">dgesamtheit dient der physisch vorhandene Missio-Bestand. Die Anzahl der Zufallsstichproben jeder Hauptgruppe wird im Verhältnis der Medienanzahl der Hauptgruppe zum Gesamtbestand ermittelt. Dazu wird der Prozentwert des Anteils jeder einzelnen der 19 </w:t>
      </w:r>
      <w:r>
        <w:rPr>
          <w:rFonts w:ascii="Arial" w:eastAsia="Arial" w:hAnsi="Arial" w:cs="Arial"/>
          <w:color w:val="000000"/>
          <w:sz w:val="22"/>
          <w:szCs w:val="22"/>
        </w:rPr>
        <w:lastRenderedPageBreak/>
        <w:t>Haup</w:t>
      </w:r>
      <w:r>
        <w:rPr>
          <w:rFonts w:ascii="Arial" w:eastAsia="Arial" w:hAnsi="Arial" w:cs="Arial"/>
          <w:color w:val="000000"/>
          <w:sz w:val="22"/>
          <w:szCs w:val="22"/>
        </w:rPr>
        <w:t>tgruppen an der Sondersammlung errechnet. Pro Prozentpunkt werden zwei Titel aus der entsprechenden Klasse gezogen. In Summe werden 197 Bücher als Stichproben ausgewertet.</w:t>
      </w:r>
      <w:r>
        <w:rPr>
          <w:rFonts w:ascii="Arial" w:eastAsia="Arial" w:hAnsi="Arial" w:cs="Arial"/>
          <w:color w:val="000000"/>
          <w:sz w:val="22"/>
          <w:szCs w:val="22"/>
          <w:vertAlign w:val="superscript"/>
        </w:rPr>
        <w:footnoteReference w:id="26"/>
      </w:r>
    </w:p>
    <w:p w14:paraId="0000002B" w14:textId="77777777" w:rsidR="006D7C42" w:rsidRDefault="006D7C42">
      <w:pPr>
        <w:pBdr>
          <w:top w:val="nil"/>
          <w:left w:val="nil"/>
          <w:bottom w:val="nil"/>
          <w:right w:val="nil"/>
          <w:between w:val="nil"/>
        </w:pBdr>
        <w:spacing w:after="140" w:line="276" w:lineRule="auto"/>
        <w:rPr>
          <w:rFonts w:ascii="Arial" w:eastAsia="Arial" w:hAnsi="Arial" w:cs="Arial"/>
          <w:color w:val="000000"/>
          <w:sz w:val="22"/>
          <w:szCs w:val="22"/>
        </w:rPr>
      </w:pPr>
    </w:p>
    <w:p w14:paraId="0000002C" w14:textId="2146A59B" w:rsidR="006D7C42" w:rsidRPr="00035431" w:rsidRDefault="00FA3CF7">
      <w:pPr>
        <w:pBdr>
          <w:top w:val="nil"/>
          <w:left w:val="nil"/>
          <w:bottom w:val="nil"/>
          <w:right w:val="nil"/>
          <w:between w:val="nil"/>
        </w:pBdr>
        <w:spacing w:after="140" w:line="276" w:lineRule="auto"/>
        <w:rPr>
          <w:rFonts w:ascii="Arial" w:eastAsia="Arial" w:hAnsi="Arial" w:cs="Arial"/>
          <w:sz w:val="22"/>
          <w:szCs w:val="22"/>
        </w:rPr>
      </w:pPr>
      <w:r w:rsidRPr="00035431">
        <w:rPr>
          <w:rFonts w:ascii="Arial" w:eastAsia="Arial" w:hAnsi="Arial" w:cs="Arial"/>
          <w:sz w:val="22"/>
          <w:szCs w:val="22"/>
        </w:rPr>
        <w:t xml:space="preserve">[Bild: </w:t>
      </w:r>
      <w:r w:rsidR="00035431">
        <w:rPr>
          <w:rFonts w:ascii="Arial" w:eastAsia="Arial" w:hAnsi="Arial" w:cs="Arial"/>
          <w:sz w:val="22"/>
          <w:szCs w:val="22"/>
        </w:rPr>
        <w:t>img</w:t>
      </w:r>
      <w:r w:rsidRPr="00035431">
        <w:rPr>
          <w:rFonts w:ascii="Arial" w:eastAsia="Arial" w:hAnsi="Arial" w:cs="Arial"/>
          <w:sz w:val="22"/>
          <w:szCs w:val="22"/>
        </w:rPr>
        <w:t>2.PNG</w:t>
      </w:r>
    </w:p>
    <w:p w14:paraId="0000002D" w14:textId="77777777" w:rsidR="006D7C42" w:rsidRPr="00035431" w:rsidRDefault="00FA3CF7">
      <w:pPr>
        <w:pBdr>
          <w:top w:val="nil"/>
          <w:left w:val="nil"/>
          <w:bottom w:val="nil"/>
          <w:right w:val="nil"/>
          <w:between w:val="nil"/>
        </w:pBdr>
        <w:spacing w:after="140" w:line="276" w:lineRule="auto"/>
        <w:rPr>
          <w:sz w:val="22"/>
          <w:szCs w:val="22"/>
        </w:rPr>
      </w:pPr>
      <w:r w:rsidRPr="00035431">
        <w:rPr>
          <w:rFonts w:ascii="Arial" w:eastAsia="Arial" w:hAnsi="Arial" w:cs="Arial"/>
          <w:sz w:val="22"/>
          <w:szCs w:val="22"/>
        </w:rPr>
        <w:t xml:space="preserve">Abb. 2 Sondersammlung Missio </w:t>
      </w:r>
      <w:r w:rsidRPr="00035431">
        <w:rPr>
          <w:rFonts w:ascii="Arial" w:eastAsia="Arial" w:hAnsi="Arial" w:cs="Arial"/>
          <w:sz w:val="22"/>
          <w:szCs w:val="22"/>
        </w:rPr>
        <w:t>–</w:t>
      </w:r>
      <w:r w:rsidRPr="00035431">
        <w:rPr>
          <w:rFonts w:ascii="Arial" w:eastAsia="Arial" w:hAnsi="Arial" w:cs="Arial"/>
          <w:sz w:val="22"/>
          <w:szCs w:val="22"/>
        </w:rPr>
        <w:t xml:space="preserve"> Anteil der Hauptgruppen am Gesamtbestand in Prozent (</w:t>
      </w:r>
      <w:proofErr w:type="spellStart"/>
      <w:r w:rsidRPr="00035431">
        <w:rPr>
          <w:rFonts w:ascii="Arial" w:eastAsia="Arial" w:hAnsi="Arial" w:cs="Arial"/>
          <w:sz w:val="22"/>
          <w:szCs w:val="22"/>
        </w:rPr>
        <w:t>Sparber</w:t>
      </w:r>
      <w:proofErr w:type="spellEnd"/>
      <w:r w:rsidRPr="00035431">
        <w:rPr>
          <w:rFonts w:ascii="Arial" w:eastAsia="Arial" w:hAnsi="Arial" w:cs="Arial"/>
          <w:sz w:val="22"/>
          <w:szCs w:val="22"/>
        </w:rPr>
        <w:t>, 2020)]</w:t>
      </w:r>
    </w:p>
    <w:p w14:paraId="0000002E" w14:textId="77777777" w:rsidR="006D7C42" w:rsidRDefault="006D7C42">
      <w:pPr>
        <w:pBdr>
          <w:top w:val="nil"/>
          <w:left w:val="nil"/>
          <w:bottom w:val="nil"/>
          <w:right w:val="nil"/>
          <w:between w:val="nil"/>
        </w:pBdr>
        <w:spacing w:after="140" w:line="276" w:lineRule="auto"/>
        <w:rPr>
          <w:rFonts w:ascii="Arial" w:eastAsia="Arial" w:hAnsi="Arial" w:cs="Arial"/>
          <w:color w:val="000000"/>
          <w:sz w:val="22"/>
          <w:szCs w:val="22"/>
        </w:rPr>
      </w:pPr>
    </w:p>
    <w:p w14:paraId="0000002F" w14:textId="77777777" w:rsidR="006D7C42" w:rsidRDefault="00FA3CF7">
      <w:pPr>
        <w:pBdr>
          <w:top w:val="nil"/>
          <w:left w:val="nil"/>
          <w:bottom w:val="nil"/>
          <w:right w:val="nil"/>
          <w:between w:val="nil"/>
        </w:pBdr>
        <w:spacing w:after="140" w:line="276" w:lineRule="auto"/>
        <w:rPr>
          <w:color w:val="000000"/>
        </w:rPr>
      </w:pPr>
      <w:r>
        <w:rPr>
          <w:rFonts w:ascii="Arial" w:eastAsia="Arial" w:hAnsi="Arial" w:cs="Arial"/>
          <w:color w:val="000000"/>
          <w:sz w:val="22"/>
          <w:szCs w:val="22"/>
        </w:rPr>
        <w:t xml:space="preserve">Bei der Analyse der Bücher werden sowohl bildliche Darstellungen als auch schriftliche Inhalte kolonialer Denkweisen berücksichtigt. Da keine vollständige </w:t>
      </w:r>
      <w:r>
        <w:rPr>
          <w:rFonts w:ascii="Arial" w:eastAsia="Arial" w:hAnsi="Arial" w:cs="Arial"/>
          <w:color w:val="000000"/>
          <w:sz w:val="22"/>
          <w:szCs w:val="22"/>
        </w:rPr>
        <w:t>Textanalyse durchgeführt werden kann, werden in erster Linie Titel, Inhaltsverzeichnisse und Einleitungen zur Beurteilung herangezogen. Klappentexte werden nicht berücksichtigt. In jenen Fällen, wo eine Analyse des Titels nicht möglich ist (etwa bei fehlen</w:t>
      </w:r>
      <w:r>
        <w:rPr>
          <w:rFonts w:ascii="Arial" w:eastAsia="Arial" w:hAnsi="Arial" w:cs="Arial"/>
          <w:color w:val="000000"/>
          <w:sz w:val="22"/>
          <w:szCs w:val="22"/>
        </w:rPr>
        <w:t>den Fremdsprachenkenntnissen der Autorin), wird dieser zurückgestellt und der nächstfolgende im Regal herangezogen.</w:t>
      </w:r>
      <w:r>
        <w:rPr>
          <w:rFonts w:ascii="Arial" w:eastAsia="Arial" w:hAnsi="Arial" w:cs="Arial"/>
          <w:color w:val="000000"/>
          <w:sz w:val="22"/>
          <w:szCs w:val="22"/>
          <w:vertAlign w:val="superscript"/>
        </w:rPr>
        <w:footnoteReference w:id="27"/>
      </w:r>
      <w:r>
        <w:rPr>
          <w:rFonts w:ascii="Arial" w:eastAsia="Arial" w:hAnsi="Arial" w:cs="Arial"/>
          <w:color w:val="000000"/>
          <w:sz w:val="22"/>
          <w:szCs w:val="22"/>
        </w:rPr>
        <w:t xml:space="preserve"> Ein Werk wird als positiv vermerkt, sobald an einer Stelle Othering als abwertendes Wesensmerkmal einer Einzelperson oder Gruppe erkannt w</w:t>
      </w:r>
      <w:r>
        <w:rPr>
          <w:rFonts w:ascii="Arial" w:eastAsia="Arial" w:hAnsi="Arial" w:cs="Arial"/>
          <w:color w:val="000000"/>
          <w:sz w:val="22"/>
          <w:szCs w:val="22"/>
        </w:rPr>
        <w:t>ird.</w:t>
      </w:r>
    </w:p>
    <w:p w14:paraId="00000030" w14:textId="77777777" w:rsidR="006D7C42" w:rsidRDefault="00FA3CF7">
      <w:pPr>
        <w:pBdr>
          <w:top w:val="nil"/>
          <w:left w:val="nil"/>
          <w:bottom w:val="nil"/>
          <w:right w:val="nil"/>
          <w:between w:val="nil"/>
        </w:pBdr>
        <w:spacing w:after="140" w:line="276" w:lineRule="auto"/>
        <w:rPr>
          <w:color w:val="000000"/>
          <w:sz w:val="22"/>
          <w:szCs w:val="22"/>
        </w:rPr>
      </w:pPr>
      <w:r>
        <w:rPr>
          <w:rFonts w:ascii="Arial" w:eastAsia="Arial" w:hAnsi="Arial" w:cs="Arial"/>
          <w:color w:val="000000"/>
          <w:sz w:val="22"/>
          <w:szCs w:val="22"/>
        </w:rPr>
        <w:t>Aus der Analyse lassen sich folgende Erkenntnisse ableiten:</w:t>
      </w:r>
      <w:r>
        <w:rPr>
          <w:rFonts w:ascii="Arial" w:eastAsia="Arial" w:hAnsi="Arial" w:cs="Arial"/>
          <w:color w:val="000000"/>
          <w:sz w:val="22"/>
          <w:szCs w:val="22"/>
          <w:vertAlign w:val="superscript"/>
        </w:rPr>
        <w:footnoteReference w:id="28"/>
      </w:r>
    </w:p>
    <w:p w14:paraId="00000031" w14:textId="77777777" w:rsidR="006D7C42" w:rsidRDefault="00FA3CF7">
      <w:pPr>
        <w:pBdr>
          <w:top w:val="nil"/>
          <w:left w:val="nil"/>
          <w:bottom w:val="nil"/>
          <w:right w:val="nil"/>
          <w:between w:val="nil"/>
        </w:pBdr>
        <w:spacing w:after="140" w:line="276" w:lineRule="auto"/>
        <w:rPr>
          <w:rFonts w:ascii="Arial" w:eastAsia="Arial" w:hAnsi="Arial" w:cs="Arial"/>
          <w:color w:val="000000"/>
          <w:sz w:val="22"/>
          <w:szCs w:val="22"/>
        </w:rPr>
      </w:pPr>
      <w:r>
        <w:rPr>
          <w:rFonts w:ascii="Arial" w:eastAsia="Arial" w:hAnsi="Arial" w:cs="Arial"/>
          <w:color w:val="000000"/>
          <w:sz w:val="22"/>
          <w:szCs w:val="22"/>
        </w:rPr>
        <w:t xml:space="preserve">a) Wie aufgrund der Problemlage in der Klassifikation angenommen, sind es vor allem Bücher in den geografischen Gruppen, in denen Othering nachgewiesen werden konnte. Insbesondere die Hauptgruppen </w:t>
      </w:r>
      <w:r>
        <w:rPr>
          <w:rFonts w:ascii="Arial" w:eastAsia="Arial" w:hAnsi="Arial" w:cs="Arial"/>
          <w:i/>
          <w:color w:val="000000"/>
          <w:sz w:val="22"/>
          <w:szCs w:val="22"/>
        </w:rPr>
        <w:t>Afrika</w:t>
      </w:r>
      <w:r>
        <w:rPr>
          <w:rFonts w:ascii="Arial" w:eastAsia="Arial" w:hAnsi="Arial" w:cs="Arial"/>
          <w:color w:val="000000"/>
          <w:sz w:val="22"/>
          <w:szCs w:val="22"/>
        </w:rPr>
        <w:t xml:space="preserve">, wo 41 % der Stichproben positiv auf soziale Abwertung befunden wurden, </w:t>
      </w:r>
      <w:r>
        <w:rPr>
          <w:rFonts w:ascii="Arial" w:eastAsia="Arial" w:hAnsi="Arial" w:cs="Arial"/>
          <w:i/>
          <w:color w:val="000000"/>
          <w:sz w:val="22"/>
          <w:szCs w:val="22"/>
        </w:rPr>
        <w:t>Naher Osten</w:t>
      </w:r>
      <w:r>
        <w:rPr>
          <w:rFonts w:ascii="Arial" w:eastAsia="Arial" w:hAnsi="Arial" w:cs="Arial"/>
          <w:color w:val="000000"/>
          <w:sz w:val="22"/>
          <w:szCs w:val="22"/>
        </w:rPr>
        <w:t xml:space="preserve"> mit 50 % und </w:t>
      </w:r>
      <w:r>
        <w:rPr>
          <w:rFonts w:ascii="Arial" w:eastAsia="Arial" w:hAnsi="Arial" w:cs="Arial"/>
          <w:i/>
          <w:color w:val="000000"/>
          <w:sz w:val="22"/>
          <w:szCs w:val="22"/>
        </w:rPr>
        <w:t>Lateinamerika</w:t>
      </w:r>
      <w:r>
        <w:rPr>
          <w:rFonts w:ascii="Arial" w:eastAsia="Arial" w:hAnsi="Arial" w:cs="Arial"/>
          <w:color w:val="000000"/>
          <w:sz w:val="22"/>
          <w:szCs w:val="22"/>
        </w:rPr>
        <w:t xml:space="preserve"> mit 100 % weisen entsprechende Häufungen auf. Auch wenn die Zuschreibungen an einzelne Gruppen nicht systematisch ausgewertet wurden, sind hier </w:t>
      </w:r>
      <w:r>
        <w:rPr>
          <w:rFonts w:ascii="Arial" w:eastAsia="Arial" w:hAnsi="Arial" w:cs="Arial"/>
          <w:color w:val="000000"/>
          <w:sz w:val="22"/>
          <w:szCs w:val="22"/>
        </w:rPr>
        <w:t>durchaus Unterschiede auszumachen. Während die indigene Bevölkerung Südamerikas in den Büchern der Stichprobe mehrheitlich mit paternalistischer Überheblichkeit belächelt wird,</w:t>
      </w:r>
      <w:r>
        <w:rPr>
          <w:rFonts w:ascii="Arial" w:eastAsia="Arial" w:hAnsi="Arial" w:cs="Arial"/>
          <w:color w:val="000000"/>
          <w:sz w:val="22"/>
          <w:szCs w:val="22"/>
          <w:vertAlign w:val="superscript"/>
        </w:rPr>
        <w:footnoteReference w:id="29"/>
      </w:r>
      <w:r>
        <w:rPr>
          <w:rFonts w:ascii="Arial" w:eastAsia="Arial" w:hAnsi="Arial" w:cs="Arial"/>
          <w:color w:val="000000"/>
          <w:sz w:val="22"/>
          <w:szCs w:val="22"/>
        </w:rPr>
        <w:t xml:space="preserve"> wird Personen aus Afrika aber auch aus Nordamerika das Menschsein teilweise a</w:t>
      </w:r>
      <w:r>
        <w:rPr>
          <w:rFonts w:ascii="Arial" w:eastAsia="Arial" w:hAnsi="Arial" w:cs="Arial"/>
          <w:color w:val="000000"/>
          <w:sz w:val="22"/>
          <w:szCs w:val="22"/>
        </w:rPr>
        <w:t>bgesprochen, wenn sie als unzivilisiert und wild beschrieben werden.</w:t>
      </w:r>
      <w:r>
        <w:rPr>
          <w:rFonts w:ascii="Arial" w:eastAsia="Arial" w:hAnsi="Arial" w:cs="Arial"/>
          <w:color w:val="000000"/>
          <w:sz w:val="22"/>
          <w:szCs w:val="22"/>
          <w:vertAlign w:val="superscript"/>
        </w:rPr>
        <w:footnoteReference w:id="30"/>
      </w:r>
    </w:p>
    <w:p w14:paraId="00000032" w14:textId="77777777" w:rsidR="006D7C42" w:rsidRDefault="006D7C42">
      <w:pPr>
        <w:pBdr>
          <w:top w:val="nil"/>
          <w:left w:val="nil"/>
          <w:bottom w:val="nil"/>
          <w:right w:val="nil"/>
          <w:between w:val="nil"/>
        </w:pBdr>
        <w:spacing w:after="140" w:line="276" w:lineRule="auto"/>
        <w:rPr>
          <w:rFonts w:ascii="Arial" w:eastAsia="Arial" w:hAnsi="Arial" w:cs="Arial"/>
          <w:color w:val="FF0000"/>
          <w:sz w:val="22"/>
          <w:szCs w:val="22"/>
        </w:rPr>
      </w:pPr>
    </w:p>
    <w:p w14:paraId="00000033" w14:textId="1AF7EA06" w:rsidR="006D7C42" w:rsidRPr="00035431" w:rsidRDefault="00FA3CF7">
      <w:pPr>
        <w:pBdr>
          <w:top w:val="nil"/>
          <w:left w:val="nil"/>
          <w:bottom w:val="nil"/>
          <w:right w:val="nil"/>
          <w:between w:val="nil"/>
        </w:pBdr>
        <w:spacing w:after="140" w:line="276" w:lineRule="auto"/>
        <w:rPr>
          <w:rFonts w:ascii="Arial" w:eastAsia="Arial" w:hAnsi="Arial" w:cs="Arial"/>
          <w:sz w:val="22"/>
          <w:szCs w:val="22"/>
        </w:rPr>
      </w:pPr>
      <w:r w:rsidRPr="00035431">
        <w:rPr>
          <w:rFonts w:ascii="Arial" w:eastAsia="Arial" w:hAnsi="Arial" w:cs="Arial"/>
          <w:sz w:val="22"/>
          <w:szCs w:val="22"/>
        </w:rPr>
        <w:t>[Bild:</w:t>
      </w:r>
      <w:r w:rsidR="00035431" w:rsidRPr="00035431">
        <w:rPr>
          <w:rFonts w:ascii="Arial" w:eastAsia="Arial" w:hAnsi="Arial" w:cs="Arial"/>
          <w:sz w:val="22"/>
          <w:szCs w:val="22"/>
        </w:rPr>
        <w:t xml:space="preserve"> img</w:t>
      </w:r>
      <w:r w:rsidRPr="00035431">
        <w:rPr>
          <w:rFonts w:ascii="Arial" w:eastAsia="Arial" w:hAnsi="Arial" w:cs="Arial"/>
          <w:sz w:val="22"/>
          <w:szCs w:val="22"/>
        </w:rPr>
        <w:t>3.png</w:t>
      </w:r>
    </w:p>
    <w:p w14:paraId="00000034" w14:textId="77777777" w:rsidR="006D7C42" w:rsidRPr="00035431" w:rsidRDefault="00FA3CF7">
      <w:pPr>
        <w:pBdr>
          <w:top w:val="nil"/>
          <w:left w:val="nil"/>
          <w:bottom w:val="nil"/>
          <w:right w:val="nil"/>
          <w:between w:val="nil"/>
        </w:pBdr>
        <w:spacing w:after="140" w:line="276" w:lineRule="auto"/>
        <w:rPr>
          <w:rFonts w:ascii="Arial" w:eastAsia="Arial" w:hAnsi="Arial" w:cs="Arial"/>
          <w:sz w:val="22"/>
          <w:szCs w:val="22"/>
        </w:rPr>
      </w:pPr>
      <w:r w:rsidRPr="00035431">
        <w:rPr>
          <w:rFonts w:ascii="Arial" w:eastAsia="Arial" w:hAnsi="Arial" w:cs="Arial"/>
          <w:sz w:val="22"/>
          <w:szCs w:val="22"/>
        </w:rPr>
        <w:t>Abb. 3: Othering im Missio-Bestand (</w:t>
      </w:r>
      <w:proofErr w:type="spellStart"/>
      <w:r w:rsidRPr="00035431">
        <w:rPr>
          <w:rFonts w:ascii="Arial" w:eastAsia="Arial" w:hAnsi="Arial" w:cs="Arial"/>
          <w:sz w:val="22"/>
          <w:szCs w:val="22"/>
        </w:rPr>
        <w:t>Sparber</w:t>
      </w:r>
      <w:proofErr w:type="spellEnd"/>
      <w:r w:rsidRPr="00035431">
        <w:rPr>
          <w:rFonts w:ascii="Arial" w:eastAsia="Arial" w:hAnsi="Arial" w:cs="Arial"/>
          <w:sz w:val="22"/>
          <w:szCs w:val="22"/>
        </w:rPr>
        <w:t>, 2021)]</w:t>
      </w:r>
    </w:p>
    <w:p w14:paraId="00000035" w14:textId="77777777" w:rsidR="006D7C42" w:rsidRDefault="006D7C42">
      <w:pPr>
        <w:pBdr>
          <w:top w:val="nil"/>
          <w:left w:val="nil"/>
          <w:bottom w:val="nil"/>
          <w:right w:val="nil"/>
          <w:between w:val="nil"/>
        </w:pBdr>
        <w:spacing w:after="140" w:line="276" w:lineRule="auto"/>
        <w:rPr>
          <w:rFonts w:ascii="Arial" w:eastAsia="Arial" w:hAnsi="Arial" w:cs="Arial"/>
          <w:color w:val="000000"/>
          <w:sz w:val="22"/>
          <w:szCs w:val="22"/>
        </w:rPr>
      </w:pPr>
    </w:p>
    <w:p w14:paraId="00000036" w14:textId="77777777" w:rsidR="006D7C42" w:rsidRDefault="00FA3CF7">
      <w:pPr>
        <w:pBdr>
          <w:top w:val="nil"/>
          <w:left w:val="nil"/>
          <w:bottom w:val="nil"/>
          <w:right w:val="nil"/>
          <w:between w:val="nil"/>
        </w:pBdr>
        <w:spacing w:after="140" w:line="276" w:lineRule="auto"/>
        <w:rPr>
          <w:color w:val="000000"/>
          <w:sz w:val="22"/>
          <w:szCs w:val="22"/>
        </w:rPr>
      </w:pPr>
      <w:r>
        <w:rPr>
          <w:rFonts w:ascii="Arial" w:eastAsia="Arial" w:hAnsi="Arial" w:cs="Arial"/>
          <w:color w:val="000000"/>
          <w:sz w:val="22"/>
          <w:szCs w:val="22"/>
        </w:rPr>
        <w:t xml:space="preserve">b) In der Sondersammlung Missio sind durchaus auch zahlreiche Bücher mit progressiven Inhalten zu finden. </w:t>
      </w:r>
      <w:r>
        <w:rPr>
          <w:rFonts w:ascii="Arial" w:eastAsia="Arial" w:hAnsi="Arial" w:cs="Arial"/>
          <w:color w:val="000000"/>
          <w:sz w:val="22"/>
          <w:szCs w:val="22"/>
        </w:rPr>
        <w:t xml:space="preserve">Auch solche Werke, die linke und liberale Haltungen vertreten, weisen zum Teil Formen von Othering auf. Zwei solcher Titel sind als Stichproben aus den Hauptgruppen </w:t>
      </w:r>
      <w:r>
        <w:rPr>
          <w:rFonts w:ascii="Arial" w:eastAsia="Arial" w:hAnsi="Arial" w:cs="Arial"/>
          <w:i/>
          <w:color w:val="000000"/>
          <w:sz w:val="22"/>
          <w:szCs w:val="22"/>
        </w:rPr>
        <w:t>Nordamerika</w:t>
      </w:r>
      <w:r>
        <w:rPr>
          <w:rFonts w:ascii="Arial" w:eastAsia="Arial" w:hAnsi="Arial" w:cs="Arial"/>
          <w:color w:val="000000"/>
          <w:sz w:val="22"/>
          <w:szCs w:val="22"/>
        </w:rPr>
        <w:t xml:space="preserve"> b</w:t>
      </w:r>
      <w:r>
        <w:rPr>
          <w:rFonts w:ascii="Arial" w:eastAsia="Arial" w:hAnsi="Arial" w:cs="Arial"/>
          <w:sz w:val="22"/>
          <w:szCs w:val="22"/>
        </w:rPr>
        <w:t>eziehungsweise</w:t>
      </w:r>
      <w:r>
        <w:rPr>
          <w:rFonts w:ascii="Arial" w:eastAsia="Arial" w:hAnsi="Arial" w:cs="Arial"/>
          <w:color w:val="000000"/>
          <w:sz w:val="22"/>
          <w:szCs w:val="22"/>
        </w:rPr>
        <w:t xml:space="preserve"> </w:t>
      </w:r>
      <w:r>
        <w:rPr>
          <w:rFonts w:ascii="Arial" w:eastAsia="Arial" w:hAnsi="Arial" w:cs="Arial"/>
          <w:i/>
          <w:color w:val="000000"/>
          <w:sz w:val="22"/>
          <w:szCs w:val="22"/>
        </w:rPr>
        <w:t>Lateinamerika</w:t>
      </w:r>
      <w:r>
        <w:rPr>
          <w:rFonts w:ascii="Arial" w:eastAsia="Arial" w:hAnsi="Arial" w:cs="Arial"/>
          <w:color w:val="000000"/>
          <w:sz w:val="22"/>
          <w:szCs w:val="22"/>
        </w:rPr>
        <w:t xml:space="preserve"> gezogen worden. Obwohl in beiden Büchern ein Ende der Diskriminierung von Schwarzen gefordert wird, hatte dies offensichtlich keinen Einfluss auf die Sprachverwendung der jeweiligen Autoren.</w:t>
      </w:r>
      <w:r>
        <w:rPr>
          <w:rFonts w:ascii="Arial" w:eastAsia="Arial" w:hAnsi="Arial" w:cs="Arial"/>
          <w:color w:val="000000"/>
          <w:sz w:val="22"/>
          <w:szCs w:val="22"/>
          <w:vertAlign w:val="superscript"/>
        </w:rPr>
        <w:footnoteReference w:id="31"/>
      </w:r>
    </w:p>
    <w:p w14:paraId="00000037" w14:textId="77777777" w:rsidR="006D7C42" w:rsidRDefault="00FA3CF7">
      <w:pPr>
        <w:pBdr>
          <w:top w:val="nil"/>
          <w:left w:val="nil"/>
          <w:bottom w:val="nil"/>
          <w:right w:val="nil"/>
          <w:between w:val="nil"/>
        </w:pBdr>
        <w:spacing w:after="140" w:line="276" w:lineRule="auto"/>
        <w:rPr>
          <w:color w:val="000000"/>
        </w:rPr>
      </w:pPr>
      <w:r>
        <w:rPr>
          <w:rFonts w:ascii="Arial" w:eastAsia="Arial" w:hAnsi="Arial" w:cs="Arial"/>
          <w:color w:val="000000"/>
          <w:sz w:val="22"/>
          <w:szCs w:val="22"/>
        </w:rPr>
        <w:lastRenderedPageBreak/>
        <w:t>c) Das zentrale Moment von Othering in den geografischen Kateg</w:t>
      </w:r>
      <w:r>
        <w:rPr>
          <w:rFonts w:ascii="Arial" w:eastAsia="Arial" w:hAnsi="Arial" w:cs="Arial"/>
          <w:color w:val="000000"/>
          <w:sz w:val="22"/>
          <w:szCs w:val="22"/>
        </w:rPr>
        <w:t>orien, die dem süd- und südöstlichen Asien zuzuordnen sind, besteht in der Herstellung der Dichotomie christlicher und nicht-christlicher Menschen. Obwohl die Kulturen Ost- und Südostasiens vorwiegend als hochentwickelt beschrieben werden, entziehen sie si</w:t>
      </w:r>
      <w:r>
        <w:rPr>
          <w:rFonts w:ascii="Arial" w:eastAsia="Arial" w:hAnsi="Arial" w:cs="Arial"/>
          <w:color w:val="000000"/>
          <w:sz w:val="22"/>
          <w:szCs w:val="22"/>
        </w:rPr>
        <w:t>ch einem vermeintlich europäischen Verständnis, wenn sie beispielsweise als geheimnisvoll bezeichnet werden.</w:t>
      </w:r>
      <w:r>
        <w:rPr>
          <w:rFonts w:ascii="Arial" w:eastAsia="Arial" w:hAnsi="Arial" w:cs="Arial"/>
          <w:color w:val="000000"/>
          <w:sz w:val="22"/>
          <w:szCs w:val="22"/>
          <w:vertAlign w:val="superscript"/>
        </w:rPr>
        <w:footnoteReference w:id="32"/>
      </w:r>
      <w:r>
        <w:rPr>
          <w:rFonts w:ascii="Arial" w:eastAsia="Arial" w:hAnsi="Arial" w:cs="Arial"/>
          <w:color w:val="000000"/>
          <w:sz w:val="22"/>
          <w:szCs w:val="22"/>
        </w:rPr>
        <w:t xml:space="preserve"> Des </w:t>
      </w:r>
      <w:r>
        <w:rPr>
          <w:rFonts w:ascii="Arial" w:eastAsia="Arial" w:hAnsi="Arial" w:cs="Arial"/>
          <w:sz w:val="22"/>
          <w:szCs w:val="22"/>
        </w:rPr>
        <w:t>W</w:t>
      </w:r>
      <w:r>
        <w:rPr>
          <w:rFonts w:ascii="Arial" w:eastAsia="Arial" w:hAnsi="Arial" w:cs="Arial"/>
          <w:color w:val="000000"/>
          <w:sz w:val="22"/>
          <w:szCs w:val="22"/>
        </w:rPr>
        <w:t>eiteren lässt sich bei Büchern über asiatische Länder unter kommunistischer Führung ein ausgeprägter Antikommunismus beobachten</w:t>
      </w:r>
      <w:r>
        <w:rPr>
          <w:rFonts w:ascii="Arial" w:eastAsia="Arial" w:hAnsi="Arial" w:cs="Arial"/>
          <w:sz w:val="22"/>
          <w:szCs w:val="22"/>
        </w:rPr>
        <w:t>, w</w:t>
      </w:r>
      <w:r>
        <w:rPr>
          <w:rFonts w:ascii="Arial" w:eastAsia="Arial" w:hAnsi="Arial" w:cs="Arial"/>
          <w:color w:val="000000"/>
          <w:sz w:val="22"/>
          <w:szCs w:val="22"/>
        </w:rPr>
        <w:t>eshalb nic</w:t>
      </w:r>
      <w:r>
        <w:rPr>
          <w:rFonts w:ascii="Arial" w:eastAsia="Arial" w:hAnsi="Arial" w:cs="Arial"/>
          <w:color w:val="000000"/>
          <w:sz w:val="22"/>
          <w:szCs w:val="22"/>
        </w:rPr>
        <w:t xml:space="preserve">ht auszuschließen ist, dass rassistische Elemente in diesen Fällen oft von antikommunistischen zumindest teilweise überlagert werden. Die Stichproben ergaben stark paternalistische Perspektiven </w:t>
      </w:r>
      <w:proofErr w:type="gramStart"/>
      <w:r>
        <w:rPr>
          <w:rFonts w:ascii="Arial" w:eastAsia="Arial" w:hAnsi="Arial" w:cs="Arial"/>
          <w:color w:val="000000"/>
          <w:sz w:val="22"/>
          <w:szCs w:val="22"/>
        </w:rPr>
        <w:t>auf das vermeintlich Fremde</w:t>
      </w:r>
      <w:proofErr w:type="gramEnd"/>
      <w:r>
        <w:rPr>
          <w:rFonts w:ascii="Arial" w:eastAsia="Arial" w:hAnsi="Arial" w:cs="Arial"/>
          <w:color w:val="000000"/>
          <w:sz w:val="22"/>
          <w:szCs w:val="22"/>
        </w:rPr>
        <w:t>, das es in doppelter Hinsicht zu r</w:t>
      </w:r>
      <w:r>
        <w:rPr>
          <w:rFonts w:ascii="Arial" w:eastAsia="Arial" w:hAnsi="Arial" w:cs="Arial"/>
          <w:color w:val="000000"/>
          <w:sz w:val="22"/>
          <w:szCs w:val="22"/>
        </w:rPr>
        <w:t xml:space="preserve">etten galt, nämlich einerseits vor dem Kommunismus und andererseits vor dem falschen Glauben. Wie für das gesamte Verhältnis zwischen Missionaren </w:t>
      </w:r>
      <w:r>
        <w:rPr>
          <w:rFonts w:ascii="Arial" w:eastAsia="Arial" w:hAnsi="Arial" w:cs="Arial"/>
          <w:sz w:val="22"/>
          <w:szCs w:val="22"/>
        </w:rPr>
        <w:t>beziehungsweise</w:t>
      </w:r>
      <w:r>
        <w:rPr>
          <w:rFonts w:ascii="Arial" w:eastAsia="Arial" w:hAnsi="Arial" w:cs="Arial"/>
          <w:color w:val="000000"/>
          <w:sz w:val="22"/>
          <w:szCs w:val="22"/>
        </w:rPr>
        <w:t xml:space="preserve"> Missionarinnen und zu missionierendem Subjekt </w:t>
      </w:r>
      <w:proofErr w:type="gramStart"/>
      <w:r>
        <w:rPr>
          <w:rFonts w:ascii="Arial" w:eastAsia="Arial" w:hAnsi="Arial" w:cs="Arial"/>
          <w:color w:val="000000"/>
          <w:sz w:val="22"/>
          <w:szCs w:val="22"/>
        </w:rPr>
        <w:t>wurde</w:t>
      </w:r>
      <w:proofErr w:type="gramEnd"/>
      <w:r>
        <w:rPr>
          <w:rFonts w:ascii="Arial" w:eastAsia="Arial" w:hAnsi="Arial" w:cs="Arial"/>
          <w:color w:val="000000"/>
          <w:sz w:val="22"/>
          <w:szCs w:val="22"/>
        </w:rPr>
        <w:t xml:space="preserve"> entschieden, dass Paternalismus ohne zusät</w:t>
      </w:r>
      <w:r>
        <w:rPr>
          <w:rFonts w:ascii="Arial" w:eastAsia="Arial" w:hAnsi="Arial" w:cs="Arial"/>
          <w:color w:val="000000"/>
          <w:sz w:val="22"/>
          <w:szCs w:val="22"/>
        </w:rPr>
        <w:t xml:space="preserve">zliche explizite soziale Abwertung nicht als Form von Othering gewertet wird. Das Phänomen konnte dadurch in keinem einzigen Buch der Stichprobe der Hauptgruppe </w:t>
      </w:r>
      <w:r>
        <w:rPr>
          <w:rFonts w:ascii="Arial" w:eastAsia="Arial" w:hAnsi="Arial" w:cs="Arial"/>
          <w:i/>
          <w:color w:val="000000"/>
          <w:sz w:val="22"/>
          <w:szCs w:val="22"/>
        </w:rPr>
        <w:t>China</w:t>
      </w:r>
      <w:r>
        <w:rPr>
          <w:rFonts w:ascii="Arial" w:eastAsia="Arial" w:hAnsi="Arial" w:cs="Arial"/>
          <w:color w:val="000000"/>
          <w:sz w:val="22"/>
          <w:szCs w:val="22"/>
        </w:rPr>
        <w:t xml:space="preserve"> nachgewiesen werden. Auffallend im Bereich der asiatischen Länder ist die Kategorie </w:t>
      </w:r>
      <w:r>
        <w:rPr>
          <w:rFonts w:ascii="Arial" w:eastAsia="Arial" w:hAnsi="Arial" w:cs="Arial"/>
          <w:i/>
          <w:color w:val="000000"/>
          <w:sz w:val="22"/>
          <w:szCs w:val="22"/>
        </w:rPr>
        <w:t>Japan</w:t>
      </w:r>
      <w:r>
        <w:rPr>
          <w:rFonts w:ascii="Arial" w:eastAsia="Arial" w:hAnsi="Arial" w:cs="Arial"/>
          <w:color w:val="000000"/>
          <w:sz w:val="22"/>
          <w:szCs w:val="22"/>
        </w:rPr>
        <w:t xml:space="preserve">, wo die Hälfte der überprüften Werke positiv zu bewerten war. Zurückzuführen ist dies auf Inhalte, in denen Japaner als Volk mit einem tief verwurzelten Hass auf Christen dargestellt werden, wie etwa in dem Buch mit dem vielsagenden Titel </w:t>
      </w:r>
      <w:r>
        <w:rPr>
          <w:rFonts w:ascii="Arial" w:eastAsia="Arial" w:hAnsi="Arial" w:cs="Arial"/>
          <w:i/>
          <w:color w:val="000000"/>
          <w:sz w:val="22"/>
          <w:szCs w:val="22"/>
        </w:rPr>
        <w:t>Kreuze über Naga</w:t>
      </w:r>
      <w:r>
        <w:rPr>
          <w:rFonts w:ascii="Arial" w:eastAsia="Arial" w:hAnsi="Arial" w:cs="Arial"/>
          <w:i/>
          <w:color w:val="000000"/>
          <w:sz w:val="22"/>
          <w:szCs w:val="22"/>
        </w:rPr>
        <w:t>saki</w:t>
      </w:r>
      <w:r>
        <w:rPr>
          <w:rFonts w:ascii="Arial" w:eastAsia="Arial" w:hAnsi="Arial" w:cs="Arial"/>
          <w:color w:val="000000"/>
          <w:sz w:val="22"/>
          <w:szCs w:val="22"/>
        </w:rPr>
        <w:t>.</w:t>
      </w:r>
      <w:r>
        <w:rPr>
          <w:rFonts w:ascii="Arial" w:eastAsia="Arial" w:hAnsi="Arial" w:cs="Arial"/>
          <w:color w:val="000000"/>
          <w:sz w:val="22"/>
          <w:szCs w:val="22"/>
          <w:vertAlign w:val="superscript"/>
        </w:rPr>
        <w:footnoteReference w:id="33"/>
      </w:r>
    </w:p>
    <w:p w14:paraId="00000038" w14:textId="77777777" w:rsidR="006D7C42" w:rsidRDefault="00FA3CF7">
      <w:pPr>
        <w:pBdr>
          <w:top w:val="nil"/>
          <w:left w:val="nil"/>
          <w:bottom w:val="nil"/>
          <w:right w:val="nil"/>
          <w:between w:val="nil"/>
        </w:pBdr>
        <w:spacing w:after="140" w:line="276" w:lineRule="auto"/>
        <w:rPr>
          <w:color w:val="000000"/>
        </w:rPr>
      </w:pPr>
      <w:r>
        <w:rPr>
          <w:rFonts w:ascii="Arial" w:eastAsia="Arial" w:hAnsi="Arial" w:cs="Arial"/>
          <w:color w:val="000000"/>
          <w:sz w:val="22"/>
          <w:szCs w:val="22"/>
        </w:rPr>
        <w:t xml:space="preserve">d) Jenseits der geografischen Kategorien fällt die Hauptgruppe </w:t>
      </w:r>
      <w:r>
        <w:rPr>
          <w:rFonts w:ascii="Arial" w:eastAsia="Arial" w:hAnsi="Arial" w:cs="Arial"/>
          <w:i/>
          <w:color w:val="000000"/>
          <w:sz w:val="22"/>
          <w:szCs w:val="22"/>
        </w:rPr>
        <w:t>Wissenschaft</w:t>
      </w:r>
      <w:r>
        <w:rPr>
          <w:rFonts w:ascii="Arial" w:eastAsia="Arial" w:hAnsi="Arial" w:cs="Arial"/>
          <w:color w:val="000000"/>
          <w:sz w:val="22"/>
          <w:szCs w:val="22"/>
        </w:rPr>
        <w:t xml:space="preserve"> mit 33 % problematischen Inhalten in der Stichprobe auf. In ihr finden sich rassistische Theorien in verschiedenen Ausprägungen wie etwa im Werk des nationalsozialistischen</w:t>
      </w:r>
      <w:r>
        <w:rPr>
          <w:rFonts w:ascii="Arial" w:eastAsia="Arial" w:hAnsi="Arial" w:cs="Arial"/>
          <w:color w:val="000000"/>
          <w:sz w:val="22"/>
          <w:szCs w:val="22"/>
        </w:rPr>
        <w:t xml:space="preserve"> Ethnologen Hermann Baumann</w:t>
      </w:r>
      <w:r>
        <w:rPr>
          <w:rFonts w:ascii="Arial" w:eastAsia="Arial" w:hAnsi="Arial" w:cs="Arial"/>
          <w:color w:val="000000"/>
          <w:sz w:val="22"/>
          <w:szCs w:val="22"/>
          <w:vertAlign w:val="superscript"/>
        </w:rPr>
        <w:footnoteReference w:id="34"/>
      </w:r>
      <w:r>
        <w:rPr>
          <w:rFonts w:ascii="Arial" w:eastAsia="Arial" w:hAnsi="Arial" w:cs="Arial"/>
          <w:color w:val="000000"/>
          <w:sz w:val="22"/>
          <w:szCs w:val="22"/>
        </w:rPr>
        <w:t xml:space="preserve"> oder den kolonialen Verlustängsten des ehemaligen portugiesischen Ministers für die Überseegebiete, Adriano Moreira.</w:t>
      </w:r>
      <w:r>
        <w:rPr>
          <w:rFonts w:ascii="Arial" w:eastAsia="Arial" w:hAnsi="Arial" w:cs="Arial"/>
          <w:color w:val="000000"/>
          <w:sz w:val="22"/>
          <w:szCs w:val="22"/>
          <w:vertAlign w:val="superscript"/>
        </w:rPr>
        <w:footnoteReference w:id="35"/>
      </w:r>
    </w:p>
    <w:p w14:paraId="00000039" w14:textId="77777777" w:rsidR="006D7C42" w:rsidRDefault="006D7C42">
      <w:pPr>
        <w:pBdr>
          <w:top w:val="nil"/>
          <w:left w:val="nil"/>
          <w:bottom w:val="nil"/>
          <w:right w:val="nil"/>
          <w:between w:val="nil"/>
        </w:pBdr>
        <w:spacing w:after="140" w:line="276" w:lineRule="auto"/>
        <w:rPr>
          <w:rFonts w:ascii="Arial" w:eastAsia="Arial" w:hAnsi="Arial" w:cs="Arial"/>
          <w:color w:val="000000"/>
          <w:sz w:val="22"/>
          <w:szCs w:val="22"/>
        </w:rPr>
      </w:pPr>
    </w:p>
    <w:p w14:paraId="0000003A" w14:textId="77777777" w:rsidR="006D7C42" w:rsidRDefault="00FA3CF7">
      <w:pPr>
        <w:pBdr>
          <w:top w:val="nil"/>
          <w:left w:val="nil"/>
          <w:bottom w:val="nil"/>
          <w:right w:val="nil"/>
          <w:between w:val="nil"/>
        </w:pBdr>
        <w:spacing w:after="140" w:line="276" w:lineRule="auto"/>
        <w:rPr>
          <w:b/>
          <w:color w:val="000000"/>
          <w:sz w:val="22"/>
          <w:szCs w:val="22"/>
        </w:rPr>
      </w:pPr>
      <w:r>
        <w:rPr>
          <w:rFonts w:ascii="Arial" w:eastAsia="Arial" w:hAnsi="Arial" w:cs="Arial"/>
          <w:b/>
          <w:color w:val="000000"/>
          <w:sz w:val="22"/>
          <w:szCs w:val="22"/>
        </w:rPr>
        <w:t xml:space="preserve">Missio </w:t>
      </w:r>
      <w:proofErr w:type="spellStart"/>
      <w:r>
        <w:rPr>
          <w:rFonts w:ascii="Arial" w:eastAsia="Arial" w:hAnsi="Arial" w:cs="Arial"/>
          <w:b/>
          <w:color w:val="000000"/>
          <w:sz w:val="22"/>
          <w:szCs w:val="22"/>
        </w:rPr>
        <w:t>reloaded</w:t>
      </w:r>
      <w:proofErr w:type="spellEnd"/>
    </w:p>
    <w:p w14:paraId="0000003B" w14:textId="77777777" w:rsidR="006D7C42" w:rsidRDefault="00FA3CF7">
      <w:pPr>
        <w:pBdr>
          <w:top w:val="nil"/>
          <w:left w:val="nil"/>
          <w:bottom w:val="nil"/>
          <w:right w:val="nil"/>
          <w:between w:val="nil"/>
        </w:pBdr>
        <w:spacing w:after="140" w:line="276" w:lineRule="auto"/>
        <w:rPr>
          <w:color w:val="000000"/>
        </w:rPr>
      </w:pPr>
      <w:r>
        <w:rPr>
          <w:rFonts w:ascii="Arial" w:eastAsia="Arial" w:hAnsi="Arial" w:cs="Arial"/>
          <w:color w:val="000000"/>
          <w:sz w:val="22"/>
          <w:szCs w:val="22"/>
        </w:rPr>
        <w:t>Der Frage, wo sich Othering in die Wissensorganisation der Sondersammlung Missio eingeschrieben hat, sollte mithilfe der historischen Bestandsanalyse nachgegangen werden. Sie wurde für die vorliegende Arbeit designt und beruht auf der Annahme, dass sich so</w:t>
      </w:r>
      <w:r>
        <w:rPr>
          <w:rFonts w:ascii="Arial" w:eastAsia="Arial" w:hAnsi="Arial" w:cs="Arial"/>
          <w:color w:val="000000"/>
          <w:sz w:val="22"/>
          <w:szCs w:val="22"/>
        </w:rPr>
        <w:t>ziale Abwertungen als Geisteshaltung durch unsere Praktiken vermittelt in Bibliotheksbestände einschreiben. Demnach würden wir sie in historisch vorbelasteten wissenschaftlichen Disziplinen und somit auch in unseren, über Klassifikationen organisierten, th</w:t>
      </w:r>
      <w:r>
        <w:rPr>
          <w:rFonts w:ascii="Arial" w:eastAsia="Arial" w:hAnsi="Arial" w:cs="Arial"/>
          <w:color w:val="000000"/>
          <w:sz w:val="22"/>
          <w:szCs w:val="22"/>
        </w:rPr>
        <w:t>ematischen Schwerpunkten finden, wo sie sich in einzelnen Werken manifestiert haben.</w:t>
      </w:r>
    </w:p>
    <w:p w14:paraId="0000003C" w14:textId="77777777" w:rsidR="006D7C42" w:rsidRDefault="00FA3CF7">
      <w:pPr>
        <w:pBdr>
          <w:top w:val="nil"/>
          <w:left w:val="nil"/>
          <w:bottom w:val="nil"/>
          <w:right w:val="nil"/>
          <w:between w:val="nil"/>
        </w:pBdr>
        <w:spacing w:after="140" w:line="276" w:lineRule="auto"/>
        <w:rPr>
          <w:color w:val="000000"/>
        </w:rPr>
      </w:pPr>
      <w:r>
        <w:rPr>
          <w:rFonts w:ascii="Arial" w:eastAsia="Arial" w:hAnsi="Arial" w:cs="Arial"/>
          <w:color w:val="000000"/>
          <w:sz w:val="22"/>
          <w:szCs w:val="22"/>
        </w:rPr>
        <w:t>Tatsächlich konnten mittels Stichproben auch jene Bereiche identifiziert werden, die eine hohe Anzahl an problematischen Inhalten aufweisen. Es überrascht auch nicht, dass</w:t>
      </w:r>
      <w:r>
        <w:rPr>
          <w:rFonts w:ascii="Arial" w:eastAsia="Arial" w:hAnsi="Arial" w:cs="Arial"/>
          <w:color w:val="000000"/>
          <w:sz w:val="22"/>
          <w:szCs w:val="22"/>
        </w:rPr>
        <w:t xml:space="preserve"> in jenen Sammelgebieten der Missio-Bibliothek, die sich nicht direkt mit Menschen, sondern mit religiösen Theorien, Lehren, oder Didaktik beschäftigen und die in den Hauptgruppen </w:t>
      </w:r>
      <w:r>
        <w:rPr>
          <w:rFonts w:ascii="Arial" w:eastAsia="Arial" w:hAnsi="Arial" w:cs="Arial"/>
          <w:i/>
          <w:color w:val="000000"/>
          <w:sz w:val="22"/>
          <w:szCs w:val="22"/>
        </w:rPr>
        <w:t>Allgemeine Theologie</w:t>
      </w:r>
      <w:r>
        <w:rPr>
          <w:rFonts w:ascii="Arial" w:eastAsia="Arial" w:hAnsi="Arial" w:cs="Arial"/>
          <w:color w:val="000000"/>
          <w:sz w:val="22"/>
          <w:szCs w:val="22"/>
        </w:rPr>
        <w:t xml:space="preserve">, </w:t>
      </w:r>
      <w:r>
        <w:rPr>
          <w:rFonts w:ascii="Arial" w:eastAsia="Arial" w:hAnsi="Arial" w:cs="Arial"/>
          <w:i/>
          <w:color w:val="000000"/>
          <w:sz w:val="22"/>
          <w:szCs w:val="22"/>
        </w:rPr>
        <w:t>Kirche</w:t>
      </w:r>
      <w:r>
        <w:rPr>
          <w:rFonts w:ascii="Arial" w:eastAsia="Arial" w:hAnsi="Arial" w:cs="Arial"/>
          <w:color w:val="000000"/>
          <w:sz w:val="22"/>
          <w:szCs w:val="22"/>
        </w:rPr>
        <w:t xml:space="preserve"> und </w:t>
      </w:r>
      <w:r>
        <w:rPr>
          <w:rFonts w:ascii="Arial" w:eastAsia="Arial" w:hAnsi="Arial" w:cs="Arial"/>
          <w:i/>
          <w:color w:val="000000"/>
          <w:sz w:val="22"/>
          <w:szCs w:val="22"/>
        </w:rPr>
        <w:t xml:space="preserve">Katechetik </w:t>
      </w:r>
      <w:r>
        <w:rPr>
          <w:rFonts w:ascii="Arial" w:eastAsia="Arial" w:hAnsi="Arial" w:cs="Arial"/>
          <w:color w:val="000000"/>
          <w:sz w:val="22"/>
          <w:szCs w:val="22"/>
        </w:rPr>
        <w:t>vertreten sind, kaum rassistisch</w:t>
      </w:r>
      <w:r>
        <w:rPr>
          <w:rFonts w:ascii="Arial" w:eastAsia="Arial" w:hAnsi="Arial" w:cs="Arial"/>
          <w:color w:val="000000"/>
          <w:sz w:val="22"/>
          <w:szCs w:val="22"/>
        </w:rPr>
        <w:t>e Inhalte vorzufinden sind, während die praktischen Einsatzorte der Mission, in der Klassifikation abgebildet als Regionen, Länder und Kontinente, die höchste Anzahl an Medien beinhalten, in denen Othering betrieben wird. Auch die drei wissenschaftlichen H</w:t>
      </w:r>
      <w:r>
        <w:rPr>
          <w:rFonts w:ascii="Arial" w:eastAsia="Arial" w:hAnsi="Arial" w:cs="Arial"/>
          <w:color w:val="000000"/>
          <w:sz w:val="22"/>
          <w:szCs w:val="22"/>
        </w:rPr>
        <w:t xml:space="preserve">auptgruppen </w:t>
      </w:r>
      <w:r>
        <w:rPr>
          <w:rFonts w:ascii="Arial" w:eastAsia="Arial" w:hAnsi="Arial" w:cs="Arial"/>
          <w:i/>
          <w:color w:val="000000"/>
          <w:sz w:val="22"/>
          <w:szCs w:val="22"/>
        </w:rPr>
        <w:t>Religionswissenschaft</w:t>
      </w:r>
      <w:r>
        <w:rPr>
          <w:rFonts w:ascii="Arial" w:eastAsia="Arial" w:hAnsi="Arial" w:cs="Arial"/>
          <w:color w:val="000000"/>
          <w:sz w:val="22"/>
          <w:szCs w:val="22"/>
        </w:rPr>
        <w:t xml:space="preserve">, </w:t>
      </w:r>
      <w:r>
        <w:rPr>
          <w:rFonts w:ascii="Arial" w:eastAsia="Arial" w:hAnsi="Arial" w:cs="Arial"/>
          <w:i/>
          <w:color w:val="000000"/>
          <w:sz w:val="22"/>
          <w:szCs w:val="22"/>
        </w:rPr>
        <w:t>Wissenschaft</w:t>
      </w:r>
      <w:r>
        <w:rPr>
          <w:rFonts w:ascii="Arial" w:eastAsia="Arial" w:hAnsi="Arial" w:cs="Arial"/>
          <w:color w:val="000000"/>
          <w:sz w:val="22"/>
          <w:szCs w:val="22"/>
        </w:rPr>
        <w:t xml:space="preserve"> und </w:t>
      </w:r>
      <w:r>
        <w:rPr>
          <w:rFonts w:ascii="Arial" w:eastAsia="Arial" w:hAnsi="Arial" w:cs="Arial"/>
          <w:i/>
          <w:color w:val="000000"/>
          <w:sz w:val="22"/>
          <w:szCs w:val="22"/>
        </w:rPr>
        <w:t>Missionswissenschaft</w:t>
      </w:r>
      <w:r>
        <w:rPr>
          <w:rFonts w:ascii="Arial" w:eastAsia="Arial" w:hAnsi="Arial" w:cs="Arial"/>
          <w:color w:val="000000"/>
          <w:sz w:val="22"/>
          <w:szCs w:val="22"/>
        </w:rPr>
        <w:t xml:space="preserve"> weisen mit durchschnittlich mehr als 15 % einen nicht unwesentlichen Anteil solcher Inhalte auf.</w:t>
      </w:r>
    </w:p>
    <w:p w14:paraId="0000003D" w14:textId="77777777" w:rsidR="006D7C42" w:rsidRDefault="00FA3CF7">
      <w:pPr>
        <w:pBdr>
          <w:top w:val="nil"/>
          <w:left w:val="nil"/>
          <w:bottom w:val="nil"/>
          <w:right w:val="nil"/>
          <w:between w:val="nil"/>
        </w:pBdr>
        <w:spacing w:after="140" w:line="276" w:lineRule="auto"/>
        <w:rPr>
          <w:color w:val="000000"/>
        </w:rPr>
      </w:pPr>
      <w:r>
        <w:rPr>
          <w:rFonts w:ascii="Arial" w:eastAsia="Arial" w:hAnsi="Arial" w:cs="Arial"/>
          <w:color w:val="000000"/>
          <w:sz w:val="22"/>
          <w:szCs w:val="22"/>
        </w:rPr>
        <w:lastRenderedPageBreak/>
        <w:t>In der praktischen Umsetzung stieß die Methode jedoch bei erzählenden Inhalten an ihre</w:t>
      </w:r>
      <w:r>
        <w:rPr>
          <w:rFonts w:ascii="Arial" w:eastAsia="Arial" w:hAnsi="Arial" w:cs="Arial"/>
          <w:color w:val="000000"/>
          <w:sz w:val="22"/>
          <w:szCs w:val="22"/>
        </w:rPr>
        <w:t xml:space="preserve"> Grenzen. Othering taucht hier meist im Kontext des Handlungsverlaufs auf und ist in einem Schnellverfahren kaum feststellbar. So konnte die Hauptgruppe </w:t>
      </w:r>
      <w:proofErr w:type="gramStart"/>
      <w:r>
        <w:rPr>
          <w:rFonts w:ascii="Arial" w:eastAsia="Arial" w:hAnsi="Arial" w:cs="Arial"/>
          <w:i/>
          <w:color w:val="000000"/>
          <w:sz w:val="22"/>
          <w:szCs w:val="22"/>
        </w:rPr>
        <w:t>Biografie</w:t>
      </w:r>
      <w:r>
        <w:rPr>
          <w:rFonts w:ascii="Arial" w:eastAsia="Arial" w:hAnsi="Arial" w:cs="Arial"/>
          <w:color w:val="000000"/>
          <w:sz w:val="22"/>
          <w:szCs w:val="22"/>
        </w:rPr>
        <w:t xml:space="preserve"> überhaupt</w:t>
      </w:r>
      <w:proofErr w:type="gramEnd"/>
      <w:r>
        <w:rPr>
          <w:rFonts w:ascii="Arial" w:eastAsia="Arial" w:hAnsi="Arial" w:cs="Arial"/>
          <w:color w:val="000000"/>
          <w:sz w:val="22"/>
          <w:szCs w:val="22"/>
        </w:rPr>
        <w:t xml:space="preserve"> nicht ausgewertet werden. In der </w:t>
      </w:r>
      <w:r>
        <w:rPr>
          <w:rFonts w:ascii="Arial" w:eastAsia="Arial" w:hAnsi="Arial" w:cs="Arial"/>
          <w:i/>
          <w:color w:val="000000"/>
          <w:sz w:val="22"/>
          <w:szCs w:val="22"/>
        </w:rPr>
        <w:t xml:space="preserve">Kinder- und Jugendliteratur </w:t>
      </w:r>
      <w:r>
        <w:rPr>
          <w:rFonts w:ascii="Arial" w:eastAsia="Arial" w:hAnsi="Arial" w:cs="Arial"/>
          <w:color w:val="000000"/>
          <w:sz w:val="22"/>
          <w:szCs w:val="22"/>
        </w:rPr>
        <w:t>wurden bei 20 % der St</w:t>
      </w:r>
      <w:r>
        <w:rPr>
          <w:rFonts w:ascii="Arial" w:eastAsia="Arial" w:hAnsi="Arial" w:cs="Arial"/>
          <w:color w:val="000000"/>
          <w:sz w:val="22"/>
          <w:szCs w:val="22"/>
        </w:rPr>
        <w:t>ichproben Dimensionen von sozialer Abwertung festgestellt. Bei gründlicher Analyse könnte die Zahl hier jedoch höher sein.</w:t>
      </w:r>
    </w:p>
    <w:p w14:paraId="0000003E" w14:textId="77777777" w:rsidR="006D7C42" w:rsidRDefault="00FA3CF7">
      <w:pPr>
        <w:pBdr>
          <w:top w:val="nil"/>
          <w:left w:val="nil"/>
          <w:bottom w:val="nil"/>
          <w:right w:val="nil"/>
          <w:between w:val="nil"/>
        </w:pBdr>
        <w:spacing w:after="140" w:line="276" w:lineRule="auto"/>
        <w:rPr>
          <w:color w:val="000000"/>
        </w:rPr>
      </w:pPr>
      <w:r>
        <w:rPr>
          <w:rFonts w:ascii="Arial" w:eastAsia="Arial" w:hAnsi="Arial" w:cs="Arial"/>
          <w:color w:val="000000"/>
          <w:sz w:val="22"/>
          <w:szCs w:val="22"/>
        </w:rPr>
        <w:t>Auf eine weitere Schwierigkeit wurde bereits hingewiesen, nämlich, dass der Missionsgedanke selbst soziale Zuschreibungen konstruiert</w:t>
      </w:r>
      <w:r>
        <w:rPr>
          <w:rFonts w:ascii="Arial" w:eastAsia="Arial" w:hAnsi="Arial" w:cs="Arial"/>
          <w:color w:val="000000"/>
          <w:sz w:val="22"/>
          <w:szCs w:val="22"/>
        </w:rPr>
        <w:t>, die sich in den Kategorien Gläubige und Nicht- oder Andersgläubige abbilden. Während der Analyse war es notwendig, diese Unterscheidungen weitgehend unberücksichtigt zu lassen, um zuverlässige Ergebnisse zu erzielen. Festgehalten wird auch, dass der Gesa</w:t>
      </w:r>
      <w:r>
        <w:rPr>
          <w:rFonts w:ascii="Arial" w:eastAsia="Arial" w:hAnsi="Arial" w:cs="Arial"/>
          <w:color w:val="000000"/>
          <w:sz w:val="22"/>
          <w:szCs w:val="22"/>
        </w:rPr>
        <w:t>mtbestand zwar viele problematische Inhalte aufweist, gleichzeitig aber auch eine Vielzahl an Werken beinhaltet, in denen rassistischen Ideologien vehement widersprochen wird.</w:t>
      </w:r>
    </w:p>
    <w:p w14:paraId="0000003F" w14:textId="77777777" w:rsidR="006D7C42" w:rsidRDefault="00FA3CF7">
      <w:pPr>
        <w:pBdr>
          <w:top w:val="nil"/>
          <w:left w:val="nil"/>
          <w:bottom w:val="nil"/>
          <w:right w:val="nil"/>
          <w:between w:val="nil"/>
        </w:pBdr>
        <w:spacing w:after="140" w:line="276" w:lineRule="auto"/>
        <w:rPr>
          <w:color w:val="000000"/>
        </w:rPr>
      </w:pPr>
      <w:r>
        <w:rPr>
          <w:rFonts w:ascii="Arial" w:eastAsia="Arial" w:hAnsi="Arial" w:cs="Arial"/>
          <w:color w:val="000000"/>
          <w:sz w:val="22"/>
          <w:szCs w:val="22"/>
        </w:rPr>
        <w:t>Ziel war es, mit der Analyse eine Methode zu entwickeln, mit der in einem verein</w:t>
      </w:r>
      <w:r>
        <w:rPr>
          <w:rFonts w:ascii="Arial" w:eastAsia="Arial" w:hAnsi="Arial" w:cs="Arial"/>
          <w:color w:val="000000"/>
          <w:sz w:val="22"/>
          <w:szCs w:val="22"/>
        </w:rPr>
        <w:t>fachten Verfahren rassistische Abwertungen in problematischen Beständen aufzudecken sind. Auch wenn diese historische Bestandsanalyse den angeführten Grenzen unterworfen ist, so dürfte sie sich als Instrument zur Untersuchung kleinerer und mittlerer Biblio</w:t>
      </w:r>
      <w:r>
        <w:rPr>
          <w:rFonts w:ascii="Arial" w:eastAsia="Arial" w:hAnsi="Arial" w:cs="Arial"/>
          <w:color w:val="000000"/>
          <w:sz w:val="22"/>
          <w:szCs w:val="22"/>
        </w:rPr>
        <w:t>the</w:t>
      </w:r>
      <w:r>
        <w:rPr>
          <w:rFonts w:ascii="Arial" w:eastAsia="Arial" w:hAnsi="Arial" w:cs="Arial"/>
          <w:sz w:val="22"/>
          <w:szCs w:val="22"/>
        </w:rPr>
        <w:t>ksb</w:t>
      </w:r>
      <w:r>
        <w:rPr>
          <w:rFonts w:ascii="Arial" w:eastAsia="Arial" w:hAnsi="Arial" w:cs="Arial"/>
          <w:color w:val="000000"/>
          <w:sz w:val="22"/>
          <w:szCs w:val="22"/>
        </w:rPr>
        <w:t>estände, insbesondere solchen mit eigener Klassifikation, eignen. Als Vorgehensweise empfehle ich ein dreistufiges Verfahren:</w:t>
      </w:r>
    </w:p>
    <w:p w14:paraId="00000040" w14:textId="77777777" w:rsidR="006D7C42" w:rsidRDefault="00FA3CF7">
      <w:pPr>
        <w:numPr>
          <w:ilvl w:val="0"/>
          <w:numId w:val="1"/>
        </w:numPr>
        <w:pBdr>
          <w:top w:val="nil"/>
          <w:left w:val="nil"/>
          <w:bottom w:val="nil"/>
          <w:right w:val="nil"/>
          <w:between w:val="nil"/>
        </w:pBdr>
        <w:spacing w:after="0" w:line="276" w:lineRule="auto"/>
        <w:rPr>
          <w:rFonts w:ascii="Arial" w:eastAsia="Arial" w:hAnsi="Arial" w:cs="Arial"/>
          <w:color w:val="000000"/>
          <w:sz w:val="22"/>
          <w:szCs w:val="22"/>
        </w:rPr>
      </w:pPr>
      <w:r>
        <w:rPr>
          <w:rFonts w:ascii="Arial" w:eastAsia="Arial" w:hAnsi="Arial" w:cs="Arial"/>
          <w:color w:val="000000"/>
          <w:sz w:val="22"/>
          <w:szCs w:val="22"/>
        </w:rPr>
        <w:t>Wissenschaftliche Kontextualisierung der inhaltlichen Schwerpunkte der Sammlung, um belastete Fachgebiete auszumachen.</w:t>
      </w:r>
    </w:p>
    <w:p w14:paraId="00000041" w14:textId="77777777" w:rsidR="006D7C42" w:rsidRDefault="00FA3CF7">
      <w:pPr>
        <w:numPr>
          <w:ilvl w:val="0"/>
          <w:numId w:val="1"/>
        </w:numPr>
        <w:pBdr>
          <w:top w:val="nil"/>
          <w:left w:val="nil"/>
          <w:bottom w:val="nil"/>
          <w:right w:val="nil"/>
          <w:between w:val="nil"/>
        </w:pBdr>
        <w:spacing w:after="0" w:line="276" w:lineRule="auto"/>
        <w:rPr>
          <w:rFonts w:ascii="Arial" w:eastAsia="Arial" w:hAnsi="Arial" w:cs="Arial"/>
          <w:color w:val="000000"/>
          <w:sz w:val="22"/>
          <w:szCs w:val="22"/>
        </w:rPr>
      </w:pPr>
      <w:r>
        <w:rPr>
          <w:rFonts w:ascii="Arial" w:eastAsia="Arial" w:hAnsi="Arial" w:cs="Arial"/>
          <w:color w:val="000000"/>
          <w:sz w:val="22"/>
          <w:szCs w:val="22"/>
        </w:rPr>
        <w:t>Analyse der Klassifikation, um jene Gruppen aufzudecken, wo bereits in der Wissensordnung Othering nachgewiesen werden kann.</w:t>
      </w:r>
    </w:p>
    <w:p w14:paraId="00000042" w14:textId="77777777" w:rsidR="006D7C42" w:rsidRDefault="00FA3CF7">
      <w:pPr>
        <w:numPr>
          <w:ilvl w:val="0"/>
          <w:numId w:val="1"/>
        </w:numPr>
        <w:pBdr>
          <w:top w:val="nil"/>
          <w:left w:val="nil"/>
          <w:bottom w:val="nil"/>
          <w:right w:val="nil"/>
          <w:between w:val="nil"/>
        </w:pBdr>
        <w:spacing w:after="140" w:line="276" w:lineRule="auto"/>
        <w:rPr>
          <w:rFonts w:ascii="Arial" w:eastAsia="Arial" w:hAnsi="Arial" w:cs="Arial"/>
          <w:color w:val="000000"/>
          <w:sz w:val="22"/>
          <w:szCs w:val="22"/>
        </w:rPr>
      </w:pPr>
      <w:r>
        <w:rPr>
          <w:rFonts w:ascii="Arial" w:eastAsia="Arial" w:hAnsi="Arial" w:cs="Arial"/>
          <w:color w:val="000000"/>
          <w:sz w:val="22"/>
          <w:szCs w:val="22"/>
        </w:rPr>
        <w:t>Schnellanaly</w:t>
      </w:r>
      <w:r>
        <w:rPr>
          <w:rFonts w:ascii="Arial" w:eastAsia="Arial" w:hAnsi="Arial" w:cs="Arial"/>
          <w:color w:val="000000"/>
          <w:sz w:val="22"/>
          <w:szCs w:val="22"/>
        </w:rPr>
        <w:t xml:space="preserve">se sämtlicher Schriften jener inhaltlichen Gruppen, die aufgrund der vorangegangenen Arbeitsschritte als anfällig für entsprechende Inhalte gelten sowie entsprechend adaptierte Analyse der Abteilungen </w:t>
      </w:r>
      <w:r>
        <w:rPr>
          <w:rFonts w:ascii="Arial" w:eastAsia="Arial" w:hAnsi="Arial" w:cs="Arial"/>
          <w:sz w:val="22"/>
          <w:szCs w:val="22"/>
        </w:rPr>
        <w:t>beziehungsweise</w:t>
      </w:r>
      <w:r>
        <w:rPr>
          <w:rFonts w:ascii="Arial" w:eastAsia="Arial" w:hAnsi="Arial" w:cs="Arial"/>
          <w:color w:val="000000"/>
          <w:sz w:val="22"/>
          <w:szCs w:val="22"/>
        </w:rPr>
        <w:t xml:space="preserve"> Medien mit erzählenden Inhalten.</w:t>
      </w:r>
    </w:p>
    <w:p w14:paraId="00000043" w14:textId="77777777" w:rsidR="006D7C42" w:rsidRDefault="00FA3CF7">
      <w:pPr>
        <w:pBdr>
          <w:top w:val="nil"/>
          <w:left w:val="nil"/>
          <w:bottom w:val="nil"/>
          <w:right w:val="nil"/>
          <w:between w:val="nil"/>
        </w:pBdr>
        <w:spacing w:after="140" w:line="276" w:lineRule="auto"/>
        <w:rPr>
          <w:color w:val="000000"/>
        </w:rPr>
      </w:pPr>
      <w:r>
        <w:rPr>
          <w:rFonts w:ascii="Arial" w:eastAsia="Arial" w:hAnsi="Arial" w:cs="Arial"/>
          <w:color w:val="000000"/>
          <w:sz w:val="22"/>
          <w:szCs w:val="22"/>
        </w:rPr>
        <w:t>Im Ans</w:t>
      </w:r>
      <w:r>
        <w:rPr>
          <w:rFonts w:ascii="Arial" w:eastAsia="Arial" w:hAnsi="Arial" w:cs="Arial"/>
          <w:color w:val="000000"/>
          <w:sz w:val="22"/>
          <w:szCs w:val="22"/>
        </w:rPr>
        <w:t xml:space="preserve">chluss an die Bestandsanalyse wurden die Ergebnisse dem Team der Bibliothek der </w:t>
      </w:r>
      <w:r>
        <w:rPr>
          <w:rFonts w:ascii="Arial" w:eastAsia="Arial" w:hAnsi="Arial" w:cs="Arial"/>
          <w:i/>
          <w:color w:val="000000"/>
          <w:sz w:val="22"/>
          <w:szCs w:val="22"/>
        </w:rPr>
        <w:t>ÖFSE</w:t>
      </w:r>
      <w:r>
        <w:rPr>
          <w:rFonts w:ascii="Arial" w:eastAsia="Arial" w:hAnsi="Arial" w:cs="Arial"/>
          <w:color w:val="000000"/>
          <w:sz w:val="22"/>
          <w:szCs w:val="22"/>
        </w:rPr>
        <w:t xml:space="preserve"> präsentiert und mögliche Szenarien, wie mit den kolonialen Repräsentationen der Sondersammlung umgegangen werden könnte, entworfen. Da die Sondersammlung Missio innerhalb </w:t>
      </w:r>
      <w:r>
        <w:rPr>
          <w:rFonts w:ascii="Arial" w:eastAsia="Arial" w:hAnsi="Arial" w:cs="Arial"/>
          <w:color w:val="000000"/>
          <w:sz w:val="22"/>
          <w:szCs w:val="22"/>
        </w:rPr>
        <w:t xml:space="preserve">der </w:t>
      </w:r>
      <w:r>
        <w:rPr>
          <w:rFonts w:ascii="Arial" w:eastAsia="Arial" w:hAnsi="Arial" w:cs="Arial"/>
          <w:i/>
          <w:color w:val="000000"/>
          <w:sz w:val="22"/>
          <w:szCs w:val="22"/>
        </w:rPr>
        <w:t>ÖFSE</w:t>
      </w:r>
      <w:r>
        <w:rPr>
          <w:rFonts w:ascii="Arial" w:eastAsia="Arial" w:hAnsi="Arial" w:cs="Arial"/>
          <w:color w:val="000000"/>
          <w:sz w:val="22"/>
          <w:szCs w:val="22"/>
        </w:rPr>
        <w:t xml:space="preserve"> weder als bedeutende historische missionswissenschaftliche Bibliothek fungiert noch das Sammelgebiet der besitzenden Einrichtung repräsentiert oder einen entsprechenden Schwerpunkt des Sammelprofils darstellt, wurde die Empfehlung ausgesprochen, d</w:t>
      </w:r>
      <w:r>
        <w:rPr>
          <w:rFonts w:ascii="Arial" w:eastAsia="Arial" w:hAnsi="Arial" w:cs="Arial"/>
          <w:color w:val="000000"/>
          <w:sz w:val="22"/>
          <w:szCs w:val="22"/>
        </w:rPr>
        <w:t>ie Bücher in den problematischen Abteilungen wie beschrieben zu analysieren und jene Medien mit sozial abwertenden Inhalten zu entfernen.</w:t>
      </w:r>
      <w:r>
        <w:rPr>
          <w:rFonts w:ascii="Arial" w:eastAsia="Arial" w:hAnsi="Arial" w:cs="Arial"/>
          <w:color w:val="000000"/>
          <w:sz w:val="22"/>
          <w:szCs w:val="22"/>
          <w:vertAlign w:val="superscript"/>
        </w:rPr>
        <w:footnoteReference w:id="36"/>
      </w:r>
      <w:r>
        <w:rPr>
          <w:rFonts w:ascii="Arial" w:eastAsia="Arial" w:hAnsi="Arial" w:cs="Arial"/>
          <w:color w:val="000000"/>
          <w:sz w:val="22"/>
          <w:szCs w:val="22"/>
        </w:rPr>
        <w:t xml:space="preserve"> Durch eine Neuaufstellung könnte auch auf die bestehende Klassifikation verzichtet werden. Dies würde zwar einen nicht unwesentlichen Arbeitsaufwand darstellen, der aber als überschaubares Projekt durchführbar wäre.</w:t>
      </w:r>
    </w:p>
    <w:p w14:paraId="00000044" w14:textId="77777777" w:rsidR="006D7C42" w:rsidRDefault="00FA3CF7">
      <w:pPr>
        <w:pBdr>
          <w:top w:val="nil"/>
          <w:left w:val="nil"/>
          <w:bottom w:val="nil"/>
          <w:right w:val="nil"/>
          <w:between w:val="nil"/>
        </w:pBdr>
        <w:spacing w:after="140" w:line="276" w:lineRule="auto"/>
        <w:rPr>
          <w:color w:val="000000"/>
        </w:rPr>
      </w:pPr>
      <w:r>
        <w:rPr>
          <w:rFonts w:ascii="Arial" w:eastAsia="Arial" w:hAnsi="Arial" w:cs="Arial"/>
          <w:color w:val="000000"/>
          <w:sz w:val="22"/>
          <w:szCs w:val="22"/>
        </w:rPr>
        <w:t>Und weiter? Wollen wir Bibliotheken als</w:t>
      </w:r>
      <w:r>
        <w:rPr>
          <w:rFonts w:ascii="Arial" w:eastAsia="Arial" w:hAnsi="Arial" w:cs="Arial"/>
          <w:color w:val="000000"/>
          <w:sz w:val="22"/>
          <w:szCs w:val="22"/>
        </w:rPr>
        <w:t xml:space="preserve"> Einrichtungen verstanden wissen, in denen wir Abwertungen von sozialen Gruppen nicht durch unsere Praktiken reproduzieren, müssen wir uns kritisch mit bestehenden Routinen auseinandersetzen. Auch wenn die Regale der Bibliotheken in den wenigsten Fällen mi</w:t>
      </w:r>
      <w:r>
        <w:rPr>
          <w:rFonts w:ascii="Arial" w:eastAsia="Arial" w:hAnsi="Arial" w:cs="Arial"/>
          <w:color w:val="000000"/>
          <w:sz w:val="22"/>
          <w:szCs w:val="22"/>
        </w:rPr>
        <w:t>t kolonialem Raubgut gefüllt sind, könnte etwa die Berücksichtigung von Diskussionen innerhalb der Museumswissenschaft zu kolonialen Kontexten unseren Blick darauf schärfen, welche Bilder von Gruppen oder Gesellschaften wir auf den verschiedenen Ebenen bib</w:t>
      </w:r>
      <w:r>
        <w:rPr>
          <w:rFonts w:ascii="Arial" w:eastAsia="Arial" w:hAnsi="Arial" w:cs="Arial"/>
          <w:color w:val="000000"/>
          <w:sz w:val="22"/>
          <w:szCs w:val="22"/>
        </w:rPr>
        <w:t xml:space="preserve">liothekarischen Handelns entwerfen, übernehmen </w:t>
      </w:r>
      <w:r>
        <w:rPr>
          <w:rFonts w:ascii="Arial" w:eastAsia="Arial" w:hAnsi="Arial" w:cs="Arial"/>
          <w:sz w:val="22"/>
          <w:szCs w:val="22"/>
        </w:rPr>
        <w:t>beziehungsweise</w:t>
      </w:r>
      <w:r>
        <w:rPr>
          <w:rFonts w:ascii="Arial" w:eastAsia="Arial" w:hAnsi="Arial" w:cs="Arial"/>
          <w:color w:val="000000"/>
          <w:sz w:val="22"/>
          <w:szCs w:val="22"/>
        </w:rPr>
        <w:t xml:space="preserve"> vermitteln. Bibliotheken in ihrer Gesamtheit benötigen neue Perspektiven, um als Einrichtung dem Gegenüber in </w:t>
      </w:r>
      <w:proofErr w:type="spellStart"/>
      <w:proofErr w:type="gramStart"/>
      <w:r>
        <w:rPr>
          <w:rFonts w:ascii="Arial" w:eastAsia="Arial" w:hAnsi="Arial" w:cs="Arial"/>
          <w:color w:val="000000"/>
          <w:sz w:val="22"/>
          <w:szCs w:val="22"/>
        </w:rPr>
        <w:t>seiner:ihrer</w:t>
      </w:r>
      <w:proofErr w:type="spellEnd"/>
      <w:proofErr w:type="gramEnd"/>
      <w:r>
        <w:rPr>
          <w:rFonts w:ascii="Arial" w:eastAsia="Arial" w:hAnsi="Arial" w:cs="Arial"/>
          <w:color w:val="000000"/>
          <w:sz w:val="22"/>
          <w:szCs w:val="22"/>
        </w:rPr>
        <w:t xml:space="preserve"> historischen, kulturellen und sozialen Verortung gerecht zu werden. Da</w:t>
      </w:r>
      <w:r>
        <w:rPr>
          <w:rFonts w:ascii="Arial" w:eastAsia="Arial" w:hAnsi="Arial" w:cs="Arial"/>
          <w:color w:val="000000"/>
          <w:sz w:val="22"/>
          <w:szCs w:val="22"/>
        </w:rPr>
        <w:t xml:space="preserve">zu braucht es eine Vielfalt an </w:t>
      </w:r>
      <w:r>
        <w:rPr>
          <w:rFonts w:ascii="Arial" w:eastAsia="Arial" w:hAnsi="Arial" w:cs="Arial"/>
          <w:color w:val="000000"/>
          <w:sz w:val="22"/>
          <w:szCs w:val="22"/>
        </w:rPr>
        <w:lastRenderedPageBreak/>
        <w:t xml:space="preserve">Stimmen in einer offenen Debatte. Um eurozentristische Paradigmen zu überwinden, wird es nicht ausreichen, sich in der Kritik auf Ordnungssysteme und Inhalte zu beschränken. Gleichzeitig werden Wissensordnungen weiterhin die </w:t>
      </w:r>
      <w:r>
        <w:rPr>
          <w:rFonts w:ascii="Arial" w:eastAsia="Arial" w:hAnsi="Arial" w:cs="Arial"/>
          <w:color w:val="000000"/>
          <w:sz w:val="22"/>
          <w:szCs w:val="22"/>
        </w:rPr>
        <w:t xml:space="preserve">geistigen Schablonen darstellen, auf denen wir Gedanken formulieren, Strukturen aufbauen und Bestände sortieren. Sie sind die </w:t>
      </w:r>
      <w:proofErr w:type="spellStart"/>
      <w:r>
        <w:rPr>
          <w:rFonts w:ascii="Arial" w:eastAsia="Arial" w:hAnsi="Arial" w:cs="Arial"/>
          <w:i/>
          <w:color w:val="000000"/>
          <w:sz w:val="22"/>
          <w:szCs w:val="22"/>
        </w:rPr>
        <w:t>episteme</w:t>
      </w:r>
      <w:proofErr w:type="spellEnd"/>
      <w:r>
        <w:rPr>
          <w:rFonts w:ascii="Arial" w:eastAsia="Arial" w:hAnsi="Arial" w:cs="Arial"/>
          <w:color w:val="000000"/>
          <w:sz w:val="22"/>
          <w:szCs w:val="22"/>
        </w:rPr>
        <w:t xml:space="preserve">, die Bedingtheit von Wissen. </w:t>
      </w:r>
      <w:proofErr w:type="spellStart"/>
      <w:r>
        <w:rPr>
          <w:rFonts w:ascii="Arial" w:eastAsia="Arial" w:hAnsi="Arial" w:cs="Arial"/>
          <w:color w:val="000000"/>
          <w:sz w:val="22"/>
          <w:szCs w:val="22"/>
        </w:rPr>
        <w:t>Let‘s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decolonize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it!</w:t>
      </w:r>
      <w:proofErr w:type="spellEnd"/>
    </w:p>
    <w:p w14:paraId="00000045" w14:textId="77777777" w:rsidR="006D7C42" w:rsidRDefault="006D7C42">
      <w:pPr>
        <w:pBdr>
          <w:top w:val="nil"/>
          <w:left w:val="nil"/>
          <w:bottom w:val="nil"/>
          <w:right w:val="nil"/>
          <w:between w:val="nil"/>
        </w:pBdr>
        <w:spacing w:after="140" w:line="276" w:lineRule="auto"/>
        <w:rPr>
          <w:rFonts w:ascii="Arial" w:eastAsia="Arial" w:hAnsi="Arial" w:cs="Arial"/>
          <w:color w:val="000000"/>
          <w:sz w:val="22"/>
          <w:szCs w:val="22"/>
        </w:rPr>
      </w:pPr>
    </w:p>
    <w:p w14:paraId="00000046" w14:textId="77777777" w:rsidR="006D7C42" w:rsidRDefault="006D7C42">
      <w:pPr>
        <w:pBdr>
          <w:top w:val="nil"/>
          <w:left w:val="nil"/>
          <w:bottom w:val="nil"/>
          <w:right w:val="nil"/>
          <w:between w:val="nil"/>
        </w:pBdr>
        <w:spacing w:after="140" w:line="276" w:lineRule="auto"/>
        <w:rPr>
          <w:rFonts w:ascii="Arial" w:eastAsia="Arial" w:hAnsi="Arial" w:cs="Arial"/>
          <w:color w:val="000000"/>
          <w:sz w:val="22"/>
          <w:szCs w:val="22"/>
        </w:rPr>
      </w:pPr>
    </w:p>
    <w:p w14:paraId="00000047" w14:textId="77777777" w:rsidR="006D7C42" w:rsidRDefault="00FA3CF7">
      <w:pPr>
        <w:pBdr>
          <w:top w:val="nil"/>
          <w:left w:val="nil"/>
          <w:bottom w:val="nil"/>
          <w:right w:val="nil"/>
          <w:between w:val="nil"/>
        </w:pBdr>
        <w:spacing w:after="140" w:line="276" w:lineRule="auto"/>
        <w:rPr>
          <w:rFonts w:ascii="Arial" w:eastAsia="Arial" w:hAnsi="Arial" w:cs="Arial"/>
          <w:b/>
          <w:color w:val="000000"/>
          <w:sz w:val="22"/>
          <w:szCs w:val="22"/>
        </w:rPr>
      </w:pPr>
      <w:r>
        <w:rPr>
          <w:rFonts w:ascii="Arial" w:eastAsia="Arial" w:hAnsi="Arial" w:cs="Arial"/>
          <w:b/>
          <w:color w:val="000000"/>
          <w:sz w:val="22"/>
          <w:szCs w:val="22"/>
        </w:rPr>
        <w:t>Literaturverzeichnis</w:t>
      </w:r>
    </w:p>
    <w:p w14:paraId="00000048" w14:textId="77777777" w:rsidR="006D7C42" w:rsidRDefault="00FA3CF7">
      <w:pPr>
        <w:pBdr>
          <w:top w:val="nil"/>
          <w:left w:val="nil"/>
          <w:bottom w:val="nil"/>
          <w:right w:val="nil"/>
          <w:between w:val="nil"/>
        </w:pBdr>
        <w:spacing w:after="140" w:line="276" w:lineRule="auto"/>
        <w:rPr>
          <w:rFonts w:ascii="Arial" w:eastAsia="Arial" w:hAnsi="Arial" w:cs="Arial"/>
          <w:color w:val="000000"/>
          <w:sz w:val="22"/>
          <w:szCs w:val="22"/>
        </w:rPr>
      </w:pPr>
      <w:r>
        <w:rPr>
          <w:rFonts w:ascii="Arial" w:eastAsia="Arial" w:hAnsi="Arial" w:cs="Arial"/>
          <w:color w:val="000000"/>
          <w:sz w:val="22"/>
          <w:szCs w:val="22"/>
        </w:rPr>
        <w:t xml:space="preserve">Il </w:t>
      </w:r>
      <w:proofErr w:type="spellStart"/>
      <w:r>
        <w:rPr>
          <w:rFonts w:ascii="Arial" w:eastAsia="Arial" w:hAnsi="Arial" w:cs="Arial"/>
          <w:color w:val="000000"/>
          <w:sz w:val="22"/>
          <w:szCs w:val="22"/>
        </w:rPr>
        <w:t>movimento</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attuale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missionario</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nelle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varie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na</w:t>
      </w:r>
      <w:r>
        <w:rPr>
          <w:rFonts w:ascii="Arial" w:eastAsia="Arial" w:hAnsi="Arial" w:cs="Arial"/>
          <w:color w:val="000000"/>
          <w:sz w:val="22"/>
          <w:szCs w:val="22"/>
        </w:rPr>
        <w:t>zioni</w:t>
      </w:r>
      <w:proofErr w:type="spellEnd"/>
      <w:r>
        <w:rPr>
          <w:rFonts w:ascii="Arial" w:eastAsia="Arial" w:hAnsi="Arial" w:cs="Arial"/>
          <w:color w:val="000000"/>
          <w:sz w:val="22"/>
          <w:szCs w:val="22"/>
        </w:rPr>
        <w:t xml:space="preserve"> (1954). </w:t>
      </w:r>
      <w:proofErr w:type="spellStart"/>
      <w:r>
        <w:rPr>
          <w:rFonts w:ascii="Arial" w:eastAsia="Arial" w:hAnsi="Arial" w:cs="Arial"/>
          <w:color w:val="000000"/>
          <w:sz w:val="22"/>
          <w:szCs w:val="22"/>
        </w:rPr>
        <w:t>Romae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Apud</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Aedes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Pontificiae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Universitatis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Gregorianae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Studia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Missionalia</w:t>
      </w:r>
      <w:proofErr w:type="spellEnd"/>
      <w:r>
        <w:rPr>
          <w:rFonts w:ascii="Arial" w:eastAsia="Arial" w:hAnsi="Arial" w:cs="Arial"/>
          <w:color w:val="000000"/>
          <w:sz w:val="22"/>
          <w:szCs w:val="22"/>
        </w:rPr>
        <w:t>, 8).</w:t>
      </w:r>
    </w:p>
    <w:p w14:paraId="00000049" w14:textId="77777777" w:rsidR="006D7C42" w:rsidRDefault="00FA3CF7">
      <w:pPr>
        <w:pBdr>
          <w:top w:val="nil"/>
          <w:left w:val="nil"/>
          <w:bottom w:val="nil"/>
          <w:right w:val="nil"/>
          <w:between w:val="nil"/>
        </w:pBdr>
        <w:spacing w:after="140" w:line="276" w:lineRule="auto"/>
        <w:rPr>
          <w:rFonts w:ascii="Arial" w:eastAsia="Arial" w:hAnsi="Arial" w:cs="Arial"/>
          <w:color w:val="000000"/>
          <w:sz w:val="22"/>
          <w:szCs w:val="22"/>
        </w:rPr>
      </w:pPr>
      <w:proofErr w:type="spellStart"/>
      <w:r>
        <w:rPr>
          <w:rFonts w:ascii="Arial" w:eastAsia="Arial" w:hAnsi="Arial" w:cs="Arial"/>
          <w:color w:val="000000"/>
          <w:sz w:val="22"/>
          <w:szCs w:val="22"/>
        </w:rPr>
        <w:t>Bettray</w:t>
      </w:r>
      <w:proofErr w:type="spellEnd"/>
      <w:r>
        <w:rPr>
          <w:rFonts w:ascii="Arial" w:eastAsia="Arial" w:hAnsi="Arial" w:cs="Arial"/>
          <w:color w:val="000000"/>
          <w:sz w:val="22"/>
          <w:szCs w:val="22"/>
        </w:rPr>
        <w:t xml:space="preserve">, Johannes (1954): Übersicht über den Stand des </w:t>
      </w:r>
      <w:proofErr w:type="spellStart"/>
      <w:r>
        <w:rPr>
          <w:rFonts w:ascii="Arial" w:eastAsia="Arial" w:hAnsi="Arial" w:cs="Arial"/>
          <w:color w:val="000000"/>
          <w:sz w:val="22"/>
          <w:szCs w:val="22"/>
        </w:rPr>
        <w:t>oesterreichischen</w:t>
      </w:r>
      <w:proofErr w:type="spellEnd"/>
      <w:r>
        <w:rPr>
          <w:rFonts w:ascii="Arial" w:eastAsia="Arial" w:hAnsi="Arial" w:cs="Arial"/>
          <w:color w:val="000000"/>
          <w:sz w:val="22"/>
          <w:szCs w:val="22"/>
        </w:rPr>
        <w:t xml:space="preserve"> Missionswerkes. In: Il </w:t>
      </w:r>
      <w:proofErr w:type="spellStart"/>
      <w:r>
        <w:rPr>
          <w:rFonts w:ascii="Arial" w:eastAsia="Arial" w:hAnsi="Arial" w:cs="Arial"/>
          <w:color w:val="000000"/>
          <w:sz w:val="22"/>
          <w:szCs w:val="22"/>
        </w:rPr>
        <w:t>movimento</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attuale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missionario</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nelle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varie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nazioni</w:t>
      </w:r>
      <w:proofErr w:type="spellEnd"/>
      <w:r>
        <w:rPr>
          <w:rFonts w:ascii="Arial" w:eastAsia="Arial" w:hAnsi="Arial" w:cs="Arial"/>
          <w:color w:val="000000"/>
          <w:sz w:val="22"/>
          <w:szCs w:val="22"/>
        </w:rPr>
        <w:t xml:space="preserve">, Bd. 8. </w:t>
      </w:r>
      <w:proofErr w:type="spellStart"/>
      <w:r>
        <w:rPr>
          <w:rFonts w:ascii="Arial" w:eastAsia="Arial" w:hAnsi="Arial" w:cs="Arial"/>
          <w:color w:val="000000"/>
          <w:sz w:val="22"/>
          <w:szCs w:val="22"/>
        </w:rPr>
        <w:t>Romae</w:t>
      </w:r>
      <w:proofErr w:type="spellEnd"/>
      <w:r>
        <w:rPr>
          <w:rFonts w:ascii="Arial" w:eastAsia="Arial" w:hAnsi="Arial" w:cs="Arial"/>
          <w:color w:val="000000"/>
          <w:sz w:val="22"/>
          <w:szCs w:val="22"/>
        </w:rPr>
        <w:t>:</w:t>
      </w:r>
      <w:r>
        <w:rPr>
          <w:rFonts w:ascii="Arial" w:eastAsia="Arial" w:hAnsi="Arial" w:cs="Arial"/>
          <w:color w:val="000000"/>
          <w:sz w:val="22"/>
          <w:szCs w:val="22"/>
        </w:rPr>
        <w:t xml:space="preserve"> </w:t>
      </w:r>
      <w:proofErr w:type="spellStart"/>
      <w:r>
        <w:rPr>
          <w:rFonts w:ascii="Arial" w:eastAsia="Arial" w:hAnsi="Arial" w:cs="Arial"/>
          <w:color w:val="000000"/>
          <w:sz w:val="22"/>
          <w:szCs w:val="22"/>
        </w:rPr>
        <w:t>Apud</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Aedes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Pontificiae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Universitatis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Gregorianae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Studia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Missionalia</w:t>
      </w:r>
      <w:proofErr w:type="spellEnd"/>
      <w:r>
        <w:rPr>
          <w:rFonts w:ascii="Arial" w:eastAsia="Arial" w:hAnsi="Arial" w:cs="Arial"/>
          <w:color w:val="000000"/>
          <w:sz w:val="22"/>
          <w:szCs w:val="22"/>
        </w:rPr>
        <w:t>, 8), [</w:t>
      </w:r>
      <w:proofErr w:type="gramStart"/>
      <w:r>
        <w:rPr>
          <w:rFonts w:ascii="Arial" w:eastAsia="Arial" w:hAnsi="Arial" w:cs="Arial"/>
          <w:color w:val="000000"/>
          <w:sz w:val="22"/>
          <w:szCs w:val="22"/>
        </w:rPr>
        <w:t>31]</w:t>
      </w:r>
      <w:r>
        <w:rPr>
          <w:rFonts w:ascii="Arial" w:eastAsia="Arial" w:hAnsi="Arial" w:cs="Arial"/>
          <w:sz w:val="22"/>
          <w:szCs w:val="22"/>
        </w:rPr>
        <w:t>–</w:t>
      </w:r>
      <w:proofErr w:type="gramEnd"/>
      <w:r>
        <w:rPr>
          <w:rFonts w:ascii="Arial" w:eastAsia="Arial" w:hAnsi="Arial" w:cs="Arial"/>
          <w:color w:val="000000"/>
          <w:sz w:val="22"/>
          <w:szCs w:val="22"/>
        </w:rPr>
        <w:t>64.</w:t>
      </w:r>
    </w:p>
    <w:p w14:paraId="0000004A" w14:textId="77777777" w:rsidR="006D7C42" w:rsidRDefault="00FA3CF7">
      <w:pPr>
        <w:pBdr>
          <w:top w:val="nil"/>
          <w:left w:val="nil"/>
          <w:bottom w:val="nil"/>
          <w:right w:val="nil"/>
          <w:between w:val="nil"/>
        </w:pBdr>
        <w:spacing w:after="140" w:line="276" w:lineRule="auto"/>
        <w:rPr>
          <w:rFonts w:ascii="Arial" w:eastAsia="Arial" w:hAnsi="Arial" w:cs="Arial"/>
          <w:color w:val="000000"/>
          <w:sz w:val="22"/>
          <w:szCs w:val="22"/>
        </w:rPr>
      </w:pPr>
      <w:r>
        <w:rPr>
          <w:rFonts w:ascii="Arial" w:eastAsia="Arial" w:hAnsi="Arial" w:cs="Arial"/>
          <w:color w:val="000000"/>
          <w:sz w:val="22"/>
          <w:szCs w:val="22"/>
        </w:rPr>
        <w:t>Brandstetter, Anna-Maria; Hierholzer, Vera (</w:t>
      </w:r>
      <w:proofErr w:type="spellStart"/>
      <w:r>
        <w:rPr>
          <w:rFonts w:ascii="Arial" w:eastAsia="Arial" w:hAnsi="Arial" w:cs="Arial"/>
          <w:color w:val="000000"/>
          <w:sz w:val="22"/>
          <w:szCs w:val="22"/>
        </w:rPr>
        <w:t>Hg</w:t>
      </w:r>
      <w:proofErr w:type="spellEnd"/>
      <w:r>
        <w:rPr>
          <w:rFonts w:ascii="Arial" w:eastAsia="Arial" w:hAnsi="Arial" w:cs="Arial"/>
          <w:color w:val="000000"/>
          <w:sz w:val="22"/>
          <w:szCs w:val="22"/>
        </w:rPr>
        <w:t xml:space="preserve">.) (2018): Nicht nur Raubkunst! Sensible Dinge in Museen und universitären Sammlungen. Göttingen: V&amp;R </w:t>
      </w:r>
      <w:proofErr w:type="spellStart"/>
      <w:r>
        <w:rPr>
          <w:rFonts w:ascii="Arial" w:eastAsia="Arial" w:hAnsi="Arial" w:cs="Arial"/>
          <w:color w:val="000000"/>
          <w:sz w:val="22"/>
          <w:szCs w:val="22"/>
        </w:rPr>
        <w:t>Unipress</w:t>
      </w:r>
      <w:proofErr w:type="spellEnd"/>
      <w:r>
        <w:rPr>
          <w:rFonts w:ascii="Arial" w:eastAsia="Arial" w:hAnsi="Arial" w:cs="Arial"/>
          <w:color w:val="000000"/>
          <w:sz w:val="22"/>
          <w:szCs w:val="22"/>
        </w:rPr>
        <w:t>.</w:t>
      </w:r>
    </w:p>
    <w:p w14:paraId="0000004B" w14:textId="77777777" w:rsidR="006D7C42" w:rsidRDefault="00FA3CF7">
      <w:pPr>
        <w:pBdr>
          <w:top w:val="nil"/>
          <w:left w:val="nil"/>
          <w:bottom w:val="nil"/>
          <w:right w:val="nil"/>
          <w:between w:val="nil"/>
        </w:pBdr>
        <w:spacing w:after="140" w:line="276" w:lineRule="auto"/>
        <w:rPr>
          <w:rFonts w:ascii="Arial" w:eastAsia="Arial" w:hAnsi="Arial" w:cs="Arial"/>
          <w:color w:val="000000"/>
          <w:sz w:val="22"/>
          <w:szCs w:val="22"/>
        </w:rPr>
      </w:pPr>
      <w:proofErr w:type="spellStart"/>
      <w:r>
        <w:rPr>
          <w:rFonts w:ascii="Arial" w:eastAsia="Arial" w:hAnsi="Arial" w:cs="Arial"/>
          <w:color w:val="000000"/>
          <w:sz w:val="22"/>
          <w:szCs w:val="22"/>
        </w:rPr>
        <w:t>Faschingeder</w:t>
      </w:r>
      <w:proofErr w:type="spellEnd"/>
      <w:r>
        <w:rPr>
          <w:rFonts w:ascii="Arial" w:eastAsia="Arial" w:hAnsi="Arial" w:cs="Arial"/>
          <w:color w:val="000000"/>
          <w:sz w:val="22"/>
          <w:szCs w:val="22"/>
        </w:rPr>
        <w:t>, Gerald (2002): Missionsgeschichte als Beziehungsgeschichte. Die Genese des europäisc</w:t>
      </w:r>
      <w:r>
        <w:rPr>
          <w:rFonts w:ascii="Arial" w:eastAsia="Arial" w:hAnsi="Arial" w:cs="Arial"/>
          <w:color w:val="000000"/>
          <w:sz w:val="22"/>
          <w:szCs w:val="22"/>
        </w:rPr>
        <w:t xml:space="preserve">hen </w:t>
      </w:r>
      <w:proofErr w:type="spellStart"/>
      <w:r>
        <w:rPr>
          <w:rFonts w:ascii="Arial" w:eastAsia="Arial" w:hAnsi="Arial" w:cs="Arial"/>
          <w:color w:val="000000"/>
          <w:sz w:val="22"/>
          <w:szCs w:val="22"/>
        </w:rPr>
        <w:t>Missionseinfers</w:t>
      </w:r>
      <w:proofErr w:type="spellEnd"/>
      <w:r>
        <w:rPr>
          <w:rFonts w:ascii="Arial" w:eastAsia="Arial" w:hAnsi="Arial" w:cs="Arial"/>
          <w:color w:val="000000"/>
          <w:sz w:val="22"/>
          <w:szCs w:val="22"/>
        </w:rPr>
        <w:t xml:space="preserve"> als Gegenstand der historischen Anthropologie. In: </w:t>
      </w:r>
      <w:r>
        <w:rPr>
          <w:rFonts w:ascii="Arial" w:eastAsia="Arial" w:hAnsi="Arial" w:cs="Arial"/>
          <w:i/>
          <w:color w:val="000000"/>
          <w:sz w:val="22"/>
          <w:szCs w:val="22"/>
        </w:rPr>
        <w:t xml:space="preserve">Historische Anthropologie </w:t>
      </w:r>
      <w:r>
        <w:rPr>
          <w:rFonts w:ascii="Arial" w:eastAsia="Arial" w:hAnsi="Arial" w:cs="Arial"/>
          <w:color w:val="000000"/>
          <w:sz w:val="22"/>
          <w:szCs w:val="22"/>
        </w:rPr>
        <w:t>10 (1), [</w:t>
      </w:r>
      <w:proofErr w:type="gramStart"/>
      <w:r>
        <w:rPr>
          <w:rFonts w:ascii="Arial" w:eastAsia="Arial" w:hAnsi="Arial" w:cs="Arial"/>
          <w:color w:val="000000"/>
          <w:sz w:val="22"/>
          <w:szCs w:val="22"/>
        </w:rPr>
        <w:t>1]</w:t>
      </w:r>
      <w:r>
        <w:rPr>
          <w:rFonts w:ascii="Arial" w:eastAsia="Arial" w:hAnsi="Arial" w:cs="Arial"/>
          <w:sz w:val="22"/>
          <w:szCs w:val="22"/>
        </w:rPr>
        <w:t>–</w:t>
      </w:r>
      <w:proofErr w:type="gramEnd"/>
      <w:r>
        <w:rPr>
          <w:rFonts w:ascii="Arial" w:eastAsia="Arial" w:hAnsi="Arial" w:cs="Arial"/>
          <w:color w:val="000000"/>
          <w:sz w:val="22"/>
          <w:szCs w:val="22"/>
        </w:rPr>
        <w:t>30.</w:t>
      </w:r>
    </w:p>
    <w:p w14:paraId="0000004C" w14:textId="77777777" w:rsidR="006D7C42" w:rsidRDefault="00FA3CF7">
      <w:pPr>
        <w:pBdr>
          <w:top w:val="nil"/>
          <w:left w:val="nil"/>
          <w:bottom w:val="nil"/>
          <w:right w:val="nil"/>
          <w:between w:val="nil"/>
        </w:pBdr>
        <w:spacing w:after="140" w:line="276" w:lineRule="auto"/>
        <w:rPr>
          <w:rFonts w:ascii="Arial" w:eastAsia="Arial" w:hAnsi="Arial" w:cs="Arial"/>
          <w:color w:val="000000"/>
          <w:sz w:val="22"/>
          <w:szCs w:val="22"/>
        </w:rPr>
      </w:pPr>
      <w:r>
        <w:rPr>
          <w:rFonts w:ascii="Arial" w:eastAsia="Arial" w:hAnsi="Arial" w:cs="Arial"/>
          <w:color w:val="000000"/>
          <w:sz w:val="22"/>
          <w:szCs w:val="22"/>
        </w:rPr>
        <w:t>Foucault, Michel (1981): Archäologie des Wissens. Frankfurt am Main: Suhrkamp.</w:t>
      </w:r>
    </w:p>
    <w:p w14:paraId="0000004D" w14:textId="77777777" w:rsidR="006D7C42" w:rsidRDefault="00FA3CF7">
      <w:pPr>
        <w:pBdr>
          <w:top w:val="nil"/>
          <w:left w:val="nil"/>
          <w:bottom w:val="nil"/>
          <w:right w:val="nil"/>
          <w:between w:val="nil"/>
        </w:pBdr>
        <w:spacing w:after="140" w:line="276" w:lineRule="auto"/>
        <w:rPr>
          <w:rFonts w:ascii="Arial" w:eastAsia="Arial" w:hAnsi="Arial" w:cs="Arial"/>
          <w:color w:val="000000"/>
          <w:sz w:val="22"/>
          <w:szCs w:val="22"/>
        </w:rPr>
      </w:pPr>
      <w:r>
        <w:rPr>
          <w:rFonts w:ascii="Arial" w:eastAsia="Arial" w:hAnsi="Arial" w:cs="Arial"/>
          <w:color w:val="000000"/>
          <w:sz w:val="22"/>
          <w:szCs w:val="22"/>
        </w:rPr>
        <w:t>Foucault, Michel (2012): Die Ordnung des Diskurses. 12. Auf. Frankfurt am Main: Fischer Taschenbuch Verlag.</w:t>
      </w:r>
    </w:p>
    <w:p w14:paraId="0000004E" w14:textId="77777777" w:rsidR="006D7C42" w:rsidRDefault="00FA3CF7">
      <w:pPr>
        <w:pBdr>
          <w:top w:val="nil"/>
          <w:left w:val="nil"/>
          <w:bottom w:val="nil"/>
          <w:right w:val="nil"/>
          <w:between w:val="nil"/>
        </w:pBdr>
        <w:spacing w:after="140" w:line="276" w:lineRule="auto"/>
        <w:rPr>
          <w:rFonts w:ascii="Arial" w:eastAsia="Arial" w:hAnsi="Arial" w:cs="Arial"/>
          <w:color w:val="000000"/>
          <w:sz w:val="22"/>
          <w:szCs w:val="22"/>
        </w:rPr>
      </w:pPr>
      <w:r>
        <w:rPr>
          <w:rFonts w:ascii="Arial" w:eastAsia="Arial" w:hAnsi="Arial" w:cs="Arial"/>
          <w:color w:val="000000"/>
          <w:sz w:val="22"/>
          <w:szCs w:val="22"/>
        </w:rPr>
        <w:t xml:space="preserve">Foucault, Michel (2019): Die Ordnung der Dinge. eine Archäologie der </w:t>
      </w:r>
      <w:r>
        <w:rPr>
          <w:rFonts w:ascii="Arial" w:eastAsia="Arial" w:hAnsi="Arial" w:cs="Arial"/>
          <w:color w:val="000000"/>
          <w:sz w:val="22"/>
          <w:szCs w:val="22"/>
        </w:rPr>
        <w:t>Humanwissenschaften. 25. Aufl. Frankfurt am Main: Suhrkamp.</w:t>
      </w:r>
    </w:p>
    <w:p w14:paraId="0000004F" w14:textId="77777777" w:rsidR="006D7C42" w:rsidRDefault="00FA3CF7">
      <w:pPr>
        <w:pBdr>
          <w:top w:val="nil"/>
          <w:left w:val="nil"/>
          <w:bottom w:val="nil"/>
          <w:right w:val="nil"/>
          <w:between w:val="nil"/>
        </w:pBdr>
        <w:spacing w:after="140" w:line="276" w:lineRule="auto"/>
        <w:rPr>
          <w:rFonts w:ascii="Arial" w:eastAsia="Arial" w:hAnsi="Arial" w:cs="Arial"/>
          <w:color w:val="000000"/>
          <w:sz w:val="22"/>
          <w:szCs w:val="22"/>
        </w:rPr>
      </w:pPr>
      <w:r>
        <w:rPr>
          <w:rFonts w:ascii="Arial" w:eastAsia="Arial" w:hAnsi="Arial" w:cs="Arial"/>
          <w:color w:val="000000"/>
          <w:sz w:val="22"/>
          <w:szCs w:val="22"/>
        </w:rPr>
        <w:t>Fundraising Verband Austria (</w:t>
      </w:r>
      <w:proofErr w:type="spellStart"/>
      <w:r>
        <w:rPr>
          <w:rFonts w:ascii="Arial" w:eastAsia="Arial" w:hAnsi="Arial" w:cs="Arial"/>
          <w:color w:val="000000"/>
          <w:sz w:val="22"/>
          <w:szCs w:val="22"/>
        </w:rPr>
        <w:t>Hg</w:t>
      </w:r>
      <w:proofErr w:type="spellEnd"/>
      <w:r>
        <w:rPr>
          <w:rFonts w:ascii="Arial" w:eastAsia="Arial" w:hAnsi="Arial" w:cs="Arial"/>
          <w:color w:val="000000"/>
          <w:sz w:val="22"/>
          <w:szCs w:val="22"/>
        </w:rPr>
        <w:t xml:space="preserve">.) (2018): Spendenbericht 2018. </w:t>
      </w:r>
      <w:r>
        <w:rPr>
          <w:rFonts w:ascii="Arial" w:eastAsia="Arial" w:hAnsi="Arial" w:cs="Arial"/>
          <w:sz w:val="22"/>
          <w:szCs w:val="22"/>
        </w:rPr>
        <w:t>A</w:t>
      </w:r>
      <w:r>
        <w:rPr>
          <w:rFonts w:ascii="Arial" w:eastAsia="Arial" w:hAnsi="Arial" w:cs="Arial"/>
          <w:color w:val="000000"/>
          <w:sz w:val="22"/>
          <w:szCs w:val="22"/>
        </w:rPr>
        <w:t>lles zum Spendenverhalten und Spendenaufkommen in Österreich auf einen Blick. Wien. Online verfügbar unter https://www.fundraising.a</w:t>
      </w:r>
      <w:r>
        <w:rPr>
          <w:rFonts w:ascii="Arial" w:eastAsia="Arial" w:hAnsi="Arial" w:cs="Arial"/>
          <w:color w:val="000000"/>
          <w:sz w:val="22"/>
          <w:szCs w:val="22"/>
        </w:rPr>
        <w:t>t/wp-content/uploads/2019/12/Spendenbericht_2018_WEB.pdf, zuletzt geprüft am 18.05.2021.</w:t>
      </w:r>
    </w:p>
    <w:p w14:paraId="00000050" w14:textId="77777777" w:rsidR="006D7C42" w:rsidRDefault="00FA3CF7">
      <w:pPr>
        <w:pBdr>
          <w:top w:val="nil"/>
          <w:left w:val="nil"/>
          <w:bottom w:val="nil"/>
          <w:right w:val="nil"/>
          <w:between w:val="nil"/>
        </w:pBdr>
        <w:spacing w:after="140" w:line="276" w:lineRule="auto"/>
        <w:rPr>
          <w:rFonts w:ascii="Arial" w:eastAsia="Arial" w:hAnsi="Arial" w:cs="Arial"/>
          <w:color w:val="000000"/>
          <w:sz w:val="22"/>
          <w:szCs w:val="22"/>
        </w:rPr>
      </w:pPr>
      <w:r>
        <w:rPr>
          <w:rFonts w:ascii="Arial" w:eastAsia="Arial" w:hAnsi="Arial" w:cs="Arial"/>
          <w:color w:val="000000"/>
          <w:sz w:val="22"/>
          <w:szCs w:val="22"/>
        </w:rPr>
        <w:t xml:space="preserve">Habermas, Rebekka (2010): Wissenstransfer und Mission. Sklavenhändler, Missionare und Religionswissenschaftler. In: </w:t>
      </w:r>
      <w:r>
        <w:rPr>
          <w:rFonts w:ascii="Arial" w:eastAsia="Arial" w:hAnsi="Arial" w:cs="Arial"/>
          <w:i/>
          <w:color w:val="000000"/>
          <w:sz w:val="22"/>
          <w:szCs w:val="22"/>
        </w:rPr>
        <w:t xml:space="preserve">Geschichte und Gesellschaft </w:t>
      </w:r>
      <w:r>
        <w:rPr>
          <w:rFonts w:ascii="Arial" w:eastAsia="Arial" w:hAnsi="Arial" w:cs="Arial"/>
          <w:color w:val="000000"/>
          <w:sz w:val="22"/>
          <w:szCs w:val="22"/>
        </w:rPr>
        <w:t>36, [</w:t>
      </w:r>
      <w:proofErr w:type="gramStart"/>
      <w:r>
        <w:rPr>
          <w:rFonts w:ascii="Arial" w:eastAsia="Arial" w:hAnsi="Arial" w:cs="Arial"/>
          <w:color w:val="000000"/>
          <w:sz w:val="22"/>
          <w:szCs w:val="22"/>
        </w:rPr>
        <w:t>257]</w:t>
      </w:r>
      <w:r>
        <w:rPr>
          <w:rFonts w:ascii="Arial" w:eastAsia="Arial" w:hAnsi="Arial" w:cs="Arial"/>
          <w:sz w:val="22"/>
          <w:szCs w:val="22"/>
        </w:rPr>
        <w:t>–</w:t>
      </w:r>
      <w:proofErr w:type="gramEnd"/>
      <w:r>
        <w:rPr>
          <w:rFonts w:ascii="Arial" w:eastAsia="Arial" w:hAnsi="Arial" w:cs="Arial"/>
          <w:color w:val="000000"/>
          <w:sz w:val="22"/>
          <w:szCs w:val="22"/>
        </w:rPr>
        <w:t xml:space="preserve">284. DOI: </w:t>
      </w:r>
      <w:r>
        <w:rPr>
          <w:rFonts w:ascii="Arial" w:eastAsia="Arial" w:hAnsi="Arial" w:cs="Arial"/>
          <w:sz w:val="22"/>
          <w:szCs w:val="22"/>
        </w:rPr>
        <w:t>htt</w:t>
      </w:r>
      <w:r>
        <w:rPr>
          <w:rFonts w:ascii="Arial" w:eastAsia="Arial" w:hAnsi="Arial" w:cs="Arial"/>
          <w:sz w:val="22"/>
          <w:szCs w:val="22"/>
        </w:rPr>
        <w:t>ps://doi.org/10.13109/gege.2010.36.2.257</w:t>
      </w:r>
      <w:r>
        <w:rPr>
          <w:rFonts w:ascii="Arial" w:eastAsia="Arial" w:hAnsi="Arial" w:cs="Arial"/>
          <w:color w:val="000000"/>
          <w:sz w:val="22"/>
          <w:szCs w:val="22"/>
        </w:rPr>
        <w:t>.</w:t>
      </w:r>
    </w:p>
    <w:p w14:paraId="00000051" w14:textId="77777777" w:rsidR="006D7C42" w:rsidRDefault="00FA3CF7">
      <w:pPr>
        <w:pBdr>
          <w:top w:val="nil"/>
          <w:left w:val="nil"/>
          <w:bottom w:val="nil"/>
          <w:right w:val="nil"/>
          <w:between w:val="nil"/>
        </w:pBdr>
        <w:spacing w:after="140" w:line="276" w:lineRule="auto"/>
        <w:rPr>
          <w:rFonts w:ascii="Arial" w:eastAsia="Arial" w:hAnsi="Arial" w:cs="Arial"/>
          <w:color w:val="000000"/>
          <w:sz w:val="22"/>
          <w:szCs w:val="22"/>
        </w:rPr>
      </w:pPr>
      <w:proofErr w:type="spellStart"/>
      <w:r>
        <w:rPr>
          <w:rFonts w:ascii="Arial" w:eastAsia="Arial" w:hAnsi="Arial" w:cs="Arial"/>
          <w:color w:val="000000"/>
          <w:sz w:val="22"/>
          <w:szCs w:val="22"/>
        </w:rPr>
        <w:t>Kainberger</w:t>
      </w:r>
      <w:proofErr w:type="spellEnd"/>
      <w:r>
        <w:rPr>
          <w:rFonts w:ascii="Arial" w:eastAsia="Arial" w:hAnsi="Arial" w:cs="Arial"/>
          <w:color w:val="000000"/>
          <w:sz w:val="22"/>
          <w:szCs w:val="22"/>
        </w:rPr>
        <w:t xml:space="preserve">, Maria (2014): Die Entstehung des "Werks der Glaubensverbreitung" in Österreich im Lichte der Theorie vom "Urcharisma" nach Libero </w:t>
      </w:r>
      <w:proofErr w:type="spellStart"/>
      <w:r>
        <w:rPr>
          <w:rFonts w:ascii="Arial" w:eastAsia="Arial" w:hAnsi="Arial" w:cs="Arial"/>
          <w:color w:val="000000"/>
          <w:sz w:val="22"/>
          <w:szCs w:val="22"/>
        </w:rPr>
        <w:t>Gerosa</w:t>
      </w:r>
      <w:proofErr w:type="spellEnd"/>
      <w:r>
        <w:rPr>
          <w:rFonts w:ascii="Arial" w:eastAsia="Arial" w:hAnsi="Arial" w:cs="Arial"/>
          <w:color w:val="000000"/>
          <w:sz w:val="22"/>
          <w:szCs w:val="22"/>
        </w:rPr>
        <w:t>. Master-Thesis. Universität Wien, Wien. Institut für Rechtsphilos</w:t>
      </w:r>
      <w:r>
        <w:rPr>
          <w:rFonts w:ascii="Arial" w:eastAsia="Arial" w:hAnsi="Arial" w:cs="Arial"/>
          <w:color w:val="000000"/>
          <w:sz w:val="22"/>
          <w:szCs w:val="22"/>
        </w:rPr>
        <w:t>ophie.</w:t>
      </w:r>
    </w:p>
    <w:p w14:paraId="00000052" w14:textId="77777777" w:rsidR="006D7C42" w:rsidRDefault="00FA3CF7">
      <w:pPr>
        <w:pBdr>
          <w:top w:val="nil"/>
          <w:left w:val="nil"/>
          <w:bottom w:val="nil"/>
          <w:right w:val="nil"/>
          <w:between w:val="nil"/>
        </w:pBdr>
        <w:spacing w:after="140" w:line="276" w:lineRule="auto"/>
        <w:rPr>
          <w:rFonts w:ascii="Arial" w:eastAsia="Arial" w:hAnsi="Arial" w:cs="Arial"/>
          <w:color w:val="000000"/>
          <w:sz w:val="22"/>
          <w:szCs w:val="22"/>
        </w:rPr>
      </w:pPr>
      <w:r>
        <w:rPr>
          <w:rFonts w:ascii="Arial" w:eastAsia="Arial" w:hAnsi="Arial" w:cs="Arial"/>
          <w:color w:val="000000"/>
          <w:sz w:val="22"/>
          <w:szCs w:val="22"/>
        </w:rPr>
        <w:t xml:space="preserve">Olson, Hope A. (2001): </w:t>
      </w:r>
      <w:proofErr w:type="spellStart"/>
      <w:r>
        <w:rPr>
          <w:rFonts w:ascii="Arial" w:eastAsia="Arial" w:hAnsi="Arial" w:cs="Arial"/>
          <w:color w:val="000000"/>
          <w:sz w:val="22"/>
          <w:szCs w:val="22"/>
        </w:rPr>
        <w:t>Sameness</w:t>
      </w:r>
      <w:proofErr w:type="spellEnd"/>
      <w:r>
        <w:rPr>
          <w:rFonts w:ascii="Arial" w:eastAsia="Arial" w:hAnsi="Arial" w:cs="Arial"/>
          <w:color w:val="000000"/>
          <w:sz w:val="22"/>
          <w:szCs w:val="22"/>
        </w:rPr>
        <w:t xml:space="preserve"> and </w:t>
      </w:r>
      <w:proofErr w:type="spellStart"/>
      <w:r>
        <w:rPr>
          <w:rFonts w:ascii="Arial" w:eastAsia="Arial" w:hAnsi="Arial" w:cs="Arial"/>
          <w:color w:val="000000"/>
          <w:sz w:val="22"/>
          <w:szCs w:val="22"/>
        </w:rPr>
        <w:t>difference</w:t>
      </w:r>
      <w:proofErr w:type="spellEnd"/>
      <w:r>
        <w:rPr>
          <w:rFonts w:ascii="Arial" w:eastAsia="Arial" w:hAnsi="Arial" w:cs="Arial"/>
          <w:color w:val="000000"/>
          <w:sz w:val="22"/>
          <w:szCs w:val="22"/>
        </w:rPr>
        <w:t xml:space="preserve">. A </w:t>
      </w:r>
      <w:proofErr w:type="spellStart"/>
      <w:r>
        <w:rPr>
          <w:rFonts w:ascii="Arial" w:eastAsia="Arial" w:hAnsi="Arial" w:cs="Arial"/>
          <w:color w:val="000000"/>
          <w:sz w:val="22"/>
          <w:szCs w:val="22"/>
        </w:rPr>
        <w:t>cultural</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foundation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of</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classification</w:t>
      </w:r>
      <w:proofErr w:type="spellEnd"/>
      <w:r>
        <w:rPr>
          <w:rFonts w:ascii="Arial" w:eastAsia="Arial" w:hAnsi="Arial" w:cs="Arial"/>
          <w:color w:val="000000"/>
          <w:sz w:val="22"/>
          <w:szCs w:val="22"/>
        </w:rPr>
        <w:t xml:space="preserve">. In: </w:t>
      </w:r>
      <w:r>
        <w:rPr>
          <w:rFonts w:ascii="Arial" w:eastAsia="Arial" w:hAnsi="Arial" w:cs="Arial"/>
          <w:i/>
          <w:color w:val="000000"/>
          <w:sz w:val="22"/>
          <w:szCs w:val="22"/>
        </w:rPr>
        <w:t xml:space="preserve">Library Ressource and Technical Services </w:t>
      </w:r>
      <w:r>
        <w:rPr>
          <w:rFonts w:ascii="Arial" w:eastAsia="Arial" w:hAnsi="Arial" w:cs="Arial"/>
          <w:color w:val="000000"/>
          <w:sz w:val="22"/>
          <w:szCs w:val="22"/>
        </w:rPr>
        <w:t>45 (3), S. 115–122.</w:t>
      </w:r>
    </w:p>
    <w:p w14:paraId="00000053" w14:textId="77777777" w:rsidR="006D7C42" w:rsidRDefault="00FA3CF7">
      <w:pPr>
        <w:pBdr>
          <w:top w:val="nil"/>
          <w:left w:val="nil"/>
          <w:bottom w:val="nil"/>
          <w:right w:val="nil"/>
          <w:between w:val="nil"/>
        </w:pBdr>
        <w:spacing w:after="140" w:line="276" w:lineRule="auto"/>
        <w:rPr>
          <w:rFonts w:ascii="Arial" w:eastAsia="Arial" w:hAnsi="Arial" w:cs="Arial"/>
          <w:color w:val="000000"/>
          <w:sz w:val="22"/>
          <w:szCs w:val="22"/>
        </w:rPr>
      </w:pPr>
      <w:r>
        <w:rPr>
          <w:rFonts w:ascii="Arial" w:eastAsia="Arial" w:hAnsi="Arial" w:cs="Arial"/>
          <w:color w:val="000000"/>
          <w:sz w:val="22"/>
          <w:szCs w:val="22"/>
        </w:rPr>
        <w:t xml:space="preserve">Richter, Thomas (2019): Der Bestand von </w:t>
      </w:r>
      <w:proofErr w:type="spellStart"/>
      <w:r>
        <w:rPr>
          <w:rFonts w:ascii="Arial" w:eastAsia="Arial" w:hAnsi="Arial" w:cs="Arial"/>
          <w:color w:val="000000"/>
          <w:sz w:val="22"/>
          <w:szCs w:val="22"/>
        </w:rPr>
        <w:t>missio</w:t>
      </w:r>
      <w:proofErr w:type="spellEnd"/>
      <w:r>
        <w:rPr>
          <w:rFonts w:ascii="Arial" w:eastAsia="Arial" w:hAnsi="Arial" w:cs="Arial"/>
          <w:color w:val="000000"/>
          <w:sz w:val="22"/>
          <w:szCs w:val="22"/>
        </w:rPr>
        <w:t xml:space="preserve"> Wien in der Missionsbibliothek und katholischen </w:t>
      </w:r>
      <w:r>
        <w:rPr>
          <w:rFonts w:ascii="Arial" w:eastAsia="Arial" w:hAnsi="Arial" w:cs="Arial"/>
          <w:color w:val="000000"/>
          <w:sz w:val="22"/>
          <w:szCs w:val="22"/>
        </w:rPr>
        <w:t xml:space="preserve">Dokumentationsstelle von </w:t>
      </w:r>
      <w:proofErr w:type="spellStart"/>
      <w:r>
        <w:rPr>
          <w:rFonts w:ascii="Arial" w:eastAsia="Arial" w:hAnsi="Arial" w:cs="Arial"/>
          <w:color w:val="000000"/>
          <w:sz w:val="22"/>
          <w:szCs w:val="22"/>
        </w:rPr>
        <w:t>missio</w:t>
      </w:r>
      <w:proofErr w:type="spellEnd"/>
      <w:r>
        <w:rPr>
          <w:rFonts w:ascii="Arial" w:eastAsia="Arial" w:hAnsi="Arial" w:cs="Arial"/>
          <w:color w:val="000000"/>
          <w:sz w:val="22"/>
          <w:szCs w:val="22"/>
        </w:rPr>
        <w:t xml:space="preserve"> Aachen (MIKADO). Aachen: Institut für katholische Theologie (Aachener Bibliothekskataloge, 1).</w:t>
      </w:r>
    </w:p>
    <w:p w14:paraId="00000054" w14:textId="77777777" w:rsidR="006D7C42" w:rsidRDefault="00FA3CF7">
      <w:pPr>
        <w:pBdr>
          <w:top w:val="nil"/>
          <w:left w:val="nil"/>
          <w:bottom w:val="nil"/>
          <w:right w:val="nil"/>
          <w:between w:val="nil"/>
        </w:pBdr>
        <w:spacing w:after="140" w:line="276" w:lineRule="auto"/>
        <w:rPr>
          <w:rFonts w:ascii="Arial" w:eastAsia="Arial" w:hAnsi="Arial" w:cs="Arial"/>
          <w:color w:val="000000"/>
          <w:sz w:val="22"/>
          <w:szCs w:val="22"/>
        </w:rPr>
      </w:pPr>
      <w:r>
        <w:rPr>
          <w:rFonts w:ascii="Arial" w:eastAsia="Arial" w:hAnsi="Arial" w:cs="Arial"/>
          <w:color w:val="000000"/>
          <w:sz w:val="22"/>
          <w:szCs w:val="22"/>
        </w:rPr>
        <w:t xml:space="preserve">Schrenk, Friedemann; Kuper, Anke; Rahn, Anne Marie; </w:t>
      </w:r>
      <w:proofErr w:type="spellStart"/>
      <w:r>
        <w:rPr>
          <w:rFonts w:ascii="Arial" w:eastAsia="Arial" w:hAnsi="Arial" w:cs="Arial"/>
          <w:color w:val="000000"/>
          <w:sz w:val="22"/>
          <w:szCs w:val="22"/>
        </w:rPr>
        <w:t>Eiser</w:t>
      </w:r>
      <w:proofErr w:type="spellEnd"/>
      <w:r>
        <w:rPr>
          <w:rFonts w:ascii="Arial" w:eastAsia="Arial" w:hAnsi="Arial" w:cs="Arial"/>
          <w:color w:val="000000"/>
          <w:sz w:val="22"/>
          <w:szCs w:val="22"/>
        </w:rPr>
        <w:t>, Isabel (2018): Menschen in Sammlungen. Geschichte verpflichtet. In: An</w:t>
      </w:r>
      <w:r>
        <w:rPr>
          <w:rFonts w:ascii="Arial" w:eastAsia="Arial" w:hAnsi="Arial" w:cs="Arial"/>
          <w:color w:val="000000"/>
          <w:sz w:val="22"/>
          <w:szCs w:val="22"/>
        </w:rPr>
        <w:t>na-Maria Brandstetter und Vera Hierholzer (</w:t>
      </w:r>
      <w:proofErr w:type="spellStart"/>
      <w:r>
        <w:rPr>
          <w:rFonts w:ascii="Arial" w:eastAsia="Arial" w:hAnsi="Arial" w:cs="Arial"/>
          <w:color w:val="000000"/>
          <w:sz w:val="22"/>
          <w:szCs w:val="22"/>
        </w:rPr>
        <w:t>Hg</w:t>
      </w:r>
      <w:proofErr w:type="spellEnd"/>
      <w:r>
        <w:rPr>
          <w:rFonts w:ascii="Arial" w:eastAsia="Arial" w:hAnsi="Arial" w:cs="Arial"/>
          <w:color w:val="000000"/>
          <w:sz w:val="22"/>
          <w:szCs w:val="22"/>
        </w:rPr>
        <w:t xml:space="preserve">.): Nicht nur Raubkunst! Sensible Dinge in Museen und universitären Sammlungen. Göttingen: V&amp;R </w:t>
      </w:r>
      <w:proofErr w:type="spellStart"/>
      <w:r>
        <w:rPr>
          <w:rFonts w:ascii="Arial" w:eastAsia="Arial" w:hAnsi="Arial" w:cs="Arial"/>
          <w:color w:val="000000"/>
          <w:sz w:val="22"/>
          <w:szCs w:val="22"/>
        </w:rPr>
        <w:t>Unipress</w:t>
      </w:r>
      <w:proofErr w:type="spellEnd"/>
      <w:r>
        <w:rPr>
          <w:rFonts w:ascii="Arial" w:eastAsia="Arial" w:hAnsi="Arial" w:cs="Arial"/>
          <w:color w:val="000000"/>
          <w:sz w:val="22"/>
          <w:szCs w:val="22"/>
        </w:rPr>
        <w:t>, [</w:t>
      </w:r>
      <w:proofErr w:type="gramStart"/>
      <w:r>
        <w:rPr>
          <w:rFonts w:ascii="Arial" w:eastAsia="Arial" w:hAnsi="Arial" w:cs="Arial"/>
          <w:color w:val="000000"/>
          <w:sz w:val="22"/>
          <w:szCs w:val="22"/>
        </w:rPr>
        <w:t>46]</w:t>
      </w:r>
      <w:r>
        <w:rPr>
          <w:rFonts w:ascii="Arial" w:eastAsia="Arial" w:hAnsi="Arial" w:cs="Arial"/>
          <w:sz w:val="22"/>
          <w:szCs w:val="22"/>
        </w:rPr>
        <w:t>–</w:t>
      </w:r>
      <w:proofErr w:type="gramEnd"/>
      <w:r>
        <w:rPr>
          <w:rFonts w:ascii="Arial" w:eastAsia="Arial" w:hAnsi="Arial" w:cs="Arial"/>
          <w:color w:val="000000"/>
          <w:sz w:val="22"/>
          <w:szCs w:val="22"/>
        </w:rPr>
        <w:t>61, DOI: https://doi.org/10.14220/9783737008082.45.</w:t>
      </w:r>
    </w:p>
    <w:p w14:paraId="00000055" w14:textId="77777777" w:rsidR="006D7C42" w:rsidRDefault="00FA3CF7">
      <w:pPr>
        <w:pBdr>
          <w:top w:val="nil"/>
          <w:left w:val="nil"/>
          <w:bottom w:val="nil"/>
          <w:right w:val="nil"/>
          <w:between w:val="nil"/>
        </w:pBdr>
        <w:spacing w:after="140" w:line="276" w:lineRule="auto"/>
        <w:rPr>
          <w:rFonts w:ascii="Arial" w:eastAsia="Arial" w:hAnsi="Arial" w:cs="Arial"/>
          <w:color w:val="000000"/>
          <w:sz w:val="22"/>
          <w:szCs w:val="22"/>
        </w:rPr>
      </w:pPr>
      <w:proofErr w:type="spellStart"/>
      <w:r>
        <w:rPr>
          <w:rFonts w:ascii="Arial" w:eastAsia="Arial" w:hAnsi="Arial" w:cs="Arial"/>
          <w:color w:val="000000"/>
          <w:sz w:val="22"/>
          <w:szCs w:val="22"/>
        </w:rPr>
        <w:lastRenderedPageBreak/>
        <w:t>Spivak</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Gayatri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Chakravorty</w:t>
      </w:r>
      <w:proofErr w:type="spellEnd"/>
      <w:r>
        <w:rPr>
          <w:rFonts w:ascii="Arial" w:eastAsia="Arial" w:hAnsi="Arial" w:cs="Arial"/>
          <w:color w:val="000000"/>
          <w:sz w:val="22"/>
          <w:szCs w:val="22"/>
        </w:rPr>
        <w:t xml:space="preserve"> (1985): The Rani </w:t>
      </w:r>
      <w:proofErr w:type="spellStart"/>
      <w:r>
        <w:rPr>
          <w:rFonts w:ascii="Arial" w:eastAsia="Arial" w:hAnsi="Arial" w:cs="Arial"/>
          <w:color w:val="000000"/>
          <w:sz w:val="22"/>
          <w:szCs w:val="22"/>
        </w:rPr>
        <w:t>of</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w:t>
      </w:r>
      <w:r>
        <w:rPr>
          <w:rFonts w:ascii="Arial" w:eastAsia="Arial" w:hAnsi="Arial" w:cs="Arial"/>
          <w:color w:val="000000"/>
          <w:sz w:val="22"/>
          <w:szCs w:val="22"/>
        </w:rPr>
        <w:t>irmur</w:t>
      </w:r>
      <w:proofErr w:type="spellEnd"/>
      <w:r>
        <w:rPr>
          <w:rFonts w:ascii="Arial" w:eastAsia="Arial" w:hAnsi="Arial" w:cs="Arial"/>
          <w:color w:val="000000"/>
          <w:sz w:val="22"/>
          <w:szCs w:val="22"/>
        </w:rPr>
        <w:t xml:space="preserve">. An </w:t>
      </w:r>
      <w:proofErr w:type="spellStart"/>
      <w:r>
        <w:rPr>
          <w:rFonts w:ascii="Arial" w:eastAsia="Arial" w:hAnsi="Arial" w:cs="Arial"/>
          <w:color w:val="000000"/>
          <w:sz w:val="22"/>
          <w:szCs w:val="22"/>
        </w:rPr>
        <w:t>essay</w:t>
      </w:r>
      <w:proofErr w:type="spellEnd"/>
      <w:r>
        <w:rPr>
          <w:rFonts w:ascii="Arial" w:eastAsia="Arial" w:hAnsi="Arial" w:cs="Arial"/>
          <w:color w:val="000000"/>
          <w:sz w:val="22"/>
          <w:szCs w:val="22"/>
        </w:rPr>
        <w:t xml:space="preserve"> in </w:t>
      </w:r>
      <w:proofErr w:type="spellStart"/>
      <w:r>
        <w:rPr>
          <w:rFonts w:ascii="Arial" w:eastAsia="Arial" w:hAnsi="Arial" w:cs="Arial"/>
          <w:color w:val="000000"/>
          <w:sz w:val="22"/>
          <w:szCs w:val="22"/>
        </w:rPr>
        <w:t>reading</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the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archives</w:t>
      </w:r>
      <w:proofErr w:type="spellEnd"/>
      <w:r>
        <w:rPr>
          <w:rFonts w:ascii="Arial" w:eastAsia="Arial" w:hAnsi="Arial" w:cs="Arial"/>
          <w:color w:val="000000"/>
          <w:sz w:val="22"/>
          <w:szCs w:val="22"/>
        </w:rPr>
        <w:t xml:space="preserve">. In: </w:t>
      </w:r>
      <w:proofErr w:type="spellStart"/>
      <w:r>
        <w:rPr>
          <w:rFonts w:ascii="Arial" w:eastAsia="Arial" w:hAnsi="Arial" w:cs="Arial"/>
          <w:i/>
          <w:color w:val="000000"/>
          <w:sz w:val="22"/>
          <w:szCs w:val="22"/>
        </w:rPr>
        <w:t>History</w:t>
      </w:r>
      <w:proofErr w:type="spellEnd"/>
      <w:r>
        <w:rPr>
          <w:rFonts w:ascii="Arial" w:eastAsia="Arial" w:hAnsi="Arial" w:cs="Arial"/>
          <w:i/>
          <w:color w:val="000000"/>
          <w:sz w:val="22"/>
          <w:szCs w:val="22"/>
        </w:rPr>
        <w:t xml:space="preserve"> and </w:t>
      </w:r>
      <w:proofErr w:type="spellStart"/>
      <w:r>
        <w:rPr>
          <w:rFonts w:ascii="Arial" w:eastAsia="Arial" w:hAnsi="Arial" w:cs="Arial"/>
          <w:i/>
          <w:color w:val="000000"/>
          <w:sz w:val="22"/>
          <w:szCs w:val="22"/>
        </w:rPr>
        <w:t>theory</w:t>
      </w:r>
      <w:proofErr w:type="spellEnd"/>
      <w:r>
        <w:rPr>
          <w:rFonts w:ascii="Arial" w:eastAsia="Arial" w:hAnsi="Arial" w:cs="Arial"/>
          <w:i/>
          <w:color w:val="000000"/>
          <w:sz w:val="22"/>
          <w:szCs w:val="22"/>
        </w:rPr>
        <w:t xml:space="preserve"> </w:t>
      </w:r>
      <w:r>
        <w:rPr>
          <w:rFonts w:ascii="Arial" w:eastAsia="Arial" w:hAnsi="Arial" w:cs="Arial"/>
          <w:color w:val="000000"/>
          <w:sz w:val="22"/>
          <w:szCs w:val="22"/>
        </w:rPr>
        <w:t xml:space="preserve">24 (3), S. 247–272. DOI: </w:t>
      </w:r>
      <w:r>
        <w:rPr>
          <w:rFonts w:ascii="Arial" w:eastAsia="Arial" w:hAnsi="Arial" w:cs="Arial"/>
          <w:sz w:val="22"/>
          <w:szCs w:val="22"/>
        </w:rPr>
        <w:t>https://doi.org/</w:t>
      </w:r>
      <w:r>
        <w:rPr>
          <w:rFonts w:ascii="Arial" w:eastAsia="Arial" w:hAnsi="Arial" w:cs="Arial"/>
          <w:color w:val="000000"/>
          <w:sz w:val="22"/>
          <w:szCs w:val="22"/>
        </w:rPr>
        <w:t>10.2307/2505169.</w:t>
      </w:r>
    </w:p>
    <w:p w14:paraId="00000056" w14:textId="77777777" w:rsidR="006D7C42" w:rsidRDefault="006D7C42">
      <w:pPr>
        <w:pBdr>
          <w:top w:val="nil"/>
          <w:left w:val="nil"/>
          <w:bottom w:val="nil"/>
          <w:right w:val="nil"/>
          <w:between w:val="nil"/>
        </w:pBdr>
        <w:spacing w:after="140" w:line="276" w:lineRule="auto"/>
        <w:rPr>
          <w:rFonts w:ascii="Arial" w:eastAsia="Arial" w:hAnsi="Arial" w:cs="Arial"/>
          <w:color w:val="000000"/>
          <w:sz w:val="22"/>
          <w:szCs w:val="22"/>
        </w:rPr>
      </w:pPr>
    </w:p>
    <w:p w14:paraId="00000057" w14:textId="77777777" w:rsidR="006D7C42" w:rsidRDefault="00FA3CF7">
      <w:pPr>
        <w:pBdr>
          <w:top w:val="nil"/>
          <w:left w:val="nil"/>
          <w:bottom w:val="nil"/>
          <w:right w:val="nil"/>
          <w:between w:val="nil"/>
        </w:pBdr>
        <w:tabs>
          <w:tab w:val="left" w:pos="606"/>
        </w:tabs>
        <w:spacing w:after="140" w:line="276" w:lineRule="auto"/>
        <w:rPr>
          <w:rFonts w:ascii="Arial" w:eastAsia="Arial" w:hAnsi="Arial" w:cs="Arial"/>
          <w:b/>
          <w:color w:val="000000"/>
          <w:sz w:val="22"/>
          <w:szCs w:val="22"/>
        </w:rPr>
      </w:pPr>
      <w:r>
        <w:rPr>
          <w:rFonts w:ascii="Arial" w:eastAsia="Arial" w:hAnsi="Arial" w:cs="Arial"/>
          <w:b/>
          <w:color w:val="000000"/>
          <w:sz w:val="22"/>
          <w:szCs w:val="22"/>
        </w:rPr>
        <w:t>Zitierte Quellen</w:t>
      </w:r>
    </w:p>
    <w:p w14:paraId="00000058" w14:textId="77777777" w:rsidR="006D7C42" w:rsidRDefault="00FA3CF7">
      <w:pPr>
        <w:pBdr>
          <w:top w:val="nil"/>
          <w:left w:val="nil"/>
          <w:bottom w:val="nil"/>
          <w:right w:val="nil"/>
          <w:between w:val="nil"/>
        </w:pBdr>
        <w:spacing w:after="140" w:line="276" w:lineRule="auto"/>
        <w:rPr>
          <w:rFonts w:ascii="Arial" w:eastAsia="Arial" w:hAnsi="Arial" w:cs="Arial"/>
          <w:color w:val="000000"/>
          <w:sz w:val="22"/>
          <w:szCs w:val="22"/>
        </w:rPr>
      </w:pPr>
      <w:r>
        <w:rPr>
          <w:rFonts w:ascii="Arial" w:eastAsia="Arial" w:hAnsi="Arial" w:cs="Arial"/>
          <w:color w:val="000000"/>
          <w:sz w:val="22"/>
          <w:szCs w:val="22"/>
        </w:rPr>
        <w:t>Baumann, Hermann (1936): Schöpfung und Urzeit des Menschen im Mythus der afrikanischen Völker. Berlin: Reimer.</w:t>
      </w:r>
    </w:p>
    <w:p w14:paraId="00000059" w14:textId="77777777" w:rsidR="006D7C42" w:rsidRDefault="00FA3CF7">
      <w:pPr>
        <w:pBdr>
          <w:top w:val="nil"/>
          <w:left w:val="nil"/>
          <w:bottom w:val="nil"/>
          <w:right w:val="nil"/>
          <w:between w:val="nil"/>
        </w:pBdr>
        <w:spacing w:after="140" w:line="276" w:lineRule="auto"/>
        <w:rPr>
          <w:rFonts w:ascii="Arial" w:eastAsia="Arial" w:hAnsi="Arial" w:cs="Arial"/>
          <w:color w:val="000000"/>
          <w:sz w:val="22"/>
          <w:szCs w:val="22"/>
        </w:rPr>
      </w:pPr>
      <w:r>
        <w:rPr>
          <w:rFonts w:ascii="Arial" w:eastAsia="Arial" w:hAnsi="Arial" w:cs="Arial"/>
          <w:color w:val="000000"/>
          <w:sz w:val="22"/>
          <w:szCs w:val="22"/>
        </w:rPr>
        <w:t>Berg, Hans Walter (1985): Indien: Traum und Wirklichkeit. 1. Aufl. Hamburg: Hoffmann u. Campe.</w:t>
      </w:r>
    </w:p>
    <w:p w14:paraId="0000005A" w14:textId="77777777" w:rsidR="006D7C42" w:rsidRDefault="00FA3CF7">
      <w:pPr>
        <w:pBdr>
          <w:top w:val="nil"/>
          <w:left w:val="nil"/>
          <w:bottom w:val="nil"/>
          <w:right w:val="nil"/>
          <w:between w:val="nil"/>
        </w:pBdr>
        <w:spacing w:after="140" w:line="276" w:lineRule="auto"/>
        <w:rPr>
          <w:rFonts w:ascii="Arial" w:eastAsia="Arial" w:hAnsi="Arial" w:cs="Arial"/>
          <w:color w:val="000000"/>
          <w:sz w:val="22"/>
          <w:szCs w:val="22"/>
        </w:rPr>
      </w:pPr>
      <w:r>
        <w:rPr>
          <w:rFonts w:ascii="Arial" w:eastAsia="Arial" w:hAnsi="Arial" w:cs="Arial"/>
          <w:color w:val="000000"/>
          <w:sz w:val="22"/>
          <w:szCs w:val="22"/>
        </w:rPr>
        <w:t>Die Integration des Negers in die Klassengesellsch</w:t>
      </w:r>
      <w:r>
        <w:rPr>
          <w:rFonts w:ascii="Arial" w:eastAsia="Arial" w:hAnsi="Arial" w:cs="Arial"/>
          <w:color w:val="000000"/>
          <w:sz w:val="22"/>
          <w:szCs w:val="22"/>
        </w:rPr>
        <w:t>aft: An der Schwelle einer neuen Zeit (1977) (5).</w:t>
      </w:r>
    </w:p>
    <w:p w14:paraId="0000005B" w14:textId="77777777" w:rsidR="006D7C42" w:rsidRDefault="00FA3CF7">
      <w:pPr>
        <w:pBdr>
          <w:top w:val="nil"/>
          <w:left w:val="nil"/>
          <w:bottom w:val="nil"/>
          <w:right w:val="nil"/>
          <w:between w:val="nil"/>
        </w:pBdr>
        <w:spacing w:after="140" w:line="276" w:lineRule="auto"/>
        <w:rPr>
          <w:rFonts w:ascii="Arial" w:eastAsia="Arial" w:hAnsi="Arial" w:cs="Arial"/>
          <w:color w:val="000000"/>
          <w:sz w:val="22"/>
          <w:szCs w:val="22"/>
        </w:rPr>
      </w:pPr>
      <w:r>
        <w:rPr>
          <w:rFonts w:ascii="Arial" w:eastAsia="Arial" w:hAnsi="Arial" w:cs="Arial"/>
          <w:color w:val="000000"/>
          <w:sz w:val="22"/>
          <w:szCs w:val="22"/>
        </w:rPr>
        <w:t>Dodge, Richard Irving; Mylius, Otfrid (1884): Die heutigen Indianer des fernen Westens: Aus dreißigjähriger persönlicher Anschauung geschildert. Wien [u. a.]: A. Hartleben.</w:t>
      </w:r>
    </w:p>
    <w:p w14:paraId="0000005C" w14:textId="77777777" w:rsidR="006D7C42" w:rsidRDefault="00FA3CF7">
      <w:pPr>
        <w:pBdr>
          <w:top w:val="nil"/>
          <w:left w:val="nil"/>
          <w:bottom w:val="nil"/>
          <w:right w:val="nil"/>
          <w:between w:val="nil"/>
        </w:pBdr>
        <w:spacing w:after="140" w:line="276" w:lineRule="auto"/>
        <w:rPr>
          <w:rFonts w:ascii="Arial" w:eastAsia="Arial" w:hAnsi="Arial" w:cs="Arial"/>
          <w:color w:val="000000"/>
          <w:sz w:val="22"/>
          <w:szCs w:val="22"/>
        </w:rPr>
      </w:pPr>
      <w:r>
        <w:rPr>
          <w:rFonts w:ascii="Arial" w:eastAsia="Arial" w:hAnsi="Arial" w:cs="Arial"/>
          <w:color w:val="000000"/>
          <w:sz w:val="22"/>
          <w:szCs w:val="22"/>
        </w:rPr>
        <w:t>Gundolf, Hubert (1968): Eines Tages werden wir siegen: von der Sklaverei zum Bürger</w:t>
      </w:r>
      <w:r>
        <w:rPr>
          <w:rFonts w:ascii="Arial" w:eastAsia="Arial" w:hAnsi="Arial" w:cs="Arial"/>
          <w:color w:val="000000"/>
          <w:sz w:val="22"/>
          <w:szCs w:val="22"/>
        </w:rPr>
        <w:t>recht. Graz, Wien [u.a.]: Verl. Styria.</w:t>
      </w:r>
    </w:p>
    <w:p w14:paraId="0000005D" w14:textId="77777777" w:rsidR="006D7C42" w:rsidRDefault="00FA3CF7">
      <w:pPr>
        <w:pBdr>
          <w:top w:val="nil"/>
          <w:left w:val="nil"/>
          <w:bottom w:val="nil"/>
          <w:right w:val="nil"/>
          <w:between w:val="nil"/>
        </w:pBdr>
        <w:spacing w:after="140" w:line="276" w:lineRule="auto"/>
        <w:rPr>
          <w:rFonts w:ascii="Arial" w:eastAsia="Arial" w:hAnsi="Arial" w:cs="Arial"/>
          <w:color w:val="000000"/>
          <w:sz w:val="22"/>
          <w:szCs w:val="22"/>
        </w:rPr>
      </w:pPr>
      <w:r>
        <w:rPr>
          <w:rFonts w:ascii="Arial" w:eastAsia="Arial" w:hAnsi="Arial" w:cs="Arial"/>
          <w:color w:val="000000"/>
          <w:sz w:val="22"/>
          <w:szCs w:val="22"/>
        </w:rPr>
        <w:t xml:space="preserve">Huber, Gerhard (1954): Kreuze über Nagasaki: den sechsundzwanzig </w:t>
      </w:r>
      <w:proofErr w:type="spellStart"/>
      <w:r>
        <w:rPr>
          <w:rFonts w:ascii="Arial" w:eastAsia="Arial" w:hAnsi="Arial" w:cs="Arial"/>
          <w:color w:val="000000"/>
          <w:sz w:val="22"/>
          <w:szCs w:val="22"/>
        </w:rPr>
        <w:t>Erstlingsmartyrern</w:t>
      </w:r>
      <w:proofErr w:type="spellEnd"/>
      <w:r>
        <w:rPr>
          <w:rFonts w:ascii="Arial" w:eastAsia="Arial" w:hAnsi="Arial" w:cs="Arial"/>
          <w:color w:val="000000"/>
          <w:sz w:val="22"/>
          <w:szCs w:val="22"/>
        </w:rPr>
        <w:t xml:space="preserve"> Japans zum Gedächtnis. Werl/</w:t>
      </w:r>
      <w:proofErr w:type="spellStart"/>
      <w:r>
        <w:rPr>
          <w:rFonts w:ascii="Arial" w:eastAsia="Arial" w:hAnsi="Arial" w:cs="Arial"/>
          <w:color w:val="000000"/>
          <w:sz w:val="22"/>
          <w:szCs w:val="22"/>
        </w:rPr>
        <w:t>Westf</w:t>
      </w:r>
      <w:proofErr w:type="spellEnd"/>
      <w:r>
        <w:rPr>
          <w:rFonts w:ascii="Arial" w:eastAsia="Arial" w:hAnsi="Arial" w:cs="Arial"/>
          <w:color w:val="000000"/>
          <w:sz w:val="22"/>
          <w:szCs w:val="22"/>
        </w:rPr>
        <w:t>: Dietrich-</w:t>
      </w:r>
      <w:proofErr w:type="spellStart"/>
      <w:r>
        <w:rPr>
          <w:rFonts w:ascii="Arial" w:eastAsia="Arial" w:hAnsi="Arial" w:cs="Arial"/>
          <w:color w:val="000000"/>
          <w:sz w:val="22"/>
          <w:szCs w:val="22"/>
        </w:rPr>
        <w:t>Coelde</w:t>
      </w:r>
      <w:proofErr w:type="spellEnd"/>
      <w:r>
        <w:rPr>
          <w:rFonts w:ascii="Arial" w:eastAsia="Arial" w:hAnsi="Arial" w:cs="Arial"/>
          <w:color w:val="000000"/>
          <w:sz w:val="22"/>
          <w:szCs w:val="22"/>
        </w:rPr>
        <w:t>-Verl.</w:t>
      </w:r>
    </w:p>
    <w:p w14:paraId="0000005E" w14:textId="77777777" w:rsidR="006D7C42" w:rsidRDefault="00FA3CF7">
      <w:pPr>
        <w:pBdr>
          <w:top w:val="nil"/>
          <w:left w:val="nil"/>
          <w:bottom w:val="nil"/>
          <w:right w:val="nil"/>
          <w:between w:val="nil"/>
        </w:pBdr>
        <w:spacing w:after="140" w:line="276" w:lineRule="auto"/>
        <w:rPr>
          <w:rFonts w:ascii="Arial" w:eastAsia="Arial" w:hAnsi="Arial" w:cs="Arial"/>
          <w:color w:val="000000"/>
          <w:sz w:val="22"/>
          <w:szCs w:val="22"/>
        </w:rPr>
      </w:pPr>
      <w:r>
        <w:rPr>
          <w:rFonts w:ascii="Arial" w:eastAsia="Arial" w:hAnsi="Arial" w:cs="Arial"/>
          <w:color w:val="000000"/>
          <w:sz w:val="22"/>
          <w:szCs w:val="22"/>
        </w:rPr>
        <w:t xml:space="preserve">Moreira, Adriano (1963): Portugals Überseepolitik: Reden, Essays, Vorträge </w:t>
      </w:r>
      <w:r>
        <w:rPr>
          <w:rFonts w:ascii="Arial" w:eastAsia="Arial" w:hAnsi="Arial" w:cs="Arial"/>
          <w:color w:val="000000"/>
          <w:sz w:val="22"/>
          <w:szCs w:val="22"/>
        </w:rPr>
        <w:t xml:space="preserve">zur gegenwärtigen Politik und Geschichte Portugals in seinen Überseegebieten. Baden-Baden: </w:t>
      </w:r>
      <w:proofErr w:type="spellStart"/>
      <w:r>
        <w:rPr>
          <w:rFonts w:ascii="Arial" w:eastAsia="Arial" w:hAnsi="Arial" w:cs="Arial"/>
          <w:color w:val="000000"/>
          <w:sz w:val="22"/>
          <w:szCs w:val="22"/>
        </w:rPr>
        <w:t>Lutzeyer</w:t>
      </w:r>
      <w:proofErr w:type="spellEnd"/>
      <w:r>
        <w:rPr>
          <w:rFonts w:ascii="Arial" w:eastAsia="Arial" w:hAnsi="Arial" w:cs="Arial"/>
          <w:color w:val="000000"/>
          <w:sz w:val="22"/>
          <w:szCs w:val="22"/>
        </w:rPr>
        <w:t>.</w:t>
      </w:r>
    </w:p>
    <w:p w14:paraId="0000005F" w14:textId="77777777" w:rsidR="006D7C42" w:rsidRDefault="00FA3CF7">
      <w:pPr>
        <w:pBdr>
          <w:top w:val="nil"/>
          <w:left w:val="nil"/>
          <w:bottom w:val="nil"/>
          <w:right w:val="nil"/>
          <w:between w:val="nil"/>
        </w:pBdr>
        <w:spacing w:after="140" w:line="276" w:lineRule="auto"/>
        <w:rPr>
          <w:rFonts w:ascii="Arial" w:eastAsia="Arial" w:hAnsi="Arial" w:cs="Arial"/>
          <w:color w:val="000000"/>
          <w:sz w:val="22"/>
          <w:szCs w:val="22"/>
        </w:rPr>
      </w:pPr>
      <w:r>
        <w:rPr>
          <w:rFonts w:ascii="Arial" w:eastAsia="Arial" w:hAnsi="Arial" w:cs="Arial"/>
          <w:color w:val="000000"/>
          <w:sz w:val="22"/>
          <w:szCs w:val="22"/>
        </w:rPr>
        <w:t xml:space="preserve">Uhlig, Ralf-Dieter (1964): Peru: mit Stadtführer Lima und Cuzco. Buchenhain vor München: </w:t>
      </w:r>
      <w:proofErr w:type="spellStart"/>
      <w:r>
        <w:rPr>
          <w:rFonts w:ascii="Arial" w:eastAsia="Arial" w:hAnsi="Arial" w:cs="Arial"/>
          <w:color w:val="000000"/>
          <w:sz w:val="22"/>
          <w:szCs w:val="22"/>
        </w:rPr>
        <w:t>Mai's</w:t>
      </w:r>
      <w:proofErr w:type="spellEnd"/>
      <w:r>
        <w:rPr>
          <w:rFonts w:ascii="Arial" w:eastAsia="Arial" w:hAnsi="Arial" w:cs="Arial"/>
          <w:color w:val="000000"/>
          <w:sz w:val="22"/>
          <w:szCs w:val="22"/>
        </w:rPr>
        <w:t xml:space="preserve"> Reiseführer-Verl. (6).</w:t>
      </w:r>
    </w:p>
    <w:sectPr w:rsidR="006D7C42">
      <w:pgSz w:w="11906" w:h="16838"/>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2509F" w14:textId="77777777" w:rsidR="00FA3CF7" w:rsidRDefault="00FA3CF7">
      <w:pPr>
        <w:spacing w:after="0"/>
      </w:pPr>
      <w:r>
        <w:separator/>
      </w:r>
    </w:p>
  </w:endnote>
  <w:endnote w:type="continuationSeparator" w:id="0">
    <w:p w14:paraId="3AD0CDC9" w14:textId="77777777" w:rsidR="00FA3CF7" w:rsidRDefault="00FA3C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Liberation Sans">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1AD4B" w14:textId="77777777" w:rsidR="00FA3CF7" w:rsidRDefault="00FA3CF7">
      <w:pPr>
        <w:spacing w:after="0"/>
      </w:pPr>
      <w:r>
        <w:separator/>
      </w:r>
    </w:p>
  </w:footnote>
  <w:footnote w:type="continuationSeparator" w:id="0">
    <w:p w14:paraId="3E8A138F" w14:textId="77777777" w:rsidR="00FA3CF7" w:rsidRDefault="00FA3CF7">
      <w:pPr>
        <w:spacing w:after="0"/>
      </w:pPr>
      <w:r>
        <w:continuationSeparator/>
      </w:r>
    </w:p>
  </w:footnote>
  <w:footnote w:id="1">
    <w:p w14:paraId="00000060"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t>Die verschiedenen Schreibweisen von</w:t>
      </w:r>
      <w:r>
        <w:rPr>
          <w:rFonts w:ascii="Arial" w:eastAsia="Arial" w:hAnsi="Arial" w:cs="Arial"/>
          <w:color w:val="000000"/>
          <w:sz w:val="16"/>
          <w:szCs w:val="16"/>
        </w:rPr>
        <w:t xml:space="preserve"> Missio sind den Eigenbezeichnungen der diversen Einrichtungen geschuldet. Diese werden im vorliegenden Text beibehalten und stellen sich folgendermaßen dar: MISSIO Österreich und </w:t>
      </w:r>
      <w:proofErr w:type="spellStart"/>
      <w:r>
        <w:rPr>
          <w:rFonts w:ascii="Arial" w:eastAsia="Arial" w:hAnsi="Arial" w:cs="Arial"/>
          <w:color w:val="000000"/>
          <w:sz w:val="16"/>
          <w:szCs w:val="16"/>
        </w:rPr>
        <w:t>missio</w:t>
      </w:r>
      <w:proofErr w:type="spellEnd"/>
      <w:r>
        <w:rPr>
          <w:rFonts w:ascii="Arial" w:eastAsia="Arial" w:hAnsi="Arial" w:cs="Arial"/>
          <w:color w:val="000000"/>
          <w:sz w:val="16"/>
          <w:szCs w:val="16"/>
        </w:rPr>
        <w:t xml:space="preserve"> Aachen. Der untersuchte Teilbestand der einstigen Missio-Bibliothek w</w:t>
      </w:r>
      <w:r>
        <w:rPr>
          <w:rFonts w:ascii="Arial" w:eastAsia="Arial" w:hAnsi="Arial" w:cs="Arial"/>
          <w:color w:val="000000"/>
          <w:sz w:val="16"/>
          <w:szCs w:val="16"/>
        </w:rPr>
        <w:t>ird als Missio-Sondersammlung oder Missio-Bestand bezeichnet.</w:t>
      </w:r>
    </w:p>
  </w:footnote>
  <w:footnote w:id="2">
    <w:p w14:paraId="00000061"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t>Im Text wird geschlechtersensible Schreibweise praktiziert, indem mittels Doppelpunkt Personen jenseits der binären Zuschreibung von Mann/Frau berücksichtigt werden sollen. Dort, wo der inhalt</w:t>
      </w:r>
      <w:r>
        <w:rPr>
          <w:rFonts w:ascii="Arial" w:eastAsia="Arial" w:hAnsi="Arial" w:cs="Arial"/>
          <w:color w:val="000000"/>
          <w:sz w:val="16"/>
          <w:szCs w:val="16"/>
        </w:rPr>
        <w:t xml:space="preserve">liche oder historische Kontext nicht darauf schließen lässt, dass Personen oder Gruppen Geschlechteridentitäten in Frage stellen oder gestellt haben, werden sie innerhalb des binären Systems verortet. </w:t>
      </w:r>
    </w:p>
  </w:footnote>
  <w:footnote w:id="3">
    <w:p w14:paraId="00000083" w14:textId="77777777" w:rsidR="006D7C42" w:rsidRDefault="00FA3CF7">
      <w:pPr>
        <w:spacing w:after="0"/>
        <w:rPr>
          <w:sz w:val="16"/>
          <w:szCs w:val="16"/>
        </w:rPr>
      </w:pPr>
      <w:r>
        <w:rPr>
          <w:vertAlign w:val="superscript"/>
        </w:rPr>
        <w:footnoteRef/>
      </w:r>
      <w:r>
        <w:rPr>
          <w:sz w:val="20"/>
          <w:szCs w:val="20"/>
        </w:rPr>
        <w:t xml:space="preserve"> </w:t>
      </w:r>
      <w:r>
        <w:rPr>
          <w:sz w:val="16"/>
          <w:szCs w:val="16"/>
        </w:rPr>
        <w:t>“Von Othering spricht man, wenn eine Gruppe ode</w:t>
      </w:r>
      <w:r>
        <w:rPr>
          <w:sz w:val="16"/>
          <w:szCs w:val="16"/>
        </w:rPr>
        <w:t>r eine Person sich von einer anderen Gruppe abgrenzt, indem sie die nicht-eigene Gruppe als andersartig und fremd beschreibt. Dies geschieht in der Regel innerhalb eines Machtgefälles: die als anders Beschriebenen sind von Diskriminierung betroffen und hab</w:t>
      </w:r>
      <w:r>
        <w:rPr>
          <w:sz w:val="16"/>
          <w:szCs w:val="16"/>
        </w:rPr>
        <w:t>en deswegen wenig Möglichkeiten, sich gegen die Zuschreibung zu wehren.” (https://diversity-arts-culture.berlin/woerterbuch/othering)</w:t>
      </w:r>
    </w:p>
  </w:footnote>
  <w:footnote w:id="4">
    <w:p w14:paraId="00000062"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r>
      <w:r>
        <w:rPr>
          <w:rFonts w:ascii="Arial" w:eastAsia="Arial" w:hAnsi="Arial" w:cs="Arial"/>
          <w:sz w:val="16"/>
          <w:szCs w:val="16"/>
        </w:rPr>
        <w:t>Vergleiche</w:t>
      </w:r>
      <w:r>
        <w:rPr>
          <w:rFonts w:ascii="Arial" w:eastAsia="Arial" w:hAnsi="Arial" w:cs="Arial"/>
          <w:color w:val="000000"/>
          <w:sz w:val="16"/>
          <w:szCs w:val="16"/>
        </w:rPr>
        <w:t xml:space="preserve"> Foucault (1981), S. 259</w:t>
      </w:r>
    </w:p>
  </w:footnote>
  <w:footnote w:id="5">
    <w:p w14:paraId="00000063"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r>
      <w:r>
        <w:rPr>
          <w:rFonts w:ascii="Arial" w:eastAsia="Arial" w:hAnsi="Arial" w:cs="Arial"/>
          <w:sz w:val="16"/>
          <w:szCs w:val="16"/>
        </w:rPr>
        <w:t>Derselbe</w:t>
      </w:r>
      <w:r>
        <w:rPr>
          <w:rFonts w:ascii="Arial" w:eastAsia="Arial" w:hAnsi="Arial" w:cs="Arial"/>
          <w:color w:val="000000"/>
          <w:sz w:val="16"/>
          <w:szCs w:val="16"/>
        </w:rPr>
        <w:t xml:space="preserve"> (2012)</w:t>
      </w:r>
      <w:r>
        <w:rPr>
          <w:rFonts w:ascii="Arial" w:eastAsia="Arial" w:hAnsi="Arial" w:cs="Arial"/>
          <w:color w:val="000000"/>
          <w:sz w:val="16"/>
          <w:szCs w:val="16"/>
        </w:rPr>
        <w:t>, S. 11</w:t>
      </w:r>
    </w:p>
  </w:footnote>
  <w:footnote w:id="6">
    <w:p w14:paraId="00000064"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r>
      <w:r>
        <w:rPr>
          <w:rFonts w:ascii="Arial" w:eastAsia="Arial" w:hAnsi="Arial" w:cs="Arial"/>
          <w:sz w:val="16"/>
          <w:szCs w:val="16"/>
        </w:rPr>
        <w:t>Vergleiche</w:t>
      </w:r>
      <w:r>
        <w:rPr>
          <w:rFonts w:ascii="Arial" w:eastAsia="Arial" w:hAnsi="Arial" w:cs="Arial"/>
          <w:color w:val="000000"/>
          <w:sz w:val="16"/>
          <w:szCs w:val="16"/>
        </w:rPr>
        <w:t xml:space="preserve"> </w:t>
      </w:r>
      <w:proofErr w:type="spellStart"/>
      <w:r>
        <w:rPr>
          <w:rFonts w:ascii="Arial" w:eastAsia="Arial" w:hAnsi="Arial" w:cs="Arial"/>
          <w:color w:val="000000"/>
          <w:sz w:val="16"/>
          <w:szCs w:val="16"/>
        </w:rPr>
        <w:t>ders</w:t>
      </w:r>
      <w:proofErr w:type="spellEnd"/>
      <w:r>
        <w:rPr>
          <w:rFonts w:ascii="Arial" w:eastAsia="Arial" w:hAnsi="Arial" w:cs="Arial"/>
          <w:color w:val="000000"/>
          <w:sz w:val="16"/>
          <w:szCs w:val="16"/>
        </w:rPr>
        <w:t>. (1983), S. 62</w:t>
      </w:r>
    </w:p>
  </w:footnote>
  <w:footnote w:id="7">
    <w:p w14:paraId="00000065"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r>
      <w:r>
        <w:rPr>
          <w:rFonts w:ascii="Arial" w:eastAsia="Arial" w:hAnsi="Arial" w:cs="Arial"/>
          <w:sz w:val="16"/>
          <w:szCs w:val="16"/>
        </w:rPr>
        <w:t>Derselbe</w:t>
      </w:r>
      <w:r>
        <w:rPr>
          <w:rFonts w:ascii="Arial" w:eastAsia="Arial" w:hAnsi="Arial" w:cs="Arial"/>
          <w:color w:val="000000"/>
          <w:sz w:val="16"/>
          <w:szCs w:val="16"/>
        </w:rPr>
        <w:t xml:space="preserve"> (2012), S. 15</w:t>
      </w:r>
    </w:p>
  </w:footnote>
  <w:footnote w:id="8">
    <w:p w14:paraId="00000066"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r>
      <w:r>
        <w:rPr>
          <w:rFonts w:ascii="Arial" w:eastAsia="Arial" w:hAnsi="Arial" w:cs="Arial"/>
          <w:sz w:val="16"/>
          <w:szCs w:val="16"/>
        </w:rPr>
        <w:t>Vergleiche</w:t>
      </w:r>
      <w:r>
        <w:rPr>
          <w:rFonts w:ascii="Arial" w:eastAsia="Arial" w:hAnsi="Arial" w:cs="Arial"/>
          <w:color w:val="000000"/>
          <w:sz w:val="16"/>
          <w:szCs w:val="16"/>
        </w:rPr>
        <w:t xml:space="preserve"> </w:t>
      </w:r>
      <w:proofErr w:type="spellStart"/>
      <w:r>
        <w:rPr>
          <w:rFonts w:ascii="Arial" w:eastAsia="Arial" w:hAnsi="Arial" w:cs="Arial"/>
          <w:color w:val="000000"/>
          <w:sz w:val="16"/>
          <w:szCs w:val="16"/>
        </w:rPr>
        <w:t>ders</w:t>
      </w:r>
      <w:proofErr w:type="spellEnd"/>
      <w:r>
        <w:rPr>
          <w:rFonts w:ascii="Arial" w:eastAsia="Arial" w:hAnsi="Arial" w:cs="Arial"/>
          <w:color w:val="000000"/>
          <w:sz w:val="16"/>
          <w:szCs w:val="16"/>
        </w:rPr>
        <w:t>. (2019), S. 83</w:t>
      </w:r>
      <w:r>
        <w:rPr>
          <w:rFonts w:ascii="Arial" w:eastAsia="Arial" w:hAnsi="Arial" w:cs="Arial"/>
          <w:sz w:val="16"/>
          <w:szCs w:val="16"/>
        </w:rPr>
        <w:t> </w:t>
      </w:r>
      <w:r>
        <w:rPr>
          <w:rFonts w:ascii="Arial" w:eastAsia="Arial" w:hAnsi="Arial" w:cs="Arial"/>
          <w:color w:val="000000"/>
          <w:sz w:val="16"/>
          <w:szCs w:val="16"/>
        </w:rPr>
        <w:t>ff.</w:t>
      </w:r>
    </w:p>
  </w:footnote>
  <w:footnote w:id="9">
    <w:p w14:paraId="00000067"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r>
      <w:r>
        <w:rPr>
          <w:rFonts w:ascii="Arial" w:eastAsia="Arial" w:hAnsi="Arial" w:cs="Arial"/>
          <w:sz w:val="16"/>
          <w:szCs w:val="16"/>
        </w:rPr>
        <w:t>Vergleiche</w:t>
      </w:r>
      <w:r>
        <w:rPr>
          <w:rFonts w:ascii="Arial" w:eastAsia="Arial" w:hAnsi="Arial" w:cs="Arial"/>
          <w:color w:val="000000"/>
          <w:sz w:val="16"/>
          <w:szCs w:val="16"/>
        </w:rPr>
        <w:t xml:space="preserve"> Schrenk, 2018, S. 46</w:t>
      </w:r>
    </w:p>
  </w:footnote>
  <w:footnote w:id="10">
    <w:p w14:paraId="00000068"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r>
      <w:r>
        <w:rPr>
          <w:rFonts w:ascii="Arial" w:eastAsia="Arial" w:hAnsi="Arial" w:cs="Arial"/>
          <w:sz w:val="16"/>
          <w:szCs w:val="16"/>
        </w:rPr>
        <w:t>Vergleiche</w:t>
      </w:r>
      <w:r>
        <w:rPr>
          <w:rFonts w:ascii="Arial" w:eastAsia="Arial" w:hAnsi="Arial" w:cs="Arial"/>
          <w:color w:val="000000"/>
          <w:sz w:val="16"/>
          <w:szCs w:val="16"/>
        </w:rPr>
        <w:t xml:space="preserve"> </w:t>
      </w:r>
      <w:proofErr w:type="spellStart"/>
      <w:r>
        <w:rPr>
          <w:rFonts w:ascii="Arial" w:eastAsia="Arial" w:hAnsi="Arial" w:cs="Arial"/>
          <w:color w:val="000000"/>
          <w:sz w:val="16"/>
          <w:szCs w:val="16"/>
        </w:rPr>
        <w:t>Spivak</w:t>
      </w:r>
      <w:proofErr w:type="spellEnd"/>
      <w:r>
        <w:rPr>
          <w:rFonts w:ascii="Arial" w:eastAsia="Arial" w:hAnsi="Arial" w:cs="Arial"/>
          <w:color w:val="000000"/>
          <w:sz w:val="16"/>
          <w:szCs w:val="16"/>
        </w:rPr>
        <w:t xml:space="preserve"> (1985)</w:t>
      </w:r>
    </w:p>
  </w:footnote>
  <w:footnote w:id="11">
    <w:p w14:paraId="00000069"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r>
      <w:r>
        <w:rPr>
          <w:rFonts w:ascii="Arial" w:eastAsia="Arial" w:hAnsi="Arial" w:cs="Arial"/>
          <w:color w:val="000000"/>
          <w:sz w:val="16"/>
          <w:szCs w:val="16"/>
        </w:rPr>
        <w:t>Hope Olson hat etwa die Privilegierung westlicher Kulturen in den Sprachgruppen der Dewey-Dezimalklassifikation nachgewiesen. Weitere Informationen: V</w:t>
      </w:r>
      <w:r>
        <w:rPr>
          <w:rFonts w:ascii="Arial" w:eastAsia="Arial" w:hAnsi="Arial" w:cs="Arial"/>
          <w:sz w:val="16"/>
          <w:szCs w:val="16"/>
        </w:rPr>
        <w:t>ergleiche</w:t>
      </w:r>
      <w:r>
        <w:rPr>
          <w:rFonts w:ascii="Arial" w:eastAsia="Arial" w:hAnsi="Arial" w:cs="Arial"/>
          <w:color w:val="000000"/>
          <w:sz w:val="16"/>
          <w:szCs w:val="16"/>
        </w:rPr>
        <w:t xml:space="preserve"> Olson, 2001, S. 115 ff.</w:t>
      </w:r>
    </w:p>
  </w:footnote>
  <w:footnote w:id="12">
    <w:p w14:paraId="0000006A"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t>So wurde 1938 die missionswissenschaftliche Lehrtätigkeit an der Unive</w:t>
      </w:r>
      <w:r>
        <w:rPr>
          <w:rFonts w:ascii="Arial" w:eastAsia="Arial" w:hAnsi="Arial" w:cs="Arial"/>
          <w:color w:val="000000"/>
          <w:sz w:val="16"/>
          <w:szCs w:val="16"/>
        </w:rPr>
        <w:t xml:space="preserve">rsität Wien untersagt. Als Folge gründete der Wiener Kardinal Theodor </w:t>
      </w:r>
      <w:proofErr w:type="spellStart"/>
      <w:r>
        <w:rPr>
          <w:rFonts w:ascii="Arial" w:eastAsia="Arial" w:hAnsi="Arial" w:cs="Arial"/>
          <w:color w:val="000000"/>
          <w:sz w:val="16"/>
          <w:szCs w:val="16"/>
        </w:rPr>
        <w:t>Innitzer</w:t>
      </w:r>
      <w:proofErr w:type="spellEnd"/>
      <w:r>
        <w:rPr>
          <w:rFonts w:ascii="Arial" w:eastAsia="Arial" w:hAnsi="Arial" w:cs="Arial"/>
          <w:color w:val="000000"/>
          <w:sz w:val="16"/>
          <w:szCs w:val="16"/>
        </w:rPr>
        <w:t xml:space="preserve"> zwei Missionsabteilungen in der Erzdiözese Wien, die Abteilung Missionswesen für Propagandatätigkeiten und das </w:t>
      </w:r>
      <w:proofErr w:type="spellStart"/>
      <w:r>
        <w:rPr>
          <w:rFonts w:ascii="Arial" w:eastAsia="Arial" w:hAnsi="Arial" w:cs="Arial"/>
          <w:color w:val="000000"/>
          <w:sz w:val="16"/>
          <w:szCs w:val="16"/>
        </w:rPr>
        <w:t>Missiologische</w:t>
      </w:r>
      <w:proofErr w:type="spellEnd"/>
      <w:r>
        <w:rPr>
          <w:rFonts w:ascii="Arial" w:eastAsia="Arial" w:hAnsi="Arial" w:cs="Arial"/>
          <w:color w:val="000000"/>
          <w:sz w:val="16"/>
          <w:szCs w:val="16"/>
        </w:rPr>
        <w:t xml:space="preserve"> Institut für die wissenschaftliche Forschung. Siehe</w:t>
      </w:r>
      <w:r>
        <w:rPr>
          <w:rFonts w:ascii="Arial" w:eastAsia="Arial" w:hAnsi="Arial" w:cs="Arial"/>
          <w:color w:val="000000"/>
          <w:sz w:val="16"/>
          <w:szCs w:val="16"/>
        </w:rPr>
        <w:t xml:space="preserve">: </w:t>
      </w:r>
      <w:proofErr w:type="spellStart"/>
      <w:r>
        <w:rPr>
          <w:rFonts w:ascii="Arial" w:eastAsia="Arial" w:hAnsi="Arial" w:cs="Arial"/>
          <w:color w:val="000000"/>
          <w:sz w:val="16"/>
          <w:szCs w:val="16"/>
        </w:rPr>
        <w:t>Bettray</w:t>
      </w:r>
      <w:proofErr w:type="spellEnd"/>
      <w:r>
        <w:rPr>
          <w:rFonts w:ascii="Arial" w:eastAsia="Arial" w:hAnsi="Arial" w:cs="Arial"/>
          <w:color w:val="000000"/>
          <w:sz w:val="16"/>
          <w:szCs w:val="16"/>
        </w:rPr>
        <w:t xml:space="preserve"> (1954), S. 57 f.</w:t>
      </w:r>
    </w:p>
  </w:footnote>
  <w:footnote w:id="13">
    <w:p w14:paraId="0000006B"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r>
      <w:r>
        <w:rPr>
          <w:rFonts w:ascii="Arial" w:eastAsia="Arial" w:hAnsi="Arial" w:cs="Arial"/>
          <w:sz w:val="16"/>
          <w:szCs w:val="16"/>
        </w:rPr>
        <w:t>Vergleiche</w:t>
      </w:r>
      <w:r>
        <w:rPr>
          <w:rFonts w:ascii="Arial" w:eastAsia="Arial" w:hAnsi="Arial" w:cs="Arial"/>
          <w:color w:val="000000"/>
          <w:sz w:val="16"/>
          <w:szCs w:val="16"/>
        </w:rPr>
        <w:t xml:space="preserve">. </w:t>
      </w:r>
      <w:proofErr w:type="spellStart"/>
      <w:r>
        <w:rPr>
          <w:rFonts w:ascii="Arial" w:eastAsia="Arial" w:hAnsi="Arial" w:cs="Arial"/>
          <w:color w:val="000000"/>
          <w:sz w:val="16"/>
          <w:szCs w:val="16"/>
        </w:rPr>
        <w:t>Kainberger</w:t>
      </w:r>
      <w:proofErr w:type="spellEnd"/>
      <w:r>
        <w:rPr>
          <w:rFonts w:ascii="Arial" w:eastAsia="Arial" w:hAnsi="Arial" w:cs="Arial"/>
          <w:color w:val="000000"/>
          <w:sz w:val="16"/>
          <w:szCs w:val="16"/>
        </w:rPr>
        <w:t xml:space="preserve"> (2014), S. 7</w:t>
      </w:r>
    </w:p>
  </w:footnote>
  <w:footnote w:id="14">
    <w:p w14:paraId="0000006C"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r>
      <w:r>
        <w:rPr>
          <w:rFonts w:ascii="Arial" w:eastAsia="Arial" w:hAnsi="Arial" w:cs="Arial"/>
          <w:sz w:val="16"/>
          <w:szCs w:val="16"/>
        </w:rPr>
        <w:t>Vergleiche</w:t>
      </w:r>
      <w:r>
        <w:rPr>
          <w:rFonts w:ascii="Arial" w:eastAsia="Arial" w:hAnsi="Arial" w:cs="Arial"/>
          <w:color w:val="000000"/>
          <w:sz w:val="16"/>
          <w:szCs w:val="16"/>
        </w:rPr>
        <w:t xml:space="preserve"> </w:t>
      </w:r>
      <w:proofErr w:type="spellStart"/>
      <w:r>
        <w:rPr>
          <w:rFonts w:ascii="Arial" w:eastAsia="Arial" w:hAnsi="Arial" w:cs="Arial"/>
          <w:color w:val="000000"/>
          <w:sz w:val="16"/>
          <w:szCs w:val="16"/>
        </w:rPr>
        <w:t>Faschingeder</w:t>
      </w:r>
      <w:proofErr w:type="spellEnd"/>
      <w:r>
        <w:rPr>
          <w:rFonts w:ascii="Arial" w:eastAsia="Arial" w:hAnsi="Arial" w:cs="Arial"/>
          <w:color w:val="000000"/>
          <w:sz w:val="16"/>
          <w:szCs w:val="16"/>
        </w:rPr>
        <w:t xml:space="preserve"> (2002), S. 11</w:t>
      </w:r>
    </w:p>
  </w:footnote>
  <w:footnote w:id="15">
    <w:p w14:paraId="0000006D"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r>
      <w:r>
        <w:rPr>
          <w:rFonts w:ascii="Arial" w:eastAsia="Arial" w:hAnsi="Arial" w:cs="Arial"/>
          <w:sz w:val="16"/>
          <w:szCs w:val="16"/>
        </w:rPr>
        <w:t>Vergleiche</w:t>
      </w:r>
      <w:r>
        <w:rPr>
          <w:rFonts w:ascii="Arial" w:eastAsia="Arial" w:hAnsi="Arial" w:cs="Arial"/>
          <w:color w:val="000000"/>
          <w:sz w:val="16"/>
          <w:szCs w:val="16"/>
        </w:rPr>
        <w:t xml:space="preserve"> Fundraising Verband Austria (2019), S. 22 (</w:t>
      </w:r>
      <w:hyperlink r:id="rId1">
        <w:r>
          <w:rPr>
            <w:rFonts w:ascii="Arial" w:eastAsia="Arial" w:hAnsi="Arial" w:cs="Arial"/>
            <w:color w:val="000080"/>
            <w:sz w:val="16"/>
            <w:szCs w:val="16"/>
            <w:u w:val="single"/>
          </w:rPr>
          <w:t>http://public-opinion.at/wp-content/uploads/2019/11/Spendenbericht_2019_v10-WEB.pdf</w:t>
        </w:r>
      </w:hyperlink>
      <w:r>
        <w:rPr>
          <w:rFonts w:ascii="Arial" w:eastAsia="Arial" w:hAnsi="Arial" w:cs="Arial"/>
          <w:color w:val="000000"/>
          <w:sz w:val="16"/>
          <w:szCs w:val="16"/>
        </w:rPr>
        <w:t xml:space="preserve"> überprüft am 18.05.2021)</w:t>
      </w:r>
    </w:p>
  </w:footnote>
  <w:footnote w:id="16">
    <w:p w14:paraId="0000006E"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t>Die Informationen zur Geschichte der Bibliot</w:t>
      </w:r>
      <w:r>
        <w:rPr>
          <w:rFonts w:ascii="Arial" w:eastAsia="Arial" w:hAnsi="Arial" w:cs="Arial"/>
          <w:color w:val="000000"/>
          <w:sz w:val="16"/>
          <w:szCs w:val="16"/>
        </w:rPr>
        <w:t>hek ab den 1980er Jahren stammen aus einem Gespräch der Autorin mit zwei Missio-Mitarbeiterinnen, das 2019 geführt wurde.</w:t>
      </w:r>
    </w:p>
  </w:footnote>
  <w:footnote w:id="17">
    <w:p w14:paraId="0000006F"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r>
      <w:r>
        <w:rPr>
          <w:rFonts w:ascii="Arial" w:eastAsia="Arial" w:hAnsi="Arial" w:cs="Arial"/>
          <w:sz w:val="16"/>
          <w:szCs w:val="16"/>
        </w:rPr>
        <w:t>Vergleiche</w:t>
      </w:r>
      <w:r>
        <w:rPr>
          <w:rFonts w:ascii="Arial" w:eastAsia="Arial" w:hAnsi="Arial" w:cs="Arial"/>
          <w:color w:val="000000"/>
          <w:sz w:val="16"/>
          <w:szCs w:val="16"/>
        </w:rPr>
        <w:t xml:space="preserve"> Richter (2019), S. 9 ff</w:t>
      </w:r>
    </w:p>
  </w:footnote>
  <w:footnote w:id="18">
    <w:p w14:paraId="00000070"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r>
      <w:r>
        <w:rPr>
          <w:rFonts w:ascii="Arial" w:eastAsia="Arial" w:hAnsi="Arial" w:cs="Arial"/>
          <w:sz w:val="16"/>
          <w:szCs w:val="16"/>
        </w:rPr>
        <w:t>Vergleiche</w:t>
      </w:r>
      <w:r>
        <w:rPr>
          <w:rFonts w:ascii="Arial" w:eastAsia="Arial" w:hAnsi="Arial" w:cs="Arial"/>
          <w:color w:val="000000"/>
          <w:sz w:val="16"/>
          <w:szCs w:val="16"/>
        </w:rPr>
        <w:t xml:space="preserve"> Habermas (2010), S. 258 f.</w:t>
      </w:r>
    </w:p>
  </w:footnote>
  <w:footnote w:id="19">
    <w:p w14:paraId="00000071"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r>
      <w:r>
        <w:rPr>
          <w:rFonts w:ascii="Arial" w:eastAsia="Arial" w:hAnsi="Arial" w:cs="Arial"/>
          <w:sz w:val="16"/>
          <w:szCs w:val="16"/>
        </w:rPr>
        <w:t>Vergleiche</w:t>
      </w:r>
      <w:r>
        <w:rPr>
          <w:rFonts w:ascii="Arial" w:eastAsia="Arial" w:hAnsi="Arial" w:cs="Arial"/>
          <w:color w:val="000000"/>
          <w:sz w:val="16"/>
          <w:szCs w:val="16"/>
        </w:rPr>
        <w:t xml:space="preserve"> </w:t>
      </w:r>
      <w:r>
        <w:rPr>
          <w:rFonts w:ascii="Arial" w:eastAsia="Arial" w:hAnsi="Arial" w:cs="Arial"/>
          <w:sz w:val="16"/>
          <w:szCs w:val="16"/>
        </w:rPr>
        <w:t>ebenda</w:t>
      </w:r>
    </w:p>
  </w:footnote>
  <w:footnote w:id="20">
    <w:p w14:paraId="00000072"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r>
      <w:r>
        <w:rPr>
          <w:rFonts w:ascii="Arial" w:eastAsia="Arial" w:hAnsi="Arial" w:cs="Arial"/>
          <w:sz w:val="16"/>
          <w:szCs w:val="16"/>
        </w:rPr>
        <w:t>Vergleiche</w:t>
      </w:r>
      <w:r>
        <w:rPr>
          <w:rFonts w:ascii="Arial" w:eastAsia="Arial" w:hAnsi="Arial" w:cs="Arial"/>
          <w:color w:val="000000"/>
          <w:sz w:val="16"/>
          <w:szCs w:val="16"/>
        </w:rPr>
        <w:t xml:space="preserve"> </w:t>
      </w:r>
      <w:proofErr w:type="spellStart"/>
      <w:r>
        <w:rPr>
          <w:rFonts w:ascii="Arial" w:eastAsia="Arial" w:hAnsi="Arial" w:cs="Arial"/>
          <w:color w:val="000000"/>
          <w:sz w:val="16"/>
          <w:szCs w:val="16"/>
        </w:rPr>
        <w:t>Bettray</w:t>
      </w:r>
      <w:proofErr w:type="spellEnd"/>
      <w:r>
        <w:rPr>
          <w:rFonts w:ascii="Arial" w:eastAsia="Arial" w:hAnsi="Arial" w:cs="Arial"/>
          <w:color w:val="000000"/>
          <w:sz w:val="16"/>
          <w:szCs w:val="16"/>
        </w:rPr>
        <w:t xml:space="preserve"> (1954), S. 40</w:t>
      </w:r>
    </w:p>
  </w:footnote>
  <w:footnote w:id="21">
    <w:p w14:paraId="00000073"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r>
      <w:r>
        <w:rPr>
          <w:rFonts w:ascii="Arial" w:eastAsia="Arial" w:hAnsi="Arial" w:cs="Arial"/>
          <w:sz w:val="16"/>
          <w:szCs w:val="16"/>
        </w:rPr>
        <w:t>Vergleiche</w:t>
      </w:r>
      <w:r>
        <w:rPr>
          <w:rFonts w:ascii="Arial" w:eastAsia="Arial" w:hAnsi="Arial" w:cs="Arial"/>
          <w:color w:val="000000"/>
          <w:sz w:val="16"/>
          <w:szCs w:val="16"/>
        </w:rPr>
        <w:t xml:space="preserve"> </w:t>
      </w:r>
      <w:proofErr w:type="spellStart"/>
      <w:r>
        <w:rPr>
          <w:rFonts w:ascii="Arial" w:eastAsia="Arial" w:hAnsi="Arial" w:cs="Arial"/>
          <w:color w:val="000000"/>
          <w:sz w:val="16"/>
          <w:szCs w:val="16"/>
        </w:rPr>
        <w:t>Faschingeder</w:t>
      </w:r>
      <w:proofErr w:type="spellEnd"/>
      <w:r>
        <w:rPr>
          <w:rFonts w:ascii="Arial" w:eastAsia="Arial" w:hAnsi="Arial" w:cs="Arial"/>
          <w:color w:val="000000"/>
          <w:sz w:val="16"/>
          <w:szCs w:val="16"/>
        </w:rPr>
        <w:t xml:space="preserve"> (2002), S. 7</w:t>
      </w:r>
    </w:p>
  </w:footnote>
  <w:footnote w:id="22">
    <w:p w14:paraId="00000074"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t xml:space="preserve">So unterzeichnete der Rheinische Missionar Johannes Heinrich Bam als Zeuge 1883 den betrügerischen Vertrag des Landverkaufs der </w:t>
      </w:r>
      <w:proofErr w:type="spellStart"/>
      <w:r>
        <w:rPr>
          <w:rFonts w:ascii="Arial" w:eastAsia="Arial" w:hAnsi="Arial" w:cs="Arial"/>
          <w:color w:val="000000"/>
          <w:sz w:val="16"/>
          <w:szCs w:val="16"/>
        </w:rPr>
        <w:t>Nama</w:t>
      </w:r>
      <w:proofErr w:type="spellEnd"/>
      <w:r>
        <w:rPr>
          <w:rFonts w:ascii="Arial" w:eastAsia="Arial" w:hAnsi="Arial" w:cs="Arial"/>
          <w:color w:val="000000"/>
          <w:sz w:val="16"/>
          <w:szCs w:val="16"/>
        </w:rPr>
        <w:t xml:space="preserve"> durch Josef David Frederiks und dem Kolonialpionier Adolf L</w:t>
      </w:r>
      <w:r>
        <w:rPr>
          <w:rFonts w:ascii="Arial" w:eastAsia="Arial" w:hAnsi="Arial" w:cs="Arial"/>
          <w:color w:val="000000"/>
          <w:sz w:val="16"/>
          <w:szCs w:val="16"/>
        </w:rPr>
        <w:t>üderitz sowie im darauffolgenden Jahr als Dolmetsch den Schutzvertrag zwischen dem Deutschen Reich und dem Einflussgebiet Josef Frederiks. Somit war ein Missionar direkt an der Errichtung der Siedlungskolonie im heutigen Namibia beteiligt. Weiterführende I</w:t>
      </w:r>
      <w:r>
        <w:rPr>
          <w:rFonts w:ascii="Arial" w:eastAsia="Arial" w:hAnsi="Arial" w:cs="Arial"/>
          <w:color w:val="000000"/>
          <w:sz w:val="16"/>
          <w:szCs w:val="16"/>
        </w:rPr>
        <w:t>nformationen siehe: Drechsler: Südwestafrika unter deutscher Kolonialherrschaft, 1984.</w:t>
      </w:r>
    </w:p>
  </w:footnote>
  <w:footnote w:id="23">
    <w:p w14:paraId="00000075"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t xml:space="preserve">Innerhalb der ÖFSE gibt es mehrere Bestandslisten, die unterschiedliche Zahlen des Gesamtbestands beinhalten. Die Differenz von etwa 500 Einträgen dürfte sich aus der </w:t>
      </w:r>
      <w:r>
        <w:rPr>
          <w:rFonts w:ascii="Arial" w:eastAsia="Arial" w:hAnsi="Arial" w:cs="Arial"/>
          <w:color w:val="000000"/>
          <w:sz w:val="16"/>
          <w:szCs w:val="16"/>
        </w:rPr>
        <w:t>Unterscheidung von Exemplaren und Titeln ergeben, so dass von einer hohen Anzahl an Dubletten ausgegangen werden kann. Für die vorliegende Analyse wurden jene Titelsätze mit Signaturen aus dem Bibliothekskatalog herangezogen.</w:t>
      </w:r>
    </w:p>
  </w:footnote>
  <w:footnote w:id="24">
    <w:p w14:paraId="00000076" w14:textId="77777777" w:rsidR="006D7C42" w:rsidRDefault="00FA3CF7">
      <w:pPr>
        <w:pBdr>
          <w:top w:val="nil"/>
          <w:left w:val="nil"/>
          <w:bottom w:val="nil"/>
          <w:right w:val="nil"/>
          <w:between w:val="nil"/>
        </w:pBdr>
        <w:tabs>
          <w:tab w:val="center" w:pos="4819"/>
          <w:tab w:val="right" w:pos="9638"/>
        </w:tabs>
        <w:spacing w:after="0"/>
        <w:rPr>
          <w:rFonts w:ascii="Liberation Sans" w:eastAsia="Liberation Sans" w:hAnsi="Liberation Sans" w:cs="Liberation Sans"/>
          <w:color w:val="000000"/>
          <w:sz w:val="18"/>
          <w:szCs w:val="18"/>
        </w:rPr>
      </w:pPr>
      <w:r>
        <w:rPr>
          <w:vertAlign w:val="superscript"/>
        </w:rPr>
        <w:footnoteRef/>
      </w:r>
      <w:r>
        <w:rPr>
          <w:rFonts w:ascii="Arial" w:eastAsia="Arial" w:hAnsi="Arial" w:cs="Arial"/>
          <w:sz w:val="16"/>
          <w:szCs w:val="16"/>
        </w:rPr>
        <w:tab/>
        <w:t xml:space="preserve"> 2018</w:t>
      </w:r>
      <w:r>
        <w:rPr>
          <w:rFonts w:ascii="Arial" w:eastAsia="Arial" w:hAnsi="Arial" w:cs="Arial"/>
          <w:color w:val="000000"/>
          <w:sz w:val="16"/>
          <w:szCs w:val="16"/>
        </w:rPr>
        <w:t xml:space="preserve"> erfolgte die Schenkung</w:t>
      </w:r>
      <w:r>
        <w:rPr>
          <w:rFonts w:ascii="Arial" w:eastAsia="Arial" w:hAnsi="Arial" w:cs="Arial"/>
          <w:color w:val="000000"/>
          <w:sz w:val="16"/>
          <w:szCs w:val="16"/>
        </w:rPr>
        <w:t xml:space="preserve"> eines weiteren Teilbestands. Dabei wurden 115 Bücher von </w:t>
      </w:r>
      <w:r>
        <w:rPr>
          <w:rFonts w:ascii="Arial" w:eastAsia="Arial" w:hAnsi="Arial" w:cs="Arial"/>
          <w:i/>
          <w:color w:val="000000"/>
          <w:sz w:val="16"/>
          <w:szCs w:val="16"/>
        </w:rPr>
        <w:t>MISSIO Wien</w:t>
      </w:r>
      <w:r>
        <w:rPr>
          <w:rFonts w:ascii="Arial" w:eastAsia="Arial" w:hAnsi="Arial" w:cs="Arial"/>
          <w:color w:val="000000"/>
          <w:sz w:val="16"/>
          <w:szCs w:val="16"/>
        </w:rPr>
        <w:t xml:space="preserve"> der </w:t>
      </w:r>
      <w:r>
        <w:rPr>
          <w:rFonts w:ascii="Arial" w:eastAsia="Arial" w:hAnsi="Arial" w:cs="Arial"/>
          <w:i/>
          <w:color w:val="000000"/>
          <w:sz w:val="16"/>
          <w:szCs w:val="16"/>
        </w:rPr>
        <w:t>Missionsbibliothek und katholischen Dokumentationsstelle MIKADO</w:t>
      </w:r>
      <w:r>
        <w:rPr>
          <w:rFonts w:ascii="Arial" w:eastAsia="Arial" w:hAnsi="Arial" w:cs="Arial"/>
          <w:color w:val="000000"/>
          <w:sz w:val="16"/>
          <w:szCs w:val="16"/>
        </w:rPr>
        <w:t xml:space="preserve"> (</w:t>
      </w:r>
      <w:proofErr w:type="spellStart"/>
      <w:r>
        <w:rPr>
          <w:rFonts w:ascii="Arial" w:eastAsia="Arial" w:hAnsi="Arial" w:cs="Arial"/>
          <w:color w:val="000000"/>
          <w:sz w:val="16"/>
          <w:szCs w:val="16"/>
        </w:rPr>
        <w:t>missio</w:t>
      </w:r>
      <w:proofErr w:type="spellEnd"/>
      <w:r>
        <w:rPr>
          <w:rFonts w:ascii="Arial" w:eastAsia="Arial" w:hAnsi="Arial" w:cs="Arial"/>
          <w:color w:val="000000"/>
          <w:sz w:val="16"/>
          <w:szCs w:val="16"/>
        </w:rPr>
        <w:t xml:space="preserve"> Aachen) übergeben. 51 dieser Bücher wurden von MIKADO ausgewertet (der Rest stellte Dubletten dar). Eine kurze</w:t>
      </w:r>
      <w:r>
        <w:rPr>
          <w:rFonts w:ascii="Arial" w:eastAsia="Arial" w:hAnsi="Arial" w:cs="Arial"/>
          <w:color w:val="000000"/>
          <w:sz w:val="16"/>
          <w:szCs w:val="16"/>
        </w:rPr>
        <w:t xml:space="preserve"> Analyse der Verfasserin ergab, dass die drei häufigsten Besitznachweise aus dem Katechetischen Museum Wien, der Petrus-</w:t>
      </w:r>
      <w:proofErr w:type="spellStart"/>
      <w:r>
        <w:rPr>
          <w:rFonts w:ascii="Arial" w:eastAsia="Arial" w:hAnsi="Arial" w:cs="Arial"/>
          <w:color w:val="000000"/>
          <w:sz w:val="16"/>
          <w:szCs w:val="16"/>
        </w:rPr>
        <w:t>Claver</w:t>
      </w:r>
      <w:proofErr w:type="spellEnd"/>
      <w:r>
        <w:rPr>
          <w:rFonts w:ascii="Arial" w:eastAsia="Arial" w:hAnsi="Arial" w:cs="Arial"/>
          <w:color w:val="000000"/>
          <w:sz w:val="16"/>
          <w:szCs w:val="16"/>
        </w:rPr>
        <w:t>-Sodalität und der Bibliothek der Oblaten der Unbefleckten Jungfrau stammen. Es handelt sich in erster Linie um Katechismen, Volks</w:t>
      </w:r>
      <w:r>
        <w:rPr>
          <w:rFonts w:ascii="Arial" w:eastAsia="Arial" w:hAnsi="Arial" w:cs="Arial"/>
          <w:color w:val="000000"/>
          <w:sz w:val="16"/>
          <w:szCs w:val="16"/>
        </w:rPr>
        <w:t>bibeln, Lieder- und Predigtbücher, wobei etwa die Hälfte der Titel in nichteuropäischen Sprachen gedruckt wurde. Diese können wiederum über Besitzvermerke der Petrus-</w:t>
      </w:r>
      <w:proofErr w:type="spellStart"/>
      <w:r>
        <w:rPr>
          <w:rFonts w:ascii="Arial" w:eastAsia="Arial" w:hAnsi="Arial" w:cs="Arial"/>
          <w:color w:val="000000"/>
          <w:sz w:val="16"/>
          <w:szCs w:val="16"/>
        </w:rPr>
        <w:t>Claver</w:t>
      </w:r>
      <w:proofErr w:type="spellEnd"/>
      <w:r>
        <w:rPr>
          <w:rFonts w:ascii="Arial" w:eastAsia="Arial" w:hAnsi="Arial" w:cs="Arial"/>
          <w:color w:val="000000"/>
          <w:sz w:val="16"/>
          <w:szCs w:val="16"/>
        </w:rPr>
        <w:t>-Sodalität zugeordnet werden und es liegt nahe, dass die Bücher in deren Druckereien</w:t>
      </w:r>
      <w:r>
        <w:rPr>
          <w:rFonts w:ascii="Arial" w:eastAsia="Arial" w:hAnsi="Arial" w:cs="Arial"/>
          <w:color w:val="000000"/>
          <w:sz w:val="16"/>
          <w:szCs w:val="16"/>
        </w:rPr>
        <w:t>, zu denen auch jene in Maria Sorg gehörte, gedruckt und als Belegexemplar an das Werk der Glaubensverbreitung abgeliefert worden waren. Die in der Schenkung enthaltenen Titel erschienen im Zeitraum zwischen 1853 und 1991, wobei der größte Teil im ersten D</w:t>
      </w:r>
      <w:r>
        <w:rPr>
          <w:rFonts w:ascii="Arial" w:eastAsia="Arial" w:hAnsi="Arial" w:cs="Arial"/>
          <w:color w:val="000000"/>
          <w:sz w:val="16"/>
          <w:szCs w:val="16"/>
        </w:rPr>
        <w:t xml:space="preserve">rittel des 20. Jahrhunderts publiziert wurde. Weitere Informationen siehe Richter: Der Bestand von </w:t>
      </w:r>
      <w:proofErr w:type="spellStart"/>
      <w:r>
        <w:rPr>
          <w:rFonts w:ascii="Arial" w:eastAsia="Arial" w:hAnsi="Arial" w:cs="Arial"/>
          <w:color w:val="000000"/>
          <w:sz w:val="16"/>
          <w:szCs w:val="16"/>
        </w:rPr>
        <w:t>missio</w:t>
      </w:r>
      <w:proofErr w:type="spellEnd"/>
      <w:r>
        <w:rPr>
          <w:rFonts w:ascii="Arial" w:eastAsia="Arial" w:hAnsi="Arial" w:cs="Arial"/>
          <w:color w:val="000000"/>
          <w:sz w:val="16"/>
          <w:szCs w:val="16"/>
        </w:rPr>
        <w:t xml:space="preserve"> Wien in der Missionsbibliothek und katholischen Dokumentationsstelle von </w:t>
      </w:r>
      <w:proofErr w:type="spellStart"/>
      <w:r>
        <w:rPr>
          <w:rFonts w:ascii="Arial" w:eastAsia="Arial" w:hAnsi="Arial" w:cs="Arial"/>
          <w:color w:val="000000"/>
          <w:sz w:val="16"/>
          <w:szCs w:val="16"/>
        </w:rPr>
        <w:t>missio</w:t>
      </w:r>
      <w:proofErr w:type="spellEnd"/>
      <w:r>
        <w:rPr>
          <w:rFonts w:ascii="Arial" w:eastAsia="Arial" w:hAnsi="Arial" w:cs="Arial"/>
          <w:color w:val="000000"/>
          <w:sz w:val="16"/>
          <w:szCs w:val="16"/>
        </w:rPr>
        <w:t xml:space="preserve"> Aachen, 2019.</w:t>
      </w:r>
    </w:p>
  </w:footnote>
  <w:footnote w:id="25">
    <w:p w14:paraId="00000077"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t>E-Mail der Bibliotheksleitung an die Verfasserin vom 1</w:t>
      </w:r>
      <w:r>
        <w:rPr>
          <w:rFonts w:ascii="Arial" w:eastAsia="Arial" w:hAnsi="Arial" w:cs="Arial"/>
          <w:color w:val="000000"/>
          <w:sz w:val="16"/>
          <w:szCs w:val="16"/>
        </w:rPr>
        <w:t>9.2.2020</w:t>
      </w:r>
    </w:p>
  </w:footnote>
  <w:footnote w:id="26">
    <w:p w14:paraId="00000078"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r>
      <w:r>
        <w:rPr>
          <w:rFonts w:ascii="Arial" w:eastAsia="Arial" w:hAnsi="Arial" w:cs="Arial"/>
          <w:sz w:val="16"/>
          <w:szCs w:val="16"/>
        </w:rPr>
        <w:t>D</w:t>
      </w:r>
      <w:r>
        <w:rPr>
          <w:rFonts w:ascii="Arial" w:eastAsia="Arial" w:hAnsi="Arial" w:cs="Arial"/>
          <w:color w:val="000000"/>
          <w:sz w:val="16"/>
          <w:szCs w:val="16"/>
        </w:rPr>
        <w:t>ie Differenz von drei Büchern zur Gesamtsumme von 100% bzw. 200 Titel ergibt sich aus den Dezimalstellen der Prozentangaben der Teilbereiche, die ein Auf- bzw. Abrunden erforderlich machten.</w:t>
      </w:r>
    </w:p>
  </w:footnote>
  <w:footnote w:id="27">
    <w:p w14:paraId="00000079"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t>Dies betraf Bücher in spanischer Sprache, die von d</w:t>
      </w:r>
      <w:r>
        <w:rPr>
          <w:rFonts w:ascii="Arial" w:eastAsia="Arial" w:hAnsi="Arial" w:cs="Arial"/>
          <w:color w:val="000000"/>
          <w:sz w:val="16"/>
          <w:szCs w:val="16"/>
        </w:rPr>
        <w:t>er Autorin nicht gelesen werden konnten.</w:t>
      </w:r>
    </w:p>
  </w:footnote>
  <w:footnote w:id="28">
    <w:p w14:paraId="0000007A"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r>
      <w:r>
        <w:rPr>
          <w:rFonts w:ascii="Arial" w:eastAsia="Arial" w:hAnsi="Arial" w:cs="Arial"/>
          <w:color w:val="000000"/>
          <w:sz w:val="16"/>
          <w:szCs w:val="16"/>
        </w:rPr>
        <w:t>Die Autorin verzichtet darauf, durch entsprechende Zitate die abwertenden Textstellen aus den Stichproben zu wiederholen. Um die Überprüfbarkeit zu gewährleisten, werden die Quellen entsprechend zitiert und im Quellenverzeichnis nachgewiesen.</w:t>
      </w:r>
    </w:p>
  </w:footnote>
  <w:footnote w:id="29">
    <w:p w14:paraId="0000007B"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r>
      <w:r>
        <w:rPr>
          <w:rFonts w:ascii="Arial" w:eastAsia="Arial" w:hAnsi="Arial" w:cs="Arial"/>
          <w:sz w:val="16"/>
          <w:szCs w:val="16"/>
        </w:rPr>
        <w:t>Vergleiche</w:t>
      </w:r>
      <w:r>
        <w:rPr>
          <w:rFonts w:ascii="Arial" w:eastAsia="Arial" w:hAnsi="Arial" w:cs="Arial"/>
          <w:color w:val="000000"/>
          <w:sz w:val="16"/>
          <w:szCs w:val="16"/>
        </w:rPr>
        <w:t xml:space="preserve"> </w:t>
      </w:r>
      <w:r>
        <w:rPr>
          <w:rFonts w:ascii="Arial" w:eastAsia="Arial" w:hAnsi="Arial" w:cs="Arial"/>
          <w:color w:val="000000"/>
          <w:sz w:val="16"/>
          <w:szCs w:val="16"/>
        </w:rPr>
        <w:t>etwa Uhlig, 1964, S. 46. Missio-Sign. IX-7/27</w:t>
      </w:r>
    </w:p>
  </w:footnote>
  <w:footnote w:id="30">
    <w:p w14:paraId="0000007C"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r>
      <w:r>
        <w:rPr>
          <w:rFonts w:ascii="Arial" w:eastAsia="Arial" w:hAnsi="Arial" w:cs="Arial"/>
          <w:sz w:val="16"/>
          <w:szCs w:val="16"/>
        </w:rPr>
        <w:t>Vergleiche</w:t>
      </w:r>
      <w:r>
        <w:rPr>
          <w:rFonts w:ascii="Arial" w:eastAsia="Arial" w:hAnsi="Arial" w:cs="Arial"/>
          <w:color w:val="000000"/>
          <w:sz w:val="16"/>
          <w:szCs w:val="16"/>
        </w:rPr>
        <w:t xml:space="preserve"> Dodge, 1884, S. 54. Missio-Sign. IX-3/12. Das Buch, das von einer indigenen Bevölkerungsgruppe Nordamerikas handelt, ist wohl irrtümlich der Hauptgruppe Lateinamerika zugeordnet. Eventuell ist dies</w:t>
      </w:r>
      <w:r>
        <w:rPr>
          <w:rFonts w:ascii="Arial" w:eastAsia="Arial" w:hAnsi="Arial" w:cs="Arial"/>
          <w:color w:val="000000"/>
          <w:sz w:val="16"/>
          <w:szCs w:val="16"/>
        </w:rPr>
        <w:t xml:space="preserve"> dem Begriff Indianer im Titel des Werks geschuldet.</w:t>
      </w:r>
    </w:p>
  </w:footnote>
  <w:footnote w:id="31">
    <w:p w14:paraId="0000007D"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r>
      <w:r>
        <w:rPr>
          <w:rFonts w:ascii="Arial" w:eastAsia="Arial" w:hAnsi="Arial" w:cs="Arial"/>
          <w:sz w:val="16"/>
          <w:szCs w:val="16"/>
        </w:rPr>
        <w:t>Vergleiche</w:t>
      </w:r>
      <w:r>
        <w:rPr>
          <w:rFonts w:ascii="Arial" w:eastAsia="Arial" w:hAnsi="Arial" w:cs="Arial"/>
          <w:color w:val="000000"/>
          <w:sz w:val="16"/>
          <w:szCs w:val="16"/>
        </w:rPr>
        <w:t xml:space="preserve"> Fernandes, 1977. Missio-Sign. IX-5/80-2 und Gundolf, 1968. Missio-Sign. X-7</w:t>
      </w:r>
    </w:p>
  </w:footnote>
  <w:footnote w:id="32">
    <w:p w14:paraId="0000007E"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r>
      <w:r>
        <w:rPr>
          <w:rFonts w:ascii="Arial" w:eastAsia="Arial" w:hAnsi="Arial" w:cs="Arial"/>
          <w:sz w:val="16"/>
          <w:szCs w:val="16"/>
        </w:rPr>
        <w:t>Vergleiche</w:t>
      </w:r>
      <w:r>
        <w:rPr>
          <w:rFonts w:ascii="Arial" w:eastAsia="Arial" w:hAnsi="Arial" w:cs="Arial"/>
          <w:color w:val="000000"/>
          <w:sz w:val="16"/>
          <w:szCs w:val="16"/>
        </w:rPr>
        <w:t xml:space="preserve"> Bert, 1985. Missio-Sign. IV-2/61</w:t>
      </w:r>
    </w:p>
  </w:footnote>
  <w:footnote w:id="33">
    <w:p w14:paraId="0000007F"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r>
      <w:r>
        <w:rPr>
          <w:rFonts w:ascii="Arial" w:eastAsia="Arial" w:hAnsi="Arial" w:cs="Arial"/>
          <w:sz w:val="16"/>
          <w:szCs w:val="16"/>
        </w:rPr>
        <w:t>Vergleiche</w:t>
      </w:r>
      <w:r>
        <w:rPr>
          <w:rFonts w:ascii="Arial" w:eastAsia="Arial" w:hAnsi="Arial" w:cs="Arial"/>
          <w:color w:val="000000"/>
          <w:sz w:val="16"/>
          <w:szCs w:val="16"/>
        </w:rPr>
        <w:t xml:space="preserve"> Huber, 1954, S. 85. Missio-Sign. II-1/44</w:t>
      </w:r>
    </w:p>
  </w:footnote>
  <w:footnote w:id="34">
    <w:p w14:paraId="00000080"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r>
      <w:r>
        <w:rPr>
          <w:rFonts w:ascii="Arial" w:eastAsia="Arial" w:hAnsi="Arial" w:cs="Arial"/>
          <w:sz w:val="16"/>
          <w:szCs w:val="16"/>
        </w:rPr>
        <w:t>Vergleiche</w:t>
      </w:r>
      <w:r>
        <w:rPr>
          <w:rFonts w:ascii="Arial" w:eastAsia="Arial" w:hAnsi="Arial" w:cs="Arial"/>
          <w:color w:val="000000"/>
          <w:sz w:val="16"/>
          <w:szCs w:val="16"/>
        </w:rPr>
        <w:t xml:space="preserve"> Baumann, 1936, S. 6. Missio-Sign. R-9/15</w:t>
      </w:r>
    </w:p>
  </w:footnote>
  <w:footnote w:id="35">
    <w:p w14:paraId="00000081"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r>
      <w:r>
        <w:rPr>
          <w:rFonts w:ascii="Arial" w:eastAsia="Arial" w:hAnsi="Arial" w:cs="Arial"/>
          <w:sz w:val="16"/>
          <w:szCs w:val="16"/>
        </w:rPr>
        <w:t>Vergleiche</w:t>
      </w:r>
      <w:r>
        <w:rPr>
          <w:rFonts w:ascii="Arial" w:eastAsia="Arial" w:hAnsi="Arial" w:cs="Arial"/>
          <w:color w:val="000000"/>
          <w:sz w:val="16"/>
          <w:szCs w:val="16"/>
        </w:rPr>
        <w:t xml:space="preserve"> Moreira, 1963, S. 20. Missio-Sign. E-5/10 </w:t>
      </w:r>
    </w:p>
  </w:footnote>
  <w:footnote w:id="36">
    <w:p w14:paraId="00000082" w14:textId="77777777" w:rsidR="006D7C42" w:rsidRDefault="00FA3CF7">
      <w:pPr>
        <w:pBdr>
          <w:top w:val="nil"/>
          <w:left w:val="nil"/>
          <w:bottom w:val="nil"/>
          <w:right w:val="nil"/>
          <w:between w:val="nil"/>
        </w:pBdr>
        <w:spacing w:after="0"/>
        <w:ind w:right="340"/>
        <w:rPr>
          <w:rFonts w:ascii="Arial" w:eastAsia="Arial" w:hAnsi="Arial" w:cs="Arial"/>
          <w:color w:val="000000"/>
          <w:sz w:val="16"/>
          <w:szCs w:val="16"/>
        </w:rPr>
      </w:pPr>
      <w:r>
        <w:rPr>
          <w:vertAlign w:val="superscript"/>
        </w:rPr>
        <w:footnoteRef/>
      </w:r>
      <w:r>
        <w:rPr>
          <w:rFonts w:ascii="Arial" w:eastAsia="Arial" w:hAnsi="Arial" w:cs="Arial"/>
          <w:color w:val="000000"/>
          <w:sz w:val="16"/>
          <w:szCs w:val="16"/>
        </w:rPr>
        <w:tab/>
        <w:t xml:space="preserve">Die Bücher zu </w:t>
      </w:r>
      <w:proofErr w:type="gramStart"/>
      <w:r>
        <w:rPr>
          <w:rFonts w:ascii="Arial" w:eastAsia="Arial" w:hAnsi="Arial" w:cs="Arial"/>
          <w:color w:val="000000"/>
          <w:sz w:val="16"/>
          <w:szCs w:val="16"/>
        </w:rPr>
        <w:t>entfernen</w:t>
      </w:r>
      <w:proofErr w:type="gramEnd"/>
      <w:r>
        <w:rPr>
          <w:rFonts w:ascii="Arial" w:eastAsia="Arial" w:hAnsi="Arial" w:cs="Arial"/>
          <w:color w:val="000000"/>
          <w:sz w:val="16"/>
          <w:szCs w:val="16"/>
        </w:rPr>
        <w:t xml:space="preserve"> soll dabei nicht als Aufforderung verstanden werden, sie zu entsorgen, wenngle</w:t>
      </w:r>
      <w:r>
        <w:rPr>
          <w:rFonts w:ascii="Arial" w:eastAsia="Arial" w:hAnsi="Arial" w:cs="Arial"/>
          <w:color w:val="000000"/>
          <w:sz w:val="16"/>
          <w:szCs w:val="16"/>
        </w:rPr>
        <w:t xml:space="preserve">ich die Autorin diese Möglichkeit nicht kategorisch ausschließen möchte (etwa wenn die Bücher als historische Quellen an anderen Einrichtungen mit entsprechendem Sammelprofil ohnehin zur Verfügung stehen).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F0040"/>
    <w:multiLevelType w:val="multilevel"/>
    <w:tmpl w:val="75AE0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C77ACC"/>
    <w:multiLevelType w:val="multilevel"/>
    <w:tmpl w:val="7C44DD9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C42"/>
    <w:rsid w:val="00035431"/>
    <w:rsid w:val="006D7C42"/>
    <w:rsid w:val="00D629EB"/>
    <w:rsid w:val="00FA3C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B515"/>
  <w15:docId w15:val="{CC26BFEC-EFFF-4728-8FA9-74FB71CC6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de-AT" w:eastAsia="de-DE"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spacing w:before="240"/>
      <w:outlineLvl w:val="0"/>
    </w:pPr>
    <w:rPr>
      <w:rFonts w:ascii="Liberation Sans" w:eastAsia="Liberation Sans" w:hAnsi="Liberation Sans" w:cs="Liberation Sans"/>
      <w:b/>
      <w:sz w:val="36"/>
      <w:szCs w:val="36"/>
    </w:rPr>
  </w:style>
  <w:style w:type="paragraph" w:styleId="berschrift2">
    <w:name w:val="heading 2"/>
    <w:basedOn w:val="Standard"/>
    <w:next w:val="Standard"/>
    <w:uiPriority w:val="9"/>
    <w:semiHidden/>
    <w:unhideWhenUsed/>
    <w:qFormat/>
    <w:pPr>
      <w:keepNext/>
      <w:spacing w:before="20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public-opinion.at/wp-content/uploads/2019/11/Spendenbericht_2019_v10-WE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4453</Words>
  <Characters>28055</Characters>
  <Application>Microsoft Office Word</Application>
  <DocSecurity>0</DocSecurity>
  <Lines>233</Lines>
  <Paragraphs>64</Paragraphs>
  <ScaleCrop>false</ScaleCrop>
  <Company/>
  <LinksUpToDate>false</LinksUpToDate>
  <CharactersWithSpaces>32444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 Bunge</cp:lastModifiedBy>
  <cp:revision>3</cp:revision>
  <dcterms:created xsi:type="dcterms:W3CDTF">2021-12-22T09:15:00Z</dcterms:created>
  <dcterms:modified xsi:type="dcterms:W3CDTF">2021-12-22T09:19:00Z</dcterms:modified>
</cp:coreProperties>
</file>