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5143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_Toc5143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XEngine网络通信引擎协议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_Toc5143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_Toc25646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_Toc2032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_Toc12165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协议定义</w:t>
          </w:r>
          <w:r>
            <w:tab/>
          </w:r>
          <w:r>
            <w:fldChar w:fldCharType="begin"/>
          </w:r>
          <w:r>
            <w:instrText xml:space="preserve"> PAGEREF _Toc21349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_Toc24153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 协议</w:t>
          </w:r>
          <w:r>
            <w:rPr>
              <w:rFonts w:hint="eastAsia"/>
              <w:lang w:eastAsia="zh-CN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_Toc18035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1.1 </w:t>
          </w:r>
          <w:r>
            <w:rPr>
              <w:rFonts w:hint="eastAsia"/>
            </w:rPr>
            <w:t>协议头说明</w:t>
          </w:r>
          <w:r>
            <w:tab/>
          </w:r>
          <w:r>
            <w:fldChar w:fldCharType="begin"/>
          </w:r>
          <w:r>
            <w:instrText xml:space="preserve"> PAGEREF _Toc27956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协议头格式</w:t>
          </w:r>
          <w:r>
            <w:tab/>
          </w:r>
          <w:r>
            <w:fldChar w:fldCharType="begin"/>
          </w:r>
          <w:r>
            <w:instrText xml:space="preserve"> PAGEREF _Toc11765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普通协议头</w:t>
          </w:r>
          <w:r>
            <w:tab/>
          </w:r>
          <w:r>
            <w:fldChar w:fldCharType="begin"/>
          </w:r>
          <w:r>
            <w:instrText xml:space="preserve"> PAGEREF _Toc5655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扩展协议头</w:t>
          </w:r>
          <w:r>
            <w:tab/>
          </w:r>
          <w:r>
            <w:fldChar w:fldCharType="begin"/>
          </w:r>
          <w:r>
            <w:instrText xml:space="preserve"> PAGEREF _Toc16946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1.3 </w:t>
          </w:r>
          <w:r>
            <w:rPr>
              <w:rFonts w:hint="eastAsia"/>
            </w:rPr>
            <w:t>协议头字段</w:t>
          </w:r>
          <w:r>
            <w:tab/>
          </w:r>
          <w:r>
            <w:fldChar w:fldCharType="begin"/>
          </w:r>
          <w:r>
            <w:instrText xml:space="preserve"> PAGEREF _Toc9551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1.3.1 普通协议头字段</w:t>
          </w:r>
          <w:r>
            <w:tab/>
          </w:r>
          <w:r>
            <w:fldChar w:fldCharType="begin"/>
          </w:r>
          <w:r>
            <w:instrText xml:space="preserve"> PAGEREF _Toc18140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1.3.2 扩展协议头字段</w:t>
          </w:r>
          <w:r>
            <w:tab/>
          </w:r>
          <w:r>
            <w:fldChar w:fldCharType="begin"/>
          </w:r>
          <w:r>
            <w:instrText xml:space="preserve"> PAGEREF _Toc15865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1.4 </w:t>
          </w:r>
          <w:r>
            <w:rPr>
              <w:rFonts w:hint="eastAsia"/>
            </w:rPr>
            <w:t>协议</w:t>
          </w:r>
          <w:r>
            <w:rPr>
              <w:rFonts w:hint="eastAsia"/>
              <w:lang w:eastAsia="zh-CN"/>
            </w:rPr>
            <w:t>头</w:t>
          </w:r>
          <w:r>
            <w:rPr>
              <w:rFonts w:hint="eastAsia"/>
            </w:rPr>
            <w:t>表示</w:t>
          </w:r>
          <w:r>
            <w:tab/>
          </w:r>
          <w:r>
            <w:fldChar w:fldCharType="begin"/>
          </w:r>
          <w:r>
            <w:instrText xml:space="preserve"> PAGEREF _Toc20487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 协议展示</w:t>
          </w:r>
          <w:r>
            <w:tab/>
          </w:r>
          <w:r>
            <w:fldChar w:fldCharType="begin"/>
          </w:r>
          <w:r>
            <w:instrText xml:space="preserve"> PAGEREF _Toc21400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1.5.1 普通协议</w:t>
          </w:r>
          <w:r>
            <w:tab/>
          </w:r>
          <w:r>
            <w:fldChar w:fldCharType="begin"/>
          </w:r>
          <w:r>
            <w:instrText xml:space="preserve"> PAGEREF _Toc31718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1.5.2 扩展协议</w:t>
          </w:r>
          <w:r>
            <w:tab/>
          </w:r>
          <w:r>
            <w:fldChar w:fldCharType="begin"/>
          </w:r>
          <w:r>
            <w:instrText xml:space="preserve"> PAGEREF _Toc2410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使用协议</w:t>
          </w:r>
          <w:r>
            <w:tab/>
          </w:r>
          <w:r>
            <w:fldChar w:fldCharType="begin"/>
          </w:r>
          <w:r>
            <w:instrText xml:space="preserve"> PAGEREF _Toc12103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主协议</w:t>
          </w:r>
          <w:r>
            <w:tab/>
          </w:r>
          <w:r>
            <w:fldChar w:fldCharType="begin"/>
          </w:r>
          <w:r>
            <w:instrText xml:space="preserve"> PAGEREF _Toc28001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子协议</w:t>
          </w:r>
          <w:r>
            <w:tab/>
          </w:r>
          <w:r>
            <w:fldChar w:fldCharType="begin"/>
          </w:r>
          <w:r>
            <w:instrText xml:space="preserve"> PAGEREF _Toc4909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协议分类</w:t>
          </w:r>
          <w:r>
            <w:tab/>
          </w:r>
          <w:r>
            <w:fldChar w:fldCharType="begin"/>
          </w:r>
          <w:r>
            <w:instrText xml:space="preserve"> PAGEREF _Toc29677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三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系统协议</w:t>
          </w:r>
          <w:r>
            <w:tab/>
          </w:r>
          <w:r>
            <w:fldChar w:fldCharType="begin"/>
          </w:r>
          <w:r>
            <w:instrText xml:space="preserve"> PAGEREF _Toc17397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日志协议</w:t>
          </w:r>
          <w:r>
            <w:tab/>
          </w:r>
          <w:r>
            <w:fldChar w:fldCharType="begin"/>
          </w:r>
          <w:r>
            <w:instrText xml:space="preserve"> PAGEREF _Toc754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验证协议</w:t>
          </w:r>
          <w:r>
            <w:tab/>
          </w:r>
          <w:r>
            <w:fldChar w:fldCharType="begin"/>
          </w:r>
          <w:r>
            <w:instrText xml:space="preserve"> PAGEREF _Toc26346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删除协议</w:t>
          </w:r>
          <w:r>
            <w:tab/>
          </w:r>
          <w:r>
            <w:fldChar w:fldCharType="begin"/>
          </w:r>
          <w:r>
            <w:instrText xml:space="preserve"> PAGEREF _Toc3494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注册协议</w:t>
          </w:r>
          <w:r>
            <w:tab/>
          </w:r>
          <w:r>
            <w:fldChar w:fldCharType="begin"/>
          </w:r>
          <w:r>
            <w:instrText xml:space="preserve"> PAGEREF _Toc16694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登录</w:t>
          </w:r>
          <w:r>
            <w:t>协议</w:t>
          </w:r>
          <w:r>
            <w:tab/>
          </w:r>
          <w:r>
            <w:fldChar w:fldCharType="begin"/>
          </w:r>
          <w:r>
            <w:instrText xml:space="preserve"> PAGEREF _Toc4139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3.2.4 充值协议</w:t>
          </w:r>
          <w:r>
            <w:tab/>
          </w:r>
          <w:r>
            <w:fldChar w:fldCharType="begin"/>
          </w:r>
          <w:r>
            <w:instrText xml:space="preserve"> PAGEREF _Toc908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3.2.5 找回密码</w:t>
          </w:r>
          <w:r>
            <w:tab/>
          </w:r>
          <w:r>
            <w:fldChar w:fldCharType="begin"/>
          </w:r>
          <w:r>
            <w:instrText xml:space="preserve"> PAGEREF _Toc28956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3.2.6 获取时间</w:t>
          </w:r>
          <w:r>
            <w:tab/>
          </w:r>
          <w:r>
            <w:fldChar w:fldCharType="begin"/>
          </w:r>
          <w:r>
            <w:instrText xml:space="preserve"> PAGEREF _Toc22533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3.2.7 网络验证</w:t>
          </w:r>
          <w:r>
            <w:tab/>
          </w:r>
          <w:r>
            <w:fldChar w:fldCharType="begin"/>
          </w:r>
          <w:r>
            <w:instrText xml:space="preserve"> PAGEREF _Toc16491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3.2.8 公告协议</w:t>
          </w:r>
          <w:r>
            <w:tab/>
          </w:r>
          <w:r>
            <w:fldChar w:fldCharType="begin"/>
          </w:r>
          <w:r>
            <w:instrText xml:space="preserve"> PAGEREF _Toc27655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3.2.9 超时通知</w:t>
          </w:r>
          <w:r>
            <w:tab/>
          </w:r>
          <w:r>
            <w:fldChar w:fldCharType="begin"/>
          </w:r>
          <w:r>
            <w:instrText xml:space="preserve"> PAGEREF _Toc17981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流媒体协议</w:t>
          </w:r>
          <w:r>
            <w:tab/>
          </w:r>
          <w:r>
            <w:fldChar w:fldCharType="begin"/>
          </w:r>
          <w:r>
            <w:instrText xml:space="preserve"> PAGEREF _Toc15912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推送协议</w:t>
          </w:r>
          <w:r>
            <w:tab/>
          </w:r>
          <w:r>
            <w:fldChar w:fldCharType="begin"/>
          </w:r>
          <w:r>
            <w:instrText xml:space="preserve"> PAGEREF _Toc10672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拉流协议</w:t>
          </w:r>
          <w:r>
            <w:tab/>
          </w:r>
          <w:r>
            <w:fldChar w:fldCharType="begin"/>
          </w:r>
          <w:r>
            <w:instrText xml:space="preserve"> PAGEREF _Toc30831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控制协议</w:t>
          </w:r>
          <w:r>
            <w:tab/>
          </w:r>
          <w:r>
            <w:fldChar w:fldCharType="begin"/>
          </w:r>
          <w:r>
            <w:instrText xml:space="preserve"> PAGEREF _Toc30371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通知协议</w:t>
          </w:r>
          <w:r>
            <w:tab/>
          </w:r>
          <w:r>
            <w:fldChar w:fldCharType="begin"/>
          </w:r>
          <w:r>
            <w:instrText xml:space="preserve"> PAGEREF _Toc8547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存储服务协议</w:t>
          </w:r>
          <w:r>
            <w:tab/>
          </w:r>
          <w:r>
            <w:fldChar w:fldCharType="begin"/>
          </w:r>
          <w:r>
            <w:instrText xml:space="preserve"> PAGEREF _Toc17151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文件传输协议</w:t>
          </w:r>
          <w:r>
            <w:tab/>
          </w:r>
          <w:r>
            <w:fldChar w:fldCharType="begin"/>
          </w:r>
          <w:r>
            <w:instrText xml:space="preserve"> PAGEREF _Toc709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上传文件协议</w:t>
          </w:r>
          <w:r>
            <w:tab/>
          </w:r>
          <w:r>
            <w:fldChar w:fldCharType="begin"/>
          </w:r>
          <w:r>
            <w:instrText xml:space="preserve"> PAGEREF _Toc30485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查询文件协议</w:t>
          </w:r>
          <w:r>
            <w:tab/>
          </w:r>
          <w:r>
            <w:fldChar w:fldCharType="begin"/>
          </w:r>
          <w:r>
            <w:instrText xml:space="preserve"> PAGEREF _Toc23275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3.4.4 删除文件协议</w:t>
          </w:r>
          <w:r>
            <w:tab/>
          </w:r>
          <w:r>
            <w:fldChar w:fldCharType="begin"/>
          </w:r>
          <w:r>
            <w:instrText xml:space="preserve"> PAGEREF _Toc6662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3.4.5 下载文件协议</w:t>
          </w:r>
          <w:r>
            <w:tab/>
          </w:r>
          <w:r>
            <w:fldChar w:fldCharType="begin"/>
          </w:r>
          <w:r>
            <w:instrText xml:space="preserve"> PAGEREF _Toc22033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3.4.10 文件夹查询协议</w:t>
          </w:r>
          <w:r>
            <w:tab/>
          </w:r>
          <w:r>
            <w:fldChar w:fldCharType="begin"/>
          </w:r>
          <w:r>
            <w:instrText xml:space="preserve"> PAGEREF _Toc19025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3.4.11 文件夹创建协议</w:t>
          </w:r>
          <w:r>
            <w:tab/>
          </w:r>
          <w:r>
            <w:fldChar w:fldCharType="begin"/>
          </w:r>
          <w:r>
            <w:instrText xml:space="preserve"> PAGEREF _Toc30493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3.4.12 文件夹删除协议</w:t>
          </w:r>
          <w:r>
            <w:tab/>
          </w:r>
          <w:r>
            <w:fldChar w:fldCharType="begin"/>
          </w:r>
          <w:r>
            <w:instrText xml:space="preserve"> PAGEREF _Toc3072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3.4.13 用户信息查询</w:t>
          </w:r>
          <w:r>
            <w:tab/>
          </w:r>
          <w:r>
            <w:fldChar w:fldCharType="begin"/>
          </w:r>
          <w:r>
            <w:instrText xml:space="preserve"> PAGEREF _Toc5040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后台服务协议</w:t>
          </w:r>
          <w:r>
            <w:tab/>
          </w:r>
          <w:r>
            <w:fldChar w:fldCharType="begin"/>
          </w:r>
          <w:r>
            <w:instrText xml:space="preserve"> PAGEREF _Toc8456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协议处理</w:t>
          </w:r>
          <w:r>
            <w:tab/>
          </w:r>
          <w:r>
            <w:fldChar w:fldCharType="begin"/>
          </w:r>
          <w:r>
            <w:instrText xml:space="preserve"> PAGEREF _Toc25968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后台管理协议</w:t>
          </w:r>
          <w:r>
            <w:tab/>
          </w:r>
          <w:r>
            <w:fldChar w:fldCharType="begin"/>
          </w:r>
          <w:r>
            <w:instrText xml:space="preserve"> PAGEREF _Toc1497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P2XP协议</w:t>
          </w:r>
          <w:r>
            <w:tab/>
          </w:r>
          <w:r>
            <w:fldChar w:fldCharType="begin"/>
          </w:r>
          <w:r>
            <w:instrText xml:space="preserve"> PAGEREF _Toc752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登录协议</w:t>
          </w:r>
          <w:r>
            <w:tab/>
          </w:r>
          <w:r>
            <w:fldChar w:fldCharType="begin"/>
          </w:r>
          <w:r>
            <w:instrText xml:space="preserve"> PAGEREF _Toc15147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内网地址同步</w:t>
          </w:r>
          <w:r>
            <w:tab/>
          </w:r>
          <w:r>
            <w:fldChar w:fldCharType="begin"/>
          </w:r>
          <w:r>
            <w:instrText xml:space="preserve"> PAGEREF _Toc25769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3.6.3 外网地址同步</w:t>
          </w:r>
          <w:r>
            <w:tab/>
          </w:r>
          <w:r>
            <w:fldChar w:fldCharType="begin"/>
          </w:r>
          <w:r>
            <w:instrText xml:space="preserve"> PAGEREF _Toc3986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3.6.4 用户查询</w:t>
          </w:r>
          <w:r>
            <w:tab/>
          </w:r>
          <w:r>
            <w:fldChar w:fldCharType="begin"/>
          </w:r>
          <w:r>
            <w:instrText xml:space="preserve"> PAGEREF _Toc32474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3.6.5 请求连接</w:t>
          </w:r>
          <w:r>
            <w:tab/>
          </w:r>
          <w:r>
            <w:fldChar w:fldCharType="begin"/>
          </w:r>
          <w:r>
            <w:instrText xml:space="preserve"> PAGEREF _Toc28261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消息队列</w:t>
          </w:r>
          <w:r>
            <w:tab/>
          </w:r>
          <w:r>
            <w:fldChar w:fldCharType="begin"/>
          </w:r>
          <w:r>
            <w:instrText xml:space="preserve"> PAGEREF _Toc32590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投递包协议</w:t>
          </w:r>
          <w:r>
            <w:tab/>
          </w:r>
          <w:r>
            <w:fldChar w:fldCharType="begin"/>
          </w:r>
          <w:r>
            <w:instrText xml:space="preserve"> PAGEREF _Toc9960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获取包协议</w:t>
          </w:r>
          <w:r>
            <w:tab/>
          </w:r>
          <w:r>
            <w:fldChar w:fldCharType="begin"/>
          </w:r>
          <w:r>
            <w:instrText xml:space="preserve"> PAGEREF _Toc30287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3.7.3 删除包协议</w:t>
          </w:r>
          <w:r>
            <w:tab/>
          </w:r>
          <w:r>
            <w:fldChar w:fldCharType="begin"/>
          </w:r>
          <w:r>
            <w:instrText xml:space="preserve"> PAGEREF _Toc30185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消息分发</w:t>
          </w:r>
          <w:r>
            <w:tab/>
          </w:r>
          <w:r>
            <w:fldChar w:fldCharType="begin"/>
          </w:r>
          <w:r>
            <w:instrText xml:space="preserve"> PAGEREF _Toc11356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请求应答协议</w:t>
          </w:r>
          <w:r>
            <w:tab/>
          </w:r>
          <w:r>
            <w:fldChar w:fldCharType="begin"/>
          </w:r>
          <w:r>
            <w:instrText xml:space="preserve"> PAGEREF _Toc11568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通知协议</w:t>
          </w:r>
          <w:r>
            <w:tab/>
          </w:r>
          <w:r>
            <w:fldChar w:fldCharType="begin"/>
          </w:r>
          <w:r>
            <w:instrText xml:space="preserve"> PAGEREF _Toc12887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UDX协议</w:t>
          </w:r>
          <w:r>
            <w:tab/>
          </w:r>
          <w:r>
            <w:fldChar w:fldCharType="begin"/>
          </w:r>
          <w:r>
            <w:instrText xml:space="preserve"> PAGEREF _Toc28525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数据传输协议</w:t>
          </w:r>
          <w:r>
            <w:tab/>
          </w:r>
          <w:r>
            <w:fldChar w:fldCharType="begin"/>
          </w:r>
          <w:r>
            <w:instrText xml:space="preserve"> PAGEREF _Toc26684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登录协议</w:t>
          </w:r>
          <w:r>
            <w:tab/>
          </w:r>
          <w:r>
            <w:fldChar w:fldCharType="begin"/>
          </w:r>
          <w:r>
            <w:instrText xml:space="preserve"> PAGEREF _Toc27782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3.9.3 数据重传</w:t>
          </w:r>
          <w:r>
            <w:tab/>
          </w:r>
          <w:r>
            <w:fldChar w:fldCharType="begin"/>
          </w:r>
          <w:r>
            <w:instrText xml:space="preserve"> PAGEREF _Toc22197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3.9.4 通知协议</w:t>
          </w:r>
          <w:r>
            <w:tab/>
          </w:r>
          <w:r>
            <w:fldChar w:fldCharType="begin"/>
          </w:r>
          <w:r>
            <w:instrText xml:space="preserve"> PAGEREF _Toc10614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XRPC协议</w:t>
          </w:r>
          <w:r>
            <w:tab/>
          </w:r>
          <w:r>
            <w:fldChar w:fldCharType="begin"/>
          </w:r>
          <w:r>
            <w:instrText xml:space="preserve"> PAGEREF _Toc23028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函数调用</w:t>
          </w:r>
          <w:r>
            <w:tab/>
          </w:r>
          <w:r>
            <w:fldChar w:fldCharType="begin"/>
          </w:r>
          <w:r>
            <w:instrText xml:space="preserve"> PAGEREF _Toc30758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命令调用</w:t>
          </w:r>
          <w:r>
            <w:tab/>
          </w:r>
          <w:r>
            <w:fldChar w:fldCharType="begin"/>
          </w:r>
          <w:r>
            <w:instrText xml:space="preserve"> PAGEREF _Toc20671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11</w:t>
          </w:r>
          <w:r>
            <w:t xml:space="preserve"> </w:t>
          </w:r>
          <w:r>
            <w:rPr>
              <w:rFonts w:hint="eastAsia"/>
            </w:rPr>
            <w:t>心跳服务</w:t>
          </w:r>
          <w:r>
            <w:tab/>
          </w:r>
          <w:r>
            <w:fldChar w:fldCharType="begin"/>
          </w:r>
          <w:r>
            <w:instrText xml:space="preserve"> PAGEREF _Toc9943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心跳同步</w:t>
          </w:r>
          <w:r>
            <w:tab/>
          </w:r>
          <w:r>
            <w:fldChar w:fldCharType="begin"/>
          </w:r>
          <w:r>
            <w:instrText xml:space="preserve"> PAGEREF _Toc22683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分包协议</w:t>
          </w:r>
          <w:r>
            <w:tab/>
          </w:r>
          <w:r>
            <w:fldChar w:fldCharType="begin"/>
          </w:r>
          <w:r>
            <w:instrText xml:space="preserve"> PAGEREF _Toc27674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分包开始</w:t>
          </w:r>
          <w:r>
            <w:tab/>
          </w:r>
          <w:r>
            <w:fldChar w:fldCharType="begin"/>
          </w:r>
          <w:r>
            <w:instrText xml:space="preserve"> PAGEREF _Toc10348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分包结束</w:t>
          </w:r>
          <w:r>
            <w:tab/>
          </w:r>
          <w:r>
            <w:fldChar w:fldCharType="begin"/>
          </w:r>
          <w:r>
            <w:instrText xml:space="preserve"> PAGEREF _Toc31604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离开协议</w:t>
          </w:r>
          <w:r>
            <w:tab/>
          </w:r>
          <w:r>
            <w:fldChar w:fldCharType="begin"/>
          </w:r>
          <w:r>
            <w:instrText xml:space="preserve"> PAGEREF _Toc25871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四</w:t>
          </w:r>
          <w:r>
            <w:rPr>
              <w:rFonts w:hint="eastAsia"/>
              <w:lang w:val="en-US" w:eastAsia="zh-CN"/>
            </w:rPr>
            <w:t xml:space="preserve"> 用户协议</w:t>
          </w:r>
          <w:r>
            <w:tab/>
          </w:r>
          <w:r>
            <w:fldChar w:fldCharType="begin"/>
          </w:r>
          <w:r>
            <w:instrText xml:space="preserve"> PAGEREF _Toc20502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用户协议规范</w:t>
          </w:r>
          <w:r>
            <w:tab/>
          </w:r>
          <w:r>
            <w:fldChar w:fldCharType="begin"/>
          </w:r>
          <w:r>
            <w:instrText xml:space="preserve"> PAGEREF _Toc26543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特别说明</w:t>
          </w:r>
          <w:r>
            <w:tab/>
          </w:r>
          <w:r>
            <w:fldChar w:fldCharType="begin"/>
          </w:r>
          <w:r>
            <w:instrText xml:space="preserve"> PAGEREF _Toc26188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协议头</w:t>
          </w:r>
          <w:r>
            <w:tab/>
          </w:r>
          <w:r>
            <w:fldChar w:fldCharType="begin"/>
          </w:r>
          <w:r>
            <w:instrText xml:space="preserve"> PAGEREF _Toc27626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加密类型</w:t>
          </w:r>
          <w:r>
            <w:tab/>
          </w:r>
          <w:r>
            <w:fldChar w:fldCharType="begin"/>
          </w:r>
          <w:r>
            <w:instrText xml:space="preserve"> PAGEREF _Toc8608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负载类型</w:t>
          </w:r>
          <w:r>
            <w:tab/>
          </w:r>
          <w:r>
            <w:fldChar w:fldCharType="begin"/>
          </w:r>
          <w:r>
            <w:instrText xml:space="preserve"> PAGEREF _Toc3075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权限级别</w:t>
          </w:r>
          <w:r>
            <w:tab/>
          </w:r>
          <w:r>
            <w:fldChar w:fldCharType="begin"/>
          </w:r>
          <w:r>
            <w:instrText xml:space="preserve"> PAGEREF _Toc19639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_Toc25521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_Toc18803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_Toc13895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_Toc31467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_Toc6991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564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032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216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15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35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技术结构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下载接口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管理接口通过POST实现,POST可以为空的负载信息,可以带JSON作为负载信息.根据每个接口的不同,负载的内容也不同,但是都是通过JSON来实现的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210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6"/>
      <w:r>
        <w:rPr>
          <w:rFonts w:hint="eastAsia"/>
          <w:lang w:val="en-US" w:eastAsia="zh-CN"/>
        </w:rPr>
        <w:t>配置环境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WINDOWS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配置环境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接口协议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查询协议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文件列表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三方接口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上传代理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  <w:bookmarkStart w:id="12" w:name="_GoBack"/>
      <w:bookmarkEnd w:id="12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配置说明</w:t>
      </w:r>
    </w:p>
    <w:p>
      <w:pPr>
        <w:pStyle w:val="2"/>
        <w:rPr>
          <w:rFonts w:hint="eastAsia"/>
          <w:lang w:val="en-US" w:eastAsia="zh-CN"/>
        </w:rPr>
      </w:pPr>
      <w:bookmarkStart w:id="7" w:name="_Toc25521"/>
      <w:r>
        <w:rPr>
          <w:rFonts w:hint="eastAsia"/>
          <w:lang w:val="en-US" w:eastAsia="zh-CN"/>
        </w:rPr>
        <w:t>附录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8803"/>
      <w:r>
        <w:rPr>
          <w:rFonts w:hint="eastAsia"/>
          <w:lang w:val="en-US" w:eastAsia="zh-CN"/>
        </w:rPr>
        <w:t>附录1 类型定义</w:t>
      </w:r>
      <w:bookmarkEnd w:id="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9" w:name="_Toc13895"/>
      <w:r>
        <w:rPr>
          <w:rFonts w:hint="eastAsia"/>
          <w:lang w:val="en-US" w:eastAsia="zh-CN"/>
        </w:rPr>
        <w:t>附录2 协议定义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1467"/>
      <w:r>
        <w:rPr>
          <w:rFonts w:hint="eastAsia"/>
          <w:lang w:val="en-US" w:eastAsia="zh-CN"/>
        </w:rPr>
        <w:t>附录3 转换定义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只有LINUX下才有!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1" w:name="_Toc6991"/>
      <w:r>
        <w:rPr>
          <w:rFonts w:hint="eastAsia"/>
          <w:lang w:val="en-US" w:eastAsia="zh-CN"/>
        </w:rPr>
        <w:t>附录4 更新历史</w:t>
      </w:r>
      <w:bookmarkEnd w:id="1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35A3A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C387E"/>
    <w:rsid w:val="0A0F0C51"/>
    <w:rsid w:val="0A120404"/>
    <w:rsid w:val="0A1507CA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6513"/>
    <w:rsid w:val="0EB86115"/>
    <w:rsid w:val="0EBF1CF3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1033D"/>
    <w:rsid w:val="0EF26DE0"/>
    <w:rsid w:val="0EF703A2"/>
    <w:rsid w:val="0EF70C4B"/>
    <w:rsid w:val="0EFA2E07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BDD"/>
    <w:rsid w:val="15093CE4"/>
    <w:rsid w:val="150A15D2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3789"/>
    <w:rsid w:val="1FA072E1"/>
    <w:rsid w:val="1FA35559"/>
    <w:rsid w:val="1FA85421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F022F9"/>
    <w:rsid w:val="1FF030CE"/>
    <w:rsid w:val="1FF22D5E"/>
    <w:rsid w:val="1FF30001"/>
    <w:rsid w:val="1FF31355"/>
    <w:rsid w:val="1FF372CB"/>
    <w:rsid w:val="1FF57A1E"/>
    <w:rsid w:val="1FF62FFA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F7CDB"/>
    <w:rsid w:val="22F0639E"/>
    <w:rsid w:val="22F626ED"/>
    <w:rsid w:val="22F81758"/>
    <w:rsid w:val="22FA188E"/>
    <w:rsid w:val="22FE0288"/>
    <w:rsid w:val="23003465"/>
    <w:rsid w:val="230A6FEA"/>
    <w:rsid w:val="23135E0C"/>
    <w:rsid w:val="231550E2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3BBB"/>
    <w:rsid w:val="27AD3C40"/>
    <w:rsid w:val="27AF2972"/>
    <w:rsid w:val="27BB2434"/>
    <w:rsid w:val="27BE6628"/>
    <w:rsid w:val="27C03EF0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71EFC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D0C45"/>
    <w:rsid w:val="2B3E6080"/>
    <w:rsid w:val="2B40451A"/>
    <w:rsid w:val="2B471C4E"/>
    <w:rsid w:val="2B4A00EA"/>
    <w:rsid w:val="2B4A2234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D2198"/>
    <w:rsid w:val="2BDF7304"/>
    <w:rsid w:val="2BE3226F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D27A9"/>
    <w:rsid w:val="2C4D6969"/>
    <w:rsid w:val="2C5025E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F20DC"/>
    <w:rsid w:val="2D43207C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23F73"/>
    <w:rsid w:val="31D317D2"/>
    <w:rsid w:val="31D34DC9"/>
    <w:rsid w:val="31D42C30"/>
    <w:rsid w:val="31D548B5"/>
    <w:rsid w:val="31D9515A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939F8"/>
    <w:rsid w:val="3DAA179E"/>
    <w:rsid w:val="3DAB553A"/>
    <w:rsid w:val="3DAC4F50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60A3C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C44"/>
    <w:rsid w:val="44D40B76"/>
    <w:rsid w:val="44D42CC1"/>
    <w:rsid w:val="44D450A6"/>
    <w:rsid w:val="44D60F48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1468B"/>
    <w:rsid w:val="4C1776D8"/>
    <w:rsid w:val="4C1D682E"/>
    <w:rsid w:val="4C1E52D7"/>
    <w:rsid w:val="4C261D63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765E3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B7F2B"/>
    <w:rsid w:val="52726ADA"/>
    <w:rsid w:val="527439B1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A3192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B592E"/>
    <w:rsid w:val="566E3783"/>
    <w:rsid w:val="566F3F5E"/>
    <w:rsid w:val="567124C1"/>
    <w:rsid w:val="56720598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615529"/>
    <w:rsid w:val="586A7AAE"/>
    <w:rsid w:val="586B17A0"/>
    <w:rsid w:val="586C3578"/>
    <w:rsid w:val="586C3710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EA7815"/>
    <w:rsid w:val="58F406E4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223786"/>
    <w:rsid w:val="59230929"/>
    <w:rsid w:val="59233029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7083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3A8B"/>
    <w:rsid w:val="605D6827"/>
    <w:rsid w:val="605E291A"/>
    <w:rsid w:val="605E6666"/>
    <w:rsid w:val="605F3871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52AE7"/>
    <w:rsid w:val="6415473C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3042A53"/>
    <w:rsid w:val="730A5F92"/>
    <w:rsid w:val="730A7CEF"/>
    <w:rsid w:val="730F5190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47E7F"/>
    <w:rsid w:val="74A645DE"/>
    <w:rsid w:val="74A80548"/>
    <w:rsid w:val="74AE4F61"/>
    <w:rsid w:val="74B25B6D"/>
    <w:rsid w:val="74B27098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45443"/>
    <w:rsid w:val="7D967415"/>
    <w:rsid w:val="7D973315"/>
    <w:rsid w:val="7D980138"/>
    <w:rsid w:val="7DA420AC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22</TotalTime>
  <ScaleCrop>false</ScaleCrop>
  <LinksUpToDate>false</LinksUpToDate>
  <CharactersWithSpaces>86372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2021-06-17T09:09:27Z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696A429DE88F4B50B072B854CBCBC8C3</vt:lpwstr>
  </property>
</Properties>
</file>