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Identidad de marca y especificación de tienda digital C FANCY</w:t>
      </w:r>
    </w:p>
    <w:p>
      <w:pPr>
        <w:pStyle w:val="Subtitle"/>
      </w:pPr>
      <w:r>
        <w:rPr>
          <w:color w:val="000000"/>
        </w:rPr>
        <w:t>Propuesta de trabajo para la propietaria y el equipo de diseño y desarrollo</w:t>
      </w:r>
    </w:p>
    <w:p>
      <w:pPr>
        <w:pStyle w:val="Heading2"/>
      </w:pPr>
      <w:r>
        <w:rPr>
          <w:color w:val="000000"/>
        </w:rPr>
        <w:t>Decisión principal</w:t>
      </w:r>
    </w:p>
    <w:p>
      <w:r>
        <w:rPr>
          <w:color w:val="000000"/>
        </w:rPr>
        <w:t>C’FANCY se orienta a joyería fina de lujo contemporáneo. Se propone una identidad clara con base marfil, ciruela como firma y acentos de color contenidos. La calidad se comunica con información precisa de producto, fotografía fiel, asesoría y servicio posventa.</w:t>
      </w:r>
    </w:p>
    <w:p>
      <w:pPr>
        <w:pStyle w:val="Heading2"/>
      </w:pPr>
      <w:r>
        <w:rPr>
          <w:color w:val="000000"/>
        </w:rPr>
        <w:t>Qué contiene esta entrega</w:t>
      </w:r>
    </w:p>
    <w:p>
      <w:r>
        <w:rPr>
          <w:color w:val="000000"/>
        </w:rPr>
        <w:t>Guía de identidad, tres propuestas visuales, diez fichas ficticias de catálogo, datos de carga, especificación de pantallas, contrato API, modelo de datos, backlog de 14 tareas y casos de prueba. La documentación permite comenzar el diseño y la implementación con criterios compartidos.</w:t>
      </w:r>
    </w:p>
    <w:p>
      <w:pPr>
        <w:pStyle w:val="Heading2"/>
      </w:pPr>
      <w:r>
        <w:rPr>
          <w:color w:val="000000"/>
        </w:rPr>
        <w:t>Qué está confirmado y qué requiere aprobación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sz w:val="19"/>
              </w:rPr>
              <w:t>Confirmado por escrito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sz w:val="19"/>
              </w:rPr>
              <w:t>Propuesto para validar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México; lujo contemporáneo; público 30–50 y ampliado 25–65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Base marfil nueva y proporción 70/20/8/2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Femenino, elegante, sofisticado y atemporal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Cormorant Garamond y Manrope para interfaz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Oro, plata, diamantes, gemas; tienda propia y posventa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Intenciones o chakras como colección secundaria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Categorías y requisitos de ficha adjuntos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Catálogo de 10 ejemplos ficticios y arquitectura técnica</w:t>
            </w:r>
          </w:p>
        </w:tc>
      </w:tr>
    </w:tbl>
    <w:p>
      <w:pPr>
        <w:pStyle w:val="Heading2"/>
      </w:pPr>
      <w:r>
        <w:rPr>
          <w:color w:val="000000"/>
        </w:rPr>
        <w:t>Estado de la entrega</w:t>
      </w:r>
    </w:p>
    <w:p>
      <w:r>
        <w:rPr>
          <w:color w:val="000000"/>
        </w:rPr>
        <w:t>Documentación y propuestas, sin aplicación publicada ni backend ejecutado. Los productos no son inventario real. El audio no se transcribió; por indicación del usuario se utilizó la información escrita de las imágenes. Las decisiones pendientes se reúnen al final.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Identidad y sistema visual</w:t>
      </w:r>
    </w:p>
    <w:p>
      <w:r>
        <w:rPr>
          <w:color w:val="000000"/>
        </w:rPr>
        <w:t>Posicionamiento propuesto: joyería fina para expresar un estilo propio y acompañar momentos significativos. Público principal de 30 a 50 años con alto poder adquisitivo; ampliado de 25 a 65 años interesado en joyería fina. Es un público declarado por el propietario, no una segmentación validada mediante ventas.</w:t>
      </w:r>
    </w:p>
    <w:p>
      <w:pPr>
        <w:pStyle w:val="Heading2"/>
      </w:pPr>
      <w:r>
        <w:rPr>
          <w:color w:val="000000"/>
        </w:rPr>
        <w:t>Nombre y lenguaje</w:t>
      </w:r>
    </w:p>
    <w:p>
      <w:r>
        <w:rPr>
          <w:color w:val="000000"/>
        </w:rPr>
        <w:t>Conservar C’FANCY y ELEVATE YOUR ELEGANCE. Mensaje editorial propuesto: Elegancia que permanece. Personalidad femenina, elegante, sofisticada, atemporal y cercana. Hablar con precisión: material, origen, medidas, disponibilidad y condiciones.</w:t>
      </w:r>
    </w:p>
    <w:p>
      <w:pPr>
        <w:pStyle w:val="Heading2"/>
      </w:pPr>
      <w:r>
        <w:rPr>
          <w:color w:val="000000"/>
        </w:rPr>
        <w:t>Paleta intermedia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3744"/>
        <w:gridCol w:w="4464"/>
      </w:tblGrid>
      <w:tr>
        <w:trPr>
          <w:cantSplit/>
          <w:tblHeader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sz w:val="19"/>
              </w:rPr>
              <w:t>Color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sz w:val="19"/>
              </w:rPr>
              <w:t>Código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sz w:val="19"/>
              </w:rPr>
              <w:t>Uso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Marfil nuevo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#F5F1EA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70% de superficies gráficas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Ciruela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#390D2E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20%; texto, botones y bloques puntuales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Rosa y lavanda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#EDC0D3 / #A3ACEF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8% combinado; acentos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Azul, menta y coral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#9FC6E7 / #8CCCC1 / #E77E71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2% combinado; colecciones o detalles</w:t>
            </w:r>
          </w:p>
        </w:tc>
      </w:tr>
    </w:tbl>
    <w:p>
      <w:r>
        <w:rPr>
          <w:color w:val="000000"/>
        </w:rPr>
        <w:t>La base marfil amplía expresamente la paleta anterior de seis tonos; requiere aprobación. Los porcentajes excluyen fotografía y son orientación compositiva. Los metales de las fotografías mantienen su color real. No se obliga a usar todos los tonos en una pantalla.</w:t>
      </w:r>
    </w:p>
    <w:p>
      <w:pPr>
        <w:pStyle w:val="Heading2"/>
      </w:pPr>
      <w:r>
        <w:rPr>
          <w:color w:val="000000"/>
        </w:rPr>
        <w:t>Logo y tipografía</w:t>
      </w:r>
    </w:p>
    <w:p>
      <w:r>
        <w:rPr>
          <w:color w:val="000000"/>
        </w:rPr>
        <w:t>Conservar monograma entrelazado, arco inferior y diamante. El PNG reconstruido es referencia, no archivo vectorial maestro. Cormorant Garamond para títulos y Manrope para texto. Cuerpo 16–18 px; H1 64 px escritorio y 38 px móvil. Confirmar licencia y carga local de fuentes.</w:t>
      </w:r>
    </w:p>
    <w:p>
      <w:pPr>
        <w:pStyle w:val="Heading2"/>
      </w:pPr>
      <w:r>
        <w:rPr>
          <w:color w:val="000000"/>
        </w:rPr>
        <w:t>Dirección de arte</w:t>
      </w:r>
    </w:p>
    <w:p>
      <w:r>
        <w:rPr>
          <w:color w:val="000000"/>
        </w:rPr>
        <w:t>Piedra marfil, luz suave, fotografía macro y de escala. Un acento por composición. Evitar fondos negros continuos, arcoíris y filtros que alteren gemas. Las intenciones son significados personales opcionales, sin promesas terapéuticas.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Experiencia y arquitectura del sitio</w:t>
      </w:r>
    </w:p>
    <w:p>
      <w:pPr>
        <w:pStyle w:val="Heading2"/>
      </w:pPr>
      <w:r>
        <w:rPr>
          <w:color w:val="000000"/>
        </w:rPr>
        <w:t>Navegación propuesta</w:t>
      </w:r>
    </w:p>
    <w:p>
      <w:r>
        <w:rPr>
          <w:color w:val="000000"/>
        </w:rPr>
        <w:t>Inicio → Joyas → Anillos, Aretes, Collares y Pulseras → Detalle. Materiales y piedras operan como filtros. Novedades, Alta joyería y Piezas personalizadas son colecciones editoriales. Asesoría permanece visible; Cuenta reúne registro, acceso y salida.</w:t>
      </w:r>
    </w:p>
    <w:p>
      <w:pPr>
        <w:pStyle w:val="Heading2"/>
      </w:pPr>
      <w:r>
        <w:rPr>
          <w:color w:val="000000"/>
        </w:rPr>
        <w:t>Primer vistazo de inicio</w:t>
      </w:r>
    </w:p>
    <w:p>
      <w:r>
        <w:rPr>
          <w:color w:val="000000"/>
        </w:rPr>
        <w:t>Encabezado claro con logo completo; portada editorial con Elegancia que permanece; diez productos o selección destacada; accesos a materiales; bloque de asesoría; pie con políticas y contacto. Las imágenes del ZIP representan esta intención, sin acreditar un sitio funcional.</w:t>
      </w:r>
    </w:p>
    <w:p>
      <w:pPr>
        <w:pStyle w:val="Heading2"/>
      </w:pPr>
      <w:r>
        <w:rPr>
          <w:color w:val="000000"/>
        </w:rPr>
        <w:t>Catálogo y búsqueda</w:t>
      </w:r>
    </w:p>
    <w:p>
      <w:r>
        <w:rPr>
          <w:color w:val="000000"/>
        </w:rPr>
        <w:t>Cards con imagen, nombre, precio MXN y disponibilidad. Paginación de 12 elementos, tamaño configurable 1–50. Búsqueda por nombre sin diferencias de acento o mayúsculas. Categoría y rango de precio se combinan con AND. Cambiar filtros reinicia página. Conservar criterios en URL al abrir y volver de una pieza.</w:t>
      </w:r>
    </w:p>
    <w:p>
      <w:pPr>
        <w:pStyle w:val="Heading2"/>
      </w:pPr>
      <w:r>
        <w:rPr>
          <w:color w:val="000000"/>
        </w:rPr>
        <w:t>Detalle que resuelve dudas</w:t>
      </w:r>
    </w:p>
    <w:p>
      <w:r>
        <w:rPr>
          <w:color w:val="000000"/>
        </w:rPr>
        <w:t>Incluir nombre, fotos, video útil opcional, precio, metal y k o ley, peso y medidas, piedras y origen, tallas, certificados aplicables, disponibilidad, entrega, cuidados, garantía, envíos y cambios, compra y asesoría. La lista completa se conserva en las fuentes originales y en las fichas del catálogo.</w:t>
      </w:r>
    </w:p>
    <w:p>
      <w:pPr>
        <w:pStyle w:val="Heading2"/>
      </w:pPr>
      <w:r>
        <w:rPr>
          <w:color w:val="000000"/>
        </w:rPr>
        <w:t>Accesibilidad y estados</w:t>
      </w:r>
    </w:p>
    <w:p>
      <w:r>
        <w:rPr>
          <w:color w:val="000000"/>
        </w:rPr>
        <w:t>Carga, vacío, validación, error y reintento,404, sesión expirada, agotado y bajo pedido. Etiquetas visibles y foco de teclado. No depender solo del color. Contraste mínimo de texto normal 4.5:1. Retícula 1/2/4 columnas a 360/768/1280 px; verificar en implementación real.</w:t>
      </w:r>
    </w:p>
    <w:p>
      <w:pPr>
        <w:pStyle w:val="Heading2"/>
      </w:pPr>
      <w:r>
        <w:rPr>
          <w:color w:val="000000"/>
        </w:rPr>
        <w:t>Límite comercial</w:t>
      </w:r>
    </w:p>
    <w:p>
      <w:r>
        <w:rPr>
          <w:color w:val="000000"/>
        </w:rPr>
        <w:t>Carrito, pagos y pedidos quedan fuera de estas 14 tareas. El botón prepara una selección o informa que la compra no está habilitada. El canal de asesoría necesita configuración real; la demostración no envía datos a terceros.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Registro y contrato de desarrollo</w:t>
      </w:r>
    </w:p>
    <w:p>
      <w:pPr>
        <w:pStyle w:val="Heading2"/>
      </w:pPr>
      <w:r>
        <w:rPr>
          <w:color w:val="000000"/>
        </w:rPr>
        <w:t>Registro y sesión</w:t>
      </w:r>
    </w:p>
    <w:p>
      <w:r>
        <w:rPr>
          <w:color w:val="000000"/>
        </w:rPr>
        <w:t>Nombre, correo, contraseña y confirmación en interfaz. Contraseña propuesta 15–128 caracteres; permitir gestores y pegado. Validación en cliente y servidor. Guardar hash Argon2id, no cifrado reversible. La confirmación no se almacena. Registro devuelve 202 genérico y luego se accede por login.</w:t>
      </w:r>
    </w:p>
    <w:p>
      <w:r>
        <w:rPr>
          <w:color w:val="000000"/>
        </w:rPr>
        <w:t>Sesión de servidor con cookie segura, HttpOnly y SameSite; CSRF en mutaciones. Rotar sesión al entrar, revocarla al salir y respetar expiración propuesta 30 min inactiva/12 h absoluta. No almacenar token o contraseña en localStorage. Recuperación y verificación de correo son requisitos extra para lanzamiento.</w:t>
      </w:r>
    </w:p>
    <w:p>
      <w:pPr>
        <w:pStyle w:val="Heading2"/>
      </w:pPr>
      <w:r>
        <w:rPr>
          <w:color w:val="000000"/>
        </w:rPr>
        <w:t>Endpoints documentados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3600"/>
        <w:gridCol w:w="5328"/>
      </w:tblGrid>
      <w:tr>
        <w:trPr>
          <w:cantSplit/>
          <w:tblHeader/>
        </w:trP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sz w:val="19"/>
              </w:rPr>
              <w:t>Método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sz w:val="19"/>
              </w:rPr>
              <w:t>Ruta bajo api v1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sz w:val="19"/>
              </w:rPr>
              <w:t>Función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/auth/csrf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Token CSRF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/auth/register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Registro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/auth/login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Acceso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/auth/logout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Salida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/auth/me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Usuario de sesión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/categories y /collections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Navegación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/products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Listado, búsqueda y filtros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/products/{slug}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Detalle</w:t>
            </w:r>
          </w:p>
        </w:tc>
      </w:tr>
    </w:tbl>
    <w:p>
      <w:r>
        <w:rPr>
          <w:color w:val="000000"/>
        </w:rPr>
        <w:t>El contrato openapi.yaml incluye esquemas, parámetros, códigos de error y respuestas. El servidor example.invalid es un marcador no operativo. El modelo no depende aún de un motor o proveedor. Mapeo_fixtures.md explica qué datos privados no exponer.</w:t>
      </w:r>
    </w:p>
    <w:p>
      <w:pPr>
        <w:pStyle w:val="Heading2"/>
      </w:pPr>
      <w:r>
        <w:rPr>
          <w:color w:val="000000"/>
        </w:rPr>
        <w:t>Reglas de datos</w:t>
      </w:r>
    </w:p>
    <w:p>
      <w:r>
        <w:rPr>
          <w:color w:val="000000"/>
        </w:rPr>
        <w:t>Precio decimal o centavos enteros; SKU y slug únicos. Inventario por variante. Diferenciar k del oro, ley 925 y ct de gema. Natural y laboratorio son datos explícitos. No publicar is_demo=true en producción ni sellos de certificación pendientes.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Catálogo de demostración piezas 1 y 2</w:t>
      </w:r>
    </w:p>
    <w:p>
      <w:r>
        <w:rPr>
          <w:color w:val="000000"/>
        </w:rPr>
        <w:t>Todos los valores de estas fichas son ficticios para diseño y pruebas. No constituyen una oferta ni acreditan material, certificación, precio o existencia real.</w:t>
      </w:r>
    </w:p>
    <w:p>
      <w:pPr>
        <w:pStyle w:val="Heading2"/>
      </w:pPr>
      <w:r>
        <w:rPr>
          <w:color w:val="000000"/>
        </w:rPr>
        <w:t>Anillo Aurora   CF-DEMO-001</w:t>
      </w:r>
    </w:p>
    <w:p>
      <w:r>
        <w:rPr>
          <w:color w:val="000000"/>
        </w:rPr>
        <w:t>Un solitario de líneas limpias y proporciones delicadas. Una pieza pensada para acompañar un logro o una promesa personal.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352"/>
      </w:tblGrid>
      <w:tr>
        <w:trPr>
          <w:cantSplit/>
          <w:tblHeader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sz w:val="19"/>
              </w:rPr>
              <w:t>Ejemplo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Precio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$38,900 MXN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Metal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Oro amarillo · 18 k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Piedra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Diamante · natural · 0.3 ct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Peso y medidas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2.8 g · Aro 2 mm; centro 4.3 mm; talla de referencia US 6.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Opciones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US 6; US 7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Estado y plazo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disponible · 3–5 días hábiles después de confirmar pago; dato ficticio.</w:t>
            </w:r>
          </w:p>
        </w:tc>
      </w:tr>
    </w:tbl>
    <w:p>
      <w:r>
        <w:rPr>
          <w:color w:val="000000"/>
        </w:rPr>
        <w:t>Certificados pendientes. Garantía, envíos y devoluciones por aprobar. Fotografías previstas: frente, lateral, detalle, escala, cierre y empaque. Video opcional. Ficha ampliada y cuidados en Catalogo_descriptivo.md; datos en JSON y CSV.</w:t>
      </w:r>
    </w:p>
    <w:p>
      <w:pPr>
        <w:pStyle w:val="Heading2"/>
      </w:pPr>
      <w:r>
        <w:rPr>
          <w:color w:val="000000"/>
        </w:rPr>
        <w:t>Aretes Alba   CF-DEMO-002</w:t>
      </w:r>
    </w:p>
    <w:p>
      <w:r>
        <w:rPr>
          <w:color w:val="000000"/>
        </w:rPr>
        <w:t>Dos puntos de luz de diseño sobrio. El montaje discreto permite llevarlos solos o combinarlos con otras piezas.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352"/>
      </w:tblGrid>
      <w:tr>
        <w:trPr>
          <w:cantSplit/>
          <w:tblHeader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sz w:val="19"/>
              </w:rPr>
              <w:t>Ejemplo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Precio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$24,900 MXN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Metal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Oro blanco · 18 k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Piedra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Diamantes · de laboratorio · 0.5 ct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Peso y medidas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1.9 g · Diámetro frontal 4 mm; poste 10 mm; par.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Opciones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Par con cierre de presión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Estado y plazo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disponible · 3–5 días hábiles; dato ficticio.</w:t>
            </w:r>
          </w:p>
        </w:tc>
      </w:tr>
    </w:tbl>
    <w:p>
      <w:r>
        <w:rPr>
          <w:color w:val="000000"/>
        </w:rPr>
        <w:t>Certificados pendientes. Garantía, envíos y devoluciones por aprobar. Fotografías previstas: frente, lateral, detalle, escala, cierre y empaque. Video opcional. Ficha ampliada y cuidados en Catalogo_descriptivo.md; datos en JSON y CSV.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Catálogo de demostración piezas 3 y 4</w:t>
      </w:r>
    </w:p>
    <w:p>
      <w:r>
        <w:rPr>
          <w:color w:val="000000"/>
        </w:rPr>
        <w:t>Todos los valores de estas fichas son ficticios para diseño y pruebas. No constituyen una oferta ni acreditan material, certificación, precio o existencia real.</w:t>
      </w:r>
    </w:p>
    <w:p>
      <w:pPr>
        <w:pStyle w:val="Heading2"/>
      </w:pPr>
      <w:r>
        <w:rPr>
          <w:color w:val="000000"/>
        </w:rPr>
        <w:t>Collar Vínculo   CF-DEMO-003</w:t>
      </w:r>
    </w:p>
    <w:p>
      <w:r>
        <w:rPr>
          <w:color w:val="000000"/>
        </w:rPr>
        <w:t>Un círculo de plata de contorno continuo. Su diseño propone un símbolo personal de unión y permanencia sin imponer un significado.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352"/>
      </w:tblGrid>
      <w:tr>
        <w:trPr>
          <w:cantSplit/>
          <w:tblHeader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sz w:val="19"/>
              </w:rPr>
              <w:t>Ejemplo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Precio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$3,900 MXN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Metal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Plata · ley 925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Piedra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Sin piedra · no aplica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Peso y medidas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4.2 g · Cadena 40 cm + extensión 5 cm; dije circular 12 mm.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Opciones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40 + 5 cm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Estado y plazo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agotado · Sin fecha confirmada; mostrar aviso, no prometer entrega.</w:t>
            </w:r>
          </w:p>
        </w:tc>
      </w:tr>
    </w:tbl>
    <w:p>
      <w:r>
        <w:rPr>
          <w:color w:val="000000"/>
        </w:rPr>
        <w:t>Certificados pendientes. Garantía, envíos y devoluciones por aprobar. Fotografías previstas: frente, lateral, detalle, escala, cierre y empaque. Video opcional. Ficha ampliada y cuidados en Catalogo_descriptivo.md; datos en JSON y CSV.</w:t>
      </w:r>
    </w:p>
    <w:p>
      <w:pPr>
        <w:pStyle w:val="Heading2"/>
      </w:pPr>
      <w:r>
        <w:rPr>
          <w:color w:val="000000"/>
        </w:rPr>
        <w:t>Pulsera Serena   CF-DEMO-004</w:t>
      </w:r>
    </w:p>
    <w:p>
      <w:r>
        <w:rPr>
          <w:color w:val="000000"/>
        </w:rPr>
        <w:t>Una cadena fina con un acento azul. El diseño combina presencia de color y una silueta contenida para uso individual o en conjunto.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352"/>
      </w:tblGrid>
      <w:tr>
        <w:trPr>
          <w:cantSplit/>
          <w:tblHeader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sz w:val="19"/>
              </w:rPr>
              <w:t>Ejemplo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Precio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$18,900 MXN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Metal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Oro amarillo · 18 k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Piedra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Zafiro azul · natural · 0.35 ct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Peso y medidas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3.1 g · Largo ajustable 16–18 cm; gema oval 5 × 4 mm.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Opciones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16–18 cm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Estado y plazo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disponible · 4–6 días hábiles; dato ficticio.</w:t>
            </w:r>
          </w:p>
        </w:tc>
      </w:tr>
    </w:tbl>
    <w:p>
      <w:r>
        <w:rPr>
          <w:color w:val="000000"/>
        </w:rPr>
        <w:t>Certificados pendientes. Garantía, envíos y devoluciones por aprobar. Fotografías previstas: frente, lateral, detalle, escala, cierre y empaque. Video opcional. Ficha ampliada y cuidados en Catalogo_descriptivo.md; datos en JSON y CSV.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Catálogo de demostración piezas 5 y 6</w:t>
      </w:r>
    </w:p>
    <w:p>
      <w:r>
        <w:rPr>
          <w:color w:val="000000"/>
        </w:rPr>
        <w:t>Todos los valores de estas fichas son ficticios para diseño y pruebas. No constituyen una oferta ni acreditan material, certificación, precio o existencia real.</w:t>
      </w:r>
    </w:p>
    <w:p>
      <w:pPr>
        <w:pStyle w:val="Heading2"/>
      </w:pPr>
      <w:r>
        <w:rPr>
          <w:color w:val="000000"/>
        </w:rPr>
        <w:t>Anillo Esencia Rosa   CF-DEMO-005</w:t>
      </w:r>
    </w:p>
    <w:p>
      <w:r>
        <w:rPr>
          <w:color w:val="000000"/>
        </w:rPr>
        <w:t>Una gema rosa de corte oval enmarcada por acentos de luz. Su composición conserva el carácter femenino de la marca con una lectura contemporánea.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352"/>
      </w:tblGrid>
      <w:tr>
        <w:trPr>
          <w:cantSplit/>
          <w:tblHeader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sz w:val="19"/>
              </w:rPr>
              <w:t>Ejemplo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Precio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$52,900 MXN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Metal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Oro rosa · 18 k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Piedra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Zafiro rosa y diamantes de acento · mixto · 0.95 ct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Peso y medidas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3.6 g · Centro 6 × 4 mm; aro 2.1 mm; talla US 6.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Opciones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US 6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Estado y plazo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disponible · 5–7 días hábiles; dato ficticio.</w:t>
            </w:r>
          </w:p>
        </w:tc>
      </w:tr>
    </w:tbl>
    <w:p>
      <w:r>
        <w:rPr>
          <w:color w:val="000000"/>
        </w:rPr>
        <w:t>Certificados pendientes. Garantía, envíos y devoluciones por aprobar. Fotografías previstas: frente, lateral, detalle, escala, cierre y empaque. Video opcional. Ficha ampliada y cuidados en Catalogo_descriptivo.md; datos en JSON y CSV.</w:t>
      </w:r>
    </w:p>
    <w:p>
      <w:pPr>
        <w:pStyle w:val="Heading2"/>
      </w:pPr>
      <w:r>
        <w:rPr>
          <w:color w:val="000000"/>
        </w:rPr>
        <w:t>Collar Origen Personalizado   CF-DEMO-006</w:t>
      </w:r>
    </w:p>
    <w:p>
      <w:r>
        <w:rPr>
          <w:color w:val="000000"/>
        </w:rPr>
        <w:t>Una medalla de proporciones discretas con iniciales o una palabra elegida. El proceso requiere revisión del diseño y confirmación de las especificaciones antes de producir.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352"/>
      </w:tblGrid>
      <w:tr>
        <w:trPr>
          <w:cantSplit/>
          <w:tblHeader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sz w:val="19"/>
              </w:rPr>
              <w:t>Ejemplo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Precio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$22,900 MXN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Metal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Oro amarillo · 18 k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Piedra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Esmeralda · natural · 0.25 ct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Peso y medidas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3.4 g · Cadena 45 cm; medalla 14 mm; grabado de hasta 8 caracteres.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Opciones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45 cm y grabado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Estado y plazo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bajo pedido · 15–20 días hábiles tras aprobar diseño; plazo ficticio.</w:t>
            </w:r>
          </w:p>
        </w:tc>
      </w:tr>
    </w:tbl>
    <w:p>
      <w:r>
        <w:rPr>
          <w:color w:val="000000"/>
        </w:rPr>
        <w:t>Certificados pendientes. Garantía, envíos y devoluciones por aprobar. Fotografías previstas: frente, lateral, detalle, escala, cierre y empaque. Video opcional. Ficha ampliada y cuidados en Catalogo_descriptivo.md; datos en JSON y CSV.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Catálogo de demostración piezas 7 y 8</w:t>
      </w:r>
    </w:p>
    <w:p>
      <w:r>
        <w:rPr>
          <w:color w:val="000000"/>
        </w:rPr>
        <w:t>Todos los valores de estas fichas son ficticios para diseño y pruebas. No constituyen una oferta ni acreditan material, certificación, precio o existencia real.</w:t>
      </w:r>
    </w:p>
    <w:p>
      <w:pPr>
        <w:pStyle w:val="Heading2"/>
      </w:pPr>
      <w:r>
        <w:rPr>
          <w:color w:val="000000"/>
        </w:rPr>
        <w:t>Aretes Celeste   CF-DEMO-007</w:t>
      </w:r>
    </w:p>
    <w:p>
      <w:r>
        <w:rPr>
          <w:color w:val="000000"/>
        </w:rPr>
        <w:t>Dos zafiros azules en una montura de líneas contenidas. Su silueta aporta color sin perder discreción y permite combinarlos con piezas lisas.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352"/>
      </w:tblGrid>
      <w:tr>
        <w:trPr>
          <w:cantSplit/>
          <w:tblHeader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sz w:val="19"/>
              </w:rPr>
              <w:t>Ejemplo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Precio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$21,900 MXN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Metal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Oro amarillo · 18 k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Piedra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Zafiros azules · natural · 0.7 ct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Peso y medidas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2.4 g · Par; alto 12 mm; gemas 5 × 4 mm.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Opciones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Par con cierre de presión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Estado y plazo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disponible · 4–6 días hábiles; dato ficticio.</w:t>
            </w:r>
          </w:p>
        </w:tc>
      </w:tr>
    </w:tbl>
    <w:p>
      <w:r>
        <w:rPr>
          <w:color w:val="000000"/>
        </w:rPr>
        <w:t>Certificados pendientes. Garantía, envíos y devoluciones por aprobar. Fotografías previstas: frente, lateral, detalle, escala, cierre y empaque. Video opcional. Ficha ampliada y cuidados en Catalogo_descriptivo.md; datos en JSON y CSV.</w:t>
      </w:r>
    </w:p>
    <w:p>
      <w:pPr>
        <w:pStyle w:val="Heading2"/>
      </w:pPr>
      <w:r>
        <w:rPr>
          <w:color w:val="000000"/>
        </w:rPr>
        <w:t>Pulsera Lazo   CF-DEMO-008</w:t>
      </w:r>
    </w:p>
    <w:p>
      <w:r>
        <w:rPr>
          <w:color w:val="000000"/>
        </w:rPr>
        <w:t>Eslabones pulidos de proporción equilibrada. Una pulsera de plata que puede acompañar el día a día o completar una combinación de piezas.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352"/>
      </w:tblGrid>
      <w:tr>
        <w:trPr>
          <w:cantSplit/>
          <w:tblHeader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sz w:val="19"/>
              </w:rPr>
              <w:t>Ejemplo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Precio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$4,900 MXN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Metal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Plata · ley 925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Piedra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Sin piedra · no aplica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Peso y medidas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7.8 g · Largo 17 y 19 cm; eslabón 4 mm.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Opciones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17 cm; 19 cm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Estado y plazo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disponible · 3–5 días hábiles; dato ficticio.</w:t>
            </w:r>
          </w:p>
        </w:tc>
      </w:tr>
    </w:tbl>
    <w:p>
      <w:r>
        <w:rPr>
          <w:color w:val="000000"/>
        </w:rPr>
        <w:t>Certificados pendientes. Garantía, envíos y devoluciones por aprobar. Fotografías previstas: frente, lateral, detalle, escala, cierre y empaque. Video opcional. Ficha ampliada y cuidados en Catalogo_descriptivo.md; datos en JSON y CSV.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Catálogo de demostración piezas 9 y 10</w:t>
      </w:r>
    </w:p>
    <w:p>
      <w:r>
        <w:rPr>
          <w:color w:val="000000"/>
        </w:rPr>
        <w:t>Todos los valores de estas fichas son ficticios para diseño y pruebas. No constituyen una oferta ni acreditan material, certificación, precio o existencia real.</w:t>
      </w:r>
    </w:p>
    <w:p>
      <w:pPr>
        <w:pStyle w:val="Heading2"/>
      </w:pPr>
      <w:r>
        <w:rPr>
          <w:color w:val="000000"/>
        </w:rPr>
        <w:t>Collar Luz   CF-DEMO-009</w:t>
      </w:r>
    </w:p>
    <w:p>
      <w:r>
        <w:rPr>
          <w:color w:val="000000"/>
        </w:rPr>
        <w:t>Un diamante de laboratorio suspendido en una cadena fina. Un diseño sobrio que concentra la atención en un solo punto de luz.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352"/>
      </w:tblGrid>
      <w:tr>
        <w:trPr>
          <w:cantSplit/>
          <w:tblHeader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sz w:val="19"/>
              </w:rPr>
              <w:t>Ejemplo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Precio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$14,900 MXN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Metal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Oro amarillo · 18 k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Piedra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Diamante · de laboratorio · 0.2 ct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Peso y medidas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2.2 g · Cadena 40 + 5 cm; dije 4 mm.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Opciones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40 + 5 cm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Estado y plazo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disponible · 3–5 días hábiles; dato ficticio.</w:t>
            </w:r>
          </w:p>
        </w:tc>
      </w:tr>
    </w:tbl>
    <w:p>
      <w:r>
        <w:rPr>
          <w:color w:val="000000"/>
        </w:rPr>
        <w:t>Certificados pendientes. Garantía, envíos y devoluciones por aprobar. Fotografías previstas: frente, lateral, detalle, escala, cierre y empaque. Video opcional. Ficha ampliada y cuidados en Catalogo_descriptivo.md; datos en JSON y CSV.</w:t>
      </w:r>
    </w:p>
    <w:p>
      <w:pPr>
        <w:pStyle w:val="Heading2"/>
      </w:pPr>
      <w:r>
        <w:rPr>
          <w:color w:val="000000"/>
        </w:rPr>
        <w:t>Anillo Horizonte   CF-DEMO-010</w:t>
      </w:r>
    </w:p>
    <w:p>
      <w:r>
        <w:rPr>
          <w:color w:val="000000"/>
        </w:rPr>
        <w:t>Un solitario de presencia definida y diseño limpio. El diamante de laboratorio ocupa el centro de una montura pensada para conservar una lectura atemporal.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352"/>
      </w:tblGrid>
      <w:tr>
        <w:trPr>
          <w:cantSplit/>
          <w:tblHeader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sz w:val="19"/>
              </w:rPr>
              <w:t>Ejemplo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Precio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$45,900 MXN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Metal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Oro blanco · 18 k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Piedra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Diamante · de laboratorio · 1.0 ct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Peso y medidas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3.9 g · Aro 2 mm; piedra central 6.4 mm; tallas US 6 y 7.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Opciones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US 6; US 7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Estado y plazo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disponible · 5–7 días hábiles; dato ficticio.</w:t>
            </w:r>
          </w:p>
        </w:tc>
      </w:tr>
    </w:tbl>
    <w:p>
      <w:r>
        <w:rPr>
          <w:color w:val="000000"/>
        </w:rPr>
        <w:t>Certificados pendientes. Garantía, envíos y devoluciones por aprobar. Fotografías previstas: frente, lateral, detalle, escala, cierre y empaque. Video opcional. Ficha ampliada y cuidados en Catalogo_descriptivo.md; datos en JSON y CSV.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Plan de las actividades adjuntas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1584"/>
        <w:gridCol w:w="6048"/>
      </w:tblGrid>
      <w:tr>
        <w:trPr>
          <w:cantSplit/>
          <w:tblHeader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sz w:val="19"/>
              </w:rPr>
              <w:t>Historia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sz w:val="19"/>
              </w:rPr>
              <w:t>Tareas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sz w:val="19"/>
              </w:rPr>
              <w:t>Entrega y validación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H1 Registro y sesión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T01–T 04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Pantallas, formularios, API y pruebas de acceso/salida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H2 Catálogo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T 05–T 08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Fixtures, API paginada, cuadrícula y responsive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H3 Búsqueda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T 09–T 11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API por nombre/categoría/precio, filtros y rendimiento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H4 Detalle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T 12–T14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API, ficha completa y pruebas de disponibilidad</w:t>
            </w:r>
          </w:p>
        </w:tc>
      </w:tr>
    </w:tbl>
    <w:p>
      <w:pPr>
        <w:pStyle w:val="Heading2"/>
      </w:pPr>
      <w:r>
        <w:rPr>
          <w:color w:val="000000"/>
        </w:rPr>
        <w:t>Secuencia</w:t>
      </w:r>
    </w:p>
    <w:p>
      <w:r>
        <w:rPr>
          <w:color w:val="000000"/>
        </w:rPr>
        <w:t>Aprobar marca y datos → modelar entidades → cargar fixtures DEMO → registro y sesión → catálogo → búsqueda → detalle → ejecutar QA. La lista Backlog.csv conserva 14 tareas con criterio, documento y dependencia; todos los estados son especificado no implementado.</w:t>
      </w:r>
    </w:p>
    <w:p>
      <w:pPr>
        <w:pStyle w:val="Heading2"/>
      </w:pPr>
      <w:r>
        <w:rPr>
          <w:color w:val="000000"/>
        </w:rPr>
        <w:t>Evidencia requerida</w:t>
      </w:r>
    </w:p>
    <w:p>
      <w:r>
        <w:rPr>
          <w:color w:val="000000"/>
        </w:rPr>
        <w:t>Casos_de_prueba.csv contiene 38 casos con resultado esperado y columna de evidencia. El estado inicial es no ejecutado. Incluye acentos, rangos inclusivos e inválidos, paginación con 10 productos, logout, CSRF, agotados, personalizados y certificado pendiente.</w:t>
      </w:r>
    </w:p>
    <w:p>
      <w:pPr>
        <w:pStyle w:val="Heading2"/>
      </w:pPr>
      <w:r>
        <w:rPr>
          <w:color w:val="000000"/>
        </w:rPr>
        <w:t>Rendimiento propuesto</w:t>
      </w:r>
    </w:p>
    <w:p>
      <w:r>
        <w:rPr>
          <w:color w:val="000000"/>
        </w:rPr>
        <w:t>Objetivo por acordar: p 95 de catálogo/búsqueda menor a 500 ms con 10000 registros sintéticos y 20 usuarios concurrentes. No se ha medido. Las diez fixtures sirven para pruebas funcionales, no para concluir escalabilidad. Guardar configuración, caché y resultados al ejecutar.</w:t>
      </w:r>
    </w:p>
    <w:p>
      <w:pPr>
        <w:pStyle w:val="Heading2"/>
      </w:pPr>
      <w:r>
        <w:rPr>
          <w:color w:val="000000"/>
        </w:rPr>
        <w:t>Qué se verifica en esta entrega</w:t>
      </w:r>
    </w:p>
    <w:p>
      <w:r>
        <w:rPr>
          <w:color w:val="000000"/>
        </w:rPr>
        <w:t>Consistencia del paquete, formatos de datos, referencias de contrato y legibilidad del documento. No se certifica seguridad, cumplimiento normativo, rendimiento o funcionamiento de una aplicación inexistente.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Decisiones pendientes y siguiente etapa</w:t>
      </w:r>
    </w:p>
    <w:p>
      <w:pPr>
        <w:pStyle w:val="ListBullet"/>
      </w:pPr>
      <w:r>
        <w:rPr>
          <w:color w:val="000000"/>
        </w:rPr>
        <w:t>Aprobar marfil y la distribución de color.</w:t>
      </w:r>
    </w:p>
    <w:p>
      <w:pPr>
        <w:pStyle w:val="ListBullet"/>
      </w:pPr>
      <w:r>
        <w:rPr>
          <w:color w:val="000000"/>
        </w:rPr>
        <w:t>Entregar el logo vectorial original y confirmar licencias tipográficas.</w:t>
      </w:r>
    </w:p>
    <w:p>
      <w:pPr>
        <w:pStyle w:val="ListBullet"/>
      </w:pPr>
      <w:r>
        <w:rPr>
          <w:color w:val="000000"/>
        </w:rPr>
        <w:t>Confirmar si chakras e intenciones permanecen como colección secundaria.</w:t>
      </w:r>
    </w:p>
    <w:p>
      <w:pPr>
        <w:pStyle w:val="ListBullet"/>
      </w:pPr>
      <w:r>
        <w:rPr>
          <w:color w:val="000000"/>
        </w:rPr>
        <w:t>Sustituir los diez ejemplos por inventario, fotos y certificados reales.</w:t>
      </w:r>
    </w:p>
    <w:p>
      <w:pPr>
        <w:pStyle w:val="ListBullet"/>
      </w:pPr>
      <w:r>
        <w:rPr>
          <w:color w:val="000000"/>
        </w:rPr>
        <w:t>Aprobar precio final, impuestos, entrega, garantía y devoluciones.</w:t>
      </w:r>
    </w:p>
    <w:p>
      <w:pPr>
        <w:pStyle w:val="ListBullet"/>
      </w:pPr>
      <w:r>
        <w:rPr>
          <w:color w:val="000000"/>
        </w:rPr>
        <w:t>Definir canal y horarios de asesoría y servicio posventa.</w:t>
      </w:r>
    </w:p>
    <w:p>
      <w:pPr>
        <w:pStyle w:val="ListBullet"/>
      </w:pPr>
      <w:r>
        <w:rPr>
          <w:color w:val="000000"/>
        </w:rPr>
        <w:t>Elegir arquitectura, hosting, motor de datos y responsables de mantenimiento.</w:t>
      </w:r>
    </w:p>
    <w:p>
      <w:pPr>
        <w:pStyle w:val="ListBullet"/>
      </w:pPr>
      <w:r>
        <w:rPr>
          <w:color w:val="000000"/>
        </w:rPr>
        <w:t>Implementar y probar T01–T14; después planear pedidos y pagos.</w:t>
      </w:r>
    </w:p>
    <w:p>
      <w:pPr>
        <w:pStyle w:val="Heading2"/>
      </w:pPr>
      <w:r>
        <w:rPr>
          <w:color w:val="000000"/>
        </w:rPr>
        <w:t>Bases consultadas</w:t>
      </w:r>
    </w:p>
    <w:p>
      <w:r>
        <w:rPr>
          <w:color w:val="000000"/>
        </w:rPr>
        <w:t>Fuentes primarias técnicas: OWASP Password Storage Cheat Sheet; OWASP Session Management Cheat Sheet; W 3 C WCAG 2.2. Los enlaces completos y la trazabilidad del propietario se encuentran en 07_Referencias/Fuentes_y_trazabilidad.md.</w:t>
      </w:r>
    </w:p>
    <w:p>
      <w:pPr>
        <w:pStyle w:val="Heading2"/>
      </w:pPr>
      <w:r>
        <w:rPr>
          <w:color w:val="000000"/>
        </w:rPr>
        <w:t>Archivos para continuar</w:t>
      </w:r>
    </w:p>
    <w:p>
      <w:r>
        <w:rPr>
          <w:color w:val="000000"/>
        </w:rPr>
        <w:t>Diseño:01_Marca y 06_Visuales. Catálogo:02_Catalogo. Frontend:03_UX. Backend y datos:04_Desarrollo. Pruebas y liberación:05_Validacion. Referencias:07_Referencias. Esta guía se acompaña de versiones editables Markdown y datos abiertos.</w:t>
      </w:r>
    </w:p>
    <w:p>
      <w:r>
        <w:rPr>
          <w:color w:val="000000"/>
        </w:rPr>
        <w:t>La propietaria puede revisar la propuesta antes de iniciar desarrollo. El paquete no constituye una aprobación comercial automática, no contiene contraseñas y no realiza acciones en servicios externos.</w:t>
      </w:r>
    </w:p>
    <w:p>
      <w:r>
        <w:br w:type="page"/>
      </w:r>
    </w:p>
    <w:p>
      <w:pPr>
        <w:pStyle w:val="Heading1"/>
      </w:pPr>
      <w:r>
        <w:t>Uso en Visual Studio y VS Code</w:t>
      </w:r>
    </w:p>
    <w:p>
      <w:r>
        <w:t>El archivo PROMPT_PARA_VISUAL_STUDIO.txt reúne la descripción de marca, las reglas de diseño, diez productos y el alcance de las cuatro historias. Copiar el texto en el agente del IDE y adjuntar el paquete. El prompt solicita implementar en un repositorio y verificar el resultado; esta entrega no ejecuta ese desarrollo.</w:t>
      </w:r>
    </w:p>
    <w:p>
      <w:r>
        <w:t>C’FANCY es una marca de joyería fina de lujo contemporáneo para mujeres que valoran un estilo propio, el detalle y una atención personal. Su propuesta reúne piezas en oro y plata, diamantes naturales y de laboratorio, gemas y diseños personalizados. La experiencia combina compra digital, asesoría y servicio posventa. Su identidad es femenina, elegante, sofisticada y atemporal. Mercado México; público principal declarado de 30 a 50 años y ampliado de 25 a 65 años. La dirección visual combina marfil y ciruela con acentos de color contenidos. Eslogan original: ELEVATE YOUR ELEGANCE. Frase editorial propuesta: Elegancia que permanece.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Propuesta para revisión   •   28 de octubre de 2026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</w:rPr>
      <w:t>C’FANCY   |   Identidad y especificación   |   Versión 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